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13.200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CADP</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A90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灾害防</w:t>
      </w:r>
      <w:r>
        <w:rPr>
          <w:rFonts w:hint="eastAsia" w:ascii="黑体" w:eastAsia="黑体"/>
          <w:b w:val="0"/>
          <w:w w:val="100"/>
          <w:sz w:val="48"/>
        </w:rPr>
        <w:t>御</w:t>
      </w:r>
      <w:r>
        <w:rPr>
          <w:rFonts w:ascii="黑体" w:eastAsia="黑体"/>
          <w:b w:val="0"/>
          <w:w w:val="100"/>
          <w:sz w:val="48"/>
        </w:rPr>
        <w:t>协</w:t>
      </w:r>
      <w:r>
        <w:rPr>
          <w:rFonts w:hint="eastAsia" w:ascii="黑体" w:eastAsia="黑体"/>
          <w:b w:val="0"/>
          <w:w w:val="100"/>
          <w:sz w:val="48"/>
        </w:rPr>
        <w:t>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CADP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w:t>
      </w:r>
      <w:r>
        <w:t>(构)筑物地震灾害隐患</w:t>
      </w:r>
    </w:p>
    <w:p>
      <w:pPr>
        <w:pStyle w:val="197"/>
        <w:framePr w:h="6974" w:hRule="exact" w:wrap="around" w:x="1419" w:anchorLock="1"/>
      </w:pPr>
      <w:r>
        <w:rPr>
          <w:rFonts w:hint="eastAsia"/>
        </w:rPr>
        <w:t>等级评定方法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Grading method of the potential hazard of structural earthquanke disaster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（本草案完成时间：2022－08－10）</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灾害防</w:t>
      </w:r>
      <w:r>
        <w:rPr>
          <w:rFonts w:hint="eastAsia" w:hAnsi="黑体"/>
          <w:w w:val="100"/>
          <w:sz w:val="28"/>
        </w:rPr>
        <w:t>御</w:t>
      </w:r>
      <w:r>
        <w:rPr>
          <w:rFonts w:hAnsi="黑体"/>
          <w:w w:val="100"/>
          <w:sz w:val="28"/>
        </w:rPr>
        <w:t>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9824799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"_Toc162254680" </w:instrText>
      </w:r>
      <w:r>
        <w:fldChar w:fldCharType="separate"/>
      </w:r>
      <w:r>
        <w:rPr>
          <w:rStyle w:val="32"/>
          <w:spacing w:val="320"/>
        </w:rPr>
        <w:t>前</w:t>
      </w:r>
      <w:r>
        <w:rPr>
          <w:rStyle w:val="32"/>
        </w:rPr>
        <w:t>言</w:t>
      </w:r>
      <w:r>
        <w:tab/>
      </w:r>
      <w:r>
        <w:fldChar w:fldCharType="begin"/>
      </w:r>
      <w:r>
        <w:instrText xml:space="preserve"> PAGEREF _Toc162254680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"_Toc162254681" </w:instrText>
      </w:r>
      <w:r>
        <w:fldChar w:fldCharType="separate"/>
      </w:r>
      <w:r>
        <w:rPr>
          <w:rStyle w:val="32"/>
        </w:rPr>
        <w:t>1 范围</w:t>
      </w:r>
      <w:r>
        <w:tab/>
      </w:r>
      <w:r>
        <w:fldChar w:fldCharType="begin"/>
      </w:r>
      <w:r>
        <w:instrText xml:space="preserve"> PAGEREF _Toc162254681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"_Toc162254682" </w:instrText>
      </w:r>
      <w:r>
        <w:fldChar w:fldCharType="separate"/>
      </w:r>
      <w:r>
        <w:rPr>
          <w:rStyle w:val="32"/>
        </w:rPr>
        <w:t>2 规范性引用文件</w:t>
      </w:r>
      <w:r>
        <w:tab/>
      </w:r>
      <w:r>
        <w:fldChar w:fldCharType="begin"/>
      </w:r>
      <w:r>
        <w:instrText xml:space="preserve"> PAGEREF _Toc162254682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"_Toc162254683" </w:instrText>
      </w:r>
      <w:r>
        <w:fldChar w:fldCharType="separate"/>
      </w:r>
      <w:r>
        <w:rPr>
          <w:rStyle w:val="32"/>
        </w:rPr>
        <w:t>3 术语和定义</w:t>
      </w:r>
      <w:r>
        <w:tab/>
      </w:r>
      <w:r>
        <w:fldChar w:fldCharType="begin"/>
      </w:r>
      <w:r>
        <w:instrText xml:space="preserve"> PAGEREF _Toc162254683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"_Toc162254694" </w:instrText>
      </w:r>
      <w:r>
        <w:fldChar w:fldCharType="separate"/>
      </w:r>
      <w:r>
        <w:rPr>
          <w:rStyle w:val="32"/>
        </w:rPr>
        <w:t>4 地震灾害隐患等级评定方法</w:t>
      </w:r>
      <w:r>
        <w:tab/>
      </w:r>
      <w:r>
        <w:fldChar w:fldCharType="begin"/>
      </w:r>
      <w:r>
        <w:instrText xml:space="preserve"> PAGEREF _Toc162254694 \h </w:instrText>
      </w:r>
      <w:r>
        <w:fldChar w:fldCharType="separate"/>
      </w:r>
      <w:r>
        <w:t>4</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"_Toc162254695" </w:instrText>
      </w:r>
      <w:r>
        <w:fldChar w:fldCharType="separate"/>
      </w:r>
      <w:r>
        <w:rPr>
          <w:rStyle w:val="32"/>
          <w14:scene3d>
            <w14:lightRig w14:rig="threePt" w14:dir="t">
              <w14:rot w14:lat="0" w14:lon="0" w14:rev="0"/>
            </w14:lightRig>
          </w14:scene3d>
        </w:rPr>
        <w:t>4.1</w:t>
      </w:r>
      <w:r>
        <w:rPr>
          <w:rStyle w:val="32"/>
        </w:rPr>
        <w:t xml:space="preserve"> 地震灾害隐患等级</w:t>
      </w:r>
      <w:r>
        <w:tab/>
      </w:r>
      <w:r>
        <w:fldChar w:fldCharType="begin"/>
      </w:r>
      <w:r>
        <w:instrText xml:space="preserve"> PAGEREF _Toc162254695 \h </w:instrText>
      </w:r>
      <w:r>
        <w:fldChar w:fldCharType="separate"/>
      </w:r>
      <w:r>
        <w:t>4</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"_Toc162254696" </w:instrText>
      </w:r>
      <w:r>
        <w:fldChar w:fldCharType="separate"/>
      </w:r>
      <w:r>
        <w:rPr>
          <w:rStyle w:val="32"/>
          <w14:scene3d>
            <w14:lightRig w14:rig="threePt" w14:dir="t">
              <w14:rot w14:lat="0" w14:lon="0" w14:rev="0"/>
            </w14:lightRig>
          </w14:scene3d>
        </w:rPr>
        <w:t>4.2</w:t>
      </w:r>
      <w:r>
        <w:rPr>
          <w:rStyle w:val="32"/>
        </w:rPr>
        <w:t xml:space="preserve"> 地震灾害隐患指数</w:t>
      </w:r>
      <w:r>
        <w:tab/>
      </w:r>
      <w:r>
        <w:fldChar w:fldCharType="begin"/>
      </w:r>
      <w:r>
        <w:instrText xml:space="preserve"> PAGEREF _Toc162254696 \h </w:instrText>
      </w:r>
      <w:r>
        <w:fldChar w:fldCharType="separate"/>
      </w:r>
      <w:r>
        <w:t>4</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"_Toc162254697" </w:instrText>
      </w:r>
      <w:r>
        <w:fldChar w:fldCharType="separate"/>
      </w:r>
      <w:r>
        <w:rPr>
          <w:rStyle w:val="32"/>
          <w14:scene3d>
            <w14:lightRig w14:rig="threePt" w14:dir="t">
              <w14:rot w14:lat="0" w14:lon="0" w14:rev="0"/>
            </w14:lightRig>
          </w14:scene3d>
        </w:rPr>
        <w:t>4.3</w:t>
      </w:r>
      <w:r>
        <w:rPr>
          <w:rStyle w:val="32"/>
        </w:rPr>
        <w:t xml:space="preserve"> 承灾体破坏后果影响系数</w:t>
      </w:r>
      <w:r>
        <w:tab/>
      </w:r>
      <w:r>
        <w:fldChar w:fldCharType="begin"/>
      </w:r>
      <w:r>
        <w:instrText xml:space="preserve"> PAGEREF _Toc162254697 \h </w:instrText>
      </w:r>
      <w:r>
        <w:fldChar w:fldCharType="separate"/>
      </w:r>
      <w:r>
        <w:t>5</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"_Toc162254698" </w:instrText>
      </w:r>
      <w:r>
        <w:fldChar w:fldCharType="separate"/>
      </w:r>
      <w:r>
        <w:rPr>
          <w:rStyle w:val="32"/>
          <w14:scene3d>
            <w14:lightRig w14:rig="threePt" w14:dir="t">
              <w14:rot w14:lat="0" w14:lon="0" w14:rev="0"/>
            </w14:lightRig>
          </w14:scene3d>
        </w:rPr>
        <w:t>4.4</w:t>
      </w:r>
      <w:r>
        <w:rPr>
          <w:rStyle w:val="32"/>
        </w:rPr>
        <w:t xml:space="preserve"> 承灾体场址影响系数</w:t>
      </w:r>
      <w:r>
        <w:tab/>
      </w:r>
      <w:r>
        <w:fldChar w:fldCharType="begin"/>
      </w:r>
      <w:r>
        <w:instrText xml:space="preserve"> PAGEREF _Toc162254698 \h </w:instrText>
      </w:r>
      <w:r>
        <w:fldChar w:fldCharType="separate"/>
      </w:r>
      <w:r>
        <w:t>6</w:t>
      </w:r>
      <w:r>
        <w:fldChar w:fldCharType="end"/>
      </w:r>
      <w:r>
        <w:fldChar w:fldCharType="end"/>
      </w:r>
    </w:p>
    <w:p>
      <w:pPr>
        <w:pStyle w:val="24"/>
        <w:rPr>
          <w:rFonts w:asciiTheme="minorHAnsi" w:hAnsiTheme="minorHAnsi" w:eastAsiaTheme="minorEastAsia" w:cstheme="minorBidi"/>
          <w:sz w:val="22"/>
          <w:szCs w:val="24"/>
          <w14:ligatures w14:val="standardContextual"/>
        </w:rPr>
      </w:pPr>
      <w:r>
        <w:fldChar w:fldCharType="begin"/>
      </w:r>
      <w:r>
        <w:instrText xml:space="preserve"> HYPERLINK \l "_Toc162254699" </w:instrText>
      </w:r>
      <w:r>
        <w:fldChar w:fldCharType="separate"/>
      </w:r>
      <w:r>
        <w:rPr>
          <w:rStyle w:val="32"/>
          <w14:scene3d>
            <w14:lightRig w14:rig="threePt" w14:dir="t">
              <w14:rot w14:lat="0" w14:lon="0" w14:rev="0"/>
            </w14:lightRig>
          </w14:scene3d>
        </w:rPr>
        <w:t>4.5</w:t>
      </w:r>
      <w:r>
        <w:rPr>
          <w:rStyle w:val="32"/>
        </w:rPr>
        <w:t xml:space="preserve"> 承灾体易损性影响系数</w:t>
      </w:r>
      <w:r>
        <w:tab/>
      </w:r>
      <w:r>
        <w:fldChar w:fldCharType="begin"/>
      </w:r>
      <w:r>
        <w:instrText xml:space="preserve"> PAGEREF _Toc162254699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"_Toc162254700" </w:instrText>
      </w:r>
      <w:r>
        <w:fldChar w:fldCharType="separate"/>
      </w:r>
      <w:r>
        <w:rPr>
          <w:rStyle w:val="32"/>
          <w:spacing w:val="105"/>
        </w:rPr>
        <w:t>参考文</w:t>
      </w:r>
      <w:r>
        <w:rPr>
          <w:rStyle w:val="32"/>
        </w:rPr>
        <w:t>献</w:t>
      </w:r>
      <w:r>
        <w:tab/>
      </w:r>
      <w:r>
        <w:fldChar w:fldCharType="begin"/>
      </w:r>
      <w:r>
        <w:instrText xml:space="preserve"> PAGEREF _Toc162254700 \h </w:instrText>
      </w:r>
      <w:r>
        <w:fldChar w:fldCharType="separate"/>
      </w:r>
      <w:r>
        <w:t>9</w:t>
      </w:r>
      <w:r>
        <w:fldChar w:fldCharType="end"/>
      </w:r>
      <w:r>
        <w:fldChar w:fldCharType="end"/>
      </w:r>
    </w:p>
    <w:p>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3" w:name="_Toc162254680"/>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本文件由中国灾害防御协会提出并</w:t>
      </w:r>
      <w:r>
        <w:t>归口</w:t>
      </w:r>
      <w:r>
        <w:rPr>
          <w:rFonts w:hint="eastAsia"/>
        </w:rPr>
        <w:t>。</w:t>
      </w:r>
    </w:p>
    <w:p>
      <w:pPr>
        <w:pStyle w:val="56"/>
        <w:ind w:firstLine="420"/>
      </w:pPr>
      <w:r>
        <w:rPr>
          <w:rFonts w:hint="eastAsia"/>
        </w:rPr>
        <w:t>本文件起草单位：中国地震局工程力学研究所、中国建筑科学研究院有限公司</w:t>
      </w:r>
      <w:r>
        <w:rPr>
          <w:rFonts w:hint="eastAsia"/>
          <w:color w:val="000000" w:themeColor="text1"/>
          <w14:textFill>
            <w14:solidFill>
              <w14:schemeClr w14:val="tx1"/>
            </w14:solidFill>
          </w14:textFill>
        </w:rPr>
        <w:t>。</w:t>
      </w:r>
    </w:p>
    <w:p>
      <w:pPr>
        <w:pStyle w:val="23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p>
    <w:p>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 xml:space="preserve"> </w:t>
      </w:r>
      <w:bookmarkStart w:id="143" w:name="_GoBack"/>
      <w:bookmarkEnd w:id="143"/>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56C1DB8A9B6F434B8402A5718702CB00"/>
        </w:placeholder>
      </w:sdtPr>
      <w:sdtContent>
        <w:p>
          <w:pPr>
            <w:pStyle w:val="177"/>
            <w:spacing w:before="2" w:beforeLines="1" w:after="528" w:afterLines="220"/>
          </w:pPr>
          <w:bookmarkStart w:id="26" w:name="NEW_STAND_NAME"/>
          <w:r>
            <w:rPr>
              <w:rFonts w:hint="eastAsia"/>
            </w:rPr>
            <w:t>建(构)筑物地震灾害隐患等级评定方法</w:t>
          </w:r>
        </w:p>
      </w:sdtContent>
    </w:sdt>
    <w:bookmarkEnd w:id="26"/>
    <w:p>
      <w:pPr>
        <w:pStyle w:val="104"/>
        <w:spacing w:before="240" w:after="240"/>
      </w:pPr>
      <w:bookmarkStart w:id="27" w:name="_Toc26986771"/>
      <w:bookmarkStart w:id="28" w:name="_Toc17233325"/>
      <w:bookmarkStart w:id="29" w:name="_Toc26718930"/>
      <w:bookmarkStart w:id="30" w:name="_Toc97192964"/>
      <w:bookmarkStart w:id="31" w:name="_Toc26648465"/>
      <w:bookmarkStart w:id="32" w:name="_Toc162254681"/>
      <w:bookmarkStart w:id="33" w:name="_Toc26986530"/>
      <w:bookmarkStart w:id="34" w:name="_Toc24884218"/>
      <w:bookmarkStart w:id="35" w:name="_Toc98247995"/>
      <w:bookmarkStart w:id="36" w:name="_Toc17233333"/>
      <w:bookmarkStart w:id="37" w:name="_Toc2488421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6648466"/>
      <w:bookmarkStart w:id="39" w:name="_Toc24884219"/>
      <w:bookmarkStart w:id="40" w:name="_Toc17233326"/>
      <w:bookmarkStart w:id="41" w:name="_Toc17233334"/>
      <w:bookmarkStart w:id="42" w:name="_Toc24884212"/>
      <w:r>
        <w:rPr>
          <w:rFonts w:hint="eastAsia"/>
        </w:rPr>
        <w:t>本文件规定了建(构)筑物地震灾害隐患等级评定的原则和方法。</w:t>
      </w:r>
    </w:p>
    <w:p>
      <w:pPr>
        <w:pStyle w:val="56"/>
        <w:ind w:firstLine="420"/>
      </w:pPr>
      <w:r>
        <w:rPr>
          <w:rFonts w:hint="eastAsia"/>
        </w:rPr>
        <w:t>本文件</w:t>
      </w:r>
      <w:r>
        <w:rPr>
          <w:rFonts w:ascii="Times New Roman"/>
        </w:rPr>
        <w:t>适用于全国自然灾害综合风险普查工程专项工作，以及防震减灾规划、地震灾害</w:t>
      </w:r>
      <w:r>
        <w:rPr>
          <w:rFonts w:hint="eastAsia"/>
        </w:rPr>
        <w:t>预防和地震应急准备等相关工作。</w:t>
      </w:r>
    </w:p>
    <w:p>
      <w:pPr>
        <w:pStyle w:val="104"/>
        <w:spacing w:before="240" w:after="240"/>
      </w:pPr>
      <w:bookmarkStart w:id="43" w:name="_Toc98247996"/>
      <w:bookmarkStart w:id="44" w:name="_Toc26986772"/>
      <w:bookmarkStart w:id="45" w:name="_Toc97192965"/>
      <w:bookmarkStart w:id="46" w:name="_Toc26718931"/>
      <w:bookmarkStart w:id="47" w:name="_Toc162254682"/>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7EADBCC3F89042F2866F4FBB4B7FE4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napToGrid w:val="0"/>
        <w:ind w:left="7" w:firstLine="413"/>
        <w:textAlignment w:val="baseline"/>
        <w:rPr>
          <w:rFonts w:ascii="宋体" w:hAnsi="宋体"/>
        </w:rPr>
      </w:pPr>
      <w:r>
        <w:rPr>
          <w:rFonts w:hint="eastAsia" w:ascii="宋体" w:hAnsi="宋体"/>
        </w:rPr>
        <w:t>GB 18306  中国地震动参数区划图</w:t>
      </w:r>
    </w:p>
    <w:p>
      <w:pPr>
        <w:snapToGrid w:val="0"/>
        <w:ind w:left="7" w:firstLine="413"/>
        <w:textAlignment w:val="baseline"/>
        <w:rPr>
          <w:rFonts w:ascii="宋体" w:hAnsi="宋体"/>
        </w:rPr>
      </w:pPr>
      <w:r>
        <w:rPr>
          <w:rFonts w:hint="eastAsia" w:ascii="宋体" w:hAnsi="宋体"/>
        </w:rPr>
        <w:t>GB 50011  建筑抗震设计规范</w:t>
      </w:r>
    </w:p>
    <w:p>
      <w:pPr>
        <w:snapToGrid w:val="0"/>
        <w:ind w:left="7" w:firstLine="413"/>
        <w:textAlignment w:val="baseline"/>
        <w:rPr>
          <w:rFonts w:ascii="宋体" w:hAnsi="宋体"/>
        </w:rPr>
      </w:pPr>
      <w:r>
        <w:rPr>
          <w:rFonts w:hint="eastAsia" w:ascii="宋体" w:hAnsi="宋体"/>
        </w:rPr>
        <w:t>GB 50223  建筑工程抗震设防分类标准</w:t>
      </w:r>
    </w:p>
    <w:p>
      <w:pPr>
        <w:snapToGrid w:val="0"/>
        <w:ind w:left="7" w:firstLine="413"/>
        <w:textAlignment w:val="baseline"/>
        <w:rPr>
          <w:rFonts w:ascii="宋体" w:hAnsi="宋体"/>
        </w:rPr>
      </w:pPr>
      <w:r>
        <w:rPr>
          <w:rFonts w:hint="eastAsia" w:ascii="宋体" w:hAnsi="宋体"/>
        </w:rPr>
        <w:t>GB 50191  构筑物抗震设计规范</w:t>
      </w:r>
    </w:p>
    <w:p>
      <w:pPr>
        <w:snapToGrid w:val="0"/>
        <w:ind w:left="7" w:firstLine="413"/>
        <w:textAlignment w:val="baseline"/>
        <w:rPr>
          <w:rFonts w:ascii="宋体" w:hAnsi="宋体"/>
        </w:rPr>
      </w:pPr>
      <w:r>
        <w:rPr>
          <w:rFonts w:hint="eastAsia" w:ascii="宋体" w:hAnsi="宋体"/>
        </w:rPr>
        <w:t>GB/T 24335 建（构）筑物地震破坏等级划分</w:t>
      </w:r>
    </w:p>
    <w:p>
      <w:pPr>
        <w:snapToGrid w:val="0"/>
        <w:ind w:left="7" w:firstLine="413"/>
        <w:textAlignment w:val="baseline"/>
        <w:rPr>
          <w:rFonts w:ascii="宋体" w:hAnsi="宋体"/>
        </w:rPr>
      </w:pPr>
      <w:r>
        <w:rPr>
          <w:rFonts w:hint="eastAsia" w:ascii="宋体" w:hAnsi="宋体"/>
        </w:rPr>
        <w:t>GB/T 24336 生命线工程地震破坏等级划分</w:t>
      </w:r>
    </w:p>
    <w:p>
      <w:pPr>
        <w:snapToGrid w:val="0"/>
        <w:ind w:left="7" w:firstLine="413"/>
        <w:textAlignment w:val="baseline"/>
        <w:rPr>
          <w:rFonts w:ascii="宋体" w:hAnsi="宋体"/>
        </w:rPr>
      </w:pPr>
      <w:r>
        <w:rPr>
          <w:rFonts w:hint="eastAsia" w:ascii="宋体" w:hAnsi="宋体"/>
        </w:rPr>
        <w:t>CJJ 166  城市桥梁抗震设计规范</w:t>
      </w:r>
    </w:p>
    <w:p>
      <w:pPr>
        <w:snapToGrid w:val="0"/>
        <w:ind w:left="7" w:firstLine="413"/>
        <w:textAlignment w:val="baseline"/>
        <w:rPr>
          <w:rFonts w:ascii="宋体" w:hAnsi="宋体"/>
        </w:rPr>
      </w:pPr>
      <w:r>
        <w:rPr>
          <w:rFonts w:hint="eastAsia" w:ascii="宋体" w:hAnsi="宋体"/>
        </w:rPr>
        <w:t>GB 50292 民用建筑可靠性鉴定标准</w:t>
      </w:r>
    </w:p>
    <w:p>
      <w:pPr>
        <w:snapToGrid w:val="0"/>
        <w:ind w:left="7" w:firstLine="413"/>
        <w:textAlignment w:val="baseline"/>
        <w:rPr>
          <w:rFonts w:ascii="宋体" w:hAnsi="宋体"/>
        </w:rPr>
      </w:pPr>
      <w:r>
        <w:rPr>
          <w:rFonts w:hint="eastAsia" w:ascii="宋体" w:hAnsi="宋体"/>
        </w:rPr>
        <w:t>GB 50144 工业建筑可靠性鉴定标准</w:t>
      </w:r>
    </w:p>
    <w:bookmarkEnd w:id="25"/>
    <w:p>
      <w:pPr>
        <w:pStyle w:val="104"/>
        <w:spacing w:before="240" w:after="240"/>
      </w:pPr>
      <w:bookmarkStart w:id="49" w:name="_Toc155627127"/>
      <w:bookmarkStart w:id="50" w:name="_Toc97192966"/>
      <w:bookmarkStart w:id="51" w:name="_Toc98247997"/>
      <w:bookmarkStart w:id="52" w:name="_Toc162254683"/>
      <w:bookmarkStart w:id="53" w:name="BookMark5"/>
      <w:r>
        <w:rPr>
          <w:rFonts w:hint="eastAsia"/>
          <w:szCs w:val="21"/>
        </w:rPr>
        <w:t>术语和定义</w:t>
      </w:r>
      <w:bookmarkEnd w:id="49"/>
      <w:bookmarkEnd w:id="50"/>
      <w:bookmarkEnd w:id="51"/>
      <w:bookmarkEnd w:id="52"/>
    </w:p>
    <w:sdt>
      <w:sdtPr>
        <w:id w:val="-1909835108"/>
        <w:placeholder>
          <w:docPart w:val="785C134B969B47A3869191510AE60B1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4" w:name="_Toc26986532"/>
          <w:bookmarkEnd w:id="54"/>
          <w:r>
            <w:t>下列术语和定义适用于本文件。</w:t>
          </w:r>
        </w:p>
      </w:sdtContent>
    </w:sdt>
    <w:p>
      <w:pPr>
        <w:pStyle w:val="105"/>
        <w:spacing w:before="120" w:after="120"/>
        <w:rPr>
          <w:rFonts w:hAnsi="黑体" w:cs="黑体"/>
        </w:rPr>
      </w:pPr>
      <w:bookmarkStart w:id="55" w:name="_Toc98248338"/>
      <w:bookmarkEnd w:id="55"/>
      <w:bookmarkStart w:id="56" w:name="_Toc98247998"/>
      <w:bookmarkEnd w:id="56"/>
      <w:bookmarkStart w:id="57" w:name="_Toc155627128"/>
      <w:bookmarkEnd w:id="57"/>
      <w:bookmarkStart w:id="58" w:name="_Toc103035022"/>
      <w:bookmarkEnd w:id="58"/>
      <w:bookmarkStart w:id="59" w:name="_Toc162254684"/>
      <w:bookmarkEnd w:id="59"/>
      <w:bookmarkStart w:id="60" w:name="_Toc103877725"/>
      <w:bookmarkEnd w:id="60"/>
      <w:bookmarkStart w:id="61" w:name="_Toc103847130"/>
      <w:bookmarkEnd w:id="61"/>
      <w:bookmarkStart w:id="62" w:name="_Toc155602920"/>
      <w:bookmarkEnd w:id="62"/>
    </w:p>
    <w:p>
      <w:pPr>
        <w:pStyle w:val="105"/>
        <w:numPr>
          <w:ilvl w:val="0"/>
          <w:numId w:val="0"/>
        </w:numPr>
        <w:spacing w:before="120" w:after="120"/>
        <w:ind w:firstLine="420" w:firstLineChars="200"/>
        <w:rPr>
          <w:rFonts w:hAnsi="黑体" w:cs="黑体"/>
        </w:rPr>
      </w:pPr>
      <w:bookmarkStart w:id="63" w:name="_Toc155627129"/>
      <w:bookmarkStart w:id="64" w:name="_Toc162254685"/>
      <w:bookmarkStart w:id="65" w:name="_Toc155602921"/>
      <w:r>
        <w:rPr>
          <w:rFonts w:ascii="Times New Roman"/>
        </w:rPr>
        <w:t>地震灾害隐患  potential earthquake hazard</w:t>
      </w:r>
      <w:bookmarkEnd w:id="63"/>
      <w:bookmarkEnd w:id="64"/>
      <w:bookmarkEnd w:id="65"/>
    </w:p>
    <w:p>
      <w:pPr>
        <w:snapToGrid w:val="0"/>
        <w:ind w:firstLine="420" w:firstLineChars="200"/>
        <w:textAlignment w:val="baseline"/>
        <w:rPr>
          <w:rFonts w:ascii="宋体" w:hAnsi="宋体"/>
          <w:color w:val="000000" w:themeColor="text1"/>
          <w14:textFill>
            <w14:solidFill>
              <w14:schemeClr w14:val="tx1"/>
            </w14:solidFill>
          </w14:textFill>
        </w:rPr>
      </w:pPr>
      <w:r>
        <w:rPr>
          <w:rFonts w:hint="eastAsia" w:ascii="Times New Roman"/>
        </w:rPr>
        <w:t>在遭受地震破坏时可能造成人员伤亡、经济损失，引起次生灾害或影响社会经济运行的</w:t>
      </w:r>
      <w:bookmarkStart w:id="66" w:name="_Toc103877727"/>
      <w:bookmarkEnd w:id="66"/>
      <w:bookmarkStart w:id="67" w:name="_Toc98248000"/>
      <w:bookmarkEnd w:id="67"/>
      <w:bookmarkStart w:id="68" w:name="_Toc98248340"/>
      <w:bookmarkEnd w:id="68"/>
      <w:bookmarkStart w:id="69" w:name="_Toc103035026"/>
      <w:bookmarkEnd w:id="69"/>
      <w:bookmarkStart w:id="70" w:name="_Toc103847132"/>
      <w:bookmarkEnd w:id="70"/>
      <w:bookmarkStart w:id="71" w:name="_Toc103035024"/>
      <w:bookmarkEnd w:id="71"/>
      <w:r>
        <w:rPr>
          <w:rFonts w:hint="eastAsia" w:ascii="宋体" w:hAnsi="宋体" w:cs="黑体"/>
          <w:color w:val="000000" w:themeColor="text1"/>
          <w14:textFill>
            <w14:solidFill>
              <w14:schemeClr w14:val="tx1"/>
            </w14:solidFill>
          </w14:textFill>
        </w:rPr>
        <w:t>潜在可能。</w:t>
      </w:r>
    </w:p>
    <w:p>
      <w:pPr>
        <w:pStyle w:val="105"/>
        <w:spacing w:before="120" w:after="120"/>
      </w:pPr>
      <w:bookmarkStart w:id="72" w:name="_Toc155627130"/>
      <w:bookmarkEnd w:id="72"/>
      <w:bookmarkStart w:id="73" w:name="_Toc155602922"/>
      <w:bookmarkEnd w:id="73"/>
      <w:bookmarkStart w:id="74" w:name="_Toc162254686"/>
      <w:bookmarkEnd w:id="74"/>
    </w:p>
    <w:p>
      <w:pPr>
        <w:pStyle w:val="105"/>
        <w:numPr>
          <w:ilvl w:val="0"/>
          <w:numId w:val="0"/>
        </w:numPr>
        <w:spacing w:before="120" w:after="120"/>
        <w:ind w:firstLine="420" w:firstLineChars="200"/>
      </w:pPr>
      <w:bookmarkStart w:id="75" w:name="_Toc155602923"/>
      <w:bookmarkStart w:id="76" w:name="_Toc155627131"/>
      <w:bookmarkStart w:id="77" w:name="_Toc162254687"/>
      <w:r>
        <w:rPr>
          <w:rFonts w:hint="eastAsia"/>
        </w:rPr>
        <w:t>承灾体</w:t>
      </w:r>
      <w:bookmarkEnd w:id="75"/>
      <w:bookmarkEnd w:id="76"/>
      <w:r>
        <w:rPr>
          <w:rFonts w:hint="eastAsia"/>
        </w:rPr>
        <w:t xml:space="preserve"> </w:t>
      </w:r>
      <w:r>
        <w:t xml:space="preserve"> </w:t>
      </w:r>
      <w:r>
        <w:rPr>
          <w:rFonts w:ascii="Times New Roman"/>
        </w:rPr>
        <w:t>exposure</w:t>
      </w:r>
      <w:bookmarkEnd w:id="77"/>
    </w:p>
    <w:p>
      <w:pPr>
        <w:pStyle w:val="230"/>
        <w:spacing w:after="163"/>
        <w:rPr>
          <w:rFonts w:ascii="Times New Roman"/>
        </w:rPr>
      </w:pPr>
      <w:r>
        <w:rPr>
          <w:rFonts w:ascii="Times New Roman"/>
        </w:rPr>
        <w:t>是指</w:t>
      </w:r>
      <w:r>
        <w:rPr>
          <w:rFonts w:hint="eastAsia" w:ascii="Times New Roman"/>
        </w:rPr>
        <w:t>地震</w:t>
      </w:r>
      <w:r>
        <w:rPr>
          <w:rFonts w:ascii="Times New Roman"/>
        </w:rPr>
        <w:t>直接</w:t>
      </w:r>
      <w:r>
        <w:rPr>
          <w:rFonts w:hint="eastAsia" w:ascii="Times New Roman"/>
        </w:rPr>
        <w:t>作用下可能造成</w:t>
      </w:r>
      <w:r>
        <w:rPr>
          <w:rFonts w:ascii="Times New Roman"/>
        </w:rPr>
        <w:t>地震灾害或次生灾害的各类</w:t>
      </w:r>
      <w:r>
        <w:rPr>
          <w:rFonts w:hint="eastAsia" w:ascii="Times New Roman"/>
        </w:rPr>
        <w:t>建（构）筑物</w:t>
      </w:r>
      <w:r>
        <w:rPr>
          <w:rFonts w:ascii="Times New Roman"/>
        </w:rPr>
        <w:t>。</w:t>
      </w:r>
    </w:p>
    <w:p>
      <w:pPr>
        <w:pStyle w:val="105"/>
        <w:spacing w:before="120" w:after="120"/>
      </w:pPr>
      <w:bookmarkStart w:id="78" w:name="_Toc98248002"/>
      <w:bookmarkEnd w:id="78"/>
      <w:bookmarkStart w:id="79" w:name="_Toc103847134"/>
      <w:bookmarkEnd w:id="79"/>
      <w:bookmarkStart w:id="80" w:name="_Toc155627132"/>
      <w:bookmarkEnd w:id="80"/>
      <w:bookmarkStart w:id="81" w:name="_Toc162254688"/>
      <w:bookmarkEnd w:id="81"/>
      <w:bookmarkStart w:id="82" w:name="_Toc103035028"/>
      <w:bookmarkEnd w:id="82"/>
      <w:bookmarkStart w:id="83" w:name="_Toc98248342"/>
      <w:bookmarkEnd w:id="83"/>
      <w:bookmarkStart w:id="84" w:name="_Toc103877729"/>
      <w:bookmarkEnd w:id="84"/>
      <w:bookmarkStart w:id="85" w:name="_Toc155602924"/>
      <w:bookmarkEnd w:id="85"/>
    </w:p>
    <w:p>
      <w:pPr>
        <w:pStyle w:val="105"/>
        <w:numPr>
          <w:ilvl w:val="0"/>
          <w:numId w:val="0"/>
        </w:numPr>
        <w:spacing w:before="120" w:after="120"/>
        <w:ind w:firstLine="420" w:firstLineChars="200"/>
      </w:pPr>
      <w:bookmarkStart w:id="86" w:name="_Toc155627133"/>
      <w:bookmarkStart w:id="87" w:name="_Toc155602925"/>
      <w:bookmarkStart w:id="88" w:name="_Toc162254689"/>
      <w:r>
        <w:rPr>
          <w:rFonts w:ascii="Times New Roman"/>
        </w:rPr>
        <w:t>承灾体病害</w:t>
      </w:r>
      <w:r>
        <w:rPr>
          <w:rFonts w:hint="eastAsia" w:ascii="Times New Roman"/>
        </w:rPr>
        <w:t xml:space="preserve"> </w:t>
      </w:r>
      <w:r>
        <w:rPr>
          <w:rFonts w:ascii="Times New Roman"/>
        </w:rPr>
        <w:t xml:space="preserve"> existing damage of exposure</w:t>
      </w:r>
      <w:bookmarkEnd w:id="86"/>
      <w:bookmarkEnd w:id="87"/>
      <w:bookmarkEnd w:id="88"/>
    </w:p>
    <w:p>
      <w:pPr>
        <w:pStyle w:val="230"/>
        <w:spacing w:after="163"/>
        <w:rPr>
          <w:rFonts w:ascii="Times New Roman"/>
        </w:rPr>
      </w:pPr>
      <w:r>
        <w:rPr>
          <w:rFonts w:ascii="Times New Roman"/>
        </w:rPr>
        <w:t>是指日常使用过程中存在的各类影响承灾体安全性或正常使用状态的破坏或不稳定现</w:t>
      </w:r>
      <w:bookmarkStart w:id="89" w:name="_Toc103847136"/>
      <w:bookmarkEnd w:id="89"/>
      <w:bookmarkStart w:id="90" w:name="_Toc98248004"/>
      <w:bookmarkEnd w:id="90"/>
      <w:bookmarkStart w:id="91" w:name="_Toc103877731"/>
      <w:bookmarkEnd w:id="91"/>
      <w:bookmarkStart w:id="92" w:name="_Toc98248344"/>
      <w:bookmarkEnd w:id="92"/>
      <w:bookmarkStart w:id="93" w:name="_Toc103035030"/>
      <w:bookmarkEnd w:id="93"/>
      <w:r>
        <w:rPr>
          <w:rFonts w:ascii="Times New Roman"/>
        </w:rPr>
        <w:t>象，主要包括承灾体结构整体或局部倾斜、变形、裂缝，结构构件或</w:t>
      </w:r>
      <w:r>
        <w:rPr>
          <w:rFonts w:hint="eastAsia" w:ascii="Times New Roman"/>
        </w:rPr>
        <w:t>非结构</w:t>
      </w:r>
      <w:r>
        <w:rPr>
          <w:rFonts w:ascii="Times New Roman"/>
        </w:rPr>
        <w:t>部件松动、脱落，保护层剥落、锈蚀等。</w:t>
      </w:r>
    </w:p>
    <w:p>
      <w:pPr>
        <w:pStyle w:val="105"/>
        <w:spacing w:before="120" w:after="120"/>
      </w:pPr>
      <w:bookmarkStart w:id="94" w:name="_Toc98248346"/>
      <w:bookmarkEnd w:id="94"/>
      <w:bookmarkStart w:id="95" w:name="_Toc98248006"/>
      <w:bookmarkEnd w:id="95"/>
      <w:bookmarkStart w:id="96" w:name="_Toc103847138"/>
      <w:bookmarkEnd w:id="96"/>
      <w:bookmarkStart w:id="97" w:name="_Toc162254690"/>
      <w:bookmarkEnd w:id="97"/>
      <w:bookmarkStart w:id="98" w:name="_Toc155602926"/>
      <w:bookmarkEnd w:id="98"/>
      <w:bookmarkStart w:id="99" w:name="_Toc103035032"/>
      <w:bookmarkEnd w:id="99"/>
      <w:bookmarkStart w:id="100" w:name="_Toc103877733"/>
      <w:bookmarkEnd w:id="100"/>
      <w:bookmarkStart w:id="101" w:name="_Toc155627134"/>
      <w:bookmarkEnd w:id="101"/>
    </w:p>
    <w:p>
      <w:pPr>
        <w:pStyle w:val="105"/>
        <w:numPr>
          <w:ilvl w:val="0"/>
          <w:numId w:val="0"/>
        </w:numPr>
        <w:spacing w:before="120" w:after="120"/>
        <w:ind w:firstLine="420" w:firstLineChars="200"/>
      </w:pPr>
      <w:bookmarkStart w:id="102" w:name="_Toc155602927"/>
      <w:bookmarkStart w:id="103" w:name="_Toc155627135"/>
      <w:bookmarkStart w:id="104" w:name="_Toc162254691"/>
      <w:r>
        <w:rPr>
          <w:rFonts w:hint="eastAsia" w:ascii="Times New Roman"/>
        </w:rPr>
        <w:t>承重构件</w:t>
      </w:r>
      <w:r>
        <w:rPr>
          <w:rFonts w:ascii="Times New Roman"/>
        </w:rPr>
        <w:t xml:space="preserve">  </w:t>
      </w:r>
      <w:r>
        <w:rPr>
          <w:rFonts w:hint="eastAsia" w:ascii="Times New Roman"/>
        </w:rPr>
        <w:t>structural</w:t>
      </w:r>
      <w:r>
        <w:rPr>
          <w:rFonts w:ascii="Times New Roman"/>
        </w:rPr>
        <w:t xml:space="preserve"> </w:t>
      </w:r>
      <w:r>
        <w:rPr>
          <w:rFonts w:hint="eastAsia" w:ascii="Times New Roman"/>
        </w:rPr>
        <w:t>member</w:t>
      </w:r>
      <w:bookmarkEnd w:id="102"/>
      <w:bookmarkEnd w:id="103"/>
      <w:bookmarkEnd w:id="104"/>
    </w:p>
    <w:p>
      <w:pPr>
        <w:pStyle w:val="230"/>
        <w:spacing w:after="163"/>
        <w:rPr>
          <w:rFonts w:ascii="Times New Roman"/>
        </w:rPr>
      </w:pPr>
      <w:r>
        <w:rPr>
          <w:rFonts w:hint="eastAsia" w:ascii="Times New Roman"/>
        </w:rPr>
        <w:t>是指以承受结构体系的竖向和侧向荷载（如地震荷载）为主的构件。</w:t>
      </w:r>
    </w:p>
    <w:p>
      <w:pPr>
        <w:pStyle w:val="105"/>
        <w:spacing w:before="120" w:after="120"/>
        <w:rPr>
          <w:rFonts w:ascii="Times New Roman"/>
        </w:rPr>
      </w:pPr>
      <w:bookmarkStart w:id="105" w:name="_Toc155627136"/>
      <w:bookmarkEnd w:id="105"/>
      <w:bookmarkStart w:id="106" w:name="_Toc155602928"/>
      <w:bookmarkEnd w:id="106"/>
      <w:bookmarkStart w:id="107" w:name="_Toc98248348"/>
      <w:bookmarkEnd w:id="107"/>
      <w:bookmarkStart w:id="108" w:name="_Toc98248008"/>
      <w:bookmarkEnd w:id="108"/>
      <w:bookmarkStart w:id="109" w:name="_Toc103847140"/>
      <w:bookmarkEnd w:id="109"/>
      <w:bookmarkStart w:id="110" w:name="_Toc103035034"/>
      <w:bookmarkEnd w:id="110"/>
      <w:bookmarkStart w:id="111" w:name="_Toc103877735"/>
      <w:bookmarkEnd w:id="111"/>
      <w:bookmarkStart w:id="112" w:name="_Toc162254692"/>
      <w:bookmarkEnd w:id="112"/>
    </w:p>
    <w:p>
      <w:pPr>
        <w:pStyle w:val="105"/>
        <w:numPr>
          <w:ilvl w:val="0"/>
          <w:numId w:val="0"/>
        </w:numPr>
        <w:spacing w:before="120" w:after="120"/>
        <w:ind w:firstLine="420" w:firstLineChars="200"/>
        <w:rPr>
          <w:rFonts w:ascii="Times New Roman"/>
        </w:rPr>
      </w:pPr>
      <w:bookmarkStart w:id="113" w:name="_Toc155602929"/>
      <w:bookmarkStart w:id="114" w:name="_Toc162254693"/>
      <w:bookmarkStart w:id="115" w:name="_Toc155627137"/>
      <w:r>
        <w:rPr>
          <w:rFonts w:hint="eastAsia" w:ascii="Times New Roman"/>
        </w:rPr>
        <w:t xml:space="preserve">非承重构件 </w:t>
      </w:r>
      <w:r>
        <w:rPr>
          <w:rFonts w:ascii="Times New Roman"/>
        </w:rPr>
        <w:t xml:space="preserve"> </w:t>
      </w:r>
      <w:r>
        <w:rPr>
          <w:rFonts w:hint="eastAsia" w:ascii="Times New Roman"/>
        </w:rPr>
        <w:t>non</w:t>
      </w:r>
      <w:r>
        <w:rPr>
          <w:rFonts w:ascii="Times New Roman"/>
        </w:rPr>
        <w:t>-</w:t>
      </w:r>
      <w:r>
        <w:rPr>
          <w:rFonts w:hint="eastAsia" w:ascii="Times New Roman"/>
        </w:rPr>
        <w:t>structural</w:t>
      </w:r>
      <w:r>
        <w:rPr>
          <w:rFonts w:ascii="Times New Roman"/>
        </w:rPr>
        <w:t xml:space="preserve"> </w:t>
      </w:r>
      <w:r>
        <w:rPr>
          <w:rFonts w:hint="eastAsia" w:ascii="Times New Roman"/>
        </w:rPr>
        <w:t>component</w:t>
      </w:r>
      <w:bookmarkEnd w:id="113"/>
      <w:bookmarkEnd w:id="114"/>
      <w:bookmarkEnd w:id="115"/>
    </w:p>
    <w:p>
      <w:pPr>
        <w:pStyle w:val="56"/>
        <w:ind w:firstLine="420"/>
        <w:rPr>
          <w:rFonts w:ascii="Times New Roman"/>
        </w:rPr>
      </w:pPr>
      <w:r>
        <w:rPr>
          <w:rFonts w:hint="eastAsia" w:ascii="Times New Roman"/>
        </w:rPr>
        <w:t>是指不承受结构体系荷载的构件，如（框架结构、钢筋混凝土柱厂房的）围护墙、自承重墙，女儿墙、装饰设备等。</w:t>
      </w:r>
    </w:p>
    <w:p>
      <w:pPr>
        <w:pStyle w:val="230"/>
        <w:spacing w:after="163"/>
        <w:rPr>
          <w:rFonts w:ascii="Times New Roman"/>
        </w:rPr>
      </w:pPr>
      <w:r>
        <w:rPr>
          <w:rFonts w:hint="eastAsia" w:ascii="Times New Roman"/>
        </w:rPr>
        <w:t>引自GB</w:t>
      </w:r>
      <w:r>
        <w:rPr>
          <w:rFonts w:ascii="Times New Roman"/>
        </w:rPr>
        <w:t>/T 24335-2009</w:t>
      </w:r>
      <w:r>
        <w:rPr>
          <w:rFonts w:hint="eastAsia" w:ascii="Times New Roman"/>
        </w:rPr>
        <w:t>。</w:t>
      </w:r>
    </w:p>
    <w:p>
      <w:pPr>
        <w:pStyle w:val="104"/>
        <w:spacing w:before="240" w:after="240"/>
      </w:pPr>
      <w:bookmarkStart w:id="116" w:name="_Toc155627138"/>
      <w:bookmarkStart w:id="117" w:name="_Toc162254694"/>
      <w:r>
        <w:rPr>
          <w:rFonts w:hint="eastAsia"/>
        </w:rPr>
        <w:t>地震灾害隐患等级评定方法</w:t>
      </w:r>
      <w:bookmarkEnd w:id="116"/>
      <w:bookmarkEnd w:id="117"/>
    </w:p>
    <w:p>
      <w:pPr>
        <w:pStyle w:val="56"/>
        <w:ind w:firstLine="420"/>
      </w:pPr>
      <w:r>
        <w:rPr>
          <w:rFonts w:hint="eastAsia"/>
        </w:rPr>
        <w:t>地震灾害隐患应由轻到重划分为三个等级，即：轻微、一般、重点。</w:t>
      </w:r>
    </w:p>
    <w:p>
      <w:pPr>
        <w:pStyle w:val="105"/>
        <w:spacing w:before="120" w:after="120"/>
      </w:pPr>
      <w:bookmarkStart w:id="118" w:name="_Toc162254695"/>
      <w:bookmarkStart w:id="119" w:name="_Toc155627139"/>
      <w:r>
        <w:rPr>
          <w:rFonts w:hint="eastAsia"/>
        </w:rPr>
        <w:t>地震灾害隐患等级</w:t>
      </w:r>
      <w:bookmarkEnd w:id="118"/>
      <w:bookmarkEnd w:id="119"/>
    </w:p>
    <w:p>
      <w:pPr>
        <w:pStyle w:val="165"/>
        <w:ind w:left="0"/>
      </w:pPr>
      <w:r>
        <w:rPr>
          <w:rFonts w:hint="eastAsia"/>
        </w:rPr>
        <w:t>承灾体单体地震灾害隐患等级</w:t>
      </w:r>
    </w:p>
    <w:p>
      <w:pPr>
        <w:pStyle w:val="165"/>
        <w:numPr>
          <w:ilvl w:val="0"/>
          <w:numId w:val="0"/>
        </w:numPr>
        <w:ind w:firstLine="420" w:firstLineChars="200"/>
        <w:rPr>
          <w:rFonts w:ascii="Times New Roman"/>
        </w:rPr>
      </w:pPr>
      <w:r>
        <w:rPr>
          <w:rFonts w:hint="eastAsia"/>
        </w:rPr>
        <w:t>承灾体单体的地震灾害隐患等级由轻到重划分为三个等级，应按表</w:t>
      </w:r>
      <w:r>
        <w:rPr>
          <w:rFonts w:ascii="Times New Roman"/>
        </w:rPr>
        <w:t>4.1.1</w:t>
      </w:r>
      <w:r>
        <w:rPr>
          <w:rFonts w:hint="eastAsia"/>
        </w:rPr>
        <w:t>确定，其中的隐</w:t>
      </w:r>
      <w:r>
        <w:rPr>
          <w:rFonts w:ascii="Times New Roman"/>
        </w:rPr>
        <w:t>患指数按第4.2.1条确定。</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 xml:space="preserve">4.1.1 </w:t>
      </w:r>
      <w:r>
        <w:rPr>
          <w:rFonts w:hAnsi="Times New Roman" w:eastAsia="黑体"/>
        </w:rPr>
        <w:t>承灾体</w:t>
      </w:r>
      <w:r>
        <w:rPr>
          <w:rFonts w:hint="eastAsia" w:hAnsi="Times New Roman" w:eastAsia="黑体"/>
        </w:rPr>
        <w:t>单体</w:t>
      </w:r>
      <w:r>
        <w:rPr>
          <w:rFonts w:hAnsi="Times New Roman" w:eastAsia="黑体"/>
        </w:rPr>
        <w:t>的地震灾害隐患等级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4"/>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pct"/>
            <w:vAlign w:val="center"/>
          </w:tcPr>
          <w:p>
            <w:pPr>
              <w:overflowPunct w:val="0"/>
              <w:snapToGrid w:val="0"/>
              <w:jc w:val="center"/>
              <w:rPr>
                <w:rFonts w:hAnsi="Times New Roman"/>
              </w:rPr>
            </w:pPr>
            <w:r>
              <w:rPr>
                <w:rFonts w:hAnsi="Times New Roman"/>
              </w:rPr>
              <w:t>隐患等级</w:t>
            </w:r>
          </w:p>
        </w:tc>
        <w:tc>
          <w:tcPr>
            <w:tcW w:w="2882" w:type="pct"/>
            <w:vAlign w:val="center"/>
          </w:tcPr>
          <w:p>
            <w:pPr>
              <w:overflowPunct w:val="0"/>
              <w:snapToGrid w:val="0"/>
              <w:jc w:val="center"/>
              <w:rPr>
                <w:rFonts w:hAnsi="Times New Roman"/>
              </w:rPr>
            </w:pPr>
            <w:r>
              <w:rPr>
                <w:rFonts w:hint="eastAsia" w:hAnsi="Times New Roman"/>
              </w:rPr>
              <w:t>承灾体地震灾害</w:t>
            </w:r>
            <w:r>
              <w:rPr>
                <w:rFonts w:hAnsi="Times New Roman"/>
              </w:rPr>
              <w:t>隐患指数</w:t>
            </w:r>
            <m:oMath>
              <m:sSub>
                <m:sSubPr>
                  <m:ctrlPr>
                    <w:rPr>
                      <w:rFonts w:ascii="Cambria Math" w:hAnsi="Cambria Math"/>
                      <w:i/>
                      <w:iCs/>
                    </w:rPr>
                  </m:ctrlPr>
                </m:sSubPr>
                <m:e>
                  <m:r>
                    <m:rPr/>
                    <w:rPr>
                      <w:rFonts w:ascii="Cambria Math" w:hAnsi="Cambria Math"/>
                    </w:rPr>
                    <m:t>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m:t>
                  </m:r>
                  <m:ctrlPr>
                    <w:rPr>
                      <w:rFonts w:ascii="Cambria Math" w:hAnsi="Cambria Math"/>
                      <w:i/>
                      <w:iCs/>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pct"/>
            <w:vAlign w:val="center"/>
          </w:tcPr>
          <w:p>
            <w:pPr>
              <w:overflowPunct w:val="0"/>
              <w:snapToGrid w:val="0"/>
              <w:jc w:val="center"/>
              <w:rPr>
                <w:rFonts w:hAnsi="Times New Roman"/>
              </w:rPr>
            </w:pPr>
            <w:r>
              <w:rPr>
                <w:rFonts w:hAnsi="Times New Roman"/>
              </w:rPr>
              <w:t>轻微</w:t>
            </w:r>
          </w:p>
        </w:tc>
        <w:tc>
          <w:tcPr>
            <w:tcW w:w="2882" w:type="pct"/>
            <w:vAlign w:val="center"/>
          </w:tcPr>
          <w:p>
            <w:pPr>
              <w:overflowPunct w:val="0"/>
              <w:snapToGrid w:val="0"/>
              <w:jc w:val="center"/>
              <w:rPr>
                <w:rFonts w:ascii="Times New Roman" w:hAnsi="Times New Roman"/>
              </w:rPr>
            </w:pPr>
            <w:r>
              <w:rPr>
                <w:rFonts w:ascii="Times New Roman" w:hAnsi="Times New Roman"/>
              </w:rPr>
              <w:t>(0.25,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pct"/>
            <w:vAlign w:val="center"/>
          </w:tcPr>
          <w:p>
            <w:pPr>
              <w:overflowPunct w:val="0"/>
              <w:snapToGrid w:val="0"/>
              <w:jc w:val="center"/>
              <w:rPr>
                <w:rFonts w:hAnsi="Times New Roman"/>
              </w:rPr>
            </w:pPr>
            <w:r>
              <w:rPr>
                <w:rFonts w:hAnsi="Times New Roman"/>
              </w:rPr>
              <w:t>一般</w:t>
            </w:r>
          </w:p>
        </w:tc>
        <w:tc>
          <w:tcPr>
            <w:tcW w:w="2882" w:type="pct"/>
            <w:vAlign w:val="center"/>
          </w:tcPr>
          <w:p>
            <w:pPr>
              <w:overflowPunct w:val="0"/>
              <w:snapToGrid w:val="0"/>
              <w:jc w:val="center"/>
              <w:rPr>
                <w:rFonts w:ascii="Times New Roman" w:hAnsi="Times New Roman"/>
              </w:rPr>
            </w:pPr>
            <w:r>
              <w:rPr>
                <w:rFonts w:ascii="Times New Roman" w:hAnsi="Times New Roman"/>
              </w:rPr>
              <w:t>(0.075,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pct"/>
            <w:vAlign w:val="center"/>
          </w:tcPr>
          <w:p>
            <w:pPr>
              <w:overflowPunct w:val="0"/>
              <w:snapToGrid w:val="0"/>
              <w:jc w:val="center"/>
              <w:rPr>
                <w:rFonts w:hAnsi="Times New Roman"/>
              </w:rPr>
            </w:pPr>
            <w:r>
              <w:rPr>
                <w:rFonts w:hAnsi="Times New Roman"/>
              </w:rPr>
              <w:t>重点</w:t>
            </w:r>
          </w:p>
        </w:tc>
        <w:tc>
          <w:tcPr>
            <w:tcW w:w="2882" w:type="pct"/>
            <w:vAlign w:val="center"/>
          </w:tcPr>
          <w:p>
            <w:pPr>
              <w:overflowPunct w:val="0"/>
              <w:snapToGrid w:val="0"/>
              <w:jc w:val="center"/>
              <w:rPr>
                <w:rFonts w:ascii="Times New Roman" w:hAnsi="Times New Roman"/>
              </w:rPr>
            </w:pPr>
            <w:r>
              <w:rPr>
                <w:rFonts w:ascii="Times New Roman" w:hAnsi="Times New Roman"/>
              </w:rPr>
              <w:t>(0, 0.075]</w:t>
            </w:r>
          </w:p>
        </w:tc>
      </w:tr>
    </w:tbl>
    <w:p>
      <w:pPr>
        <w:pStyle w:val="165"/>
        <w:ind w:left="0"/>
      </w:pPr>
      <w:r>
        <w:rPr>
          <w:rFonts w:ascii="Times New Roman"/>
        </w:rPr>
        <w:t>区域</w:t>
      </w:r>
      <w:r>
        <w:rPr>
          <w:rFonts w:hint="eastAsia" w:ascii="Times New Roman"/>
        </w:rPr>
        <w:t>分类</w:t>
      </w:r>
      <w:r>
        <w:rPr>
          <w:rFonts w:ascii="Times New Roman"/>
        </w:rPr>
        <w:t>地震灾害隐患等级</w:t>
      </w:r>
    </w:p>
    <w:p>
      <w:pPr>
        <w:pStyle w:val="165"/>
        <w:numPr>
          <w:ilvl w:val="0"/>
          <w:numId w:val="0"/>
        </w:numPr>
        <w:ind w:firstLine="420" w:firstLineChars="200"/>
      </w:pPr>
      <w:r>
        <w:rPr>
          <w:rFonts w:hint="eastAsia"/>
        </w:rPr>
        <w:t>区域分类地震灾害隐患等级的确定，应按同一行政区内不同隐患等级的分类型承灾体数量在本地区所有各类承灾体总数中的占比计算，按照区域内承灾体所属类型进行分类评估。区域分类地震灾害隐患等级应按表</w:t>
      </w:r>
      <w:r>
        <w:rPr>
          <w:rFonts w:ascii="Times New Roman"/>
        </w:rPr>
        <w:t>4.1.2</w:t>
      </w:r>
      <w:r>
        <w:rPr>
          <w:rFonts w:hint="eastAsia"/>
        </w:rPr>
        <w:t>确定，其中的隐患指数按第</w:t>
      </w:r>
      <w:r>
        <w:rPr>
          <w:rFonts w:ascii="Times New Roman"/>
        </w:rPr>
        <w:t>4.2.2</w:t>
      </w:r>
      <w:r>
        <w:rPr>
          <w:rFonts w:hint="eastAsia"/>
        </w:rPr>
        <w:t>条确定。</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4.1.2</w:t>
      </w:r>
      <w:r>
        <w:rPr>
          <w:rFonts w:hAnsi="Times New Roman" w:eastAsia="黑体"/>
        </w:rPr>
        <w:t xml:space="preserve"> 区域</w:t>
      </w:r>
      <w:r>
        <w:rPr>
          <w:rFonts w:hint="eastAsia" w:hAnsi="Times New Roman" w:eastAsia="黑体"/>
        </w:rPr>
        <w:t>分类</w:t>
      </w:r>
      <w:r>
        <w:rPr>
          <w:rFonts w:hAnsi="Times New Roman" w:eastAsia="黑体"/>
        </w:rPr>
        <w:t>地震灾害隐患等级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pct"/>
            <w:vAlign w:val="center"/>
          </w:tcPr>
          <w:p>
            <w:pPr>
              <w:overflowPunct w:val="0"/>
              <w:snapToGrid w:val="0"/>
              <w:jc w:val="center"/>
              <w:rPr>
                <w:rFonts w:hAnsi="Times New Roman"/>
              </w:rPr>
            </w:pPr>
            <w:r>
              <w:rPr>
                <w:rFonts w:hAnsi="Times New Roman"/>
              </w:rPr>
              <w:t>隐患等级</w:t>
            </w:r>
          </w:p>
        </w:tc>
        <w:tc>
          <w:tcPr>
            <w:tcW w:w="3123" w:type="pct"/>
            <w:vAlign w:val="center"/>
          </w:tcPr>
          <w:p>
            <w:pPr>
              <w:overflowPunct w:val="0"/>
              <w:snapToGrid w:val="0"/>
              <w:jc w:val="center"/>
              <w:rPr>
                <w:rFonts w:hAnsi="Times New Roman"/>
              </w:rPr>
            </w:pPr>
            <w:r>
              <w:rPr>
                <w:rFonts w:hint="eastAsia" w:hAnsi="Times New Roman"/>
              </w:rPr>
              <w:t>区域分类地震灾害</w:t>
            </w:r>
            <w:r>
              <w:rPr>
                <w:rFonts w:hAnsi="Times New Roman"/>
              </w:rPr>
              <w:t>隐患</w:t>
            </w:r>
            <w:r>
              <w:rPr>
                <w:rFonts w:hint="eastAsia" w:hAnsi="Times New Roman"/>
              </w:rPr>
              <w:t>指数</w:t>
            </w:r>
            <m:oMath>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m:t>
                  </m:r>
                  <m:ctrlPr>
                    <w:rPr>
                      <w:rFonts w:ascii="Cambria Math" w:hAnsi="Cambria Math"/>
                      <w:i/>
                      <w:iCs/>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pct"/>
            <w:vAlign w:val="center"/>
          </w:tcPr>
          <w:p>
            <w:pPr>
              <w:overflowPunct w:val="0"/>
              <w:snapToGrid w:val="0"/>
              <w:jc w:val="center"/>
              <w:rPr>
                <w:rFonts w:hAnsi="Times New Roman"/>
              </w:rPr>
            </w:pPr>
            <w:r>
              <w:rPr>
                <w:rFonts w:hAnsi="Times New Roman"/>
              </w:rPr>
              <w:t>轻微</w:t>
            </w:r>
          </w:p>
        </w:tc>
        <w:tc>
          <w:tcPr>
            <w:tcW w:w="3123" w:type="pct"/>
            <w:vAlign w:val="center"/>
          </w:tcPr>
          <w:p>
            <w:pPr>
              <w:overflowPunct w:val="0"/>
              <w:snapToGrid w:val="0"/>
              <w:jc w:val="center"/>
              <w:rPr>
                <w:rFonts w:hAnsi="Times New Roman"/>
                <w:i/>
              </w:rPr>
            </w:pPr>
            <m:oMath>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≤0.01</m:t>
              </m:r>
            </m:oMath>
            <w:r>
              <w:rPr>
                <w:rFonts w:hAnsi="Times New Roman"/>
                <w:iCs/>
              </w:rPr>
              <w:t>和</w:t>
            </w:r>
            <m:oMath>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H2</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≤0.1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pct"/>
            <w:vAlign w:val="center"/>
          </w:tcPr>
          <w:p>
            <w:pPr>
              <w:overflowPunct w:val="0"/>
              <w:snapToGrid w:val="0"/>
              <w:jc w:val="center"/>
              <w:rPr>
                <w:rFonts w:hAnsi="Times New Roman"/>
              </w:rPr>
            </w:pPr>
            <w:r>
              <w:rPr>
                <w:rFonts w:hAnsi="Times New Roman"/>
              </w:rPr>
              <w:t>一般</w:t>
            </w:r>
          </w:p>
        </w:tc>
        <w:tc>
          <w:tcPr>
            <w:tcW w:w="3123" w:type="pct"/>
            <w:vAlign w:val="center"/>
          </w:tcPr>
          <w:p>
            <w:pPr>
              <w:overflowPunct w:val="0"/>
              <w:snapToGrid w:val="0"/>
              <w:jc w:val="center"/>
              <w:rPr>
                <w:rFonts w:hAnsi="Times New Roman"/>
              </w:rPr>
            </w:pPr>
            <m:oMath>
              <m:r>
                <m:rPr/>
                <w:rPr>
                  <w:rFonts w:ascii="Cambria Math" w:hAnsi="Cambria Math"/>
                </w:rPr>
                <m:t>0.01&lt;</m:t>
              </m:r>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≤0.1</m:t>
              </m:r>
            </m:oMath>
            <w:r>
              <w:rPr>
                <w:rFonts w:hint="eastAsia" w:hAnsi="Times New Roman"/>
              </w:rPr>
              <w:t>或</w:t>
            </w:r>
            <m:oMath>
              <m:r>
                <m:rPr/>
                <w:rPr>
                  <w:rFonts w:ascii="Cambria Math" w:hAnsi="Cambria Math"/>
                </w:rPr>
                <m:t>0.1&lt;</m:t>
              </m:r>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H2</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≤0.5</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pct"/>
            <w:vAlign w:val="center"/>
          </w:tcPr>
          <w:p>
            <w:pPr>
              <w:overflowPunct w:val="0"/>
              <w:snapToGrid w:val="0"/>
              <w:jc w:val="center"/>
              <w:rPr>
                <w:rFonts w:hAnsi="Times New Roman"/>
              </w:rPr>
            </w:pPr>
            <w:r>
              <w:rPr>
                <w:rFonts w:hAnsi="Times New Roman"/>
              </w:rPr>
              <w:t>重点</w:t>
            </w:r>
          </w:p>
        </w:tc>
        <w:tc>
          <w:tcPr>
            <w:tcW w:w="3123" w:type="pct"/>
            <w:vAlign w:val="center"/>
          </w:tcPr>
          <w:p>
            <w:pPr>
              <w:overflowPunct w:val="0"/>
              <w:snapToGrid w:val="0"/>
              <w:jc w:val="center"/>
              <w:rPr>
                <w:rFonts w:hAnsi="Times New Roman"/>
              </w:rPr>
            </w:pPr>
            <m:oMath>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&gt;0.1</m:t>
              </m:r>
            </m:oMath>
            <w:r>
              <w:rPr>
                <w:rFonts w:hAnsi="Times New Roman"/>
              </w:rPr>
              <w:t>或</w:t>
            </w:r>
            <m:oMath>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H2</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RI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H3</m:t>
                  </m:r>
                  <m:ctrlPr>
                    <w:rPr>
                      <w:rFonts w:ascii="Cambria Math" w:hAnsi="Cambria Math"/>
                      <w:i/>
                      <w:iCs/>
                    </w:rPr>
                  </m:ctrlPr>
                </m:sub>
              </m:sSub>
              <m:r>
                <m:rPr/>
                <w:rPr>
                  <w:rFonts w:ascii="Cambria Math" w:hAnsi="Cambria Math"/>
                </w:rPr>
                <m:t>&gt;0.5</m:t>
              </m:r>
            </m:oMath>
          </w:p>
        </w:tc>
      </w:tr>
    </w:tbl>
    <w:p>
      <w:pPr>
        <w:pStyle w:val="105"/>
        <w:spacing w:before="120" w:after="120"/>
      </w:pPr>
      <w:bookmarkStart w:id="120" w:name="_Toc5131"/>
      <w:bookmarkStart w:id="121" w:name="_Toc98248036"/>
      <w:bookmarkStart w:id="122" w:name="_Toc92461837"/>
      <w:bookmarkStart w:id="123" w:name="_Toc155627140"/>
      <w:bookmarkStart w:id="124" w:name="_Toc162254696"/>
      <w:r>
        <w:rPr>
          <w:rFonts w:hint="eastAsia"/>
        </w:rPr>
        <w:t>地震</w:t>
      </w:r>
      <w:bookmarkEnd w:id="120"/>
      <w:bookmarkEnd w:id="121"/>
      <w:bookmarkEnd w:id="122"/>
      <w:r>
        <w:rPr>
          <w:rFonts w:hint="eastAsia"/>
        </w:rPr>
        <w:t>灾害隐患指数</w:t>
      </w:r>
      <w:bookmarkEnd w:id="123"/>
      <w:bookmarkEnd w:id="124"/>
    </w:p>
    <w:p>
      <w:pPr>
        <w:pStyle w:val="165"/>
        <w:ind w:left="0"/>
      </w:pPr>
      <w:r>
        <w:rPr>
          <w:rFonts w:hint="eastAsia"/>
        </w:rPr>
        <w:t>承灾体单体地震灾害隐患指数</w:t>
      </w:r>
    </w:p>
    <w:p>
      <w:pPr>
        <w:pStyle w:val="165"/>
        <w:numPr>
          <w:ilvl w:val="0"/>
          <w:numId w:val="0"/>
        </w:numPr>
        <w:ind w:firstLine="420" w:firstLineChars="200"/>
        <w:rPr>
          <w:rFonts w:ascii="Times New Roman"/>
        </w:rPr>
      </w:pPr>
      <w:r>
        <w:rPr>
          <w:rFonts w:hint="eastAsia"/>
        </w:rPr>
        <w:t>承灾体单体地震灾害隐患指数的确定，应综合考虑承灾体的地震易损性、所处场址的地震危险性及其在遭受地震破坏时所产生后果的严重程度三方面因素，</w:t>
      </w:r>
      <w:r>
        <w:rPr>
          <w:rFonts w:ascii="Times New Roman"/>
        </w:rPr>
        <w:t>按式（4.2-1）进行计算：</w:t>
      </w:r>
    </w:p>
    <w:p>
      <w:pPr>
        <w:overflowPunct w:val="0"/>
        <w:snapToGrid w:val="0"/>
        <w:spacing w:after="163"/>
        <w:jc w:val="right"/>
        <w:rPr>
          <w:rFonts w:ascii="Times New Roman" w:hAnsi="Times New Roman"/>
        </w:rPr>
      </w:pPr>
      <m:oMath>
        <m:sSub>
          <w:bookmarkStart w:id="125" w:name="OLE_LINK24"/>
          <w:bookmarkStart w:id="126" w:name="OLE_LINK23"/>
          <m:sSubPr>
            <m:ctrlPr>
              <w:rPr>
                <w:rFonts w:ascii="Cambria Math" w:hAnsi="Cambria Math"/>
                <w:i/>
                <w:iCs/>
              </w:rPr>
            </m:ctrlPr>
          </m:sSubPr>
          <m:e>
            <m:r>
              <m:rPr/>
              <w:rPr>
                <w:rFonts w:ascii="Cambria Math" w:hAnsi="Cambria Math"/>
              </w:rPr>
              <m:t>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m:t>
            </m:r>
            <m:ctrlPr>
              <w:rPr>
                <w:rFonts w:ascii="Cambria Math" w:hAnsi="Cambria Math"/>
                <w:i/>
                <w:iCs/>
              </w:rPr>
            </m:ctrlPr>
          </m:sub>
        </m:sSub>
        <m:r>
          <m:rPr/>
          <w:rPr>
            <w:rFonts w:ascii="Cambria Math" w:hAnsi="Cambria Math"/>
          </w:rPr>
          <m:t>=C∙R∙V</m:t>
        </m:r>
      </m:oMath>
      <w:r>
        <w:rPr>
          <w:rFonts w:ascii="Times New Roman" w:hAnsi="Times New Roman"/>
        </w:rPr>
        <w:t xml:space="preserve">                            (4.2-1)</w:t>
      </w:r>
    </w:p>
    <w:bookmarkEnd w:id="125"/>
    <w:bookmarkEnd w:id="126"/>
    <w:p>
      <w:pPr>
        <w:overflowPunct w:val="0"/>
        <w:snapToGrid w:val="0"/>
        <w:spacing w:after="163"/>
        <w:jc w:val="left"/>
        <w:rPr>
          <w:rFonts w:hAnsi="Times New Roman"/>
        </w:rPr>
      </w:pPr>
      <w:r>
        <w:rPr>
          <w:rFonts w:hAnsi="Times New Roman"/>
        </w:rPr>
        <w:t>式中：</w:t>
      </w:r>
      <m:oMath>
        <m:sSub>
          <m:sSubPr>
            <m:ctrlPr>
              <w:rPr>
                <w:rFonts w:ascii="Cambria Math" w:hAnsi="Cambria Math"/>
                <w:i/>
                <w:iCs/>
              </w:rPr>
            </m:ctrlPr>
          </m:sSubPr>
          <m:e>
            <m:r>
              <m:rPr/>
              <w:rPr>
                <w:rFonts w:ascii="Cambria Math" w:hAnsi="Cambria Math"/>
              </w:rPr>
              <m:t>I</m:t>
            </m:r>
            <m:ctrlPr>
              <w:rPr>
                <w:rFonts w:ascii="Cambria Math" w:hAnsi="Cambria Math"/>
                <w:i/>
                <w:iCs/>
              </w:rPr>
            </m:ctrlPr>
          </m:e>
          <m:sub>
            <m:r>
              <m:rPr/>
              <w:rPr>
                <w:rFonts w:ascii="Cambria Math" w:hAnsi="Cambria Math"/>
              </w:rPr>
              <m:t>P</m:t>
            </m:r>
            <m:r>
              <m:rPr>
                <m:sty m:val="bi"/>
              </m:rPr>
              <w:rPr>
                <w:rFonts w:ascii="Cambria Math" w:hAnsi="Cambria Math"/>
              </w:rPr>
              <m:t>E</m:t>
            </m:r>
            <m:r>
              <m:rPr/>
              <w:rPr>
                <w:rFonts w:ascii="Cambria Math" w:hAnsi="Cambria Math"/>
              </w:rPr>
              <m:t>H</m:t>
            </m:r>
            <m:ctrlPr>
              <w:rPr>
                <w:rFonts w:ascii="Cambria Math" w:hAnsi="Cambria Math"/>
                <w:i/>
                <w:iCs/>
              </w:rPr>
            </m:ctrlPr>
          </m:sub>
        </m:sSub>
      </m:oMath>
      <w:r>
        <w:rPr>
          <w:rFonts w:hAnsi="Times New Roman"/>
        </w:rPr>
        <w:t>—</w:t>
      </w:r>
      <w:r>
        <w:t>承灾体单体</w:t>
      </w:r>
      <w:r>
        <w:rPr>
          <w:rFonts w:hAnsi="Times New Roman"/>
        </w:rPr>
        <w:t>地震灾害隐患指数；</w:t>
      </w:r>
    </w:p>
    <w:p>
      <w:pPr>
        <w:overflowPunct w:val="0"/>
        <w:snapToGrid w:val="0"/>
        <w:spacing w:after="163"/>
        <w:ind w:firstLine="630" w:firstLineChars="300"/>
        <w:rPr>
          <w:rFonts w:hAnsi="Times New Roman"/>
        </w:rPr>
      </w:pPr>
      <m:oMath>
        <m:r>
          <m:rPr/>
          <w:rPr>
            <w:rFonts w:ascii="Cambria Math" w:hAnsi="Cambria Math"/>
          </w:rPr>
          <m:t>C</m:t>
        </m:r>
      </m:oMath>
      <w:r>
        <w:rPr>
          <w:rFonts w:hAnsi="Times New Roman"/>
        </w:rPr>
        <w:t>—承灾体</w:t>
      </w:r>
      <w:bookmarkStart w:id="127" w:name="_Hlk61274022"/>
      <w:r>
        <w:rPr>
          <w:rFonts w:hint="eastAsia" w:hAnsi="Times New Roman"/>
        </w:rPr>
        <w:t>单体破坏后果影响</w:t>
      </w:r>
      <w:bookmarkEnd w:id="127"/>
      <w:r>
        <w:rPr>
          <w:rFonts w:hAnsi="Times New Roman"/>
        </w:rPr>
        <w:t>系数，按本规范第</w:t>
      </w:r>
      <w:r>
        <w:rPr>
          <w:rFonts w:ascii="Times New Roman" w:hAnsi="Times New Roman"/>
        </w:rPr>
        <w:t>4.3</w:t>
      </w:r>
      <w:r>
        <w:rPr>
          <w:rFonts w:hAnsi="Times New Roman"/>
        </w:rPr>
        <w:t>条确定；</w:t>
      </w:r>
    </w:p>
    <w:p>
      <w:pPr>
        <w:overflowPunct w:val="0"/>
        <w:snapToGrid w:val="0"/>
        <w:spacing w:after="163"/>
        <w:ind w:firstLine="630" w:firstLineChars="300"/>
        <w:rPr>
          <w:rFonts w:hAnsi="Times New Roman"/>
        </w:rPr>
      </w:pPr>
      <m:oMath>
        <m:r>
          <m:rPr/>
          <w:rPr>
            <w:rFonts w:ascii="Cambria Math" w:hAnsi="Cambria Math"/>
          </w:rPr>
          <m:t>R</m:t>
        </m:r>
      </m:oMath>
      <w:r>
        <w:rPr>
          <w:rFonts w:hAnsi="Times New Roman"/>
        </w:rPr>
        <w:t>—综合考虑承灾体</w:t>
      </w:r>
      <w:r>
        <w:rPr>
          <w:rFonts w:hint="eastAsia" w:hAnsi="Times New Roman"/>
        </w:rPr>
        <w:t>单体</w:t>
      </w:r>
      <w:r>
        <w:rPr>
          <w:rFonts w:hAnsi="Times New Roman"/>
        </w:rPr>
        <w:t>所在</w:t>
      </w:r>
      <w:r>
        <w:rPr>
          <w:rFonts w:hint="eastAsia" w:hAnsi="Times New Roman"/>
        </w:rPr>
        <w:t>地区</w:t>
      </w:r>
      <w:r>
        <w:rPr>
          <w:rFonts w:hAnsi="Times New Roman"/>
        </w:rPr>
        <w:t>地震危险性及其所在</w:t>
      </w:r>
      <w:r>
        <w:rPr>
          <w:rFonts w:hint="eastAsia" w:hAnsi="Times New Roman"/>
        </w:rPr>
        <w:t>场地类别</w:t>
      </w:r>
      <w:r>
        <w:rPr>
          <w:rFonts w:hAnsi="Times New Roman"/>
        </w:rPr>
        <w:t>影响的</w:t>
      </w:r>
      <w:r>
        <w:rPr>
          <w:rFonts w:hint="eastAsia" w:hAnsi="Times New Roman"/>
        </w:rPr>
        <w:t>承灾体场址影响</w:t>
      </w:r>
      <w:r>
        <w:rPr>
          <w:rFonts w:hAnsi="Times New Roman"/>
        </w:rPr>
        <w:t>系数，按本规范第</w:t>
      </w:r>
      <w:r>
        <w:rPr>
          <w:rFonts w:ascii="Times New Roman" w:hAnsi="Times New Roman"/>
        </w:rPr>
        <w:t>4.4</w:t>
      </w:r>
      <w:r>
        <w:rPr>
          <w:rFonts w:hAnsi="Times New Roman"/>
        </w:rPr>
        <w:t>条确定；</w:t>
      </w:r>
    </w:p>
    <w:p>
      <w:pPr>
        <w:overflowPunct w:val="0"/>
        <w:snapToGrid w:val="0"/>
        <w:spacing w:after="163"/>
        <w:ind w:firstLine="630" w:firstLineChars="300"/>
        <w:rPr>
          <w:rFonts w:hAnsi="Times New Roman"/>
        </w:rPr>
      </w:pPr>
      <m:oMath>
        <m:r>
          <m:rPr/>
          <w:rPr>
            <w:rFonts w:ascii="Cambria Math" w:hAnsi="Cambria Math"/>
          </w:rPr>
          <m:t>V</m:t>
        </m:r>
      </m:oMath>
      <w:r>
        <w:rPr>
          <w:rFonts w:hAnsi="Times New Roman"/>
        </w:rPr>
        <w:t>—综合考虑承灾体</w:t>
      </w:r>
      <w:r>
        <w:rPr>
          <w:rFonts w:hint="eastAsia" w:hAnsi="Times New Roman"/>
        </w:rPr>
        <w:t>单体</w:t>
      </w:r>
      <w:r>
        <w:rPr>
          <w:rFonts w:hAnsi="Times New Roman"/>
        </w:rPr>
        <w:t>实际抗震设防</w:t>
      </w:r>
      <w:r>
        <w:rPr>
          <w:rFonts w:hint="eastAsia" w:hAnsi="Times New Roman"/>
        </w:rPr>
        <w:t>标准</w:t>
      </w:r>
      <w:r>
        <w:rPr>
          <w:rFonts w:hAnsi="Times New Roman"/>
        </w:rPr>
        <w:t>、建造年代及其病害程度影响的承灾体</w:t>
      </w:r>
      <w:r>
        <w:rPr>
          <w:rFonts w:hint="eastAsia" w:hAnsi="Times New Roman"/>
        </w:rPr>
        <w:t>易损性影响</w:t>
      </w:r>
      <w:r>
        <w:rPr>
          <w:rFonts w:hAnsi="Times New Roman"/>
        </w:rPr>
        <w:t>系数，按本规范第</w:t>
      </w:r>
      <w:r>
        <w:rPr>
          <w:rFonts w:ascii="Times New Roman" w:hAnsi="Times New Roman"/>
        </w:rPr>
        <w:t>4.5条</w:t>
      </w:r>
      <w:r>
        <w:rPr>
          <w:rFonts w:hAnsi="Times New Roman"/>
        </w:rPr>
        <w:t>确定。</w:t>
      </w:r>
    </w:p>
    <w:p>
      <w:pPr>
        <w:pStyle w:val="165"/>
        <w:ind w:left="0"/>
        <w:rPr>
          <w:sz w:val="20"/>
        </w:rPr>
      </w:pPr>
      <w:r>
        <w:rPr>
          <w:rFonts w:hint="eastAsia"/>
        </w:rPr>
        <w:t>区域分类地震灾害隐患指数</w:t>
      </w:r>
    </w:p>
    <w:p>
      <w:pPr>
        <w:pStyle w:val="165"/>
        <w:numPr>
          <w:ilvl w:val="0"/>
          <w:numId w:val="0"/>
        </w:numPr>
        <w:ind w:firstLine="420" w:firstLineChars="200"/>
        <w:rPr>
          <w:rFonts w:ascii="Times New Roman"/>
        </w:rPr>
      </w:pPr>
      <w:r>
        <w:rPr>
          <w:rFonts w:ascii="Times New Roman"/>
        </w:rPr>
        <w:t>区域</w:t>
      </w:r>
      <w:r>
        <w:rPr>
          <w:rFonts w:hint="eastAsia" w:ascii="Times New Roman"/>
        </w:rPr>
        <w:t>分类</w:t>
      </w:r>
      <w:r>
        <w:rPr>
          <w:rFonts w:ascii="Times New Roman"/>
        </w:rPr>
        <w:t>地震灾害隐患</w:t>
      </w:r>
      <w:r>
        <w:rPr>
          <w:rFonts w:hint="eastAsia" w:ascii="Times New Roman"/>
        </w:rPr>
        <w:t>等级的确定</w:t>
      </w:r>
      <w:r>
        <w:rPr>
          <w:rFonts w:ascii="Times New Roman"/>
        </w:rPr>
        <w:t>，应根据本地区</w:t>
      </w:r>
      <w:r>
        <w:rPr>
          <w:rFonts w:hint="eastAsia" w:ascii="Times New Roman"/>
        </w:rPr>
        <w:t>内同类承灾体中存在</w:t>
      </w:r>
      <w:r>
        <w:rPr>
          <w:rFonts w:ascii="Times New Roman"/>
        </w:rPr>
        <w:t>地震灾害隐患</w:t>
      </w:r>
      <w:r>
        <w:rPr>
          <w:rFonts w:hint="eastAsia" w:ascii="Times New Roman"/>
        </w:rPr>
        <w:t>的承灾体</w:t>
      </w:r>
      <w:r>
        <w:rPr>
          <w:rFonts w:ascii="Times New Roman"/>
        </w:rPr>
        <w:t>比例进行</w:t>
      </w:r>
      <w:r>
        <w:rPr>
          <w:rFonts w:hint="eastAsia" w:ascii="Times New Roman"/>
        </w:rPr>
        <w:t>计算</w:t>
      </w:r>
      <w:r>
        <w:rPr>
          <w:rFonts w:ascii="Times New Roman"/>
        </w:rPr>
        <w:t>，</w:t>
      </w:r>
      <w:r>
        <w:rPr>
          <w:rFonts w:hint="eastAsia" w:ascii="Times New Roman"/>
        </w:rPr>
        <w:t>同一类型承灾体的</w:t>
      </w:r>
      <w:r>
        <w:rPr>
          <w:rFonts w:ascii="Times New Roman"/>
        </w:rPr>
        <w:t>区域</w:t>
      </w:r>
      <w:r>
        <w:rPr>
          <w:rFonts w:hint="eastAsia" w:ascii="Times New Roman"/>
        </w:rPr>
        <w:t>分类</w:t>
      </w:r>
      <w:r>
        <w:rPr>
          <w:rFonts w:ascii="Times New Roman"/>
        </w:rPr>
        <w:t>地震灾害隐患</w:t>
      </w:r>
      <w:r>
        <w:rPr>
          <w:rFonts w:hint="eastAsia" w:ascii="Times New Roman"/>
        </w:rPr>
        <w:t>指数</w:t>
      </w:r>
      <w:r>
        <w:rPr>
          <w:rFonts w:ascii="Times New Roman"/>
        </w:rPr>
        <w:t>按式（4.2-2）计算。</w:t>
      </w:r>
    </w:p>
    <w:p>
      <w:pPr>
        <w:overflowPunct w:val="0"/>
        <w:snapToGrid w:val="0"/>
        <w:spacing w:after="163" w:line="360" w:lineRule="auto"/>
        <w:jc w:val="right"/>
        <w:rPr>
          <w:rFonts w:ascii="Times New Roman" w:hAnsi="Times New Roman"/>
        </w:rPr>
      </w:pPr>
      <m:oMath>
        <m:sSub>
          <m:sSubPr>
            <m:ctrlPr>
              <w:rPr>
                <w:rFonts w:ascii="Cambria Math" w:hAnsi="Cambria Math"/>
                <w:b/>
                <w:bCs/>
                <w:i/>
                <w:iCs/>
              </w:rPr>
            </m:ctrlPr>
          </m:sSubPr>
          <m:e>
            <m:r>
              <m:rPr>
                <m:sty m:val="bi"/>
              </m:rPr>
              <w:rPr>
                <w:rFonts w:ascii="Cambria Math" w:hAnsi="Cambria Math"/>
              </w:rPr>
              <m:t>RI</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r>
          <m:rPr>
            <m:sty m:val="bi"/>
          </m:rPr>
          <w:rPr>
            <w:rFonts w:ascii="Cambria Math" w:hAnsi="Cambria Math"/>
          </w:rPr>
          <m:t>=</m:t>
        </m:r>
        <m:f>
          <m:fPr>
            <m:ctrlPr>
              <w:rPr>
                <w:rFonts w:ascii="Cambria Math" w:hAnsi="Cambria Math"/>
                <w:b/>
                <w:bCs/>
                <w:i/>
                <w:iCs/>
              </w:rPr>
            </m:ctrlPr>
          </m:fPr>
          <m:num>
            <m:sSub>
              <m:sSubPr>
                <m:ctrlPr>
                  <w:rPr>
                    <w:rFonts w:ascii="Cambria Math" w:hAnsi="Cambria Math"/>
                    <w:b/>
                    <w:bCs/>
                    <w:i/>
                    <w:iCs/>
                  </w:rPr>
                </m:ctrlPr>
              </m:sSubPr>
              <m:e>
                <m:r>
                  <m:rPr>
                    <m:sty m:val="bi"/>
                  </m:rPr>
                  <w:rPr>
                    <w:rFonts w:ascii="Cambria Math" w:hAnsi="Cambria Math"/>
                  </w:rPr>
                  <m:t>N</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ctrlPr>
              <w:rPr>
                <w:rFonts w:ascii="Cambria Math" w:hAnsi="Cambria Math"/>
                <w:b/>
                <w:bCs/>
                <w:i/>
                <w:iCs/>
              </w:rPr>
            </m:ctrlPr>
          </m:num>
          <m:den>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N</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ctrlPr>
              <w:rPr>
                <w:rFonts w:ascii="Cambria Math" w:hAnsi="Cambria Math"/>
                <w:b/>
                <w:bCs/>
                <w:i/>
                <w:iCs/>
              </w:rPr>
            </m:ctrlPr>
          </m:den>
        </m:f>
      </m:oMath>
      <w:r>
        <w:rPr>
          <w:rFonts w:hAnsi="Times New Roman"/>
        </w:rPr>
        <w:t xml:space="preserve">                                 </w:t>
      </w:r>
      <w:r>
        <w:rPr>
          <w:rFonts w:ascii="Times New Roman" w:hAnsi="Times New Roman"/>
        </w:rPr>
        <w:t>(4.2-2)</w:t>
      </w:r>
    </w:p>
    <w:p>
      <w:pPr>
        <w:overflowPunct w:val="0"/>
        <w:snapToGrid w:val="0"/>
        <w:spacing w:after="163" w:line="360" w:lineRule="auto"/>
        <w:jc w:val="left"/>
        <w:rPr>
          <w:rFonts w:hAnsi="Times New Roman"/>
        </w:rPr>
      </w:pPr>
      <w:r>
        <w:rPr>
          <w:rFonts w:hAnsi="Times New Roman"/>
        </w:rPr>
        <w:t>式中：</w:t>
      </w:r>
      <w:r>
        <w:rPr>
          <w:rFonts w:hAnsi="Times New Roman"/>
        </w:rPr>
        <w:tab/>
      </w:r>
      <w:r>
        <w:rPr>
          <w:rFonts w:ascii="Times New Roman" w:hAnsi="Times New Roman"/>
          <w:i/>
          <w:iCs/>
        </w:rPr>
        <w:t>i</w:t>
      </w:r>
      <w:r>
        <w:rPr>
          <w:rFonts w:ascii="Times New Roman" w:hAnsi="Times New Roman"/>
        </w:rPr>
        <w:t>—表示地震灾害隐患等级，</w:t>
      </w:r>
      <w:r>
        <w:rPr>
          <w:rFonts w:ascii="Times New Roman" w:hAnsi="Times New Roman"/>
          <w:i/>
          <w:iCs/>
        </w:rPr>
        <w:t>i</w:t>
      </w:r>
      <w:r>
        <w:rPr>
          <w:rFonts w:ascii="Times New Roman" w:hAnsi="Times New Roman"/>
        </w:rPr>
        <w:t>=1，2，3</w:t>
      </w:r>
      <w:r>
        <w:rPr>
          <w:rFonts w:hAnsi="Times New Roman"/>
        </w:rPr>
        <w:t>分别表示隐患等级为轻微，一般和重点；</w:t>
      </w:r>
    </w:p>
    <w:p>
      <w:pPr>
        <w:overflowPunct w:val="0"/>
        <w:snapToGrid w:val="0"/>
        <w:spacing w:after="163" w:line="360" w:lineRule="auto"/>
        <w:ind w:left="420" w:firstLine="420"/>
        <w:jc w:val="left"/>
        <w:rPr>
          <w:rFonts w:hAnsi="Times New Roman"/>
        </w:rPr>
      </w:pPr>
      <m:oMath>
        <m:sSub>
          <m:sSubPr>
            <m:ctrlPr>
              <w:rPr>
                <w:rFonts w:ascii="Cambria Math" w:hAnsi="Cambria Math"/>
                <w:b/>
                <w:bCs/>
                <w:i/>
                <w:iCs/>
              </w:rPr>
            </m:ctrlPr>
          </m:sSubPr>
          <m:e>
            <m:r>
              <m:rPr>
                <m:sty m:val="bi"/>
              </m:rPr>
              <w:rPr>
                <w:rFonts w:ascii="Cambria Math" w:hAnsi="Cambria Math"/>
              </w:rPr>
              <m:t>RI</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oMath>
      <w:r>
        <w:rPr>
          <w:rFonts w:hAnsi="Times New Roman"/>
        </w:rPr>
        <w:t>—</w:t>
      </w:r>
      <w:r>
        <w:rPr>
          <w:rFonts w:hint="eastAsia" w:hAnsi="Times New Roman"/>
        </w:rPr>
        <w:t>地震灾害隐患等级为</w:t>
      </w:r>
      <w:r>
        <w:rPr>
          <w:rFonts w:hAnsi="Times New Roman"/>
          <w:i/>
          <w:iCs/>
        </w:rPr>
        <w:t>i</w:t>
      </w:r>
      <w:r>
        <w:rPr>
          <w:rFonts w:hAnsi="Times New Roman"/>
        </w:rPr>
        <w:t>的</w:t>
      </w:r>
      <w:r>
        <w:rPr>
          <w:rFonts w:hint="eastAsia" w:hAnsi="Times New Roman"/>
        </w:rPr>
        <w:t>某类型承灾体</w:t>
      </w:r>
      <w:r>
        <w:rPr>
          <w:rFonts w:hAnsi="Times New Roman"/>
        </w:rPr>
        <w:t>区域</w:t>
      </w:r>
      <w:r>
        <w:rPr>
          <w:rFonts w:hint="eastAsia" w:hAnsi="Times New Roman"/>
        </w:rPr>
        <w:t>分类</w:t>
      </w:r>
      <w:r>
        <w:rPr>
          <w:rFonts w:hAnsi="Times New Roman"/>
        </w:rPr>
        <w:t>地震灾害隐患</w:t>
      </w:r>
      <w:r>
        <w:rPr>
          <w:rFonts w:hint="eastAsia" w:hAnsi="Times New Roman"/>
        </w:rPr>
        <w:t>指数</w:t>
      </w:r>
      <w:r>
        <w:rPr>
          <w:rFonts w:hAnsi="Times New Roman"/>
        </w:rPr>
        <w:t>；</w:t>
      </w:r>
    </w:p>
    <w:p>
      <w:pPr>
        <w:overflowPunct w:val="0"/>
        <w:snapToGrid w:val="0"/>
        <w:spacing w:after="163" w:line="360" w:lineRule="auto"/>
        <w:ind w:left="420" w:firstLine="420"/>
        <w:jc w:val="left"/>
        <w:rPr>
          <w:rFonts w:hAnsi="Times New Roman"/>
        </w:rPr>
      </w:pPr>
      <m:oMath>
        <m:sSub>
          <m:sSubPr>
            <m:ctrlPr>
              <w:rPr>
                <w:rFonts w:ascii="Cambria Math" w:hAnsi="Cambria Math"/>
                <w:b/>
                <w:bCs/>
                <w:i/>
                <w:iCs/>
              </w:rPr>
            </m:ctrlPr>
          </m:sSubPr>
          <m:e>
            <m:r>
              <m:rPr>
                <m:sty m:val="bi"/>
              </m:rPr>
              <w:rPr>
                <w:rFonts w:ascii="Cambria Math" w:hAnsi="Cambria Math"/>
              </w:rPr>
              <m:t>N</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oMath>
      <w:r>
        <w:rPr>
          <w:rFonts w:hAnsi="Times New Roman"/>
        </w:rPr>
        <w:t>—区域内地震灾害隐患等级</w:t>
      </w:r>
      <w:r>
        <w:rPr>
          <w:rFonts w:hint="eastAsia" w:hAnsi="Times New Roman"/>
        </w:rPr>
        <w:t>为</w:t>
      </w:r>
      <w:r>
        <w:rPr>
          <w:rFonts w:hAnsi="Times New Roman"/>
          <w:i/>
          <w:iCs/>
        </w:rPr>
        <w:t>i</w:t>
      </w:r>
      <w:r>
        <w:rPr>
          <w:rFonts w:hint="eastAsia" w:hAnsi="Times New Roman"/>
        </w:rPr>
        <w:t>的某</w:t>
      </w:r>
      <w:r>
        <w:rPr>
          <w:rFonts w:hAnsi="Times New Roman"/>
        </w:rPr>
        <w:t>类承灾体</w:t>
      </w:r>
      <w:r>
        <w:rPr>
          <w:rFonts w:hint="eastAsia" w:hAnsi="Times New Roman"/>
        </w:rPr>
        <w:t>（</w:t>
      </w:r>
      <w:r>
        <w:rPr>
          <w:rFonts w:hAnsi="Times New Roman"/>
        </w:rPr>
        <w:t>建筑类按面积；构筑物类按</w:t>
      </w:r>
      <w:r>
        <w:rPr>
          <w:rFonts w:hint="eastAsia" w:hAnsi="Times New Roman"/>
        </w:rPr>
        <w:t>工程数量</w:t>
      </w:r>
      <w:r>
        <w:rPr>
          <w:rFonts w:hAnsi="Times New Roman"/>
        </w:rPr>
        <w:t>；</w:t>
      </w:r>
      <w:r>
        <w:rPr>
          <w:rFonts w:hint="eastAsia" w:hAnsi="Times New Roman"/>
        </w:rPr>
        <w:t>桥梁</w:t>
      </w:r>
      <w:r>
        <w:rPr>
          <w:rFonts w:hAnsi="Times New Roman"/>
        </w:rPr>
        <w:t>类按长度</w:t>
      </w:r>
      <w:r>
        <w:rPr>
          <w:rFonts w:hint="eastAsia" w:hAnsi="Times New Roman"/>
        </w:rPr>
        <w:t>）</w:t>
      </w:r>
      <w:r>
        <w:rPr>
          <w:rFonts w:hAnsi="Times New Roman"/>
        </w:rPr>
        <w:t>数量；</w:t>
      </w:r>
    </w:p>
    <w:p>
      <w:pPr>
        <w:overflowPunct w:val="0"/>
        <w:snapToGrid w:val="0"/>
        <w:spacing w:after="163" w:line="360" w:lineRule="auto"/>
        <w:ind w:left="420" w:firstLine="420"/>
        <w:rPr>
          <w:rFonts w:hAnsi="Times New Roman"/>
        </w:rPr>
      </w:pPr>
      <m:oMath>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N</m:t>
            </m:r>
            <m:ctrlPr>
              <w:rPr>
                <w:rFonts w:ascii="Cambria Math" w:hAnsi="Cambria Math"/>
                <w:b/>
                <w:bCs/>
                <w:i/>
                <w:iCs/>
              </w:rPr>
            </m:ctrlPr>
          </m:e>
          <m:sub>
            <m:r>
              <m:rPr>
                <m:sty m:val="bi"/>
              </m:rPr>
              <w:rPr>
                <w:rFonts w:ascii="Cambria Math" w:hAnsi="Cambria Math"/>
              </w:rPr>
              <m:t>PEHi</m:t>
            </m:r>
            <m:ctrlPr>
              <w:rPr>
                <w:rFonts w:ascii="Cambria Math" w:hAnsi="Cambria Math"/>
                <w:b/>
                <w:bCs/>
                <w:i/>
                <w:iCs/>
              </w:rPr>
            </m:ctrlPr>
          </m:sub>
        </m:sSub>
      </m:oMath>
      <w:r>
        <w:rPr>
          <w:rFonts w:hAnsi="Times New Roman"/>
        </w:rPr>
        <w:t>—区域内</w:t>
      </w:r>
      <w:r>
        <w:rPr>
          <w:rFonts w:hint="eastAsia" w:hAnsi="Times New Roman"/>
        </w:rPr>
        <w:t>参与</w:t>
      </w:r>
      <w:r>
        <w:rPr>
          <w:rFonts w:hAnsi="Times New Roman"/>
        </w:rPr>
        <w:t>地震灾害隐患等级</w:t>
      </w:r>
      <w:r>
        <w:rPr>
          <w:rFonts w:hint="eastAsia" w:hAnsi="Times New Roman"/>
        </w:rPr>
        <w:t>评定</w:t>
      </w:r>
      <w:r>
        <w:rPr>
          <w:rFonts w:hAnsi="Times New Roman"/>
        </w:rPr>
        <w:t>的</w:t>
      </w:r>
      <w:r>
        <w:rPr>
          <w:rFonts w:hint="eastAsia" w:hAnsi="Times New Roman"/>
        </w:rPr>
        <w:t>某类</w:t>
      </w:r>
      <w:r>
        <w:rPr>
          <w:rFonts w:hAnsi="Times New Roman"/>
        </w:rPr>
        <w:t>承灾体总</w:t>
      </w:r>
      <w:r>
        <w:rPr>
          <w:rFonts w:hint="eastAsia" w:hAnsi="Times New Roman"/>
        </w:rPr>
        <w:t>数量</w:t>
      </w:r>
      <w:r>
        <w:rPr>
          <w:rFonts w:hAnsi="Times New Roman"/>
        </w:rPr>
        <w:t>。</w:t>
      </w:r>
    </w:p>
    <w:p>
      <w:pPr>
        <w:pStyle w:val="105"/>
        <w:spacing w:before="120" w:after="120"/>
      </w:pPr>
      <w:bookmarkStart w:id="128" w:name="_Toc155627141"/>
      <w:bookmarkStart w:id="129" w:name="_Toc162254697"/>
      <w:r>
        <w:rPr>
          <w:rFonts w:hint="eastAsia"/>
        </w:rPr>
        <w:t>承灾体破坏后果影响系数</w:t>
      </w:r>
      <w:bookmarkEnd w:id="128"/>
      <w:bookmarkEnd w:id="129"/>
    </w:p>
    <w:p>
      <w:pPr>
        <w:pStyle w:val="56"/>
        <w:ind w:firstLine="420"/>
        <w:rPr>
          <w:rFonts w:ascii="Times New Roman"/>
        </w:rPr>
      </w:pPr>
      <w:r>
        <w:rPr>
          <w:rFonts w:ascii="Times New Roman"/>
        </w:rPr>
        <w:t>承灾体破坏后果影响系数的取值，应按承灾体破坏后果的影响程度，参考《建筑工程抗震设防分类标准》，将承灾体分为I、II、III、IV四类，按表4.3确定。</w:t>
      </w:r>
    </w:p>
    <w:p>
      <w:pPr>
        <w:pStyle w:val="230"/>
        <w:spacing w:after="163"/>
        <w:rPr>
          <w:rFonts w:ascii="Times New Roman"/>
          <w:szCs w:val="21"/>
        </w:rPr>
      </w:pPr>
      <w:r>
        <w:rPr>
          <w:rFonts w:ascii="Times New Roman"/>
        </w:rPr>
        <w:t>其中</w:t>
      </w:r>
      <w:r>
        <w:rPr>
          <w:rFonts w:ascii="Times New Roman"/>
          <w:szCs w:val="21"/>
        </w:rPr>
        <w:t>Ⅲ类承灾体为建筑物时，按照建筑面积大小确定影响系数C，公式如下：</w:t>
      </w:r>
    </w:p>
    <w:p>
      <w:pPr>
        <w:overflowPunct w:val="0"/>
        <w:snapToGrid w:val="0"/>
        <w:spacing w:after="163" w:line="360" w:lineRule="auto"/>
        <w:jc w:val="right"/>
        <w:rPr>
          <w:rFonts w:ascii="Times New Roman" w:hAnsi="Times New Roman"/>
        </w:rPr>
      </w:pPr>
      <m:oMath>
        <m:r>
          <m:rPr/>
          <w:rPr>
            <w:rFonts w:hint="eastAsia" w:ascii="Cambria Math" w:hAnsi="Cambria Math"/>
          </w:rPr>
          <m:t>C</m:t>
        </m:r>
        <m:r>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w:rPr>
                      <w:rFonts w:ascii="Cambria Math" w:hAnsi="Cambria Math"/>
                    </w:rPr>
                    <m:t>0.35</m:t>
                  </m:r>
                  <m:r>
                    <m:rPr/>
                    <w:rPr>
                      <w:rFonts w:hint="eastAsia" w:ascii="Cambria Math" w:hAnsi="Cambria Math"/>
                    </w:rPr>
                    <m:t>，</m:t>
                  </m:r>
                  <m:r>
                    <m:rPr/>
                    <w:rPr>
                      <w:rFonts w:ascii="Cambria Math" w:hAnsi="Cambria Math"/>
                    </w:rPr>
                    <m:t xml:space="preserve"> </m:t>
                  </m:r>
                  <m:r>
                    <m:rPr/>
                    <w:rPr>
                      <w:rFonts w:hint="eastAsia" w:ascii="Cambria Math" w:hAnsi="Cambria Math"/>
                    </w:rPr>
                    <m:t>S</m:t>
                  </m:r>
                  <m:r>
                    <m:rPr/>
                    <w:rPr>
                      <w:rFonts w:ascii="Cambria Math" w:hAnsi="Cambria Math"/>
                    </w:rPr>
                    <m:t>≥17000</m:t>
                  </m:r>
                  <m:ctrlPr>
                    <w:rPr>
                      <w:rFonts w:ascii="Cambria Math" w:hAnsi="Cambria Math"/>
                      <w:i/>
                    </w:rPr>
                  </m:ctrlPr>
                </m:e>
              </m:mr>
              <m:mr>
                <m:e>
                  <m:r>
                    <m:rPr/>
                    <w:rPr>
                      <w:rFonts w:ascii="Cambria Math" w:hAnsi="Cambria Math"/>
                    </w:rPr>
                    <m:t>0.75−0.4</m:t>
                  </m:r>
                  <m:sSup>
                    <m:sSupPr>
                      <m:ctrlPr>
                        <w:rPr>
                          <w:rFonts w:ascii="Cambria Math" w:hAnsi="Cambria Math"/>
                          <w:i/>
                        </w:rPr>
                      </m:ctrlPr>
                    </m:sSupPr>
                    <m:e>
                      <m:d>
                        <m:dPr>
                          <m:begChr m:val="["/>
                          <m:endChr m:val="]"/>
                          <m:ctrlPr>
                            <w:rPr>
                              <w:rFonts w:ascii="Cambria Math" w:hAnsi="Cambria Math"/>
                              <w:i/>
                            </w:rPr>
                          </m:ctrlPr>
                        </m:dPr>
                        <m:e>
                          <m:r>
                            <m:rPr/>
                            <w:rPr>
                              <w:rFonts w:ascii="Cambria Math" w:hAnsi="Cambria Math"/>
                            </w:rPr>
                            <m:t>0.653</m:t>
                          </m:r>
                          <m:func>
                            <m:funcPr>
                              <m:ctrlPr>
                                <w:rPr>
                                  <w:rFonts w:ascii="Cambria Math" w:hAnsi="Cambria Math"/>
                                </w:rPr>
                              </m:ctrlPr>
                            </m:funcPr>
                            <m:fName>
                              <m:r>
                                <m:rPr>
                                  <m:sty m:val="p"/>
                                </m:rPr>
                                <w:rPr>
                                  <w:rFonts w:ascii="Cambria Math" w:hAnsi="Cambria Math"/>
                                </w:rPr>
                                <m:t>log</m:t>
                              </m:r>
                              <m:ctrlPr>
                                <w:rPr>
                                  <w:rFonts w:ascii="Cambria Math" w:hAnsi="Cambria Math"/>
                                </w:rPr>
                              </m:ctrlPr>
                            </m:fName>
                            <m:e>
                              <m:d>
                                <m:dPr>
                                  <m:ctrlPr>
                                    <w:rPr>
                                      <w:rFonts w:ascii="Cambria Math" w:hAnsi="Cambria Math"/>
                                      <w:i/>
                                    </w:rPr>
                                  </m:ctrlPr>
                                </m:dPr>
                                <m:e>
                                  <m:f>
                                    <m:fPr>
                                      <m:ctrlPr>
                                        <w:rPr>
                                          <w:rFonts w:ascii="Cambria Math" w:hAnsi="Cambria Math"/>
                                          <w:i/>
                                        </w:rPr>
                                      </m:ctrlPr>
                                    </m:fPr>
                                    <m:num>
                                      <m:r>
                                        <m:rPr/>
                                        <w:rPr>
                                          <w:rFonts w:ascii="Cambria Math" w:hAnsi="Cambria Math"/>
                                        </w:rPr>
                                        <m:t>S</m:t>
                                      </m:r>
                                      <m:ctrlPr>
                                        <w:rPr>
                                          <w:rFonts w:ascii="Cambria Math" w:hAnsi="Cambria Math"/>
                                          <w:i/>
                                        </w:rPr>
                                      </m:ctrlPr>
                                    </m:num>
                                    <m:den>
                                      <m:r>
                                        <m:rPr/>
                                        <w:rPr>
                                          <w:rFonts w:ascii="Cambria Math" w:hAnsi="Cambria Math"/>
                                        </w:rPr>
                                        <m:t>500</m:t>
                                      </m:r>
                                      <m:ctrlPr>
                                        <w:rPr>
                                          <w:rFonts w:ascii="Cambria Math" w:hAnsi="Cambria Math"/>
                                          <w:i/>
                                        </w:rPr>
                                      </m:ctrlPr>
                                    </m:den>
                                  </m:f>
                                  <m:ctrlPr>
                                    <w:rPr>
                                      <w:rFonts w:ascii="Cambria Math" w:hAnsi="Cambria Math"/>
                                      <w:i/>
                                    </w:rPr>
                                  </m:ctrlPr>
                                </m:e>
                              </m:d>
                              <m:ctrlPr>
                                <w:rPr>
                                  <w:rFonts w:ascii="Cambria Math" w:hAnsi="Cambria Math"/>
                                </w:rPr>
                              </m:ctrlPr>
                            </m:e>
                          </m:func>
                          <m:ctrlPr>
                            <w:rPr>
                              <w:rFonts w:ascii="Cambria Math" w:hAnsi="Cambria Math"/>
                              <w:i/>
                            </w:rPr>
                          </m:ctrlPr>
                        </m:e>
                      </m:d>
                      <m:ctrlPr>
                        <w:rPr>
                          <w:rFonts w:ascii="Cambria Math" w:hAnsi="Cambria Math"/>
                          <w:i/>
                        </w:rPr>
                      </m:ctrlPr>
                    </m:e>
                    <m:sup>
                      <m:r>
                        <m:rPr/>
                        <w:rPr>
                          <w:rFonts w:ascii="Cambria Math" w:hAnsi="Cambria Math"/>
                        </w:rPr>
                        <m:t>0.3</m:t>
                      </m:r>
                      <m:ctrlPr>
                        <w:rPr>
                          <w:rFonts w:ascii="Cambria Math" w:hAnsi="Cambria Math"/>
                          <w:i/>
                        </w:rPr>
                      </m:ctrlPr>
                    </m:sup>
                  </m:sSup>
                  <m:r>
                    <m:rPr/>
                    <w:rPr>
                      <w:rFonts w:ascii="Cambria Math" w:hAnsi="Cambria Math"/>
                    </w:rPr>
                    <m:t>,  17000&gt;S&gt;500</m:t>
                  </m:r>
                  <m:ctrlPr>
                    <w:rPr>
                      <w:rFonts w:ascii="Cambria Math" w:hAnsi="Cambria Math"/>
                      <w:i/>
                    </w:rPr>
                  </m:ctrlPr>
                </m:e>
              </m:mr>
              <m:mr>
                <m:e>
                  <m:r>
                    <m:rPr/>
                    <w:rPr>
                      <w:rFonts w:ascii="Cambria Math" w:hAnsi="Cambria Math"/>
                    </w:rPr>
                    <m:t>0.75 ,   S≤500</m:t>
                  </m:r>
                  <m:ctrlPr>
                    <w:rPr>
                      <w:rFonts w:ascii="Cambria Math" w:hAnsi="Cambria Math"/>
                      <w:i/>
                    </w:rPr>
                  </m:ctrlPr>
                </m:e>
              </m:mr>
            </m:m>
            <m:ctrlPr>
              <w:rPr>
                <w:rFonts w:ascii="Cambria Math" w:hAnsi="Cambria Math"/>
                <w:i/>
              </w:rPr>
            </m:ctrlPr>
          </m:e>
        </m:d>
      </m:oMath>
      <w:r>
        <w:rPr>
          <w:rFonts w:hAnsi="Times New Roman"/>
        </w:rPr>
        <w:t xml:space="preserve">                   </w:t>
      </w:r>
      <w:r>
        <w:rPr>
          <w:rFonts w:ascii="Times New Roman" w:hAnsi="Times New Roman"/>
        </w:rPr>
        <w:t xml:space="preserve"> (4.3)</w:t>
      </w:r>
    </w:p>
    <w:p>
      <w:pPr>
        <w:overflowPunct w:val="0"/>
        <w:snapToGrid w:val="0"/>
        <w:spacing w:after="163" w:line="360" w:lineRule="auto"/>
        <w:jc w:val="left"/>
        <w:rPr>
          <w:rFonts w:hAnsi="Times New Roman"/>
        </w:rPr>
      </w:pPr>
      <w:r>
        <w:rPr>
          <w:rFonts w:hAnsi="Times New Roman"/>
        </w:rPr>
        <w:t>式中：</w:t>
      </w:r>
      <w:r>
        <w:rPr>
          <w:rFonts w:hAnsi="Times New Roman"/>
        </w:rPr>
        <w:tab/>
      </w:r>
      <w:r>
        <w:rPr>
          <w:rFonts w:hint="eastAsia" w:hAnsi="Times New Roman"/>
          <w:i/>
          <w:iCs/>
        </w:rPr>
        <w:t>S</w:t>
      </w:r>
      <w:r>
        <w:rPr>
          <w:rFonts w:hAnsi="Times New Roman"/>
        </w:rPr>
        <w:t>—表示</w:t>
      </w:r>
      <w:r>
        <w:rPr>
          <w:rFonts w:hint="eastAsia" w:hAnsi="Times New Roman"/>
        </w:rPr>
        <w:t>承灾体建筑面积，单位平方米</w:t>
      </w:r>
      <w:r>
        <w:rPr>
          <w:rFonts w:hAnsi="Times New Roman"/>
        </w:rPr>
        <w:t>。</w:t>
      </w:r>
    </w:p>
    <w:p>
      <w:pPr>
        <w:overflowPunct w:val="0"/>
        <w:snapToGrid w:val="0"/>
        <w:spacing w:line="360" w:lineRule="auto"/>
        <w:jc w:val="center"/>
        <w:rPr>
          <w:rFonts w:ascii="Times New Roman" w:hAnsi="Times New Roman" w:eastAsia="黑体"/>
        </w:rPr>
      </w:pPr>
      <w:r>
        <w:rPr>
          <w:rFonts w:ascii="Times New Roman" w:hAnsi="Times New Roman" w:eastAsia="黑体"/>
        </w:rPr>
        <w:t>表4.3 承灾体破坏后果影响系数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3524"/>
        <w:gridCol w:w="125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overflowPunct w:val="0"/>
              <w:snapToGrid w:val="0"/>
              <w:jc w:val="center"/>
              <w:rPr>
                <w:rFonts w:ascii="Times New Roman" w:hAnsi="Times New Roman"/>
              </w:rPr>
            </w:pPr>
            <w:bookmarkStart w:id="130" w:name="OLE_LINK20"/>
            <w:r>
              <w:rPr>
                <w:rFonts w:ascii="Times New Roman" w:hAnsi="Times New Roman"/>
              </w:rPr>
              <w:t>类别</w:t>
            </w:r>
          </w:p>
        </w:tc>
        <w:tc>
          <w:tcPr>
            <w:tcW w:w="4780" w:type="dxa"/>
            <w:gridSpan w:val="2"/>
            <w:vAlign w:val="center"/>
          </w:tcPr>
          <w:p>
            <w:pPr>
              <w:overflowPunct w:val="0"/>
              <w:snapToGrid w:val="0"/>
              <w:jc w:val="center"/>
              <w:rPr>
                <w:rFonts w:ascii="Times New Roman" w:hAnsi="Times New Roman"/>
              </w:rPr>
            </w:pPr>
            <w:r>
              <w:rPr>
                <w:rFonts w:ascii="Times New Roman" w:hAnsi="Times New Roman"/>
              </w:rPr>
              <w:t>承灾体属性描述</w:t>
            </w:r>
          </w:p>
        </w:tc>
        <w:tc>
          <w:tcPr>
            <w:tcW w:w="0" w:type="auto"/>
            <w:vAlign w:val="center"/>
          </w:tcPr>
          <w:p>
            <w:pPr>
              <w:overflowPunct w:val="0"/>
              <w:snapToGrid w:val="0"/>
              <w:jc w:val="center"/>
              <w:rPr>
                <w:rFonts w:ascii="Times New Roman" w:hAnsi="Times New Roman"/>
              </w:rPr>
            </w:pPr>
            <w:r>
              <w:rPr>
                <w:rFonts w:ascii="Times New Roman" w:hAnsi="Times New Roman"/>
              </w:rPr>
              <w:t>破坏后果影响系数C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overflowPunct w:val="0"/>
              <w:snapToGrid w:val="0"/>
              <w:jc w:val="center"/>
              <w:rPr>
                <w:rFonts w:ascii="Times New Roman" w:hAnsi="Times New Roman"/>
                <w:kern w:val="0"/>
                <w:szCs w:val="20"/>
              </w:rPr>
            </w:pPr>
            <w:r>
              <w:rPr>
                <w:rFonts w:ascii="Times New Roman" w:hAnsi="Times New Roman"/>
                <w:kern w:val="0"/>
                <w:szCs w:val="20"/>
              </w:rPr>
              <w:t>Ⅰ类</w:t>
            </w:r>
          </w:p>
        </w:tc>
        <w:tc>
          <w:tcPr>
            <w:tcW w:w="4780" w:type="dxa"/>
            <w:gridSpan w:val="2"/>
            <w:vAlign w:val="center"/>
          </w:tcPr>
          <w:p>
            <w:pPr>
              <w:overflowPunct w:val="0"/>
              <w:snapToGrid w:val="0"/>
              <w:rPr>
                <w:rFonts w:ascii="Times New Roman" w:hAnsi="Times New Roman"/>
              </w:rPr>
            </w:pPr>
            <w:r>
              <w:rPr>
                <w:rFonts w:ascii="Times New Roman" w:hAnsi="Times New Roman"/>
              </w:rPr>
              <w:t>地震时或地震后使用功能不能中断、或存放大量爆炸、放射性危险物品或有毒、有害物品的建筑工程，涉及国家公共安全的重大建筑工程，地震时可能发生严重次生灾害等特别重大灾害后果的建筑工程。</w:t>
            </w:r>
          </w:p>
        </w:tc>
        <w:tc>
          <w:tcPr>
            <w:tcW w:w="0" w:type="auto"/>
            <w:vAlign w:val="center"/>
          </w:tcPr>
          <w:p>
            <w:pPr>
              <w:overflowPunct w:val="0"/>
              <w:snapToGrid w:val="0"/>
              <w:jc w:val="center"/>
              <w:rPr>
                <w:rFonts w:ascii="Times New Roman" w:hAnsi="Times New Roman"/>
              </w:rPr>
            </w:pPr>
            <w:r>
              <w:rPr>
                <w:rFonts w:ascii="Times New Roman" w:hAnsi="Times New Roma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overflowPunct w:val="0"/>
              <w:snapToGrid w:val="0"/>
              <w:jc w:val="center"/>
              <w:rPr>
                <w:rFonts w:ascii="Times New Roman" w:hAnsi="Times New Roman"/>
                <w:kern w:val="0"/>
                <w:szCs w:val="20"/>
              </w:rPr>
            </w:pPr>
            <w:r>
              <w:rPr>
                <w:rFonts w:ascii="Times New Roman" w:hAnsi="Times New Roman"/>
                <w:kern w:val="0"/>
                <w:szCs w:val="20"/>
              </w:rPr>
              <w:t>Ⅱ类</w:t>
            </w:r>
          </w:p>
        </w:tc>
        <w:tc>
          <w:tcPr>
            <w:tcW w:w="4780" w:type="dxa"/>
            <w:gridSpan w:val="2"/>
            <w:vAlign w:val="center"/>
          </w:tcPr>
          <w:p>
            <w:pPr>
              <w:overflowPunct w:val="0"/>
              <w:snapToGrid w:val="0"/>
              <w:rPr>
                <w:rFonts w:ascii="Times New Roman" w:hAnsi="Times New Roman"/>
              </w:rPr>
            </w:pPr>
            <w:r>
              <w:rPr>
                <w:rFonts w:ascii="Times New Roman" w:hAnsi="Times New Roman"/>
              </w:rPr>
              <w:t>地震时使用功能不能中断或使用功能必须在短期内恢复、或对震后社会运行起关键作用、或地震时可导致大量人员伤亡等重大灾害后果的建筑工程。存放危险物品但其外释范围可控且对公众危害不大的工程结构</w:t>
            </w:r>
          </w:p>
        </w:tc>
        <w:tc>
          <w:tcPr>
            <w:tcW w:w="0" w:type="auto"/>
            <w:vAlign w:val="center"/>
          </w:tcPr>
          <w:p>
            <w:pPr>
              <w:overflowPunct w:val="0"/>
              <w:snapToGrid w:val="0"/>
              <w:jc w:val="center"/>
              <w:rPr>
                <w:rFonts w:ascii="Times New Roman" w:hAnsi="Times New Roman"/>
              </w:rPr>
            </w:pPr>
            <w:r>
              <w:rPr>
                <w:rFonts w:ascii="Times New Roman" w:hAnsi="Times New Roma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433" w:type="dxa"/>
            <w:vMerge w:val="restart"/>
            <w:vAlign w:val="center"/>
          </w:tcPr>
          <w:p>
            <w:pPr>
              <w:overflowPunct w:val="0"/>
              <w:snapToGrid w:val="0"/>
              <w:jc w:val="center"/>
              <w:rPr>
                <w:rFonts w:ascii="Times New Roman" w:hAnsi="Times New Roman"/>
                <w:kern w:val="0"/>
                <w:szCs w:val="20"/>
              </w:rPr>
            </w:pPr>
            <w:r>
              <w:rPr>
                <w:rFonts w:ascii="Times New Roman" w:hAnsi="Times New Roman"/>
                <w:kern w:val="0"/>
                <w:szCs w:val="20"/>
              </w:rPr>
              <w:t>Ⅲ类</w:t>
            </w:r>
          </w:p>
        </w:tc>
        <w:tc>
          <w:tcPr>
            <w:tcW w:w="3524" w:type="dxa"/>
            <w:vMerge w:val="restart"/>
            <w:vAlign w:val="center"/>
          </w:tcPr>
          <w:p>
            <w:pPr>
              <w:overflowPunct w:val="0"/>
              <w:snapToGrid w:val="0"/>
              <w:rPr>
                <w:rFonts w:ascii="Times New Roman" w:hAnsi="Times New Roman"/>
              </w:rPr>
            </w:pPr>
            <w:r>
              <w:rPr>
                <w:rFonts w:ascii="Times New Roman" w:hAnsi="Times New Roman"/>
              </w:rPr>
              <w:t>除Ⅳ类、Ⅱ类和Ⅰ类以外的工程结构均属此类</w:t>
            </w:r>
          </w:p>
        </w:tc>
        <w:tc>
          <w:tcPr>
            <w:tcW w:w="1256" w:type="dxa"/>
            <w:vAlign w:val="center"/>
          </w:tcPr>
          <w:p>
            <w:pPr>
              <w:overflowPunct w:val="0"/>
              <w:snapToGrid w:val="0"/>
              <w:jc w:val="center"/>
              <w:rPr>
                <w:rFonts w:ascii="Times New Roman" w:hAnsi="Times New Roman"/>
              </w:rPr>
            </w:pPr>
            <w:r>
              <w:rPr>
                <w:rFonts w:ascii="Times New Roman" w:hAnsi="Times New Roman"/>
              </w:rPr>
              <w:t>建筑物</w:t>
            </w:r>
          </w:p>
        </w:tc>
        <w:tc>
          <w:tcPr>
            <w:tcW w:w="2083" w:type="dxa"/>
            <w:vAlign w:val="center"/>
          </w:tcPr>
          <w:p>
            <w:pPr>
              <w:overflowPunct w:val="0"/>
              <w:snapToGrid w:val="0"/>
              <w:jc w:val="center"/>
              <w:rPr>
                <w:rFonts w:ascii="Times New Roman" w:hAnsi="Times New Roman"/>
              </w:rPr>
            </w:pPr>
            <w:r>
              <w:rPr>
                <w:rFonts w:ascii="Times New Roman" w:hAnsi="Times New Roman"/>
              </w:rPr>
              <w:t>按照公式4.3计算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433" w:type="dxa"/>
            <w:vMerge w:val="continue"/>
            <w:vAlign w:val="center"/>
          </w:tcPr>
          <w:p>
            <w:pPr>
              <w:overflowPunct w:val="0"/>
              <w:snapToGrid w:val="0"/>
              <w:jc w:val="center"/>
              <w:rPr>
                <w:rFonts w:ascii="Times New Roman" w:hAnsi="Times New Roman"/>
                <w:kern w:val="0"/>
                <w:szCs w:val="20"/>
              </w:rPr>
            </w:pPr>
          </w:p>
        </w:tc>
        <w:tc>
          <w:tcPr>
            <w:tcW w:w="3524" w:type="dxa"/>
            <w:vMerge w:val="continue"/>
            <w:vAlign w:val="center"/>
          </w:tcPr>
          <w:p>
            <w:pPr>
              <w:overflowPunct w:val="0"/>
              <w:snapToGrid w:val="0"/>
              <w:rPr>
                <w:rFonts w:ascii="Times New Roman" w:hAnsi="Times New Roman"/>
              </w:rPr>
            </w:pPr>
          </w:p>
        </w:tc>
        <w:tc>
          <w:tcPr>
            <w:tcW w:w="1256" w:type="dxa"/>
            <w:vAlign w:val="center"/>
          </w:tcPr>
          <w:p>
            <w:pPr>
              <w:overflowPunct w:val="0"/>
              <w:snapToGrid w:val="0"/>
              <w:jc w:val="center"/>
              <w:rPr>
                <w:rFonts w:ascii="Times New Roman" w:hAnsi="Times New Roman"/>
              </w:rPr>
            </w:pPr>
            <w:r>
              <w:rPr>
                <w:rFonts w:ascii="Times New Roman" w:hAnsi="Times New Roman"/>
              </w:rPr>
              <w:t>构筑物</w:t>
            </w:r>
          </w:p>
        </w:tc>
        <w:tc>
          <w:tcPr>
            <w:tcW w:w="2083" w:type="dxa"/>
            <w:vAlign w:val="center"/>
          </w:tcPr>
          <w:p>
            <w:pPr>
              <w:overflowPunct w:val="0"/>
              <w:snapToGrid w:val="0"/>
              <w:jc w:val="center"/>
              <w:rPr>
                <w:rFonts w:ascii="Times New Roman" w:hAnsi="Times New Roman"/>
              </w:rPr>
            </w:pPr>
            <w:r>
              <w:rPr>
                <w:rFonts w:ascii="Times New Roman" w:hAnsi="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overflowPunct w:val="0"/>
              <w:snapToGrid w:val="0"/>
              <w:jc w:val="center"/>
              <w:rPr>
                <w:rFonts w:ascii="Times New Roman" w:hAnsi="Times New Roman"/>
                <w:kern w:val="0"/>
                <w:szCs w:val="20"/>
              </w:rPr>
            </w:pPr>
            <w:r>
              <w:rPr>
                <w:rFonts w:ascii="Times New Roman" w:hAnsi="Times New Roman"/>
                <w:kern w:val="0"/>
                <w:szCs w:val="20"/>
              </w:rPr>
              <w:t>Ⅳ类</w:t>
            </w:r>
          </w:p>
        </w:tc>
        <w:tc>
          <w:tcPr>
            <w:tcW w:w="4780" w:type="dxa"/>
            <w:gridSpan w:val="2"/>
            <w:vAlign w:val="center"/>
          </w:tcPr>
          <w:p>
            <w:pPr>
              <w:overflowPunct w:val="0"/>
              <w:snapToGrid w:val="0"/>
              <w:rPr>
                <w:rFonts w:ascii="Times New Roman" w:hAnsi="Times New Roman"/>
              </w:rPr>
            </w:pPr>
            <w:r>
              <w:rPr>
                <w:rFonts w:ascii="Times New Roman" w:hAnsi="Times New Roman"/>
              </w:rPr>
              <w:t>地震时不危及人的生命、震损不致产生次生灾害和不会造成严重经济财产损失的建筑工程</w:t>
            </w:r>
          </w:p>
        </w:tc>
        <w:tc>
          <w:tcPr>
            <w:tcW w:w="0" w:type="auto"/>
            <w:vAlign w:val="center"/>
          </w:tcPr>
          <w:p>
            <w:pPr>
              <w:overflowPunct w:val="0"/>
              <w:snapToGrid w:val="0"/>
              <w:jc w:val="center"/>
              <w:rPr>
                <w:rFonts w:ascii="Times New Roman" w:hAnsi="Times New Roman"/>
              </w:rPr>
            </w:pPr>
            <w:r>
              <w:rPr>
                <w:rFonts w:ascii="Times New Roman" w:hAnsi="Times New Roman"/>
              </w:rPr>
              <w:t>1.00</w:t>
            </w:r>
          </w:p>
        </w:tc>
      </w:tr>
      <w:bookmarkEnd w:id="130"/>
    </w:tbl>
    <w:p>
      <w:pPr>
        <w:pStyle w:val="2"/>
      </w:pPr>
    </w:p>
    <w:p>
      <w:pPr>
        <w:pStyle w:val="105"/>
        <w:spacing w:before="120" w:after="120"/>
      </w:pPr>
      <w:bookmarkStart w:id="131" w:name="_Toc155627142"/>
      <w:bookmarkStart w:id="132" w:name="_Toc162254698"/>
      <w:r>
        <w:rPr>
          <w:rFonts w:hint="eastAsia"/>
        </w:rPr>
        <w:t>承灾体场址影响系数</w:t>
      </w:r>
      <w:bookmarkEnd w:id="131"/>
      <w:bookmarkEnd w:id="132"/>
    </w:p>
    <w:p>
      <w:pPr>
        <w:pStyle w:val="56"/>
        <w:ind w:firstLine="420"/>
      </w:pPr>
      <w:r>
        <w:rPr>
          <w:rFonts w:hint="eastAsia"/>
        </w:rPr>
        <w:t>承灾体场址影响的确定，应分别考虑承灾体所在场址的地震危险性和场地类别影响，按式（</w:t>
      </w:r>
      <w:r>
        <w:rPr>
          <w:rFonts w:ascii="Times New Roman"/>
        </w:rPr>
        <w:t>4.4</w:t>
      </w:r>
      <w:r>
        <w:rPr>
          <w:rFonts w:hint="eastAsia"/>
        </w:rPr>
        <w:t>）进行计算。</w:t>
      </w:r>
    </w:p>
    <w:p>
      <w:pPr>
        <w:pStyle w:val="230"/>
        <w:spacing w:after="163"/>
        <w:jc w:val="right"/>
        <w:rPr>
          <w:rFonts w:ascii="Times New Roman"/>
        </w:rPr>
      </w:pPr>
      <m:oMath>
        <m:r>
          <m:rPr/>
          <w:rPr>
            <w:rFonts w:ascii="Cambria Math" w:hAnsi="Cambria Math"/>
          </w:rPr>
          <m:t>R</m:t>
        </m:r>
        <m:r>
          <m:rPr>
            <m:sty m:val="p"/>
          </m:rPr>
          <w:rPr>
            <w:rFonts w:ascii="Cambria Math" w:hAnsi="Cambria Math"/>
          </w:rPr>
          <m:t>=</m:t>
        </m:r>
        <m:sSub>
          <m:sSubPr>
            <m:ctrlPr>
              <w:rPr>
                <w:rFonts w:ascii="Cambria Math" w:hAnsi="Cambria Math"/>
              </w:rPr>
            </m:ctrlPr>
          </m:sSubPr>
          <m:e>
            <m:sSub>
              <m:sSubPr>
                <m:ctrlPr>
                  <w:rPr>
                    <w:rFonts w:ascii="Cambria Math" w:hAnsi="Cambria Math"/>
                    <w:i/>
                    <w:iCs/>
                  </w:rPr>
                </m:ctrlPr>
              </m:sSubPr>
              <m:e>
                <m:r>
                  <m:rPr/>
                  <w:rPr>
                    <w:rFonts w:hint="eastAsia" w:ascii="Cambria Math" w:hAnsi="Cambria Math"/>
                  </w:rPr>
                  <m:t>a</m:t>
                </m:r>
                <m:ctrlPr>
                  <w:rPr>
                    <w:rFonts w:ascii="Cambria Math" w:hAnsi="Cambria Math"/>
                    <w:i/>
                    <w:iCs/>
                  </w:rPr>
                </m:ctrlPr>
              </m:e>
              <m:sub>
                <m:r>
                  <m:rPr/>
                  <w:rPr>
                    <w:rFonts w:hint="eastAsia" w:ascii="Cambria Math" w:hAnsi="Cambria Math"/>
                  </w:rPr>
                  <m:t>R</m:t>
                </m:r>
                <m:ctrlPr>
                  <w:rPr>
                    <w:rFonts w:ascii="Cambria Math" w:hAnsi="Cambria Math"/>
                    <w:i/>
                    <w:iCs/>
                  </w:rPr>
                </m:ctrlPr>
              </m:sub>
            </m:sSub>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sSub>
          <m:sSubPr>
            <m:ctrlPr>
              <w:rPr>
                <w:rFonts w:ascii="Cambria Math" w:hAnsi="Cambria Math"/>
              </w:rPr>
            </m:ctrlPr>
          </m:sSubPr>
          <m:e>
            <m:r>
              <m:rPr>
                <m:sty m:val="p"/>
              </m:rPr>
              <w:rPr>
                <w:rFonts w:ascii="Cambria Math" w:hAnsi="Cambria Math"/>
              </w:rPr>
              <m:t>+</m:t>
            </m:r>
            <m:sSub>
              <m:sSubPr>
                <m:ctrlPr>
                  <w:rPr>
                    <w:rFonts w:ascii="Cambria Math" w:hAnsi="Cambria Math"/>
                    <w:i/>
                    <w:iCs/>
                  </w:rPr>
                </m:ctrlPr>
              </m:sSubPr>
              <m:e>
                <m:r>
                  <m:rPr/>
                  <w:rPr>
                    <w:rFonts w:ascii="Cambria Math" w:hAnsi="Cambria Math"/>
                  </w:rPr>
                  <m:t>b</m:t>
                </m:r>
                <m:ctrlPr>
                  <w:rPr>
                    <w:rFonts w:ascii="Cambria Math" w:hAnsi="Cambria Math"/>
                    <w:i/>
                    <w:iCs/>
                  </w:rPr>
                </m:ctrlPr>
              </m:e>
              <m:sub>
                <m:r>
                  <m:rPr/>
                  <w:rPr>
                    <w:rFonts w:hint="eastAsia" w:ascii="Cambria Math" w:hAnsi="Cambria Math"/>
                  </w:rPr>
                  <m:t>R</m:t>
                </m:r>
                <m:ctrlPr>
                  <w:rPr>
                    <w:rFonts w:ascii="Cambria Math" w:hAnsi="Cambria Math"/>
                    <w:i/>
                    <w:iCs/>
                  </w:rPr>
                </m:ctrlPr>
              </m:sub>
            </m:sSub>
            <m:r>
              <m:rPr>
                <m:sty m:val="p"/>
              </m:rPr>
              <w:rPr>
                <w:rFonts w:ascii="Cambria Math" w:hAnsi="Cambria Math"/>
              </w:rPr>
              <m:t>∙</m:t>
            </m:r>
            <m:r>
              <m:rP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hint="eastAsia" w:ascii="Times New Roman"/>
        </w:rPr>
        <w:t xml:space="preserve"> </w:t>
      </w:r>
      <w:r>
        <w:rPr>
          <w:rFonts w:ascii="Times New Roman"/>
        </w:rPr>
        <w:t xml:space="preserve">                            </w:t>
      </w:r>
      <w:r>
        <w:rPr>
          <w:rFonts w:hint="eastAsia" w:ascii="Times New Roman"/>
        </w:rPr>
        <w:t>（4</w:t>
      </w:r>
      <w:r>
        <w:rPr>
          <w:rFonts w:ascii="Times New Roman"/>
        </w:rPr>
        <w:t>.4</w:t>
      </w:r>
      <w:r>
        <w:rPr>
          <w:rFonts w:hint="eastAsia" w:ascii="Times New Roman"/>
        </w:rPr>
        <w:t>）</w:t>
      </w:r>
    </w:p>
    <w:p>
      <w:pPr>
        <w:overflowPunct w:val="0"/>
        <w:snapToGrid w:val="0"/>
        <w:spacing w:after="163" w:line="360" w:lineRule="auto"/>
        <w:jc w:val="left"/>
        <w:rPr>
          <w:rFonts w:hAnsi="Times New Roman"/>
        </w:rPr>
      </w:pPr>
      <w:r>
        <w:rPr>
          <w:rFonts w:hAnsi="Times New Roman"/>
        </w:rPr>
        <w:t>式中：</w:t>
      </w:r>
      <w:r>
        <w:rPr>
          <w:rFonts w:hAnsi="Times New Roman"/>
        </w:rPr>
        <w:tab/>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1</m:t>
            </m:r>
            <m:ctrlPr>
              <w:rPr>
                <w:rFonts w:ascii="Cambria Math" w:hAnsi="Cambria Math"/>
              </w:rPr>
            </m:ctrlPr>
          </m:sub>
        </m:sSub>
      </m:oMath>
      <w:r>
        <w:rPr>
          <w:rFonts w:hAnsi="Times New Roman"/>
        </w:rPr>
        <w:t>—表示</w:t>
      </w:r>
      <w:r>
        <w:rPr>
          <w:rFonts w:hint="eastAsia" w:hAnsi="Times New Roman"/>
        </w:rPr>
        <w:t>考虑地震危险性的场址影响系数</w:t>
      </w:r>
      <w:r>
        <w:rPr>
          <w:rFonts w:hAnsi="Times New Roman"/>
        </w:rPr>
        <w:t>；</w:t>
      </w:r>
    </w:p>
    <w:p>
      <w:pPr>
        <w:overflowPunct w:val="0"/>
        <w:snapToGrid w:val="0"/>
        <w:spacing w:after="163" w:line="360" w:lineRule="auto"/>
        <w:jc w:val="left"/>
        <w:rPr>
          <w:rFonts w:hAnsi="Times New Roman"/>
        </w:rPr>
      </w:pPr>
      <w:r>
        <w:rPr>
          <w:rFonts w:hAnsi="Times New Roman"/>
        </w:rPr>
        <w:tab/>
      </w:r>
      <w:r>
        <w:rPr>
          <w:rFonts w:hAnsi="Times New Roman"/>
        </w:rPr>
        <w:tab/>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2</m:t>
            </m:r>
            <m:ctrlPr>
              <w:rPr>
                <w:rFonts w:ascii="Cambria Math" w:hAnsi="Cambria Math"/>
              </w:rPr>
            </m:ctrlPr>
          </m:sub>
        </m:sSub>
      </m:oMath>
      <w:r>
        <w:rPr>
          <w:rFonts w:hAnsi="Times New Roman"/>
        </w:rPr>
        <w:t>—表示</w:t>
      </w:r>
      <w:r>
        <w:rPr>
          <w:rFonts w:hint="eastAsia" w:hAnsi="Times New Roman"/>
        </w:rPr>
        <w:t>考虑场地类别的场址影响系数</w:t>
      </w:r>
      <w:r>
        <w:rPr>
          <w:rFonts w:hAnsi="Times New Roman"/>
        </w:rPr>
        <w:t>；</w:t>
      </w:r>
    </w:p>
    <w:p>
      <w:pPr>
        <w:overflowPunct w:val="0"/>
        <w:snapToGrid w:val="0"/>
        <w:spacing w:after="163" w:line="360" w:lineRule="auto"/>
        <w:ind w:left="420" w:firstLine="420"/>
        <w:jc w:val="left"/>
      </w:pPr>
      <m:oMath>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ascii="Cambria Math" w:hAnsi="Cambria Math"/>
              </w:rPr>
              <m:t>R</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R</m:t>
            </m:r>
            <m:ctrlPr>
              <w:rPr>
                <w:rFonts w:ascii="Cambria Math" w:hAnsi="Cambria Math"/>
                <w:i/>
              </w:rPr>
            </m:ctrlPr>
          </m:sub>
        </m:sSub>
      </m:oMath>
      <w:r>
        <w:rPr>
          <w:rFonts w:hAnsi="Times New Roman"/>
        </w:rPr>
        <w:t>—</w:t>
      </w:r>
      <w:r>
        <w:rPr>
          <w:rFonts w:hint="eastAsia" w:hAnsi="Times New Roman"/>
        </w:rPr>
        <w:t>表示权重系数，本标准中</w:t>
      </w:r>
      <m:oMath>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=0.5</m:t>
        </m:r>
      </m:oMath>
      <w:r>
        <w:rPr>
          <w:rFonts w:hint="eastAsia" w:hAnsi="Times New Roman"/>
        </w:rPr>
        <w:t>，</w:t>
      </w:r>
      <m:oMath>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=0.5</m:t>
        </m:r>
      </m:oMath>
      <w:r>
        <w:rPr>
          <w:rFonts w:hint="eastAsia" w:hAnsi="Times New Roman"/>
        </w:rPr>
        <w:t>。</w:t>
      </w:r>
    </w:p>
    <w:p>
      <w:pPr>
        <w:pStyle w:val="165"/>
        <w:ind w:left="0"/>
      </w:pPr>
      <w:r>
        <w:rPr>
          <w:rFonts w:hint="eastAsia"/>
        </w:rPr>
        <w:t>地震危害性影响。</w:t>
      </w:r>
    </w:p>
    <w:p>
      <w:pPr>
        <w:pStyle w:val="165"/>
        <w:numPr>
          <w:ilvl w:val="0"/>
          <w:numId w:val="0"/>
        </w:numPr>
        <w:ind w:firstLine="420" w:firstLineChars="200"/>
      </w:pPr>
      <w:r>
        <w:rPr>
          <w:rFonts w:hint="eastAsia"/>
        </w:rPr>
        <w:t>地震危险性影响系数的取值，应按承灾体所处地区的抗震设防要求（《中国地震动参数区划图》），按表</w:t>
      </w:r>
      <w:r>
        <w:rPr>
          <w:rFonts w:ascii="Times New Roman"/>
        </w:rPr>
        <w:t>4.4.1</w:t>
      </w:r>
      <w:r>
        <w:rPr>
          <w:rFonts w:hint="eastAsia"/>
        </w:rPr>
        <w:t>确定。</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 xml:space="preserve">4.4.1 </w:t>
      </w:r>
      <w:r>
        <w:rPr>
          <w:rFonts w:hint="eastAsia" w:hAnsi="Times New Roman" w:eastAsia="黑体"/>
        </w:rPr>
        <w:t>考虑地震危险性</w:t>
      </w:r>
      <w:r>
        <w:rPr>
          <w:rFonts w:hAnsi="Times New Roman" w:eastAsia="黑体"/>
        </w:rPr>
        <w:t>的承灾体</w:t>
      </w:r>
      <w:r>
        <w:rPr>
          <w:rFonts w:hint="eastAsia" w:hAnsi="Times New Roman" w:eastAsia="黑体"/>
        </w:rPr>
        <w:t>场址影响</w:t>
      </w:r>
      <w:r>
        <w:rPr>
          <w:rFonts w:hAnsi="Times New Roman" w:eastAsia="黑体"/>
        </w:rPr>
        <w:t>系数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hAnsi="Times New Roman"/>
              </w:rPr>
            </w:pPr>
            <w:r>
              <w:rPr>
                <w:rFonts w:hAnsi="Times New Roman"/>
              </w:rPr>
              <w:t>地震动参数区划</w:t>
            </w:r>
          </w:p>
        </w:tc>
        <w:tc>
          <w:tcPr>
            <w:tcW w:w="2676" w:type="dxa"/>
            <w:vAlign w:val="center"/>
          </w:tcPr>
          <w:p>
            <w:pPr>
              <w:overflowPunct w:val="0"/>
              <w:snapToGrid w:val="0"/>
              <w:jc w:val="center"/>
              <w:rPr>
                <w:rFonts w:hAnsi="Times New Roman"/>
              </w:rPr>
            </w:pPr>
            <w:r>
              <w:rPr>
                <w:rFonts w:hint="eastAsia" w:hAnsi="Times New Roman"/>
              </w:rPr>
              <w:t>场址影响</w:t>
            </w:r>
            <w:r>
              <w:rPr>
                <w:rFonts w:hAnsi="Times New Roman"/>
              </w:rPr>
              <w:t>系数</w:t>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1</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0.05g</w:t>
            </w:r>
          </w:p>
        </w:tc>
        <w:tc>
          <w:tcPr>
            <w:tcW w:w="2676" w:type="dxa"/>
            <w:vAlign w:val="center"/>
          </w:tcPr>
          <w:p>
            <w:pPr>
              <w:overflowPunct w:val="0"/>
              <w:snapToGrid w:val="0"/>
              <w:jc w:val="center"/>
              <w:rPr>
                <w:rFonts w:ascii="Times New Roman" w:hAnsi="Times New Roman"/>
              </w:rPr>
            </w:pPr>
            <w:r>
              <w:rPr>
                <w:rFonts w:ascii="Times New Roman" w:hAnsi="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0.10g</w:t>
            </w:r>
          </w:p>
        </w:tc>
        <w:tc>
          <w:tcPr>
            <w:tcW w:w="2676" w:type="dxa"/>
            <w:vAlign w:val="center"/>
          </w:tcPr>
          <w:p>
            <w:pPr>
              <w:overflowPunct w:val="0"/>
              <w:snapToGrid w:val="0"/>
              <w:jc w:val="center"/>
              <w:rPr>
                <w:rFonts w:ascii="Times New Roman" w:hAnsi="Times New Roman"/>
              </w:rPr>
            </w:pPr>
            <w:r>
              <w:rPr>
                <w:rFonts w:ascii="Times New Roman" w:hAnsi="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0.15g</w:t>
            </w:r>
          </w:p>
        </w:tc>
        <w:tc>
          <w:tcPr>
            <w:tcW w:w="2676" w:type="dxa"/>
            <w:vAlign w:val="center"/>
          </w:tcPr>
          <w:p>
            <w:pPr>
              <w:overflowPunct w:val="0"/>
              <w:snapToGrid w:val="0"/>
              <w:jc w:val="center"/>
              <w:rPr>
                <w:rFonts w:ascii="Times New Roman" w:hAnsi="Times New Roman"/>
              </w:rPr>
            </w:pPr>
            <w:r>
              <w:rPr>
                <w:rFonts w:ascii="Times New Roman" w:hAnsi="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0.20g</w:t>
            </w:r>
          </w:p>
        </w:tc>
        <w:tc>
          <w:tcPr>
            <w:tcW w:w="2676" w:type="dxa"/>
            <w:vAlign w:val="center"/>
          </w:tcPr>
          <w:p>
            <w:pPr>
              <w:overflowPunct w:val="0"/>
              <w:snapToGrid w:val="0"/>
              <w:jc w:val="center"/>
              <w:rPr>
                <w:rFonts w:ascii="Times New Roman" w:hAnsi="Times New Roman"/>
              </w:rPr>
            </w:pPr>
            <w:r>
              <w:rPr>
                <w:rFonts w:ascii="Times New Roman" w:hAnsi="Times New Roma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0.30g</w:t>
            </w:r>
          </w:p>
        </w:tc>
        <w:tc>
          <w:tcPr>
            <w:tcW w:w="2676" w:type="dxa"/>
            <w:vAlign w:val="center"/>
          </w:tcPr>
          <w:p>
            <w:pPr>
              <w:overflowPunct w:val="0"/>
              <w:snapToGrid w:val="0"/>
              <w:jc w:val="center"/>
              <w:rPr>
                <w:rFonts w:ascii="Times New Roman" w:hAnsi="Times New Roman"/>
              </w:rPr>
            </w:pPr>
            <w:r>
              <w:rPr>
                <w:rFonts w:ascii="Times New Roman" w:hAnsi="Times New Roma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pPr>
              <w:overflowPunct w:val="0"/>
              <w:snapToGrid w:val="0"/>
              <w:jc w:val="center"/>
              <w:rPr>
                <w:rFonts w:ascii="Times New Roman" w:hAnsi="Times New Roman"/>
              </w:rPr>
            </w:pPr>
            <w:r>
              <w:rPr>
                <w:rFonts w:ascii="Times New Roman" w:hAnsi="Times New Roman"/>
              </w:rPr>
              <w:t>0.40g</w:t>
            </w:r>
          </w:p>
        </w:tc>
        <w:tc>
          <w:tcPr>
            <w:tcW w:w="2676" w:type="dxa"/>
            <w:vAlign w:val="center"/>
          </w:tcPr>
          <w:p>
            <w:pPr>
              <w:overflowPunct w:val="0"/>
              <w:snapToGrid w:val="0"/>
              <w:jc w:val="center"/>
              <w:rPr>
                <w:rFonts w:ascii="Times New Roman" w:hAnsi="Times New Roman"/>
              </w:rPr>
            </w:pPr>
            <w:r>
              <w:rPr>
                <w:rFonts w:ascii="Times New Roman" w:hAnsi="Times New Roman"/>
              </w:rPr>
              <w:t>0.85</w:t>
            </w:r>
          </w:p>
        </w:tc>
      </w:tr>
    </w:tbl>
    <w:p>
      <w:pPr>
        <w:pStyle w:val="165"/>
        <w:numPr>
          <w:ilvl w:val="0"/>
          <w:numId w:val="0"/>
        </w:numPr>
      </w:pPr>
    </w:p>
    <w:p>
      <w:pPr>
        <w:pStyle w:val="165"/>
        <w:ind w:left="0"/>
      </w:pPr>
      <w:r>
        <w:rPr>
          <w:rFonts w:hint="eastAsia"/>
        </w:rPr>
        <w:t>场地类别影响</w:t>
      </w:r>
    </w:p>
    <w:p>
      <w:pPr>
        <w:pStyle w:val="165"/>
        <w:numPr>
          <w:ilvl w:val="0"/>
          <w:numId w:val="0"/>
        </w:numPr>
        <w:ind w:firstLine="420" w:firstLineChars="200"/>
      </w:pPr>
      <w:r>
        <w:rPr>
          <w:rFonts w:hint="eastAsia"/>
        </w:rPr>
        <w:t>承灾体所在场地类别影响系数的确定，应综合考虑断层、软土等地震地质破坏不利因素，将工程场地划分为</w:t>
      </w:r>
      <w:r>
        <w:rPr>
          <w:rFonts w:ascii="Times New Roman"/>
        </w:rPr>
        <w:t>I、Ⅱ、Ⅲ、Ⅳ、Ⅴ</w:t>
      </w:r>
      <w:r>
        <w:rPr>
          <w:rFonts w:hint="eastAsia"/>
        </w:rPr>
        <w:t>五类，其中</w:t>
      </w:r>
      <w:r>
        <w:rPr>
          <w:rFonts w:hint="eastAsia" w:ascii="Times New Roman"/>
        </w:rPr>
        <w:t>I、Ⅱ、Ⅲ、Ⅳ</w:t>
      </w:r>
      <w:r>
        <w:rPr>
          <w:rFonts w:hint="eastAsia"/>
        </w:rPr>
        <w:t>分别对应《建筑抗震设计规范》中4.1.6条中根据土层等效剪切波速和场地覆盖层厚度确定的</w:t>
      </w:r>
      <w:r>
        <w:rPr>
          <w:rFonts w:hint="eastAsia" w:ascii="Times New Roman"/>
        </w:rPr>
        <w:t>I、Ⅱ、Ⅲ、Ⅳ</w:t>
      </w:r>
      <w:r>
        <w:rPr>
          <w:rFonts w:hint="eastAsia"/>
        </w:rPr>
        <w:t>类场地，与已探明的活断层距离小于等于</w:t>
      </w:r>
      <w:r>
        <w:rPr>
          <w:rFonts w:ascii="Times New Roman"/>
        </w:rPr>
        <w:t>10</w:t>
      </w:r>
      <w:r>
        <w:rPr>
          <w:rFonts w:hint="eastAsia"/>
        </w:rPr>
        <w:t>公里的场地定义为第Ⅴ类，按表</w:t>
      </w:r>
      <w:r>
        <w:rPr>
          <w:rFonts w:ascii="Times New Roman"/>
        </w:rPr>
        <w:t>4.4.2</w:t>
      </w:r>
      <w:r>
        <w:rPr>
          <w:rFonts w:hint="eastAsia"/>
        </w:rPr>
        <w:t>取值</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 xml:space="preserve">4.4.2 </w:t>
      </w:r>
      <w:r>
        <w:rPr>
          <w:rFonts w:hint="eastAsia" w:hAnsi="Times New Roman" w:eastAsia="黑体"/>
        </w:rPr>
        <w:t>不同场地的承灾体场址影响</w:t>
      </w:r>
      <w:r>
        <w:rPr>
          <w:rFonts w:hAnsi="Times New Roman" w:eastAsia="黑体"/>
        </w:rPr>
        <w:t>系数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5"/>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hAnsi="Times New Roman"/>
              </w:rPr>
            </w:pPr>
            <w:bookmarkStart w:id="133" w:name="OLE_LINK27"/>
            <w:bookmarkStart w:id="134" w:name="OLE_LINK28"/>
            <w:r>
              <w:rPr>
                <w:rFonts w:hAnsi="Times New Roman"/>
              </w:rPr>
              <w:t>场地类别</w:t>
            </w:r>
          </w:p>
        </w:tc>
        <w:tc>
          <w:tcPr>
            <w:tcW w:w="2756" w:type="pct"/>
            <w:vAlign w:val="center"/>
          </w:tcPr>
          <w:p>
            <w:pPr>
              <w:overflowPunct w:val="0"/>
              <w:snapToGrid w:val="0"/>
              <w:jc w:val="center"/>
              <w:rPr>
                <w:rFonts w:hAnsi="Times New Roman"/>
              </w:rPr>
            </w:pPr>
            <w:r>
              <w:rPr>
                <w:rFonts w:hAnsi="Times New Roman"/>
              </w:rPr>
              <w:t>场址影响系数</w:t>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2</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ascii="Times New Roman" w:hAnsi="Times New Roman"/>
                <w:kern w:val="0"/>
                <w:szCs w:val="20"/>
              </w:rPr>
            </w:pPr>
            <w:r>
              <w:rPr>
                <w:rFonts w:ascii="Times New Roman" w:hAnsi="Times New Roman"/>
                <w:kern w:val="0"/>
                <w:szCs w:val="20"/>
              </w:rPr>
              <w:t>I类场地</w:t>
            </w:r>
          </w:p>
        </w:tc>
        <w:tc>
          <w:tcPr>
            <w:tcW w:w="2756" w:type="pct"/>
            <w:vAlign w:val="center"/>
          </w:tcPr>
          <w:p>
            <w:pPr>
              <w:overflowPunct w:val="0"/>
              <w:snapToGrid w:val="0"/>
              <w:jc w:val="center"/>
              <w:rPr>
                <w:rFonts w:ascii="Times New Roman" w:hAnsi="Times New Roman"/>
              </w:rPr>
            </w:pPr>
            <w:r>
              <w:rPr>
                <w:rFonts w:ascii="Times New Roman" w:hAnsi="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ascii="Times New Roman" w:hAnsi="Times New Roman"/>
                <w:kern w:val="0"/>
                <w:szCs w:val="20"/>
              </w:rPr>
            </w:pPr>
            <w:r>
              <w:rPr>
                <w:rFonts w:ascii="Times New Roman" w:hAnsi="Times New Roman"/>
                <w:kern w:val="0"/>
                <w:szCs w:val="20"/>
              </w:rPr>
              <w:t>Ⅱ类场地</w:t>
            </w:r>
          </w:p>
        </w:tc>
        <w:tc>
          <w:tcPr>
            <w:tcW w:w="2756" w:type="pct"/>
            <w:vAlign w:val="center"/>
          </w:tcPr>
          <w:p>
            <w:pPr>
              <w:overflowPunct w:val="0"/>
              <w:snapToGrid w:val="0"/>
              <w:jc w:val="center"/>
              <w:rPr>
                <w:rFonts w:ascii="Times New Roman" w:hAnsi="Times New Roman"/>
              </w:rPr>
            </w:pPr>
            <w:r>
              <w:rPr>
                <w:rFonts w:ascii="Times New Roman" w:hAnsi="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ascii="Times New Roman" w:hAnsi="Times New Roman"/>
                <w:kern w:val="0"/>
                <w:szCs w:val="20"/>
              </w:rPr>
            </w:pPr>
            <w:r>
              <w:rPr>
                <w:rFonts w:ascii="Times New Roman" w:hAnsi="Times New Roman"/>
                <w:kern w:val="0"/>
                <w:szCs w:val="20"/>
              </w:rPr>
              <w:t>Ⅲ类场地</w:t>
            </w:r>
          </w:p>
        </w:tc>
        <w:tc>
          <w:tcPr>
            <w:tcW w:w="2756" w:type="pct"/>
            <w:vAlign w:val="center"/>
          </w:tcPr>
          <w:p>
            <w:pPr>
              <w:overflowPunct w:val="0"/>
              <w:snapToGrid w:val="0"/>
              <w:jc w:val="center"/>
              <w:rPr>
                <w:rFonts w:ascii="Times New Roman" w:hAnsi="Times New Roman"/>
              </w:rPr>
            </w:pPr>
            <w:r>
              <w:rPr>
                <w:rFonts w:ascii="Times New Roman" w:hAnsi="Times New Roma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ascii="Times New Roman" w:hAnsi="Times New Roman"/>
                <w:kern w:val="0"/>
                <w:szCs w:val="20"/>
              </w:rPr>
            </w:pPr>
            <w:r>
              <w:rPr>
                <w:rFonts w:ascii="Times New Roman" w:hAnsi="Times New Roman"/>
                <w:kern w:val="0"/>
                <w:szCs w:val="20"/>
              </w:rPr>
              <w:t>Ⅳ类场地</w:t>
            </w:r>
          </w:p>
        </w:tc>
        <w:tc>
          <w:tcPr>
            <w:tcW w:w="2756" w:type="pct"/>
            <w:vAlign w:val="center"/>
          </w:tcPr>
          <w:p>
            <w:pPr>
              <w:overflowPunct w:val="0"/>
              <w:snapToGrid w:val="0"/>
              <w:jc w:val="center"/>
              <w:rPr>
                <w:rFonts w:ascii="Times New Roman" w:hAnsi="Times New Roman"/>
              </w:rPr>
            </w:pPr>
            <w:r>
              <w:rPr>
                <w:rFonts w:ascii="Times New Roman" w:hAnsi="Times New Roma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pct"/>
            <w:vAlign w:val="center"/>
          </w:tcPr>
          <w:p>
            <w:pPr>
              <w:overflowPunct w:val="0"/>
              <w:snapToGrid w:val="0"/>
              <w:jc w:val="center"/>
              <w:rPr>
                <w:rFonts w:ascii="Times New Roman" w:hAnsi="Times New Roman"/>
                <w:kern w:val="0"/>
                <w:szCs w:val="20"/>
              </w:rPr>
            </w:pPr>
            <w:r>
              <w:rPr>
                <w:rFonts w:ascii="Times New Roman" w:hAnsi="Times New Roman"/>
                <w:kern w:val="0"/>
                <w:szCs w:val="20"/>
              </w:rPr>
              <w:t>Ⅴ类场地</w:t>
            </w:r>
          </w:p>
        </w:tc>
        <w:tc>
          <w:tcPr>
            <w:tcW w:w="2756" w:type="pct"/>
            <w:vAlign w:val="center"/>
          </w:tcPr>
          <w:p>
            <w:pPr>
              <w:overflowPunct w:val="0"/>
              <w:snapToGrid w:val="0"/>
              <w:jc w:val="center"/>
              <w:rPr>
                <w:rFonts w:ascii="Times New Roman" w:hAnsi="Times New Roman"/>
              </w:rPr>
            </w:pPr>
            <w:r>
              <w:rPr>
                <w:rFonts w:ascii="Times New Roman" w:hAnsi="Times New Roman"/>
              </w:rPr>
              <w:t>0.75</w:t>
            </w:r>
          </w:p>
        </w:tc>
      </w:tr>
      <w:bookmarkEnd w:id="133"/>
      <w:bookmarkEnd w:id="134"/>
    </w:tbl>
    <w:p>
      <w:pPr>
        <w:pStyle w:val="165"/>
        <w:numPr>
          <w:ilvl w:val="0"/>
          <w:numId w:val="0"/>
        </w:numPr>
      </w:pPr>
    </w:p>
    <w:p>
      <w:pPr>
        <w:pStyle w:val="105"/>
        <w:spacing w:before="120" w:after="120"/>
      </w:pPr>
      <w:bookmarkStart w:id="135" w:name="_Toc155627143"/>
      <w:bookmarkStart w:id="136" w:name="_Toc162254699"/>
      <w:r>
        <w:rPr>
          <w:rFonts w:hint="eastAsia"/>
        </w:rPr>
        <w:t>承灾体易损性影响系数</w:t>
      </w:r>
      <w:bookmarkEnd w:id="135"/>
      <w:bookmarkEnd w:id="136"/>
    </w:p>
    <w:p>
      <w:pPr>
        <w:pStyle w:val="165"/>
        <w:numPr>
          <w:ilvl w:val="0"/>
          <w:numId w:val="0"/>
        </w:numPr>
        <w:ind w:firstLine="420" w:firstLineChars="200"/>
      </w:pPr>
      <w:r>
        <w:rPr>
          <w:rFonts w:hint="eastAsia"/>
        </w:rPr>
        <w:t>承灾体易损性影响系数的确定，应综合计入承灾体设防标准、建造年代和承灾体病害三方面影响，按式</w:t>
      </w:r>
      <w:r>
        <w:rPr>
          <w:rFonts w:ascii="Times New Roman"/>
        </w:rPr>
        <w:t>（4.5）</w:t>
      </w:r>
      <w:r>
        <w:rPr>
          <w:rFonts w:hint="eastAsia"/>
        </w:rPr>
        <w:t>计算。</w:t>
      </w:r>
    </w:p>
    <w:p>
      <w:pPr>
        <w:pStyle w:val="230"/>
        <w:spacing w:after="163"/>
        <w:jc w:val="right"/>
        <w:rPr>
          <w:rFonts w:ascii="Times New Roman"/>
        </w:rPr>
      </w:pPr>
      <m:oMath>
        <m:r>
          <m:rPr/>
          <w:rPr>
            <w:rFonts w:ascii="Cambria Math" w:hAnsi="Cambria Math"/>
          </w:rPr>
          <m:t>V</m:t>
        </m:r>
        <m:r>
          <m:rPr>
            <m:sty m:val="p"/>
          </m:rPr>
          <w:rPr>
            <w:rFonts w:ascii="Cambria Math" w:hAnsi="Cambria Math"/>
          </w:rPr>
          <m:t>=</m:t>
        </m:r>
        <m:sSub>
          <m:sSubPr>
            <m:ctrlPr>
              <w:rPr>
                <w:rFonts w:ascii="Cambria Math" w:hAnsi="Cambria Math"/>
                <w:i/>
                <w:iCs/>
              </w:rPr>
            </m:ctrlPr>
          </m:sSubPr>
          <m:e>
            <m:r>
              <m:rPr/>
              <w:rPr>
                <w:rFonts w:ascii="Cambria Math" w:hAnsi="Cambria Math"/>
              </w:rPr>
              <m:t>a</m:t>
            </m:r>
            <m:ctrlPr>
              <w:rPr>
                <w:rFonts w:ascii="Cambria Math" w:hAnsi="Cambria Math"/>
                <w:i/>
                <w:iCs/>
              </w:rPr>
            </m:ctrlPr>
          </m:e>
          <m:sub>
            <m:r>
              <m:rPr/>
              <w:rPr>
                <w:rFonts w:ascii="Cambria Math" w:hAnsi="Cambria Math"/>
              </w:rPr>
              <m:t>V</m:t>
            </m:r>
            <m:ctrlPr>
              <w:rPr>
                <w:rFonts w:ascii="Cambria Math" w:hAnsi="Cambria Math"/>
                <w:i/>
                <w:iCs/>
              </w:rPr>
            </m:ctrlPr>
          </m:sub>
        </m:sSub>
        <m:r>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w:rPr>
                <w:rFonts w:ascii="Cambria Math" w:hAnsi="Cambria Math"/>
              </w:rPr>
              <m:t>V</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hint="eastAsia" w:ascii="Times New Roman"/>
        </w:rPr>
        <w:t xml:space="preserve"> </w:t>
      </w:r>
      <w:r>
        <w:rPr>
          <w:rFonts w:ascii="Times New Roman"/>
        </w:rPr>
        <w:t xml:space="preserve">                       (4.5)</w:t>
      </w:r>
    </w:p>
    <w:p>
      <w:pPr>
        <w:overflowPunct w:val="0"/>
        <w:snapToGrid w:val="0"/>
        <w:spacing w:after="163" w:line="360" w:lineRule="auto"/>
        <w:jc w:val="left"/>
        <w:rPr>
          <w:rFonts w:hAnsi="Times New Roman"/>
        </w:rPr>
      </w:pPr>
      <w:r>
        <w:rPr>
          <w:rFonts w:hAnsi="Times New Roman"/>
        </w:rPr>
        <w:t>式中：</w:t>
      </w:r>
      <w:r>
        <w:rPr>
          <w:rFonts w:hAnsi="Times New Roman"/>
        </w:rP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1</m:t>
            </m:r>
            <m:ctrlPr>
              <w:rPr>
                <w:rFonts w:ascii="Cambria Math" w:hAnsi="Cambria Math"/>
              </w:rPr>
            </m:ctrlPr>
          </m:sub>
        </m:sSub>
      </m:oMath>
      <w:r>
        <w:rPr>
          <w:rFonts w:hAnsi="Times New Roman"/>
        </w:rPr>
        <w:t>—表示</w:t>
      </w:r>
      <w:r>
        <w:rPr>
          <w:rFonts w:hint="eastAsia" w:hAnsi="Times New Roman"/>
        </w:rPr>
        <w:t>考虑承灾体设防标准的易损性影响系数</w:t>
      </w:r>
      <w:r>
        <w:rPr>
          <w:rFonts w:hAnsi="Times New Roman"/>
        </w:rPr>
        <w:t>；</w:t>
      </w:r>
    </w:p>
    <w:p>
      <w:pPr>
        <w:overflowPunct w:val="0"/>
        <w:snapToGrid w:val="0"/>
        <w:spacing w:after="163" w:line="360" w:lineRule="auto"/>
        <w:jc w:val="left"/>
        <w:rPr>
          <w:rFonts w:hAnsi="Times New Roman"/>
        </w:rPr>
      </w:pPr>
      <w:r>
        <w:rPr>
          <w:rFonts w:hAnsi="Times New Roman"/>
        </w:rPr>
        <w:tab/>
      </w:r>
      <w:r>
        <w:rPr>
          <w:rFonts w:hAnsi="Times New Roman"/>
        </w:rPr>
        <w:tab/>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2</m:t>
            </m:r>
            <m:ctrlPr>
              <w:rPr>
                <w:rFonts w:ascii="Cambria Math" w:hAnsi="Cambria Math"/>
              </w:rPr>
            </m:ctrlPr>
          </m:sub>
        </m:sSub>
      </m:oMath>
      <w:r>
        <w:rPr>
          <w:rFonts w:hAnsi="Times New Roman"/>
        </w:rPr>
        <w:t>—表示</w:t>
      </w:r>
      <w:r>
        <w:rPr>
          <w:rFonts w:hint="eastAsia" w:hAnsi="Times New Roman"/>
        </w:rPr>
        <w:t>考虑承灾体建造年代的易损性影响系数</w:t>
      </w:r>
      <w:r>
        <w:rPr>
          <w:rFonts w:hAnsi="Times New Roman"/>
        </w:rPr>
        <w:t>；</w:t>
      </w:r>
    </w:p>
    <w:p>
      <w:pPr>
        <w:overflowPunct w:val="0"/>
        <w:snapToGrid w:val="0"/>
        <w:spacing w:after="163" w:line="360" w:lineRule="auto"/>
        <w:ind w:left="420" w:firstLine="420"/>
        <w:jc w:val="left"/>
        <w:rPr>
          <w:rFonts w:hAnsi="Times New Roman"/>
        </w:rPr>
      </w:pP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3</m:t>
            </m:r>
            <m:ctrlPr>
              <w:rPr>
                <w:rFonts w:ascii="Cambria Math" w:hAnsi="Cambria Math"/>
              </w:rPr>
            </m:ctrlPr>
          </m:sub>
        </m:sSub>
      </m:oMath>
      <w:r>
        <w:rPr>
          <w:rFonts w:hAnsi="Times New Roman"/>
        </w:rPr>
        <w:t>—表示</w:t>
      </w:r>
      <w:r>
        <w:rPr>
          <w:rFonts w:hint="eastAsia" w:hAnsi="Times New Roman"/>
        </w:rPr>
        <w:t>考虑承灾体病害的易损性影响系数</w:t>
      </w:r>
      <w:r>
        <w:rPr>
          <w:rFonts w:hAnsi="Times New Roman"/>
        </w:rPr>
        <w:t>；</w:t>
      </w:r>
    </w:p>
    <w:p>
      <w:pPr>
        <w:overflowPunct w:val="0"/>
        <w:snapToGrid w:val="0"/>
        <w:spacing w:after="163" w:line="360" w:lineRule="auto"/>
        <w:ind w:left="420" w:firstLine="420"/>
        <w:jc w:val="left"/>
      </w:pPr>
      <m:oMath>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ascii="Cambria Math" w:hAnsi="Cambria Math"/>
              </w:rPr>
              <m:t>V</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V</m:t>
            </m:r>
            <m:ctrlPr>
              <w:rPr>
                <w:rFonts w:ascii="Cambria Math" w:hAnsi="Cambria Math"/>
                <w:i/>
              </w:rPr>
            </m:ctrlPr>
          </m:sub>
        </m:sSub>
        <m:r>
          <m:rPr/>
          <w:rPr>
            <w:rFonts w:hint="eastAsia"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ascii="Cambria Math" w:hAnsi="Cambria Math"/>
              </w:rPr>
              <m:t>V</m:t>
            </m:r>
            <m:ctrlPr>
              <w:rPr>
                <w:rFonts w:ascii="Cambria Math" w:hAnsi="Cambria Math"/>
                <w:i/>
              </w:rPr>
            </m:ctrlPr>
          </m:sub>
        </m:sSub>
      </m:oMath>
      <w:r>
        <w:rPr>
          <w:rFonts w:hAnsi="Times New Roman"/>
        </w:rPr>
        <w:t>—</w:t>
      </w:r>
      <w:r>
        <w:rPr>
          <w:rFonts w:hint="eastAsia" w:hAnsi="Times New Roman"/>
        </w:rPr>
        <w:t>表示权重系数，本标准中</w:t>
      </w:r>
      <m:oMath>
        <m:sSub>
          <m:sSubPr>
            <m:ctrlPr>
              <w:rPr>
                <w:rFonts w:ascii="Cambria Math" w:hAnsi="Cambria Math"/>
                <w:i/>
              </w:rPr>
            </m:ctrlPr>
          </m:sSubPr>
          <m:e>
            <m:r>
              <m:rPr/>
              <w:rPr>
                <w:rFonts w:hint="eastAsia" w:ascii="Cambria Math" w:hAnsi="Cambria Math"/>
              </w:rPr>
              <m:t>a</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=0.9∙</m:t>
        </m:r>
        <m:f>
          <m:fPr>
            <m:ctrlPr>
              <w:rPr>
                <w:rFonts w:ascii="Cambria Math" w:hAnsi="Cambria Math"/>
                <w:i/>
              </w:rPr>
            </m:ctrlPr>
          </m:fPr>
          <m:num>
            <m:r>
              <m:rPr/>
              <w:rPr>
                <w:rFonts w:ascii="Cambria Math" w:hAnsi="Cambria Math"/>
              </w:rPr>
              <m:t>0.2∙</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+0.8∙</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den>
        </m:f>
      </m:oMath>
      <w:r>
        <w:rPr>
          <w:rFonts w:hint="eastAsia" w:hAnsi="Times New Roman"/>
        </w:rPr>
        <w:t>，</w:t>
      </w:r>
      <m:oMath>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=0.1</m:t>
        </m:r>
      </m:oMath>
      <w:r>
        <w:rPr>
          <w:rFonts w:hint="eastAsia" w:hAnsi="Times New Roman"/>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=0.9∙</m:t>
        </m:r>
        <m:f>
          <m:fPr>
            <m:ctrlPr>
              <w:rPr>
                <w:rFonts w:ascii="Cambria Math" w:hAnsi="Cambria Math"/>
                <w:i/>
              </w:rPr>
            </m:ctrlPr>
          </m:fPr>
          <m:num>
            <m:r>
              <m:rPr/>
              <w:rPr>
                <w:rFonts w:ascii="Cambria Math" w:hAnsi="Cambria Math"/>
              </w:rPr>
              <m:t>0.8∙</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+0.2∙</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den>
        </m:f>
      </m:oMath>
      <w:r>
        <w:rPr>
          <w:rFonts w:hint="eastAsia" w:hAnsi="Times New Roman"/>
        </w:rPr>
        <w:t>。</w:t>
      </w:r>
    </w:p>
    <w:p>
      <w:pPr>
        <w:pStyle w:val="165"/>
        <w:ind w:left="0"/>
      </w:pPr>
      <w:r>
        <w:rPr>
          <w:rFonts w:hint="eastAsia"/>
        </w:rPr>
        <w:t>承灾体设防水平影响</w:t>
      </w:r>
    </w:p>
    <w:p>
      <w:pPr>
        <w:pStyle w:val="165"/>
        <w:numPr>
          <w:ilvl w:val="0"/>
          <w:numId w:val="0"/>
        </w:numPr>
        <w:ind w:firstLine="420" w:firstLineChars="200"/>
      </w:pPr>
      <w:r>
        <w:rPr>
          <w:rFonts w:hint="eastAsia"/>
        </w:rPr>
        <w:t>考虑承灾体实际抗震设防水平的地震易损性影响系数确定，应按承灾体实际抗震设防水平与现行《中国地震动参数区划图》和《建筑工程抗震设防分类标准》规定的标准抗震设防要求进行对比，按表</w:t>
      </w:r>
      <w:r>
        <w:rPr>
          <w:rFonts w:ascii="Times New Roman"/>
        </w:rPr>
        <w:t>4.5.1</w:t>
      </w:r>
      <w:r>
        <w:rPr>
          <w:rFonts w:hint="eastAsia"/>
        </w:rPr>
        <w:t>取值。</w:t>
      </w:r>
    </w:p>
    <w:p>
      <w:pPr>
        <w:pStyle w:val="230"/>
        <w:spacing w:after="163"/>
        <w:rPr>
          <w:rFonts w:ascii="Times New Roman"/>
        </w:rPr>
      </w:pPr>
      <w:bookmarkStart w:id="137" w:name="_Hlk58267312"/>
      <w:r>
        <w:rPr>
          <w:rFonts w:ascii="Times New Roman"/>
        </w:rPr>
        <w:t>当承灾体的实际抗震设防类别低于现行</w:t>
      </w:r>
      <w:r>
        <w:rPr>
          <w:rFonts w:hint="eastAsia" w:ascii="Times New Roman"/>
        </w:rPr>
        <w:t>抗震</w:t>
      </w:r>
      <w:r>
        <w:rPr>
          <w:rFonts w:ascii="Times New Roman"/>
        </w:rPr>
        <w:t>设防分类标准规定的设防类别1个等级时，</w:t>
      </w:r>
      <w:r>
        <w:rPr>
          <w:rFonts w:hint="eastAsia" w:ascii="Times New Roman"/>
        </w:rPr>
        <w:t>其</w:t>
      </w:r>
      <w:r>
        <w:rPr>
          <w:rFonts w:ascii="Times New Roman"/>
        </w:rPr>
        <w:t>地震易损性影响系数</w:t>
      </w:r>
      <w:r>
        <w:rPr>
          <w:rFonts w:hint="eastAsia" w:ascii="Times New Roman"/>
        </w:rPr>
        <w:t>宜</w:t>
      </w:r>
      <w:r>
        <w:rPr>
          <w:rFonts w:ascii="Times New Roman"/>
        </w:rPr>
        <w:t>按照表4.5.1中规定的</w:t>
      </w:r>
      <w:r>
        <w:rPr>
          <w:rFonts w:hint="eastAsia" w:ascii="Times New Roman"/>
        </w:rPr>
        <w:t>降低一档</w:t>
      </w:r>
      <w:r>
        <w:rPr>
          <w:rFonts w:ascii="Times New Roman"/>
        </w:rPr>
        <w:t>取值；</w:t>
      </w:r>
      <w:r>
        <w:rPr>
          <w:rFonts w:hint="eastAsia" w:ascii="Times New Roman"/>
        </w:rPr>
        <w:t>当</w:t>
      </w:r>
      <w:r>
        <w:rPr>
          <w:rFonts w:ascii="Times New Roman"/>
        </w:rPr>
        <w:t>承灾体的实际抗震设防类别低于现行</w:t>
      </w:r>
      <w:r>
        <w:rPr>
          <w:rFonts w:hint="eastAsia" w:ascii="Times New Roman"/>
        </w:rPr>
        <w:t>抗震</w:t>
      </w:r>
      <w:r>
        <w:rPr>
          <w:rFonts w:ascii="Times New Roman"/>
        </w:rPr>
        <w:t>设防分类标准规定的设防类别2个等级时，</w:t>
      </w:r>
      <w:r>
        <w:rPr>
          <w:rFonts w:hint="eastAsia" w:ascii="Times New Roman"/>
        </w:rPr>
        <w:t>其</w:t>
      </w:r>
      <w:r>
        <w:rPr>
          <w:rFonts w:ascii="Times New Roman"/>
        </w:rPr>
        <w:t>地震易损性影响系数按照表4.5.1中规定的</w:t>
      </w:r>
      <w:r>
        <w:rPr>
          <w:rFonts w:hint="eastAsia" w:ascii="Times New Roman"/>
        </w:rPr>
        <w:t>降低2档</w:t>
      </w:r>
      <w:r>
        <w:rPr>
          <w:rFonts w:ascii="Times New Roman"/>
        </w:rPr>
        <w:t>取值。</w:t>
      </w:r>
    </w:p>
    <w:bookmarkEnd w:id="137"/>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4.5.1</w:t>
      </w:r>
      <w:r>
        <w:rPr>
          <w:rFonts w:hint="eastAsia" w:hAnsi="Times New Roman" w:eastAsia="黑体"/>
        </w:rPr>
        <w:t>考虑</w:t>
      </w:r>
      <w:r>
        <w:rPr>
          <w:rFonts w:hAnsi="Times New Roman" w:eastAsia="黑体"/>
        </w:rPr>
        <w:t>承灾体实际抗震设防</w:t>
      </w:r>
      <w:r>
        <w:rPr>
          <w:rFonts w:hint="eastAsia" w:hAnsi="Times New Roman" w:eastAsia="黑体"/>
        </w:rPr>
        <w:t>水平</w:t>
      </w:r>
      <w:r>
        <w:rPr>
          <w:rFonts w:hAnsi="Times New Roman" w:eastAsia="黑体"/>
        </w:rPr>
        <w:t>的</w:t>
      </w:r>
      <w:r>
        <w:rPr>
          <w:rFonts w:hint="eastAsia" w:hAnsi="Times New Roman" w:eastAsia="黑体"/>
        </w:rPr>
        <w:t>易损性</w:t>
      </w:r>
      <w:r>
        <w:rPr>
          <w:rFonts w:hAnsi="Times New Roman" w:eastAsia="黑体"/>
        </w:rPr>
        <w:t>影响系数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jc w:val="center"/>
              <w:rPr>
                <w:rFonts w:ascii="Times New Roman" w:hAnsi="Times New Roman"/>
              </w:rPr>
            </w:pPr>
            <w:r>
              <w:rPr>
                <w:rFonts w:ascii="Times New Roman" w:hAnsi="Times New Roman"/>
              </w:rPr>
              <w:t>承灾体实际抗震设防水平与现行规定相比</w:t>
            </w:r>
          </w:p>
        </w:tc>
        <w:tc>
          <w:tcPr>
            <w:tcW w:w="731" w:type="pct"/>
            <w:vAlign w:val="center"/>
          </w:tcPr>
          <w:p>
            <w:pPr>
              <w:overflowPunct w:val="0"/>
              <w:snapToGrid w:val="0"/>
              <w:jc w:val="center"/>
              <w:rPr>
                <w:rFonts w:ascii="Times New Roman" w:hAnsi="Times New Roman"/>
              </w:rPr>
            </w:pPr>
            <w:r>
              <w:rPr>
                <w:rFonts w:ascii="Times New Roman" w:hAnsi="Times New Roman"/>
              </w:rPr>
              <w:t>易损性影响系数</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1</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rPr>
                <w:rFonts w:ascii="Times New Roman" w:hAnsi="Times New Roman"/>
              </w:rPr>
            </w:pPr>
            <w:r>
              <w:rPr>
                <w:rFonts w:ascii="Times New Roman" w:hAnsi="Times New Roman"/>
              </w:rPr>
              <w:t>1．高于区划图规定时</w:t>
            </w:r>
          </w:p>
        </w:tc>
        <w:tc>
          <w:tcPr>
            <w:tcW w:w="731" w:type="pct"/>
            <w:vAlign w:val="center"/>
          </w:tcPr>
          <w:p>
            <w:pPr>
              <w:overflowPunct w:val="0"/>
              <w:snapToGrid w:val="0"/>
              <w:jc w:val="center"/>
              <w:rPr>
                <w:rFonts w:ascii="Times New Roman" w:hAnsi="Times New Roman"/>
              </w:rPr>
            </w:pPr>
            <w:r>
              <w:rPr>
                <w:rFonts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rPr>
                <w:rFonts w:ascii="Times New Roman" w:hAnsi="Times New Roman"/>
              </w:rPr>
            </w:pPr>
            <w:r>
              <w:rPr>
                <w:rFonts w:ascii="Times New Roman" w:hAnsi="Times New Roman"/>
              </w:rPr>
              <w:t>2．与区划图规定相同时</w:t>
            </w:r>
          </w:p>
        </w:tc>
        <w:tc>
          <w:tcPr>
            <w:tcW w:w="731" w:type="pct"/>
            <w:vAlign w:val="center"/>
          </w:tcPr>
          <w:p>
            <w:pPr>
              <w:overflowPunct w:val="0"/>
              <w:snapToGrid w:val="0"/>
              <w:jc w:val="center"/>
              <w:rPr>
                <w:rFonts w:ascii="Times New Roman" w:hAnsi="Times New Roman"/>
              </w:rPr>
            </w:pPr>
            <w:r>
              <w:rPr>
                <w:rFonts w:ascii="Times New Roman" w:hAnsi="Times New Roma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rPr>
                <w:rFonts w:ascii="Times New Roman" w:hAnsi="Times New Roman"/>
              </w:rPr>
            </w:pPr>
            <w:r>
              <w:rPr>
                <w:rFonts w:ascii="Times New Roman" w:hAnsi="Times New Roman"/>
              </w:rPr>
              <w:t>3．承灾体实际抗震设防烈度为7度（0.1g），区划图规定为7度（0.15g）时；或者承灾体实际抗震设防烈度为7度（0.15g），区划图规定为8度（0.2g）时；或承灾体实际设防烈度为8度（0.2g），区划图规定为8度（0.3g）时</w:t>
            </w:r>
          </w:p>
        </w:tc>
        <w:tc>
          <w:tcPr>
            <w:tcW w:w="731" w:type="pct"/>
            <w:vAlign w:val="center"/>
          </w:tcPr>
          <w:p>
            <w:pPr>
              <w:overflowPunct w:val="0"/>
              <w:snapToGrid w:val="0"/>
              <w:jc w:val="center"/>
              <w:rPr>
                <w:rFonts w:ascii="Times New Roman" w:hAnsi="Times New Roman"/>
              </w:rPr>
            </w:pPr>
            <w:r>
              <w:rPr>
                <w:rFonts w:ascii="Times New Roman" w:hAnsi="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rPr>
                <w:rFonts w:ascii="Times New Roman" w:hAnsi="Times New Roman"/>
              </w:rPr>
            </w:pPr>
            <w:r>
              <w:rPr>
                <w:rFonts w:ascii="Times New Roman" w:hAnsi="Times New Roman"/>
              </w:rPr>
              <w:t xml:space="preserve">4．承灾体实际抗震设防烈度比区划图规定低1度时；或者区划图规定设防烈度为6度时，承灾体不设防或设防情况不明 </w:t>
            </w:r>
          </w:p>
        </w:tc>
        <w:tc>
          <w:tcPr>
            <w:tcW w:w="731" w:type="pct"/>
            <w:vAlign w:val="center"/>
          </w:tcPr>
          <w:p>
            <w:pPr>
              <w:overflowPunct w:val="0"/>
              <w:snapToGrid w:val="0"/>
              <w:jc w:val="center"/>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9" w:type="pct"/>
            <w:vAlign w:val="center"/>
          </w:tcPr>
          <w:p>
            <w:pPr>
              <w:overflowPunct w:val="0"/>
              <w:snapToGrid w:val="0"/>
              <w:rPr>
                <w:rFonts w:ascii="Times New Roman" w:hAnsi="Times New Roman"/>
              </w:rPr>
            </w:pPr>
            <w:r>
              <w:rPr>
                <w:rFonts w:ascii="Times New Roman" w:hAnsi="Times New Roman"/>
              </w:rPr>
              <w:t>5．除1-4条中规定的情况</w:t>
            </w:r>
          </w:p>
        </w:tc>
        <w:tc>
          <w:tcPr>
            <w:tcW w:w="731" w:type="pct"/>
            <w:vAlign w:val="center"/>
          </w:tcPr>
          <w:p>
            <w:pPr>
              <w:overflowPunct w:val="0"/>
              <w:snapToGrid w:val="0"/>
              <w:jc w:val="center"/>
              <w:rPr>
                <w:rFonts w:ascii="Times New Roman" w:hAnsi="Times New Roman"/>
              </w:rPr>
            </w:pPr>
            <w:r>
              <w:rPr>
                <w:rFonts w:ascii="Times New Roman" w:hAnsi="Times New Roman"/>
              </w:rPr>
              <w:t>0.05</w:t>
            </w:r>
          </w:p>
        </w:tc>
      </w:tr>
    </w:tbl>
    <w:p>
      <w:pPr>
        <w:pStyle w:val="165"/>
        <w:numPr>
          <w:ilvl w:val="0"/>
          <w:numId w:val="0"/>
        </w:numPr>
      </w:pPr>
    </w:p>
    <w:p>
      <w:pPr>
        <w:pStyle w:val="165"/>
        <w:ind w:left="0"/>
      </w:pPr>
      <w:r>
        <w:rPr>
          <w:rFonts w:ascii="Times New Roman"/>
        </w:rPr>
        <w:t>承灾体建造年代影响</w:t>
      </w:r>
    </w:p>
    <w:p>
      <w:pPr>
        <w:pStyle w:val="165"/>
        <w:numPr>
          <w:ilvl w:val="0"/>
          <w:numId w:val="0"/>
        </w:numPr>
        <w:ind w:firstLine="420" w:firstLineChars="200"/>
        <w:rPr>
          <w:rFonts w:ascii="Times New Roman"/>
        </w:rPr>
      </w:pPr>
      <w:r>
        <w:rPr>
          <w:rFonts w:hint="eastAsia" w:ascii="Times New Roman"/>
        </w:rPr>
        <w:t>考虑承灾体建造年代的地震易损性影响系数确定，应根据我国抗震设计规范的颁布实施年代，将既有房屋建筑按其建造年代分为四档，按表4.5.2取值。基础设施建造年代对其易损的性影响系数V</w:t>
      </w:r>
      <w:r>
        <w:rPr>
          <w:rFonts w:hint="eastAsia" w:ascii="Times New Roman"/>
          <w:vertAlign w:val="subscript"/>
        </w:rPr>
        <w:t>2</w:t>
      </w:r>
      <w:r>
        <w:rPr>
          <w:rFonts w:hint="eastAsia" w:ascii="Times New Roman"/>
        </w:rPr>
        <w:t>统一取0.85。</w:t>
      </w:r>
    </w:p>
    <w:p>
      <w:pPr>
        <w:pStyle w:val="165"/>
        <w:numPr>
          <w:ilvl w:val="0"/>
          <w:numId w:val="0"/>
        </w:numPr>
        <w:ind w:firstLine="420" w:firstLineChars="200"/>
        <w:rPr>
          <w:rFonts w:ascii="Times New Roman"/>
        </w:rPr>
      </w:pPr>
      <w:r>
        <w:rPr>
          <w:rFonts w:hint="eastAsia" w:ascii="Times New Roman"/>
        </w:rPr>
        <w:t>对已采取加固措施的建筑，后续使用年限30年的，其易损性影响系数V</w:t>
      </w:r>
      <w:r>
        <w:rPr>
          <w:rFonts w:hint="eastAsia" w:ascii="Times New Roman"/>
          <w:vertAlign w:val="subscript"/>
        </w:rPr>
        <w:t>2</w:t>
      </w:r>
      <w:r>
        <w:rPr>
          <w:rFonts w:hint="eastAsia" w:ascii="Times New Roman"/>
        </w:rPr>
        <w:t>按照原建造时间和表4.5.2取值；后续使用年限40年的，用加固时间代替建造时间按表4.5.2取值，同时乘以影响折减系数0.95；后续使用年限50年的，用加固时间代替建造时间按表4.5.2取值。</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4.5.2</w:t>
      </w:r>
      <w:r>
        <w:rPr>
          <w:rFonts w:hint="eastAsia" w:hAnsi="Times New Roman" w:eastAsia="黑体"/>
        </w:rPr>
        <w:t>考虑</w:t>
      </w:r>
      <w:r>
        <w:rPr>
          <w:rFonts w:hAnsi="Times New Roman" w:eastAsia="黑体"/>
        </w:rPr>
        <w:t>房屋建筑建造年代的地震易损性影响系数</w:t>
      </w:r>
    </w:p>
    <w:tbl>
      <w:tblPr>
        <w:tblStyle w:val="27"/>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555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建造年代</w:t>
            </w:r>
          </w:p>
        </w:tc>
        <w:tc>
          <w:tcPr>
            <w:tcW w:w="2853" w:type="pct"/>
            <w:vAlign w:val="center"/>
          </w:tcPr>
          <w:p>
            <w:pPr>
              <w:overflowPunct w:val="0"/>
              <w:snapToGrid w:val="0"/>
              <w:jc w:val="center"/>
              <w:rPr>
                <w:rFonts w:ascii="Times New Roman" w:hAnsi="Times New Roman"/>
              </w:rPr>
            </w:pPr>
            <w:r>
              <w:rPr>
                <w:rFonts w:ascii="Times New Roman" w:hAnsi="Times New Roman"/>
              </w:rPr>
              <w:t>房屋建筑抗震设计依据规范</w:t>
            </w:r>
          </w:p>
        </w:tc>
        <w:tc>
          <w:tcPr>
            <w:tcW w:w="803" w:type="pct"/>
            <w:vAlign w:val="center"/>
          </w:tcPr>
          <w:p>
            <w:pPr>
              <w:overflowPunct w:val="0"/>
              <w:snapToGrid w:val="0"/>
              <w:jc w:val="center"/>
              <w:rPr>
                <w:rFonts w:ascii="Times New Roman" w:hAnsi="Times New Roman"/>
              </w:rPr>
            </w:pPr>
            <w:r>
              <w:rPr>
                <w:rFonts w:ascii="Times New Roman" w:hAnsi="Times New Roman"/>
              </w:rPr>
              <w:t>易损性影响系数</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2</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不清楚</w:t>
            </w:r>
          </w:p>
        </w:tc>
        <w:tc>
          <w:tcPr>
            <w:tcW w:w="2853" w:type="pct"/>
            <w:vAlign w:val="center"/>
          </w:tcPr>
          <w:p>
            <w:pPr>
              <w:overflowPunct w:val="0"/>
              <w:snapToGrid w:val="0"/>
              <w:jc w:val="center"/>
              <w:rPr>
                <w:rFonts w:ascii="Times New Roman" w:hAnsi="Times New Roman"/>
              </w:rPr>
            </w:pPr>
            <w:r>
              <w:rPr>
                <w:rFonts w:ascii="Times New Roman" w:hAnsi="Times New Roman"/>
              </w:rPr>
              <w:t>——</w:t>
            </w:r>
          </w:p>
        </w:tc>
        <w:tc>
          <w:tcPr>
            <w:tcW w:w="803" w:type="pct"/>
            <w:vAlign w:val="center"/>
          </w:tcPr>
          <w:p>
            <w:pPr>
              <w:overflowPunct w:val="0"/>
              <w:snapToGrid w:val="0"/>
              <w:jc w:val="center"/>
              <w:rPr>
                <w:rFonts w:ascii="Times New Roman" w:hAnsi="Times New Roman"/>
              </w:rPr>
            </w:pPr>
            <w:r>
              <w:rPr>
                <w:rFonts w:ascii="Times New Roman" w:hAnsi="Times New Roma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1989年之前</w:t>
            </w:r>
          </w:p>
        </w:tc>
        <w:tc>
          <w:tcPr>
            <w:tcW w:w="2853" w:type="pct"/>
            <w:vAlign w:val="center"/>
          </w:tcPr>
          <w:p>
            <w:pPr>
              <w:overflowPunct w:val="0"/>
              <w:snapToGrid w:val="0"/>
              <w:rPr>
                <w:rFonts w:ascii="Times New Roman" w:hAnsi="Times New Roman"/>
              </w:rPr>
            </w:pPr>
            <w:r>
              <w:rPr>
                <w:rFonts w:ascii="Times New Roman" w:hAnsi="Times New Roman"/>
              </w:rPr>
              <w:t>根据1989版之前版本抗震规范设计</w:t>
            </w:r>
          </w:p>
        </w:tc>
        <w:tc>
          <w:tcPr>
            <w:tcW w:w="803" w:type="pct"/>
            <w:vAlign w:val="center"/>
          </w:tcPr>
          <w:p>
            <w:pPr>
              <w:overflowPunct w:val="0"/>
              <w:snapToGrid w:val="0"/>
              <w:jc w:val="center"/>
              <w:rPr>
                <w:rFonts w:ascii="Times New Roman" w:hAnsi="Times New Roman"/>
              </w:rPr>
            </w:pPr>
            <w:r>
              <w:rPr>
                <w:rFonts w:ascii="Times New Roman" w:hAnsi="Times New Roma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1990年~2000年</w:t>
            </w:r>
          </w:p>
        </w:tc>
        <w:tc>
          <w:tcPr>
            <w:tcW w:w="2853" w:type="pct"/>
            <w:vAlign w:val="center"/>
          </w:tcPr>
          <w:p>
            <w:pPr>
              <w:overflowPunct w:val="0"/>
              <w:snapToGrid w:val="0"/>
              <w:rPr>
                <w:rFonts w:ascii="Times New Roman" w:hAnsi="Times New Roman"/>
              </w:rPr>
            </w:pPr>
            <w:r>
              <w:rPr>
                <w:rFonts w:ascii="Times New Roman" w:hAnsi="Times New Roman"/>
              </w:rPr>
              <w:t>根据1989版抗震规范设计</w:t>
            </w:r>
          </w:p>
        </w:tc>
        <w:tc>
          <w:tcPr>
            <w:tcW w:w="803" w:type="pct"/>
            <w:vAlign w:val="center"/>
          </w:tcPr>
          <w:p>
            <w:pPr>
              <w:overflowPunct w:val="0"/>
              <w:snapToGrid w:val="0"/>
              <w:jc w:val="center"/>
              <w:rPr>
                <w:rFonts w:ascii="Times New Roman" w:hAnsi="Times New Roman"/>
              </w:rPr>
            </w:pPr>
            <w:r>
              <w:rPr>
                <w:rFonts w:ascii="Times New Roman" w:hAnsi="Times New Roma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2001年~2010年</w:t>
            </w:r>
          </w:p>
        </w:tc>
        <w:tc>
          <w:tcPr>
            <w:tcW w:w="2853" w:type="pct"/>
            <w:vAlign w:val="center"/>
          </w:tcPr>
          <w:p>
            <w:pPr>
              <w:overflowPunct w:val="0"/>
              <w:snapToGrid w:val="0"/>
              <w:rPr>
                <w:rFonts w:ascii="Times New Roman" w:hAnsi="Times New Roman"/>
              </w:rPr>
            </w:pPr>
            <w:r>
              <w:rPr>
                <w:rFonts w:ascii="Times New Roman" w:hAnsi="Times New Roman"/>
              </w:rPr>
              <w:t>根据2001版抗震规范设计</w:t>
            </w:r>
          </w:p>
        </w:tc>
        <w:tc>
          <w:tcPr>
            <w:tcW w:w="803" w:type="pct"/>
            <w:vAlign w:val="center"/>
          </w:tcPr>
          <w:p>
            <w:pPr>
              <w:overflowPunct w:val="0"/>
              <w:snapToGrid w:val="0"/>
              <w:jc w:val="center"/>
              <w:rPr>
                <w:rFonts w:ascii="Times New Roman" w:hAnsi="Times New Roman"/>
              </w:rPr>
            </w:pPr>
            <w:r>
              <w:rPr>
                <w:rFonts w:ascii="Times New Roman" w:hAnsi="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vAlign w:val="center"/>
          </w:tcPr>
          <w:p>
            <w:pPr>
              <w:overflowPunct w:val="0"/>
              <w:snapToGrid w:val="0"/>
              <w:jc w:val="center"/>
              <w:rPr>
                <w:rFonts w:ascii="Times New Roman" w:hAnsi="Times New Roman"/>
              </w:rPr>
            </w:pPr>
            <w:r>
              <w:rPr>
                <w:rFonts w:ascii="Times New Roman" w:hAnsi="Times New Roman"/>
              </w:rPr>
              <w:t>2011年之后</w:t>
            </w:r>
          </w:p>
        </w:tc>
        <w:tc>
          <w:tcPr>
            <w:tcW w:w="2853" w:type="pct"/>
            <w:vAlign w:val="center"/>
          </w:tcPr>
          <w:p>
            <w:pPr>
              <w:overflowPunct w:val="0"/>
              <w:snapToGrid w:val="0"/>
              <w:rPr>
                <w:rFonts w:ascii="Times New Roman" w:hAnsi="Times New Roman"/>
              </w:rPr>
            </w:pPr>
            <w:r>
              <w:rPr>
                <w:rFonts w:ascii="Times New Roman" w:hAnsi="Times New Roman"/>
              </w:rPr>
              <w:t>根据2010版抗震规范设计</w:t>
            </w:r>
          </w:p>
        </w:tc>
        <w:tc>
          <w:tcPr>
            <w:tcW w:w="803" w:type="pct"/>
            <w:vAlign w:val="center"/>
          </w:tcPr>
          <w:p>
            <w:pPr>
              <w:overflowPunct w:val="0"/>
              <w:snapToGrid w:val="0"/>
              <w:jc w:val="center"/>
              <w:rPr>
                <w:rFonts w:ascii="Times New Roman" w:hAnsi="Times New Roman"/>
              </w:rPr>
            </w:pPr>
            <w:r>
              <w:rPr>
                <w:rFonts w:ascii="Times New Roman" w:hAnsi="Times New Roman"/>
              </w:rPr>
              <w:t>1.00</w:t>
            </w:r>
          </w:p>
        </w:tc>
      </w:tr>
    </w:tbl>
    <w:p>
      <w:pPr>
        <w:overflowPunct w:val="0"/>
        <w:snapToGrid w:val="0"/>
        <w:spacing w:line="360" w:lineRule="auto"/>
        <w:rPr>
          <w:rFonts w:hAnsi="Times New Roman" w:eastAsia="黑体"/>
        </w:rPr>
      </w:pPr>
    </w:p>
    <w:p>
      <w:pPr>
        <w:pStyle w:val="165"/>
        <w:ind w:left="0"/>
      </w:pPr>
      <w:r>
        <w:rPr>
          <w:rFonts w:ascii="Times New Roman"/>
        </w:rPr>
        <w:t>承灾体</w:t>
      </w:r>
      <w:r>
        <w:rPr>
          <w:rFonts w:hint="eastAsia" w:ascii="Times New Roman"/>
        </w:rPr>
        <w:t>病害程度</w:t>
      </w:r>
      <w:r>
        <w:rPr>
          <w:rFonts w:ascii="Times New Roman"/>
        </w:rPr>
        <w:t>影响</w:t>
      </w:r>
    </w:p>
    <w:p>
      <w:pPr>
        <w:overflowPunct w:val="0"/>
        <w:snapToGrid w:val="0"/>
        <w:spacing w:line="240" w:lineRule="auto"/>
        <w:ind w:firstLine="420" w:firstLineChars="200"/>
      </w:pPr>
      <w:r>
        <w:rPr>
          <w:rFonts w:hint="eastAsia"/>
        </w:rPr>
        <w:t>考虑承灾体现存病害程度的地震易损性影响系数的确定，应分为五个等级：无病害、轻微病害、一般病害、较大病害、严重病害，按表</w:t>
      </w:r>
      <w:r>
        <w:rPr>
          <w:rFonts w:ascii="Times New Roman" w:hAnsi="Times New Roman"/>
        </w:rPr>
        <w:t>4.5.3</w:t>
      </w:r>
      <w:r>
        <w:rPr>
          <w:rFonts w:hint="eastAsia"/>
        </w:rPr>
        <w:t>取值。</w:t>
      </w:r>
    </w:p>
    <w:p>
      <w:pPr>
        <w:overflowPunct w:val="0"/>
        <w:snapToGrid w:val="0"/>
        <w:spacing w:line="360" w:lineRule="auto"/>
        <w:jc w:val="center"/>
        <w:rPr>
          <w:rFonts w:hAnsi="Times New Roman" w:eastAsia="黑体"/>
        </w:rPr>
      </w:pPr>
      <w:r>
        <w:rPr>
          <w:rFonts w:hAnsi="Times New Roman" w:eastAsia="黑体"/>
        </w:rPr>
        <w:t>表</w:t>
      </w:r>
      <w:r>
        <w:rPr>
          <w:rFonts w:ascii="Times New Roman" w:hAnsi="Times New Roman" w:eastAsia="黑体"/>
        </w:rPr>
        <w:t>4.5.3</w:t>
      </w:r>
      <w:r>
        <w:rPr>
          <w:rFonts w:hint="eastAsia" w:hAnsi="Times New Roman" w:eastAsia="黑体"/>
        </w:rPr>
        <w:t>考虑</w:t>
      </w:r>
      <w:r>
        <w:rPr>
          <w:rFonts w:hAnsi="Times New Roman" w:eastAsia="黑体"/>
        </w:rPr>
        <w:t>承灾体病害程度</w:t>
      </w:r>
      <w:r>
        <w:rPr>
          <w:rFonts w:hint="eastAsia" w:hAnsi="Times New Roman" w:eastAsia="黑体"/>
        </w:rPr>
        <w:t>的</w:t>
      </w:r>
      <w:r>
        <w:rPr>
          <w:rFonts w:hAnsi="Times New Roman" w:eastAsia="黑体"/>
        </w:rPr>
        <w:t>地震易损性影响系数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16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病害程度</w:t>
            </w:r>
          </w:p>
        </w:tc>
        <w:tc>
          <w:tcPr>
            <w:tcW w:w="5163" w:type="dxa"/>
            <w:vAlign w:val="center"/>
          </w:tcPr>
          <w:p>
            <w:pPr>
              <w:overflowPunct w:val="0"/>
              <w:snapToGrid w:val="0"/>
              <w:jc w:val="center"/>
              <w:rPr>
                <w:rFonts w:ascii="Times New Roman" w:hAnsi="Times New Roman"/>
              </w:rPr>
            </w:pPr>
            <w:r>
              <w:rPr>
                <w:rFonts w:ascii="Times New Roman" w:hAnsi="Times New Roman"/>
              </w:rPr>
              <w:t>承灾体病害程度描述</w:t>
            </w:r>
          </w:p>
        </w:tc>
        <w:tc>
          <w:tcPr>
            <w:tcW w:w="0" w:type="auto"/>
            <w:vAlign w:val="center"/>
          </w:tcPr>
          <w:p>
            <w:pPr>
              <w:overflowPunct w:val="0"/>
              <w:snapToGrid w:val="0"/>
              <w:jc w:val="center"/>
              <w:rPr>
                <w:rFonts w:ascii="Times New Roman" w:hAnsi="Times New Roman"/>
              </w:rPr>
            </w:pPr>
            <w:r>
              <w:rPr>
                <w:rFonts w:ascii="Times New Roman" w:hAnsi="Times New Roman"/>
              </w:rPr>
              <w:t>易损性影响系数</w:t>
            </w:r>
            <m:oMath>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3</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无病害</w:t>
            </w:r>
          </w:p>
        </w:tc>
        <w:tc>
          <w:tcPr>
            <w:tcW w:w="5163" w:type="dxa"/>
            <w:vAlign w:val="center"/>
          </w:tcPr>
          <w:p>
            <w:pPr>
              <w:overflowPunct w:val="0"/>
              <w:snapToGrid w:val="0"/>
              <w:rPr>
                <w:rFonts w:ascii="Times New Roman" w:hAnsi="Times New Roman"/>
              </w:rPr>
            </w:pPr>
            <w:r>
              <w:rPr>
                <w:rFonts w:ascii="Times New Roman" w:hAnsi="Times New Roman"/>
              </w:rPr>
              <w:t>无病害或个别*非承重部件有病害</w:t>
            </w:r>
          </w:p>
        </w:tc>
        <w:tc>
          <w:tcPr>
            <w:tcW w:w="0" w:type="auto"/>
            <w:vAlign w:val="center"/>
          </w:tcPr>
          <w:p>
            <w:pPr>
              <w:overflowPunct w:val="0"/>
              <w:snapToGrid w:val="0"/>
              <w:jc w:val="center"/>
              <w:rPr>
                <w:rFonts w:ascii="Times New Roman" w:hAnsi="Times New Roman"/>
              </w:rPr>
            </w:pPr>
            <w:r>
              <w:rPr>
                <w:rFonts w:ascii="Times New Roman" w:hAnsi="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轻微病害</w:t>
            </w:r>
          </w:p>
        </w:tc>
        <w:tc>
          <w:tcPr>
            <w:tcW w:w="5163" w:type="dxa"/>
            <w:vAlign w:val="center"/>
          </w:tcPr>
          <w:p>
            <w:pPr>
              <w:overflowPunct w:val="0"/>
              <w:snapToGrid w:val="0"/>
              <w:rPr>
                <w:rFonts w:ascii="Times New Roman" w:hAnsi="Times New Roman"/>
              </w:rPr>
            </w:pPr>
            <w:r>
              <w:rPr>
                <w:rFonts w:ascii="Times New Roman" w:hAnsi="Times New Roman"/>
              </w:rPr>
              <w:t>部分*非承重部件有病害</w:t>
            </w:r>
          </w:p>
        </w:tc>
        <w:tc>
          <w:tcPr>
            <w:tcW w:w="0" w:type="auto"/>
            <w:vAlign w:val="center"/>
          </w:tcPr>
          <w:p>
            <w:pPr>
              <w:overflowPunct w:val="0"/>
              <w:snapToGrid w:val="0"/>
              <w:jc w:val="center"/>
              <w:rPr>
                <w:rFonts w:ascii="Times New Roman" w:hAnsi="Times New Roman"/>
              </w:rPr>
            </w:pPr>
            <w:r>
              <w:rPr>
                <w:rFonts w:ascii="Times New Roman" w:hAnsi="Times New Roma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一般病害</w:t>
            </w:r>
          </w:p>
        </w:tc>
        <w:tc>
          <w:tcPr>
            <w:tcW w:w="5163" w:type="dxa"/>
            <w:vAlign w:val="center"/>
          </w:tcPr>
          <w:p>
            <w:pPr>
              <w:overflowPunct w:val="0"/>
              <w:snapToGrid w:val="0"/>
              <w:rPr>
                <w:rFonts w:ascii="Times New Roman" w:hAnsi="Times New Roman"/>
              </w:rPr>
            </w:pPr>
            <w:r>
              <w:rPr>
                <w:rFonts w:ascii="Times New Roman" w:hAnsi="Times New Roman"/>
              </w:rPr>
              <w:t>多数*非承重部件有病害或个别*承重构件有病害</w:t>
            </w:r>
          </w:p>
        </w:tc>
        <w:tc>
          <w:tcPr>
            <w:tcW w:w="0" w:type="auto"/>
            <w:vAlign w:val="center"/>
          </w:tcPr>
          <w:p>
            <w:pPr>
              <w:overflowPunct w:val="0"/>
              <w:snapToGrid w:val="0"/>
              <w:jc w:val="center"/>
              <w:rPr>
                <w:rFonts w:ascii="Times New Roman" w:hAnsi="Times New Roman"/>
              </w:rPr>
            </w:pPr>
            <w:r>
              <w:rPr>
                <w:rFonts w:ascii="Times New Roman" w:hAnsi="Times New Roma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较大病害</w:t>
            </w:r>
          </w:p>
        </w:tc>
        <w:tc>
          <w:tcPr>
            <w:tcW w:w="5163" w:type="dxa"/>
            <w:vAlign w:val="center"/>
          </w:tcPr>
          <w:p>
            <w:pPr>
              <w:overflowPunct w:val="0"/>
              <w:snapToGrid w:val="0"/>
              <w:rPr>
                <w:rFonts w:ascii="Times New Roman" w:hAnsi="Times New Roman"/>
              </w:rPr>
            </w:pPr>
            <w:r>
              <w:rPr>
                <w:rFonts w:ascii="Times New Roman" w:hAnsi="Times New Roman"/>
              </w:rPr>
              <w:t>部分*承重构件有病害</w:t>
            </w:r>
          </w:p>
        </w:tc>
        <w:tc>
          <w:tcPr>
            <w:tcW w:w="0" w:type="auto"/>
            <w:vAlign w:val="center"/>
          </w:tcPr>
          <w:p>
            <w:pPr>
              <w:overflowPunct w:val="0"/>
              <w:snapToGrid w:val="0"/>
              <w:jc w:val="center"/>
              <w:rPr>
                <w:rFonts w:ascii="Times New Roman" w:hAnsi="Times New Roman"/>
              </w:rPr>
            </w:pPr>
            <w:r>
              <w:rPr>
                <w:rFonts w:ascii="Times New Roman" w:hAnsi="Times New Roma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overflowPunct w:val="0"/>
              <w:snapToGrid w:val="0"/>
              <w:jc w:val="center"/>
              <w:rPr>
                <w:rFonts w:ascii="Times New Roman" w:hAnsi="Times New Roman"/>
              </w:rPr>
            </w:pPr>
            <w:r>
              <w:rPr>
                <w:rFonts w:ascii="Times New Roman" w:hAnsi="Times New Roman"/>
              </w:rPr>
              <w:t>严重病害</w:t>
            </w:r>
          </w:p>
        </w:tc>
        <w:tc>
          <w:tcPr>
            <w:tcW w:w="5163" w:type="dxa"/>
            <w:vAlign w:val="center"/>
          </w:tcPr>
          <w:p>
            <w:pPr>
              <w:overflowPunct w:val="0"/>
              <w:snapToGrid w:val="0"/>
              <w:rPr>
                <w:rFonts w:ascii="Times New Roman" w:hAnsi="Times New Roman"/>
              </w:rPr>
            </w:pPr>
            <w:r>
              <w:rPr>
                <w:rFonts w:ascii="Times New Roman" w:hAnsi="Times New Roman"/>
              </w:rPr>
              <w:t>多数*承重构件有病害</w:t>
            </w:r>
          </w:p>
        </w:tc>
        <w:tc>
          <w:tcPr>
            <w:tcW w:w="0" w:type="auto"/>
            <w:vAlign w:val="center"/>
          </w:tcPr>
          <w:p>
            <w:pPr>
              <w:overflowPunct w:val="0"/>
              <w:snapToGrid w:val="0"/>
              <w:jc w:val="center"/>
              <w:rPr>
                <w:rFonts w:ascii="Times New Roman" w:hAnsi="Times New Roman"/>
              </w:rPr>
            </w:pPr>
            <w:r>
              <w:rPr>
                <w:rFonts w:ascii="Times New Roman" w:hAnsi="Times New Roman"/>
              </w:rPr>
              <w:t>0.05</w:t>
            </w:r>
          </w:p>
        </w:tc>
      </w:tr>
    </w:tbl>
    <w:p>
      <w:pPr>
        <w:pStyle w:val="230"/>
        <w:spacing w:after="163"/>
        <w:rPr>
          <w:rFonts w:ascii="Times New Roman"/>
        </w:rPr>
      </w:pPr>
      <w:r>
        <w:rPr>
          <w:rFonts w:ascii="Times New Roman"/>
        </w:rPr>
        <w:t>注*：个别：10%以内；部分10%~50%；多数：50%以上。</w:t>
      </w:r>
    </w:p>
    <w:p>
      <w:pPr>
        <w:pStyle w:val="165"/>
        <w:ind w:left="0"/>
        <w:sectPr>
          <w:pgSz w:w="11906" w:h="16838"/>
          <w:pgMar w:top="1928" w:right="1134" w:bottom="1134" w:left="1134" w:header="1418" w:footer="1134" w:gutter="284"/>
          <w:cols w:space="425" w:num="1"/>
          <w:formProt w:val="0"/>
          <w:docGrid w:linePitch="312" w:charSpace="0"/>
        </w:sectPr>
      </w:pPr>
    </w:p>
    <w:bookmarkEnd w:id="53"/>
    <w:p>
      <w:pPr>
        <w:pStyle w:val="63"/>
        <w:spacing w:after="120"/>
      </w:pPr>
      <w:bookmarkStart w:id="138" w:name="_Toc162254700"/>
      <w:bookmarkStart w:id="139" w:name="_Toc98248060"/>
      <w:bookmarkStart w:id="140" w:name="_Hlk103796482"/>
      <w:bookmarkStart w:id="141" w:name="BookMark6"/>
      <w:r>
        <w:rPr>
          <w:rFonts w:hint="eastAsia"/>
          <w:spacing w:val="105"/>
        </w:rPr>
        <w:t>参考文</w:t>
      </w:r>
      <w:r>
        <w:rPr>
          <w:rFonts w:hint="eastAsia"/>
        </w:rPr>
        <w:t>献</w:t>
      </w:r>
      <w:bookmarkEnd w:id="138"/>
      <w:bookmarkEnd w:id="139"/>
    </w:p>
    <w:bookmarkEnd w:id="140"/>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中国防震减灾百科全书·地震工程学[M]，地震出版社，2014.</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GB/T 18208 地震现场工作[S]. 北京：中国标准出版社，2001.</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GB/T 24335 建（构）筑物地震破坏等级划分[S]. 北京：中国标准出版社，2009.</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50011 建筑抗震设计规范[S]. 北京：中国建筑工业出版社，2016.</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18306 中国地震动参数区划图[S]. 北京：中国标准出版社，2015.</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50223 建筑工程抗震设防分类标准[S]. 北京：中国建筑工业出版社，2008.</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50453 石油化工建(构)筑物抗震设防分类标准[S]. 北京：中国计划出版社，2008.</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50914 化学工业建(构)筑物抗震设防分类标准[S]. 北京：中国计划出版社，2013.</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50191 构筑物抗震设计规范[S]. 北京：中国计划出版社，2012.</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51247 水工建筑物抗震设计标准[S]. 北京：中国计划出版社，2018.</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JTG/T B02-01 公路桥梁抗震设计细则[S]. 北京：人民交通出版社，2008.</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CJJ 166 城市桥梁抗震设计规范[S]. 北京：中国建筑工业出版社，2011.</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50111 铁路工程抗震设计规范[S]. 北京：中国计划出版社，2009.</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GB 50260 电力设施抗震设计规范[S]. 北京：中国计划出版社，2013.</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YD 5054 通信建筑抗震设防分类标准[S]. 北京：北京邮电大学出版社，2010.</w:t>
      </w:r>
    </w:p>
    <w:p>
      <w:pPr>
        <w:pStyle w:val="239"/>
        <w:numPr>
          <w:ilvl w:val="0"/>
          <w:numId w:val="33"/>
        </w:numPr>
        <w:spacing w:after="120" w:afterLines="50"/>
        <w:ind w:left="313" w:hanging="312" w:hangingChars="149"/>
        <w:rPr>
          <w:rFonts w:ascii="Times New Roman" w:hAnsi="Times New Roman"/>
          <w:szCs w:val="22"/>
        </w:rPr>
      </w:pPr>
      <w:r>
        <w:rPr>
          <w:rFonts w:ascii="Times New Roman" w:hAnsi="Times New Roman"/>
          <w:szCs w:val="22"/>
        </w:rPr>
        <w:t>GY 5060 广播电影电视建筑工程抗震设防分类标准[S]. 北京：中国标准出版社，2008.</w:t>
      </w:r>
    </w:p>
    <w:p>
      <w:pPr>
        <w:snapToGrid w:val="0"/>
        <w:textAlignment w:val="baseline"/>
        <w:rPr>
          <w:rFonts w:ascii="宋体" w:hAnsi="宋体"/>
        </w:rPr>
      </w:pPr>
    </w:p>
    <w:bookmarkEnd w:id="141"/>
    <w:p>
      <w:pPr>
        <w:pStyle w:val="241"/>
        <w:spacing w:line="288" w:lineRule="auto"/>
        <w:jc w:val="center"/>
        <w:rPr>
          <w:rFonts w:ascii="Times New Roman"/>
          <w:szCs w:val="21"/>
        </w:rPr>
      </w:pPr>
      <w:bookmarkStart w:id="142" w:name="BookMark8"/>
      <w:r>
        <w:rPr>
          <w:rFonts w:hint="eastAsia" w:ascii="Times New Roman"/>
          <w:szCs w:val="21"/>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E-BZ-PK7484b-Identity-H">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T/CADP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T/CADP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6BF4839"/>
    <w:multiLevelType w:val="multilevel"/>
    <w:tmpl w:val="46BF4839"/>
    <w:lvl w:ilvl="0" w:tentative="0">
      <w:start w:val="1"/>
      <w:numFmt w:val="decimal"/>
      <w:lvlText w:val="[%1] "/>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134"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3"/>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VH24XijI1LSS1JmVbfZ/4QF56gBxvOCGKz6oK/dwKXDlsJNSbUhehgPMT06Ngz0FoVlIYm/dC/CbivEq5G8fsQ==" w:salt="XODvXZCA64ZEacpXLEa/t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hiODhjNWZlNjBiMGMzZGM2ZjY4ZWFiMmFiNTAifQ=="/>
  </w:docVars>
  <w:rsids>
    <w:rsidRoot w:val="00DF799B"/>
    <w:rsid w:val="0000040A"/>
    <w:rsid w:val="00000A94"/>
    <w:rsid w:val="00001972"/>
    <w:rsid w:val="00001D9A"/>
    <w:rsid w:val="00007B3A"/>
    <w:rsid w:val="000107E0"/>
    <w:rsid w:val="00011FDE"/>
    <w:rsid w:val="00012FFD"/>
    <w:rsid w:val="00014162"/>
    <w:rsid w:val="00014340"/>
    <w:rsid w:val="00016A9C"/>
    <w:rsid w:val="00021EEC"/>
    <w:rsid w:val="00022184"/>
    <w:rsid w:val="00022762"/>
    <w:rsid w:val="000238E0"/>
    <w:rsid w:val="000249DB"/>
    <w:rsid w:val="0002595E"/>
    <w:rsid w:val="000303C3"/>
    <w:rsid w:val="000331D3"/>
    <w:rsid w:val="00034118"/>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2BB"/>
    <w:rsid w:val="00067F1E"/>
    <w:rsid w:val="00071CC0"/>
    <w:rsid w:val="00071CFC"/>
    <w:rsid w:val="00073C8C"/>
    <w:rsid w:val="0007762D"/>
    <w:rsid w:val="00077B64"/>
    <w:rsid w:val="00080A1C"/>
    <w:rsid w:val="00082317"/>
    <w:rsid w:val="00083D2C"/>
    <w:rsid w:val="00084664"/>
    <w:rsid w:val="00086AA1"/>
    <w:rsid w:val="00087A77"/>
    <w:rsid w:val="00090CA6"/>
    <w:rsid w:val="00092B8A"/>
    <w:rsid w:val="00092FB0"/>
    <w:rsid w:val="000934C5"/>
    <w:rsid w:val="00093D25"/>
    <w:rsid w:val="00093DAB"/>
    <w:rsid w:val="00094885"/>
    <w:rsid w:val="00094D73"/>
    <w:rsid w:val="00096D63"/>
    <w:rsid w:val="000A0B60"/>
    <w:rsid w:val="000A0EB8"/>
    <w:rsid w:val="000A19FC"/>
    <w:rsid w:val="000A296B"/>
    <w:rsid w:val="000A7311"/>
    <w:rsid w:val="000B060F"/>
    <w:rsid w:val="000B1592"/>
    <w:rsid w:val="000B1FF2"/>
    <w:rsid w:val="000B3CDA"/>
    <w:rsid w:val="000B6A0B"/>
    <w:rsid w:val="000B7401"/>
    <w:rsid w:val="000C0F6C"/>
    <w:rsid w:val="000C11DB"/>
    <w:rsid w:val="000C1492"/>
    <w:rsid w:val="000C2FBD"/>
    <w:rsid w:val="000C4B41"/>
    <w:rsid w:val="000C57D6"/>
    <w:rsid w:val="000C6362"/>
    <w:rsid w:val="000C7666"/>
    <w:rsid w:val="000D0A9C"/>
    <w:rsid w:val="000D1795"/>
    <w:rsid w:val="000D329A"/>
    <w:rsid w:val="000D4B9C"/>
    <w:rsid w:val="000D4EB6"/>
    <w:rsid w:val="000D6A8B"/>
    <w:rsid w:val="000D753B"/>
    <w:rsid w:val="000D7E8C"/>
    <w:rsid w:val="000E4C9E"/>
    <w:rsid w:val="000E6FD7"/>
    <w:rsid w:val="000E7144"/>
    <w:rsid w:val="000E7E44"/>
    <w:rsid w:val="000F06E1"/>
    <w:rsid w:val="000F0E3C"/>
    <w:rsid w:val="000F19D5"/>
    <w:rsid w:val="000F4050"/>
    <w:rsid w:val="000F4AEA"/>
    <w:rsid w:val="000F67E9"/>
    <w:rsid w:val="00104926"/>
    <w:rsid w:val="00113B1E"/>
    <w:rsid w:val="00116135"/>
    <w:rsid w:val="0011711C"/>
    <w:rsid w:val="00124E4F"/>
    <w:rsid w:val="001260B7"/>
    <w:rsid w:val="001265CB"/>
    <w:rsid w:val="001268DB"/>
    <w:rsid w:val="001321C6"/>
    <w:rsid w:val="001325C4"/>
    <w:rsid w:val="00133010"/>
    <w:rsid w:val="001338EE"/>
    <w:rsid w:val="00133AAE"/>
    <w:rsid w:val="00135323"/>
    <w:rsid w:val="001356C4"/>
    <w:rsid w:val="00137565"/>
    <w:rsid w:val="00141114"/>
    <w:rsid w:val="00142969"/>
    <w:rsid w:val="001430EC"/>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732"/>
    <w:rsid w:val="001852C9"/>
    <w:rsid w:val="00187A0B"/>
    <w:rsid w:val="00190087"/>
    <w:rsid w:val="001913C4"/>
    <w:rsid w:val="0019348F"/>
    <w:rsid w:val="00193A07"/>
    <w:rsid w:val="00194C95"/>
    <w:rsid w:val="00195C34"/>
    <w:rsid w:val="00196EF5"/>
    <w:rsid w:val="001A1A53"/>
    <w:rsid w:val="001A1E4E"/>
    <w:rsid w:val="001A234A"/>
    <w:rsid w:val="001A4CF3"/>
    <w:rsid w:val="001A5BEA"/>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4DC"/>
    <w:rsid w:val="001D29D7"/>
    <w:rsid w:val="001D2DE7"/>
    <w:rsid w:val="001D411C"/>
    <w:rsid w:val="001D4F84"/>
    <w:rsid w:val="001D5498"/>
    <w:rsid w:val="001D5A04"/>
    <w:rsid w:val="001E1B6A"/>
    <w:rsid w:val="001E22ED"/>
    <w:rsid w:val="001E2484"/>
    <w:rsid w:val="001E3CC4"/>
    <w:rsid w:val="001E4882"/>
    <w:rsid w:val="001E73AB"/>
    <w:rsid w:val="001F092D"/>
    <w:rsid w:val="001F143A"/>
    <w:rsid w:val="001F1605"/>
    <w:rsid w:val="001F2508"/>
    <w:rsid w:val="001F4816"/>
    <w:rsid w:val="001F69B4"/>
    <w:rsid w:val="001F77C7"/>
    <w:rsid w:val="001F7F62"/>
    <w:rsid w:val="00200183"/>
    <w:rsid w:val="00200333"/>
    <w:rsid w:val="0020107D"/>
    <w:rsid w:val="002024DE"/>
    <w:rsid w:val="00202AA4"/>
    <w:rsid w:val="002031F7"/>
    <w:rsid w:val="002040E6"/>
    <w:rsid w:val="00205205"/>
    <w:rsid w:val="0020527B"/>
    <w:rsid w:val="00205F2C"/>
    <w:rsid w:val="00210B15"/>
    <w:rsid w:val="00212899"/>
    <w:rsid w:val="002142EA"/>
    <w:rsid w:val="00215ADD"/>
    <w:rsid w:val="002204BB"/>
    <w:rsid w:val="00221B79"/>
    <w:rsid w:val="00221C6B"/>
    <w:rsid w:val="002253A1"/>
    <w:rsid w:val="00225CF8"/>
    <w:rsid w:val="002262B7"/>
    <w:rsid w:val="0022794E"/>
    <w:rsid w:val="00233D64"/>
    <w:rsid w:val="0023482A"/>
    <w:rsid w:val="00234DA9"/>
    <w:rsid w:val="002359CB"/>
    <w:rsid w:val="00243540"/>
    <w:rsid w:val="0024497B"/>
    <w:rsid w:val="0024515B"/>
    <w:rsid w:val="00246021"/>
    <w:rsid w:val="0024666E"/>
    <w:rsid w:val="00247F52"/>
    <w:rsid w:val="00250B25"/>
    <w:rsid w:val="00250BBE"/>
    <w:rsid w:val="00250D44"/>
    <w:rsid w:val="002515C2"/>
    <w:rsid w:val="0025194F"/>
    <w:rsid w:val="0026148A"/>
    <w:rsid w:val="00262696"/>
    <w:rsid w:val="00263D25"/>
    <w:rsid w:val="002643C3"/>
    <w:rsid w:val="00264A0C"/>
    <w:rsid w:val="00266EEB"/>
    <w:rsid w:val="00267EF4"/>
    <w:rsid w:val="00270CB8"/>
    <w:rsid w:val="00272B08"/>
    <w:rsid w:val="00274D37"/>
    <w:rsid w:val="00277B6E"/>
    <w:rsid w:val="00281BB8"/>
    <w:rsid w:val="00281E9E"/>
    <w:rsid w:val="00282405"/>
    <w:rsid w:val="00282780"/>
    <w:rsid w:val="00282FDE"/>
    <w:rsid w:val="0028395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BCE"/>
    <w:rsid w:val="003054A4"/>
    <w:rsid w:val="00306063"/>
    <w:rsid w:val="00313B85"/>
    <w:rsid w:val="00314307"/>
    <w:rsid w:val="00317988"/>
    <w:rsid w:val="003221B4"/>
    <w:rsid w:val="0032258D"/>
    <w:rsid w:val="00322E62"/>
    <w:rsid w:val="00324D13"/>
    <w:rsid w:val="00324EDD"/>
    <w:rsid w:val="003331E4"/>
    <w:rsid w:val="00336C64"/>
    <w:rsid w:val="00337162"/>
    <w:rsid w:val="0034194F"/>
    <w:rsid w:val="00344605"/>
    <w:rsid w:val="0034732C"/>
    <w:rsid w:val="003474AA"/>
    <w:rsid w:val="00350C2B"/>
    <w:rsid w:val="00350D1D"/>
    <w:rsid w:val="00352C83"/>
    <w:rsid w:val="00352F1A"/>
    <w:rsid w:val="00355245"/>
    <w:rsid w:val="003553F6"/>
    <w:rsid w:val="003564C9"/>
    <w:rsid w:val="0036107C"/>
    <w:rsid w:val="003615D2"/>
    <w:rsid w:val="0036429C"/>
    <w:rsid w:val="00364A53"/>
    <w:rsid w:val="003654CB"/>
    <w:rsid w:val="00365AA9"/>
    <w:rsid w:val="00365F86"/>
    <w:rsid w:val="00365F87"/>
    <w:rsid w:val="00366E89"/>
    <w:rsid w:val="003705F4"/>
    <w:rsid w:val="00370D58"/>
    <w:rsid w:val="00371316"/>
    <w:rsid w:val="003722BC"/>
    <w:rsid w:val="00376713"/>
    <w:rsid w:val="00381815"/>
    <w:rsid w:val="003819AF"/>
    <w:rsid w:val="003820E9"/>
    <w:rsid w:val="00382DE7"/>
    <w:rsid w:val="00384FFC"/>
    <w:rsid w:val="003872FC"/>
    <w:rsid w:val="00387ADC"/>
    <w:rsid w:val="00390020"/>
    <w:rsid w:val="0039023C"/>
    <w:rsid w:val="003903D6"/>
    <w:rsid w:val="00390EE6"/>
    <w:rsid w:val="0039118F"/>
    <w:rsid w:val="00392AD7"/>
    <w:rsid w:val="003938D9"/>
    <w:rsid w:val="00394376"/>
    <w:rsid w:val="003943FF"/>
    <w:rsid w:val="003974EB"/>
    <w:rsid w:val="00397CC5"/>
    <w:rsid w:val="003A11D1"/>
    <w:rsid w:val="003A1582"/>
    <w:rsid w:val="003A202A"/>
    <w:rsid w:val="003A3D9C"/>
    <w:rsid w:val="003A4077"/>
    <w:rsid w:val="003A4AA7"/>
    <w:rsid w:val="003B09AD"/>
    <w:rsid w:val="003B1F18"/>
    <w:rsid w:val="003B5BF0"/>
    <w:rsid w:val="003B60BF"/>
    <w:rsid w:val="003B6BE3"/>
    <w:rsid w:val="003C010C"/>
    <w:rsid w:val="003C0A6C"/>
    <w:rsid w:val="003C14F8"/>
    <w:rsid w:val="003C26E3"/>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E60"/>
    <w:rsid w:val="00417F0E"/>
    <w:rsid w:val="00425D27"/>
    <w:rsid w:val="00432DAA"/>
    <w:rsid w:val="00434305"/>
    <w:rsid w:val="00435DF7"/>
    <w:rsid w:val="0044083F"/>
    <w:rsid w:val="00440B2F"/>
    <w:rsid w:val="00441AE7"/>
    <w:rsid w:val="00445574"/>
    <w:rsid w:val="004467FB"/>
    <w:rsid w:val="00450369"/>
    <w:rsid w:val="00452D6B"/>
    <w:rsid w:val="00453730"/>
    <w:rsid w:val="00454484"/>
    <w:rsid w:val="0045517B"/>
    <w:rsid w:val="00463B77"/>
    <w:rsid w:val="00463C7B"/>
    <w:rsid w:val="004644A6"/>
    <w:rsid w:val="004659BD"/>
    <w:rsid w:val="00470775"/>
    <w:rsid w:val="004746B1"/>
    <w:rsid w:val="0047583F"/>
    <w:rsid w:val="00475DE8"/>
    <w:rsid w:val="004769DF"/>
    <w:rsid w:val="00481C44"/>
    <w:rsid w:val="00484371"/>
    <w:rsid w:val="00484936"/>
    <w:rsid w:val="00485C89"/>
    <w:rsid w:val="004866CA"/>
    <w:rsid w:val="00486BE3"/>
    <w:rsid w:val="004905E4"/>
    <w:rsid w:val="00490A89"/>
    <w:rsid w:val="00490AB4"/>
    <w:rsid w:val="00492F02"/>
    <w:rsid w:val="004939AE"/>
    <w:rsid w:val="00494861"/>
    <w:rsid w:val="00497674"/>
    <w:rsid w:val="004A12DF"/>
    <w:rsid w:val="004A1BA8"/>
    <w:rsid w:val="004A2EE8"/>
    <w:rsid w:val="004A4B57"/>
    <w:rsid w:val="004A5977"/>
    <w:rsid w:val="004A63FA"/>
    <w:rsid w:val="004A6A3D"/>
    <w:rsid w:val="004B0272"/>
    <w:rsid w:val="004B2701"/>
    <w:rsid w:val="004B2E1B"/>
    <w:rsid w:val="004B3AA8"/>
    <w:rsid w:val="004B3E93"/>
    <w:rsid w:val="004B7F1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DBC"/>
    <w:rsid w:val="005073F0"/>
    <w:rsid w:val="00510A7B"/>
    <w:rsid w:val="00512F6E"/>
    <w:rsid w:val="00513038"/>
    <w:rsid w:val="00514174"/>
    <w:rsid w:val="00516088"/>
    <w:rsid w:val="00516B0B"/>
    <w:rsid w:val="005220EC"/>
    <w:rsid w:val="00523F95"/>
    <w:rsid w:val="00524D65"/>
    <w:rsid w:val="00525B16"/>
    <w:rsid w:val="005315DA"/>
    <w:rsid w:val="00533D04"/>
    <w:rsid w:val="00533E06"/>
    <w:rsid w:val="00534804"/>
    <w:rsid w:val="00534BDF"/>
    <w:rsid w:val="005354EA"/>
    <w:rsid w:val="0053585F"/>
    <w:rsid w:val="00535EC4"/>
    <w:rsid w:val="00535ED9"/>
    <w:rsid w:val="0053692B"/>
    <w:rsid w:val="00541381"/>
    <w:rsid w:val="00541853"/>
    <w:rsid w:val="00542E86"/>
    <w:rsid w:val="00543BDA"/>
    <w:rsid w:val="005441CC"/>
    <w:rsid w:val="005479DA"/>
    <w:rsid w:val="00547BCC"/>
    <w:rsid w:val="0055013B"/>
    <w:rsid w:val="00551F6F"/>
    <w:rsid w:val="00552568"/>
    <w:rsid w:val="00555044"/>
    <w:rsid w:val="00561475"/>
    <w:rsid w:val="00562308"/>
    <w:rsid w:val="0056487B"/>
    <w:rsid w:val="00564FB9"/>
    <w:rsid w:val="00565D95"/>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CD5"/>
    <w:rsid w:val="005B0F3F"/>
    <w:rsid w:val="005B191C"/>
    <w:rsid w:val="005B4903"/>
    <w:rsid w:val="005B51CE"/>
    <w:rsid w:val="005B5885"/>
    <w:rsid w:val="005B5CD7"/>
    <w:rsid w:val="005B6CF6"/>
    <w:rsid w:val="005B7422"/>
    <w:rsid w:val="005C29B8"/>
    <w:rsid w:val="005C5F21"/>
    <w:rsid w:val="005C7156"/>
    <w:rsid w:val="005C7FA6"/>
    <w:rsid w:val="005D0C75"/>
    <w:rsid w:val="005D4171"/>
    <w:rsid w:val="005D6A95"/>
    <w:rsid w:val="005D6B2C"/>
    <w:rsid w:val="005D6D9C"/>
    <w:rsid w:val="005E0234"/>
    <w:rsid w:val="005E1E2E"/>
    <w:rsid w:val="005E2335"/>
    <w:rsid w:val="005E34CA"/>
    <w:rsid w:val="005E3C18"/>
    <w:rsid w:val="005E4250"/>
    <w:rsid w:val="005E6412"/>
    <w:rsid w:val="005E6812"/>
    <w:rsid w:val="005E7881"/>
    <w:rsid w:val="005E78E0"/>
    <w:rsid w:val="005F0D9C"/>
    <w:rsid w:val="005F2004"/>
    <w:rsid w:val="005F284E"/>
    <w:rsid w:val="00600126"/>
    <w:rsid w:val="00600E9B"/>
    <w:rsid w:val="006015CE"/>
    <w:rsid w:val="00602271"/>
    <w:rsid w:val="00604784"/>
    <w:rsid w:val="00606419"/>
    <w:rsid w:val="00607D29"/>
    <w:rsid w:val="00612952"/>
    <w:rsid w:val="00614CC1"/>
    <w:rsid w:val="00615A9D"/>
    <w:rsid w:val="00617387"/>
    <w:rsid w:val="006205D6"/>
    <w:rsid w:val="0062155A"/>
    <w:rsid w:val="006252D8"/>
    <w:rsid w:val="006259BC"/>
    <w:rsid w:val="0062636B"/>
    <w:rsid w:val="00632182"/>
    <w:rsid w:val="00632AE0"/>
    <w:rsid w:val="00633C17"/>
    <w:rsid w:val="00634D9E"/>
    <w:rsid w:val="00636E3E"/>
    <w:rsid w:val="006379F7"/>
    <w:rsid w:val="00637E4D"/>
    <w:rsid w:val="00640620"/>
    <w:rsid w:val="00640BC5"/>
    <w:rsid w:val="00641A1F"/>
    <w:rsid w:val="00645904"/>
    <w:rsid w:val="00646CAC"/>
    <w:rsid w:val="00651ACB"/>
    <w:rsid w:val="00651C47"/>
    <w:rsid w:val="00652AB2"/>
    <w:rsid w:val="00653FED"/>
    <w:rsid w:val="00654991"/>
    <w:rsid w:val="00654EC0"/>
    <w:rsid w:val="0065525B"/>
    <w:rsid w:val="00655D4F"/>
    <w:rsid w:val="00656D29"/>
    <w:rsid w:val="006640E5"/>
    <w:rsid w:val="0066447B"/>
    <w:rsid w:val="006646F1"/>
    <w:rsid w:val="00664929"/>
    <w:rsid w:val="00664F62"/>
    <w:rsid w:val="006655E1"/>
    <w:rsid w:val="00671B21"/>
    <w:rsid w:val="00672060"/>
    <w:rsid w:val="00672BFD"/>
    <w:rsid w:val="006770F4"/>
    <w:rsid w:val="00677A84"/>
    <w:rsid w:val="0068026D"/>
    <w:rsid w:val="00680A27"/>
    <w:rsid w:val="006816A4"/>
    <w:rsid w:val="006819B8"/>
    <w:rsid w:val="00682DB0"/>
    <w:rsid w:val="006840A6"/>
    <w:rsid w:val="006850CD"/>
    <w:rsid w:val="00685AAB"/>
    <w:rsid w:val="00697459"/>
    <w:rsid w:val="00697968"/>
    <w:rsid w:val="006A07AA"/>
    <w:rsid w:val="006A25E5"/>
    <w:rsid w:val="006A2B46"/>
    <w:rsid w:val="006A336D"/>
    <w:rsid w:val="006A37B9"/>
    <w:rsid w:val="006A3962"/>
    <w:rsid w:val="006B2672"/>
    <w:rsid w:val="006B54BF"/>
    <w:rsid w:val="006B5F36"/>
    <w:rsid w:val="006B5F44"/>
    <w:rsid w:val="006B5F90"/>
    <w:rsid w:val="006B62E4"/>
    <w:rsid w:val="006C1BBA"/>
    <w:rsid w:val="006C1FDD"/>
    <w:rsid w:val="006C2079"/>
    <w:rsid w:val="006C3F7F"/>
    <w:rsid w:val="006C5A62"/>
    <w:rsid w:val="006C5D68"/>
    <w:rsid w:val="006C6976"/>
    <w:rsid w:val="006C6DD0"/>
    <w:rsid w:val="006D04EA"/>
    <w:rsid w:val="006D16C4"/>
    <w:rsid w:val="006D3E96"/>
    <w:rsid w:val="006D4515"/>
    <w:rsid w:val="006D4BB1"/>
    <w:rsid w:val="006D63AE"/>
    <w:rsid w:val="006D6593"/>
    <w:rsid w:val="006E090C"/>
    <w:rsid w:val="006E12DF"/>
    <w:rsid w:val="006E273D"/>
    <w:rsid w:val="006E4116"/>
    <w:rsid w:val="006F03A8"/>
    <w:rsid w:val="006F1427"/>
    <w:rsid w:val="006F2ACA"/>
    <w:rsid w:val="006F2ADC"/>
    <w:rsid w:val="006F2BFE"/>
    <w:rsid w:val="006F31E9"/>
    <w:rsid w:val="006F6284"/>
    <w:rsid w:val="007002C5"/>
    <w:rsid w:val="00704387"/>
    <w:rsid w:val="00707669"/>
    <w:rsid w:val="00711219"/>
    <w:rsid w:val="00711CBA"/>
    <w:rsid w:val="00711FB5"/>
    <w:rsid w:val="00712A01"/>
    <w:rsid w:val="00714F58"/>
    <w:rsid w:val="00722FBF"/>
    <w:rsid w:val="00722FC2"/>
    <w:rsid w:val="00724E1B"/>
    <w:rsid w:val="00725949"/>
    <w:rsid w:val="00727005"/>
    <w:rsid w:val="00727FA2"/>
    <w:rsid w:val="007322D9"/>
    <w:rsid w:val="00732962"/>
    <w:rsid w:val="00732BC0"/>
    <w:rsid w:val="0073720F"/>
    <w:rsid w:val="00737796"/>
    <w:rsid w:val="00740717"/>
    <w:rsid w:val="0074165C"/>
    <w:rsid w:val="00742C35"/>
    <w:rsid w:val="007432CA"/>
    <w:rsid w:val="007439EB"/>
    <w:rsid w:val="00743CB4"/>
    <w:rsid w:val="00743DBA"/>
    <w:rsid w:val="00743F0A"/>
    <w:rsid w:val="007444E8"/>
    <w:rsid w:val="0074548E"/>
    <w:rsid w:val="00745773"/>
    <w:rsid w:val="00746800"/>
    <w:rsid w:val="007501A8"/>
    <w:rsid w:val="00750D61"/>
    <w:rsid w:val="00750EE1"/>
    <w:rsid w:val="00752B4D"/>
    <w:rsid w:val="00755402"/>
    <w:rsid w:val="00756B26"/>
    <w:rsid w:val="00756EDF"/>
    <w:rsid w:val="007600E3"/>
    <w:rsid w:val="00765793"/>
    <w:rsid w:val="00765C43"/>
    <w:rsid w:val="00765EFB"/>
    <w:rsid w:val="007671CA"/>
    <w:rsid w:val="00767C61"/>
    <w:rsid w:val="0077008A"/>
    <w:rsid w:val="00773C1F"/>
    <w:rsid w:val="00774DA4"/>
    <w:rsid w:val="00776599"/>
    <w:rsid w:val="0078114B"/>
    <w:rsid w:val="00781DD2"/>
    <w:rsid w:val="00783ECF"/>
    <w:rsid w:val="0078413A"/>
    <w:rsid w:val="007842C6"/>
    <w:rsid w:val="0079028E"/>
    <w:rsid w:val="007931BA"/>
    <w:rsid w:val="007959E8"/>
    <w:rsid w:val="00795E9C"/>
    <w:rsid w:val="007A0521"/>
    <w:rsid w:val="007A2E12"/>
    <w:rsid w:val="007A3475"/>
    <w:rsid w:val="007A41C8"/>
    <w:rsid w:val="007A54CE"/>
    <w:rsid w:val="007A5D3A"/>
    <w:rsid w:val="007A6FD9"/>
    <w:rsid w:val="007A79A6"/>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9AE"/>
    <w:rsid w:val="007F0ED8"/>
    <w:rsid w:val="007F0F63"/>
    <w:rsid w:val="007F75CE"/>
    <w:rsid w:val="008013A4"/>
    <w:rsid w:val="008027CE"/>
    <w:rsid w:val="00802F42"/>
    <w:rsid w:val="00804383"/>
    <w:rsid w:val="00804BB7"/>
    <w:rsid w:val="00804D41"/>
    <w:rsid w:val="00807CFD"/>
    <w:rsid w:val="00810257"/>
    <w:rsid w:val="008104F5"/>
    <w:rsid w:val="00811072"/>
    <w:rsid w:val="00811369"/>
    <w:rsid w:val="00815123"/>
    <w:rsid w:val="00815419"/>
    <w:rsid w:val="008163C8"/>
    <w:rsid w:val="008164A1"/>
    <w:rsid w:val="00817325"/>
    <w:rsid w:val="008209E6"/>
    <w:rsid w:val="00821D19"/>
    <w:rsid w:val="00823303"/>
    <w:rsid w:val="008233B2"/>
    <w:rsid w:val="00823A9F"/>
    <w:rsid w:val="00823C85"/>
    <w:rsid w:val="00824F94"/>
    <w:rsid w:val="00825138"/>
    <w:rsid w:val="008269DD"/>
    <w:rsid w:val="00830621"/>
    <w:rsid w:val="0083348C"/>
    <w:rsid w:val="008373D3"/>
    <w:rsid w:val="00840617"/>
    <w:rsid w:val="00840F84"/>
    <w:rsid w:val="00842A47"/>
    <w:rsid w:val="00843C13"/>
    <w:rsid w:val="00843DEF"/>
    <w:rsid w:val="008454F8"/>
    <w:rsid w:val="00845C39"/>
    <w:rsid w:val="0085173A"/>
    <w:rsid w:val="008603CE"/>
    <w:rsid w:val="008620FC"/>
    <w:rsid w:val="008627A5"/>
    <w:rsid w:val="00863E05"/>
    <w:rsid w:val="00865ACA"/>
    <w:rsid w:val="00865D28"/>
    <w:rsid w:val="00865F85"/>
    <w:rsid w:val="00867C10"/>
    <w:rsid w:val="00870439"/>
    <w:rsid w:val="00870DA1"/>
    <w:rsid w:val="00873E68"/>
    <w:rsid w:val="00883F93"/>
    <w:rsid w:val="00884DB3"/>
    <w:rsid w:val="00885A9D"/>
    <w:rsid w:val="008864F6"/>
    <w:rsid w:val="0089049D"/>
    <w:rsid w:val="0089115C"/>
    <w:rsid w:val="008928C9"/>
    <w:rsid w:val="008930CB"/>
    <w:rsid w:val="008938DC"/>
    <w:rsid w:val="00893FD1"/>
    <w:rsid w:val="00894836"/>
    <w:rsid w:val="00895172"/>
    <w:rsid w:val="00895680"/>
    <w:rsid w:val="00896DFF"/>
    <w:rsid w:val="0089762C"/>
    <w:rsid w:val="008A124F"/>
    <w:rsid w:val="008A173B"/>
    <w:rsid w:val="008A1893"/>
    <w:rsid w:val="008A57E6"/>
    <w:rsid w:val="008A6F81"/>
    <w:rsid w:val="008A769A"/>
    <w:rsid w:val="008B069E"/>
    <w:rsid w:val="008B0C9C"/>
    <w:rsid w:val="008B10F2"/>
    <w:rsid w:val="008B166D"/>
    <w:rsid w:val="008B17F4"/>
    <w:rsid w:val="008B318B"/>
    <w:rsid w:val="008B3615"/>
    <w:rsid w:val="008B4AC4"/>
    <w:rsid w:val="008B50C8"/>
    <w:rsid w:val="008B5281"/>
    <w:rsid w:val="008B7E05"/>
    <w:rsid w:val="008C1797"/>
    <w:rsid w:val="008C219C"/>
    <w:rsid w:val="008C22C6"/>
    <w:rsid w:val="008C475E"/>
    <w:rsid w:val="008C48D8"/>
    <w:rsid w:val="008C5FB1"/>
    <w:rsid w:val="008C619A"/>
    <w:rsid w:val="008D08C7"/>
    <w:rsid w:val="008D0CE8"/>
    <w:rsid w:val="008D2D1D"/>
    <w:rsid w:val="008D453D"/>
    <w:rsid w:val="008D5209"/>
    <w:rsid w:val="008D53AD"/>
    <w:rsid w:val="008D562B"/>
    <w:rsid w:val="008D5733"/>
    <w:rsid w:val="008D5A71"/>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57B"/>
    <w:rsid w:val="00902722"/>
    <w:rsid w:val="009027BC"/>
    <w:rsid w:val="009062E6"/>
    <w:rsid w:val="00910187"/>
    <w:rsid w:val="00911BE5"/>
    <w:rsid w:val="00913CA9"/>
    <w:rsid w:val="009145AE"/>
    <w:rsid w:val="009146CE"/>
    <w:rsid w:val="00914CA7"/>
    <w:rsid w:val="00915C3E"/>
    <w:rsid w:val="009161A8"/>
    <w:rsid w:val="00922F75"/>
    <w:rsid w:val="00923847"/>
    <w:rsid w:val="009245AE"/>
    <w:rsid w:val="009245F5"/>
    <w:rsid w:val="009249EC"/>
    <w:rsid w:val="009273B3"/>
    <w:rsid w:val="009305B5"/>
    <w:rsid w:val="009378DD"/>
    <w:rsid w:val="009421EA"/>
    <w:rsid w:val="009429D5"/>
    <w:rsid w:val="00942BF1"/>
    <w:rsid w:val="00945180"/>
    <w:rsid w:val="00945428"/>
    <w:rsid w:val="0094607B"/>
    <w:rsid w:val="0094780F"/>
    <w:rsid w:val="00952F7A"/>
    <w:rsid w:val="00953604"/>
    <w:rsid w:val="0095496B"/>
    <w:rsid w:val="00960F1E"/>
    <w:rsid w:val="009610DC"/>
    <w:rsid w:val="00961490"/>
    <w:rsid w:val="009634F9"/>
    <w:rsid w:val="0096381A"/>
    <w:rsid w:val="00965E04"/>
    <w:rsid w:val="009674AD"/>
    <w:rsid w:val="00970CDC"/>
    <w:rsid w:val="00975727"/>
    <w:rsid w:val="00977010"/>
    <w:rsid w:val="00977D02"/>
    <w:rsid w:val="00977FF9"/>
    <w:rsid w:val="009809BB"/>
    <w:rsid w:val="00981544"/>
    <w:rsid w:val="0098364B"/>
    <w:rsid w:val="009875A3"/>
    <w:rsid w:val="009908A3"/>
    <w:rsid w:val="009911AF"/>
    <w:rsid w:val="00991875"/>
    <w:rsid w:val="00991F92"/>
    <w:rsid w:val="00992985"/>
    <w:rsid w:val="00993889"/>
    <w:rsid w:val="0099551B"/>
    <w:rsid w:val="00996BD2"/>
    <w:rsid w:val="00997651"/>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32A"/>
    <w:rsid w:val="009C27F1"/>
    <w:rsid w:val="009C3152"/>
    <w:rsid w:val="009C3257"/>
    <w:rsid w:val="009C4CFA"/>
    <w:rsid w:val="009C5070"/>
    <w:rsid w:val="009D112C"/>
    <w:rsid w:val="009D1385"/>
    <w:rsid w:val="009D17CE"/>
    <w:rsid w:val="009D47FA"/>
    <w:rsid w:val="009D4C5B"/>
    <w:rsid w:val="009D50D2"/>
    <w:rsid w:val="009D6BCA"/>
    <w:rsid w:val="009E0F62"/>
    <w:rsid w:val="009E1F44"/>
    <w:rsid w:val="009E4A58"/>
    <w:rsid w:val="009E5A2D"/>
    <w:rsid w:val="009E5AB2"/>
    <w:rsid w:val="009E6219"/>
    <w:rsid w:val="009F03B3"/>
    <w:rsid w:val="009F5428"/>
    <w:rsid w:val="00A0096C"/>
    <w:rsid w:val="00A01757"/>
    <w:rsid w:val="00A028C0"/>
    <w:rsid w:val="00A02BAE"/>
    <w:rsid w:val="00A06A6B"/>
    <w:rsid w:val="00A07E47"/>
    <w:rsid w:val="00A10E7A"/>
    <w:rsid w:val="00A11CD9"/>
    <w:rsid w:val="00A129D0"/>
    <w:rsid w:val="00A12C33"/>
    <w:rsid w:val="00A138BA"/>
    <w:rsid w:val="00A14C8E"/>
    <w:rsid w:val="00A15122"/>
    <w:rsid w:val="00A153D9"/>
    <w:rsid w:val="00A15F09"/>
    <w:rsid w:val="00A169B6"/>
    <w:rsid w:val="00A2271D"/>
    <w:rsid w:val="00A237D5"/>
    <w:rsid w:val="00A30EFC"/>
    <w:rsid w:val="00A31984"/>
    <w:rsid w:val="00A32D73"/>
    <w:rsid w:val="00A33079"/>
    <w:rsid w:val="00A3367B"/>
    <w:rsid w:val="00A338A6"/>
    <w:rsid w:val="00A33C67"/>
    <w:rsid w:val="00A3597D"/>
    <w:rsid w:val="00A36DD1"/>
    <w:rsid w:val="00A4006C"/>
    <w:rsid w:val="00A40091"/>
    <w:rsid w:val="00A4030F"/>
    <w:rsid w:val="00A41C79"/>
    <w:rsid w:val="00A41CB5"/>
    <w:rsid w:val="00A42CDF"/>
    <w:rsid w:val="00A4452E"/>
    <w:rsid w:val="00A4472C"/>
    <w:rsid w:val="00A44E69"/>
    <w:rsid w:val="00A450C7"/>
    <w:rsid w:val="00A4661E"/>
    <w:rsid w:val="00A50F2F"/>
    <w:rsid w:val="00A55BD6"/>
    <w:rsid w:val="00A55D50"/>
    <w:rsid w:val="00A57142"/>
    <w:rsid w:val="00A57A5C"/>
    <w:rsid w:val="00A648CD"/>
    <w:rsid w:val="00A6537A"/>
    <w:rsid w:val="00A67866"/>
    <w:rsid w:val="00A70B07"/>
    <w:rsid w:val="00A723F8"/>
    <w:rsid w:val="00A77CCB"/>
    <w:rsid w:val="00A83D8D"/>
    <w:rsid w:val="00A8446B"/>
    <w:rsid w:val="00A8473F"/>
    <w:rsid w:val="00A862D6"/>
    <w:rsid w:val="00A8715E"/>
    <w:rsid w:val="00A9295B"/>
    <w:rsid w:val="00A92F14"/>
    <w:rsid w:val="00A93B09"/>
    <w:rsid w:val="00A952D7"/>
    <w:rsid w:val="00A963F7"/>
    <w:rsid w:val="00A96AD8"/>
    <w:rsid w:val="00AA052C"/>
    <w:rsid w:val="00AA1E45"/>
    <w:rsid w:val="00AA4286"/>
    <w:rsid w:val="00AA456B"/>
    <w:rsid w:val="00AA57F5"/>
    <w:rsid w:val="00AA672E"/>
    <w:rsid w:val="00AA6EC9"/>
    <w:rsid w:val="00AB0797"/>
    <w:rsid w:val="00AB6309"/>
    <w:rsid w:val="00AB6C5F"/>
    <w:rsid w:val="00AB7129"/>
    <w:rsid w:val="00AC27A6"/>
    <w:rsid w:val="00AC30F7"/>
    <w:rsid w:val="00AC3A5A"/>
    <w:rsid w:val="00AC4D95"/>
    <w:rsid w:val="00AC50DB"/>
    <w:rsid w:val="00AC5DF4"/>
    <w:rsid w:val="00AD0AEF"/>
    <w:rsid w:val="00AD11B7"/>
    <w:rsid w:val="00AD1A94"/>
    <w:rsid w:val="00AD1C05"/>
    <w:rsid w:val="00AD37B7"/>
    <w:rsid w:val="00AD4126"/>
    <w:rsid w:val="00AD421C"/>
    <w:rsid w:val="00AD44FA"/>
    <w:rsid w:val="00AE028B"/>
    <w:rsid w:val="00AE070A"/>
    <w:rsid w:val="00AE101C"/>
    <w:rsid w:val="00AE2A69"/>
    <w:rsid w:val="00AE37E5"/>
    <w:rsid w:val="00AE5EB4"/>
    <w:rsid w:val="00AF0C18"/>
    <w:rsid w:val="00AF379E"/>
    <w:rsid w:val="00AF47C5"/>
    <w:rsid w:val="00AF5398"/>
    <w:rsid w:val="00B03260"/>
    <w:rsid w:val="00B035CD"/>
    <w:rsid w:val="00B049AF"/>
    <w:rsid w:val="00B05017"/>
    <w:rsid w:val="00B07242"/>
    <w:rsid w:val="00B10534"/>
    <w:rsid w:val="00B113DB"/>
    <w:rsid w:val="00B11A68"/>
    <w:rsid w:val="00B11D8A"/>
    <w:rsid w:val="00B12981"/>
    <w:rsid w:val="00B147DD"/>
    <w:rsid w:val="00B156FD"/>
    <w:rsid w:val="00B21A19"/>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F51"/>
    <w:rsid w:val="00B54ABC"/>
    <w:rsid w:val="00B56DA2"/>
    <w:rsid w:val="00B56FBE"/>
    <w:rsid w:val="00B60ACF"/>
    <w:rsid w:val="00B62B58"/>
    <w:rsid w:val="00B65149"/>
    <w:rsid w:val="00B66567"/>
    <w:rsid w:val="00B66F52"/>
    <w:rsid w:val="00B66FE5"/>
    <w:rsid w:val="00B72880"/>
    <w:rsid w:val="00B758BF"/>
    <w:rsid w:val="00B77EC8"/>
    <w:rsid w:val="00B826FB"/>
    <w:rsid w:val="00B827A6"/>
    <w:rsid w:val="00B831CE"/>
    <w:rsid w:val="00B86677"/>
    <w:rsid w:val="00B87131"/>
    <w:rsid w:val="00B939B1"/>
    <w:rsid w:val="00B96D40"/>
    <w:rsid w:val="00B97386"/>
    <w:rsid w:val="00BA263B"/>
    <w:rsid w:val="00BA42B2"/>
    <w:rsid w:val="00BA4F24"/>
    <w:rsid w:val="00BA58D4"/>
    <w:rsid w:val="00BA5B9E"/>
    <w:rsid w:val="00BA60F7"/>
    <w:rsid w:val="00BA715C"/>
    <w:rsid w:val="00BA7C9A"/>
    <w:rsid w:val="00BB4BC3"/>
    <w:rsid w:val="00BB4CB3"/>
    <w:rsid w:val="00BB5E34"/>
    <w:rsid w:val="00BB5F8F"/>
    <w:rsid w:val="00BB657A"/>
    <w:rsid w:val="00BB71FD"/>
    <w:rsid w:val="00BC1A4E"/>
    <w:rsid w:val="00BC5DC7"/>
    <w:rsid w:val="00BC6B8B"/>
    <w:rsid w:val="00BC73D8"/>
    <w:rsid w:val="00BD52D7"/>
    <w:rsid w:val="00BD5AD2"/>
    <w:rsid w:val="00BE03E5"/>
    <w:rsid w:val="00BE22F3"/>
    <w:rsid w:val="00BE5B52"/>
    <w:rsid w:val="00BE7B8D"/>
    <w:rsid w:val="00BF0993"/>
    <w:rsid w:val="00BF10A9"/>
    <w:rsid w:val="00BF1703"/>
    <w:rsid w:val="00BF231C"/>
    <w:rsid w:val="00BF51E5"/>
    <w:rsid w:val="00BF556F"/>
    <w:rsid w:val="00BF74A6"/>
    <w:rsid w:val="00C013AD"/>
    <w:rsid w:val="00C04904"/>
    <w:rsid w:val="00C056B3"/>
    <w:rsid w:val="00C103E5"/>
    <w:rsid w:val="00C13319"/>
    <w:rsid w:val="00C13EE9"/>
    <w:rsid w:val="00C164E8"/>
    <w:rsid w:val="00C1720C"/>
    <w:rsid w:val="00C17D2F"/>
    <w:rsid w:val="00C21540"/>
    <w:rsid w:val="00C21906"/>
    <w:rsid w:val="00C21BFA"/>
    <w:rsid w:val="00C24C8D"/>
    <w:rsid w:val="00C25FE2"/>
    <w:rsid w:val="00C26B53"/>
    <w:rsid w:val="00C279B2"/>
    <w:rsid w:val="00C33E50"/>
    <w:rsid w:val="00C34C20"/>
    <w:rsid w:val="00C35A3E"/>
    <w:rsid w:val="00C36B79"/>
    <w:rsid w:val="00C42130"/>
    <w:rsid w:val="00C423A4"/>
    <w:rsid w:val="00C423E3"/>
    <w:rsid w:val="00C44BA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677"/>
    <w:rsid w:val="00C80CB8"/>
    <w:rsid w:val="00C811C2"/>
    <w:rsid w:val="00C819F8"/>
    <w:rsid w:val="00C8248C"/>
    <w:rsid w:val="00C84B0B"/>
    <w:rsid w:val="00C84D77"/>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02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7E0"/>
    <w:rsid w:val="00CE0C4F"/>
    <w:rsid w:val="00CE30EA"/>
    <w:rsid w:val="00CE6876"/>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84F"/>
    <w:rsid w:val="00D25E37"/>
    <w:rsid w:val="00D2661A"/>
    <w:rsid w:val="00D27582"/>
    <w:rsid w:val="00D27EC4"/>
    <w:rsid w:val="00D32719"/>
    <w:rsid w:val="00D33333"/>
    <w:rsid w:val="00D352A2"/>
    <w:rsid w:val="00D4162B"/>
    <w:rsid w:val="00D44F89"/>
    <w:rsid w:val="00D4514F"/>
    <w:rsid w:val="00D451E2"/>
    <w:rsid w:val="00D45E89"/>
    <w:rsid w:val="00D45E8D"/>
    <w:rsid w:val="00D466AE"/>
    <w:rsid w:val="00D4734F"/>
    <w:rsid w:val="00D51BF3"/>
    <w:rsid w:val="00D65C5C"/>
    <w:rsid w:val="00D66846"/>
    <w:rsid w:val="00D675FB"/>
    <w:rsid w:val="00D677AE"/>
    <w:rsid w:val="00D71F25"/>
    <w:rsid w:val="00D72A9C"/>
    <w:rsid w:val="00D76698"/>
    <w:rsid w:val="00D77031"/>
    <w:rsid w:val="00D83BDF"/>
    <w:rsid w:val="00D84941"/>
    <w:rsid w:val="00D84FA1"/>
    <w:rsid w:val="00D851F0"/>
    <w:rsid w:val="00D86DB7"/>
    <w:rsid w:val="00D87BF5"/>
    <w:rsid w:val="00D90721"/>
    <w:rsid w:val="00D90F42"/>
    <w:rsid w:val="00D926D0"/>
    <w:rsid w:val="00D93030"/>
    <w:rsid w:val="00D950E1"/>
    <w:rsid w:val="00D952A6"/>
    <w:rsid w:val="00D97F99"/>
    <w:rsid w:val="00DA1E08"/>
    <w:rsid w:val="00DA24F8"/>
    <w:rsid w:val="00DA28E8"/>
    <w:rsid w:val="00DA2A15"/>
    <w:rsid w:val="00DA38D3"/>
    <w:rsid w:val="00DA3932"/>
    <w:rsid w:val="00DA3AFC"/>
    <w:rsid w:val="00DA3B50"/>
    <w:rsid w:val="00DA64F8"/>
    <w:rsid w:val="00DA6C15"/>
    <w:rsid w:val="00DB0258"/>
    <w:rsid w:val="00DB0D21"/>
    <w:rsid w:val="00DB38EE"/>
    <w:rsid w:val="00DB498B"/>
    <w:rsid w:val="00DB66CA"/>
    <w:rsid w:val="00DB6BCA"/>
    <w:rsid w:val="00DB6F54"/>
    <w:rsid w:val="00DB73F7"/>
    <w:rsid w:val="00DC0321"/>
    <w:rsid w:val="00DC3067"/>
    <w:rsid w:val="00DC370B"/>
    <w:rsid w:val="00DC5B90"/>
    <w:rsid w:val="00DD00FF"/>
    <w:rsid w:val="00DD0619"/>
    <w:rsid w:val="00DD07FB"/>
    <w:rsid w:val="00DD226D"/>
    <w:rsid w:val="00DD25C6"/>
    <w:rsid w:val="00DD4FE5"/>
    <w:rsid w:val="00DD54B0"/>
    <w:rsid w:val="00DD57EE"/>
    <w:rsid w:val="00DD5C0A"/>
    <w:rsid w:val="00DD6BCC"/>
    <w:rsid w:val="00DD7718"/>
    <w:rsid w:val="00DE0A4B"/>
    <w:rsid w:val="00DE2410"/>
    <w:rsid w:val="00DE2939"/>
    <w:rsid w:val="00DE6E81"/>
    <w:rsid w:val="00DE703F"/>
    <w:rsid w:val="00DE7595"/>
    <w:rsid w:val="00DF1751"/>
    <w:rsid w:val="00DF1961"/>
    <w:rsid w:val="00DF1B67"/>
    <w:rsid w:val="00DF1D6A"/>
    <w:rsid w:val="00DF44DE"/>
    <w:rsid w:val="00DF799B"/>
    <w:rsid w:val="00E01138"/>
    <w:rsid w:val="00E02DFB"/>
    <w:rsid w:val="00E030F9"/>
    <w:rsid w:val="00E0311A"/>
    <w:rsid w:val="00E03138"/>
    <w:rsid w:val="00E06404"/>
    <w:rsid w:val="00E06A9C"/>
    <w:rsid w:val="00E10BF4"/>
    <w:rsid w:val="00E11A85"/>
    <w:rsid w:val="00E12495"/>
    <w:rsid w:val="00E1578D"/>
    <w:rsid w:val="00E15CCD"/>
    <w:rsid w:val="00E202EF"/>
    <w:rsid w:val="00E210B5"/>
    <w:rsid w:val="00E2552F"/>
    <w:rsid w:val="00E3137A"/>
    <w:rsid w:val="00E32CCF"/>
    <w:rsid w:val="00E34A98"/>
    <w:rsid w:val="00E35D1E"/>
    <w:rsid w:val="00E364F9"/>
    <w:rsid w:val="00E365FA"/>
    <w:rsid w:val="00E36789"/>
    <w:rsid w:val="00E43B2B"/>
    <w:rsid w:val="00E44A83"/>
    <w:rsid w:val="00E502C1"/>
    <w:rsid w:val="00E502DD"/>
    <w:rsid w:val="00E50D3A"/>
    <w:rsid w:val="00E51387"/>
    <w:rsid w:val="00E51E68"/>
    <w:rsid w:val="00E52830"/>
    <w:rsid w:val="00E52EFD"/>
    <w:rsid w:val="00E5408A"/>
    <w:rsid w:val="00E56800"/>
    <w:rsid w:val="00E60C63"/>
    <w:rsid w:val="00E62456"/>
    <w:rsid w:val="00E62FF9"/>
    <w:rsid w:val="00E635D6"/>
    <w:rsid w:val="00E639BC"/>
    <w:rsid w:val="00E664CC"/>
    <w:rsid w:val="00E70388"/>
    <w:rsid w:val="00E70F92"/>
    <w:rsid w:val="00E74313"/>
    <w:rsid w:val="00E74C54"/>
    <w:rsid w:val="00E77A03"/>
    <w:rsid w:val="00E822E8"/>
    <w:rsid w:val="00E82554"/>
    <w:rsid w:val="00E82606"/>
    <w:rsid w:val="00E82C49"/>
    <w:rsid w:val="00E831C1"/>
    <w:rsid w:val="00E846C8"/>
    <w:rsid w:val="00E84957"/>
    <w:rsid w:val="00E84A55"/>
    <w:rsid w:val="00E85BFF"/>
    <w:rsid w:val="00E90391"/>
    <w:rsid w:val="00E906C2"/>
    <w:rsid w:val="00E9311F"/>
    <w:rsid w:val="00E934D1"/>
    <w:rsid w:val="00E94AF0"/>
    <w:rsid w:val="00E94F61"/>
    <w:rsid w:val="00E95D13"/>
    <w:rsid w:val="00E95DD3"/>
    <w:rsid w:val="00E969D5"/>
    <w:rsid w:val="00EA422C"/>
    <w:rsid w:val="00EA5081"/>
    <w:rsid w:val="00EA58D1"/>
    <w:rsid w:val="00EA61BC"/>
    <w:rsid w:val="00EA681A"/>
    <w:rsid w:val="00EA735B"/>
    <w:rsid w:val="00EB1E69"/>
    <w:rsid w:val="00EB2086"/>
    <w:rsid w:val="00EB31ED"/>
    <w:rsid w:val="00EB5EDF"/>
    <w:rsid w:val="00EB60FE"/>
    <w:rsid w:val="00EB68FF"/>
    <w:rsid w:val="00EB74DB"/>
    <w:rsid w:val="00EC305E"/>
    <w:rsid w:val="00EC5359"/>
    <w:rsid w:val="00EC562A"/>
    <w:rsid w:val="00EC7902"/>
    <w:rsid w:val="00ED067A"/>
    <w:rsid w:val="00ED2B50"/>
    <w:rsid w:val="00ED3FB8"/>
    <w:rsid w:val="00ED553C"/>
    <w:rsid w:val="00EE0350"/>
    <w:rsid w:val="00EE05F2"/>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D22"/>
    <w:rsid w:val="00F25BB6"/>
    <w:rsid w:val="00F26B7E"/>
    <w:rsid w:val="00F2709E"/>
    <w:rsid w:val="00F27A3B"/>
    <w:rsid w:val="00F3258A"/>
    <w:rsid w:val="00F32780"/>
    <w:rsid w:val="00F33817"/>
    <w:rsid w:val="00F37B59"/>
    <w:rsid w:val="00F41FDE"/>
    <w:rsid w:val="00F420D5"/>
    <w:rsid w:val="00F451EA"/>
    <w:rsid w:val="00F45447"/>
    <w:rsid w:val="00F456C6"/>
    <w:rsid w:val="00F4577B"/>
    <w:rsid w:val="00F462B3"/>
    <w:rsid w:val="00F46496"/>
    <w:rsid w:val="00F474D0"/>
    <w:rsid w:val="00F50179"/>
    <w:rsid w:val="00F515EE"/>
    <w:rsid w:val="00F56511"/>
    <w:rsid w:val="00F6194E"/>
    <w:rsid w:val="00F623AC"/>
    <w:rsid w:val="00F62B19"/>
    <w:rsid w:val="00F634B2"/>
    <w:rsid w:val="00F6412A"/>
    <w:rsid w:val="00F6546A"/>
    <w:rsid w:val="00F65893"/>
    <w:rsid w:val="00F66A4A"/>
    <w:rsid w:val="00F67A83"/>
    <w:rsid w:val="00F67FDA"/>
    <w:rsid w:val="00F7195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C99"/>
    <w:rsid w:val="00FF3E7D"/>
    <w:rsid w:val="00FF5B99"/>
    <w:rsid w:val="00FF730C"/>
    <w:rsid w:val="00FF73F4"/>
    <w:rsid w:val="00FF7CE4"/>
    <w:rsid w:val="00FF7E39"/>
    <w:rsid w:val="148922BC"/>
    <w:rsid w:val="2D2E713F"/>
    <w:rsid w:val="4D2006A2"/>
    <w:rsid w:val="587A53F1"/>
    <w:rsid w:val="62ED79B3"/>
    <w:rsid w:val="66294A9D"/>
    <w:rsid w:val="68352755"/>
    <w:rsid w:val="6BB0278D"/>
    <w:rsid w:val="789B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6"/>
    <w:autoRedefine/>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3"/>
    <w:autoRedefine/>
    <w:qFormat/>
    <w:uiPriority w:val="0"/>
    <w:rPr>
      <w:b/>
      <w:bCs/>
      <w:kern w:val="44"/>
      <w:sz w:val="44"/>
      <w:szCs w:val="44"/>
    </w:rPr>
  </w:style>
  <w:style w:type="character" w:customStyle="1" w:styleId="35">
    <w:name w:val="标题 2 字符"/>
    <w:link w:val="4"/>
    <w:autoRedefine/>
    <w:qFormat/>
    <w:uiPriority w:val="0"/>
    <w:rPr>
      <w:rFonts w:ascii="Arial" w:hAnsi="Arial" w:eastAsia="黑体"/>
      <w:b/>
      <w:bCs/>
      <w:kern w:val="2"/>
      <w:sz w:val="32"/>
      <w:szCs w:val="32"/>
    </w:rPr>
  </w:style>
  <w:style w:type="character" w:customStyle="1" w:styleId="36">
    <w:name w:val="标题 3 字符"/>
    <w:link w:val="5"/>
    <w:autoRedefine/>
    <w:qFormat/>
    <w:uiPriority w:val="0"/>
    <w:rPr>
      <w:b/>
      <w:bCs/>
      <w:kern w:val="2"/>
      <w:sz w:val="32"/>
      <w:szCs w:val="32"/>
    </w:rPr>
  </w:style>
  <w:style w:type="character" w:customStyle="1" w:styleId="37">
    <w:name w:val="标题 4 字符"/>
    <w:link w:val="6"/>
    <w:autoRedefine/>
    <w:qFormat/>
    <w:uiPriority w:val="0"/>
    <w:rPr>
      <w:rFonts w:ascii="Arial" w:hAnsi="Arial" w:eastAsia="黑体"/>
      <w:b/>
      <w:bCs/>
      <w:kern w:val="2"/>
      <w:sz w:val="28"/>
      <w:szCs w:val="28"/>
    </w:rPr>
  </w:style>
  <w:style w:type="character" w:customStyle="1" w:styleId="38">
    <w:name w:val="标题 5 字符"/>
    <w:link w:val="7"/>
    <w:autoRedefine/>
    <w:qFormat/>
    <w:uiPriority w:val="0"/>
    <w:rPr>
      <w:b/>
      <w:bCs/>
      <w:kern w:val="2"/>
      <w:sz w:val="28"/>
      <w:szCs w:val="28"/>
    </w:rPr>
  </w:style>
  <w:style w:type="character" w:customStyle="1" w:styleId="39">
    <w:name w:val="标题 6 字符"/>
    <w:link w:val="8"/>
    <w:autoRedefine/>
    <w:qFormat/>
    <w:uiPriority w:val="0"/>
    <w:rPr>
      <w:rFonts w:ascii="Arial" w:hAnsi="Arial" w:eastAsia="黑体"/>
      <w:b/>
      <w:bCs/>
      <w:kern w:val="2"/>
      <w:sz w:val="24"/>
      <w:szCs w:val="24"/>
    </w:rPr>
  </w:style>
  <w:style w:type="character" w:customStyle="1" w:styleId="40">
    <w:name w:val="标题 7 字符"/>
    <w:link w:val="9"/>
    <w:autoRedefine/>
    <w:qFormat/>
    <w:uiPriority w:val="0"/>
    <w:rPr>
      <w:b/>
      <w:bCs/>
      <w:kern w:val="2"/>
      <w:sz w:val="24"/>
      <w:szCs w:val="24"/>
    </w:rPr>
  </w:style>
  <w:style w:type="character" w:customStyle="1" w:styleId="41">
    <w:name w:val="标题 8 字符"/>
    <w:link w:val="10"/>
    <w:autoRedefine/>
    <w:qFormat/>
    <w:uiPriority w:val="0"/>
    <w:rPr>
      <w:rFonts w:ascii="Arial" w:hAnsi="Arial" w:eastAsia="黑体"/>
      <w:kern w:val="2"/>
      <w:sz w:val="24"/>
      <w:szCs w:val="24"/>
    </w:rPr>
  </w:style>
  <w:style w:type="character" w:customStyle="1" w:styleId="42">
    <w:name w:val="标题 9 字符"/>
    <w:link w:val="11"/>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3827"/>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2"/>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2"/>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ind w:left="851"/>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character" w:customStyle="1" w:styleId="232">
    <w:name w:val="fontstyle01"/>
    <w:basedOn w:val="28"/>
    <w:autoRedefine/>
    <w:qFormat/>
    <w:uiPriority w:val="0"/>
    <w:rPr>
      <w:rFonts w:hint="default" w:ascii="E-BZ-PK7484b-Identity-H" w:hAnsi="E-BZ-PK7484b-Identity-H"/>
      <w:color w:val="000000"/>
      <w:sz w:val="22"/>
      <w:szCs w:val="22"/>
    </w:rPr>
  </w:style>
  <w:style w:type="paragraph" w:customStyle="1" w:styleId="233">
    <w:name w:val="一级条标题"/>
    <w:next w:val="230"/>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0"/>
    <w:autoRedefine/>
    <w:qFormat/>
    <w:uiPriority w:val="0"/>
    <w:pPr>
      <w:numPr>
        <w:ilvl w:val="0"/>
        <w:numId w:val="3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0"/>
    <w:autoRedefine/>
    <w:qFormat/>
    <w:uiPriority w:val="0"/>
    <w:pPr>
      <w:numPr>
        <w:ilvl w:val="2"/>
      </w:numPr>
      <w:spacing w:before="50" w:after="50"/>
      <w:outlineLvl w:val="3"/>
    </w:pPr>
  </w:style>
  <w:style w:type="paragraph" w:customStyle="1" w:styleId="236">
    <w:name w:val="三级条标题"/>
    <w:basedOn w:val="235"/>
    <w:next w:val="230"/>
    <w:autoRedefine/>
    <w:qFormat/>
    <w:uiPriority w:val="0"/>
    <w:pPr>
      <w:numPr>
        <w:ilvl w:val="3"/>
      </w:numPr>
      <w:outlineLvl w:val="4"/>
    </w:pPr>
  </w:style>
  <w:style w:type="paragraph" w:customStyle="1" w:styleId="237">
    <w:name w:val="四级条标题"/>
    <w:basedOn w:val="236"/>
    <w:next w:val="230"/>
    <w:autoRedefine/>
    <w:qFormat/>
    <w:uiPriority w:val="0"/>
    <w:pPr>
      <w:numPr>
        <w:ilvl w:val="4"/>
      </w:numPr>
      <w:outlineLvl w:val="5"/>
    </w:pPr>
  </w:style>
  <w:style w:type="paragraph" w:customStyle="1" w:styleId="238">
    <w:name w:val="五级条标题"/>
    <w:basedOn w:val="237"/>
    <w:next w:val="230"/>
    <w:autoRedefine/>
    <w:qFormat/>
    <w:uiPriority w:val="0"/>
    <w:pPr>
      <w:numPr>
        <w:ilvl w:val="5"/>
      </w:numPr>
      <w:outlineLvl w:val="6"/>
    </w:pPr>
  </w:style>
  <w:style w:type="paragraph" w:styleId="239">
    <w:name w:val="List Paragraph"/>
    <w:basedOn w:val="1"/>
    <w:autoRedefine/>
    <w:qFormat/>
    <w:uiPriority w:val="34"/>
    <w:pPr>
      <w:adjustRightInd/>
      <w:spacing w:line="240" w:lineRule="auto"/>
      <w:ind w:firstLine="420" w:firstLineChars="200"/>
    </w:pPr>
  </w:style>
  <w:style w:type="table" w:customStyle="1" w:styleId="240">
    <w:name w:val="TableGrid"/>
    <w:autoRedefine/>
    <w:qFormat/>
    <w:uiPriority w:val="0"/>
    <w:rPr>
      <w:rFonts w:ascii="Times New Roman" w:hAnsi="Times New Roman"/>
    </w:rPr>
    <w:tblPr>
      <w:tblCellMar>
        <w:top w:w="0" w:type="dxa"/>
        <w:left w:w="0" w:type="dxa"/>
        <w:bottom w:w="0" w:type="dxa"/>
        <w:right w:w="0" w:type="dxa"/>
      </w:tblCellMar>
    </w:tblPr>
  </w:style>
  <w:style w:type="paragraph" w:customStyle="1" w:styleId="241">
    <w:name w:val="p0"/>
    <w:basedOn w:val="1"/>
    <w:autoRedefine/>
    <w:qFormat/>
    <w:uiPriority w:val="0"/>
    <w:pPr>
      <w:widowControl/>
      <w:adjustRightInd/>
      <w:spacing w:line="360" w:lineRule="atLeast"/>
    </w:pPr>
    <w:rPr>
      <w:rFonts w:asciiTheme="minorHAnsi" w:hAnsiTheme="minorHAnsi" w:eastAsiaTheme="minorEastAsia" w:cstheme="minorBid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C1DB8A9B6F434B8402A5718702CB00"/>
        <w:style w:val=""/>
        <w:category>
          <w:name w:val="常规"/>
          <w:gallery w:val="placeholder"/>
        </w:category>
        <w:types>
          <w:type w:val="bbPlcHdr"/>
        </w:types>
        <w:behaviors>
          <w:behavior w:val="content"/>
        </w:behaviors>
        <w:description w:val=""/>
        <w:guid w:val="{FE51A081-A3F2-436B-B887-4FA77DB97D54}"/>
      </w:docPartPr>
      <w:docPartBody>
        <w:p>
          <w:pPr>
            <w:pStyle w:val="5"/>
          </w:pPr>
          <w:r>
            <w:rPr>
              <w:rStyle w:val="4"/>
              <w:rFonts w:hint="eastAsia"/>
            </w:rPr>
            <w:t>单击或点击此处输入文字。</w:t>
          </w:r>
        </w:p>
      </w:docPartBody>
    </w:docPart>
    <w:docPart>
      <w:docPartPr>
        <w:name w:val="7EADBCC3F89042F2866F4FBB4B7FE479"/>
        <w:style w:val=""/>
        <w:category>
          <w:name w:val="常规"/>
          <w:gallery w:val="placeholder"/>
        </w:category>
        <w:types>
          <w:type w:val="bbPlcHdr"/>
        </w:types>
        <w:behaviors>
          <w:behavior w:val="content"/>
        </w:behaviors>
        <w:description w:val=""/>
        <w:guid w:val="{A8666F0A-53A5-4A51-ABEB-FA05D4D76A17}"/>
      </w:docPartPr>
      <w:docPartBody>
        <w:p>
          <w:pPr>
            <w:pStyle w:val="6"/>
          </w:pPr>
          <w:r>
            <w:rPr>
              <w:rStyle w:val="4"/>
              <w:rFonts w:hint="eastAsia"/>
            </w:rPr>
            <w:t>选择一项。</w:t>
          </w:r>
        </w:p>
      </w:docPartBody>
    </w:docPart>
    <w:docPart>
      <w:docPartPr>
        <w:name w:val="785C134B969B47A3869191510AE60B12"/>
        <w:style w:val=""/>
        <w:category>
          <w:name w:val="常规"/>
          <w:gallery w:val="placeholder"/>
        </w:category>
        <w:types>
          <w:type w:val="bbPlcHdr"/>
        </w:types>
        <w:behaviors>
          <w:behavior w:val="content"/>
        </w:behaviors>
        <w:description w:val=""/>
        <w:guid w:val="{91CF5212-4C24-4C10-8189-BF299BC2E27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AC"/>
    <w:rsid w:val="0008570F"/>
    <w:rsid w:val="000A006D"/>
    <w:rsid w:val="000B4DE5"/>
    <w:rsid w:val="000B50F2"/>
    <w:rsid w:val="000B6AA5"/>
    <w:rsid w:val="00125F36"/>
    <w:rsid w:val="001967B2"/>
    <w:rsid w:val="001F0146"/>
    <w:rsid w:val="002122E7"/>
    <w:rsid w:val="00232F8C"/>
    <w:rsid w:val="00246206"/>
    <w:rsid w:val="00287A25"/>
    <w:rsid w:val="002D0266"/>
    <w:rsid w:val="00314024"/>
    <w:rsid w:val="00383275"/>
    <w:rsid w:val="0038717B"/>
    <w:rsid w:val="003D661C"/>
    <w:rsid w:val="004F43FC"/>
    <w:rsid w:val="00582D08"/>
    <w:rsid w:val="005E2E14"/>
    <w:rsid w:val="00667B82"/>
    <w:rsid w:val="006915AC"/>
    <w:rsid w:val="0069655F"/>
    <w:rsid w:val="006A0545"/>
    <w:rsid w:val="006B6C02"/>
    <w:rsid w:val="00760779"/>
    <w:rsid w:val="007617E0"/>
    <w:rsid w:val="009A1FB6"/>
    <w:rsid w:val="00A37633"/>
    <w:rsid w:val="00A41574"/>
    <w:rsid w:val="00A429CA"/>
    <w:rsid w:val="00A8338F"/>
    <w:rsid w:val="00BE5123"/>
    <w:rsid w:val="00C3304E"/>
    <w:rsid w:val="00C904A0"/>
    <w:rsid w:val="00D10B5A"/>
    <w:rsid w:val="00D27407"/>
    <w:rsid w:val="00D53122"/>
    <w:rsid w:val="00D67318"/>
    <w:rsid w:val="00DB7522"/>
    <w:rsid w:val="00DC034D"/>
    <w:rsid w:val="00E6186B"/>
    <w:rsid w:val="00F251FA"/>
    <w:rsid w:val="00F3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6C1DB8A9B6F434B8402A5718702CB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EADBCC3F89042F2866F4FBB4B7FE4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85C134B969B47A3869191510AE60B1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924F0-561A-4F36-A1FD-0E4EE9E083E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1106</Words>
  <Characters>6305</Characters>
  <Lines>52</Lines>
  <Paragraphs>14</Paragraphs>
  <TotalTime>0</TotalTime>
  <ScaleCrop>false</ScaleCrop>
  <LinksUpToDate>false</LinksUpToDate>
  <CharactersWithSpaces>7397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2024-03-25T01:14:00Z</dcterms:created>
  <dc:creator>Admin</dc:creator>
  <dc:description>&lt;config cover="true" show_menu="true" version="1.0.0" doctype="SDKXY"&gt;_x000d_
&lt;/config&gt;</dc:description>
  <cp:lastModifiedBy>心如止水-张睿成</cp:lastModifiedBy>
  <cp:lastPrinted>2022-05-19T10:39:00Z</cp:lastPrinted>
  <dcterms:modified xsi:type="dcterms:W3CDTF">2024-03-26T05:40:44Z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9E6301B5A61E44419A43A458B9E943A2_13</vt:lpwstr>
  </property>
</Properties>
</file>