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vAlign w:val="top"/>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vAlign w:val="top"/>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59.080.40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vAlign w:val="top"/>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vAlign w:val="top"/>
          </w:tcPr>
          <w:tbl>
            <w:tblPr>
              <w:tblStyle w:val="26"/>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34"/>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Y 47</w:t>
            </w:r>
          </w:p>
        </w:tc>
      </w:tr>
    </w:tbl>
    <w:p>
      <w:pPr>
        <w:pStyle w:val="35"/>
        <w:framePr w:w="9639" w:h="624" w:hRule="exact" w:hSpace="181" w:vSpace="181" w:wrap="around" w:vAnchor="page" w:hAnchor="page" w:xAlign="center" w:y="2269" w:anchorLock="1"/>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70"/>
        <w:framePr w:w="9356" w:h="624" w:hRule="exact" w:hSpace="181" w:vSpace="181" w:wrap="around" w:vAnchor="page" w:hAnchor="page" w:x="1419" w:y="3284"/>
        <w:rPr>
          <w:rFonts w:hAnsi="黑体"/>
        </w:rPr>
      </w:pPr>
      <w:r>
        <w:t xml:space="preserve">T/CNLIC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t>2023</w:t>
      </w:r>
    </w:p>
    <w:p>
      <w:pPr>
        <w:spacing w:line="240" w:lineRule="auto"/>
        <w:rPr>
          <w:rFonts w:ascii="黑体" w:hAnsi="黑体" w:eastAsia="黑体"/>
          <w:kern w:val="0"/>
          <w:sz w:val="10"/>
          <w:szCs w:val="10"/>
        </w:rPr>
      </w:pPr>
      <w:r>
        <w:rPr>
          <w:rFonts w:ascii="黑体" w:hAnsi="黑体" w:eastAsia="黑体" w:cs="Times New Roman"/>
          <w:kern w:val="0"/>
          <w:sz w:val="10"/>
          <w:szCs w:val="10"/>
          <w:lang w:val="en-US" w:eastAsia="zh-CN" w:bidi="ar-SA"/>
        </w:rPr>
        <w:pict>
          <v:line id="直接连接符 73" o:spid="_x0000_s1026" o:spt="20" style="position:absolute;left:0pt;margin-left:70.9pt;margin-top:212.65pt;height:0.05pt;width:481.9pt;mso-position-horizontal-relative:page;mso-position-vertical-relative:page;z-index:251658240;mso-width-relative:page;mso-height-relative:page;" fillcolor="#FFFFFF" filled="f" o:preferrelative="t" stroked="t" coordsize="21600,21600" o:allowoverlap="f">
            <v:path arrowok="t"/>
            <v:fill on="f" color2="#FFFFFF" focussize="0,0"/>
            <v:stroke color="#000000" color2="#FFFFFF" miterlimit="2"/>
            <v:imagedata gain="65536f" blacklevel="0f" gamma="0" o:title=""/>
            <o:lock v:ext="edit" position="f" selection="f" grouping="f" rotation="f" cropping="f" text="f" aspectratio="f"/>
          </v:line>
        </w:pict>
      </w:r>
    </w:p>
    <w:p>
      <w:pPr>
        <w:pStyle w:val="35"/>
        <w:framePr w:w="9639" w:h="6976" w:hRule="exact" w:wrap="around" w:vAnchor="page" w:hAnchor="page" w:xAlign="center" w:y="6408" w:anchorLock="1"/>
        <w:jc w:val="center"/>
        <w:rPr>
          <w:rFonts w:ascii="黑体" w:hAnsi="黑体" w:eastAsia="黑体"/>
          <w:b w:val="0"/>
          <w:bCs w:val="0"/>
          <w:w w:val="100"/>
        </w:rPr>
      </w:pPr>
    </w:p>
    <w:p>
      <w:pPr>
        <w:pStyle w:val="172"/>
        <w:framePr w:w="9639" w:h="6974" w:hRule="exact" w:wrap="around" w:vAnchor="page" w:hAnchor="page" w:x="1419" w:y="6408" w:anchorLock="1"/>
      </w:pPr>
      <w:r>
        <w:fldChar w:fldCharType="begin">
          <w:ffData>
            <w:name w:val="CSTD_NAME"/>
            <w:enabled/>
            <w:calcOnExit w:val="0"/>
            <w:textInput>
              <w:default w:val="点击此处添加标准名称"/>
            </w:textInput>
          </w:ffData>
        </w:fldChar>
      </w:r>
      <w:bookmarkStart w:id="2" w:name="CSTD_NAME"/>
      <w:r>
        <w:instrText xml:space="preserve"> FORMTEXT </w:instrText>
      </w:r>
      <w:r>
        <w:fldChar w:fldCharType="separate"/>
      </w:r>
      <w:r>
        <w:t>绿色设计产品评价技术规范</w:t>
      </w:r>
    </w:p>
    <w:p>
      <w:pPr>
        <w:pStyle w:val="172"/>
        <w:framePr w:w="9639" w:h="6974" w:hRule="exact" w:wrap="around" w:vAnchor="page" w:hAnchor="page" w:x="1419" w:y="6408" w:anchorLock="1"/>
      </w:pPr>
      <w:r>
        <w:rPr>
          <w:rFonts w:hint="eastAsia"/>
        </w:rPr>
        <w:t>游艇</w:t>
      </w:r>
      <w:r>
        <w:t>用聚氯乙烯人造革</w:t>
      </w:r>
      <w:r>
        <w:fldChar w:fldCharType="end"/>
      </w:r>
      <w:bookmarkEnd w:id="2"/>
    </w:p>
    <w:p>
      <w:pPr>
        <w:framePr w:w="9639" w:h="6974" w:hRule="exact" w:wrap="around" w:vAnchor="page" w:hAnchor="page" w:x="1419" w:y="6408" w:anchorLock="1"/>
        <w:ind w:left="-1418"/>
      </w:pPr>
    </w:p>
    <w:p>
      <w:pPr>
        <w:pStyle w:val="10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3"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green-design product assessment</w:t>
      </w:r>
    </w:p>
    <w:p>
      <w:pPr>
        <w:pStyle w:val="105"/>
        <w:framePr w:w="9639" w:h="6974" w:hRule="exact" w:wrap="around" w:vAnchor="page" w:hAnchor="page" w:x="1419" w:y="6408" w:anchorLock="1"/>
        <w:textAlignment w:val="bottom"/>
        <w:rPr>
          <w:rFonts w:eastAsia="黑体"/>
          <w:szCs w:val="28"/>
        </w:rPr>
      </w:pPr>
      <w:r>
        <w:rPr>
          <w:rFonts w:eastAsia="黑体"/>
          <w:szCs w:val="28"/>
        </w:rPr>
        <w:t>-Polyvinyl chloride leather</w:t>
      </w:r>
      <w:r>
        <w:rPr>
          <w:rFonts w:hint="eastAsia" w:eastAsia="黑体"/>
          <w:szCs w:val="28"/>
        </w:rPr>
        <w:t>ette</w:t>
      </w:r>
      <w:r>
        <w:rPr>
          <w:rFonts w:eastAsia="黑体"/>
          <w:szCs w:val="28"/>
        </w:rPr>
        <w:t xml:space="preserve"> for yachts</w:t>
      </w:r>
      <w:r>
        <w:rPr>
          <w:rFonts w:eastAsia="黑体"/>
          <w:szCs w:val="28"/>
        </w:rPr>
        <w:fldChar w:fldCharType="end"/>
      </w:r>
      <w:bookmarkEnd w:id="3"/>
    </w:p>
    <w:p>
      <w:pPr>
        <w:framePr w:w="9639" w:h="6974" w:hRule="exact" w:wrap="around" w:vAnchor="page" w:hAnchor="page" w:x="1419" w:y="6408" w:anchorLock="1"/>
        <w:spacing w:line="760" w:lineRule="exact"/>
        <w:ind w:left="-1418"/>
      </w:pPr>
    </w:p>
    <w:p>
      <w:pPr>
        <w:pStyle w:val="105"/>
        <w:framePr w:w="9639" w:h="6974" w:hRule="exact" w:wrap="around" w:vAnchor="page" w:hAnchor="page" w:x="1419" w:y="6408" w:anchorLock="1"/>
        <w:textAlignment w:val="bottom"/>
        <w:rPr>
          <w:rFonts w:eastAsia="黑体"/>
          <w:szCs w:val="28"/>
        </w:rPr>
      </w:pPr>
    </w:p>
    <w:p>
      <w:pPr>
        <w:pStyle w:val="10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Pr>
          <w:sz w:val="24"/>
          <w:szCs w:val="28"/>
        </w:rPr>
        <w:instrText xml:space="preserve"> FORMDROPDOWN </w:instrText>
      </w:r>
      <w:r>
        <w:rPr>
          <w:sz w:val="24"/>
          <w:szCs w:val="28"/>
        </w:rPr>
        <w:fldChar w:fldCharType="separate"/>
      </w:r>
      <w:r>
        <w:rPr>
          <w:sz w:val="24"/>
          <w:szCs w:val="28"/>
        </w:rPr>
        <w:fldChar w:fldCharType="end"/>
      </w:r>
      <w:bookmarkEnd w:id="4"/>
    </w:p>
    <w:p>
      <w:pPr>
        <w:pStyle w:val="10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023-11-13</w:t>
      </w:r>
      <w:r>
        <w:rPr>
          <w:rFonts w:hint="eastAsia"/>
          <w:sz w:val="21"/>
          <w:szCs w:val="28"/>
        </w:rPr>
        <w:t>）</w:t>
      </w:r>
      <w:r>
        <w:rPr>
          <w:sz w:val="21"/>
          <w:szCs w:val="28"/>
        </w:rPr>
        <w:fldChar w:fldCharType="end"/>
      </w:r>
      <w:bookmarkEnd w:id="5"/>
    </w:p>
    <w:p>
      <w:pPr>
        <w:pStyle w:val="10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Pr>
          <w:b/>
          <w:sz w:val="21"/>
          <w:szCs w:val="28"/>
        </w:rPr>
        <w:fldChar w:fldCharType="separate"/>
      </w:r>
      <w:r>
        <w:rPr>
          <w:b/>
          <w:sz w:val="21"/>
          <w:szCs w:val="28"/>
        </w:rPr>
        <w:fldChar w:fldCharType="end"/>
      </w:r>
      <w:bookmarkEnd w:id="6"/>
    </w:p>
    <w:p>
      <w:pPr>
        <w:pStyle w:val="168"/>
        <w:framePr w:w="3997" w:h="471" w:hRule="exact" w:vSpace="181" w:wrap="around" w:vAnchor="page" w:hAnchor="page" w:x="1419" w:y="14176" w:anchorLock="1"/>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pPr>
        <w:pStyle w:val="169"/>
        <w:framePr w:w="3997" w:h="471" w:hRule="exact" w:vSpace="181" w:wrap="around" w:vAnchor="page" w:hAnchor="page" w:xAlign="right" w:y="14176" w:anchorLock="1"/>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29"/>
        <w:framePr w:w="7433" w:h="668" w:hRule="exact" w:hSpace="181" w:vSpace="181" w:wrap="around" w:vAnchor="page" w:hAnchor="margin" w:xAlign="center" w:y="15241" w:anchorLock="1"/>
        <w:ind w:firstLine="1960" w:firstLineChars="700"/>
        <w:jc w:val="both"/>
        <w:rPr>
          <w:rFonts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中国轻工业联合会</w:t>
      </w:r>
      <w:r>
        <w:rPr>
          <w:rFonts w:hAnsi="黑体"/>
          <w:w w:val="100"/>
          <w:sz w:val="28"/>
        </w:rPr>
        <w:fldChar w:fldCharType="end"/>
      </w:r>
      <w:bookmarkEnd w:id="13"/>
      <w:r>
        <w:rPr>
          <w:rFonts w:ascii="Times New Roman"/>
          <w:w w:val="100"/>
          <w:sz w:val="28"/>
        </w:rPr>
        <w:t>  </w:t>
      </w:r>
      <w:r>
        <w:rPr>
          <w:rStyle w:val="253"/>
          <w:rFonts w:hint="eastAsia" w:hAnsi="黑体"/>
          <w:position w:val="0"/>
        </w:rPr>
        <w:t>发</w:t>
      </w:r>
      <w:r>
        <w:rPr>
          <w:rStyle w:val="253"/>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567" w:right="1134" w:bottom="1134" w:left="1134" w:header="1418" w:footer="1134" w:gutter="284"/>
          <w:cols w:space="720" w:num="1"/>
          <w:titlePg/>
          <w:docGrid w:linePitch="312" w:charSpace="0"/>
        </w:sectPr>
      </w:pPr>
      <w:r>
        <w:rPr>
          <w:rFonts w:hint="eastAsia" w:ascii="宋体" w:hAnsi="宋体" w:eastAsia="宋体" w:cs="Times New Roman"/>
          <w:kern w:val="2"/>
          <w:sz w:val="28"/>
          <w:szCs w:val="28"/>
          <w:lang w:val="en-US" w:eastAsia="zh-CN" w:bidi="ar-SA"/>
        </w:rPr>
        <w:pict>
          <v:line id="直接连接符 5" o:spid="_x0000_s1027" o:spt="20" style="position:absolute;left:0pt;margin-left:70.85pt;margin-top:728.6pt;height:0.05pt;width:481.9pt;mso-position-horizontal-relative:page;mso-position-vertical-relative:page;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w10:anchorlock/>
          </v:line>
        </w:pict>
      </w:r>
    </w:p>
    <w:p>
      <w:pPr>
        <w:pStyle w:val="74"/>
        <w:spacing w:after="360"/>
      </w:pPr>
      <w:bookmarkStart w:id="117" w:name="_GoBack"/>
      <w:bookmarkEnd w:id="117"/>
      <w:bookmarkStart w:id="14" w:name="BookMark1"/>
      <w:bookmarkStart w:id="15" w:name="_Toc126226127"/>
      <w:bookmarkStart w:id="16" w:name="_Toc126133970"/>
      <w:bookmarkStart w:id="17" w:name="_Toc126667248"/>
      <w:r>
        <w:rPr>
          <w:rFonts w:hint="eastAsia"/>
          <w:spacing w:val="320"/>
        </w:rPr>
        <w:t>目</w:t>
      </w:r>
      <w:r>
        <w:rPr>
          <w:rFonts w:hint="eastAsia"/>
        </w:rPr>
        <w:t>次</w:t>
      </w:r>
    </w:p>
    <w:p>
      <w:pPr>
        <w:pStyle w:val="19"/>
        <w:tabs>
          <w:tab w:val="right" w:leader="dot" w:pos="9344"/>
        </w:tabs>
        <w:rPr>
          <w:rFonts w:ascii="等线" w:hAnsi="等线" w:eastAsia="等线" w:cs="黑体"/>
          <w:szCs w:val="22"/>
        </w:rPr>
      </w:pPr>
      <w:r>
        <w:fldChar w:fldCharType="begin"/>
      </w:r>
      <w:r>
        <w:instrText xml:space="preserve"> TOC \o "1-1" \h </w:instrText>
      </w:r>
      <w:r>
        <w:fldChar w:fldCharType="separate"/>
      </w:r>
      <w:r>
        <w:fldChar w:fldCharType="begin"/>
      </w:r>
      <w:r>
        <w:instrText xml:space="preserve"> HYPERLINK \l "_Toc142490381" </w:instrText>
      </w:r>
      <w:r>
        <w:fldChar w:fldCharType="separate"/>
      </w:r>
      <w:r>
        <w:rPr>
          <w:rStyle w:val="31"/>
        </w:rPr>
        <w:t>前言</w:t>
      </w:r>
      <w:r>
        <w:tab/>
      </w:r>
      <w:r>
        <w:fldChar w:fldCharType="begin"/>
      </w:r>
      <w:r>
        <w:instrText xml:space="preserve"> PAGEREF _Toc142490381 \h </w:instrText>
      </w:r>
      <w:r>
        <w:fldChar w:fldCharType="separate"/>
      </w:r>
      <w:r>
        <w:t>II</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"_Toc142490382" </w:instrText>
      </w:r>
      <w:r>
        <w:fldChar w:fldCharType="separate"/>
      </w:r>
      <w:r>
        <w:rPr>
          <w:rStyle w:val="31"/>
        </w:rPr>
        <w:t>1  范围</w:t>
      </w:r>
      <w:r>
        <w:tab/>
      </w:r>
      <w:r>
        <w:fldChar w:fldCharType="begin"/>
      </w:r>
      <w:r>
        <w:instrText xml:space="preserve"> PAGEREF _Toc142490382 \h </w:instrText>
      </w:r>
      <w:r>
        <w:fldChar w:fldCharType="separate"/>
      </w:r>
      <w:r>
        <w:t>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"_Toc142490383" </w:instrText>
      </w:r>
      <w:r>
        <w:fldChar w:fldCharType="separate"/>
      </w:r>
      <w:r>
        <w:rPr>
          <w:rStyle w:val="31"/>
        </w:rPr>
        <w:t>2  规范性引用文件</w:t>
      </w:r>
      <w:r>
        <w:tab/>
      </w:r>
      <w:r>
        <w:fldChar w:fldCharType="begin"/>
      </w:r>
      <w:r>
        <w:instrText xml:space="preserve"> PAGEREF _Toc142490383 \h </w:instrText>
      </w:r>
      <w:r>
        <w:fldChar w:fldCharType="separate"/>
      </w:r>
      <w:r>
        <w:t>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"_Toc142490384" </w:instrText>
      </w:r>
      <w:r>
        <w:fldChar w:fldCharType="separate"/>
      </w:r>
      <w:r>
        <w:rPr>
          <w:rStyle w:val="31"/>
        </w:rPr>
        <w:t>3  术语和定义</w:t>
      </w:r>
      <w:r>
        <w:tab/>
      </w:r>
      <w:r>
        <w:fldChar w:fldCharType="begin"/>
      </w:r>
      <w:r>
        <w:instrText xml:space="preserve"> PAGEREF _Toc142490384 \h </w:instrText>
      </w:r>
      <w:r>
        <w:fldChar w:fldCharType="separate"/>
      </w:r>
      <w:r>
        <w:t>2</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"_Toc142490385" </w:instrText>
      </w:r>
      <w:r>
        <w:fldChar w:fldCharType="separate"/>
      </w:r>
      <w:r>
        <w:rPr>
          <w:rStyle w:val="31"/>
        </w:rPr>
        <w:t>4  评价要求</w:t>
      </w:r>
      <w:r>
        <w:tab/>
      </w:r>
      <w:r>
        <w:fldChar w:fldCharType="begin"/>
      </w:r>
      <w:r>
        <w:instrText xml:space="preserve"> PAGEREF _Toc142490385 \h </w:instrText>
      </w:r>
      <w:r>
        <w:fldChar w:fldCharType="separate"/>
      </w:r>
      <w:r>
        <w:t>2</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"_Toc142490386" </w:instrText>
      </w:r>
      <w:r>
        <w:fldChar w:fldCharType="separate"/>
      </w:r>
      <w:r>
        <w:rPr>
          <w:rStyle w:val="31"/>
          <w:bCs/>
        </w:rPr>
        <w:t xml:space="preserve">5 </w:t>
      </w:r>
      <w:r>
        <w:rPr>
          <w:rStyle w:val="31"/>
        </w:rPr>
        <w:t xml:space="preserve"> 产品生命周期评价方法及评价报告编制方法</w:t>
      </w:r>
      <w:r>
        <w:tab/>
      </w:r>
      <w:r>
        <w:fldChar w:fldCharType="begin"/>
      </w:r>
      <w:r>
        <w:instrText xml:space="preserve"> PAGEREF _Toc142490386 \h </w:instrText>
      </w:r>
      <w:r>
        <w:fldChar w:fldCharType="separate"/>
      </w:r>
      <w:r>
        <w:t>10</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"_Toc142490387" </w:instrText>
      </w:r>
      <w:r>
        <w:fldChar w:fldCharType="separate"/>
      </w:r>
      <w:r>
        <w:rPr>
          <w:rStyle w:val="31"/>
        </w:rPr>
        <w:t>6  评价方法</w:t>
      </w:r>
      <w:r>
        <w:tab/>
      </w:r>
      <w:r>
        <w:fldChar w:fldCharType="begin"/>
      </w:r>
      <w:r>
        <w:instrText xml:space="preserve"> PAGEREF _Toc142490387 \h </w:instrText>
      </w:r>
      <w:r>
        <w:fldChar w:fldCharType="separate"/>
      </w:r>
      <w:r>
        <w:t>11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"_Toc142490388" </w:instrText>
      </w:r>
      <w:r>
        <w:fldChar w:fldCharType="separate"/>
      </w:r>
      <w:r>
        <w:rPr>
          <w:rStyle w:val="31"/>
        </w:rPr>
        <w:t>附录A（规范性）  指标计算方法</w:t>
      </w:r>
      <w:r>
        <w:tab/>
      </w:r>
      <w:r>
        <w:fldChar w:fldCharType="begin"/>
      </w:r>
      <w:r>
        <w:instrText xml:space="preserve"> PAGEREF _Toc142490388 \h </w:instrText>
      </w:r>
      <w:r>
        <w:fldChar w:fldCharType="separate"/>
      </w:r>
      <w:r>
        <w:t>12</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"_Toc142490389" </w:instrText>
      </w:r>
      <w:r>
        <w:fldChar w:fldCharType="separate"/>
      </w:r>
      <w:r>
        <w:rPr>
          <w:rStyle w:val="31"/>
        </w:rPr>
        <w:t>附录B（规范性）  资源属性中烷基酚（AP）和烷基酚聚氧乙烯醚（APEO）</w:t>
      </w:r>
      <w:r>
        <w:tab/>
      </w:r>
      <w:r>
        <w:fldChar w:fldCharType="begin"/>
      </w:r>
      <w:r>
        <w:instrText xml:space="preserve"> PAGEREF _Toc142490389 \h </w:instrText>
      </w:r>
      <w:r>
        <w:fldChar w:fldCharType="separate"/>
      </w:r>
      <w:r>
        <w:t>14</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"_Toc142490390" </w:instrText>
      </w:r>
      <w:r>
        <w:fldChar w:fldCharType="separate"/>
      </w:r>
      <w:r>
        <w:rPr>
          <w:rStyle w:val="31"/>
        </w:rPr>
        <w:t>附录C（规范性）  资源属性中氯化苯酚</w:t>
      </w:r>
      <w:r>
        <w:tab/>
      </w:r>
      <w:r>
        <w:fldChar w:fldCharType="begin"/>
      </w:r>
      <w:r>
        <w:instrText xml:space="preserve"> PAGEREF _Toc142490390 \h </w:instrText>
      </w:r>
      <w:r>
        <w:fldChar w:fldCharType="separate"/>
      </w:r>
      <w:r>
        <w:t>15</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"_Toc142490391" </w:instrText>
      </w:r>
      <w:r>
        <w:fldChar w:fldCharType="separate"/>
      </w:r>
      <w:r>
        <w:rPr>
          <w:rStyle w:val="31"/>
        </w:rPr>
        <w:t>附录D（规范性）  有害染料</w:t>
      </w:r>
      <w:r>
        <w:tab/>
      </w:r>
      <w:r>
        <w:fldChar w:fldCharType="begin"/>
      </w:r>
      <w:r>
        <w:instrText xml:space="preserve"> PAGEREF _Toc142490391 \h </w:instrText>
      </w:r>
      <w:r>
        <w:fldChar w:fldCharType="separate"/>
      </w:r>
      <w:r>
        <w:t>16</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"_Toc142490392" </w:instrText>
      </w:r>
      <w:r>
        <w:fldChar w:fldCharType="separate"/>
      </w:r>
      <w:r>
        <w:rPr>
          <w:rStyle w:val="31"/>
        </w:rPr>
        <w:t>附录E（规范性）  资源属性中阻燃剂</w:t>
      </w:r>
      <w:r>
        <w:tab/>
      </w:r>
      <w:r>
        <w:fldChar w:fldCharType="begin"/>
      </w:r>
      <w:r>
        <w:instrText xml:space="preserve"> PAGEREF _Toc142490392 \h </w:instrText>
      </w:r>
      <w:r>
        <w:fldChar w:fldCharType="separate"/>
      </w:r>
      <w:r>
        <w:t>19</w:t>
      </w:r>
      <w:r>
        <w:fldChar w:fldCharType="end"/>
      </w:r>
      <w:r>
        <w:fldChar w:fldCharType="end"/>
      </w:r>
    </w:p>
    <w:p>
      <w:pPr>
        <w:pStyle w:val="19"/>
        <w:tabs>
          <w:tab w:val="right" w:leader="dot" w:pos="9344"/>
        </w:tabs>
        <w:rPr>
          <w:rFonts w:ascii="等线" w:hAnsi="等线" w:eastAsia="等线" w:cs="黑体"/>
          <w:szCs w:val="22"/>
          <w:highlight w:val="none"/>
        </w:rPr>
      </w:pPr>
      <w:r>
        <w:rPr>
          <w:highlight w:val="none"/>
        </w:rPr>
        <w:fldChar w:fldCharType="begin"/>
      </w:r>
      <w:r>
        <w:rPr>
          <w:highlight w:val="none"/>
        </w:rPr>
        <w:instrText xml:space="preserve"> HYPERLINK \l "_Toc142490393" </w:instrText>
      </w:r>
      <w:r>
        <w:rPr>
          <w:highlight w:val="none"/>
        </w:rPr>
        <w:fldChar w:fldCharType="separate"/>
      </w:r>
      <w:r>
        <w:rPr>
          <w:rStyle w:val="31"/>
          <w:highlight w:val="none"/>
        </w:rPr>
        <w:t xml:space="preserve">附录F（规范性）  </w:t>
      </w:r>
      <w:r>
        <w:rPr>
          <w:rStyle w:val="31"/>
        </w:rPr>
        <w:t xml:space="preserve"> 多环芳烃</w:t>
      </w:r>
      <w:r>
        <w:rPr>
          <w:highlight w:val="none"/>
        </w:rPr>
        <w:tab/>
      </w:r>
      <w:r>
        <w:rPr>
          <w:highlight w:val="none"/>
        </w:rPr>
        <w:fldChar w:fldCharType="begin"/>
      </w:r>
      <w:r>
        <w:rPr>
          <w:highlight w:val="none"/>
        </w:rPr>
        <w:instrText xml:space="preserve"> PAGEREF _Toc142490393 \h </w:instrText>
      </w:r>
      <w:r>
        <w:rPr>
          <w:highlight w:val="none"/>
        </w:rPr>
        <w:fldChar w:fldCharType="separate"/>
      </w:r>
      <w:r>
        <w:rPr>
          <w:highlight w:val="none"/>
        </w:rPr>
        <w:t>20</w:t>
      </w:r>
      <w:r>
        <w:rPr>
          <w:highlight w:val="none"/>
        </w:rPr>
        <w:fldChar w:fldCharType="end"/>
      </w:r>
      <w:r>
        <w:rPr>
          <w:highlight w:val="none"/>
        </w:rPr>
        <w:fldChar w:fldCharType="end"/>
      </w:r>
    </w:p>
    <w:p>
      <w:pPr>
        <w:pStyle w:val="19"/>
        <w:tabs>
          <w:tab w:val="right" w:leader="dot" w:pos="9344"/>
        </w:tabs>
        <w:rPr>
          <w:rFonts w:ascii="等线" w:hAnsi="等线" w:eastAsia="等线" w:cs="黑体"/>
          <w:szCs w:val="22"/>
        </w:rPr>
      </w:pPr>
      <w:r>
        <w:fldChar w:fldCharType="begin"/>
      </w:r>
      <w:r>
        <w:instrText xml:space="preserve"> HYPERLINK \l "_Toc142490394" </w:instrText>
      </w:r>
      <w:r>
        <w:fldChar w:fldCharType="separate"/>
      </w:r>
      <w:r>
        <w:rPr>
          <w:rStyle w:val="31"/>
        </w:rPr>
        <w:t>附录G（规范性） 资源属性中邻苯二甲酸酯</w:t>
      </w:r>
      <w:r>
        <w:tab/>
      </w:r>
      <w:r>
        <w:fldChar w:fldCharType="begin"/>
      </w:r>
      <w:r>
        <w:instrText xml:space="preserve"> PAGEREF _Toc142490394 \h </w:instrText>
      </w:r>
      <w:r>
        <w:fldChar w:fldCharType="separate"/>
      </w:r>
      <w:r>
        <w:t>21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"_Toc142490395" </w:instrText>
      </w:r>
      <w:r>
        <w:fldChar w:fldCharType="separate"/>
      </w:r>
      <w:r>
        <w:rPr>
          <w:rStyle w:val="31"/>
        </w:rPr>
        <w:t>附录H（规范性）  人造革产品生命周期评价方法</w:t>
      </w:r>
      <w:r>
        <w:tab/>
      </w:r>
      <w:r>
        <w:fldChar w:fldCharType="begin"/>
      </w:r>
      <w:r>
        <w:instrText xml:space="preserve"> PAGEREF _Toc142490395 \h </w:instrText>
      </w:r>
      <w:r>
        <w:fldChar w:fldCharType="separate"/>
      </w:r>
      <w:r>
        <w:t>22</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"_Toc142490400" </w:instrText>
      </w:r>
      <w:r>
        <w:fldChar w:fldCharType="separate"/>
      </w:r>
      <w:r>
        <w:rPr>
          <w:rStyle w:val="31"/>
        </w:rPr>
        <w:t>参考文献</w:t>
      </w:r>
      <w:r>
        <w:tab/>
      </w:r>
      <w:r>
        <w:rPr>
          <w:rFonts w:hint="eastAsia"/>
          <w:lang w:val="en-US" w:eastAsia="zh-CN"/>
        </w:rPr>
        <w:t>2</w:t>
      </w:r>
      <w:r>
        <w:fldChar w:fldCharType="end"/>
      </w:r>
      <w:r>
        <w:rPr>
          <w:rFonts w:hint="eastAsia"/>
          <w:lang w:val="en-US" w:eastAsia="zh-CN"/>
        </w:rPr>
        <w:t>7</w:t>
      </w:r>
    </w:p>
    <w:p>
      <w:pPr>
        <w:pStyle w:val="74"/>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720" w:num="1"/>
          <w:formProt w:val="0"/>
          <w:docGrid w:linePitch="312" w:charSpace="0"/>
        </w:sectPr>
      </w:pPr>
      <w:r>
        <w:fldChar w:fldCharType="end"/>
      </w:r>
    </w:p>
    <w:bookmarkEnd w:id="14"/>
    <w:p>
      <w:pPr>
        <w:pStyle w:val="72"/>
        <w:spacing w:after="360"/>
      </w:pPr>
      <w:bookmarkStart w:id="18" w:name="_Toc142490381"/>
      <w:bookmarkStart w:id="19" w:name="BookMark2"/>
      <w:r>
        <w:rPr>
          <w:spacing w:val="320"/>
        </w:rPr>
        <w:t>前</w:t>
      </w:r>
      <w:r>
        <w:t>言</w:t>
      </w:r>
      <w:bookmarkEnd w:id="15"/>
      <w:bookmarkEnd w:id="16"/>
      <w:bookmarkEnd w:id="17"/>
      <w:bookmarkEnd w:id="18"/>
    </w:p>
    <w:p>
      <w:pPr>
        <w:pStyle w:val="41"/>
        <w:ind w:firstLine="420"/>
      </w:pPr>
      <w:r>
        <w:rPr>
          <w:rFonts w:hint="eastAsia"/>
        </w:rPr>
        <w:t>本文件按照GB/T 1.1—2020《标准化工作导则  第1部分：标准化文件的结构和起草规则》的规定起草。</w:t>
      </w:r>
    </w:p>
    <w:p>
      <w:pPr>
        <w:pStyle w:val="203"/>
      </w:pPr>
      <w:r>
        <w:rPr>
          <w:rFonts w:hint="eastAsia"/>
        </w:rPr>
        <w:t>请注意本文件的某些内容可能涉及专利。本文件的发布机构不承担识别专利的责任。</w:t>
      </w:r>
    </w:p>
    <w:p>
      <w:pPr>
        <w:pStyle w:val="203"/>
      </w:pPr>
      <w:r>
        <w:rPr>
          <w:rFonts w:hint="eastAsia"/>
        </w:rPr>
        <w:t>本文件由中国轻工业联合会提出并归口。</w:t>
      </w:r>
    </w:p>
    <w:p>
      <w:pPr>
        <w:pStyle w:val="41"/>
        <w:ind w:firstLine="420"/>
      </w:pPr>
      <w:r>
        <w:rPr>
          <w:rFonts w:hint="eastAsia"/>
        </w:rPr>
        <w:t>本文件起草单位：</w:t>
      </w:r>
      <w:r>
        <w:rPr>
          <w:rFonts w:hint="eastAsia"/>
          <w:color w:val="auto"/>
          <w:lang w:eastAsia="zh-CN"/>
        </w:rPr>
        <w:t>佛山市威仕达新材料有限公司</w:t>
      </w:r>
    </w:p>
    <w:p>
      <w:pPr>
        <w:pStyle w:val="41"/>
        <w:ind w:firstLine="420"/>
      </w:pPr>
      <w:r>
        <w:rPr>
          <w:rFonts w:hint="eastAsia"/>
        </w:rPr>
        <w:t>本文件主要起草人：</w:t>
      </w:r>
      <w:r>
        <w:rPr>
          <w:rFonts w:hint="eastAsia"/>
          <w:lang w:eastAsia="zh-CN"/>
        </w:rPr>
        <w:t>苏红伟、洪爱军、</w:t>
      </w:r>
    </w:p>
    <w:p>
      <w:pPr>
        <w:pStyle w:val="203"/>
        <w:rPr>
          <w:rFonts w:ascii="Times New Roman"/>
        </w:rPr>
      </w:pPr>
      <w:r>
        <w:rPr>
          <w:rFonts w:ascii="Times New Roman"/>
        </w:rPr>
        <w:t>本文件为首次</w:t>
      </w:r>
      <w:r>
        <w:rPr>
          <w:rFonts w:hint="eastAsia" w:ascii="Times New Roman"/>
        </w:rPr>
        <w:t>制定</w:t>
      </w:r>
      <w:r>
        <w:rPr>
          <w:rFonts w:ascii="Times New Roman"/>
        </w:rPr>
        <w:t>。</w:t>
      </w:r>
    </w:p>
    <w:p>
      <w:pPr>
        <w:pStyle w:val="41"/>
        <w:ind w:firstLine="199" w:firstLineChars="95"/>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720" w:num="1"/>
          <w:formProt w:val="0"/>
          <w:docGrid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p>
      <w:pPr>
        <w:pStyle w:val="155"/>
        <w:spacing w:beforeLines="1" w:afterLines="1"/>
      </w:pPr>
      <w:bookmarkStart w:id="21" w:name="NEW_STAND_NAME"/>
      <w:r>
        <w:rPr>
          <w:rFonts w:hint="eastAsia"/>
        </w:rPr>
        <w:t>绿色设计产品评价技术规范</w:t>
      </w:r>
    </w:p>
    <w:p>
      <w:pPr>
        <w:pStyle w:val="155"/>
        <w:spacing w:beforeLines="1" w:after="680"/>
      </w:pPr>
      <w:r>
        <w:rPr>
          <w:rFonts w:hint="eastAsia"/>
        </w:rPr>
        <w:t>游艇用聚氯乙烯人造革</w:t>
      </w:r>
    </w:p>
    <w:bookmarkEnd w:id="21"/>
    <w:p>
      <w:pPr>
        <w:pStyle w:val="84"/>
        <w:spacing w:before="240" w:after="240"/>
      </w:pPr>
      <w:bookmarkStart w:id="22" w:name="_Toc26986771"/>
      <w:bookmarkStart w:id="23" w:name="_Toc17233325"/>
      <w:bookmarkStart w:id="24" w:name="_Toc26986530"/>
      <w:bookmarkStart w:id="25" w:name="_Toc126226128"/>
      <w:bookmarkStart w:id="26" w:name="_Toc126667249"/>
      <w:bookmarkStart w:id="27" w:name="_Toc26648465"/>
      <w:bookmarkStart w:id="28" w:name="_Toc26718930"/>
      <w:bookmarkStart w:id="29" w:name="_Toc24884218"/>
      <w:bookmarkStart w:id="30" w:name="_Toc24884211"/>
      <w:bookmarkStart w:id="31" w:name="_Toc126133971"/>
      <w:bookmarkStart w:id="32" w:name="_Toc97192964"/>
      <w:bookmarkStart w:id="33" w:name="_Toc142490382"/>
      <w:bookmarkStart w:id="34" w:name="_Toc17233333"/>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p>
    <w:p>
      <w:pPr>
        <w:pStyle w:val="203"/>
      </w:pPr>
      <w:bookmarkStart w:id="35" w:name="_Toc17233334"/>
      <w:bookmarkStart w:id="36" w:name="_Toc17233326"/>
      <w:bookmarkStart w:id="37" w:name="_Toc24884212"/>
      <w:bookmarkStart w:id="38" w:name="_Toc24884219"/>
      <w:bookmarkStart w:id="39" w:name="_Toc26648466"/>
      <w:r>
        <w:rPr>
          <w:rFonts w:hint="eastAsia"/>
        </w:rPr>
        <w:t>本文件给出了游艇用聚氯乙烯人造革（以下简称“人造革”）绿色设计产品的术语和定义，规定了对应的评价要求、产品生命周期和评价方法。</w:t>
      </w:r>
    </w:p>
    <w:p>
      <w:pPr>
        <w:pStyle w:val="203"/>
      </w:pPr>
      <w:r>
        <w:rPr>
          <w:rFonts w:hint="eastAsia"/>
        </w:rPr>
        <w:t>本文件适用于游艇用聚氯乙烯人造革的绿色设计产品评价。</w:t>
      </w:r>
    </w:p>
    <w:p>
      <w:pPr>
        <w:pStyle w:val="84"/>
        <w:spacing w:before="240" w:after="240"/>
      </w:pPr>
      <w:bookmarkStart w:id="40" w:name="_Toc142490383"/>
      <w:bookmarkStart w:id="41" w:name="_Toc26718931"/>
      <w:bookmarkStart w:id="42" w:name="_Toc26986772"/>
      <w:bookmarkStart w:id="43" w:name="_Toc126667250"/>
      <w:bookmarkStart w:id="44" w:name="_Toc126133972"/>
      <w:bookmarkStart w:id="45" w:name="_Toc97192965"/>
      <w:bookmarkStart w:id="46" w:name="_Toc126226129"/>
      <w:bookmarkStart w:id="47" w:name="_Toc26986531"/>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p>
    <w:p>
      <w:pPr>
        <w:pStyle w:val="4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3"/>
        <w:rPr>
          <w:rFonts w:ascii="Times New Roman"/>
        </w:rPr>
      </w:pPr>
      <w:r>
        <w:rPr>
          <w:rFonts w:hint="eastAsia" w:ascii="Times New Roman"/>
        </w:rPr>
        <w:t>GB/T</w:t>
      </w:r>
      <w:r>
        <w:rPr>
          <w:rFonts w:ascii="Times New Roman"/>
        </w:rPr>
        <w:t xml:space="preserve"> </w:t>
      </w:r>
      <w:r>
        <w:rPr>
          <w:rFonts w:hint="eastAsia" w:ascii="Times New Roman"/>
        </w:rPr>
        <w:t>2589</w:t>
      </w:r>
      <w:r>
        <w:rPr>
          <w:rFonts w:ascii="Times New Roman"/>
        </w:rPr>
        <w:t xml:space="preserve"> </w:t>
      </w:r>
      <w:r>
        <w:rPr>
          <w:rFonts w:hint="eastAsia" w:ascii="Times New Roman"/>
        </w:rPr>
        <w:t>综合能耗计算通则</w:t>
      </w:r>
    </w:p>
    <w:p>
      <w:pPr>
        <w:pStyle w:val="203"/>
        <w:rPr>
          <w:rFonts w:ascii="Times New Roman"/>
        </w:rPr>
      </w:pPr>
      <w:r>
        <w:rPr>
          <w:rFonts w:ascii="Times New Roman"/>
        </w:rPr>
        <w:t xml:space="preserve">GB/T 2912.1 </w:t>
      </w:r>
      <w:r>
        <w:rPr>
          <w:rFonts w:ascii="Times New Roman"/>
        </w:rPr>
        <w:tab/>
      </w:r>
      <w:r>
        <w:rPr>
          <w:rFonts w:ascii="Times New Roman"/>
        </w:rPr>
        <w:t>纺织品.甲醛的测定 第1部分:游离和水解的甲醛(水萃取法)</w:t>
      </w:r>
    </w:p>
    <w:p>
      <w:pPr>
        <w:pStyle w:val="203"/>
        <w:rPr>
          <w:rFonts w:ascii="Times New Roman"/>
        </w:rPr>
      </w:pPr>
      <w:r>
        <w:rPr>
          <w:rFonts w:ascii="Times New Roman"/>
        </w:rPr>
        <w:t>GB 8410 汽车内饰材料的燃烧特性</w:t>
      </w:r>
    </w:p>
    <w:p>
      <w:pPr>
        <w:autoSpaceDE w:val="0"/>
        <w:autoSpaceDN w:val="0"/>
        <w:spacing w:line="240" w:lineRule="auto"/>
        <w:ind w:firstLine="420" w:firstLineChars="200"/>
        <w:jc w:val="left"/>
        <w:rPr>
          <w:rFonts w:ascii="Times New Roman" w:hAnsi="Times New Roman"/>
          <w:kern w:val="0"/>
          <w:szCs w:val="20"/>
          <w:highlight w:val="none"/>
        </w:rPr>
      </w:pPr>
      <w:r>
        <w:rPr>
          <w:rFonts w:ascii="Times New Roman" w:hAnsi="Times New Roman"/>
          <w:color w:val="auto"/>
          <w:kern w:val="0"/>
          <w:szCs w:val="20"/>
          <w:highlight w:val="none"/>
        </w:rPr>
        <w:t xml:space="preserve">GB/T8627-2007 </w:t>
      </w:r>
      <w:r>
        <w:rPr>
          <w:rFonts w:hint="eastAsia" w:ascii="Times New Roman" w:hAnsi="Times New Roman"/>
          <w:color w:val="auto"/>
          <w:kern w:val="0"/>
          <w:szCs w:val="20"/>
          <w:highlight w:val="none"/>
        </w:rPr>
        <w:t>建筑材料燃烧或分解的烟密度试验方法</w:t>
      </w:r>
    </w:p>
    <w:p>
      <w:pPr>
        <w:pStyle w:val="203"/>
        <w:rPr>
          <w:rFonts w:ascii="Times New Roman"/>
        </w:rPr>
      </w:pPr>
      <w:r>
        <w:rPr>
          <w:rFonts w:ascii="Times New Roman"/>
        </w:rPr>
        <w:t>GB/T 16483 化学品安全技术说明书 内容和项目顺序</w:t>
      </w:r>
    </w:p>
    <w:p>
      <w:pPr>
        <w:pStyle w:val="203"/>
        <w:rPr>
          <w:rFonts w:ascii="Times New Roman"/>
        </w:rPr>
      </w:pPr>
      <w:r>
        <w:rPr>
          <w:rFonts w:ascii="Times New Roman"/>
        </w:rPr>
        <w:t>GB 17167 用能单位能源计量器具配备和管理通则</w:t>
      </w:r>
    </w:p>
    <w:p>
      <w:pPr>
        <w:pStyle w:val="203"/>
        <w:rPr>
          <w:rFonts w:ascii="Times New Roman"/>
        </w:rPr>
      </w:pPr>
      <w:r>
        <w:rPr>
          <w:rFonts w:ascii="Times New Roman"/>
        </w:rPr>
        <w:t>GB/T 17592 纺织品 禁用偶氮染料的测定</w:t>
      </w:r>
    </w:p>
    <w:p>
      <w:pPr>
        <w:pStyle w:val="203"/>
        <w:rPr>
          <w:rFonts w:ascii="Times New Roman"/>
        </w:rPr>
      </w:pPr>
      <w:r>
        <w:rPr>
          <w:rFonts w:ascii="Times New Roman"/>
        </w:rPr>
        <w:t>GB 18597 危险废物贮存污染控制标准</w:t>
      </w:r>
    </w:p>
    <w:p>
      <w:pPr>
        <w:pStyle w:val="203"/>
        <w:rPr>
          <w:rFonts w:ascii="Times New Roman"/>
        </w:rPr>
      </w:pPr>
      <w:r>
        <w:rPr>
          <w:rFonts w:ascii="Times New Roman"/>
        </w:rPr>
        <w:t>GB 18599 一般工业固体废物贮存</w:t>
      </w:r>
      <w:r>
        <w:rPr>
          <w:rFonts w:hint="eastAsia" w:ascii="Times New Roman"/>
        </w:rPr>
        <w:t>和填埋</w:t>
      </w:r>
      <w:r>
        <w:rPr>
          <w:rFonts w:ascii="Times New Roman"/>
        </w:rPr>
        <w:t>污染控制标准</w:t>
      </w:r>
    </w:p>
    <w:p>
      <w:pPr>
        <w:pStyle w:val="203"/>
        <w:rPr>
          <w:rFonts w:ascii="Times New Roman"/>
        </w:rPr>
      </w:pPr>
      <w:r>
        <w:rPr>
          <w:rFonts w:ascii="Times New Roman"/>
        </w:rPr>
        <w:t>GB/T 19001 质量管理体系  要求</w:t>
      </w:r>
    </w:p>
    <w:p>
      <w:pPr>
        <w:pStyle w:val="203"/>
        <w:rPr>
          <w:rFonts w:ascii="Times New Roman"/>
        </w:rPr>
      </w:pPr>
      <w:r>
        <w:rPr>
          <w:rFonts w:ascii="Times New Roman"/>
        </w:rPr>
        <w:t>GB/T 20382 纺织品 致癌染料的测定</w:t>
      </w:r>
    </w:p>
    <w:p>
      <w:pPr>
        <w:pStyle w:val="203"/>
        <w:rPr>
          <w:rFonts w:ascii="Times New Roman"/>
        </w:rPr>
      </w:pPr>
      <w:r>
        <w:rPr>
          <w:rFonts w:ascii="Times New Roman"/>
        </w:rPr>
        <w:t>GB/T 20383 纺织品 致敏性分散染料的测定</w:t>
      </w:r>
    </w:p>
    <w:p>
      <w:pPr>
        <w:pStyle w:val="203"/>
        <w:rPr>
          <w:rFonts w:ascii="Times New Roman"/>
        </w:rPr>
      </w:pPr>
      <w:r>
        <w:rPr>
          <w:rFonts w:hint="eastAsia" w:ascii="Times New Roman"/>
        </w:rPr>
        <w:t>GB</w:t>
      </w:r>
      <w:r>
        <w:rPr>
          <w:rFonts w:ascii="Times New Roman"/>
        </w:rPr>
        <w:t>/</w:t>
      </w:r>
      <w:r>
        <w:rPr>
          <w:rFonts w:hint="eastAsia" w:ascii="Times New Roman"/>
        </w:rPr>
        <w:t>T 22048 玩具及儿童用品中特定邻苯二甲酸酯增塑剂的测定</w:t>
      </w:r>
    </w:p>
    <w:p>
      <w:pPr>
        <w:pStyle w:val="203"/>
        <w:rPr>
          <w:rFonts w:ascii="Times New Roman"/>
          <w:highlight w:val="none"/>
        </w:rPr>
      </w:pPr>
      <w:r>
        <w:rPr>
          <w:rFonts w:ascii="Times New Roman"/>
          <w:highlight w:val="none"/>
        </w:rPr>
        <w:t>GB/T 23263 制品中石棉含量测定方法</w:t>
      </w:r>
    </w:p>
    <w:p>
      <w:pPr>
        <w:pStyle w:val="203"/>
        <w:rPr>
          <w:rFonts w:ascii="Times New Roman"/>
        </w:rPr>
      </w:pPr>
      <w:r>
        <w:rPr>
          <w:rFonts w:ascii="Times New Roman"/>
        </w:rPr>
        <w:t>GB/T 23331 能源管理体系 要求及使用指南</w:t>
      </w:r>
    </w:p>
    <w:p>
      <w:pPr>
        <w:pStyle w:val="203"/>
        <w:rPr>
          <w:rFonts w:ascii="Times New Roman"/>
        </w:rPr>
      </w:pPr>
      <w:r>
        <w:rPr>
          <w:rFonts w:ascii="Times New Roman"/>
        </w:rPr>
        <w:t>GB/T 23344 纺织品 4-氨基偶氮苯的测定</w:t>
      </w:r>
    </w:p>
    <w:p>
      <w:pPr>
        <w:pStyle w:val="203"/>
        <w:rPr>
          <w:rFonts w:ascii="Times New Roman"/>
        </w:rPr>
      </w:pPr>
      <w:r>
        <w:rPr>
          <w:rFonts w:ascii="Times New Roman"/>
        </w:rPr>
        <w:t>GB/T 23345 纺织品 分散黄23和分散橙149染料的测定</w:t>
      </w:r>
    </w:p>
    <w:p>
      <w:pPr>
        <w:pStyle w:val="203"/>
        <w:rPr>
          <w:rFonts w:ascii="Times New Roman"/>
        </w:rPr>
      </w:pPr>
      <w:r>
        <w:rPr>
          <w:rFonts w:ascii="Times New Roman"/>
        </w:rPr>
        <w:t>GB/T 24001 环境管理体系  要求及使用指南</w:t>
      </w:r>
    </w:p>
    <w:p>
      <w:pPr>
        <w:pStyle w:val="203"/>
        <w:rPr>
          <w:rFonts w:ascii="Times New Roman"/>
        </w:rPr>
      </w:pPr>
      <w:r>
        <w:rPr>
          <w:rFonts w:ascii="Times New Roman"/>
        </w:rPr>
        <w:t>GB/T 24040 环境管理  生命周期评价  原则与框架</w:t>
      </w:r>
    </w:p>
    <w:p>
      <w:pPr>
        <w:pStyle w:val="203"/>
        <w:rPr>
          <w:rFonts w:ascii="Times New Roman"/>
        </w:rPr>
      </w:pPr>
      <w:r>
        <w:rPr>
          <w:rFonts w:ascii="Times New Roman"/>
        </w:rPr>
        <w:t>GB/T 24044 环境管理  生命周期评价  要求与指南</w:t>
      </w:r>
    </w:p>
    <w:p>
      <w:pPr>
        <w:pStyle w:val="203"/>
        <w:rPr>
          <w:rFonts w:ascii="Times New Roman"/>
        </w:rPr>
      </w:pPr>
      <w:r>
        <w:rPr>
          <w:rFonts w:ascii="Times New Roman"/>
        </w:rPr>
        <w:t>GB/T 32161－2015 生态设计产品评价通则</w:t>
      </w:r>
    </w:p>
    <w:p>
      <w:pPr>
        <w:pStyle w:val="203"/>
        <w:rPr>
          <w:rFonts w:ascii="Times New Roman"/>
        </w:rPr>
      </w:pPr>
      <w:r>
        <w:rPr>
          <w:rFonts w:ascii="Times New Roman"/>
        </w:rPr>
        <w:t>GB/T 32162－2015 生态设计产品标识</w:t>
      </w:r>
    </w:p>
    <w:p>
      <w:pPr>
        <w:pStyle w:val="203"/>
        <w:rPr>
          <w:rFonts w:ascii="Times New Roman"/>
        </w:rPr>
      </w:pPr>
      <w:r>
        <w:rPr>
          <w:rFonts w:ascii="Times New Roman"/>
        </w:rPr>
        <w:t>GB/T 33000 企业安全生产标准化基本规范</w:t>
      </w:r>
    </w:p>
    <w:p>
      <w:pPr>
        <w:pStyle w:val="203"/>
        <w:rPr>
          <w:rFonts w:ascii="Times New Roman"/>
        </w:rPr>
      </w:pPr>
      <w:r>
        <w:rPr>
          <w:rFonts w:ascii="Times New Roman"/>
        </w:rPr>
        <w:t>GB/T 33761－2017 绿色产品评价通则</w:t>
      </w:r>
    </w:p>
    <w:p>
      <w:pPr>
        <w:pStyle w:val="203"/>
        <w:rPr>
          <w:rFonts w:ascii="Times New Roman"/>
        </w:rPr>
      </w:pPr>
      <w:r>
        <w:rPr>
          <w:rFonts w:ascii="Times New Roman"/>
        </w:rPr>
        <w:t>GB/T 34443-2017 人造革与合成革术语</w:t>
      </w:r>
    </w:p>
    <w:p>
      <w:pPr>
        <w:pStyle w:val="203"/>
        <w:rPr>
          <w:rFonts w:ascii="Times New Roman"/>
        </w:rPr>
      </w:pPr>
      <w:r>
        <w:rPr>
          <w:rFonts w:ascii="Times New Roman"/>
        </w:rPr>
        <w:t>GB/T 45001 职业健康安全管理体系 要求及使用指南</w:t>
      </w:r>
    </w:p>
    <w:p>
      <w:pPr>
        <w:autoSpaceDE w:val="0"/>
        <w:autoSpaceDN w:val="0"/>
        <w:spacing w:line="240" w:lineRule="auto"/>
        <w:ind w:firstLine="420" w:firstLineChars="200"/>
        <w:jc w:val="left"/>
        <w:rPr>
          <w:rFonts w:ascii="Times New Roman" w:hAnsi="Times New Roman"/>
          <w:kern w:val="0"/>
          <w:szCs w:val="20"/>
          <w:highlight w:val="none"/>
        </w:rPr>
      </w:pPr>
      <w:r>
        <w:rPr>
          <w:rFonts w:ascii="Times New Roman" w:hAnsi="Times New Roman"/>
          <w:kern w:val="0"/>
          <w:szCs w:val="20"/>
          <w:highlight w:val="none"/>
        </w:rPr>
        <w:t xml:space="preserve">QB/T4341-2012 </w:t>
      </w:r>
      <w:r>
        <w:rPr>
          <w:rFonts w:hint="eastAsia" w:ascii="Times New Roman" w:hAnsi="Times New Roman"/>
          <w:kern w:val="0"/>
          <w:szCs w:val="20"/>
          <w:highlight w:val="none"/>
        </w:rPr>
        <w:t>抗菌聚氨酯合成革</w:t>
      </w:r>
      <w:r>
        <w:rPr>
          <w:rFonts w:ascii="Times New Roman" w:hAnsi="Times New Roman"/>
          <w:kern w:val="0"/>
          <w:szCs w:val="20"/>
          <w:highlight w:val="none"/>
        </w:rPr>
        <w:t xml:space="preserve"> </w:t>
      </w:r>
      <w:r>
        <w:rPr>
          <w:rFonts w:hint="eastAsia" w:ascii="Times New Roman" w:hAnsi="Times New Roman"/>
          <w:kern w:val="0"/>
          <w:szCs w:val="20"/>
          <w:highlight w:val="none"/>
        </w:rPr>
        <w:t>抗菌性能试验方怯和抗菌效果</w:t>
      </w:r>
    </w:p>
    <w:p>
      <w:pPr>
        <w:pStyle w:val="203"/>
        <w:rPr>
          <w:rFonts w:ascii="Times New Roman"/>
        </w:rPr>
      </w:pPr>
      <w:r>
        <w:rPr>
          <w:rFonts w:ascii="Times New Roman"/>
        </w:rPr>
        <w:t xml:space="preserve">QB/T </w:t>
      </w:r>
      <w:r>
        <w:rPr>
          <w:rFonts w:hint="eastAsia" w:ascii="Times New Roman"/>
        </w:rPr>
        <w:t>4671-2014  人造革合成革试验方法 耐水解的测定</w:t>
      </w:r>
    </w:p>
    <w:p>
      <w:pPr>
        <w:pStyle w:val="203"/>
        <w:rPr>
          <w:rFonts w:ascii="Times New Roman"/>
        </w:rPr>
      </w:pPr>
      <w:r>
        <w:rPr>
          <w:rFonts w:ascii="Times New Roman"/>
        </w:rPr>
        <w:t xml:space="preserve">QB/T </w:t>
      </w:r>
      <w:r>
        <w:rPr>
          <w:rFonts w:hint="eastAsia" w:ascii="Times New Roman"/>
        </w:rPr>
        <w:t>4873-2015  人造革合成革试验方法 实验室光源暴露法</w:t>
      </w:r>
    </w:p>
    <w:p>
      <w:pPr>
        <w:pStyle w:val="203"/>
        <w:rPr>
          <w:rFonts w:ascii="Times New Roman"/>
        </w:rPr>
      </w:pPr>
      <w:r>
        <w:rPr>
          <w:rFonts w:ascii="Times New Roman"/>
        </w:rPr>
        <w:t xml:space="preserve">QB/T 5158-2017 </w:t>
      </w:r>
      <w:r>
        <w:rPr>
          <w:rFonts w:hint="eastAsia" w:ascii="Times New Roman"/>
        </w:rPr>
        <w:t>人造革合成革试验方法 二甲基甲酰胺含量的测定</w:t>
      </w:r>
    </w:p>
    <w:p>
      <w:pPr>
        <w:pStyle w:val="203"/>
        <w:rPr>
          <w:rFonts w:ascii="Times New Roman"/>
        </w:rPr>
      </w:pPr>
      <w:r>
        <w:rPr>
          <w:rFonts w:hint="eastAsia" w:ascii="Times New Roman"/>
        </w:rPr>
        <w:t>Q</w:t>
      </w:r>
      <w:r>
        <w:rPr>
          <w:rFonts w:ascii="Times New Roman"/>
        </w:rPr>
        <w:t xml:space="preserve">B/T 5354-2018 </w:t>
      </w:r>
      <w:r>
        <w:rPr>
          <w:rFonts w:hint="eastAsia" w:ascii="Times New Roman"/>
        </w:rPr>
        <w:t>人造革合成革试验方法 挥发性有机化合物的测定</w:t>
      </w:r>
    </w:p>
    <w:p>
      <w:pPr>
        <w:pStyle w:val="203"/>
        <w:rPr>
          <w:rFonts w:ascii="Times New Roman"/>
          <w:highlight w:val="none"/>
        </w:rPr>
      </w:pPr>
      <w:r>
        <w:rPr>
          <w:rFonts w:ascii="Times New Roman"/>
          <w:highlight w:val="none"/>
        </w:rPr>
        <w:t>QB/T 5447-2019 人造革合成革试验方法 气味的测定</w:t>
      </w:r>
    </w:p>
    <w:p>
      <w:pPr>
        <w:pStyle w:val="203"/>
        <w:rPr>
          <w:rFonts w:ascii="Times New Roman"/>
          <w:highlight w:val="none"/>
        </w:rPr>
      </w:pPr>
      <w:r>
        <w:rPr>
          <w:rFonts w:ascii="Times New Roman"/>
          <w:highlight w:val="none"/>
        </w:rPr>
        <w:t>QC/T 941 汽车材料中汞的检测方法</w:t>
      </w:r>
    </w:p>
    <w:p>
      <w:pPr>
        <w:pStyle w:val="203"/>
        <w:rPr>
          <w:rFonts w:ascii="Times New Roman"/>
          <w:highlight w:val="none"/>
        </w:rPr>
      </w:pPr>
      <w:r>
        <w:rPr>
          <w:rFonts w:ascii="Times New Roman"/>
          <w:highlight w:val="none"/>
        </w:rPr>
        <w:t>QC/T 942 汽车材料中六价铬的检测方法</w:t>
      </w:r>
    </w:p>
    <w:p>
      <w:pPr>
        <w:pStyle w:val="203"/>
        <w:rPr>
          <w:rFonts w:ascii="Times New Roman"/>
          <w:highlight w:val="none"/>
        </w:rPr>
      </w:pPr>
      <w:r>
        <w:rPr>
          <w:rFonts w:ascii="Times New Roman"/>
          <w:highlight w:val="none"/>
        </w:rPr>
        <w:t>QC/T 943 汽车材料中铅、镉的检测方法</w:t>
      </w:r>
    </w:p>
    <w:p>
      <w:pPr>
        <w:pStyle w:val="203"/>
        <w:rPr>
          <w:rFonts w:ascii="Times New Roman"/>
          <w:highlight w:val="none"/>
        </w:rPr>
      </w:pPr>
      <w:r>
        <w:rPr>
          <w:rFonts w:ascii="Times New Roman"/>
          <w:highlight w:val="none"/>
        </w:rPr>
        <w:t>QC/T 944 汽车材料中多溴联苯（PBBs）和多溴二苯醚（PBDEs）的检测方法</w:t>
      </w:r>
    </w:p>
    <w:p>
      <w:pPr>
        <w:pStyle w:val="203"/>
        <w:rPr>
          <w:rFonts w:ascii="Times New Roman"/>
          <w:highlight w:val="none"/>
        </w:rPr>
      </w:pPr>
      <w:r>
        <w:rPr>
          <w:rFonts w:ascii="Times New Roman"/>
          <w:highlight w:val="none"/>
        </w:rPr>
        <w:t xml:space="preserve">QC/T 1131 汽车材料中多环芳烃的检测方法 </w:t>
      </w:r>
    </w:p>
    <w:p>
      <w:pPr>
        <w:pStyle w:val="41"/>
        <w:ind w:firstLine="420"/>
      </w:pPr>
      <w:r>
        <w:rPr>
          <w:rFonts w:ascii="Times New Roman"/>
        </w:rPr>
        <w:t>《合成革行业清洁生产评价指标体系》（国家发展改革委、环境保护部、工业和信息化部公告 2016年第21号）</w:t>
      </w:r>
    </w:p>
    <w:p>
      <w:pPr>
        <w:pStyle w:val="84"/>
        <w:spacing w:before="240" w:after="240"/>
      </w:pPr>
      <w:bookmarkStart w:id="48" w:name="_Toc142490384"/>
      <w:bookmarkStart w:id="49" w:name="_Toc126667251"/>
      <w:bookmarkStart w:id="50" w:name="_Toc126133973"/>
      <w:bookmarkStart w:id="51" w:name="_Toc97192966"/>
      <w:bookmarkStart w:id="52" w:name="_Toc126226130"/>
      <w:r>
        <w:rPr>
          <w:rFonts w:hint="eastAsia"/>
          <w:szCs w:val="21"/>
        </w:rPr>
        <w:t>术语和定义</w:t>
      </w:r>
      <w:bookmarkEnd w:id="48"/>
      <w:bookmarkEnd w:id="49"/>
      <w:bookmarkEnd w:id="50"/>
      <w:bookmarkEnd w:id="51"/>
      <w:bookmarkEnd w:id="52"/>
    </w:p>
    <w:p>
      <w:pPr>
        <w:pStyle w:val="41"/>
        <w:ind w:firstLine="420"/>
      </w:pPr>
      <w:bookmarkStart w:id="53" w:name="_Toc26986532"/>
      <w:bookmarkEnd w:id="53"/>
      <w:r>
        <w:rPr>
          <w:rFonts w:hint="eastAsia"/>
        </w:rPr>
        <w:t>GB/T 32161－2015、GB/T 33761－2017、GB/T 34443-2017等中</w:t>
      </w:r>
      <w:r>
        <w:t>界定的以及下列术语和定义适用于本文件。</w:t>
      </w:r>
    </w:p>
    <w:p>
      <w:pPr>
        <w:pStyle w:val="85"/>
        <w:spacing w:before="120" w:after="120"/>
      </w:pPr>
    </w:p>
    <w:p>
      <w:pPr>
        <w:ind w:firstLine="420" w:firstLineChars="200"/>
        <w:rPr>
          <w:rFonts w:eastAsia="黑体"/>
        </w:rPr>
      </w:pPr>
      <w:r>
        <w:rPr>
          <w:rFonts w:eastAsia="黑体"/>
        </w:rPr>
        <w:t xml:space="preserve">绿色设计产品 </w:t>
      </w:r>
      <w:r>
        <w:rPr>
          <w:rFonts w:eastAsia="黑体"/>
          <w:b/>
        </w:rPr>
        <w:t>green-design product</w:t>
      </w:r>
    </w:p>
    <w:p>
      <w:pPr>
        <w:ind w:firstLine="420" w:firstLineChars="200"/>
      </w:pPr>
      <w:r>
        <w:t>生态设计产品 eco-design product</w:t>
      </w:r>
    </w:p>
    <w:p>
      <w:pPr>
        <w:ind w:firstLine="420" w:firstLineChars="200"/>
      </w:pPr>
      <w:r>
        <w:t>符合绿色设计理念和评价要求的产品。</w:t>
      </w:r>
    </w:p>
    <w:p>
      <w:pPr>
        <w:ind w:firstLine="435"/>
      </w:pPr>
      <w:r>
        <w:t>[来源：GB/T 32161-2015，3.3，有修改]</w:t>
      </w:r>
    </w:p>
    <w:p>
      <w:pPr>
        <w:pStyle w:val="85"/>
        <w:spacing w:before="120" w:after="120"/>
      </w:pPr>
      <w:bookmarkStart w:id="54" w:name="_Hlk52207280"/>
    </w:p>
    <w:p>
      <w:pPr>
        <w:pStyle w:val="205"/>
        <w:numPr>
          <w:ilvl w:val="1"/>
          <w:numId w:val="0"/>
        </w:numPr>
        <w:spacing w:before="120" w:after="120"/>
        <w:ind w:firstLine="420" w:firstLineChars="200"/>
        <w:rPr>
          <w:rFonts w:ascii="Times New Roman"/>
          <w:b/>
          <w:kern w:val="2"/>
        </w:rPr>
      </w:pPr>
      <w:r>
        <w:rPr>
          <w:rFonts w:ascii="Times New Roman"/>
        </w:rPr>
        <w:t>生命周期</w:t>
      </w:r>
      <w:r>
        <w:rPr>
          <w:rFonts w:ascii="Times New Roman"/>
          <w:b/>
          <w:kern w:val="2"/>
        </w:rPr>
        <w:t xml:space="preserve"> life cycle</w:t>
      </w:r>
      <w:bookmarkEnd w:id="54"/>
    </w:p>
    <w:p>
      <w:pPr>
        <w:pStyle w:val="203"/>
        <w:spacing w:before="156" w:after="156"/>
        <w:rPr>
          <w:rFonts w:ascii="Times New Roman"/>
        </w:rPr>
      </w:pPr>
      <w:bookmarkStart w:id="55" w:name="_Hlk52207289"/>
      <w:r>
        <w:rPr>
          <w:rFonts w:ascii="Times New Roman"/>
        </w:rPr>
        <w:t>产品系统中前后衔接的一系列阶段，从自然界或从自然资源中获取原材料，直至最终处置。</w:t>
      </w:r>
    </w:p>
    <w:p>
      <w:pPr>
        <w:ind w:firstLine="435"/>
      </w:pPr>
      <w:r>
        <w:t>[来源：GB/T 24040-2008，3.1]</w:t>
      </w:r>
    </w:p>
    <w:bookmarkEnd w:id="55"/>
    <w:p>
      <w:pPr>
        <w:pStyle w:val="85"/>
        <w:spacing w:before="120" w:after="120"/>
      </w:pPr>
    </w:p>
    <w:p>
      <w:pPr>
        <w:pStyle w:val="203"/>
        <w:spacing w:before="156" w:after="156"/>
        <w:rPr>
          <w:rFonts w:ascii="Times New Roman" w:eastAsia="黑体"/>
          <w:b/>
          <w:kern w:val="2"/>
          <w:szCs w:val="21"/>
        </w:rPr>
      </w:pPr>
      <w:bookmarkStart w:id="56" w:name="_Hlk52207319"/>
      <w:r>
        <w:rPr>
          <w:rFonts w:ascii="Times New Roman" w:eastAsia="黑体"/>
          <w:color w:val="000000"/>
          <w:szCs w:val="21"/>
        </w:rPr>
        <w:t>生命周期评价</w:t>
      </w:r>
      <w:r>
        <w:rPr>
          <w:rFonts w:ascii="Times New Roman" w:eastAsia="黑体"/>
          <w:b/>
          <w:kern w:val="2"/>
          <w:szCs w:val="21"/>
        </w:rPr>
        <w:t xml:space="preserve"> life cycle assessment(LCA)</w:t>
      </w:r>
    </w:p>
    <w:bookmarkEnd w:id="56"/>
    <w:p>
      <w:pPr>
        <w:pStyle w:val="203"/>
        <w:spacing w:before="156" w:after="156"/>
        <w:rPr>
          <w:rFonts w:ascii="Times New Roman"/>
        </w:rPr>
      </w:pPr>
      <w:r>
        <w:rPr>
          <w:rFonts w:ascii="Times New Roman"/>
        </w:rPr>
        <w:t>对一个产品系统的生命周期中输入、输出及其潜在环境影响的汇编和评价。</w:t>
      </w:r>
    </w:p>
    <w:p>
      <w:pPr>
        <w:pStyle w:val="203"/>
        <w:spacing w:before="156" w:after="156"/>
        <w:rPr>
          <w:rFonts w:ascii="Times New Roman"/>
        </w:rPr>
      </w:pPr>
      <w:r>
        <w:rPr>
          <w:rFonts w:ascii="Times New Roman"/>
          <w:szCs w:val="21"/>
        </w:rPr>
        <w:t>[来源：GB/T 24040-2008，3.2]</w:t>
      </w:r>
    </w:p>
    <w:p>
      <w:pPr>
        <w:pStyle w:val="84"/>
        <w:wordWrap/>
        <w:adjustRightInd/>
        <w:snapToGrid/>
        <w:spacing w:before="240" w:after="240" w:line="360" w:lineRule="auto"/>
        <w:ind w:left="0" w:leftChars="0" w:right="0"/>
        <w:jc w:val="both"/>
        <w:textAlignment w:val="auto"/>
      </w:pPr>
      <w:bookmarkStart w:id="57" w:name="_Toc142490385"/>
      <w:bookmarkStart w:id="58" w:name="_Toc126226131"/>
      <w:bookmarkStart w:id="59" w:name="_Toc126133974"/>
      <w:bookmarkStart w:id="60" w:name="_Toc126667252"/>
      <w:r>
        <w:rPr>
          <w:rFonts w:hint="eastAsia"/>
        </w:rPr>
        <w:t>评价要求</w:t>
      </w:r>
      <w:bookmarkEnd w:id="57"/>
      <w:bookmarkEnd w:id="58"/>
      <w:bookmarkEnd w:id="59"/>
      <w:bookmarkEnd w:id="60"/>
    </w:p>
    <w:p>
      <w:pPr>
        <w:pStyle w:val="85"/>
        <w:wordWrap/>
        <w:adjustRightInd/>
        <w:snapToGrid/>
        <w:spacing w:before="120" w:after="120" w:line="360" w:lineRule="auto"/>
        <w:ind w:left="0" w:leftChars="0" w:right="0"/>
        <w:jc w:val="both"/>
        <w:textAlignment w:val="auto"/>
      </w:pPr>
      <w:r>
        <w:rPr>
          <w:rFonts w:hint="eastAsia"/>
        </w:rPr>
        <w:t>生产企业基本要求</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企业在生产过程中应开展清洁生产审核，并保留记录。</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企业宜采用国家鼓励的、符合国家产业和技术政策发展方向的先进技术和工艺。不应采用国家或有关部门明确淘汰或禁止的技术、生产工艺、装备及相关物质。</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待评价企业截至评价日三年内无较大及以上安全、环境和质量事故。</w:t>
      </w:r>
    </w:p>
    <w:p>
      <w:pPr>
        <w:pStyle w:val="203"/>
        <w:wordWrap/>
        <w:adjustRightInd/>
        <w:snapToGrid/>
        <w:spacing w:line="360" w:lineRule="auto"/>
        <w:ind w:left="0" w:leftChars="0" w:right="0"/>
        <w:jc w:val="both"/>
        <w:textAlignment w:val="auto"/>
        <w:rPr>
          <w:rFonts w:hAnsi="宋体"/>
        </w:rPr>
      </w:pPr>
      <w:r>
        <w:rPr>
          <w:rFonts w:hint="eastAsia" w:hAnsi="宋体"/>
        </w:rPr>
        <w:t>污染物排放应达到国家或地方排放标准，并满足环境影响评价、环保 “三同时”制度、总量控制和排污许可证管理要求。</w:t>
      </w:r>
    </w:p>
    <w:p>
      <w:pPr>
        <w:pStyle w:val="203"/>
        <w:wordWrap/>
        <w:adjustRightInd/>
        <w:snapToGrid/>
        <w:spacing w:line="360" w:lineRule="auto"/>
        <w:ind w:left="0" w:leftChars="0" w:right="0"/>
        <w:jc w:val="both"/>
        <w:textAlignment w:val="auto"/>
        <w:rPr>
          <w:rFonts w:hAnsi="宋体"/>
        </w:rPr>
      </w:pPr>
      <w:r>
        <w:rPr>
          <w:rFonts w:hint="eastAsia" w:hAnsi="宋体"/>
        </w:rPr>
        <w:t>一般工业固体废物的贮存按照GB</w:t>
      </w:r>
      <w:r>
        <w:rPr>
          <w:rFonts w:hAnsi="宋体"/>
        </w:rPr>
        <w:t xml:space="preserve"> </w:t>
      </w:r>
      <w:r>
        <w:rPr>
          <w:rFonts w:hint="eastAsia" w:hAnsi="宋体"/>
        </w:rPr>
        <w:t>18599的相关规定执行，危险废物的贮存按照GB</w:t>
      </w:r>
      <w:r>
        <w:rPr>
          <w:rFonts w:hAnsi="宋体"/>
        </w:rPr>
        <w:t xml:space="preserve"> </w:t>
      </w:r>
      <w:r>
        <w:rPr>
          <w:rFonts w:hint="eastAsia" w:hAnsi="宋体"/>
        </w:rPr>
        <w:t>18597的相关规定执行，所有废物应交持有危险废物经营许可证的单位处置。</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企业应按照GB/T 24001、GB/T 23331、GB/T 19001、GB/T 45001和I</w:t>
      </w:r>
      <w:r>
        <w:rPr>
          <w:rFonts w:ascii="宋体" w:hAnsi="宋体" w:eastAsia="宋体"/>
        </w:rPr>
        <w:t>ATF 16949</w:t>
      </w:r>
      <w:r>
        <w:rPr>
          <w:rFonts w:hint="eastAsia" w:ascii="宋体" w:hAnsi="宋体" w:eastAsia="宋体"/>
        </w:rPr>
        <w:t>分别建立并有效运行环境管理体系、能源管理体系、质量管理体系、职业健康安全管理体系和汽车生产件及相关服务件组织质量管理体系要求。</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企业安全生产标准化水平应符合GB/T 33000的要求。</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产品生产企业应按照《危险化学品安全管理条例》建立并执行危险化学品安全管理制度，应提供符合GB/T 16483要求的产品安全技术说明书。</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生产企业应按照GB 17167配备能源计量器具，并根据环保法律法规和标准要求配备污染物检测和在线监控设备。</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企业宜开展绿色供应链管理，建立绩效评价机制、程序，确定评价指标和评价方法，对产品主要原材料供应方、生产协作方、相关服务方等提出质量、环境、能源和安全等方面的管理要求。</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企业应按照</w:t>
      </w:r>
      <w:r>
        <w:rPr>
          <w:rFonts w:hint="eastAsia" w:ascii="宋体" w:hAnsi="宋体" w:eastAsia="宋体"/>
          <w:szCs w:val="21"/>
        </w:rPr>
        <w:t>《企业环境信息依法披露管理办法》</w:t>
      </w:r>
      <w:r>
        <w:rPr>
          <w:rFonts w:hint="eastAsia" w:ascii="宋体" w:hAnsi="宋体" w:eastAsia="宋体"/>
        </w:rPr>
        <w:t>公开环境信息。</w:t>
      </w:r>
    </w:p>
    <w:p>
      <w:pPr>
        <w:pStyle w:val="85"/>
        <w:spacing w:before="120" w:after="120"/>
      </w:pPr>
      <w:r>
        <w:rPr>
          <w:rFonts w:hint="eastAsia"/>
        </w:rPr>
        <w:t>评价指标要求</w:t>
      </w:r>
    </w:p>
    <w:p>
      <w:pPr>
        <w:pStyle w:val="50"/>
        <w:spacing w:before="120" w:after="120"/>
      </w:pPr>
      <w:r>
        <w:rPr>
          <w:rFonts w:hint="eastAsia"/>
        </w:rPr>
        <w:t>评价指标分类</w:t>
      </w:r>
    </w:p>
    <w:p>
      <w:pPr>
        <w:ind w:firstLine="420" w:firstLineChars="200"/>
      </w:pPr>
      <w:r>
        <w:rPr>
          <w:rFonts w:hint="eastAsia"/>
        </w:rPr>
        <w:t>一级指标包括能源属性、资源属性、环境属性和品质属性四类指标。二级指标是四类一级指标中具体评价项目，包括了指标名称、基准值和判定依据等信息。</w:t>
      </w:r>
    </w:p>
    <w:p>
      <w:pPr>
        <w:pStyle w:val="50"/>
        <w:spacing w:before="120" w:after="120"/>
      </w:pPr>
      <w:r>
        <w:rPr>
          <w:rFonts w:hint="eastAsia"/>
        </w:rPr>
        <w:t>能源属性指标</w:t>
      </w:r>
    </w:p>
    <w:p>
      <w:pPr>
        <w:ind w:firstLine="420" w:firstLineChars="200"/>
        <w:rPr>
          <w:rFonts w:ascii="宋体" w:hAnsi="宋体"/>
        </w:rPr>
      </w:pPr>
      <w:r>
        <w:rPr>
          <w:rFonts w:hint="eastAsia" w:ascii="宋体" w:hAnsi="宋体"/>
        </w:rPr>
        <w:t>应符合表</w:t>
      </w:r>
      <w:r>
        <w:t>1</w:t>
      </w:r>
      <w:r>
        <w:rPr>
          <w:rFonts w:hint="eastAsia" w:ascii="宋体" w:hAnsi="宋体"/>
        </w:rPr>
        <w:t>要求。</w:t>
      </w:r>
    </w:p>
    <w:p>
      <w:pPr>
        <w:pStyle w:val="92"/>
        <w:spacing w:before="120" w:after="120"/>
      </w:pPr>
      <w:r>
        <w:rPr>
          <w:rFonts w:hint="eastAsia"/>
        </w:rPr>
        <w:t>能源属性</w:t>
      </w:r>
    </w:p>
    <w:tbl>
      <w:tblPr>
        <w:tblStyle w:val="26"/>
        <w:tblW w:w="93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700"/>
        <w:gridCol w:w="989"/>
        <w:gridCol w:w="1980"/>
        <w:gridCol w:w="988"/>
        <w:gridCol w:w="2969"/>
        <w:gridCol w:w="846"/>
        <w:gridCol w:w="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700" w:type="dxa"/>
            <w:vAlign w:val="center"/>
          </w:tcPr>
          <w:p>
            <w:pPr>
              <w:widowControl/>
              <w:jc w:val="center"/>
              <w:rPr>
                <w:color w:val="000000"/>
                <w:kern w:val="0"/>
                <w:sz w:val="18"/>
                <w:szCs w:val="18"/>
              </w:rPr>
            </w:pPr>
            <w:r>
              <w:rPr>
                <w:color w:val="000000"/>
                <w:kern w:val="0"/>
                <w:sz w:val="18"/>
                <w:szCs w:val="18"/>
              </w:rPr>
              <w:t>序号</w:t>
            </w:r>
          </w:p>
        </w:tc>
        <w:tc>
          <w:tcPr>
            <w:tcW w:w="989" w:type="dxa"/>
            <w:vAlign w:val="center"/>
          </w:tcPr>
          <w:p>
            <w:pPr>
              <w:widowControl/>
              <w:jc w:val="center"/>
              <w:rPr>
                <w:color w:val="000000"/>
                <w:kern w:val="0"/>
                <w:sz w:val="18"/>
                <w:szCs w:val="18"/>
              </w:rPr>
            </w:pPr>
            <w:r>
              <w:rPr>
                <w:color w:val="000000"/>
                <w:kern w:val="0"/>
                <w:sz w:val="18"/>
                <w:szCs w:val="18"/>
              </w:rPr>
              <w:t>一级指标</w:t>
            </w:r>
          </w:p>
        </w:tc>
        <w:tc>
          <w:tcPr>
            <w:tcW w:w="1980" w:type="dxa"/>
            <w:vAlign w:val="center"/>
          </w:tcPr>
          <w:p>
            <w:pPr>
              <w:widowControl/>
              <w:jc w:val="center"/>
              <w:rPr>
                <w:color w:val="000000"/>
                <w:kern w:val="0"/>
                <w:sz w:val="18"/>
                <w:szCs w:val="18"/>
              </w:rPr>
            </w:pPr>
            <w:r>
              <w:rPr>
                <w:color w:val="000000"/>
                <w:kern w:val="0"/>
                <w:sz w:val="18"/>
                <w:szCs w:val="18"/>
              </w:rPr>
              <w:t>二级指标</w:t>
            </w:r>
          </w:p>
        </w:tc>
        <w:tc>
          <w:tcPr>
            <w:tcW w:w="988" w:type="dxa"/>
            <w:vAlign w:val="center"/>
          </w:tcPr>
          <w:p>
            <w:pPr>
              <w:widowControl/>
              <w:jc w:val="center"/>
              <w:rPr>
                <w:color w:val="000000"/>
                <w:kern w:val="0"/>
                <w:sz w:val="18"/>
                <w:szCs w:val="18"/>
              </w:rPr>
            </w:pPr>
            <w:r>
              <w:rPr>
                <w:color w:val="000000"/>
                <w:kern w:val="0"/>
                <w:sz w:val="18"/>
                <w:szCs w:val="18"/>
              </w:rPr>
              <w:t>单位</w:t>
            </w:r>
          </w:p>
        </w:tc>
        <w:tc>
          <w:tcPr>
            <w:tcW w:w="2969" w:type="dxa"/>
            <w:vAlign w:val="center"/>
          </w:tcPr>
          <w:p>
            <w:pPr>
              <w:widowControl/>
              <w:jc w:val="center"/>
              <w:rPr>
                <w:color w:val="000000"/>
                <w:kern w:val="0"/>
                <w:sz w:val="18"/>
                <w:szCs w:val="18"/>
              </w:rPr>
            </w:pPr>
            <w:r>
              <w:rPr>
                <w:color w:val="000000"/>
                <w:kern w:val="0"/>
                <w:sz w:val="18"/>
                <w:szCs w:val="18"/>
              </w:rPr>
              <w:t>基准值</w:t>
            </w:r>
          </w:p>
        </w:tc>
        <w:tc>
          <w:tcPr>
            <w:tcW w:w="846" w:type="dxa"/>
            <w:vAlign w:val="center"/>
          </w:tcPr>
          <w:p>
            <w:pPr>
              <w:widowControl/>
              <w:jc w:val="center"/>
              <w:rPr>
                <w:color w:val="000000"/>
                <w:kern w:val="0"/>
                <w:sz w:val="18"/>
                <w:szCs w:val="18"/>
              </w:rPr>
            </w:pPr>
            <w:r>
              <w:rPr>
                <w:color w:val="000000"/>
                <w:kern w:val="0"/>
                <w:sz w:val="18"/>
                <w:szCs w:val="18"/>
              </w:rPr>
              <w:t>判定</w:t>
            </w:r>
          </w:p>
          <w:p>
            <w:pPr>
              <w:widowControl/>
              <w:jc w:val="center"/>
              <w:rPr>
                <w:color w:val="000000"/>
                <w:kern w:val="0"/>
                <w:sz w:val="18"/>
                <w:szCs w:val="18"/>
              </w:rPr>
            </w:pPr>
            <w:r>
              <w:rPr>
                <w:color w:val="000000"/>
                <w:kern w:val="0"/>
                <w:sz w:val="18"/>
                <w:szCs w:val="18"/>
              </w:rPr>
              <w:t>依据</w:t>
            </w:r>
          </w:p>
        </w:tc>
        <w:tc>
          <w:tcPr>
            <w:tcW w:w="848" w:type="dxa"/>
            <w:vAlign w:val="center"/>
          </w:tcPr>
          <w:p>
            <w:pPr>
              <w:widowControl/>
              <w:jc w:val="center"/>
              <w:rPr>
                <w:color w:val="000000"/>
                <w:kern w:val="0"/>
                <w:sz w:val="18"/>
                <w:szCs w:val="18"/>
              </w:rPr>
            </w:pPr>
            <w:r>
              <w:rPr>
                <w:color w:val="000000"/>
                <w:kern w:val="0"/>
                <w:sz w:val="18"/>
                <w:szCs w:val="18"/>
              </w:rPr>
              <w:t>所属生命周期阶段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700" w:type="dxa"/>
            <w:vAlign w:val="center"/>
          </w:tcPr>
          <w:p>
            <w:pPr>
              <w:widowControl/>
              <w:jc w:val="center"/>
              <w:rPr>
                <w:color w:val="000000"/>
                <w:kern w:val="0"/>
                <w:sz w:val="18"/>
                <w:szCs w:val="18"/>
              </w:rPr>
            </w:pPr>
            <w:r>
              <w:rPr>
                <w:color w:val="000000"/>
                <w:kern w:val="0"/>
                <w:sz w:val="18"/>
                <w:szCs w:val="18"/>
              </w:rPr>
              <w:t>1</w:t>
            </w:r>
          </w:p>
        </w:tc>
        <w:tc>
          <w:tcPr>
            <w:tcW w:w="989" w:type="dxa"/>
            <w:vAlign w:val="center"/>
          </w:tcPr>
          <w:p>
            <w:pPr>
              <w:widowControl/>
              <w:jc w:val="center"/>
              <w:rPr>
                <w:color w:val="000000"/>
                <w:kern w:val="0"/>
                <w:sz w:val="18"/>
                <w:szCs w:val="18"/>
              </w:rPr>
            </w:pPr>
            <w:r>
              <w:rPr>
                <w:color w:val="000000"/>
                <w:kern w:val="0"/>
                <w:sz w:val="18"/>
                <w:szCs w:val="18"/>
              </w:rPr>
              <w:t>能源属性</w:t>
            </w:r>
          </w:p>
        </w:tc>
        <w:tc>
          <w:tcPr>
            <w:tcW w:w="1980" w:type="dxa"/>
            <w:vAlign w:val="center"/>
          </w:tcPr>
          <w:p>
            <w:pPr>
              <w:widowControl/>
              <w:jc w:val="center"/>
              <w:rPr>
                <w:color w:val="000000"/>
                <w:kern w:val="0"/>
                <w:sz w:val="18"/>
                <w:szCs w:val="18"/>
              </w:rPr>
            </w:pPr>
            <w:r>
              <w:rPr>
                <w:color w:val="000000"/>
                <w:kern w:val="0"/>
                <w:sz w:val="18"/>
                <w:szCs w:val="18"/>
              </w:rPr>
              <w:t>单位产品综合能耗</w:t>
            </w:r>
          </w:p>
        </w:tc>
        <w:tc>
          <w:tcPr>
            <w:tcW w:w="988" w:type="dxa"/>
            <w:vAlign w:val="center"/>
          </w:tcPr>
          <w:p>
            <w:pPr>
              <w:widowControl/>
              <w:jc w:val="center"/>
              <w:rPr>
                <w:color w:val="000000"/>
                <w:kern w:val="0"/>
                <w:sz w:val="18"/>
                <w:szCs w:val="18"/>
              </w:rPr>
            </w:pPr>
            <w:r>
              <w:rPr>
                <w:color w:val="000000"/>
                <w:kern w:val="0"/>
                <w:sz w:val="18"/>
                <w:szCs w:val="18"/>
              </w:rPr>
              <w:t>tce/10</w:t>
            </w:r>
            <w:r>
              <w:rPr>
                <w:color w:val="000000"/>
                <w:kern w:val="0"/>
                <w:sz w:val="18"/>
                <w:szCs w:val="18"/>
                <w:vertAlign w:val="superscript"/>
              </w:rPr>
              <w:t>4</w:t>
            </w:r>
            <w:r>
              <w:rPr>
                <w:color w:val="000000"/>
                <w:kern w:val="0"/>
                <w:sz w:val="18"/>
                <w:szCs w:val="18"/>
              </w:rPr>
              <w:t>m</w:t>
            </w:r>
          </w:p>
        </w:tc>
        <w:tc>
          <w:tcPr>
            <w:tcW w:w="2969" w:type="dxa"/>
            <w:vAlign w:val="center"/>
          </w:tcPr>
          <w:p>
            <w:pPr>
              <w:widowControl/>
              <w:jc w:val="center"/>
              <w:rPr>
                <w:color w:val="000000"/>
                <w:kern w:val="0"/>
                <w:sz w:val="18"/>
                <w:szCs w:val="18"/>
              </w:rPr>
            </w:pPr>
            <w:r>
              <w:rPr>
                <w:color w:val="000000"/>
                <w:kern w:val="0"/>
                <w:sz w:val="18"/>
                <w:szCs w:val="18"/>
              </w:rPr>
              <w:t>符合《合成革行业清洁生产评价指标体系》中</w:t>
            </w:r>
            <w:r>
              <w:rPr>
                <w:rFonts w:hint="eastAsia" w:ascii="宋体" w:hAnsi="宋体"/>
                <w:color w:val="000000"/>
                <w:kern w:val="0"/>
                <w:sz w:val="18"/>
                <w:szCs w:val="18"/>
              </w:rPr>
              <w:t>Ⅰ</w:t>
            </w:r>
            <w:r>
              <w:rPr>
                <w:color w:val="000000"/>
                <w:kern w:val="0"/>
                <w:sz w:val="18"/>
                <w:szCs w:val="18"/>
              </w:rPr>
              <w:t>级基准值要求</w:t>
            </w:r>
          </w:p>
        </w:tc>
        <w:tc>
          <w:tcPr>
            <w:tcW w:w="846" w:type="dxa"/>
            <w:vAlign w:val="center"/>
          </w:tcPr>
          <w:p>
            <w:pPr>
              <w:widowControl/>
              <w:jc w:val="center"/>
              <w:rPr>
                <w:color w:val="000000"/>
                <w:kern w:val="0"/>
                <w:sz w:val="18"/>
                <w:szCs w:val="18"/>
              </w:rPr>
            </w:pPr>
            <w:r>
              <w:rPr>
                <w:color w:val="000000"/>
                <w:kern w:val="0"/>
                <w:sz w:val="18"/>
                <w:szCs w:val="18"/>
              </w:rPr>
              <w:t>按附录A.1计算，并提供证明材料</w:t>
            </w:r>
          </w:p>
        </w:tc>
        <w:tc>
          <w:tcPr>
            <w:tcW w:w="848" w:type="dxa"/>
            <w:vAlign w:val="center"/>
          </w:tcPr>
          <w:p>
            <w:pPr>
              <w:widowControl/>
              <w:jc w:val="center"/>
              <w:rPr>
                <w:color w:val="000000"/>
                <w:kern w:val="0"/>
                <w:sz w:val="18"/>
                <w:szCs w:val="18"/>
              </w:rPr>
            </w:pPr>
            <w:r>
              <w:rPr>
                <w:color w:val="000000"/>
                <w:kern w:val="0"/>
                <w:sz w:val="18"/>
                <w:szCs w:val="18"/>
              </w:rPr>
              <w:t>产品</w:t>
            </w:r>
          </w:p>
          <w:p>
            <w:pPr>
              <w:widowControl/>
              <w:jc w:val="center"/>
              <w:rPr>
                <w:color w:val="000000"/>
                <w:kern w:val="0"/>
                <w:sz w:val="18"/>
                <w:szCs w:val="18"/>
              </w:rPr>
            </w:pPr>
            <w:r>
              <w:rPr>
                <w:color w:val="000000"/>
                <w:kern w:val="0"/>
                <w:sz w:val="18"/>
                <w:szCs w:val="18"/>
              </w:rPr>
              <w:t>生产</w:t>
            </w:r>
          </w:p>
        </w:tc>
      </w:tr>
    </w:tbl>
    <w:p>
      <w:pPr>
        <w:pStyle w:val="50"/>
        <w:spacing w:before="120" w:after="120"/>
      </w:pPr>
      <w:r>
        <w:rPr>
          <w:rFonts w:hint="eastAsia"/>
        </w:rPr>
        <w:t>资源属性指标</w:t>
      </w:r>
    </w:p>
    <w:p>
      <w:pPr>
        <w:ind w:firstLine="420" w:firstLineChars="200"/>
        <w:rPr>
          <w:rFonts w:ascii="宋体" w:hAnsi="宋体"/>
        </w:rPr>
      </w:pPr>
      <w:r>
        <w:rPr>
          <w:rFonts w:hint="eastAsia" w:ascii="宋体" w:hAnsi="宋体"/>
        </w:rPr>
        <w:t>应符合表</w:t>
      </w:r>
      <w:r>
        <w:t>2</w:t>
      </w:r>
      <w:r>
        <w:rPr>
          <w:rFonts w:hint="eastAsia" w:ascii="宋体" w:hAnsi="宋体"/>
        </w:rPr>
        <w:t>要求。</w:t>
      </w:r>
    </w:p>
    <w:p>
      <w:pPr>
        <w:pStyle w:val="92"/>
        <w:spacing w:before="120" w:after="120"/>
      </w:pPr>
      <w:r>
        <w:rPr>
          <w:rFonts w:hint="eastAsia"/>
        </w:rPr>
        <w:t>资源属性</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
        <w:gridCol w:w="702"/>
        <w:gridCol w:w="5"/>
        <w:gridCol w:w="1269"/>
        <w:gridCol w:w="2"/>
        <w:gridCol w:w="3108"/>
        <w:gridCol w:w="5"/>
        <w:gridCol w:w="870"/>
        <w:gridCol w:w="2"/>
        <w:gridCol w:w="1670"/>
        <w:gridCol w:w="1"/>
        <w:gridCol w:w="635"/>
        <w:gridCol w:w="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413"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704" w:type="dxa"/>
            <w:gridSpan w:val="2"/>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4384" w:type="dxa"/>
            <w:gridSpan w:val="4"/>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877" w:type="dxa"/>
            <w:gridSpan w:val="3"/>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1671" w:type="dxa"/>
            <w:gridSpan w:val="2"/>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635" w:type="dxa"/>
            <w:tcBorders>
              <w:top w:val="single" w:color="auto" w:sz="12" w:space="0"/>
              <w:bottom w:val="single" w:color="auto" w:sz="12" w:space="0"/>
              <w:right w:val="single" w:color="auto" w:sz="12" w:space="0"/>
            </w:tcBorders>
            <w:vAlign w:val="center"/>
          </w:tcPr>
          <w:p>
            <w:pPr>
              <w:widowControl/>
              <w:jc w:val="center"/>
              <w:rPr>
                <w:sz w:val="18"/>
                <w:szCs w:val="18"/>
              </w:rPr>
            </w:pPr>
            <w:r>
              <w:rPr>
                <w:rFonts w:hAnsi="宋体"/>
                <w:sz w:val="18"/>
                <w:szCs w:val="18"/>
              </w:rPr>
              <w:t>判定依据</w:t>
            </w:r>
          </w:p>
        </w:tc>
        <w:tc>
          <w:tcPr>
            <w:tcW w:w="636" w:type="dxa"/>
            <w:tcBorders>
              <w:top w:val="single" w:color="auto" w:sz="12" w:space="0"/>
              <w:bottom w:val="single" w:color="auto" w:sz="12" w:space="0"/>
              <w:right w:val="single" w:color="auto" w:sz="12" w:space="0"/>
            </w:tcBorders>
            <w:vAlign w:val="center"/>
          </w:tcPr>
          <w:p>
            <w:pPr>
              <w:widowControl/>
              <w:jc w:val="center"/>
              <w:rPr>
                <w:sz w:val="18"/>
                <w:szCs w:val="18"/>
              </w:rPr>
            </w:pPr>
            <w:r>
              <w:rPr>
                <w:rFonts w:hint="eastAsia"/>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3" w:type="dxa"/>
            <w:tcBorders>
              <w:top w:val="single" w:color="auto" w:sz="12"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p>
        </w:tc>
        <w:tc>
          <w:tcPr>
            <w:tcW w:w="704" w:type="dxa"/>
            <w:gridSpan w:val="2"/>
            <w:vMerge w:val="restart"/>
            <w:tcBorders>
              <w:top w:val="single" w:color="auto" w:sz="12" w:space="0"/>
              <w:bottom w:val="single" w:color="auto" w:sz="4" w:space="0"/>
            </w:tcBorders>
            <w:vAlign w:val="center"/>
          </w:tcPr>
          <w:p>
            <w:pPr>
              <w:widowControl/>
              <w:jc w:val="center"/>
              <w:rPr>
                <w:kern w:val="0"/>
                <w:sz w:val="18"/>
                <w:szCs w:val="18"/>
              </w:rPr>
            </w:pPr>
            <w:r>
              <w:rPr>
                <w:rFonts w:hAnsi="宋体"/>
                <w:kern w:val="0"/>
                <w:sz w:val="18"/>
                <w:szCs w:val="18"/>
              </w:rPr>
              <w:t>资源属性</w:t>
            </w:r>
          </w:p>
        </w:tc>
        <w:tc>
          <w:tcPr>
            <w:tcW w:w="4384" w:type="dxa"/>
            <w:gridSpan w:val="4"/>
            <w:tcBorders>
              <w:top w:val="single" w:color="auto" w:sz="12" w:space="0"/>
              <w:bottom w:val="single" w:color="auto" w:sz="4" w:space="0"/>
            </w:tcBorders>
            <w:vAlign w:val="center"/>
          </w:tcPr>
          <w:p>
            <w:pPr>
              <w:widowControl/>
              <w:jc w:val="left"/>
              <w:rPr>
                <w:kern w:val="0"/>
                <w:sz w:val="18"/>
                <w:szCs w:val="18"/>
              </w:rPr>
            </w:pPr>
            <w:r>
              <w:rPr>
                <w:rFonts w:hAnsi="宋体"/>
                <w:kern w:val="0"/>
                <w:sz w:val="18"/>
                <w:szCs w:val="18"/>
              </w:rPr>
              <w:t>单位产品取水量</w:t>
            </w:r>
          </w:p>
        </w:tc>
        <w:tc>
          <w:tcPr>
            <w:tcW w:w="877" w:type="dxa"/>
            <w:gridSpan w:val="3"/>
            <w:tcBorders>
              <w:top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m³/10</w:t>
            </w:r>
            <w:r>
              <w:rPr>
                <w:color w:val="000000"/>
                <w:kern w:val="0"/>
                <w:sz w:val="18"/>
                <w:szCs w:val="18"/>
                <w:vertAlign w:val="superscript"/>
              </w:rPr>
              <w:t>4</w:t>
            </w:r>
            <w:r>
              <w:rPr>
                <w:color w:val="000000"/>
                <w:kern w:val="0"/>
                <w:sz w:val="18"/>
                <w:szCs w:val="18"/>
              </w:rPr>
              <w:t>m</w:t>
            </w:r>
          </w:p>
        </w:tc>
        <w:tc>
          <w:tcPr>
            <w:tcW w:w="1671" w:type="dxa"/>
            <w:gridSpan w:val="2"/>
            <w:vMerge w:val="restart"/>
            <w:tcBorders>
              <w:top w:val="single" w:color="auto" w:sz="12" w:space="0"/>
              <w:bottom w:val="single" w:color="auto" w:sz="4" w:space="0"/>
            </w:tcBorders>
            <w:vAlign w:val="center"/>
          </w:tcPr>
          <w:p>
            <w:pPr>
              <w:jc w:val="left"/>
              <w:rPr>
                <w:color w:val="000000"/>
                <w:kern w:val="0"/>
                <w:sz w:val="18"/>
                <w:szCs w:val="18"/>
              </w:rPr>
            </w:pPr>
            <w:r>
              <w:rPr>
                <w:rFonts w:hAnsi="宋体"/>
                <w:color w:val="000000"/>
                <w:kern w:val="0"/>
                <w:sz w:val="18"/>
                <w:szCs w:val="18"/>
              </w:rPr>
              <w:t>符合《合成革行业清洁生产评价指标体系》中</w:t>
            </w:r>
            <w:r>
              <w:rPr>
                <w:rFonts w:hint="eastAsia" w:ascii="宋体" w:hAnsi="宋体"/>
                <w:color w:val="000000"/>
                <w:kern w:val="0"/>
                <w:sz w:val="18"/>
                <w:szCs w:val="18"/>
              </w:rPr>
              <w:t>Ⅰ</w:t>
            </w:r>
            <w:r>
              <w:rPr>
                <w:rFonts w:hAnsi="宋体"/>
                <w:color w:val="000000"/>
                <w:kern w:val="0"/>
                <w:sz w:val="18"/>
                <w:szCs w:val="18"/>
              </w:rPr>
              <w:t>级基准值要求</w:t>
            </w:r>
          </w:p>
        </w:tc>
        <w:tc>
          <w:tcPr>
            <w:tcW w:w="635" w:type="dxa"/>
            <w:tcBorders>
              <w:top w:val="single" w:color="auto" w:sz="12" w:space="0"/>
              <w:bottom w:val="single" w:color="auto" w:sz="4" w:space="0"/>
              <w:right w:val="single" w:color="auto" w:sz="12" w:space="0"/>
            </w:tcBorders>
            <w:vAlign w:val="center"/>
          </w:tcPr>
          <w:p>
            <w:pPr>
              <w:jc w:val="left"/>
              <w:rPr>
                <w:color w:val="000000"/>
                <w:kern w:val="0"/>
                <w:sz w:val="18"/>
                <w:szCs w:val="18"/>
              </w:rPr>
            </w:pPr>
            <w:r>
              <w:rPr>
                <w:rFonts w:hAnsi="宋体"/>
                <w:color w:val="000000"/>
                <w:kern w:val="0"/>
                <w:sz w:val="18"/>
                <w:szCs w:val="18"/>
              </w:rPr>
              <w:t>按附录</w:t>
            </w:r>
            <w:r>
              <w:rPr>
                <w:color w:val="000000"/>
                <w:kern w:val="0"/>
                <w:sz w:val="18"/>
                <w:szCs w:val="18"/>
              </w:rPr>
              <w:t>A.2</w:t>
            </w:r>
            <w:r>
              <w:rPr>
                <w:rFonts w:hAnsi="宋体"/>
                <w:color w:val="000000"/>
                <w:kern w:val="0"/>
                <w:sz w:val="18"/>
                <w:szCs w:val="18"/>
              </w:rPr>
              <w:t>计算，并提供证明材料</w:t>
            </w:r>
          </w:p>
        </w:tc>
        <w:tc>
          <w:tcPr>
            <w:tcW w:w="636" w:type="dxa"/>
            <w:vMerge w:val="restart"/>
            <w:tcBorders>
              <w:top w:val="single" w:color="auto" w:sz="12" w:space="0"/>
              <w:right w:val="single" w:color="auto" w:sz="12" w:space="0"/>
            </w:tcBorders>
            <w:vAlign w:val="center"/>
          </w:tcPr>
          <w:p>
            <w:pPr>
              <w:jc w:val="left"/>
              <w:rPr>
                <w:color w:val="000000"/>
                <w:kern w:val="0"/>
                <w:sz w:val="18"/>
                <w:szCs w:val="18"/>
              </w:rPr>
            </w:pPr>
            <w:r>
              <w:rPr>
                <w:color w:val="000000"/>
                <w:kern w:val="0"/>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3" w:type="dxa"/>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2</w:t>
            </w: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4384" w:type="dxa"/>
            <w:gridSpan w:val="4"/>
            <w:tcBorders>
              <w:top w:val="single" w:color="auto" w:sz="4" w:space="0"/>
              <w:bottom w:val="single" w:color="auto" w:sz="4" w:space="0"/>
            </w:tcBorders>
            <w:vAlign w:val="center"/>
          </w:tcPr>
          <w:p>
            <w:pPr>
              <w:jc w:val="left"/>
              <w:rPr>
                <w:kern w:val="0"/>
                <w:sz w:val="18"/>
                <w:szCs w:val="18"/>
              </w:rPr>
            </w:pPr>
            <w:r>
              <w:rPr>
                <w:rFonts w:hAnsi="宋体"/>
                <w:kern w:val="0"/>
                <w:sz w:val="18"/>
                <w:szCs w:val="18"/>
              </w:rPr>
              <w:t>水重复利用率</w:t>
            </w:r>
          </w:p>
        </w:tc>
        <w:tc>
          <w:tcPr>
            <w:tcW w:w="877" w:type="dxa"/>
            <w:gridSpan w:val="3"/>
            <w:tcBorders>
              <w:top w:val="single" w:color="auto" w:sz="4" w:space="0"/>
              <w:bottom w:val="single" w:color="auto" w:sz="4" w:space="0"/>
            </w:tcBorders>
            <w:vAlign w:val="center"/>
          </w:tcPr>
          <w:p>
            <w:pPr>
              <w:jc w:val="center"/>
              <w:rPr>
                <w:color w:val="000000"/>
                <w:kern w:val="0"/>
                <w:sz w:val="18"/>
                <w:szCs w:val="18"/>
              </w:rPr>
            </w:pPr>
            <w:r>
              <w:rPr>
                <w:color w:val="000000"/>
                <w:kern w:val="0"/>
                <w:sz w:val="18"/>
                <w:szCs w:val="18"/>
              </w:rPr>
              <w:t>%</w:t>
            </w:r>
          </w:p>
        </w:tc>
        <w:tc>
          <w:tcPr>
            <w:tcW w:w="1671" w:type="dxa"/>
            <w:gridSpan w:val="2"/>
            <w:vMerge w:val="continue"/>
            <w:tcBorders>
              <w:top w:val="single" w:color="auto" w:sz="4" w:space="0"/>
              <w:bottom w:val="single" w:color="auto" w:sz="4" w:space="0"/>
            </w:tcBorders>
            <w:vAlign w:val="center"/>
          </w:tcPr>
          <w:p>
            <w:pPr>
              <w:jc w:val="left"/>
              <w:rPr>
                <w:color w:val="000000"/>
                <w:kern w:val="0"/>
                <w:sz w:val="18"/>
                <w:szCs w:val="18"/>
              </w:rPr>
            </w:pPr>
          </w:p>
        </w:tc>
        <w:tc>
          <w:tcPr>
            <w:tcW w:w="635" w:type="dxa"/>
            <w:tcBorders>
              <w:top w:val="single" w:color="auto" w:sz="4" w:space="0"/>
              <w:bottom w:val="single" w:color="auto" w:sz="4" w:space="0"/>
              <w:right w:val="single" w:color="auto" w:sz="12" w:space="0"/>
            </w:tcBorders>
            <w:vAlign w:val="center"/>
          </w:tcPr>
          <w:p>
            <w:pPr>
              <w:jc w:val="left"/>
              <w:rPr>
                <w:color w:val="000000"/>
                <w:kern w:val="0"/>
                <w:sz w:val="18"/>
                <w:szCs w:val="18"/>
              </w:rPr>
            </w:pPr>
            <w:r>
              <w:rPr>
                <w:rFonts w:hAnsi="宋体"/>
                <w:color w:val="000000"/>
                <w:kern w:val="0"/>
                <w:sz w:val="18"/>
                <w:szCs w:val="18"/>
              </w:rPr>
              <w:t>按附录</w:t>
            </w:r>
            <w:r>
              <w:rPr>
                <w:color w:val="000000"/>
                <w:kern w:val="0"/>
                <w:sz w:val="18"/>
                <w:szCs w:val="18"/>
              </w:rPr>
              <w:t>A.3</w:t>
            </w:r>
            <w:r>
              <w:rPr>
                <w:rFonts w:hAnsi="宋体"/>
                <w:color w:val="000000"/>
                <w:kern w:val="0"/>
                <w:sz w:val="18"/>
                <w:szCs w:val="18"/>
              </w:rPr>
              <w:t>计算，并提供证明材料</w:t>
            </w:r>
          </w:p>
        </w:tc>
        <w:tc>
          <w:tcPr>
            <w:tcW w:w="636" w:type="dxa"/>
            <w:vMerge w:val="continue"/>
            <w:tcBorders>
              <w:bottom w:val="single" w:color="auto" w:sz="4" w:space="0"/>
              <w:right w:val="single" w:color="auto" w:sz="12" w:space="0"/>
            </w:tcBorders>
            <w:vAlign w:val="center"/>
          </w:tcPr>
          <w:p>
            <w:pPr>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3</w:t>
            </w: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restart"/>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烷基酚（</w:t>
            </w:r>
            <w:r>
              <w:rPr>
                <w:kern w:val="0"/>
                <w:sz w:val="18"/>
                <w:szCs w:val="18"/>
              </w:rPr>
              <w:t>AP</w:t>
            </w:r>
            <w:r>
              <w:rPr>
                <w:rFonts w:hAnsi="宋体"/>
                <w:kern w:val="0"/>
                <w:sz w:val="18"/>
                <w:szCs w:val="18"/>
              </w:rPr>
              <w:t>）和烷基酚聚氧乙烯醚（</w:t>
            </w:r>
            <w:r>
              <w:rPr>
                <w:kern w:val="0"/>
                <w:sz w:val="18"/>
                <w:szCs w:val="18"/>
              </w:rPr>
              <w:t>APEO</w:t>
            </w:r>
            <w:r>
              <w:rPr>
                <w:rFonts w:hAnsi="宋体"/>
                <w:kern w:val="0"/>
                <w:sz w:val="18"/>
                <w:szCs w:val="18"/>
              </w:rPr>
              <w:t>）类（见附录</w:t>
            </w:r>
            <w:r>
              <w:rPr>
                <w:rFonts w:hint="eastAsia"/>
                <w:kern w:val="0"/>
                <w:sz w:val="18"/>
                <w:szCs w:val="18"/>
              </w:rPr>
              <w:t>B</w:t>
            </w:r>
            <w:r>
              <w:rPr>
                <w:rFonts w:hAnsi="宋体"/>
                <w:kern w:val="0"/>
                <w:sz w:val="18"/>
                <w:szCs w:val="18"/>
              </w:rPr>
              <w:t>）</w:t>
            </w:r>
          </w:p>
        </w:tc>
        <w:tc>
          <w:tcPr>
            <w:tcW w:w="3110"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辛基苯酚（</w:t>
            </w:r>
            <w:r>
              <w:rPr>
                <w:kern w:val="0"/>
                <w:sz w:val="18"/>
                <w:szCs w:val="18"/>
              </w:rPr>
              <w:t>OP</w:t>
            </w:r>
            <w:r>
              <w:rPr>
                <w:rFonts w:hAnsi="宋体"/>
                <w:kern w:val="0"/>
                <w:sz w:val="18"/>
                <w:szCs w:val="18"/>
              </w:rPr>
              <w:t>）及其同分异构体（总量）</w:t>
            </w:r>
          </w:p>
        </w:tc>
        <w:tc>
          <w:tcPr>
            <w:tcW w:w="877" w:type="dxa"/>
            <w:gridSpan w:val="3"/>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250</w:t>
            </w:r>
          </w:p>
        </w:tc>
        <w:tc>
          <w:tcPr>
            <w:tcW w:w="635" w:type="dxa"/>
            <w:vMerge w:val="restart"/>
            <w:tcBorders>
              <w:top w:val="single" w:color="auto" w:sz="4" w:space="0"/>
              <w:bottom w:val="single" w:color="auto" w:sz="4" w:space="0"/>
              <w:right w:val="single" w:color="auto" w:sz="12" w:space="0"/>
            </w:tcBorders>
            <w:vAlign w:val="center"/>
          </w:tcPr>
          <w:p>
            <w:pPr>
              <w:jc w:val="left"/>
              <w:rPr>
                <w:sz w:val="18"/>
                <w:szCs w:val="18"/>
              </w:rPr>
            </w:pPr>
            <w:r>
              <w:rPr>
                <w:rFonts w:hAnsi="宋体"/>
                <w:sz w:val="18"/>
                <w:szCs w:val="18"/>
              </w:rPr>
              <w:t>企业自我声明并提供化学品清单和证明材料</w:t>
            </w:r>
          </w:p>
        </w:tc>
        <w:tc>
          <w:tcPr>
            <w:tcW w:w="636" w:type="dxa"/>
            <w:vMerge w:val="restart"/>
            <w:tcBorders>
              <w:top w:val="single" w:color="auto" w:sz="4" w:space="0"/>
              <w:bottom w:val="single" w:color="auto" w:sz="4" w:space="0"/>
              <w:right w:val="single" w:color="auto" w:sz="12" w:space="0"/>
            </w:tcBorders>
            <w:vAlign w:val="center"/>
          </w:tcPr>
          <w:p>
            <w:pPr>
              <w:jc w:val="left"/>
              <w:rPr>
                <w:sz w:val="18"/>
                <w:szCs w:val="18"/>
              </w:rPr>
            </w:pPr>
            <w:r>
              <w:rPr>
                <w:sz w:val="18"/>
                <w:szCs w:val="18"/>
              </w:rPr>
              <w:t>原辅材料采购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0"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壬基苯酚（</w:t>
            </w:r>
            <w:r>
              <w:rPr>
                <w:kern w:val="0"/>
                <w:sz w:val="18"/>
                <w:szCs w:val="18"/>
              </w:rPr>
              <w:t>NP</w:t>
            </w:r>
            <w:r>
              <w:rPr>
                <w:rFonts w:hAnsi="宋体"/>
                <w:kern w:val="0"/>
                <w:sz w:val="18"/>
                <w:szCs w:val="18"/>
              </w:rPr>
              <w:t>）及其同分异构体（总量）</w:t>
            </w:r>
          </w:p>
        </w:tc>
        <w:tc>
          <w:tcPr>
            <w:tcW w:w="877" w:type="dxa"/>
            <w:gridSpan w:val="3"/>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250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0"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辛基酚聚氧乙烯醚（</w:t>
            </w:r>
            <w:r>
              <w:rPr>
                <w:kern w:val="0"/>
                <w:sz w:val="18"/>
                <w:szCs w:val="18"/>
              </w:rPr>
              <w:t>OPEO</w:t>
            </w:r>
            <w:r>
              <w:rPr>
                <w:rFonts w:hAnsi="宋体"/>
                <w:kern w:val="0"/>
                <w:sz w:val="18"/>
                <w:szCs w:val="18"/>
              </w:rPr>
              <w:t>）</w:t>
            </w:r>
          </w:p>
        </w:tc>
        <w:tc>
          <w:tcPr>
            <w:tcW w:w="877" w:type="dxa"/>
            <w:gridSpan w:val="3"/>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500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壬基酚聚氧乙烯醚（</w:t>
            </w:r>
            <w:r>
              <w:rPr>
                <w:color w:val="000000"/>
                <w:kern w:val="0"/>
                <w:sz w:val="18"/>
                <w:szCs w:val="18"/>
              </w:rPr>
              <w:t>NPEO</w:t>
            </w:r>
            <w:r>
              <w:rPr>
                <w:rFonts w:hAnsi="宋体"/>
                <w:color w:val="000000"/>
                <w:kern w:val="0"/>
                <w:sz w:val="18"/>
                <w:szCs w:val="18"/>
              </w:rPr>
              <w:t>）</w:t>
            </w:r>
          </w:p>
        </w:tc>
        <w:tc>
          <w:tcPr>
            <w:tcW w:w="877" w:type="dxa"/>
            <w:gridSpan w:val="3"/>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500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restart"/>
            <w:tcBorders>
              <w:top w:val="single" w:color="auto" w:sz="4" w:space="0"/>
              <w:left w:val="single" w:color="auto" w:sz="12" w:space="0"/>
              <w:bottom w:val="single" w:color="auto" w:sz="4" w:space="0"/>
            </w:tcBorders>
            <w:vAlign w:val="center"/>
          </w:tcPr>
          <w:p>
            <w:pPr>
              <w:jc w:val="center"/>
              <w:rPr>
                <w:color w:val="000000"/>
                <w:kern w:val="0"/>
                <w:sz w:val="18"/>
                <w:szCs w:val="18"/>
              </w:rPr>
            </w:pPr>
            <w:r>
              <w:rPr>
                <w:color w:val="000000"/>
                <w:kern w:val="0"/>
                <w:sz w:val="18"/>
                <w:szCs w:val="18"/>
              </w:rPr>
              <w:t>4</w:t>
            </w: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restart"/>
            <w:tcBorders>
              <w:top w:val="single" w:color="auto" w:sz="4" w:space="0"/>
              <w:bottom w:val="single" w:color="auto" w:sz="4" w:space="0"/>
            </w:tcBorders>
            <w:vAlign w:val="center"/>
          </w:tcPr>
          <w:p>
            <w:pPr>
              <w:jc w:val="left"/>
              <w:rPr>
                <w:kern w:val="0"/>
                <w:sz w:val="18"/>
                <w:szCs w:val="18"/>
              </w:rPr>
            </w:pPr>
            <w:r>
              <w:rPr>
                <w:rFonts w:hAnsi="宋体"/>
                <w:kern w:val="0"/>
                <w:sz w:val="18"/>
                <w:szCs w:val="18"/>
              </w:rPr>
              <w:t>氯化苯和氯化甲苯</w:t>
            </w: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color w:val="000000"/>
                <w:kern w:val="0"/>
                <w:sz w:val="18"/>
                <w:szCs w:val="18"/>
              </w:rPr>
              <w:t>1</w:t>
            </w:r>
            <w:r>
              <w:rPr>
                <w:rFonts w:hAnsi="宋体"/>
                <w:color w:val="000000"/>
                <w:kern w:val="0"/>
                <w:sz w:val="18"/>
                <w:szCs w:val="18"/>
              </w:rPr>
              <w:t>，</w:t>
            </w:r>
            <w:r>
              <w:rPr>
                <w:color w:val="000000"/>
                <w:kern w:val="0"/>
                <w:sz w:val="18"/>
                <w:szCs w:val="18"/>
              </w:rPr>
              <w:t>2-</w:t>
            </w:r>
            <w:r>
              <w:rPr>
                <w:rFonts w:hAnsi="宋体"/>
                <w:color w:val="000000"/>
                <w:kern w:val="0"/>
                <w:sz w:val="18"/>
                <w:szCs w:val="18"/>
              </w:rPr>
              <w:t>二氯苯</w:t>
            </w:r>
          </w:p>
        </w:tc>
        <w:tc>
          <w:tcPr>
            <w:tcW w:w="877" w:type="dxa"/>
            <w:gridSpan w:val="3"/>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1 000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其他一氯苯、二氯苯、三氯苯、四氯苯、五氯苯和六氯苯同分异构体以及一氯甲苯、二氯甲苯、三氯甲苯、四氯甲苯和五氯甲苯同分异构体（总量）</w:t>
            </w:r>
          </w:p>
        </w:tc>
        <w:tc>
          <w:tcPr>
            <w:tcW w:w="877" w:type="dxa"/>
            <w:gridSpan w:val="3"/>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1" w:type="dxa"/>
            <w:gridSpan w:val="2"/>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200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5</w:t>
            </w: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restart"/>
            <w:tcBorders>
              <w:top w:val="single" w:color="auto" w:sz="4" w:space="0"/>
              <w:bottom w:val="single" w:color="auto" w:sz="4" w:space="0"/>
            </w:tcBorders>
            <w:vAlign w:val="center"/>
          </w:tcPr>
          <w:p>
            <w:pPr>
              <w:jc w:val="center"/>
              <w:rPr>
                <w:rFonts w:hAnsi="宋体"/>
                <w:kern w:val="0"/>
                <w:sz w:val="18"/>
                <w:szCs w:val="18"/>
              </w:rPr>
            </w:pPr>
            <w:r>
              <w:rPr>
                <w:rFonts w:hAnsi="宋体"/>
                <w:kern w:val="0"/>
                <w:sz w:val="18"/>
                <w:szCs w:val="18"/>
              </w:rPr>
              <w:t>氯化苯酚</w:t>
            </w:r>
          </w:p>
          <w:p>
            <w:pPr>
              <w:jc w:val="left"/>
              <w:rPr>
                <w:kern w:val="0"/>
                <w:sz w:val="18"/>
                <w:szCs w:val="18"/>
              </w:rPr>
            </w:pPr>
            <w:r>
              <w:rPr>
                <w:rFonts w:hAnsi="宋体"/>
                <w:kern w:val="0"/>
                <w:sz w:val="18"/>
                <w:szCs w:val="18"/>
              </w:rPr>
              <w:t>（见附录</w:t>
            </w:r>
            <w:r>
              <w:rPr>
                <w:rFonts w:hint="eastAsia"/>
                <w:kern w:val="0"/>
                <w:sz w:val="18"/>
                <w:szCs w:val="18"/>
              </w:rPr>
              <w:t>C</w:t>
            </w:r>
            <w:r>
              <w:rPr>
                <w:rFonts w:hAnsi="宋体"/>
                <w:kern w:val="0"/>
                <w:sz w:val="18"/>
                <w:szCs w:val="18"/>
              </w:rPr>
              <w:t>）</w:t>
            </w:r>
            <w:r>
              <w:rPr>
                <w:kern w:val="0"/>
                <w:sz w:val="18"/>
                <w:szCs w:val="18"/>
              </w:rPr>
              <w:t xml:space="preserve">                       </w:t>
            </w:r>
          </w:p>
        </w:tc>
        <w:tc>
          <w:tcPr>
            <w:tcW w:w="3110" w:type="dxa"/>
            <w:gridSpan w:val="2"/>
            <w:tcBorders>
              <w:top w:val="single" w:color="auto" w:sz="4" w:space="0"/>
              <w:bottom w:val="single" w:color="auto" w:sz="4" w:space="0"/>
            </w:tcBorders>
            <w:vAlign w:val="center"/>
          </w:tcPr>
          <w:p>
            <w:pPr>
              <w:jc w:val="left"/>
              <w:rPr>
                <w:color w:val="000000"/>
                <w:kern w:val="0"/>
                <w:sz w:val="18"/>
                <w:szCs w:val="18"/>
              </w:rPr>
            </w:pPr>
            <w:r>
              <w:rPr>
                <w:rFonts w:hAnsi="宋体"/>
                <w:color w:val="000000"/>
                <w:kern w:val="0"/>
                <w:sz w:val="18"/>
                <w:szCs w:val="18"/>
              </w:rPr>
              <w:t>四氯苯酚（</w:t>
            </w:r>
            <w:r>
              <w:rPr>
                <w:color w:val="000000"/>
                <w:kern w:val="0"/>
                <w:sz w:val="18"/>
                <w:szCs w:val="18"/>
              </w:rPr>
              <w:t>TeCP</w:t>
            </w:r>
            <w:r>
              <w:rPr>
                <w:rFonts w:hAnsi="宋体"/>
                <w:color w:val="000000"/>
                <w:kern w:val="0"/>
                <w:sz w:val="18"/>
                <w:szCs w:val="18"/>
              </w:rPr>
              <w:t>）、五氯苯酚</w:t>
            </w:r>
            <w:r>
              <w:rPr>
                <w:color w:val="000000"/>
                <w:kern w:val="0"/>
                <w:sz w:val="18"/>
                <w:szCs w:val="18"/>
              </w:rPr>
              <w:t xml:space="preserve">(PCP) </w:t>
            </w:r>
            <w:r>
              <w:rPr>
                <w:rFonts w:hAnsi="宋体"/>
                <w:color w:val="000000"/>
                <w:kern w:val="0"/>
                <w:sz w:val="18"/>
                <w:szCs w:val="18"/>
              </w:rPr>
              <w:t>（总量）</w:t>
            </w:r>
          </w:p>
        </w:tc>
        <w:tc>
          <w:tcPr>
            <w:tcW w:w="877" w:type="dxa"/>
            <w:gridSpan w:val="3"/>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一氯苯酚（</w:t>
            </w:r>
            <w:r>
              <w:rPr>
                <w:color w:val="000000"/>
                <w:kern w:val="0"/>
                <w:sz w:val="18"/>
                <w:szCs w:val="18"/>
              </w:rPr>
              <w:t>MCP</w:t>
            </w:r>
            <w:r>
              <w:rPr>
                <w:rFonts w:hAnsi="宋体"/>
                <w:color w:val="000000"/>
                <w:kern w:val="0"/>
                <w:sz w:val="18"/>
                <w:szCs w:val="18"/>
              </w:rPr>
              <w:t>）、二氯苯酚（</w:t>
            </w:r>
            <w:r>
              <w:rPr>
                <w:color w:val="000000"/>
                <w:kern w:val="0"/>
                <w:sz w:val="18"/>
                <w:szCs w:val="18"/>
              </w:rPr>
              <w:t>DCP</w:t>
            </w:r>
            <w:r>
              <w:rPr>
                <w:rFonts w:hAnsi="宋体"/>
                <w:color w:val="000000"/>
                <w:kern w:val="0"/>
                <w:sz w:val="18"/>
                <w:szCs w:val="18"/>
              </w:rPr>
              <w:t>）、三氯苯酚（</w:t>
            </w:r>
            <w:r>
              <w:rPr>
                <w:color w:val="000000"/>
                <w:kern w:val="0"/>
                <w:sz w:val="18"/>
                <w:szCs w:val="18"/>
              </w:rPr>
              <w:t>TrCP</w:t>
            </w:r>
            <w:r>
              <w:rPr>
                <w:rFonts w:hAnsi="宋体"/>
                <w:color w:val="000000"/>
                <w:kern w:val="0"/>
                <w:sz w:val="18"/>
                <w:szCs w:val="18"/>
              </w:rPr>
              <w:t>）、四氯苯酚（</w:t>
            </w:r>
            <w:r>
              <w:rPr>
                <w:color w:val="000000"/>
                <w:kern w:val="0"/>
                <w:sz w:val="18"/>
                <w:szCs w:val="18"/>
              </w:rPr>
              <w:t>TeCP</w:t>
            </w:r>
            <w:r>
              <w:rPr>
                <w:rFonts w:hAnsi="宋体"/>
                <w:color w:val="000000"/>
                <w:kern w:val="0"/>
                <w:sz w:val="18"/>
                <w:szCs w:val="18"/>
              </w:rPr>
              <w:t>）（总量）</w:t>
            </w:r>
          </w:p>
        </w:tc>
        <w:tc>
          <w:tcPr>
            <w:tcW w:w="877" w:type="dxa"/>
            <w:gridSpan w:val="3"/>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6</w:t>
            </w:r>
          </w:p>
        </w:tc>
        <w:tc>
          <w:tcPr>
            <w:tcW w:w="70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4" w:type="dxa"/>
            <w:gridSpan w:val="2"/>
            <w:vMerge w:val="restart"/>
            <w:tcBorders>
              <w:top w:val="single" w:color="auto" w:sz="4" w:space="0"/>
              <w:bottom w:val="single" w:color="auto" w:sz="4" w:space="0"/>
            </w:tcBorders>
            <w:vAlign w:val="center"/>
          </w:tcPr>
          <w:p>
            <w:pPr>
              <w:widowControl/>
              <w:jc w:val="center"/>
              <w:rPr>
                <w:rFonts w:hAnsi="宋体"/>
                <w:color w:val="000000"/>
                <w:kern w:val="0"/>
                <w:sz w:val="18"/>
                <w:szCs w:val="18"/>
              </w:rPr>
            </w:pPr>
            <w:r>
              <w:rPr>
                <w:rFonts w:hint="eastAsia" w:hAnsi="宋体"/>
                <w:color w:val="000000"/>
                <w:kern w:val="0"/>
                <w:sz w:val="18"/>
                <w:szCs w:val="18"/>
              </w:rPr>
              <w:t>有害</w:t>
            </w:r>
            <w:r>
              <w:rPr>
                <w:rFonts w:hAnsi="宋体"/>
                <w:color w:val="000000"/>
                <w:kern w:val="0"/>
                <w:sz w:val="18"/>
                <w:szCs w:val="18"/>
              </w:rPr>
              <w:t>染料</w:t>
            </w:r>
          </w:p>
          <w:p>
            <w:pPr>
              <w:widowControl/>
              <w:jc w:val="center"/>
              <w:rPr>
                <w:color w:val="000000"/>
                <w:kern w:val="0"/>
                <w:sz w:val="18"/>
                <w:szCs w:val="18"/>
              </w:rPr>
            </w:pPr>
            <w:r>
              <w:rPr>
                <w:rFonts w:hAnsi="宋体"/>
                <w:kern w:val="0"/>
                <w:sz w:val="18"/>
                <w:szCs w:val="18"/>
              </w:rPr>
              <w:t>（见附录</w:t>
            </w:r>
            <w:r>
              <w:rPr>
                <w:rFonts w:hint="eastAsia"/>
                <w:kern w:val="0"/>
                <w:sz w:val="18"/>
                <w:szCs w:val="18"/>
              </w:rPr>
              <w:t>D</w:t>
            </w:r>
            <w:r>
              <w:rPr>
                <w:rFonts w:hAnsi="宋体"/>
                <w:kern w:val="0"/>
                <w:sz w:val="18"/>
                <w:szCs w:val="18"/>
              </w:rPr>
              <w:t>）</w:t>
            </w: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可分解出致癌芳香胺的偶氮着色剂</w:t>
            </w:r>
          </w:p>
        </w:tc>
        <w:tc>
          <w:tcPr>
            <w:tcW w:w="877" w:type="dxa"/>
            <w:gridSpan w:val="3"/>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致癌染料</w:t>
            </w:r>
          </w:p>
        </w:tc>
        <w:tc>
          <w:tcPr>
            <w:tcW w:w="877" w:type="dxa"/>
            <w:gridSpan w:val="3"/>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致敏染料</w:t>
            </w:r>
          </w:p>
        </w:tc>
        <w:tc>
          <w:tcPr>
            <w:tcW w:w="877" w:type="dxa"/>
            <w:gridSpan w:val="3"/>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12"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12" w:space="0"/>
            </w:tcBorders>
            <w:vAlign w:val="center"/>
          </w:tcPr>
          <w:p>
            <w:pPr>
              <w:widowControl/>
              <w:jc w:val="left"/>
              <w:rPr>
                <w:color w:val="000000"/>
                <w:kern w:val="0"/>
                <w:sz w:val="18"/>
                <w:szCs w:val="18"/>
              </w:rPr>
            </w:pPr>
          </w:p>
        </w:tc>
        <w:tc>
          <w:tcPr>
            <w:tcW w:w="1274" w:type="dxa"/>
            <w:gridSpan w:val="2"/>
            <w:vMerge w:val="continue"/>
            <w:tcBorders>
              <w:top w:val="single" w:color="auto" w:sz="4" w:space="0"/>
              <w:bottom w:val="single" w:color="auto" w:sz="12" w:space="0"/>
            </w:tcBorders>
            <w:vAlign w:val="center"/>
          </w:tcPr>
          <w:p>
            <w:pPr>
              <w:widowControl/>
              <w:jc w:val="left"/>
              <w:rPr>
                <w:color w:val="000000"/>
                <w:kern w:val="0"/>
                <w:sz w:val="18"/>
                <w:szCs w:val="18"/>
              </w:rPr>
            </w:pPr>
          </w:p>
        </w:tc>
        <w:tc>
          <w:tcPr>
            <w:tcW w:w="3110" w:type="dxa"/>
            <w:gridSpan w:val="2"/>
            <w:tcBorders>
              <w:top w:val="single" w:color="auto" w:sz="4" w:space="0"/>
              <w:bottom w:val="single" w:color="auto" w:sz="12" w:space="0"/>
            </w:tcBorders>
            <w:vAlign w:val="center"/>
          </w:tcPr>
          <w:p>
            <w:pPr>
              <w:widowControl/>
              <w:jc w:val="left"/>
              <w:rPr>
                <w:color w:val="000000"/>
                <w:kern w:val="0"/>
                <w:sz w:val="18"/>
                <w:szCs w:val="18"/>
              </w:rPr>
            </w:pPr>
            <w:r>
              <w:rPr>
                <w:rFonts w:hint="eastAsia" w:hAnsi="宋体"/>
                <w:color w:val="000000"/>
                <w:kern w:val="0"/>
                <w:sz w:val="18"/>
                <w:szCs w:val="18"/>
              </w:rPr>
              <w:t>其他有害染料</w:t>
            </w:r>
          </w:p>
        </w:tc>
        <w:tc>
          <w:tcPr>
            <w:tcW w:w="877" w:type="dxa"/>
            <w:gridSpan w:val="3"/>
            <w:vMerge w:val="continue"/>
            <w:tcBorders>
              <w:top w:val="single" w:color="auto" w:sz="4" w:space="0"/>
              <w:bottom w:val="single" w:color="auto" w:sz="12" w:space="0"/>
            </w:tcBorders>
            <w:vAlign w:val="center"/>
          </w:tcPr>
          <w:p>
            <w:pPr>
              <w:widowControl/>
              <w:jc w:val="center"/>
              <w:rPr>
                <w:color w:val="000000"/>
                <w:kern w:val="0"/>
                <w:sz w:val="18"/>
                <w:szCs w:val="18"/>
              </w:rPr>
            </w:pPr>
          </w:p>
        </w:tc>
        <w:tc>
          <w:tcPr>
            <w:tcW w:w="1671" w:type="dxa"/>
            <w:gridSpan w:val="2"/>
            <w:tcBorders>
              <w:top w:val="single" w:color="auto" w:sz="4" w:space="0"/>
              <w:bottom w:val="single" w:color="auto" w:sz="12"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635" w:type="dxa"/>
            <w:vMerge w:val="continue"/>
            <w:tcBorders>
              <w:top w:val="single" w:color="auto" w:sz="4" w:space="0"/>
              <w:bottom w:val="single" w:color="auto" w:sz="12"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12"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12"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7</w:t>
            </w:r>
          </w:p>
        </w:tc>
        <w:tc>
          <w:tcPr>
            <w:tcW w:w="707" w:type="dxa"/>
            <w:gridSpan w:val="2"/>
            <w:vMerge w:val="restart"/>
            <w:tcBorders>
              <w:top w:val="single" w:color="auto" w:sz="12" w:space="0"/>
              <w:bottom w:val="single" w:color="auto" w:sz="4" w:space="0"/>
            </w:tcBorders>
            <w:vAlign w:val="center"/>
          </w:tcPr>
          <w:p>
            <w:pPr>
              <w:jc w:val="left"/>
              <w:rPr>
                <w:color w:val="000000"/>
                <w:kern w:val="0"/>
                <w:sz w:val="18"/>
                <w:szCs w:val="18"/>
              </w:rPr>
            </w:pPr>
            <w:r>
              <w:rPr>
                <w:rFonts w:hAnsi="宋体"/>
                <w:color w:val="000000"/>
                <w:kern w:val="0"/>
                <w:sz w:val="18"/>
                <w:szCs w:val="18"/>
              </w:rPr>
              <w:t>资源属性</w:t>
            </w:r>
          </w:p>
        </w:tc>
        <w:tc>
          <w:tcPr>
            <w:tcW w:w="1271" w:type="dxa"/>
            <w:gridSpan w:val="2"/>
            <w:vMerge w:val="restart"/>
            <w:tcBorders>
              <w:top w:val="single" w:color="auto" w:sz="12" w:space="0"/>
              <w:bottom w:val="single" w:color="auto" w:sz="4" w:space="0"/>
            </w:tcBorders>
            <w:vAlign w:val="center"/>
          </w:tcPr>
          <w:p>
            <w:pPr>
              <w:widowControl/>
              <w:jc w:val="center"/>
              <w:rPr>
                <w:rFonts w:hAnsi="宋体"/>
                <w:kern w:val="0"/>
                <w:sz w:val="18"/>
                <w:szCs w:val="18"/>
              </w:rPr>
            </w:pPr>
            <w:r>
              <w:rPr>
                <w:rFonts w:hAnsi="宋体"/>
                <w:kern w:val="0"/>
                <w:sz w:val="18"/>
                <w:szCs w:val="18"/>
              </w:rPr>
              <w:t>阻燃剂</w:t>
            </w:r>
          </w:p>
          <w:p>
            <w:pPr>
              <w:widowControl/>
              <w:jc w:val="left"/>
              <w:rPr>
                <w:kern w:val="0"/>
                <w:sz w:val="18"/>
                <w:szCs w:val="18"/>
              </w:rPr>
            </w:pPr>
            <w:r>
              <w:rPr>
                <w:rFonts w:hAnsi="宋体"/>
                <w:kern w:val="0"/>
                <w:sz w:val="18"/>
                <w:szCs w:val="18"/>
              </w:rPr>
              <w:t>（见附录</w:t>
            </w:r>
            <w:r>
              <w:rPr>
                <w:rFonts w:hint="eastAsia"/>
                <w:kern w:val="0"/>
                <w:sz w:val="18"/>
                <w:szCs w:val="18"/>
              </w:rPr>
              <w:t>E</w:t>
            </w:r>
            <w:r>
              <w:rPr>
                <w:rFonts w:hAnsi="宋体"/>
                <w:kern w:val="0"/>
                <w:sz w:val="18"/>
                <w:szCs w:val="18"/>
              </w:rPr>
              <w:t>）</w:t>
            </w:r>
          </w:p>
        </w:tc>
        <w:tc>
          <w:tcPr>
            <w:tcW w:w="3113" w:type="dxa"/>
            <w:gridSpan w:val="2"/>
            <w:tcBorders>
              <w:top w:val="single" w:color="auto" w:sz="12"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短链氯化石蜡</w:t>
            </w:r>
            <w:r>
              <w:rPr>
                <w:color w:val="000000"/>
                <w:kern w:val="0"/>
                <w:sz w:val="18"/>
                <w:szCs w:val="18"/>
              </w:rPr>
              <w:t>(SCCP)(C10-C13)</w:t>
            </w:r>
          </w:p>
        </w:tc>
        <w:tc>
          <w:tcPr>
            <w:tcW w:w="870" w:type="dxa"/>
            <w:vMerge w:val="restart"/>
            <w:tcBorders>
              <w:top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2" w:type="dxa"/>
            <w:gridSpan w:val="2"/>
            <w:tcBorders>
              <w:top w:val="single" w:color="auto" w:sz="12"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636" w:type="dxa"/>
            <w:gridSpan w:val="2"/>
            <w:vMerge w:val="restart"/>
            <w:tcBorders>
              <w:top w:val="single" w:color="auto" w:sz="12" w:space="0"/>
              <w:bottom w:val="single" w:color="auto" w:sz="4" w:space="0"/>
              <w:right w:val="single" w:color="auto" w:sz="12" w:space="0"/>
            </w:tcBorders>
            <w:vAlign w:val="center"/>
          </w:tcPr>
          <w:p>
            <w:pPr>
              <w:jc w:val="left"/>
              <w:rPr>
                <w:sz w:val="18"/>
                <w:szCs w:val="18"/>
              </w:rPr>
            </w:pPr>
            <w:r>
              <w:rPr>
                <w:rFonts w:hAnsi="宋体"/>
                <w:sz w:val="18"/>
                <w:szCs w:val="18"/>
              </w:rPr>
              <w:t>企业自我声明并提供化学品清单和证明材料</w:t>
            </w:r>
          </w:p>
        </w:tc>
        <w:tc>
          <w:tcPr>
            <w:tcW w:w="636" w:type="dxa"/>
            <w:vMerge w:val="restart"/>
            <w:tcBorders>
              <w:top w:val="single" w:color="auto" w:sz="12" w:space="0"/>
              <w:bottom w:val="single" w:color="auto" w:sz="4" w:space="0"/>
              <w:right w:val="single" w:color="auto" w:sz="12" w:space="0"/>
            </w:tcBorders>
            <w:vAlign w:val="center"/>
          </w:tcPr>
          <w:p>
            <w:pPr>
              <w:jc w:val="left"/>
              <w:rPr>
                <w:sz w:val="18"/>
                <w:szCs w:val="18"/>
              </w:rPr>
            </w:pPr>
            <w:r>
              <w:rPr>
                <w:rFonts w:hint="eastAsia"/>
                <w:sz w:val="18"/>
                <w:szCs w:val="18"/>
              </w:rPr>
              <w:t>原辅材料采购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int="eastAsia"/>
                <w:color w:val="000000"/>
                <w:kern w:val="0"/>
                <w:sz w:val="18"/>
                <w:szCs w:val="18"/>
              </w:rPr>
              <w:t>三（2-氯乙基）磷酸酯 (TCEP)</w:t>
            </w:r>
          </w:p>
          <w:p>
            <w:pPr>
              <w:widowControl/>
              <w:jc w:val="left"/>
              <w:rPr>
                <w:color w:val="000000"/>
                <w:kern w:val="0"/>
                <w:sz w:val="18"/>
                <w:szCs w:val="18"/>
              </w:rPr>
            </w:pPr>
            <w:r>
              <w:rPr>
                <w:rFonts w:hint="eastAsia"/>
                <w:color w:val="000000"/>
                <w:kern w:val="0"/>
                <w:sz w:val="18"/>
                <w:szCs w:val="18"/>
              </w:rPr>
              <w:t>十溴二苯醚 (DecaBDE)</w:t>
            </w:r>
          </w:p>
          <w:p>
            <w:pPr>
              <w:widowControl/>
              <w:jc w:val="left"/>
              <w:rPr>
                <w:color w:val="000000"/>
                <w:kern w:val="0"/>
                <w:sz w:val="18"/>
                <w:szCs w:val="18"/>
              </w:rPr>
            </w:pPr>
            <w:r>
              <w:rPr>
                <w:rFonts w:hint="eastAsia"/>
                <w:color w:val="000000"/>
                <w:kern w:val="0"/>
                <w:sz w:val="18"/>
                <w:szCs w:val="18"/>
              </w:rPr>
              <w:t>三（2,3-二溴丙基）磷酸酯 (TRIS)</w:t>
            </w:r>
          </w:p>
          <w:p>
            <w:pPr>
              <w:widowControl/>
              <w:jc w:val="left"/>
              <w:rPr>
                <w:color w:val="000000"/>
                <w:kern w:val="0"/>
                <w:sz w:val="18"/>
                <w:szCs w:val="18"/>
              </w:rPr>
            </w:pPr>
            <w:r>
              <w:rPr>
                <w:rFonts w:hint="eastAsia"/>
                <w:color w:val="000000"/>
                <w:kern w:val="0"/>
                <w:sz w:val="18"/>
                <w:szCs w:val="18"/>
              </w:rPr>
              <w:t>五溴二苯醚 (PentaBDE)</w:t>
            </w:r>
          </w:p>
          <w:p>
            <w:pPr>
              <w:widowControl/>
              <w:jc w:val="left"/>
              <w:rPr>
                <w:color w:val="000000"/>
                <w:kern w:val="0"/>
                <w:sz w:val="18"/>
                <w:szCs w:val="18"/>
              </w:rPr>
            </w:pPr>
            <w:r>
              <w:rPr>
                <w:rFonts w:hint="eastAsia"/>
                <w:color w:val="000000"/>
                <w:kern w:val="0"/>
                <w:sz w:val="18"/>
                <w:szCs w:val="18"/>
              </w:rPr>
              <w:t>八溴二苯醚 (OctaBDE)</w:t>
            </w:r>
          </w:p>
          <w:p>
            <w:pPr>
              <w:widowControl/>
              <w:jc w:val="left"/>
              <w:rPr>
                <w:color w:val="000000"/>
                <w:kern w:val="0"/>
                <w:sz w:val="18"/>
                <w:szCs w:val="18"/>
              </w:rPr>
            </w:pPr>
            <w:r>
              <w:rPr>
                <w:rFonts w:hint="eastAsia"/>
                <w:color w:val="000000"/>
                <w:kern w:val="0"/>
                <w:sz w:val="18"/>
                <w:szCs w:val="18"/>
              </w:rPr>
              <w:t>二（2,3-二溴丙基）磷酸酯 (BDBPP)</w:t>
            </w:r>
          </w:p>
          <w:p>
            <w:pPr>
              <w:widowControl/>
              <w:jc w:val="left"/>
              <w:rPr>
                <w:color w:val="000000"/>
                <w:kern w:val="0"/>
                <w:sz w:val="18"/>
                <w:szCs w:val="18"/>
              </w:rPr>
            </w:pPr>
            <w:r>
              <w:rPr>
                <w:rFonts w:hint="eastAsia"/>
                <w:color w:val="000000"/>
                <w:kern w:val="0"/>
                <w:sz w:val="18"/>
                <w:szCs w:val="18"/>
              </w:rPr>
              <w:t>三-（1-吖丙啶基）氧化膦(TEPA)</w:t>
            </w:r>
          </w:p>
          <w:p>
            <w:pPr>
              <w:widowControl/>
              <w:jc w:val="left"/>
              <w:rPr>
                <w:color w:val="000000"/>
                <w:kern w:val="0"/>
                <w:sz w:val="18"/>
                <w:szCs w:val="18"/>
              </w:rPr>
            </w:pPr>
            <w:r>
              <w:rPr>
                <w:rFonts w:hint="eastAsia"/>
                <w:color w:val="000000"/>
                <w:kern w:val="0"/>
                <w:sz w:val="18"/>
                <w:szCs w:val="18"/>
              </w:rPr>
              <w:t>多溴联苯 (PBB)</w:t>
            </w:r>
          </w:p>
          <w:p>
            <w:pPr>
              <w:widowControl/>
              <w:jc w:val="left"/>
              <w:rPr>
                <w:color w:val="000000"/>
                <w:kern w:val="0"/>
                <w:sz w:val="18"/>
                <w:szCs w:val="18"/>
              </w:rPr>
            </w:pPr>
            <w:r>
              <w:rPr>
                <w:rFonts w:hint="eastAsia"/>
                <w:color w:val="000000"/>
                <w:kern w:val="0"/>
                <w:sz w:val="18"/>
                <w:szCs w:val="18"/>
              </w:rPr>
              <w:t>四溴双酚A (TBBPA)</w:t>
            </w:r>
          </w:p>
          <w:p>
            <w:pPr>
              <w:widowControl/>
              <w:jc w:val="left"/>
              <w:rPr>
                <w:color w:val="000000"/>
                <w:kern w:val="0"/>
                <w:sz w:val="18"/>
                <w:szCs w:val="18"/>
              </w:rPr>
            </w:pPr>
            <w:r>
              <w:rPr>
                <w:rFonts w:hint="eastAsia"/>
                <w:color w:val="000000"/>
                <w:kern w:val="0"/>
                <w:sz w:val="18"/>
                <w:szCs w:val="18"/>
              </w:rPr>
              <w:t>六溴环十二烷 (HBCDD)</w:t>
            </w:r>
          </w:p>
          <w:p>
            <w:pPr>
              <w:widowControl/>
              <w:jc w:val="left"/>
              <w:rPr>
                <w:color w:val="000000"/>
                <w:kern w:val="0"/>
                <w:sz w:val="18"/>
                <w:szCs w:val="18"/>
              </w:rPr>
            </w:pPr>
            <w:r>
              <w:rPr>
                <w:rFonts w:hint="eastAsia"/>
                <w:color w:val="000000"/>
                <w:kern w:val="0"/>
                <w:sz w:val="18"/>
                <w:szCs w:val="18"/>
              </w:rPr>
              <w:t>2,2-二（溴甲基）-1,3-丙二醇 (BBMP)</w:t>
            </w:r>
          </w:p>
          <w:p>
            <w:pPr>
              <w:widowControl/>
              <w:jc w:val="left"/>
              <w:rPr>
                <w:color w:val="000000"/>
                <w:kern w:val="0"/>
                <w:sz w:val="18"/>
                <w:szCs w:val="18"/>
              </w:rPr>
            </w:pPr>
            <w:r>
              <w:rPr>
                <w:rFonts w:hint="eastAsia"/>
                <w:color w:val="000000"/>
                <w:kern w:val="0"/>
                <w:sz w:val="18"/>
                <w:szCs w:val="18"/>
              </w:rPr>
              <w:t>三（1,3-二氯异丙基）磷酸酯 (TDCPP)</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636" w:type="dxa"/>
            <w:gridSpan w:val="2"/>
            <w:vMerge w:val="continue"/>
            <w:tcBorders>
              <w:top w:val="single" w:color="auto" w:sz="4" w:space="0"/>
              <w:bottom w:val="single" w:color="auto" w:sz="4" w:space="0"/>
              <w:right w:val="single" w:color="auto" w:sz="12" w:space="0"/>
            </w:tcBorders>
            <w:vAlign w:val="center"/>
          </w:tcPr>
          <w:p>
            <w:pPr>
              <w:jc w:val="left"/>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eastAsia="zh-CN"/>
              </w:rPr>
            </w:pPr>
            <w:r>
              <w:rPr>
                <w:rFonts w:hint="eastAsia"/>
                <w:color w:val="000000"/>
                <w:kern w:val="0"/>
                <w:sz w:val="18"/>
                <w:szCs w:val="18"/>
                <w:lang w:val="en-US" w:eastAsia="zh-CN"/>
              </w:rPr>
              <w:t>8</w:t>
            </w:r>
          </w:p>
        </w:tc>
        <w:tc>
          <w:tcPr>
            <w:tcW w:w="707" w:type="dxa"/>
            <w:gridSpan w:val="2"/>
            <w:vMerge w:val="continue"/>
            <w:tcBorders>
              <w:top w:val="single" w:color="auto" w:sz="4" w:space="0"/>
              <w:bottom w:val="single" w:color="auto" w:sz="4" w:space="0"/>
            </w:tcBorders>
            <w:vAlign w:val="center"/>
          </w:tcPr>
          <w:p>
            <w:pPr>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center"/>
              <w:rPr>
                <w:color w:val="000000"/>
                <w:kern w:val="0"/>
                <w:sz w:val="18"/>
                <w:szCs w:val="18"/>
              </w:rPr>
            </w:pPr>
            <w:r>
              <w:rPr>
                <w:rFonts w:hAnsi="宋体"/>
                <w:color w:val="000000"/>
                <w:kern w:val="0"/>
                <w:sz w:val="18"/>
                <w:szCs w:val="18"/>
              </w:rPr>
              <w:t>卤化溶剂</w:t>
            </w: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三氯乙烯</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40</w:t>
            </w:r>
          </w:p>
        </w:tc>
        <w:tc>
          <w:tcPr>
            <w:tcW w:w="636" w:type="dxa"/>
            <w:gridSpan w:val="2"/>
            <w:vMerge w:val="continue"/>
            <w:tcBorders>
              <w:top w:val="single" w:color="auto" w:sz="4" w:space="0"/>
              <w:bottom w:val="single" w:color="auto" w:sz="4" w:space="0"/>
              <w:right w:val="single" w:color="auto" w:sz="12" w:space="0"/>
            </w:tcBorders>
            <w:vAlign w:val="center"/>
          </w:tcPr>
          <w:p>
            <w:pPr>
              <w:jc w:val="left"/>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color w:val="000000"/>
                <w:kern w:val="0"/>
                <w:sz w:val="18"/>
                <w:szCs w:val="18"/>
              </w:rPr>
              <w:t>1,2-</w:t>
            </w:r>
            <w:r>
              <w:rPr>
                <w:rFonts w:hAnsi="宋体"/>
                <w:color w:val="000000"/>
                <w:kern w:val="0"/>
                <w:sz w:val="18"/>
                <w:szCs w:val="18"/>
              </w:rPr>
              <w:t>二氯乙烷，二氯甲烷，四氯乙烯</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w:t>
            </w:r>
          </w:p>
        </w:tc>
        <w:tc>
          <w:tcPr>
            <w:tcW w:w="636" w:type="dxa"/>
            <w:gridSpan w:val="2"/>
            <w:vMerge w:val="continue"/>
            <w:tcBorders>
              <w:top w:val="single" w:color="auto" w:sz="4" w:space="0"/>
              <w:bottom w:val="single" w:color="auto" w:sz="4" w:space="0"/>
              <w:right w:val="single" w:color="auto" w:sz="12" w:space="0"/>
            </w:tcBorders>
            <w:vAlign w:val="center"/>
          </w:tcPr>
          <w:p>
            <w:pPr>
              <w:jc w:val="left"/>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val="en-US" w:eastAsia="zh-CN"/>
              </w:rPr>
            </w:pPr>
            <w:r>
              <w:rPr>
                <w:rFonts w:hint="eastAsia"/>
                <w:color w:val="000000"/>
                <w:kern w:val="0"/>
                <w:sz w:val="18"/>
                <w:szCs w:val="18"/>
                <w:lang w:val="en-US" w:eastAsia="zh-CN"/>
              </w:rPr>
              <w:t>9</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center"/>
              <w:rPr>
                <w:color w:val="000000"/>
                <w:kern w:val="0"/>
                <w:sz w:val="18"/>
                <w:szCs w:val="18"/>
              </w:rPr>
            </w:pPr>
            <w:r>
              <w:rPr>
                <w:rFonts w:hAnsi="宋体"/>
                <w:color w:val="000000"/>
                <w:kern w:val="0"/>
                <w:sz w:val="18"/>
                <w:szCs w:val="18"/>
              </w:rPr>
              <w:t>有机锡化合物</w:t>
            </w: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二丁基锡（</w:t>
            </w:r>
            <w:r>
              <w:rPr>
                <w:color w:val="000000"/>
                <w:kern w:val="0"/>
                <w:sz w:val="18"/>
                <w:szCs w:val="18"/>
              </w:rPr>
              <w:t>DBT</w:t>
            </w:r>
            <w:r>
              <w:rPr>
                <w:rFonts w:hAnsi="宋体"/>
                <w:color w:val="000000"/>
                <w:kern w:val="0"/>
                <w:sz w:val="18"/>
                <w:szCs w:val="18"/>
              </w:rPr>
              <w:t>）</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636" w:type="dxa"/>
            <w:gridSpan w:val="2"/>
            <w:vMerge w:val="continue"/>
            <w:tcBorders>
              <w:top w:val="single" w:color="auto" w:sz="4" w:space="0"/>
              <w:bottom w:val="single" w:color="auto" w:sz="4" w:space="0"/>
              <w:right w:val="single" w:color="auto" w:sz="12" w:space="0"/>
            </w:tcBorders>
            <w:vAlign w:val="center"/>
          </w:tcPr>
          <w:p>
            <w:pPr>
              <w:jc w:val="left"/>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单、双和三甲基锡衍生物</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单、双和三丁基锡衍生物</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单、双和三苯基锡衍生物</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单、双和三辛基锡衍生物</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r>
              <w:rPr>
                <w:rFonts w:hint="eastAsia"/>
                <w:color w:val="000000"/>
                <w:kern w:val="0"/>
                <w:sz w:val="18"/>
                <w:szCs w:val="18"/>
                <w:lang w:val="en-US" w:eastAsia="zh-CN"/>
              </w:rPr>
              <w:t>0</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center"/>
              <w:rPr>
                <w:rFonts w:hAnsi="宋体"/>
                <w:kern w:val="0"/>
                <w:sz w:val="18"/>
                <w:szCs w:val="18"/>
              </w:rPr>
            </w:pPr>
            <w:r>
              <w:rPr>
                <w:rFonts w:hAnsi="宋体"/>
                <w:kern w:val="0"/>
                <w:sz w:val="18"/>
                <w:szCs w:val="18"/>
              </w:rPr>
              <w:t>多环芳烃（</w:t>
            </w:r>
            <w:r>
              <w:rPr>
                <w:kern w:val="0"/>
                <w:sz w:val="18"/>
                <w:szCs w:val="18"/>
              </w:rPr>
              <w:t>PAHs</w:t>
            </w:r>
            <w:r>
              <w:rPr>
                <w:rFonts w:hAnsi="宋体"/>
                <w:kern w:val="0"/>
                <w:sz w:val="18"/>
                <w:szCs w:val="18"/>
              </w:rPr>
              <w:t>）</w:t>
            </w:r>
          </w:p>
          <w:p>
            <w:pPr>
              <w:widowControl/>
              <w:jc w:val="left"/>
              <w:rPr>
                <w:kern w:val="0"/>
                <w:sz w:val="18"/>
                <w:szCs w:val="18"/>
              </w:rPr>
            </w:pPr>
            <w:r>
              <w:rPr>
                <w:rFonts w:hAnsi="宋体"/>
                <w:kern w:val="0"/>
                <w:sz w:val="18"/>
                <w:szCs w:val="18"/>
              </w:rPr>
              <w:t>（见附录</w:t>
            </w:r>
            <w:r>
              <w:rPr>
                <w:rFonts w:hint="eastAsia"/>
                <w:kern w:val="0"/>
                <w:sz w:val="18"/>
                <w:szCs w:val="18"/>
                <w:lang w:val="en-US" w:eastAsia="zh-CN"/>
              </w:rPr>
              <w:t>F</w:t>
            </w:r>
            <w:r>
              <w:rPr>
                <w:rFonts w:hAnsi="宋体"/>
                <w:kern w:val="0"/>
                <w:sz w:val="18"/>
                <w:szCs w:val="18"/>
              </w:rPr>
              <w:t>）</w:t>
            </w: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苯并</w:t>
            </w:r>
            <w:r>
              <w:rPr>
                <w:color w:val="000000"/>
                <w:kern w:val="0"/>
                <w:sz w:val="18"/>
                <w:szCs w:val="18"/>
              </w:rPr>
              <w:t>(a)</w:t>
            </w:r>
            <w:r>
              <w:rPr>
                <w:rFonts w:hAnsi="宋体"/>
                <w:color w:val="000000"/>
                <w:kern w:val="0"/>
                <w:sz w:val="18"/>
                <w:szCs w:val="18"/>
              </w:rPr>
              <w:t>芘（</w:t>
            </w:r>
            <w:r>
              <w:rPr>
                <w:color w:val="000000"/>
                <w:kern w:val="0"/>
                <w:sz w:val="18"/>
                <w:szCs w:val="18"/>
              </w:rPr>
              <w:t>BaP</w:t>
            </w:r>
            <w:r>
              <w:rPr>
                <w:rFonts w:hAnsi="宋体"/>
                <w:color w:val="000000"/>
                <w:kern w:val="0"/>
                <w:sz w:val="18"/>
                <w:szCs w:val="18"/>
              </w:rPr>
              <w:t>）</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其他多环芳烃（</w:t>
            </w:r>
            <w:r>
              <w:rPr>
                <w:color w:val="000000"/>
                <w:kern w:val="0"/>
                <w:sz w:val="18"/>
                <w:szCs w:val="18"/>
              </w:rPr>
              <w:t>PAHs</w:t>
            </w:r>
            <w:r>
              <w:rPr>
                <w:rFonts w:hAnsi="宋体"/>
                <w:color w:val="000000"/>
                <w:kern w:val="0"/>
                <w:sz w:val="18"/>
                <w:szCs w:val="18"/>
              </w:rPr>
              <w:t>）（总量）</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r>
              <w:rPr>
                <w:rFonts w:hint="eastAsia"/>
                <w:color w:val="000000"/>
                <w:kern w:val="0"/>
                <w:sz w:val="18"/>
                <w:szCs w:val="18"/>
                <w:lang w:val="en-US" w:eastAsia="zh-CN"/>
              </w:rPr>
              <w:t>1</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center"/>
              <w:rPr>
                <w:kern w:val="0"/>
                <w:sz w:val="18"/>
                <w:szCs w:val="18"/>
              </w:rPr>
            </w:pPr>
            <w:r>
              <w:rPr>
                <w:rFonts w:hAnsi="宋体"/>
                <w:kern w:val="0"/>
                <w:sz w:val="18"/>
                <w:szCs w:val="18"/>
              </w:rPr>
              <w:t>全氟化合物（</w:t>
            </w:r>
            <w:r>
              <w:rPr>
                <w:kern w:val="0"/>
                <w:sz w:val="18"/>
                <w:szCs w:val="18"/>
              </w:rPr>
              <w:t>PFC</w:t>
            </w:r>
            <w:r>
              <w:rPr>
                <w:rFonts w:hAnsi="宋体"/>
                <w:kern w:val="0"/>
                <w:sz w:val="18"/>
                <w:szCs w:val="18"/>
              </w:rPr>
              <w:t>）</w:t>
            </w:r>
          </w:p>
        </w:tc>
        <w:tc>
          <w:tcPr>
            <w:tcW w:w="3113"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全氟辛烷磺酸（</w:t>
            </w:r>
            <w:r>
              <w:rPr>
                <w:kern w:val="0"/>
                <w:sz w:val="18"/>
                <w:szCs w:val="18"/>
              </w:rPr>
              <w:t>PFOS</w:t>
            </w:r>
            <w:r>
              <w:rPr>
                <w:rFonts w:hAnsi="宋体"/>
                <w:kern w:val="0"/>
                <w:sz w:val="18"/>
                <w:szCs w:val="18"/>
              </w:rPr>
              <w:t>）和相关物质（总量）</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3"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全氟辛酸（</w:t>
            </w:r>
            <w:r>
              <w:rPr>
                <w:kern w:val="0"/>
                <w:sz w:val="18"/>
                <w:szCs w:val="18"/>
              </w:rPr>
              <w:t>PFOA</w:t>
            </w:r>
            <w:r>
              <w:rPr>
                <w:rFonts w:hAnsi="宋体"/>
                <w:kern w:val="0"/>
                <w:sz w:val="18"/>
                <w:szCs w:val="18"/>
              </w:rPr>
              <w:t>）和相关物质（总量）</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r>
              <w:rPr>
                <w:rFonts w:hint="eastAsia"/>
                <w:color w:val="000000"/>
                <w:kern w:val="0"/>
                <w:sz w:val="18"/>
                <w:szCs w:val="18"/>
                <w:lang w:val="en-US" w:eastAsia="zh-CN"/>
              </w:rPr>
              <w:t>2</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邻苯二甲酸酯（见附录</w:t>
            </w:r>
            <w:r>
              <w:rPr>
                <w:rFonts w:hint="eastAsia" w:hAnsi="宋体"/>
                <w:kern w:val="0"/>
                <w:sz w:val="18"/>
                <w:szCs w:val="18"/>
                <w:lang w:val="en-US" w:eastAsia="zh-CN"/>
              </w:rPr>
              <w:t>G</w:t>
            </w:r>
            <w:r>
              <w:rPr>
                <w:rFonts w:hAnsi="宋体"/>
                <w:kern w:val="0"/>
                <w:sz w:val="18"/>
                <w:szCs w:val="18"/>
              </w:rPr>
              <w:t>）</w:t>
            </w:r>
          </w:p>
        </w:tc>
        <w:tc>
          <w:tcPr>
            <w:tcW w:w="3113" w:type="dxa"/>
            <w:gridSpan w:val="2"/>
            <w:tcBorders>
              <w:top w:val="single" w:color="auto" w:sz="4" w:space="0"/>
              <w:bottom w:val="single" w:color="auto" w:sz="4" w:space="0"/>
            </w:tcBorders>
            <w:vAlign w:val="center"/>
          </w:tcPr>
          <w:p>
            <w:pPr>
              <w:widowControl/>
              <w:jc w:val="left"/>
              <w:rPr>
                <w:kern w:val="0"/>
                <w:sz w:val="18"/>
                <w:szCs w:val="18"/>
              </w:rPr>
            </w:pPr>
            <w:r>
              <w:rPr>
                <w:rFonts w:hint="eastAsia"/>
                <w:kern w:val="0"/>
                <w:sz w:val="18"/>
                <w:szCs w:val="18"/>
              </w:rPr>
              <w:t>邻苯二甲酸二（2-乙基己基）酯 (DEHP)</w:t>
            </w:r>
          </w:p>
          <w:p>
            <w:pPr>
              <w:widowControl/>
              <w:jc w:val="left"/>
              <w:rPr>
                <w:kern w:val="0"/>
                <w:sz w:val="18"/>
                <w:szCs w:val="18"/>
              </w:rPr>
            </w:pPr>
            <w:r>
              <w:rPr>
                <w:rFonts w:hint="eastAsia"/>
                <w:kern w:val="0"/>
                <w:sz w:val="18"/>
                <w:szCs w:val="18"/>
              </w:rPr>
              <w:t>邻苯二甲酸二（2-甲氧乙基）酯 (DMEP)</w:t>
            </w:r>
          </w:p>
          <w:p>
            <w:pPr>
              <w:widowControl/>
              <w:jc w:val="left"/>
              <w:rPr>
                <w:kern w:val="0"/>
                <w:sz w:val="18"/>
                <w:szCs w:val="18"/>
              </w:rPr>
            </w:pPr>
            <w:r>
              <w:rPr>
                <w:rFonts w:hint="eastAsia"/>
                <w:kern w:val="0"/>
                <w:sz w:val="18"/>
                <w:szCs w:val="18"/>
              </w:rPr>
              <w:t>邻苯二甲酸二正辛酯 (DNOP)</w:t>
            </w:r>
          </w:p>
          <w:p>
            <w:pPr>
              <w:widowControl/>
              <w:jc w:val="left"/>
              <w:rPr>
                <w:kern w:val="0"/>
                <w:sz w:val="18"/>
                <w:szCs w:val="18"/>
              </w:rPr>
            </w:pPr>
            <w:r>
              <w:rPr>
                <w:rFonts w:hint="eastAsia"/>
                <w:kern w:val="0"/>
                <w:sz w:val="18"/>
                <w:szCs w:val="18"/>
              </w:rPr>
              <w:t>邻苯二甲酸二异癸酯 (DIDP)</w:t>
            </w:r>
          </w:p>
          <w:p>
            <w:pPr>
              <w:widowControl/>
              <w:jc w:val="left"/>
              <w:rPr>
                <w:kern w:val="0"/>
                <w:sz w:val="18"/>
                <w:szCs w:val="18"/>
              </w:rPr>
            </w:pPr>
            <w:r>
              <w:rPr>
                <w:rFonts w:hint="eastAsia"/>
                <w:kern w:val="0"/>
                <w:sz w:val="18"/>
                <w:szCs w:val="18"/>
              </w:rPr>
              <w:t>邻苯二甲酸二异壬酯 (DINP)</w:t>
            </w:r>
          </w:p>
          <w:p>
            <w:pPr>
              <w:widowControl/>
              <w:jc w:val="left"/>
              <w:rPr>
                <w:kern w:val="0"/>
                <w:sz w:val="18"/>
                <w:szCs w:val="18"/>
              </w:rPr>
            </w:pPr>
            <w:r>
              <w:rPr>
                <w:rFonts w:hint="eastAsia"/>
                <w:kern w:val="0"/>
                <w:sz w:val="18"/>
                <w:szCs w:val="18"/>
              </w:rPr>
              <w:t>邻苯二甲酸二己酯 (DnHP)</w:t>
            </w:r>
          </w:p>
          <w:p>
            <w:pPr>
              <w:widowControl/>
              <w:jc w:val="left"/>
              <w:rPr>
                <w:kern w:val="0"/>
                <w:sz w:val="18"/>
                <w:szCs w:val="18"/>
              </w:rPr>
            </w:pPr>
            <w:r>
              <w:rPr>
                <w:rFonts w:hint="eastAsia"/>
                <w:kern w:val="0"/>
                <w:sz w:val="18"/>
                <w:szCs w:val="18"/>
              </w:rPr>
              <w:t>邻苯二甲酸二丁酯 (DBP)</w:t>
            </w:r>
          </w:p>
          <w:p>
            <w:pPr>
              <w:widowControl/>
              <w:jc w:val="left"/>
              <w:rPr>
                <w:kern w:val="0"/>
                <w:sz w:val="18"/>
                <w:szCs w:val="18"/>
              </w:rPr>
            </w:pPr>
            <w:r>
              <w:rPr>
                <w:rFonts w:hint="eastAsia"/>
                <w:kern w:val="0"/>
                <w:sz w:val="18"/>
                <w:szCs w:val="18"/>
              </w:rPr>
              <w:t>邻苯二甲酸丁苄酯 (BBP)</w:t>
            </w:r>
          </w:p>
          <w:p>
            <w:pPr>
              <w:widowControl/>
              <w:jc w:val="left"/>
              <w:rPr>
                <w:kern w:val="0"/>
                <w:sz w:val="18"/>
                <w:szCs w:val="18"/>
              </w:rPr>
            </w:pPr>
            <w:r>
              <w:rPr>
                <w:rFonts w:hint="eastAsia"/>
                <w:kern w:val="0"/>
                <w:sz w:val="18"/>
                <w:szCs w:val="18"/>
              </w:rPr>
              <w:t>邻苯二甲酸二壬酯 (DNP)</w:t>
            </w:r>
          </w:p>
          <w:p>
            <w:pPr>
              <w:widowControl/>
              <w:jc w:val="left"/>
              <w:rPr>
                <w:kern w:val="0"/>
                <w:sz w:val="18"/>
                <w:szCs w:val="18"/>
              </w:rPr>
            </w:pPr>
            <w:r>
              <w:rPr>
                <w:rFonts w:hint="eastAsia"/>
                <w:kern w:val="0"/>
                <w:sz w:val="18"/>
                <w:szCs w:val="18"/>
              </w:rPr>
              <w:t>邻苯二甲酸二乙酯 (DEP)</w:t>
            </w:r>
          </w:p>
          <w:p>
            <w:pPr>
              <w:widowControl/>
              <w:jc w:val="left"/>
              <w:rPr>
                <w:kern w:val="0"/>
                <w:sz w:val="18"/>
                <w:szCs w:val="18"/>
              </w:rPr>
            </w:pPr>
            <w:r>
              <w:rPr>
                <w:rFonts w:hint="eastAsia"/>
                <w:kern w:val="0"/>
                <w:sz w:val="18"/>
                <w:szCs w:val="18"/>
              </w:rPr>
              <w:t>邻苯二甲酸二丙酯 (DPRP)</w:t>
            </w:r>
          </w:p>
          <w:p>
            <w:pPr>
              <w:widowControl/>
              <w:jc w:val="left"/>
              <w:rPr>
                <w:kern w:val="0"/>
                <w:sz w:val="18"/>
                <w:szCs w:val="18"/>
              </w:rPr>
            </w:pPr>
            <w:r>
              <w:rPr>
                <w:rFonts w:hint="eastAsia"/>
                <w:kern w:val="0"/>
                <w:sz w:val="18"/>
                <w:szCs w:val="18"/>
              </w:rPr>
              <w:t>邻苯二甲酸二异丁酯(DIBP)</w:t>
            </w:r>
          </w:p>
          <w:p>
            <w:pPr>
              <w:widowControl/>
              <w:jc w:val="left"/>
              <w:rPr>
                <w:kern w:val="0"/>
                <w:sz w:val="18"/>
                <w:szCs w:val="18"/>
              </w:rPr>
            </w:pPr>
            <w:r>
              <w:rPr>
                <w:rFonts w:hint="eastAsia"/>
                <w:kern w:val="0"/>
                <w:sz w:val="18"/>
                <w:szCs w:val="18"/>
              </w:rPr>
              <w:t>邻苯二甲酸二环己酯 (DCHP)</w:t>
            </w:r>
          </w:p>
          <w:p>
            <w:pPr>
              <w:widowControl/>
              <w:jc w:val="left"/>
              <w:rPr>
                <w:kern w:val="0"/>
                <w:sz w:val="18"/>
                <w:szCs w:val="18"/>
              </w:rPr>
            </w:pPr>
            <w:r>
              <w:rPr>
                <w:rFonts w:hint="eastAsia"/>
                <w:kern w:val="0"/>
                <w:sz w:val="18"/>
                <w:szCs w:val="18"/>
              </w:rPr>
              <w:t>邻苯二甲酸二异辛酯 (DIOP)</w:t>
            </w:r>
          </w:p>
          <w:p>
            <w:pPr>
              <w:widowControl/>
              <w:jc w:val="left"/>
              <w:rPr>
                <w:kern w:val="0"/>
                <w:sz w:val="18"/>
                <w:szCs w:val="18"/>
              </w:rPr>
            </w:pPr>
            <w:r>
              <w:rPr>
                <w:rFonts w:hint="eastAsia"/>
                <w:kern w:val="0"/>
                <w:sz w:val="18"/>
                <w:szCs w:val="18"/>
              </w:rPr>
              <w:t>1,2-苯二酸-二(C7-11支链与直链)烷基(醇)酯(DHNUP)</w:t>
            </w:r>
          </w:p>
          <w:p>
            <w:pPr>
              <w:widowControl/>
              <w:jc w:val="left"/>
              <w:rPr>
                <w:kern w:val="0"/>
                <w:sz w:val="18"/>
                <w:szCs w:val="18"/>
              </w:rPr>
            </w:pPr>
            <w:r>
              <w:rPr>
                <w:rFonts w:hint="eastAsia"/>
                <w:kern w:val="0"/>
                <w:sz w:val="18"/>
                <w:szCs w:val="18"/>
              </w:rPr>
              <w:t>邻苯二甲酸二C6-8支链烷基酯(富C7)  (DIHP)</w:t>
            </w:r>
          </w:p>
          <w:p>
            <w:pPr>
              <w:widowControl/>
              <w:jc w:val="left"/>
              <w:rPr>
                <w:kern w:val="0"/>
                <w:sz w:val="18"/>
                <w:szCs w:val="18"/>
              </w:rPr>
            </w:pPr>
            <w:r>
              <w:rPr>
                <w:rFonts w:hint="eastAsia"/>
                <w:kern w:val="0"/>
                <w:sz w:val="18"/>
                <w:szCs w:val="18"/>
              </w:rPr>
              <w:t>（总量）</w:t>
            </w:r>
          </w:p>
        </w:tc>
        <w:tc>
          <w:tcPr>
            <w:tcW w:w="870" w:type="dxa"/>
            <w:tcBorders>
              <w:top w:val="single" w:color="auto" w:sz="4" w:space="0"/>
              <w:bottom w:val="single" w:color="auto" w:sz="4" w:space="0"/>
            </w:tcBorders>
            <w:vAlign w:val="center"/>
          </w:tcPr>
          <w:p>
            <w:pPr>
              <w:widowControl/>
              <w:jc w:val="center"/>
              <w:rPr>
                <w:kern w:val="0"/>
                <w:sz w:val="18"/>
                <w:szCs w:val="18"/>
              </w:rPr>
            </w:pPr>
            <w:r>
              <w:rPr>
                <w:kern w:val="0"/>
                <w:sz w:val="18"/>
                <w:szCs w:val="18"/>
              </w:rPr>
              <w:t>mg/kg</w:t>
            </w:r>
          </w:p>
        </w:tc>
        <w:tc>
          <w:tcPr>
            <w:tcW w:w="1672" w:type="dxa"/>
            <w:gridSpan w:val="2"/>
            <w:tcBorders>
              <w:top w:val="single" w:color="auto" w:sz="4" w:space="0"/>
              <w:bottom w:val="single" w:color="auto" w:sz="4" w:space="0"/>
            </w:tcBorders>
            <w:vAlign w:val="center"/>
          </w:tcPr>
          <w:p>
            <w:pPr>
              <w:jc w:val="center"/>
              <w:rPr>
                <w:kern w:val="0"/>
                <w:sz w:val="18"/>
                <w:szCs w:val="18"/>
                <w:highlight w:val="yellow"/>
              </w:rPr>
            </w:pPr>
            <w:r>
              <w:rPr>
                <w:rFonts w:ascii="宋体" w:hAnsi="宋体"/>
                <w:color w:val="auto"/>
                <w:kern w:val="0"/>
                <w:sz w:val="18"/>
                <w:szCs w:val="18"/>
              </w:rPr>
              <w:t>≤</w:t>
            </w:r>
            <w:r>
              <w:rPr>
                <w:rFonts w:hint="eastAsia"/>
                <w:color w:val="auto"/>
                <w:kern w:val="0"/>
                <w:sz w:val="18"/>
                <w:szCs w:val="18"/>
                <w:lang w:val="en-US" w:eastAsia="zh-CN"/>
              </w:rPr>
              <w:t>1000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r>
              <w:rPr>
                <w:rFonts w:hint="eastAsia"/>
                <w:color w:val="000000"/>
                <w:kern w:val="0"/>
                <w:sz w:val="18"/>
                <w:szCs w:val="18"/>
                <w:lang w:val="en-US" w:eastAsia="zh-CN"/>
              </w:rPr>
              <w:t>3</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重金属总量</w:t>
            </w:r>
          </w:p>
        </w:tc>
        <w:tc>
          <w:tcPr>
            <w:tcW w:w="3113"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砷（</w:t>
            </w:r>
            <w:r>
              <w:rPr>
                <w:kern w:val="0"/>
                <w:sz w:val="18"/>
                <w:szCs w:val="18"/>
              </w:rPr>
              <w:t>As</w:t>
            </w:r>
            <w:r>
              <w:rPr>
                <w:rFonts w:hAnsi="宋体"/>
                <w:kern w:val="0"/>
                <w:sz w:val="18"/>
                <w:szCs w:val="18"/>
              </w:rPr>
              <w:t>）</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3"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镉（</w:t>
            </w:r>
            <w:r>
              <w:rPr>
                <w:kern w:val="0"/>
                <w:sz w:val="18"/>
                <w:szCs w:val="18"/>
              </w:rPr>
              <w:t>Cd</w:t>
            </w:r>
            <w:r>
              <w:rPr>
                <w:rFonts w:hAnsi="宋体"/>
                <w:kern w:val="0"/>
                <w:sz w:val="18"/>
                <w:szCs w:val="18"/>
              </w:rPr>
              <w:t>）</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20</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50</w:t>
            </w:r>
            <w:r>
              <w:rPr>
                <w:rFonts w:hAnsi="宋体"/>
                <w:color w:val="000000"/>
                <w:kern w:val="0"/>
                <w:sz w:val="18"/>
                <w:szCs w:val="18"/>
              </w:rPr>
              <w:t>）</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汞（</w:t>
            </w:r>
            <w:r>
              <w:rPr>
                <w:color w:val="000000"/>
                <w:kern w:val="0"/>
                <w:sz w:val="18"/>
                <w:szCs w:val="18"/>
              </w:rPr>
              <w:t>Hg</w:t>
            </w:r>
            <w:r>
              <w:rPr>
                <w:rFonts w:hAnsi="宋体"/>
                <w:color w:val="000000"/>
                <w:kern w:val="0"/>
                <w:sz w:val="18"/>
                <w:szCs w:val="18"/>
              </w:rPr>
              <w:t>）</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4</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25</w:t>
            </w:r>
            <w:r>
              <w:rPr>
                <w:rFonts w:hAnsi="宋体"/>
                <w:color w:val="000000"/>
                <w:kern w:val="0"/>
                <w:sz w:val="18"/>
                <w:szCs w:val="18"/>
              </w:rPr>
              <w:t>）</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铅（</w:t>
            </w:r>
            <w:r>
              <w:rPr>
                <w:color w:val="000000"/>
                <w:kern w:val="0"/>
                <w:sz w:val="18"/>
                <w:szCs w:val="18"/>
              </w:rPr>
              <w:t>Pb</w:t>
            </w:r>
            <w:r>
              <w:rPr>
                <w:rFonts w:hAnsi="宋体"/>
                <w:color w:val="000000"/>
                <w:kern w:val="0"/>
                <w:sz w:val="18"/>
                <w:szCs w:val="18"/>
              </w:rPr>
              <w:t>）</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100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六价铬（</w:t>
            </w:r>
            <w:r>
              <w:rPr>
                <w:color w:val="000000"/>
                <w:kern w:val="0"/>
                <w:sz w:val="18"/>
                <w:szCs w:val="18"/>
              </w:rPr>
              <w:t>Cr</w:t>
            </w:r>
            <w:r>
              <w:rPr>
                <w:color w:val="000000"/>
                <w:kern w:val="0"/>
                <w:sz w:val="18"/>
                <w:szCs w:val="18"/>
                <w:vertAlign w:val="superscript"/>
              </w:rPr>
              <w:t>6+</w:t>
            </w:r>
            <w:r>
              <w:rPr>
                <w:rFonts w:hAnsi="宋体"/>
                <w:color w:val="000000"/>
                <w:kern w:val="0"/>
                <w:sz w:val="18"/>
                <w:szCs w:val="18"/>
              </w:rPr>
              <w:t>）</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bl>
    <w:p>
      <w:pPr>
        <w:pStyle w:val="50"/>
        <w:spacing w:before="120" w:after="120"/>
      </w:pPr>
      <w:r>
        <w:rPr>
          <w:rFonts w:hint="eastAsia"/>
        </w:rPr>
        <w:t>环境属性指标</w:t>
      </w:r>
    </w:p>
    <w:p>
      <w:pPr>
        <w:ind w:firstLine="420" w:firstLineChars="200"/>
        <w:rPr>
          <w:rFonts w:eastAsia="黑体"/>
          <w:bCs/>
        </w:rPr>
      </w:pPr>
      <w:r>
        <w:rPr>
          <w:rFonts w:hint="eastAsia" w:hAnsi="宋体"/>
        </w:rPr>
        <w:t>应符合表3要求，其中测试条件为正常生产工况</w:t>
      </w:r>
      <w:r>
        <w:rPr>
          <w:rFonts w:hAnsi="宋体"/>
        </w:rPr>
        <w:t>。</w:t>
      </w:r>
    </w:p>
    <w:p>
      <w:pPr>
        <w:pStyle w:val="92"/>
        <w:spacing w:before="120" w:after="120"/>
      </w:pPr>
      <w:r>
        <w:rPr>
          <w:rFonts w:hint="eastAsia"/>
        </w:rPr>
        <w:t>环境属性</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89"/>
        <w:gridCol w:w="2970"/>
        <w:gridCol w:w="988"/>
        <w:gridCol w:w="2121"/>
        <w:gridCol w:w="775"/>
        <w:gridCol w:w="7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989"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2970"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988"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2121"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775" w:type="dxa"/>
            <w:tcBorders>
              <w:top w:val="single" w:color="auto" w:sz="12" w:space="0"/>
              <w:bottom w:val="single" w:color="auto" w:sz="12" w:space="0"/>
              <w:right w:val="single" w:color="auto" w:sz="12" w:space="0"/>
            </w:tcBorders>
            <w:vAlign w:val="center"/>
          </w:tcPr>
          <w:p>
            <w:pPr>
              <w:widowControl/>
              <w:jc w:val="center"/>
              <w:rPr>
                <w:sz w:val="18"/>
                <w:szCs w:val="18"/>
              </w:rPr>
            </w:pPr>
            <w:r>
              <w:rPr>
                <w:rFonts w:hAnsi="宋体"/>
                <w:sz w:val="18"/>
                <w:szCs w:val="18"/>
              </w:rPr>
              <w:t>判定依据</w:t>
            </w:r>
          </w:p>
        </w:tc>
        <w:tc>
          <w:tcPr>
            <w:tcW w:w="777" w:type="dxa"/>
            <w:tcBorders>
              <w:top w:val="single" w:color="auto" w:sz="12" w:space="0"/>
              <w:bottom w:val="single" w:color="auto" w:sz="12" w:space="0"/>
              <w:right w:val="single" w:color="auto" w:sz="12" w:space="0"/>
            </w:tcBorders>
            <w:vAlign w:val="center"/>
          </w:tcPr>
          <w:p>
            <w:pPr>
              <w:widowControl/>
              <w:jc w:val="center"/>
              <w:rPr>
                <w:sz w:val="18"/>
                <w:szCs w:val="18"/>
              </w:rPr>
            </w:pPr>
            <w:r>
              <w:rPr>
                <w:rFonts w:hint="eastAsia"/>
                <w:sz w:val="18"/>
                <w:szCs w:val="18"/>
              </w:rPr>
              <w:t>所属生命周期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12"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p>
        </w:tc>
        <w:tc>
          <w:tcPr>
            <w:tcW w:w="989" w:type="dxa"/>
            <w:vMerge w:val="restart"/>
            <w:tcBorders>
              <w:top w:val="single" w:color="auto" w:sz="12" w:space="0"/>
              <w:bottom w:val="single" w:color="auto" w:sz="4" w:space="0"/>
            </w:tcBorders>
            <w:vAlign w:val="center"/>
          </w:tcPr>
          <w:p>
            <w:pPr>
              <w:jc w:val="center"/>
              <w:rPr>
                <w:color w:val="000000"/>
                <w:kern w:val="0"/>
                <w:sz w:val="18"/>
                <w:szCs w:val="18"/>
              </w:rPr>
            </w:pPr>
            <w:r>
              <w:rPr>
                <w:rFonts w:hAnsi="宋体"/>
                <w:color w:val="000000"/>
                <w:kern w:val="0"/>
                <w:sz w:val="18"/>
                <w:szCs w:val="18"/>
              </w:rPr>
              <w:t>环境属性</w:t>
            </w:r>
          </w:p>
        </w:tc>
        <w:tc>
          <w:tcPr>
            <w:tcW w:w="2970" w:type="dxa"/>
            <w:tcBorders>
              <w:top w:val="single" w:color="auto" w:sz="12"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单位产品废水产生量</w:t>
            </w:r>
          </w:p>
        </w:tc>
        <w:tc>
          <w:tcPr>
            <w:tcW w:w="988" w:type="dxa"/>
            <w:tcBorders>
              <w:top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m</w:t>
            </w:r>
            <w:r>
              <w:rPr>
                <w:rFonts w:hint="eastAsia"/>
                <w:color w:val="000000"/>
                <w:kern w:val="0"/>
                <w:sz w:val="18"/>
                <w:szCs w:val="18"/>
                <w:vertAlign w:val="superscript"/>
              </w:rPr>
              <w:t>3</w:t>
            </w:r>
            <w:r>
              <w:rPr>
                <w:color w:val="000000"/>
                <w:kern w:val="0"/>
                <w:sz w:val="18"/>
                <w:szCs w:val="18"/>
              </w:rPr>
              <w:t>/10</w:t>
            </w:r>
            <w:r>
              <w:rPr>
                <w:color w:val="000000"/>
                <w:kern w:val="0"/>
                <w:sz w:val="18"/>
                <w:szCs w:val="18"/>
                <w:vertAlign w:val="superscript"/>
              </w:rPr>
              <w:t>4</w:t>
            </w:r>
            <w:r>
              <w:rPr>
                <w:color w:val="000000"/>
                <w:kern w:val="0"/>
                <w:sz w:val="18"/>
                <w:szCs w:val="18"/>
              </w:rPr>
              <w:t>m</w:t>
            </w:r>
          </w:p>
        </w:tc>
        <w:tc>
          <w:tcPr>
            <w:tcW w:w="2121" w:type="dxa"/>
            <w:vMerge w:val="restart"/>
            <w:tcBorders>
              <w:top w:val="single" w:color="auto" w:sz="12" w:space="0"/>
              <w:bottom w:val="single" w:color="auto" w:sz="4" w:space="0"/>
            </w:tcBorders>
            <w:vAlign w:val="center"/>
          </w:tcPr>
          <w:p>
            <w:pPr>
              <w:jc w:val="left"/>
              <w:rPr>
                <w:color w:val="000000"/>
                <w:kern w:val="0"/>
                <w:sz w:val="18"/>
                <w:szCs w:val="18"/>
              </w:rPr>
            </w:pPr>
            <w:r>
              <w:rPr>
                <w:rFonts w:hAnsi="宋体"/>
                <w:color w:val="000000"/>
                <w:kern w:val="0"/>
                <w:sz w:val="18"/>
                <w:szCs w:val="18"/>
              </w:rPr>
              <w:t>符合《合成革行业清洁生产评价指标体系》中</w:t>
            </w:r>
            <w:r>
              <w:rPr>
                <w:rFonts w:hint="eastAsia" w:ascii="宋体" w:hAnsi="宋体"/>
                <w:color w:val="000000"/>
                <w:kern w:val="0"/>
                <w:sz w:val="18"/>
                <w:szCs w:val="18"/>
              </w:rPr>
              <w:t>Ⅰ</w:t>
            </w:r>
            <w:r>
              <w:rPr>
                <w:rFonts w:hAnsi="宋体"/>
                <w:color w:val="000000"/>
                <w:kern w:val="0"/>
                <w:sz w:val="18"/>
                <w:szCs w:val="18"/>
              </w:rPr>
              <w:t>级基准值要求</w:t>
            </w:r>
          </w:p>
        </w:tc>
        <w:tc>
          <w:tcPr>
            <w:tcW w:w="775" w:type="dxa"/>
            <w:tcBorders>
              <w:top w:val="single" w:color="auto" w:sz="12" w:space="0"/>
              <w:bottom w:val="single" w:color="auto" w:sz="4" w:space="0"/>
              <w:right w:val="single" w:color="auto" w:sz="12" w:space="0"/>
            </w:tcBorders>
            <w:vAlign w:val="center"/>
          </w:tcPr>
          <w:p>
            <w:pPr>
              <w:jc w:val="center"/>
              <w:rPr>
                <w:color w:val="000000"/>
                <w:kern w:val="0"/>
                <w:sz w:val="18"/>
                <w:szCs w:val="18"/>
              </w:rPr>
            </w:pPr>
            <w:r>
              <w:rPr>
                <w:rFonts w:hAnsi="宋体"/>
                <w:color w:val="000000"/>
                <w:kern w:val="0"/>
                <w:sz w:val="18"/>
                <w:szCs w:val="18"/>
              </w:rPr>
              <w:t>按附录</w:t>
            </w:r>
            <w:r>
              <w:rPr>
                <w:color w:val="000000"/>
                <w:kern w:val="0"/>
                <w:sz w:val="18"/>
                <w:szCs w:val="18"/>
              </w:rPr>
              <w:t>A.4</w:t>
            </w:r>
            <w:r>
              <w:rPr>
                <w:rFonts w:hAnsi="宋体"/>
                <w:color w:val="000000"/>
                <w:kern w:val="0"/>
                <w:sz w:val="18"/>
                <w:szCs w:val="18"/>
              </w:rPr>
              <w:t>计算，并提供证明材料</w:t>
            </w:r>
          </w:p>
        </w:tc>
        <w:tc>
          <w:tcPr>
            <w:tcW w:w="777" w:type="dxa"/>
            <w:vMerge w:val="restart"/>
            <w:tcBorders>
              <w:top w:val="single" w:color="auto" w:sz="12" w:space="0"/>
              <w:right w:val="single" w:color="auto" w:sz="12" w:space="0"/>
            </w:tcBorders>
            <w:vAlign w:val="center"/>
          </w:tcPr>
          <w:p>
            <w:pPr>
              <w:jc w:val="center"/>
              <w:rPr>
                <w:color w:val="000000"/>
                <w:kern w:val="0"/>
                <w:sz w:val="18"/>
                <w:szCs w:val="18"/>
              </w:rPr>
            </w:pPr>
            <w:r>
              <w:rPr>
                <w:color w:val="000000"/>
                <w:kern w:val="0"/>
                <w:sz w:val="18"/>
                <w:szCs w:val="18"/>
              </w:rPr>
              <w:t>产品</w:t>
            </w:r>
          </w:p>
          <w:p>
            <w:pPr>
              <w:jc w:val="center"/>
              <w:rPr>
                <w:color w:val="000000"/>
                <w:kern w:val="0"/>
                <w:sz w:val="18"/>
                <w:szCs w:val="18"/>
              </w:rPr>
            </w:pPr>
            <w:r>
              <w:rPr>
                <w:color w:val="000000"/>
                <w:kern w:val="0"/>
                <w:sz w:val="18"/>
                <w:szCs w:val="18"/>
              </w:rPr>
              <w:t>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2</w:t>
            </w:r>
          </w:p>
        </w:tc>
        <w:tc>
          <w:tcPr>
            <w:tcW w:w="989" w:type="dxa"/>
            <w:vMerge w:val="continue"/>
            <w:tcBorders>
              <w:top w:val="single" w:color="auto" w:sz="4" w:space="0"/>
              <w:bottom w:val="single" w:color="auto" w:sz="4" w:space="0"/>
            </w:tcBorders>
            <w:vAlign w:val="center"/>
          </w:tcPr>
          <w:p>
            <w:pPr>
              <w:jc w:val="left"/>
              <w:rPr>
                <w:color w:val="000000"/>
                <w:kern w:val="0"/>
                <w:sz w:val="18"/>
                <w:szCs w:val="18"/>
              </w:rPr>
            </w:pPr>
          </w:p>
        </w:tc>
        <w:tc>
          <w:tcPr>
            <w:tcW w:w="2970" w:type="dxa"/>
            <w:tcBorders>
              <w:top w:val="single" w:color="auto" w:sz="4" w:space="0"/>
              <w:bottom w:val="single" w:color="auto" w:sz="4" w:space="0"/>
            </w:tcBorders>
            <w:vAlign w:val="center"/>
          </w:tcPr>
          <w:p>
            <w:pPr>
              <w:jc w:val="left"/>
              <w:rPr>
                <w:color w:val="000000"/>
                <w:kern w:val="0"/>
                <w:sz w:val="18"/>
                <w:szCs w:val="18"/>
              </w:rPr>
            </w:pPr>
            <w:r>
              <w:rPr>
                <w:rFonts w:hAnsi="宋体"/>
                <w:color w:val="000000"/>
                <w:kern w:val="0"/>
                <w:sz w:val="18"/>
                <w:szCs w:val="18"/>
              </w:rPr>
              <w:t>单位产品化学需氧量产生量</w:t>
            </w:r>
          </w:p>
        </w:tc>
        <w:tc>
          <w:tcPr>
            <w:tcW w:w="988" w:type="dxa"/>
            <w:tcBorders>
              <w:top w:val="single" w:color="auto" w:sz="4" w:space="0"/>
              <w:bottom w:val="single" w:color="auto" w:sz="4" w:space="0"/>
            </w:tcBorders>
            <w:vAlign w:val="center"/>
          </w:tcPr>
          <w:p>
            <w:pPr>
              <w:jc w:val="center"/>
              <w:rPr>
                <w:color w:val="000000"/>
                <w:kern w:val="0"/>
                <w:sz w:val="18"/>
                <w:szCs w:val="18"/>
              </w:rPr>
            </w:pPr>
            <w:r>
              <w:rPr>
                <w:color w:val="000000"/>
                <w:kern w:val="0"/>
                <w:sz w:val="18"/>
                <w:szCs w:val="18"/>
              </w:rPr>
              <w:t>kg/10</w:t>
            </w:r>
            <w:r>
              <w:rPr>
                <w:color w:val="000000"/>
                <w:kern w:val="0"/>
                <w:sz w:val="18"/>
                <w:szCs w:val="18"/>
                <w:vertAlign w:val="superscript"/>
              </w:rPr>
              <w:t>4</w:t>
            </w:r>
            <w:r>
              <w:rPr>
                <w:color w:val="000000"/>
                <w:kern w:val="0"/>
                <w:sz w:val="18"/>
                <w:szCs w:val="18"/>
              </w:rPr>
              <w:t>m</w:t>
            </w:r>
          </w:p>
        </w:tc>
        <w:tc>
          <w:tcPr>
            <w:tcW w:w="2121" w:type="dxa"/>
            <w:vMerge w:val="continue"/>
            <w:tcBorders>
              <w:top w:val="single" w:color="auto" w:sz="4" w:space="0"/>
              <w:bottom w:val="single" w:color="auto" w:sz="4" w:space="0"/>
            </w:tcBorders>
            <w:vAlign w:val="center"/>
          </w:tcPr>
          <w:p>
            <w:pPr>
              <w:jc w:val="left"/>
              <w:rPr>
                <w:color w:val="000000"/>
                <w:kern w:val="0"/>
                <w:sz w:val="18"/>
                <w:szCs w:val="18"/>
              </w:rPr>
            </w:pPr>
          </w:p>
        </w:tc>
        <w:tc>
          <w:tcPr>
            <w:tcW w:w="775" w:type="dxa"/>
            <w:tcBorders>
              <w:top w:val="single" w:color="auto" w:sz="4" w:space="0"/>
              <w:bottom w:val="single" w:color="auto" w:sz="4" w:space="0"/>
              <w:right w:val="single" w:color="auto" w:sz="12" w:space="0"/>
            </w:tcBorders>
            <w:vAlign w:val="center"/>
          </w:tcPr>
          <w:p>
            <w:pPr>
              <w:jc w:val="center"/>
              <w:rPr>
                <w:sz w:val="18"/>
                <w:szCs w:val="18"/>
              </w:rPr>
            </w:pPr>
            <w:r>
              <w:rPr>
                <w:rFonts w:hAnsi="宋体"/>
                <w:color w:val="000000"/>
                <w:kern w:val="0"/>
                <w:sz w:val="18"/>
                <w:szCs w:val="18"/>
              </w:rPr>
              <w:t>按附录</w:t>
            </w:r>
            <w:r>
              <w:rPr>
                <w:color w:val="000000"/>
                <w:kern w:val="0"/>
                <w:sz w:val="18"/>
                <w:szCs w:val="18"/>
              </w:rPr>
              <w:t>A.5</w:t>
            </w:r>
            <w:r>
              <w:rPr>
                <w:rFonts w:hAnsi="宋体"/>
                <w:color w:val="000000"/>
                <w:kern w:val="0"/>
                <w:sz w:val="18"/>
                <w:szCs w:val="18"/>
              </w:rPr>
              <w:t>计算，并提供证明材料</w:t>
            </w:r>
          </w:p>
        </w:tc>
        <w:tc>
          <w:tcPr>
            <w:tcW w:w="777"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700" w:type="dxa"/>
            <w:tcBorders>
              <w:top w:val="single" w:color="auto" w:sz="4" w:space="0"/>
              <w:left w:val="single" w:color="auto" w:sz="12" w:space="0"/>
              <w:bottom w:val="single" w:color="auto" w:sz="12" w:space="0"/>
            </w:tcBorders>
            <w:vAlign w:val="center"/>
          </w:tcPr>
          <w:p>
            <w:pPr>
              <w:jc w:val="center"/>
              <w:rPr>
                <w:color w:val="000000"/>
                <w:kern w:val="0"/>
                <w:sz w:val="18"/>
                <w:szCs w:val="18"/>
              </w:rPr>
            </w:pPr>
            <w:r>
              <w:rPr>
                <w:color w:val="000000"/>
                <w:kern w:val="0"/>
                <w:sz w:val="18"/>
                <w:szCs w:val="18"/>
              </w:rPr>
              <w:t>3</w:t>
            </w:r>
          </w:p>
        </w:tc>
        <w:tc>
          <w:tcPr>
            <w:tcW w:w="989" w:type="dxa"/>
            <w:vMerge w:val="continue"/>
            <w:tcBorders>
              <w:top w:val="single" w:color="auto" w:sz="4" w:space="0"/>
              <w:bottom w:val="single" w:color="auto" w:sz="12" w:space="0"/>
            </w:tcBorders>
            <w:vAlign w:val="center"/>
          </w:tcPr>
          <w:p>
            <w:pPr>
              <w:jc w:val="left"/>
              <w:rPr>
                <w:color w:val="000000"/>
                <w:kern w:val="0"/>
                <w:sz w:val="18"/>
                <w:szCs w:val="18"/>
              </w:rPr>
            </w:pPr>
          </w:p>
        </w:tc>
        <w:tc>
          <w:tcPr>
            <w:tcW w:w="2970" w:type="dxa"/>
            <w:tcBorders>
              <w:top w:val="single" w:color="auto" w:sz="4" w:space="0"/>
              <w:bottom w:val="single" w:color="auto" w:sz="12" w:space="0"/>
            </w:tcBorders>
            <w:vAlign w:val="center"/>
          </w:tcPr>
          <w:p>
            <w:pPr>
              <w:jc w:val="left"/>
              <w:rPr>
                <w:color w:val="000000"/>
                <w:kern w:val="0"/>
                <w:sz w:val="18"/>
                <w:szCs w:val="18"/>
              </w:rPr>
            </w:pPr>
            <w:r>
              <w:rPr>
                <w:rFonts w:hAnsi="宋体"/>
                <w:color w:val="000000"/>
                <w:kern w:val="0"/>
                <w:sz w:val="18"/>
                <w:szCs w:val="18"/>
              </w:rPr>
              <w:t>单位产品挥发性有机物产生量</w:t>
            </w:r>
          </w:p>
        </w:tc>
        <w:tc>
          <w:tcPr>
            <w:tcW w:w="988" w:type="dxa"/>
            <w:tcBorders>
              <w:top w:val="single" w:color="auto" w:sz="4" w:space="0"/>
              <w:bottom w:val="single" w:color="auto" w:sz="12" w:space="0"/>
            </w:tcBorders>
            <w:vAlign w:val="center"/>
          </w:tcPr>
          <w:p>
            <w:pPr>
              <w:jc w:val="center"/>
              <w:rPr>
                <w:color w:val="000000"/>
                <w:kern w:val="0"/>
                <w:sz w:val="18"/>
                <w:szCs w:val="18"/>
              </w:rPr>
            </w:pPr>
            <w:r>
              <w:rPr>
                <w:color w:val="000000"/>
                <w:kern w:val="0"/>
                <w:sz w:val="18"/>
                <w:szCs w:val="18"/>
              </w:rPr>
              <w:t>kg/10</w:t>
            </w:r>
            <w:r>
              <w:rPr>
                <w:color w:val="000000"/>
                <w:kern w:val="0"/>
                <w:sz w:val="18"/>
                <w:szCs w:val="18"/>
                <w:vertAlign w:val="superscript"/>
              </w:rPr>
              <w:t>4</w:t>
            </w:r>
            <w:r>
              <w:rPr>
                <w:color w:val="000000"/>
                <w:kern w:val="0"/>
                <w:sz w:val="18"/>
                <w:szCs w:val="18"/>
              </w:rPr>
              <w:t>m</w:t>
            </w:r>
          </w:p>
        </w:tc>
        <w:tc>
          <w:tcPr>
            <w:tcW w:w="2121" w:type="dxa"/>
            <w:vMerge w:val="continue"/>
            <w:tcBorders>
              <w:top w:val="single" w:color="auto" w:sz="4" w:space="0"/>
              <w:bottom w:val="single" w:color="auto" w:sz="12" w:space="0"/>
            </w:tcBorders>
            <w:vAlign w:val="center"/>
          </w:tcPr>
          <w:p>
            <w:pPr>
              <w:jc w:val="left"/>
              <w:rPr>
                <w:color w:val="000000"/>
                <w:kern w:val="0"/>
                <w:sz w:val="18"/>
                <w:szCs w:val="18"/>
              </w:rPr>
            </w:pPr>
          </w:p>
        </w:tc>
        <w:tc>
          <w:tcPr>
            <w:tcW w:w="775" w:type="dxa"/>
            <w:tcBorders>
              <w:top w:val="single" w:color="auto" w:sz="4" w:space="0"/>
              <w:bottom w:val="single" w:color="auto" w:sz="12" w:space="0"/>
              <w:right w:val="single" w:color="auto" w:sz="12" w:space="0"/>
            </w:tcBorders>
            <w:vAlign w:val="center"/>
          </w:tcPr>
          <w:p>
            <w:pPr>
              <w:jc w:val="center"/>
              <w:rPr>
                <w:sz w:val="18"/>
                <w:szCs w:val="18"/>
              </w:rPr>
            </w:pPr>
            <w:r>
              <w:rPr>
                <w:rFonts w:hAnsi="宋体"/>
                <w:color w:val="000000"/>
                <w:kern w:val="0"/>
                <w:sz w:val="18"/>
                <w:szCs w:val="18"/>
              </w:rPr>
              <w:t>按附录</w:t>
            </w:r>
            <w:r>
              <w:rPr>
                <w:color w:val="000000"/>
                <w:kern w:val="0"/>
                <w:sz w:val="18"/>
                <w:szCs w:val="18"/>
              </w:rPr>
              <w:t>A.6</w:t>
            </w:r>
            <w:r>
              <w:rPr>
                <w:rFonts w:hAnsi="宋体"/>
                <w:color w:val="000000"/>
                <w:kern w:val="0"/>
                <w:sz w:val="18"/>
                <w:szCs w:val="18"/>
              </w:rPr>
              <w:t>计算，并提供证明材料</w:t>
            </w:r>
          </w:p>
        </w:tc>
        <w:tc>
          <w:tcPr>
            <w:tcW w:w="777" w:type="dxa"/>
            <w:vMerge w:val="continue"/>
            <w:tcBorders>
              <w:bottom w:val="single" w:color="auto" w:sz="12" w:space="0"/>
              <w:right w:val="single" w:color="auto" w:sz="12" w:space="0"/>
            </w:tcBorders>
            <w:vAlign w:val="center"/>
          </w:tcPr>
          <w:p>
            <w:pPr>
              <w:jc w:val="center"/>
              <w:rPr>
                <w:sz w:val="18"/>
                <w:szCs w:val="18"/>
              </w:rPr>
            </w:pPr>
          </w:p>
        </w:tc>
      </w:tr>
    </w:tbl>
    <w:p>
      <w:pPr>
        <w:pStyle w:val="50"/>
        <w:spacing w:before="120" w:after="120"/>
      </w:pPr>
      <w:r>
        <w:rPr>
          <w:rFonts w:hint="eastAsia"/>
        </w:rPr>
        <w:t>品质属性指标</w:t>
      </w:r>
    </w:p>
    <w:p>
      <w:pPr>
        <w:ind w:firstLine="420"/>
      </w:pPr>
      <w:r>
        <w:rPr>
          <w:rFonts w:hint="eastAsia"/>
        </w:rPr>
        <w:t>应符合表</w:t>
      </w:r>
      <w:r>
        <w:t>4要求</w:t>
      </w:r>
      <w:r>
        <w:rPr>
          <w:rFonts w:hint="eastAsia"/>
        </w:rPr>
        <w:t>。</w:t>
      </w:r>
    </w:p>
    <w:p>
      <w:pPr>
        <w:pStyle w:val="92"/>
        <w:spacing w:before="120" w:after="120"/>
      </w:pPr>
      <w:r>
        <w:rPr>
          <w:rFonts w:hint="eastAsia"/>
        </w:rPr>
        <w:t>品质属性</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05"/>
        <w:gridCol w:w="1560"/>
        <w:gridCol w:w="425"/>
        <w:gridCol w:w="1413"/>
        <w:gridCol w:w="854"/>
        <w:gridCol w:w="1130"/>
        <w:gridCol w:w="1838"/>
        <w:gridCol w:w="9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705"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3398" w:type="dxa"/>
            <w:gridSpan w:val="3"/>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854"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1130"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1838" w:type="dxa"/>
            <w:tcBorders>
              <w:top w:val="single" w:color="auto" w:sz="12" w:space="0"/>
              <w:bottom w:val="single" w:color="auto" w:sz="12" w:space="0"/>
              <w:right w:val="single" w:color="auto" w:sz="12" w:space="0"/>
            </w:tcBorders>
            <w:vAlign w:val="center"/>
          </w:tcPr>
          <w:p>
            <w:pPr>
              <w:widowControl/>
              <w:jc w:val="center"/>
              <w:rPr>
                <w:color w:val="000000"/>
                <w:kern w:val="0"/>
                <w:sz w:val="18"/>
                <w:szCs w:val="18"/>
              </w:rPr>
            </w:pPr>
            <w:r>
              <w:rPr>
                <w:rFonts w:hAnsi="宋体"/>
                <w:color w:val="000000"/>
                <w:kern w:val="0"/>
                <w:sz w:val="18"/>
                <w:szCs w:val="18"/>
              </w:rPr>
              <w:t>判定依据</w:t>
            </w:r>
          </w:p>
        </w:tc>
        <w:tc>
          <w:tcPr>
            <w:tcW w:w="988" w:type="dxa"/>
            <w:tcBorders>
              <w:top w:val="single" w:color="auto" w:sz="12" w:space="0"/>
              <w:bottom w:val="single" w:color="auto" w:sz="12"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12" w:space="0"/>
              <w:left w:val="single" w:color="auto" w:sz="12" w:space="0"/>
              <w:bottom w:val="single" w:color="auto" w:sz="8" w:space="0"/>
            </w:tcBorders>
            <w:vAlign w:val="center"/>
          </w:tcPr>
          <w:p>
            <w:pPr>
              <w:widowControl/>
              <w:jc w:val="center"/>
              <w:rPr>
                <w:rFonts w:hAnsi="宋体"/>
                <w:color w:val="000000"/>
                <w:kern w:val="0"/>
                <w:sz w:val="18"/>
                <w:szCs w:val="18"/>
              </w:rPr>
            </w:pPr>
            <w:r>
              <w:rPr>
                <w:rFonts w:hint="eastAsia" w:hAnsi="宋体"/>
                <w:color w:val="000000"/>
                <w:kern w:val="0"/>
                <w:sz w:val="18"/>
                <w:szCs w:val="18"/>
              </w:rPr>
              <w:t>1</w:t>
            </w:r>
          </w:p>
        </w:tc>
        <w:tc>
          <w:tcPr>
            <w:tcW w:w="705" w:type="dxa"/>
            <w:vMerge w:val="restart"/>
            <w:tcBorders>
              <w:top w:val="single" w:color="auto" w:sz="12" w:space="0"/>
            </w:tcBorders>
            <w:vAlign w:val="center"/>
          </w:tcPr>
          <w:p>
            <w:pPr>
              <w:jc w:val="center"/>
              <w:rPr>
                <w:rFonts w:hAnsi="宋体"/>
                <w:color w:val="000000"/>
                <w:kern w:val="0"/>
                <w:sz w:val="18"/>
                <w:szCs w:val="18"/>
              </w:rPr>
            </w:pPr>
            <w:r>
              <w:rPr>
                <w:rFonts w:hAnsi="宋体"/>
                <w:color w:val="000000"/>
                <w:kern w:val="0"/>
                <w:sz w:val="18"/>
                <w:szCs w:val="18"/>
              </w:rPr>
              <w:t>品质属性</w:t>
            </w:r>
          </w:p>
        </w:tc>
        <w:tc>
          <w:tcPr>
            <w:tcW w:w="3398" w:type="dxa"/>
            <w:gridSpan w:val="3"/>
            <w:tcBorders>
              <w:top w:val="single" w:color="auto" w:sz="12" w:space="0"/>
              <w:bottom w:val="single" w:color="auto" w:sz="8" w:space="0"/>
            </w:tcBorders>
            <w:vAlign w:val="center"/>
          </w:tcPr>
          <w:p>
            <w:pPr>
              <w:widowControl/>
              <w:jc w:val="center"/>
              <w:rPr>
                <w:rFonts w:hAnsi="宋体"/>
                <w:color w:val="000000"/>
                <w:kern w:val="0"/>
                <w:sz w:val="18"/>
                <w:szCs w:val="18"/>
              </w:rPr>
            </w:pPr>
            <w:r>
              <w:rPr>
                <w:rFonts w:hint="eastAsia" w:hAnsi="宋体"/>
                <w:color w:val="000000"/>
                <w:kern w:val="0"/>
                <w:sz w:val="18"/>
                <w:szCs w:val="18"/>
              </w:rPr>
              <w:t>阻燃性</w:t>
            </w:r>
          </w:p>
        </w:tc>
        <w:tc>
          <w:tcPr>
            <w:tcW w:w="854" w:type="dxa"/>
            <w:tcBorders>
              <w:top w:val="single" w:color="auto" w:sz="12" w:space="0"/>
              <w:bottom w:val="single" w:color="auto" w:sz="8" w:space="0"/>
            </w:tcBorders>
            <w:vAlign w:val="center"/>
          </w:tcPr>
          <w:p>
            <w:pPr>
              <w:widowControl/>
              <w:jc w:val="center"/>
              <w:rPr>
                <w:rFonts w:hAnsi="宋体"/>
                <w:color w:val="000000"/>
                <w:kern w:val="0"/>
                <w:sz w:val="18"/>
                <w:szCs w:val="18"/>
              </w:rPr>
            </w:pPr>
            <w:r>
              <w:rPr>
                <w:rFonts w:hint="eastAsia" w:hAnsi="宋体"/>
                <w:color w:val="000000"/>
                <w:kern w:val="0"/>
                <w:sz w:val="18"/>
                <w:szCs w:val="18"/>
              </w:rPr>
              <w:t>mm/min</w:t>
            </w:r>
          </w:p>
        </w:tc>
        <w:tc>
          <w:tcPr>
            <w:tcW w:w="1130" w:type="dxa"/>
            <w:tcBorders>
              <w:top w:val="single" w:color="auto" w:sz="12" w:space="0"/>
              <w:bottom w:val="single" w:color="auto" w:sz="8" w:space="0"/>
            </w:tcBorders>
            <w:vAlign w:val="center"/>
          </w:tcPr>
          <w:p>
            <w:pPr>
              <w:widowControl/>
              <w:jc w:val="center"/>
              <w:rPr>
                <w:rFonts w:hAnsi="宋体"/>
                <w:color w:val="000000"/>
                <w:kern w:val="0"/>
                <w:sz w:val="18"/>
                <w:szCs w:val="18"/>
              </w:rPr>
            </w:pPr>
            <w:r>
              <w:rPr>
                <w:rFonts w:hint="eastAsia" w:ascii="宋体" w:hAnsi="宋体"/>
                <w:sz w:val="18"/>
                <w:szCs w:val="18"/>
              </w:rPr>
              <w:t>≤100</w:t>
            </w:r>
          </w:p>
        </w:tc>
        <w:tc>
          <w:tcPr>
            <w:tcW w:w="1838" w:type="dxa"/>
            <w:tcBorders>
              <w:top w:val="single" w:color="auto" w:sz="12"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 8410</w:t>
            </w:r>
            <w:r>
              <w:rPr>
                <w:rFonts w:hint="eastAsia" w:hAnsi="宋体"/>
                <w:sz w:val="18"/>
                <w:szCs w:val="18"/>
              </w:rPr>
              <w:t>检测并提供检测报告</w:t>
            </w:r>
          </w:p>
        </w:tc>
        <w:tc>
          <w:tcPr>
            <w:tcW w:w="988" w:type="dxa"/>
            <w:vMerge w:val="restart"/>
            <w:tcBorders>
              <w:top w:val="single" w:color="auto" w:sz="12" w:space="0"/>
              <w:right w:val="single" w:color="auto" w:sz="12" w:space="0"/>
            </w:tcBorders>
            <w:vAlign w:val="center"/>
          </w:tcPr>
          <w:p>
            <w:pPr>
              <w:widowControl/>
              <w:jc w:val="center"/>
              <w:rPr>
                <w:rFonts w:hAnsi="宋体"/>
                <w:color w:val="000000"/>
                <w:kern w:val="0"/>
                <w:sz w:val="18"/>
                <w:szCs w:val="18"/>
              </w:rPr>
            </w:pPr>
            <w:r>
              <w:rPr>
                <w:rFonts w:hint="eastAsia" w:hAnsi="宋体"/>
                <w:color w:val="000000"/>
                <w:kern w:val="0"/>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color w:val="000000"/>
                <w:kern w:val="0"/>
                <w:sz w:val="18"/>
                <w:szCs w:val="18"/>
                <w:lang w:val="en-US" w:eastAsia="zh-CN"/>
              </w:rPr>
            </w:pPr>
            <w:r>
              <w:rPr>
                <w:rFonts w:hint="eastAsia" w:hAnsi="宋体"/>
                <w:color w:val="000000"/>
                <w:kern w:val="0"/>
                <w:sz w:val="18"/>
                <w:szCs w:val="18"/>
                <w:lang w:val="en-US" w:eastAsia="zh-CN"/>
              </w:rPr>
              <w:t>2</w:t>
            </w:r>
          </w:p>
        </w:tc>
        <w:tc>
          <w:tcPr>
            <w:tcW w:w="705" w:type="dxa"/>
            <w:vMerge w:val="continue"/>
            <w:vAlign w:val="center"/>
          </w:tcPr>
          <w:p>
            <w:pPr>
              <w:jc w:val="center"/>
              <w:rPr>
                <w:rFonts w:hAnsi="宋体"/>
                <w:color w:val="000000"/>
                <w:kern w:val="0"/>
                <w:sz w:val="18"/>
                <w:szCs w:val="18"/>
              </w:rPr>
            </w:pPr>
          </w:p>
        </w:tc>
        <w:tc>
          <w:tcPr>
            <w:tcW w:w="3398" w:type="dxa"/>
            <w:gridSpan w:val="3"/>
            <w:tcBorders>
              <w:top w:val="single" w:color="auto" w:sz="8" w:space="0"/>
              <w:bottom w:val="single" w:color="auto" w:sz="8"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防霉</w:t>
            </w:r>
            <w:r>
              <w:rPr>
                <w:rFonts w:hAnsi="宋体"/>
                <w:kern w:val="0"/>
                <w:sz w:val="18"/>
                <w:szCs w:val="18"/>
                <w:highlight w:val="none"/>
              </w:rPr>
              <w:t>性</w:t>
            </w:r>
          </w:p>
        </w:tc>
        <w:tc>
          <w:tcPr>
            <w:tcW w:w="854" w:type="dxa"/>
            <w:tcBorders>
              <w:top w:val="single" w:color="auto" w:sz="8" w:space="0"/>
              <w:bottom w:val="single" w:color="auto" w:sz="8"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级</w:t>
            </w:r>
          </w:p>
        </w:tc>
        <w:tc>
          <w:tcPr>
            <w:tcW w:w="1130" w:type="dxa"/>
            <w:tcBorders>
              <w:top w:val="single" w:color="auto" w:sz="8" w:space="0"/>
              <w:bottom w:val="single" w:color="auto" w:sz="8" w:space="0"/>
            </w:tcBorders>
            <w:vAlign w:val="center"/>
          </w:tcPr>
          <w:p>
            <w:pPr>
              <w:widowControl/>
              <w:jc w:val="center"/>
              <w:rPr>
                <w:rFonts w:ascii="宋体" w:hAnsi="宋体"/>
                <w:sz w:val="18"/>
                <w:szCs w:val="18"/>
                <w:highlight w:val="none"/>
              </w:rPr>
            </w:pPr>
            <w:r>
              <w:rPr>
                <w:rFonts w:hint="eastAsia" w:ascii="宋体" w:hAnsi="宋体"/>
                <w:sz w:val="18"/>
                <w:szCs w:val="18"/>
                <w:highlight w:val="none"/>
              </w:rPr>
              <w:t>≤1</w:t>
            </w:r>
          </w:p>
        </w:tc>
        <w:tc>
          <w:tcPr>
            <w:tcW w:w="1838" w:type="dxa"/>
            <w:tcBorders>
              <w:top w:val="single" w:color="auto" w:sz="8" w:space="0"/>
              <w:bottom w:val="single" w:color="auto" w:sz="8" w:space="0"/>
              <w:right w:val="single" w:color="auto" w:sz="12" w:space="0"/>
            </w:tcBorders>
            <w:vAlign w:val="center"/>
          </w:tcPr>
          <w:p>
            <w:pPr>
              <w:jc w:val="center"/>
              <w:rPr>
                <w:rFonts w:hAnsi="宋体"/>
                <w:sz w:val="18"/>
                <w:szCs w:val="18"/>
                <w:highlight w:val="none"/>
              </w:rPr>
            </w:pPr>
            <w:r>
              <w:rPr>
                <w:rFonts w:hint="eastAsia" w:hAnsi="宋体"/>
                <w:sz w:val="18"/>
                <w:szCs w:val="18"/>
                <w:highlight w:val="none"/>
              </w:rPr>
              <w:t>按</w:t>
            </w:r>
            <w:r>
              <w:rPr>
                <w:rFonts w:hAnsi="宋体"/>
                <w:sz w:val="18"/>
                <w:szCs w:val="18"/>
                <w:highlight w:val="none"/>
              </w:rPr>
              <w:t>QB/T4341-2012</w:t>
            </w:r>
            <w:r>
              <w:rPr>
                <w:rFonts w:hint="eastAsia" w:hAnsi="宋体"/>
                <w:sz w:val="18"/>
                <w:szCs w:val="18"/>
                <w:highlight w:val="none"/>
              </w:rPr>
              <w:t>的规定进行试验并提供检测报告</w:t>
            </w:r>
          </w:p>
        </w:tc>
        <w:tc>
          <w:tcPr>
            <w:tcW w:w="988" w:type="dxa"/>
            <w:vMerge w:val="continue"/>
            <w:tcBorders>
              <w:right w:val="single" w:color="auto" w:sz="12" w:space="0"/>
            </w:tcBorders>
            <w:vAlign w:val="center"/>
          </w:tcPr>
          <w:p>
            <w:pPr>
              <w:widowControl/>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color w:val="000000"/>
                <w:kern w:val="0"/>
                <w:sz w:val="18"/>
                <w:szCs w:val="18"/>
                <w:lang w:val="en-US" w:eastAsia="zh-CN"/>
              </w:rPr>
            </w:pPr>
            <w:r>
              <w:rPr>
                <w:rFonts w:hint="eastAsia" w:hAnsi="宋体"/>
                <w:color w:val="000000"/>
                <w:kern w:val="0"/>
                <w:sz w:val="18"/>
                <w:szCs w:val="18"/>
                <w:lang w:val="en-US" w:eastAsia="zh-CN"/>
              </w:rPr>
              <w:t>3</w:t>
            </w:r>
          </w:p>
        </w:tc>
        <w:tc>
          <w:tcPr>
            <w:tcW w:w="705" w:type="dxa"/>
            <w:vMerge w:val="continue"/>
            <w:vAlign w:val="center"/>
          </w:tcPr>
          <w:p>
            <w:pPr>
              <w:jc w:val="center"/>
              <w:rPr>
                <w:rFonts w:hAnsi="宋体"/>
                <w:color w:val="000000"/>
                <w:kern w:val="0"/>
                <w:sz w:val="18"/>
                <w:szCs w:val="18"/>
              </w:rPr>
            </w:pPr>
          </w:p>
        </w:tc>
        <w:tc>
          <w:tcPr>
            <w:tcW w:w="3398" w:type="dxa"/>
            <w:gridSpan w:val="3"/>
            <w:tcBorders>
              <w:top w:val="single" w:color="auto" w:sz="8" w:space="0"/>
              <w:bottom w:val="single" w:color="auto" w:sz="8"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耐</w:t>
            </w:r>
            <w:r>
              <w:rPr>
                <w:rFonts w:hAnsi="宋体"/>
                <w:kern w:val="0"/>
                <w:sz w:val="18"/>
                <w:szCs w:val="18"/>
                <w:highlight w:val="none"/>
              </w:rPr>
              <w:t>盐雾性</w:t>
            </w:r>
          </w:p>
        </w:tc>
        <w:tc>
          <w:tcPr>
            <w:tcW w:w="854" w:type="dxa"/>
            <w:tcBorders>
              <w:top w:val="single" w:color="auto" w:sz="8" w:space="0"/>
              <w:bottom w:val="single" w:color="auto" w:sz="8"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级</w:t>
            </w:r>
          </w:p>
        </w:tc>
        <w:tc>
          <w:tcPr>
            <w:tcW w:w="1130" w:type="dxa"/>
            <w:tcBorders>
              <w:top w:val="single" w:color="auto" w:sz="8" w:space="0"/>
              <w:bottom w:val="single" w:color="auto" w:sz="8" w:space="0"/>
            </w:tcBorders>
            <w:vAlign w:val="center"/>
          </w:tcPr>
          <w:p>
            <w:pPr>
              <w:widowControl/>
              <w:jc w:val="center"/>
              <w:rPr>
                <w:rFonts w:ascii="宋体" w:hAnsi="宋体"/>
                <w:sz w:val="18"/>
                <w:szCs w:val="18"/>
                <w:highlight w:val="none"/>
              </w:rPr>
            </w:pPr>
            <w:r>
              <w:rPr>
                <w:rFonts w:hint="eastAsia" w:ascii="宋体" w:hAnsi="宋体"/>
                <w:sz w:val="18"/>
                <w:szCs w:val="18"/>
                <w:highlight w:val="none"/>
              </w:rPr>
              <w:t>≥4</w:t>
            </w:r>
          </w:p>
        </w:tc>
        <w:tc>
          <w:tcPr>
            <w:tcW w:w="1838" w:type="dxa"/>
            <w:tcBorders>
              <w:top w:val="single" w:color="auto" w:sz="8" w:space="0"/>
              <w:bottom w:val="single" w:color="auto" w:sz="8" w:space="0"/>
              <w:right w:val="single" w:color="auto" w:sz="12" w:space="0"/>
            </w:tcBorders>
            <w:vAlign w:val="center"/>
          </w:tcPr>
          <w:p>
            <w:pPr>
              <w:jc w:val="center"/>
              <w:rPr>
                <w:rFonts w:hAnsi="宋体"/>
                <w:sz w:val="18"/>
                <w:szCs w:val="18"/>
                <w:highlight w:val="none"/>
              </w:rPr>
            </w:pPr>
            <w:r>
              <w:rPr>
                <w:rFonts w:hint="eastAsia" w:hAnsi="宋体"/>
                <w:sz w:val="18"/>
                <w:szCs w:val="18"/>
                <w:highlight w:val="none"/>
              </w:rPr>
              <w:t>按</w:t>
            </w:r>
            <w:r>
              <w:rPr>
                <w:rFonts w:hAnsi="宋体"/>
                <w:sz w:val="18"/>
                <w:szCs w:val="18"/>
                <w:highlight w:val="none"/>
              </w:rPr>
              <w:t>CB/T1771-2007</w:t>
            </w:r>
            <w:r>
              <w:rPr>
                <w:rFonts w:hint="eastAsia" w:hAnsi="宋体"/>
                <w:sz w:val="18"/>
                <w:szCs w:val="18"/>
                <w:highlight w:val="none"/>
              </w:rPr>
              <w:t>的规定进行试验</w:t>
            </w:r>
            <w:r>
              <w:rPr>
                <w:rFonts w:hAnsi="宋体"/>
                <w:sz w:val="18"/>
                <w:szCs w:val="18"/>
                <w:highlight w:val="none"/>
              </w:rPr>
              <w:t>,</w:t>
            </w:r>
            <w:r>
              <w:rPr>
                <w:rFonts w:hint="eastAsia" w:hAnsi="宋体"/>
                <w:sz w:val="18"/>
                <w:szCs w:val="18"/>
                <w:highlight w:val="none"/>
              </w:rPr>
              <w:t>其屮测试周期为</w:t>
            </w:r>
            <w:r>
              <w:rPr>
                <w:rFonts w:hAnsi="宋体"/>
                <w:sz w:val="18"/>
                <w:szCs w:val="18"/>
                <w:highlight w:val="none"/>
              </w:rPr>
              <w:t>24h</w:t>
            </w:r>
            <w:r>
              <w:rPr>
                <w:rFonts w:hint="eastAsia" w:hAnsi="宋体"/>
                <w:sz w:val="18"/>
                <w:szCs w:val="18"/>
                <w:highlight w:val="none"/>
              </w:rPr>
              <w:t>并提供检测报告</w:t>
            </w:r>
            <w:r>
              <w:rPr>
                <w:rFonts w:hAnsi="宋体"/>
                <w:sz w:val="18"/>
                <w:szCs w:val="18"/>
                <w:highlight w:val="none"/>
              </w:rPr>
              <w:t>.</w:t>
            </w:r>
          </w:p>
        </w:tc>
        <w:tc>
          <w:tcPr>
            <w:tcW w:w="988" w:type="dxa"/>
            <w:vMerge w:val="continue"/>
            <w:tcBorders>
              <w:right w:val="single" w:color="auto" w:sz="12" w:space="0"/>
            </w:tcBorders>
            <w:vAlign w:val="center"/>
          </w:tcPr>
          <w:p>
            <w:pPr>
              <w:widowControl/>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color w:val="000000"/>
                <w:kern w:val="0"/>
                <w:sz w:val="18"/>
                <w:szCs w:val="18"/>
                <w:lang w:val="en-US" w:eastAsia="zh-CN"/>
              </w:rPr>
            </w:pPr>
            <w:r>
              <w:rPr>
                <w:rFonts w:hint="eastAsia" w:hAnsi="宋体"/>
                <w:color w:val="000000"/>
                <w:kern w:val="0"/>
                <w:sz w:val="18"/>
                <w:szCs w:val="18"/>
                <w:lang w:val="en-US" w:eastAsia="zh-CN"/>
              </w:rPr>
              <w:t>4</w:t>
            </w:r>
          </w:p>
        </w:tc>
        <w:tc>
          <w:tcPr>
            <w:tcW w:w="705" w:type="dxa"/>
            <w:vMerge w:val="continue"/>
            <w:vAlign w:val="center"/>
          </w:tcPr>
          <w:p>
            <w:pPr>
              <w:jc w:val="center"/>
              <w:rPr>
                <w:rFonts w:hAnsi="宋体"/>
                <w:color w:val="000000"/>
                <w:kern w:val="0"/>
                <w:sz w:val="18"/>
                <w:szCs w:val="18"/>
              </w:rPr>
            </w:pPr>
          </w:p>
        </w:tc>
        <w:tc>
          <w:tcPr>
            <w:tcW w:w="3398" w:type="dxa"/>
            <w:gridSpan w:val="3"/>
            <w:tcBorders>
              <w:top w:val="single" w:color="auto" w:sz="8" w:space="0"/>
              <w:bottom w:val="single" w:color="auto" w:sz="8"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烟</w:t>
            </w:r>
            <w:r>
              <w:rPr>
                <w:rFonts w:hAnsi="宋体"/>
                <w:kern w:val="0"/>
                <w:sz w:val="18"/>
                <w:szCs w:val="18"/>
                <w:highlight w:val="none"/>
              </w:rPr>
              <w:t>密度等级</w:t>
            </w:r>
          </w:p>
        </w:tc>
        <w:tc>
          <w:tcPr>
            <w:tcW w:w="854" w:type="dxa"/>
            <w:tcBorders>
              <w:top w:val="single" w:color="auto" w:sz="8" w:space="0"/>
              <w:bottom w:val="single" w:color="auto" w:sz="8"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w:t>
            </w:r>
          </w:p>
        </w:tc>
        <w:tc>
          <w:tcPr>
            <w:tcW w:w="1130" w:type="dxa"/>
            <w:tcBorders>
              <w:top w:val="single" w:color="auto" w:sz="8" w:space="0"/>
              <w:bottom w:val="single" w:color="auto" w:sz="8" w:space="0"/>
            </w:tcBorders>
            <w:vAlign w:val="center"/>
          </w:tcPr>
          <w:p>
            <w:pPr>
              <w:widowControl/>
              <w:jc w:val="center"/>
              <w:rPr>
                <w:rFonts w:ascii="宋体" w:hAnsi="宋体"/>
                <w:sz w:val="18"/>
                <w:szCs w:val="18"/>
                <w:highlight w:val="none"/>
              </w:rPr>
            </w:pPr>
            <w:r>
              <w:rPr>
                <w:rFonts w:hint="eastAsia" w:ascii="宋体" w:hAnsi="宋体"/>
                <w:sz w:val="18"/>
                <w:szCs w:val="18"/>
                <w:highlight w:val="none"/>
              </w:rPr>
              <w:t>≤70</w:t>
            </w:r>
          </w:p>
        </w:tc>
        <w:tc>
          <w:tcPr>
            <w:tcW w:w="1838" w:type="dxa"/>
            <w:tcBorders>
              <w:top w:val="single" w:color="auto" w:sz="8" w:space="0"/>
              <w:bottom w:val="single" w:color="auto" w:sz="8" w:space="0"/>
              <w:right w:val="single" w:color="auto" w:sz="12" w:space="0"/>
            </w:tcBorders>
            <w:vAlign w:val="center"/>
          </w:tcPr>
          <w:p>
            <w:pPr>
              <w:jc w:val="center"/>
              <w:rPr>
                <w:rFonts w:hAnsi="宋体"/>
                <w:sz w:val="18"/>
                <w:szCs w:val="18"/>
                <w:highlight w:val="none"/>
              </w:rPr>
            </w:pPr>
            <w:r>
              <w:rPr>
                <w:rFonts w:hint="eastAsia" w:hAnsi="宋体"/>
                <w:sz w:val="18"/>
                <w:szCs w:val="18"/>
                <w:highlight w:val="none"/>
              </w:rPr>
              <w:t>按</w:t>
            </w:r>
            <w:r>
              <w:rPr>
                <w:rFonts w:hAnsi="宋体"/>
                <w:sz w:val="18"/>
                <w:szCs w:val="18"/>
                <w:highlight w:val="none"/>
              </w:rPr>
              <w:t>GB/T8627-2007</w:t>
            </w:r>
            <w:r>
              <w:rPr>
                <w:rFonts w:hint="eastAsia" w:hAnsi="宋体"/>
                <w:sz w:val="18"/>
                <w:szCs w:val="18"/>
                <w:highlight w:val="none"/>
              </w:rPr>
              <w:t>的规定进行试验并提供检测报告</w:t>
            </w:r>
          </w:p>
        </w:tc>
        <w:tc>
          <w:tcPr>
            <w:tcW w:w="988" w:type="dxa"/>
            <w:vMerge w:val="continue"/>
            <w:tcBorders>
              <w:right w:val="single" w:color="auto" w:sz="12" w:space="0"/>
            </w:tcBorders>
            <w:vAlign w:val="center"/>
          </w:tcPr>
          <w:p>
            <w:pPr>
              <w:widowControl/>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color w:val="000000"/>
                <w:kern w:val="0"/>
                <w:sz w:val="18"/>
                <w:szCs w:val="18"/>
                <w:lang w:val="en-US" w:eastAsia="zh-CN"/>
              </w:rPr>
            </w:pPr>
            <w:r>
              <w:rPr>
                <w:rFonts w:hint="eastAsia" w:hAnsi="宋体"/>
                <w:color w:val="000000"/>
                <w:kern w:val="0"/>
                <w:sz w:val="18"/>
                <w:szCs w:val="18"/>
                <w:lang w:val="en-US" w:eastAsia="zh-CN"/>
              </w:rPr>
              <w:t>5</w:t>
            </w:r>
          </w:p>
        </w:tc>
        <w:tc>
          <w:tcPr>
            <w:tcW w:w="705" w:type="dxa"/>
            <w:vMerge w:val="continue"/>
            <w:vAlign w:val="center"/>
          </w:tcPr>
          <w:p>
            <w:pPr>
              <w:widowControl/>
              <w:jc w:val="center"/>
              <w:rPr>
                <w:rFonts w:hAnsi="宋体"/>
                <w:color w:val="000000"/>
                <w:kern w:val="0"/>
                <w:sz w:val="18"/>
                <w:szCs w:val="18"/>
              </w:rPr>
            </w:pPr>
          </w:p>
        </w:tc>
        <w:tc>
          <w:tcPr>
            <w:tcW w:w="3398" w:type="dxa"/>
            <w:gridSpan w:val="3"/>
            <w:tcBorders>
              <w:top w:val="single" w:color="auto" w:sz="8" w:space="0"/>
              <w:bottom w:val="single" w:color="auto" w:sz="8" w:space="0"/>
            </w:tcBorders>
            <w:vAlign w:val="center"/>
          </w:tcPr>
          <w:p>
            <w:pPr>
              <w:ind w:right="25" w:rightChars="12"/>
              <w:jc w:val="center"/>
              <w:rPr>
                <w:sz w:val="18"/>
                <w:szCs w:val="18"/>
                <w:highlight w:val="none"/>
              </w:rPr>
            </w:pPr>
            <w:r>
              <w:rPr>
                <w:rFonts w:hint="eastAsia" w:ascii="宋体" w:hAnsi="宋体"/>
                <w:sz w:val="18"/>
                <w:szCs w:val="18"/>
                <w:highlight w:val="none"/>
              </w:rPr>
              <w:t>气味</w:t>
            </w:r>
          </w:p>
        </w:tc>
        <w:tc>
          <w:tcPr>
            <w:tcW w:w="854" w:type="dxa"/>
            <w:tcBorders>
              <w:top w:val="single" w:color="auto" w:sz="8" w:space="0"/>
              <w:bottom w:val="single" w:color="auto" w:sz="8" w:space="0"/>
            </w:tcBorders>
            <w:vAlign w:val="center"/>
          </w:tcPr>
          <w:p>
            <w:pPr>
              <w:widowControl/>
              <w:jc w:val="center"/>
              <w:rPr>
                <w:rFonts w:hAnsi="宋体"/>
                <w:kern w:val="0"/>
                <w:sz w:val="18"/>
                <w:szCs w:val="18"/>
                <w:highlight w:val="none"/>
              </w:rPr>
            </w:pPr>
            <w:r>
              <w:rPr>
                <w:rFonts w:hint="eastAsia" w:hAnsi="宋体"/>
                <w:kern w:val="0"/>
                <w:sz w:val="18"/>
                <w:szCs w:val="18"/>
                <w:highlight w:val="none"/>
              </w:rPr>
              <w:t>级</w:t>
            </w:r>
          </w:p>
        </w:tc>
        <w:tc>
          <w:tcPr>
            <w:tcW w:w="1130" w:type="dxa"/>
            <w:tcBorders>
              <w:top w:val="single" w:color="auto" w:sz="8" w:space="0"/>
              <w:bottom w:val="single" w:color="auto" w:sz="8" w:space="0"/>
            </w:tcBorders>
            <w:vAlign w:val="center"/>
          </w:tcPr>
          <w:p>
            <w:pPr>
              <w:jc w:val="center"/>
              <w:rPr>
                <w:rFonts w:hAnsi="宋体"/>
                <w:sz w:val="18"/>
                <w:szCs w:val="18"/>
                <w:highlight w:val="none"/>
              </w:rPr>
            </w:pPr>
            <w:r>
              <w:rPr>
                <w:rFonts w:hint="eastAsia" w:ascii="宋体" w:hAnsi="宋体"/>
                <w:sz w:val="18"/>
                <w:szCs w:val="18"/>
                <w:highlight w:val="none"/>
              </w:rPr>
              <w:t>≤3</w:t>
            </w:r>
          </w:p>
        </w:tc>
        <w:tc>
          <w:tcPr>
            <w:tcW w:w="1838" w:type="dxa"/>
            <w:tcBorders>
              <w:top w:val="single" w:color="auto" w:sz="8" w:space="0"/>
              <w:bottom w:val="single" w:color="auto" w:sz="8" w:space="0"/>
              <w:right w:val="single" w:color="auto" w:sz="12" w:space="0"/>
            </w:tcBorders>
            <w:vAlign w:val="center"/>
          </w:tcPr>
          <w:p>
            <w:pPr>
              <w:jc w:val="center"/>
              <w:rPr>
                <w:rFonts w:hAnsi="宋体"/>
                <w:sz w:val="18"/>
                <w:szCs w:val="18"/>
                <w:highlight w:val="none"/>
              </w:rPr>
            </w:pPr>
            <w:r>
              <w:rPr>
                <w:rFonts w:hint="eastAsia" w:hAnsi="宋体"/>
                <w:sz w:val="18"/>
                <w:szCs w:val="18"/>
                <w:highlight w:val="none"/>
              </w:rPr>
              <w:t>按QB/T 5447-2019试验条件4检测并提供检测报告</w:t>
            </w:r>
          </w:p>
        </w:tc>
        <w:tc>
          <w:tcPr>
            <w:tcW w:w="988" w:type="dxa"/>
            <w:vMerge w:val="continue"/>
            <w:tcBorders>
              <w:right w:val="single" w:color="auto" w:sz="12" w:space="0"/>
            </w:tcBorders>
            <w:vAlign w:val="center"/>
          </w:tcPr>
          <w:p>
            <w:pPr>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color w:val="00B050"/>
                <w:kern w:val="0"/>
                <w:sz w:val="18"/>
                <w:szCs w:val="18"/>
                <w:lang w:eastAsia="zh-CN"/>
              </w:rPr>
            </w:pPr>
            <w:r>
              <w:rPr>
                <w:rFonts w:hint="eastAsia" w:hAnsi="宋体"/>
                <w:color w:val="00B050"/>
                <w:kern w:val="0"/>
                <w:sz w:val="18"/>
                <w:szCs w:val="18"/>
                <w:lang w:val="en-US" w:eastAsia="zh-CN"/>
              </w:rPr>
              <w:t>6</w:t>
            </w:r>
          </w:p>
        </w:tc>
        <w:tc>
          <w:tcPr>
            <w:tcW w:w="705" w:type="dxa"/>
            <w:vMerge w:val="continue"/>
            <w:vAlign w:val="center"/>
          </w:tcPr>
          <w:p>
            <w:pPr>
              <w:widowControl/>
              <w:jc w:val="center"/>
              <w:rPr>
                <w:rFonts w:hAnsi="宋体"/>
                <w:color w:val="00B050"/>
                <w:kern w:val="0"/>
                <w:sz w:val="18"/>
                <w:szCs w:val="18"/>
              </w:rPr>
            </w:pPr>
          </w:p>
        </w:tc>
        <w:tc>
          <w:tcPr>
            <w:tcW w:w="3398" w:type="dxa"/>
            <w:gridSpan w:val="3"/>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耐光性</w:t>
            </w:r>
          </w:p>
        </w:tc>
        <w:tc>
          <w:tcPr>
            <w:tcW w:w="854" w:type="dxa"/>
            <w:tcBorders>
              <w:top w:val="single" w:color="auto" w:sz="8" w:space="0"/>
              <w:bottom w:val="single" w:color="auto" w:sz="8" w:space="0"/>
            </w:tcBorders>
            <w:vAlign w:val="center"/>
          </w:tcPr>
          <w:p>
            <w:pPr>
              <w:widowControl/>
              <w:jc w:val="center"/>
              <w:rPr>
                <w:rFonts w:hAnsi="宋体"/>
                <w:kern w:val="0"/>
                <w:sz w:val="18"/>
                <w:szCs w:val="18"/>
              </w:rPr>
            </w:pPr>
            <w:r>
              <w:rPr>
                <w:rFonts w:hint="eastAsia" w:hAnsi="宋体"/>
                <w:kern w:val="0"/>
                <w:sz w:val="18"/>
                <w:szCs w:val="18"/>
              </w:rPr>
              <w:t>级</w:t>
            </w:r>
          </w:p>
        </w:tc>
        <w:tc>
          <w:tcPr>
            <w:tcW w:w="1130"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≥4</w:t>
            </w:r>
          </w:p>
        </w:tc>
        <w:tc>
          <w:tcPr>
            <w:tcW w:w="1838" w:type="dxa"/>
            <w:tcBorders>
              <w:top w:val="single" w:color="auto" w:sz="8" w:space="0"/>
              <w:bottom w:val="single" w:color="auto" w:sz="8" w:space="0"/>
              <w:right w:val="single" w:color="auto" w:sz="12" w:space="0"/>
            </w:tcBorders>
            <w:vAlign w:val="center"/>
          </w:tcPr>
          <w:p>
            <w:pPr>
              <w:jc w:val="center"/>
              <w:rPr>
                <w:rFonts w:hAnsi="宋体"/>
                <w:sz w:val="18"/>
                <w:szCs w:val="18"/>
              </w:rPr>
            </w:pPr>
            <w:r>
              <w:rPr>
                <w:rFonts w:hint="eastAsia" w:hAnsi="宋体"/>
                <w:sz w:val="18"/>
                <w:szCs w:val="18"/>
              </w:rPr>
              <w:t xml:space="preserve">QB/T 4873-2015试验方法A </w:t>
            </w:r>
            <w:r>
              <w:rPr>
                <w:rFonts w:hint="eastAsia" w:ascii="宋体" w:hAnsi="宋体"/>
                <w:sz w:val="18"/>
                <w:szCs w:val="18"/>
              </w:rPr>
              <w:t>(辐照总时</w:t>
            </w:r>
            <w:r>
              <w:rPr>
                <w:rFonts w:ascii="宋体" w:hAnsi="宋体"/>
                <w:sz w:val="18"/>
                <w:szCs w:val="18"/>
              </w:rPr>
              <w:t>长</w:t>
            </w:r>
            <w:r>
              <w:rPr>
                <w:rFonts w:hint="eastAsia" w:ascii="宋体" w:hAnsi="宋体"/>
                <w:sz w:val="18"/>
                <w:szCs w:val="18"/>
              </w:rPr>
              <w:t>200</w:t>
            </w:r>
            <w:r>
              <w:rPr>
                <w:rFonts w:ascii="宋体" w:hAnsi="宋体"/>
                <w:sz w:val="18"/>
                <w:szCs w:val="18"/>
              </w:rPr>
              <w:t>H</w:t>
            </w:r>
            <w:r>
              <w:rPr>
                <w:rFonts w:hint="eastAsia" w:ascii="宋体" w:hAnsi="宋体"/>
                <w:sz w:val="18"/>
                <w:szCs w:val="18"/>
              </w:rPr>
              <w:t>)</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kern w:val="0"/>
                <w:sz w:val="18"/>
                <w:szCs w:val="18"/>
                <w:lang w:eastAsia="zh-CN"/>
              </w:rPr>
            </w:pPr>
            <w:r>
              <w:rPr>
                <w:rFonts w:hint="eastAsia" w:hAnsi="宋体"/>
                <w:kern w:val="0"/>
                <w:sz w:val="18"/>
                <w:szCs w:val="18"/>
                <w:lang w:val="en-US" w:eastAsia="zh-CN"/>
              </w:rPr>
              <w:t>7</w:t>
            </w:r>
          </w:p>
        </w:tc>
        <w:tc>
          <w:tcPr>
            <w:tcW w:w="705" w:type="dxa"/>
            <w:vMerge w:val="continue"/>
            <w:vAlign w:val="center"/>
          </w:tcPr>
          <w:p>
            <w:pPr>
              <w:widowControl/>
              <w:jc w:val="center"/>
              <w:rPr>
                <w:rFonts w:hAnsi="宋体"/>
                <w:kern w:val="0"/>
                <w:sz w:val="18"/>
                <w:szCs w:val="18"/>
              </w:rPr>
            </w:pPr>
          </w:p>
        </w:tc>
        <w:tc>
          <w:tcPr>
            <w:tcW w:w="3398" w:type="dxa"/>
            <w:gridSpan w:val="3"/>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N,N-二甲基甲酰胺</w:t>
            </w:r>
          </w:p>
        </w:tc>
        <w:tc>
          <w:tcPr>
            <w:tcW w:w="854" w:type="dxa"/>
            <w:tcBorders>
              <w:top w:val="single" w:color="auto" w:sz="8" w:space="0"/>
              <w:bottom w:val="single" w:color="auto" w:sz="8" w:space="0"/>
            </w:tcBorders>
            <w:vAlign w:val="center"/>
          </w:tcPr>
          <w:p>
            <w:pPr>
              <w:widowControl/>
              <w:jc w:val="center"/>
              <w:rPr>
                <w:rFonts w:hAnsi="宋体"/>
                <w:kern w:val="0"/>
                <w:sz w:val="18"/>
                <w:szCs w:val="18"/>
              </w:rPr>
            </w:pPr>
            <w:r>
              <w:rPr>
                <w:rFonts w:hint="eastAsia" w:hAnsi="宋体"/>
                <w:kern w:val="0"/>
                <w:sz w:val="18"/>
                <w:szCs w:val="18"/>
              </w:rPr>
              <w:t>mg/kg</w:t>
            </w:r>
          </w:p>
        </w:tc>
        <w:tc>
          <w:tcPr>
            <w:tcW w:w="1130"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≤200</w:t>
            </w:r>
          </w:p>
        </w:tc>
        <w:tc>
          <w:tcPr>
            <w:tcW w:w="1838" w:type="dxa"/>
            <w:tcBorders>
              <w:top w:val="single" w:color="auto" w:sz="8" w:space="0"/>
              <w:bottom w:val="single" w:color="auto" w:sz="8" w:space="0"/>
              <w:right w:val="single" w:color="auto" w:sz="12" w:space="0"/>
            </w:tcBorders>
            <w:vAlign w:val="center"/>
          </w:tcPr>
          <w:p>
            <w:pPr>
              <w:jc w:val="center"/>
              <w:rPr>
                <w:rFonts w:hAnsi="宋体"/>
                <w:sz w:val="18"/>
                <w:szCs w:val="18"/>
              </w:rPr>
            </w:pPr>
            <w:r>
              <w:rPr>
                <w:rFonts w:hint="eastAsia" w:hAnsi="宋体"/>
                <w:kern w:val="0"/>
                <w:sz w:val="18"/>
                <w:szCs w:val="18"/>
              </w:rPr>
              <w:t>按</w:t>
            </w:r>
            <w:bookmarkStart w:id="61" w:name="_Hlk123570041"/>
            <w:r>
              <w:rPr>
                <w:rFonts w:hint="eastAsia" w:hAnsi="宋体"/>
                <w:kern w:val="0"/>
                <w:sz w:val="18"/>
                <w:szCs w:val="18"/>
              </w:rPr>
              <w:t>Q</w:t>
            </w:r>
            <w:r>
              <w:rPr>
                <w:rFonts w:hAnsi="宋体"/>
                <w:kern w:val="0"/>
                <w:sz w:val="18"/>
                <w:szCs w:val="18"/>
              </w:rPr>
              <w:t>B/T 5158-2017</w:t>
            </w:r>
            <w:bookmarkEnd w:id="61"/>
            <w:r>
              <w:rPr>
                <w:rFonts w:hint="eastAsia" w:hAnsi="宋体"/>
                <w:kern w:val="0"/>
                <w:sz w:val="18"/>
                <w:szCs w:val="18"/>
              </w:rPr>
              <w:t>中A法</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restart"/>
            <w:tcBorders>
              <w:top w:val="single" w:color="auto" w:sz="8" w:space="0"/>
              <w:left w:val="single" w:color="auto" w:sz="12" w:space="0"/>
            </w:tcBorders>
            <w:vAlign w:val="center"/>
          </w:tcPr>
          <w:p>
            <w:pPr>
              <w:widowControl/>
              <w:jc w:val="center"/>
              <w:rPr>
                <w:rFonts w:hint="eastAsia" w:hAnsi="宋体" w:eastAsia="宋体"/>
                <w:color w:val="000000"/>
                <w:kern w:val="0"/>
                <w:sz w:val="18"/>
                <w:szCs w:val="18"/>
                <w:lang w:eastAsia="zh-CN"/>
              </w:rPr>
            </w:pPr>
            <w:r>
              <w:rPr>
                <w:rFonts w:hint="eastAsia" w:hAnsi="宋体"/>
                <w:color w:val="000000"/>
                <w:kern w:val="0"/>
                <w:sz w:val="18"/>
                <w:szCs w:val="18"/>
                <w:lang w:val="en-US" w:eastAsia="zh-CN"/>
              </w:rPr>
              <w:t>8</w:t>
            </w:r>
          </w:p>
        </w:tc>
        <w:tc>
          <w:tcPr>
            <w:tcW w:w="705" w:type="dxa"/>
            <w:vMerge w:val="continue"/>
            <w:vAlign w:val="center"/>
          </w:tcPr>
          <w:p>
            <w:pPr>
              <w:widowControl/>
              <w:jc w:val="center"/>
              <w:rPr>
                <w:rFonts w:hAnsi="宋体"/>
                <w:color w:val="000000"/>
                <w:kern w:val="0"/>
                <w:sz w:val="18"/>
                <w:szCs w:val="18"/>
              </w:rPr>
            </w:pPr>
          </w:p>
        </w:tc>
        <w:tc>
          <w:tcPr>
            <w:tcW w:w="1985" w:type="dxa"/>
            <w:gridSpan w:val="2"/>
            <w:vMerge w:val="restart"/>
            <w:tcBorders>
              <w:top w:val="single" w:color="auto" w:sz="8" w:space="0"/>
            </w:tcBorders>
            <w:vAlign w:val="center"/>
          </w:tcPr>
          <w:p>
            <w:pPr>
              <w:widowControl/>
              <w:jc w:val="center"/>
              <w:rPr>
                <w:rFonts w:hAnsi="宋体"/>
                <w:kern w:val="0"/>
                <w:sz w:val="18"/>
                <w:szCs w:val="18"/>
              </w:rPr>
            </w:pPr>
            <w:r>
              <w:rPr>
                <w:rFonts w:hAnsi="宋体"/>
                <w:kern w:val="0"/>
                <w:sz w:val="18"/>
                <w:szCs w:val="18"/>
              </w:rPr>
              <w:t>禁用物质</w:t>
            </w: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汞</w:t>
            </w:r>
          </w:p>
        </w:tc>
        <w:tc>
          <w:tcPr>
            <w:tcW w:w="854" w:type="dxa"/>
            <w:vMerge w:val="restart"/>
            <w:tcBorders>
              <w:top w:val="single" w:color="auto" w:sz="8" w:space="0"/>
            </w:tcBorders>
            <w:vAlign w:val="center"/>
          </w:tcPr>
          <w:p>
            <w:pPr>
              <w:jc w:val="center"/>
              <w:rPr>
                <w:rFonts w:ascii="宋体"/>
                <w:sz w:val="18"/>
              </w:rPr>
            </w:pPr>
            <w:r>
              <w:rPr>
                <w:rFonts w:hint="eastAsia" w:ascii="宋体"/>
                <w:sz w:val="18"/>
              </w:rPr>
              <w:t>mg/kg</w:t>
            </w: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≤900</w:t>
            </w:r>
          </w:p>
        </w:tc>
        <w:tc>
          <w:tcPr>
            <w:tcW w:w="1838" w:type="dxa"/>
            <w:tcBorders>
              <w:top w:val="single" w:color="auto" w:sz="8" w:space="0"/>
              <w:bottom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941</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六价铬</w:t>
            </w:r>
          </w:p>
        </w:tc>
        <w:tc>
          <w:tcPr>
            <w:tcW w:w="854" w:type="dxa"/>
            <w:vMerge w:val="continue"/>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≤900</w:t>
            </w:r>
          </w:p>
        </w:tc>
        <w:tc>
          <w:tcPr>
            <w:tcW w:w="1838" w:type="dxa"/>
            <w:tcBorders>
              <w:top w:val="single" w:color="auto" w:sz="8" w:space="0"/>
              <w:bottom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942</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铅</w:t>
            </w:r>
          </w:p>
        </w:tc>
        <w:tc>
          <w:tcPr>
            <w:tcW w:w="854" w:type="dxa"/>
            <w:vMerge w:val="continue"/>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w:t>
            </w:r>
          </w:p>
        </w:tc>
        <w:tc>
          <w:tcPr>
            <w:tcW w:w="1838" w:type="dxa"/>
            <w:vMerge w:val="restart"/>
            <w:tcBorders>
              <w:top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943</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镉</w:t>
            </w:r>
          </w:p>
        </w:tc>
        <w:tc>
          <w:tcPr>
            <w:tcW w:w="854" w:type="dxa"/>
            <w:vMerge w:val="continue"/>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w:t>
            </w:r>
          </w:p>
        </w:tc>
        <w:tc>
          <w:tcPr>
            <w:tcW w:w="1838" w:type="dxa"/>
            <w:vMerge w:val="continue"/>
            <w:tcBorders>
              <w:bottom w:val="single" w:color="auto" w:sz="8" w:space="0"/>
              <w:right w:val="single" w:color="auto" w:sz="12" w:space="0"/>
            </w:tcBorders>
            <w:vAlign w:val="center"/>
          </w:tcPr>
          <w:p>
            <w:pPr>
              <w:jc w:val="center"/>
              <w:rPr>
                <w:rFonts w:ascii="宋体"/>
                <w:sz w:val="18"/>
              </w:rPr>
            </w:pP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多溴联苯</w:t>
            </w:r>
          </w:p>
        </w:tc>
        <w:tc>
          <w:tcPr>
            <w:tcW w:w="854" w:type="dxa"/>
            <w:vMerge w:val="continue"/>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≤900</w:t>
            </w:r>
          </w:p>
        </w:tc>
        <w:tc>
          <w:tcPr>
            <w:tcW w:w="1838" w:type="dxa"/>
            <w:vMerge w:val="restart"/>
            <w:tcBorders>
              <w:top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944</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bottom w:val="single" w:color="auto" w:sz="8"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tcBorders>
              <w:bottom w:val="single" w:color="auto" w:sz="8" w:space="0"/>
            </w:tcBorders>
            <w:vAlign w:val="center"/>
          </w:tcPr>
          <w:p>
            <w:pPr>
              <w:widowControl/>
              <w:jc w:val="center"/>
              <w:rPr>
                <w:rFonts w:hAnsi="宋体"/>
                <w:color w:val="000000"/>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多溴二苯醚</w:t>
            </w:r>
          </w:p>
        </w:tc>
        <w:tc>
          <w:tcPr>
            <w:tcW w:w="854" w:type="dxa"/>
            <w:vMerge w:val="continue"/>
            <w:tcBorders>
              <w:bottom w:val="single" w:color="auto" w:sz="8" w:space="0"/>
            </w:tcBorders>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≤900</w:t>
            </w:r>
          </w:p>
        </w:tc>
        <w:tc>
          <w:tcPr>
            <w:tcW w:w="1838" w:type="dxa"/>
            <w:vMerge w:val="continue"/>
            <w:tcBorders>
              <w:bottom w:val="single" w:color="auto" w:sz="8" w:space="0"/>
              <w:right w:val="single" w:color="auto" w:sz="12" w:space="0"/>
            </w:tcBorders>
            <w:vAlign w:val="center"/>
          </w:tcPr>
          <w:p>
            <w:pPr>
              <w:jc w:val="center"/>
              <w:rPr>
                <w:rFonts w:ascii="宋体"/>
                <w:sz w:val="18"/>
              </w:rPr>
            </w:pP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restart"/>
            <w:tcBorders>
              <w:top w:val="single" w:color="auto" w:sz="8" w:space="0"/>
              <w:left w:val="single" w:color="auto" w:sz="12" w:space="0"/>
            </w:tcBorders>
            <w:vAlign w:val="center"/>
          </w:tcPr>
          <w:p>
            <w:pPr>
              <w:widowControl/>
              <w:jc w:val="center"/>
              <w:rPr>
                <w:rFonts w:hint="eastAsia" w:hAnsi="宋体" w:eastAsia="宋体"/>
                <w:color w:val="000000"/>
                <w:kern w:val="0"/>
                <w:sz w:val="18"/>
                <w:szCs w:val="18"/>
                <w:lang w:eastAsia="zh-CN"/>
              </w:rPr>
            </w:pPr>
            <w:r>
              <w:rPr>
                <w:rFonts w:hint="eastAsia" w:hAnsi="宋体"/>
                <w:color w:val="000000"/>
                <w:kern w:val="0"/>
                <w:sz w:val="18"/>
                <w:szCs w:val="18"/>
                <w:lang w:val="en-US" w:eastAsia="zh-CN"/>
              </w:rPr>
              <w:t>9</w:t>
            </w:r>
          </w:p>
        </w:tc>
        <w:tc>
          <w:tcPr>
            <w:tcW w:w="705" w:type="dxa"/>
            <w:vMerge w:val="continue"/>
            <w:vAlign w:val="center"/>
          </w:tcPr>
          <w:p>
            <w:pPr>
              <w:widowControl/>
              <w:jc w:val="center"/>
              <w:rPr>
                <w:rFonts w:hAnsi="宋体"/>
                <w:color w:val="000000"/>
                <w:kern w:val="0"/>
                <w:sz w:val="18"/>
                <w:szCs w:val="18"/>
              </w:rPr>
            </w:pPr>
          </w:p>
        </w:tc>
        <w:tc>
          <w:tcPr>
            <w:tcW w:w="1985" w:type="dxa"/>
            <w:gridSpan w:val="2"/>
            <w:vMerge w:val="restart"/>
            <w:tcBorders>
              <w:top w:val="single" w:color="auto" w:sz="8" w:space="0"/>
            </w:tcBorders>
            <w:vAlign w:val="center"/>
          </w:tcPr>
          <w:p>
            <w:pPr>
              <w:widowControl/>
              <w:jc w:val="center"/>
              <w:rPr>
                <w:rFonts w:hAnsi="宋体"/>
                <w:kern w:val="0"/>
                <w:sz w:val="18"/>
                <w:szCs w:val="18"/>
              </w:rPr>
            </w:pPr>
            <w:r>
              <w:rPr>
                <w:rFonts w:hAnsi="宋体"/>
                <w:kern w:val="0"/>
                <w:sz w:val="18"/>
                <w:szCs w:val="18"/>
              </w:rPr>
              <w:t>多环芳烃</w:t>
            </w:r>
          </w:p>
          <w:p>
            <w:pPr>
              <w:widowControl/>
              <w:jc w:val="center"/>
              <w:rPr>
                <w:rFonts w:hAnsi="宋体"/>
                <w:kern w:val="0"/>
                <w:sz w:val="18"/>
                <w:szCs w:val="18"/>
              </w:rPr>
            </w:pPr>
            <w:r>
              <w:rPr>
                <w:rFonts w:hint="eastAsia" w:hAnsi="宋体"/>
                <w:kern w:val="0"/>
                <w:sz w:val="18"/>
                <w:szCs w:val="18"/>
              </w:rPr>
              <w:t>（见附录G）</w:t>
            </w: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每个单项</w:t>
            </w:r>
          </w:p>
        </w:tc>
        <w:tc>
          <w:tcPr>
            <w:tcW w:w="854" w:type="dxa"/>
            <w:vMerge w:val="restart"/>
            <w:tcBorders>
              <w:top w:val="single" w:color="auto" w:sz="8" w:space="0"/>
            </w:tcBorders>
            <w:vAlign w:val="center"/>
          </w:tcPr>
          <w:p>
            <w:pPr>
              <w:widowControl/>
              <w:jc w:val="center"/>
              <w:rPr>
                <w:rFonts w:hAnsi="宋体"/>
                <w:kern w:val="0"/>
                <w:sz w:val="18"/>
                <w:szCs w:val="18"/>
              </w:rPr>
            </w:pPr>
            <w:r>
              <w:rPr>
                <w:rFonts w:hint="eastAsia" w:ascii="宋体"/>
                <w:sz w:val="18"/>
              </w:rPr>
              <w:t>mg/kg</w:t>
            </w:r>
          </w:p>
        </w:tc>
        <w:tc>
          <w:tcPr>
            <w:tcW w:w="1130" w:type="dxa"/>
            <w:tcBorders>
              <w:top w:val="single" w:color="auto" w:sz="8" w:space="0"/>
              <w:bottom w:val="single" w:color="auto" w:sz="8" w:space="0"/>
            </w:tcBorders>
            <w:vAlign w:val="center"/>
          </w:tcPr>
          <w:p>
            <w:pPr>
              <w:widowControl/>
              <w:jc w:val="center"/>
              <w:rPr>
                <w:rFonts w:hAnsi="宋体"/>
                <w:kern w:val="0"/>
                <w:sz w:val="18"/>
                <w:szCs w:val="18"/>
              </w:rPr>
            </w:pPr>
            <w:r>
              <w:rPr>
                <w:rFonts w:hint="eastAsia" w:ascii="宋体"/>
                <w:sz w:val="18"/>
              </w:rPr>
              <w:t>≤1</w:t>
            </w:r>
          </w:p>
        </w:tc>
        <w:tc>
          <w:tcPr>
            <w:tcW w:w="1838" w:type="dxa"/>
            <w:vMerge w:val="restart"/>
            <w:tcBorders>
              <w:top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1131</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bottom w:val="single" w:color="auto" w:sz="8"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tcBorders>
              <w:bottom w:val="single" w:color="auto" w:sz="8" w:space="0"/>
            </w:tcBorders>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总量</w:t>
            </w:r>
          </w:p>
        </w:tc>
        <w:tc>
          <w:tcPr>
            <w:tcW w:w="854" w:type="dxa"/>
            <w:vMerge w:val="continue"/>
            <w:tcBorders>
              <w:bottom w:val="single" w:color="auto" w:sz="8" w:space="0"/>
            </w:tcBorders>
            <w:vAlign w:val="center"/>
          </w:tcPr>
          <w:p>
            <w:pPr>
              <w:widowControl/>
              <w:jc w:val="center"/>
              <w:rPr>
                <w:rFonts w:hAnsi="宋体"/>
                <w:color w:val="000000"/>
                <w:kern w:val="0"/>
                <w:sz w:val="18"/>
                <w:szCs w:val="18"/>
              </w:rPr>
            </w:pPr>
          </w:p>
        </w:tc>
        <w:tc>
          <w:tcPr>
            <w:tcW w:w="1130" w:type="dxa"/>
            <w:tcBorders>
              <w:top w:val="single" w:color="auto" w:sz="8" w:space="0"/>
              <w:bottom w:val="single" w:color="auto" w:sz="8" w:space="0"/>
            </w:tcBorders>
            <w:vAlign w:val="center"/>
          </w:tcPr>
          <w:p>
            <w:pPr>
              <w:widowControl/>
              <w:jc w:val="center"/>
              <w:rPr>
                <w:rFonts w:hAnsi="宋体"/>
                <w:kern w:val="0"/>
                <w:sz w:val="18"/>
                <w:szCs w:val="18"/>
              </w:rPr>
            </w:pPr>
            <w:r>
              <w:rPr>
                <w:rFonts w:hint="eastAsia" w:ascii="宋体"/>
                <w:sz w:val="18"/>
              </w:rPr>
              <w:t>≤10</w:t>
            </w:r>
          </w:p>
        </w:tc>
        <w:tc>
          <w:tcPr>
            <w:tcW w:w="1838" w:type="dxa"/>
            <w:vMerge w:val="continue"/>
            <w:tcBorders>
              <w:bottom w:val="single" w:color="auto" w:sz="8" w:space="0"/>
              <w:right w:val="single" w:color="auto" w:sz="12" w:space="0"/>
            </w:tcBorders>
            <w:vAlign w:val="center"/>
          </w:tcPr>
          <w:p>
            <w:pPr>
              <w:jc w:val="center"/>
              <w:rPr>
                <w:rFonts w:ascii="宋体"/>
                <w:sz w:val="18"/>
              </w:rPr>
            </w:pP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restart"/>
            <w:tcBorders>
              <w:top w:val="single" w:color="auto" w:sz="8" w:space="0"/>
              <w:left w:val="single" w:color="auto" w:sz="12" w:space="0"/>
            </w:tcBorders>
            <w:vAlign w:val="center"/>
          </w:tcPr>
          <w:p>
            <w:pPr>
              <w:widowControl/>
              <w:jc w:val="center"/>
              <w:rPr>
                <w:rFonts w:hAnsi="宋体"/>
                <w:color w:val="000000"/>
                <w:kern w:val="0"/>
                <w:sz w:val="18"/>
                <w:szCs w:val="18"/>
              </w:rPr>
            </w:pPr>
            <w:r>
              <w:rPr>
                <w:rFonts w:hint="eastAsia" w:hAnsi="宋体"/>
                <w:color w:val="000000"/>
                <w:kern w:val="0"/>
                <w:sz w:val="18"/>
                <w:szCs w:val="18"/>
              </w:rPr>
              <w:t>1</w:t>
            </w:r>
            <w:r>
              <w:rPr>
                <w:rFonts w:hint="eastAsia" w:hAnsi="宋体"/>
                <w:color w:val="000000"/>
                <w:kern w:val="0"/>
                <w:sz w:val="18"/>
                <w:szCs w:val="18"/>
                <w:lang w:val="en-US" w:eastAsia="zh-CN"/>
              </w:rPr>
              <w:t>0</w:t>
            </w:r>
          </w:p>
        </w:tc>
        <w:tc>
          <w:tcPr>
            <w:tcW w:w="705" w:type="dxa"/>
            <w:vMerge w:val="continue"/>
            <w:vAlign w:val="center"/>
          </w:tcPr>
          <w:p>
            <w:pPr>
              <w:widowControl/>
              <w:jc w:val="center"/>
              <w:rPr>
                <w:rFonts w:hAnsi="宋体"/>
                <w:color w:val="000000"/>
                <w:kern w:val="0"/>
                <w:sz w:val="18"/>
                <w:szCs w:val="18"/>
              </w:rPr>
            </w:pPr>
          </w:p>
        </w:tc>
        <w:tc>
          <w:tcPr>
            <w:tcW w:w="1985" w:type="dxa"/>
            <w:gridSpan w:val="2"/>
            <w:vMerge w:val="restart"/>
            <w:tcBorders>
              <w:top w:val="single" w:color="auto" w:sz="8" w:space="0"/>
            </w:tcBorders>
            <w:vAlign w:val="center"/>
          </w:tcPr>
          <w:p>
            <w:pPr>
              <w:widowControl/>
              <w:jc w:val="center"/>
              <w:rPr>
                <w:rFonts w:hAnsi="宋体"/>
                <w:kern w:val="0"/>
                <w:sz w:val="18"/>
                <w:szCs w:val="18"/>
              </w:rPr>
            </w:pPr>
            <w:r>
              <w:rPr>
                <w:rFonts w:hAnsi="宋体"/>
                <w:kern w:val="0"/>
                <w:sz w:val="18"/>
                <w:szCs w:val="18"/>
              </w:rPr>
              <w:t>有害染料</w:t>
            </w:r>
          </w:p>
          <w:p>
            <w:pPr>
              <w:widowControl/>
              <w:jc w:val="center"/>
              <w:rPr>
                <w:rFonts w:hAnsi="宋体"/>
                <w:kern w:val="0"/>
                <w:sz w:val="18"/>
                <w:szCs w:val="18"/>
              </w:rPr>
            </w:pPr>
            <w:r>
              <w:rPr>
                <w:rFonts w:hint="eastAsia" w:hAnsi="宋体"/>
                <w:kern w:val="0"/>
                <w:sz w:val="18"/>
                <w:szCs w:val="18"/>
              </w:rPr>
              <w:t>（见附录D）</w:t>
            </w: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可分解芳香胺染料</w:t>
            </w:r>
          </w:p>
        </w:tc>
        <w:tc>
          <w:tcPr>
            <w:tcW w:w="854" w:type="dxa"/>
            <w:vMerge w:val="restart"/>
            <w:tcBorders>
              <w:top w:val="single" w:color="auto" w:sz="8" w:space="0"/>
            </w:tcBorders>
            <w:vAlign w:val="center"/>
          </w:tcPr>
          <w:p>
            <w:pPr>
              <w:widowControl/>
              <w:jc w:val="center"/>
              <w:rPr>
                <w:rFonts w:hAnsi="宋体"/>
                <w:color w:val="000000"/>
                <w:kern w:val="0"/>
                <w:sz w:val="18"/>
                <w:szCs w:val="18"/>
              </w:rPr>
            </w:pPr>
            <w:r>
              <w:rPr>
                <w:rFonts w:hint="eastAsia" w:ascii="宋体"/>
                <w:sz w:val="18"/>
              </w:rPr>
              <w:t>mg/kg</w:t>
            </w:r>
          </w:p>
        </w:tc>
        <w:tc>
          <w:tcPr>
            <w:tcW w:w="1130" w:type="dxa"/>
            <w:vMerge w:val="restart"/>
            <w:tcBorders>
              <w:top w:val="single" w:color="auto" w:sz="8" w:space="0"/>
            </w:tcBorders>
            <w:vAlign w:val="center"/>
          </w:tcPr>
          <w:p>
            <w:pPr>
              <w:widowControl/>
              <w:jc w:val="center"/>
              <w:rPr>
                <w:rFonts w:hAnsi="宋体"/>
                <w:color w:val="000000"/>
                <w:kern w:val="0"/>
                <w:sz w:val="18"/>
                <w:szCs w:val="18"/>
              </w:rPr>
            </w:pPr>
            <w:r>
              <w:rPr>
                <w:rFonts w:hint="eastAsia" w:ascii="宋体"/>
                <w:sz w:val="18"/>
              </w:rPr>
              <w:t>≤20</w:t>
            </w: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17592和GB/T 23344</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color w:val="000000"/>
                <w:kern w:val="0"/>
                <w:sz w:val="18"/>
                <w:szCs w:val="18"/>
              </w:rPr>
            </w:pP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致癌染料</w:t>
            </w:r>
          </w:p>
        </w:tc>
        <w:tc>
          <w:tcPr>
            <w:tcW w:w="854" w:type="dxa"/>
            <w:vMerge w:val="continue"/>
            <w:vAlign w:val="center"/>
          </w:tcPr>
          <w:p>
            <w:pPr>
              <w:widowControl/>
              <w:jc w:val="center"/>
              <w:rPr>
                <w:rFonts w:hAnsi="宋体"/>
                <w:color w:val="000000"/>
                <w:kern w:val="0"/>
                <w:sz w:val="18"/>
                <w:szCs w:val="18"/>
              </w:rPr>
            </w:pPr>
          </w:p>
        </w:tc>
        <w:tc>
          <w:tcPr>
            <w:tcW w:w="1130" w:type="dxa"/>
            <w:vMerge w:val="continue"/>
            <w:tcBorders>
              <w:bottom w:val="single" w:color="auto" w:sz="8" w:space="0"/>
            </w:tcBorders>
            <w:vAlign w:val="center"/>
          </w:tcPr>
          <w:p>
            <w:pPr>
              <w:widowControl/>
              <w:jc w:val="center"/>
              <w:rPr>
                <w:rFonts w:hAnsi="宋体"/>
                <w:color w:val="000000"/>
                <w:kern w:val="0"/>
                <w:sz w:val="18"/>
                <w:szCs w:val="18"/>
              </w:rPr>
            </w:pP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20382</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color w:val="000000"/>
                <w:kern w:val="0"/>
                <w:sz w:val="18"/>
                <w:szCs w:val="18"/>
              </w:rPr>
            </w:pP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致敏染料</w:t>
            </w:r>
          </w:p>
        </w:tc>
        <w:tc>
          <w:tcPr>
            <w:tcW w:w="854" w:type="dxa"/>
            <w:vMerge w:val="continue"/>
            <w:vAlign w:val="center"/>
          </w:tcPr>
          <w:p>
            <w:pPr>
              <w:widowControl/>
              <w:jc w:val="center"/>
              <w:rPr>
                <w:rFonts w:hAnsi="宋体"/>
                <w:color w:val="000000"/>
                <w:kern w:val="0"/>
                <w:sz w:val="18"/>
                <w:szCs w:val="18"/>
              </w:rPr>
            </w:pPr>
          </w:p>
        </w:tc>
        <w:tc>
          <w:tcPr>
            <w:tcW w:w="1130" w:type="dxa"/>
            <w:tcBorders>
              <w:top w:val="single" w:color="auto" w:sz="8" w:space="0"/>
              <w:bottom w:val="single" w:color="auto" w:sz="8" w:space="0"/>
            </w:tcBorders>
            <w:vAlign w:val="center"/>
          </w:tcPr>
          <w:p>
            <w:pPr>
              <w:widowControl/>
              <w:jc w:val="center"/>
              <w:rPr>
                <w:rFonts w:hAnsi="宋体"/>
                <w:color w:val="000000"/>
                <w:kern w:val="0"/>
                <w:sz w:val="18"/>
                <w:szCs w:val="18"/>
              </w:rPr>
            </w:pPr>
            <w:r>
              <w:rPr>
                <w:rFonts w:hint="eastAsia" w:ascii="宋体"/>
                <w:sz w:val="18"/>
              </w:rPr>
              <w:t>≤50</w:t>
            </w: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20383</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bottom w:val="single" w:color="auto" w:sz="8"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tcBorders>
              <w:bottom w:val="single" w:color="auto" w:sz="8" w:space="0"/>
            </w:tcBorders>
            <w:vAlign w:val="center"/>
          </w:tcPr>
          <w:p>
            <w:pPr>
              <w:widowControl/>
              <w:jc w:val="center"/>
              <w:rPr>
                <w:rFonts w:hAnsi="宋体"/>
                <w:color w:val="000000"/>
                <w:kern w:val="0"/>
                <w:sz w:val="18"/>
                <w:szCs w:val="18"/>
              </w:rPr>
            </w:pP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其他有害染料</w:t>
            </w:r>
          </w:p>
        </w:tc>
        <w:tc>
          <w:tcPr>
            <w:tcW w:w="854" w:type="dxa"/>
            <w:vMerge w:val="continue"/>
            <w:tcBorders>
              <w:bottom w:val="single" w:color="auto" w:sz="8" w:space="0"/>
            </w:tcBorders>
            <w:vAlign w:val="center"/>
          </w:tcPr>
          <w:p>
            <w:pPr>
              <w:widowControl/>
              <w:jc w:val="center"/>
              <w:rPr>
                <w:rFonts w:hAnsi="宋体"/>
                <w:color w:val="000000"/>
                <w:kern w:val="0"/>
                <w:sz w:val="18"/>
                <w:szCs w:val="18"/>
              </w:rPr>
            </w:pPr>
          </w:p>
        </w:tc>
        <w:tc>
          <w:tcPr>
            <w:tcW w:w="1130" w:type="dxa"/>
            <w:tcBorders>
              <w:top w:val="single" w:color="auto" w:sz="8" w:space="0"/>
              <w:bottom w:val="single" w:color="auto" w:sz="8" w:space="0"/>
            </w:tcBorders>
            <w:vAlign w:val="center"/>
          </w:tcPr>
          <w:p>
            <w:pPr>
              <w:widowControl/>
              <w:jc w:val="center"/>
              <w:rPr>
                <w:rFonts w:hAnsi="宋体"/>
                <w:color w:val="000000"/>
                <w:kern w:val="0"/>
                <w:sz w:val="18"/>
                <w:szCs w:val="18"/>
              </w:rPr>
            </w:pPr>
            <w:r>
              <w:rPr>
                <w:rFonts w:hint="eastAsia" w:ascii="宋体"/>
                <w:sz w:val="18"/>
              </w:rPr>
              <w:t>≤50</w:t>
            </w: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23345</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Ansi="宋体"/>
                <w:color w:val="000000"/>
                <w:kern w:val="0"/>
                <w:sz w:val="18"/>
                <w:szCs w:val="18"/>
              </w:rPr>
            </w:pPr>
            <w:r>
              <w:rPr>
                <w:rFonts w:hint="eastAsia" w:hAnsi="宋体"/>
                <w:color w:val="000000"/>
                <w:kern w:val="0"/>
                <w:sz w:val="18"/>
                <w:szCs w:val="18"/>
              </w:rPr>
              <w:t>1</w:t>
            </w:r>
            <w:r>
              <w:rPr>
                <w:rFonts w:hint="eastAsia" w:hAnsi="宋体"/>
                <w:color w:val="000000"/>
                <w:kern w:val="0"/>
                <w:sz w:val="18"/>
                <w:szCs w:val="18"/>
                <w:lang w:val="en-US" w:eastAsia="zh-CN"/>
              </w:rPr>
              <w:t>1</w:t>
            </w:r>
          </w:p>
        </w:tc>
        <w:tc>
          <w:tcPr>
            <w:tcW w:w="705" w:type="dxa"/>
            <w:vMerge w:val="continue"/>
            <w:vAlign w:val="center"/>
          </w:tcPr>
          <w:p>
            <w:pPr>
              <w:widowControl/>
              <w:jc w:val="center"/>
              <w:rPr>
                <w:rFonts w:hAnsi="宋体"/>
                <w:color w:val="000000"/>
                <w:kern w:val="0"/>
                <w:sz w:val="18"/>
                <w:szCs w:val="18"/>
              </w:rPr>
            </w:pPr>
          </w:p>
        </w:tc>
        <w:tc>
          <w:tcPr>
            <w:tcW w:w="3398" w:type="dxa"/>
            <w:gridSpan w:val="3"/>
            <w:tcBorders>
              <w:top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hAnsi="宋体"/>
                <w:kern w:val="0"/>
                <w:sz w:val="18"/>
                <w:szCs w:val="18"/>
              </w:rPr>
              <w:t>游离和水解的甲醛</w:t>
            </w:r>
          </w:p>
        </w:tc>
        <w:tc>
          <w:tcPr>
            <w:tcW w:w="854" w:type="dxa"/>
            <w:tcBorders>
              <w:top w:val="single" w:color="auto" w:sz="8" w:space="0"/>
              <w:bottom w:val="single" w:color="auto" w:sz="8" w:space="0"/>
            </w:tcBorders>
            <w:vAlign w:val="center"/>
          </w:tcPr>
          <w:p>
            <w:pPr>
              <w:widowControl/>
              <w:jc w:val="center"/>
              <w:rPr>
                <w:rFonts w:hAnsi="宋体"/>
                <w:color w:val="000000"/>
                <w:kern w:val="0"/>
                <w:sz w:val="18"/>
                <w:szCs w:val="18"/>
              </w:rPr>
            </w:pPr>
            <w:r>
              <w:rPr>
                <w:rFonts w:hint="eastAsia" w:ascii="宋体"/>
                <w:sz w:val="18"/>
              </w:rPr>
              <w:t>mg/kg</w:t>
            </w: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color w:val="auto"/>
                <w:sz w:val="18"/>
              </w:rPr>
              <w:t>≤</w:t>
            </w:r>
            <w:r>
              <w:rPr>
                <w:rFonts w:hint="eastAsia" w:ascii="宋体"/>
                <w:color w:val="auto"/>
                <w:sz w:val="18"/>
                <w:lang w:val="en-US" w:eastAsia="zh-CN"/>
              </w:rPr>
              <w:t>75</w:t>
            </w: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2912.1</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restart"/>
            <w:tcBorders>
              <w:top w:val="single" w:color="auto" w:sz="8" w:space="0"/>
              <w:left w:val="single" w:color="auto" w:sz="12" w:space="0"/>
              <w:bottom w:val="single" w:color="auto" w:sz="12" w:space="0"/>
            </w:tcBorders>
            <w:vAlign w:val="center"/>
          </w:tcPr>
          <w:p>
            <w:pPr>
              <w:widowControl/>
              <w:jc w:val="center"/>
              <w:rPr>
                <w:rFonts w:hAnsi="宋体"/>
                <w:kern w:val="0"/>
                <w:sz w:val="18"/>
                <w:szCs w:val="18"/>
              </w:rPr>
            </w:pPr>
            <w:r>
              <w:rPr>
                <w:rFonts w:hint="eastAsia" w:hAnsi="宋体"/>
                <w:kern w:val="0"/>
                <w:sz w:val="18"/>
                <w:szCs w:val="18"/>
              </w:rPr>
              <w:t>1</w:t>
            </w:r>
            <w:r>
              <w:rPr>
                <w:rFonts w:hint="eastAsia" w:hAnsi="宋体"/>
                <w:kern w:val="0"/>
                <w:sz w:val="18"/>
                <w:szCs w:val="18"/>
                <w:lang w:val="en-US" w:eastAsia="zh-CN"/>
              </w:rPr>
              <w:t>2</w:t>
            </w:r>
          </w:p>
        </w:tc>
        <w:tc>
          <w:tcPr>
            <w:tcW w:w="705" w:type="dxa"/>
            <w:vMerge w:val="continue"/>
            <w:vAlign w:val="center"/>
          </w:tcPr>
          <w:p>
            <w:pPr>
              <w:widowControl/>
              <w:jc w:val="center"/>
              <w:rPr>
                <w:rFonts w:hAnsi="宋体"/>
                <w:kern w:val="0"/>
                <w:sz w:val="18"/>
                <w:szCs w:val="18"/>
              </w:rPr>
            </w:pPr>
          </w:p>
        </w:tc>
        <w:tc>
          <w:tcPr>
            <w:tcW w:w="1560" w:type="dxa"/>
            <w:vMerge w:val="restart"/>
            <w:tcBorders>
              <w:top w:val="single" w:color="auto" w:sz="8" w:space="0"/>
              <w:bottom w:val="single" w:color="auto" w:sz="12" w:space="0"/>
              <w:right w:val="single" w:color="auto" w:sz="4" w:space="0"/>
            </w:tcBorders>
            <w:vAlign w:val="center"/>
          </w:tcPr>
          <w:p>
            <w:pPr>
              <w:widowControl/>
              <w:jc w:val="center"/>
              <w:rPr>
                <w:rFonts w:hAnsi="宋体"/>
                <w:kern w:val="0"/>
                <w:sz w:val="18"/>
                <w:szCs w:val="18"/>
              </w:rPr>
            </w:pPr>
            <w:r>
              <w:rPr>
                <w:rFonts w:hint="eastAsia" w:ascii="宋体"/>
                <w:kern w:val="0"/>
                <w:sz w:val="18"/>
                <w:szCs w:val="18"/>
              </w:rPr>
              <w:t>邻苯二甲酸酯</w:t>
            </w:r>
          </w:p>
        </w:tc>
        <w:tc>
          <w:tcPr>
            <w:tcW w:w="1838" w:type="dxa"/>
            <w:gridSpan w:val="2"/>
            <w:tcBorders>
              <w:top w:val="single" w:color="auto" w:sz="8" w:space="0"/>
              <w:left w:val="single" w:color="auto" w:sz="4" w:space="0"/>
              <w:bottom w:val="single" w:color="auto" w:sz="4" w:space="0"/>
            </w:tcBorders>
            <w:vAlign w:val="center"/>
          </w:tcPr>
          <w:p>
            <w:pPr>
              <w:jc w:val="center"/>
              <w:rPr>
                <w:sz w:val="18"/>
                <w:szCs w:val="18"/>
              </w:rPr>
            </w:pPr>
            <w:r>
              <w:rPr>
                <w:rFonts w:hAnsi="宋体"/>
                <w:sz w:val="18"/>
                <w:szCs w:val="18"/>
              </w:rPr>
              <w:t>邻苯二甲酸二（</w:t>
            </w:r>
            <w:r>
              <w:rPr>
                <w:sz w:val="18"/>
                <w:szCs w:val="18"/>
              </w:rPr>
              <w:t>2-</w:t>
            </w:r>
            <w:r>
              <w:rPr>
                <w:rFonts w:hAnsi="宋体"/>
                <w:sz w:val="18"/>
                <w:szCs w:val="18"/>
              </w:rPr>
              <w:t>乙基己基）酯（</w:t>
            </w:r>
            <w:r>
              <w:rPr>
                <w:rFonts w:hint="eastAsia" w:hAnsi="宋体"/>
                <w:sz w:val="18"/>
                <w:szCs w:val="18"/>
              </w:rPr>
              <w:t>DEHP</w:t>
            </w:r>
            <w:r>
              <w:rPr>
                <w:rFonts w:hAnsi="宋体"/>
                <w:sz w:val="18"/>
                <w:szCs w:val="18"/>
              </w:rPr>
              <w:t>）</w:t>
            </w:r>
          </w:p>
        </w:tc>
        <w:tc>
          <w:tcPr>
            <w:tcW w:w="854" w:type="dxa"/>
            <w:vMerge w:val="restart"/>
            <w:tcBorders>
              <w:top w:val="single" w:color="auto" w:sz="8" w:space="0"/>
              <w:bottom w:val="single" w:color="auto" w:sz="12" w:space="0"/>
            </w:tcBorders>
            <w:vAlign w:val="center"/>
          </w:tcPr>
          <w:p>
            <w:pPr>
              <w:jc w:val="center"/>
              <w:rPr>
                <w:rFonts w:ascii="宋体"/>
                <w:sz w:val="18"/>
              </w:rPr>
            </w:pPr>
            <w:r>
              <w:rPr>
                <w:rFonts w:hint="eastAsia" w:ascii="宋体"/>
                <w:sz w:val="18"/>
              </w:rPr>
              <w:t>mg/kg</w:t>
            </w:r>
          </w:p>
        </w:tc>
        <w:tc>
          <w:tcPr>
            <w:tcW w:w="1130" w:type="dxa"/>
            <w:vMerge w:val="restart"/>
            <w:tcBorders>
              <w:top w:val="single" w:color="auto" w:sz="8" w:space="0"/>
              <w:bottom w:val="single" w:color="auto" w:sz="12" w:space="0"/>
            </w:tcBorders>
            <w:vAlign w:val="center"/>
          </w:tcPr>
          <w:p>
            <w:pPr>
              <w:widowControl/>
              <w:jc w:val="center"/>
              <w:rPr>
                <w:rFonts w:hAnsi="宋体"/>
                <w:color w:val="auto"/>
                <w:kern w:val="0"/>
                <w:sz w:val="18"/>
                <w:szCs w:val="18"/>
              </w:rPr>
            </w:pPr>
            <w:r>
              <w:rPr>
                <w:rFonts w:hint="eastAsia" w:hAnsi="宋体"/>
                <w:color w:val="auto"/>
                <w:kern w:val="0"/>
                <w:sz w:val="18"/>
                <w:szCs w:val="18"/>
              </w:rPr>
              <w:t>总量</w:t>
            </w:r>
          </w:p>
          <w:p>
            <w:pPr>
              <w:widowControl/>
              <w:jc w:val="center"/>
              <w:rPr>
                <w:rFonts w:hAnsi="宋体"/>
                <w:color w:val="auto"/>
                <w:kern w:val="0"/>
                <w:sz w:val="18"/>
                <w:szCs w:val="18"/>
              </w:rPr>
            </w:pPr>
            <w:r>
              <w:rPr>
                <w:rFonts w:hint="eastAsia" w:hAnsi="宋体"/>
                <w:color w:val="auto"/>
                <w:kern w:val="0"/>
                <w:sz w:val="18"/>
                <w:szCs w:val="18"/>
              </w:rPr>
              <w:t>≤</w:t>
            </w:r>
            <w:r>
              <w:rPr>
                <w:rFonts w:hint="eastAsia" w:hAnsi="宋体"/>
                <w:color w:val="auto"/>
                <w:kern w:val="0"/>
                <w:sz w:val="18"/>
                <w:szCs w:val="18"/>
                <w:lang w:val="en-US" w:eastAsia="zh-CN"/>
              </w:rPr>
              <w:t>10</w:t>
            </w:r>
            <w:r>
              <w:rPr>
                <w:rFonts w:hint="eastAsia" w:hAnsi="宋体"/>
                <w:color w:val="auto"/>
                <w:kern w:val="0"/>
                <w:sz w:val="18"/>
                <w:szCs w:val="18"/>
              </w:rPr>
              <w:t>00</w:t>
            </w:r>
          </w:p>
        </w:tc>
        <w:tc>
          <w:tcPr>
            <w:tcW w:w="1838" w:type="dxa"/>
            <w:vMerge w:val="restart"/>
            <w:tcBorders>
              <w:top w:val="single" w:color="auto" w:sz="8" w:space="0"/>
              <w:bottom w:val="single" w:color="auto" w:sz="12" w:space="0"/>
              <w:right w:val="single" w:color="auto" w:sz="12" w:space="0"/>
            </w:tcBorders>
            <w:vAlign w:val="center"/>
          </w:tcPr>
          <w:p>
            <w:pPr>
              <w:widowControl/>
              <w:jc w:val="center"/>
              <w:rPr>
                <w:rFonts w:hAnsi="宋体"/>
                <w:color w:val="auto"/>
                <w:kern w:val="0"/>
                <w:sz w:val="18"/>
                <w:szCs w:val="18"/>
              </w:rPr>
            </w:pPr>
            <w:r>
              <w:rPr>
                <w:rFonts w:hint="eastAsia" w:ascii="宋体" w:hAnsi="宋体"/>
                <w:color w:val="auto"/>
                <w:sz w:val="18"/>
                <w:szCs w:val="18"/>
              </w:rPr>
              <w:t>按GB</w:t>
            </w:r>
            <w:r>
              <w:rPr>
                <w:rFonts w:ascii="宋体" w:hAnsi="宋体"/>
                <w:color w:val="auto"/>
                <w:sz w:val="18"/>
                <w:szCs w:val="18"/>
              </w:rPr>
              <w:t>/</w:t>
            </w:r>
            <w:r>
              <w:rPr>
                <w:rFonts w:hint="eastAsia" w:ascii="宋体" w:hAnsi="宋体"/>
                <w:color w:val="auto"/>
                <w:sz w:val="18"/>
                <w:szCs w:val="18"/>
              </w:rPr>
              <w:t>T 22048</w:t>
            </w:r>
            <w:r>
              <w:rPr>
                <w:rFonts w:hint="eastAsia" w:hAnsi="宋体"/>
                <w:color w:val="auto"/>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top w:val="single" w:color="auto" w:sz="12" w:space="0"/>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tcBorders>
              <w:top w:val="single" w:color="auto" w:sz="12" w:space="0"/>
              <w:right w:val="single" w:color="auto" w:sz="4" w:space="0"/>
            </w:tcBorders>
            <w:vAlign w:val="center"/>
          </w:tcPr>
          <w:p>
            <w:pPr>
              <w:widowControl/>
              <w:jc w:val="center"/>
              <w:rPr>
                <w:rFonts w:hAnsi="宋体"/>
                <w:color w:val="FF0000"/>
                <w:kern w:val="0"/>
                <w:sz w:val="18"/>
                <w:szCs w:val="18"/>
              </w:rPr>
            </w:pPr>
          </w:p>
        </w:tc>
        <w:tc>
          <w:tcPr>
            <w:tcW w:w="1838" w:type="dxa"/>
            <w:gridSpan w:val="2"/>
            <w:tcBorders>
              <w:top w:val="single" w:color="auto" w:sz="4" w:space="0"/>
              <w:left w:val="single" w:color="auto" w:sz="4" w:space="0"/>
              <w:bottom w:val="single" w:color="auto" w:sz="8" w:space="0"/>
            </w:tcBorders>
            <w:vAlign w:val="center"/>
          </w:tcPr>
          <w:p>
            <w:pPr>
              <w:jc w:val="center"/>
              <w:rPr>
                <w:sz w:val="18"/>
                <w:szCs w:val="18"/>
              </w:rPr>
            </w:pPr>
            <w:r>
              <w:rPr>
                <w:rFonts w:hAnsi="宋体"/>
                <w:sz w:val="18"/>
                <w:szCs w:val="18"/>
              </w:rPr>
              <w:t>邻苯二甲酸二正辛酯</w:t>
            </w:r>
            <w:r>
              <w:rPr>
                <w:rFonts w:hint="eastAsia"/>
                <w:sz w:val="18"/>
                <w:szCs w:val="18"/>
              </w:rPr>
              <w:t>（DNOP）</w:t>
            </w:r>
          </w:p>
        </w:tc>
        <w:tc>
          <w:tcPr>
            <w:tcW w:w="854" w:type="dxa"/>
            <w:vMerge w:val="continue"/>
            <w:tcBorders>
              <w:top w:val="single" w:color="auto" w:sz="12" w:space="0"/>
            </w:tcBorders>
            <w:vAlign w:val="center"/>
          </w:tcPr>
          <w:p>
            <w:pPr>
              <w:widowControl/>
              <w:jc w:val="center"/>
              <w:rPr>
                <w:rFonts w:hAnsi="宋体"/>
                <w:color w:val="000000"/>
                <w:kern w:val="0"/>
                <w:sz w:val="18"/>
                <w:szCs w:val="18"/>
              </w:rPr>
            </w:pPr>
          </w:p>
        </w:tc>
        <w:tc>
          <w:tcPr>
            <w:tcW w:w="1130" w:type="dxa"/>
            <w:vMerge w:val="continue"/>
            <w:tcBorders>
              <w:top w:val="single" w:color="auto" w:sz="12" w:space="0"/>
            </w:tcBorders>
            <w:vAlign w:val="center"/>
          </w:tcPr>
          <w:p>
            <w:pPr>
              <w:widowControl/>
              <w:jc w:val="center"/>
              <w:rPr>
                <w:rFonts w:hAnsi="宋体"/>
                <w:color w:val="000000"/>
                <w:kern w:val="0"/>
                <w:sz w:val="18"/>
                <w:szCs w:val="18"/>
              </w:rPr>
            </w:pPr>
          </w:p>
        </w:tc>
        <w:tc>
          <w:tcPr>
            <w:tcW w:w="1838" w:type="dxa"/>
            <w:vMerge w:val="continue"/>
            <w:tcBorders>
              <w:top w:val="single" w:color="auto" w:sz="12" w:space="0"/>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vAlign w:val="center"/>
          </w:tcPr>
          <w:p>
            <w:pPr>
              <w:widowControl/>
              <w:jc w:val="center"/>
              <w:rPr>
                <w:rFonts w:hAnsi="宋体"/>
                <w:color w:val="FF0000"/>
                <w:kern w:val="0"/>
                <w:sz w:val="18"/>
                <w:szCs w:val="18"/>
              </w:rPr>
            </w:pPr>
          </w:p>
        </w:tc>
        <w:tc>
          <w:tcPr>
            <w:tcW w:w="1838" w:type="dxa"/>
            <w:gridSpan w:val="2"/>
            <w:tcBorders>
              <w:top w:val="single" w:color="auto" w:sz="8" w:space="0"/>
              <w:bottom w:val="single" w:color="auto" w:sz="8" w:space="0"/>
            </w:tcBorders>
            <w:vAlign w:val="center"/>
          </w:tcPr>
          <w:p>
            <w:pPr>
              <w:jc w:val="center"/>
              <w:rPr>
                <w:rFonts w:hAnsi="宋体"/>
                <w:sz w:val="18"/>
                <w:szCs w:val="18"/>
              </w:rPr>
            </w:pPr>
            <w:r>
              <w:rPr>
                <w:rFonts w:hAnsi="宋体"/>
                <w:sz w:val="18"/>
                <w:szCs w:val="18"/>
              </w:rPr>
              <w:t>邻苯二甲酸二异癸酯</w:t>
            </w:r>
          </w:p>
          <w:p>
            <w:pPr>
              <w:jc w:val="center"/>
              <w:rPr>
                <w:sz w:val="18"/>
                <w:szCs w:val="18"/>
              </w:rPr>
            </w:pPr>
            <w:r>
              <w:rPr>
                <w:rFonts w:hint="eastAsia" w:hAnsi="宋体"/>
                <w:sz w:val="18"/>
                <w:szCs w:val="18"/>
              </w:rPr>
              <w:t>（DIDP）</w:t>
            </w:r>
          </w:p>
        </w:tc>
        <w:tc>
          <w:tcPr>
            <w:tcW w:w="854" w:type="dxa"/>
            <w:vMerge w:val="continue"/>
            <w:vAlign w:val="center"/>
          </w:tcPr>
          <w:p>
            <w:pPr>
              <w:widowControl/>
              <w:jc w:val="center"/>
              <w:rPr>
                <w:rFonts w:hAnsi="宋体"/>
                <w:color w:val="000000"/>
                <w:kern w:val="0"/>
                <w:sz w:val="18"/>
                <w:szCs w:val="18"/>
              </w:rPr>
            </w:pPr>
          </w:p>
        </w:tc>
        <w:tc>
          <w:tcPr>
            <w:tcW w:w="1130" w:type="dxa"/>
            <w:vMerge w:val="continue"/>
            <w:vAlign w:val="center"/>
          </w:tcPr>
          <w:p>
            <w:pPr>
              <w:widowControl/>
              <w:jc w:val="center"/>
              <w:rPr>
                <w:rFonts w:hAnsi="宋体"/>
                <w:color w:val="000000"/>
                <w:kern w:val="0"/>
                <w:sz w:val="18"/>
                <w:szCs w:val="18"/>
              </w:rPr>
            </w:pPr>
          </w:p>
        </w:tc>
        <w:tc>
          <w:tcPr>
            <w:tcW w:w="1838" w:type="dxa"/>
            <w:vMerge w:val="continue"/>
            <w:tcBorders>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vAlign w:val="center"/>
          </w:tcPr>
          <w:p>
            <w:pPr>
              <w:widowControl/>
              <w:jc w:val="center"/>
              <w:rPr>
                <w:rFonts w:hAnsi="宋体"/>
                <w:color w:val="FF0000"/>
                <w:kern w:val="0"/>
                <w:sz w:val="18"/>
                <w:szCs w:val="18"/>
              </w:rPr>
            </w:pPr>
          </w:p>
        </w:tc>
        <w:tc>
          <w:tcPr>
            <w:tcW w:w="1838" w:type="dxa"/>
            <w:gridSpan w:val="2"/>
            <w:tcBorders>
              <w:top w:val="single" w:color="auto" w:sz="8" w:space="0"/>
              <w:bottom w:val="single" w:color="auto" w:sz="8" w:space="0"/>
            </w:tcBorders>
            <w:vAlign w:val="center"/>
          </w:tcPr>
          <w:p>
            <w:pPr>
              <w:jc w:val="center"/>
              <w:rPr>
                <w:rFonts w:hAnsi="宋体"/>
                <w:sz w:val="18"/>
                <w:szCs w:val="18"/>
              </w:rPr>
            </w:pPr>
            <w:r>
              <w:rPr>
                <w:rFonts w:hAnsi="宋体"/>
                <w:sz w:val="18"/>
                <w:szCs w:val="18"/>
              </w:rPr>
              <w:t>邻苯二甲酸二异壬酯</w:t>
            </w:r>
          </w:p>
          <w:p>
            <w:pPr>
              <w:jc w:val="center"/>
              <w:rPr>
                <w:sz w:val="18"/>
                <w:szCs w:val="18"/>
              </w:rPr>
            </w:pPr>
            <w:r>
              <w:rPr>
                <w:rFonts w:hint="eastAsia" w:hAnsi="宋体"/>
                <w:sz w:val="18"/>
                <w:szCs w:val="18"/>
              </w:rPr>
              <w:t>（DINP）</w:t>
            </w:r>
          </w:p>
        </w:tc>
        <w:tc>
          <w:tcPr>
            <w:tcW w:w="854" w:type="dxa"/>
            <w:vMerge w:val="continue"/>
            <w:vAlign w:val="center"/>
          </w:tcPr>
          <w:p>
            <w:pPr>
              <w:widowControl/>
              <w:jc w:val="center"/>
              <w:rPr>
                <w:rFonts w:hAnsi="宋体"/>
                <w:color w:val="000000"/>
                <w:kern w:val="0"/>
                <w:sz w:val="18"/>
                <w:szCs w:val="18"/>
              </w:rPr>
            </w:pPr>
          </w:p>
        </w:tc>
        <w:tc>
          <w:tcPr>
            <w:tcW w:w="1130" w:type="dxa"/>
            <w:vMerge w:val="continue"/>
            <w:vAlign w:val="center"/>
          </w:tcPr>
          <w:p>
            <w:pPr>
              <w:widowControl/>
              <w:jc w:val="center"/>
              <w:rPr>
                <w:rFonts w:hAnsi="宋体"/>
                <w:color w:val="000000"/>
                <w:kern w:val="0"/>
                <w:sz w:val="18"/>
                <w:szCs w:val="18"/>
              </w:rPr>
            </w:pPr>
          </w:p>
        </w:tc>
        <w:tc>
          <w:tcPr>
            <w:tcW w:w="1838" w:type="dxa"/>
            <w:vMerge w:val="continue"/>
            <w:tcBorders>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vAlign w:val="center"/>
          </w:tcPr>
          <w:p>
            <w:pPr>
              <w:widowControl/>
              <w:jc w:val="center"/>
              <w:rPr>
                <w:rFonts w:hAnsi="宋体"/>
                <w:color w:val="FF0000"/>
                <w:kern w:val="0"/>
                <w:sz w:val="18"/>
                <w:szCs w:val="18"/>
              </w:rPr>
            </w:pPr>
          </w:p>
        </w:tc>
        <w:tc>
          <w:tcPr>
            <w:tcW w:w="1838" w:type="dxa"/>
            <w:gridSpan w:val="2"/>
            <w:tcBorders>
              <w:top w:val="single" w:color="auto" w:sz="8" w:space="0"/>
              <w:bottom w:val="single" w:color="auto" w:sz="8" w:space="0"/>
            </w:tcBorders>
            <w:vAlign w:val="center"/>
          </w:tcPr>
          <w:p>
            <w:pPr>
              <w:jc w:val="center"/>
              <w:rPr>
                <w:sz w:val="18"/>
                <w:szCs w:val="18"/>
              </w:rPr>
            </w:pPr>
            <w:r>
              <w:rPr>
                <w:rFonts w:hAnsi="宋体"/>
                <w:sz w:val="18"/>
                <w:szCs w:val="18"/>
              </w:rPr>
              <w:t>邻苯二甲酸二丁酯</w:t>
            </w:r>
            <w:r>
              <w:rPr>
                <w:sz w:val="18"/>
                <w:szCs w:val="18"/>
              </w:rPr>
              <w:t xml:space="preserve"> </w:t>
            </w:r>
          </w:p>
          <w:p>
            <w:pPr>
              <w:jc w:val="center"/>
              <w:rPr>
                <w:sz w:val="18"/>
                <w:szCs w:val="18"/>
              </w:rPr>
            </w:pPr>
            <w:r>
              <w:rPr>
                <w:rFonts w:hint="eastAsia"/>
                <w:sz w:val="18"/>
                <w:szCs w:val="18"/>
              </w:rPr>
              <w:t>（DBP）</w:t>
            </w:r>
          </w:p>
        </w:tc>
        <w:tc>
          <w:tcPr>
            <w:tcW w:w="854" w:type="dxa"/>
            <w:vMerge w:val="continue"/>
            <w:vAlign w:val="center"/>
          </w:tcPr>
          <w:p>
            <w:pPr>
              <w:widowControl/>
              <w:jc w:val="center"/>
              <w:rPr>
                <w:rFonts w:hAnsi="宋体"/>
                <w:color w:val="000000"/>
                <w:kern w:val="0"/>
                <w:sz w:val="18"/>
                <w:szCs w:val="18"/>
              </w:rPr>
            </w:pPr>
          </w:p>
        </w:tc>
        <w:tc>
          <w:tcPr>
            <w:tcW w:w="1130" w:type="dxa"/>
            <w:vMerge w:val="continue"/>
            <w:vAlign w:val="center"/>
          </w:tcPr>
          <w:p>
            <w:pPr>
              <w:widowControl/>
              <w:jc w:val="center"/>
              <w:rPr>
                <w:rFonts w:hAnsi="宋体"/>
                <w:color w:val="000000"/>
                <w:kern w:val="0"/>
                <w:sz w:val="18"/>
                <w:szCs w:val="18"/>
              </w:rPr>
            </w:pPr>
          </w:p>
        </w:tc>
        <w:tc>
          <w:tcPr>
            <w:tcW w:w="1838" w:type="dxa"/>
            <w:vMerge w:val="continue"/>
            <w:tcBorders>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vAlign w:val="center"/>
          </w:tcPr>
          <w:p>
            <w:pPr>
              <w:widowControl/>
              <w:jc w:val="center"/>
              <w:rPr>
                <w:rFonts w:hAnsi="宋体"/>
                <w:color w:val="FF0000"/>
                <w:kern w:val="0"/>
                <w:sz w:val="18"/>
                <w:szCs w:val="18"/>
              </w:rPr>
            </w:pPr>
          </w:p>
        </w:tc>
        <w:tc>
          <w:tcPr>
            <w:tcW w:w="1838" w:type="dxa"/>
            <w:gridSpan w:val="2"/>
            <w:tcBorders>
              <w:top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邻苯二甲酸丁苄酯</w:t>
            </w:r>
          </w:p>
          <w:p>
            <w:pPr>
              <w:widowControl/>
              <w:tabs>
                <w:tab w:val="center" w:pos="4201"/>
                <w:tab w:val="right" w:leader="dot" w:pos="9298"/>
              </w:tabs>
              <w:autoSpaceDE w:val="0"/>
              <w:autoSpaceDN w:val="0"/>
              <w:jc w:val="center"/>
              <w:rPr>
                <w:kern w:val="0"/>
                <w:sz w:val="18"/>
                <w:szCs w:val="18"/>
              </w:rPr>
            </w:pPr>
            <w:r>
              <w:rPr>
                <w:kern w:val="0"/>
                <w:sz w:val="18"/>
                <w:szCs w:val="18"/>
              </w:rPr>
              <w:t>（BBP）</w:t>
            </w:r>
          </w:p>
        </w:tc>
        <w:tc>
          <w:tcPr>
            <w:tcW w:w="854" w:type="dxa"/>
            <w:vMerge w:val="continue"/>
            <w:vAlign w:val="center"/>
          </w:tcPr>
          <w:p>
            <w:pPr>
              <w:widowControl/>
              <w:jc w:val="center"/>
              <w:rPr>
                <w:rFonts w:hAnsi="宋体"/>
                <w:color w:val="000000"/>
                <w:kern w:val="0"/>
                <w:sz w:val="18"/>
                <w:szCs w:val="18"/>
              </w:rPr>
            </w:pPr>
          </w:p>
        </w:tc>
        <w:tc>
          <w:tcPr>
            <w:tcW w:w="1130" w:type="dxa"/>
            <w:vMerge w:val="continue"/>
            <w:vAlign w:val="center"/>
          </w:tcPr>
          <w:p>
            <w:pPr>
              <w:widowControl/>
              <w:jc w:val="center"/>
              <w:rPr>
                <w:rFonts w:hAnsi="宋体"/>
                <w:color w:val="000000"/>
                <w:kern w:val="0"/>
                <w:sz w:val="18"/>
                <w:szCs w:val="18"/>
              </w:rPr>
            </w:pPr>
          </w:p>
        </w:tc>
        <w:tc>
          <w:tcPr>
            <w:tcW w:w="1838" w:type="dxa"/>
            <w:vMerge w:val="continue"/>
            <w:tcBorders>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bl>
    <w:p>
      <w:pPr>
        <w:pStyle w:val="84"/>
        <w:spacing w:before="240" w:after="240"/>
        <w:rPr>
          <w:bCs/>
        </w:rPr>
      </w:pPr>
      <w:bookmarkStart w:id="62" w:name="_Toc126667253"/>
      <w:bookmarkStart w:id="63" w:name="_Toc9416541"/>
      <w:bookmarkStart w:id="64" w:name="_Toc14866935"/>
      <w:bookmarkStart w:id="65" w:name="_Toc126226132"/>
      <w:bookmarkStart w:id="66" w:name="_Toc126133975"/>
      <w:bookmarkStart w:id="67" w:name="_Toc142490386"/>
      <w:r>
        <w:rPr>
          <w:rFonts w:hint="eastAsia"/>
        </w:rPr>
        <w:t>产品生命周期评价方法及评价报告编制方法</w:t>
      </w:r>
      <w:bookmarkEnd w:id="62"/>
      <w:bookmarkEnd w:id="63"/>
      <w:bookmarkEnd w:id="64"/>
      <w:bookmarkEnd w:id="65"/>
      <w:bookmarkEnd w:id="66"/>
      <w:bookmarkEnd w:id="67"/>
    </w:p>
    <w:p>
      <w:pPr>
        <w:pStyle w:val="85"/>
        <w:spacing w:before="120" w:after="120"/>
      </w:pPr>
      <w:r>
        <w:rPr>
          <w:rFonts w:hint="eastAsia"/>
        </w:rPr>
        <w:t>产品生命周期评价方法</w:t>
      </w:r>
    </w:p>
    <w:p>
      <w:pPr>
        <w:ind w:firstLine="420" w:firstLineChars="200"/>
      </w:pPr>
      <w:r>
        <w:rPr>
          <w:rFonts w:hAnsi="宋体"/>
        </w:rPr>
        <w:t>依据</w:t>
      </w:r>
      <w:r>
        <w:t>GB/T 24040</w:t>
      </w:r>
      <w:r>
        <w:rPr>
          <w:rFonts w:hAnsi="宋体"/>
        </w:rPr>
        <w:t>、</w:t>
      </w:r>
      <w:r>
        <w:t>GB/T 24044</w:t>
      </w:r>
      <w:r>
        <w:rPr>
          <w:rFonts w:hAnsi="宋体"/>
        </w:rPr>
        <w:t>、</w:t>
      </w:r>
      <w:r>
        <w:t>GB/T 32161</w:t>
      </w:r>
      <w:r>
        <w:rPr>
          <w:rFonts w:hAnsi="宋体"/>
        </w:rPr>
        <w:t>－</w:t>
      </w:r>
      <w:r>
        <w:t>2015</w:t>
      </w:r>
      <w:r>
        <w:rPr>
          <w:rFonts w:hAnsi="宋体"/>
        </w:rPr>
        <w:t>给出的生命周期评价方法框架、总体要求及其附录编制</w:t>
      </w:r>
      <w:r>
        <w:rPr>
          <w:rFonts w:hint="eastAsia" w:hAnsi="宋体"/>
        </w:rPr>
        <w:t>人造革</w:t>
      </w:r>
      <w:r>
        <w:rPr>
          <w:rFonts w:hAnsi="宋体"/>
        </w:rPr>
        <w:t>产品生命周期评价报告</w:t>
      </w:r>
      <w:r>
        <w:rPr>
          <w:rFonts w:hint="eastAsia" w:hAnsi="宋体"/>
        </w:rPr>
        <w:t>见</w:t>
      </w:r>
      <w:r>
        <w:rPr>
          <w:rFonts w:hAnsi="宋体"/>
        </w:rPr>
        <w:t>本</w:t>
      </w:r>
      <w:r>
        <w:rPr>
          <w:rFonts w:hint="eastAsia" w:hAnsi="宋体"/>
        </w:rPr>
        <w:t>文件</w:t>
      </w:r>
      <w:r>
        <w:rPr>
          <w:rFonts w:hAnsi="宋体"/>
        </w:rPr>
        <w:t>附录</w:t>
      </w:r>
      <w:r>
        <w:rPr>
          <w:rFonts w:hint="eastAsia"/>
        </w:rPr>
        <w:t>L</w:t>
      </w:r>
      <w:r>
        <w:rPr>
          <w:rFonts w:hAnsi="宋体"/>
        </w:rPr>
        <w:t>。</w:t>
      </w:r>
    </w:p>
    <w:p>
      <w:pPr>
        <w:pStyle w:val="85"/>
        <w:spacing w:before="120" w:after="120"/>
      </w:pPr>
      <w:r>
        <w:rPr>
          <w:rFonts w:hint="eastAsia"/>
        </w:rPr>
        <w:t>评价报告编制方法</w:t>
      </w:r>
    </w:p>
    <w:p>
      <w:pPr>
        <w:pStyle w:val="50"/>
        <w:spacing w:before="120" w:after="120"/>
      </w:pPr>
      <w:r>
        <w:rPr>
          <w:rFonts w:hint="eastAsia"/>
        </w:rPr>
        <w:t>基本信息</w:t>
      </w:r>
    </w:p>
    <w:p>
      <w:pPr>
        <w:ind w:firstLine="420" w:firstLineChars="200"/>
        <w:rPr>
          <w:rFonts w:ascii="宋体" w:hAnsi="宋体"/>
        </w:rPr>
      </w:pPr>
      <w:r>
        <w:rPr>
          <w:rFonts w:hint="eastAsia" w:ascii="宋体" w:hAnsi="宋体"/>
        </w:rPr>
        <w:t>报告应提供报告信息、申请者信息、评估对象信息、采用的标准信息、包装材料等基本信息。其中：</w:t>
      </w:r>
    </w:p>
    <w:p>
      <w:pPr>
        <w:pStyle w:val="152"/>
      </w:pPr>
      <w:r>
        <w:t>报告信息：包括报告编号、编制人员、审核人员、发布日期等；</w:t>
      </w:r>
    </w:p>
    <w:p>
      <w:pPr>
        <w:pStyle w:val="152"/>
      </w:pPr>
      <w:r>
        <w:t>申请者信息</w:t>
      </w:r>
      <w:r>
        <w:rPr>
          <w:rFonts w:hint="eastAsia"/>
        </w:rPr>
        <w:t>：</w:t>
      </w:r>
      <w:r>
        <w:t>包括公司全称、组织机构代码、地址、联系人、联系方式等；</w:t>
      </w:r>
    </w:p>
    <w:p>
      <w:pPr>
        <w:pStyle w:val="152"/>
      </w:pPr>
      <w:r>
        <w:t>评估对象信息</w:t>
      </w:r>
      <w:r>
        <w:rPr>
          <w:rFonts w:hint="eastAsia"/>
        </w:rPr>
        <w:t>：</w:t>
      </w:r>
      <w:r>
        <w:t>包括产品型号/类型、主要技术参数、制造商及厂址等；</w:t>
      </w:r>
    </w:p>
    <w:p>
      <w:pPr>
        <w:pStyle w:val="152"/>
      </w:pPr>
      <w:r>
        <w:t>采用的标准信息</w:t>
      </w:r>
      <w:r>
        <w:rPr>
          <w:rFonts w:hint="eastAsia"/>
        </w:rPr>
        <w:t>：</w:t>
      </w:r>
      <w:r>
        <w:t>包括标准名称、标准号等。</w:t>
      </w:r>
    </w:p>
    <w:p>
      <w:pPr>
        <w:pStyle w:val="50"/>
        <w:spacing w:before="120" w:after="120"/>
      </w:pPr>
      <w:r>
        <w:rPr>
          <w:rFonts w:hint="eastAsia"/>
        </w:rPr>
        <w:t>生命周期评价</w:t>
      </w:r>
    </w:p>
    <w:p>
      <w:pPr>
        <w:pStyle w:val="77"/>
        <w:spacing w:before="120" w:after="120"/>
      </w:pPr>
      <w:r>
        <w:rPr>
          <w:rFonts w:hint="eastAsia"/>
        </w:rPr>
        <w:t>评价对象及工具</w:t>
      </w:r>
    </w:p>
    <w:p>
      <w:pPr>
        <w:ind w:firstLine="420" w:firstLineChars="200"/>
        <w:rPr>
          <w:rFonts w:ascii="宋体" w:hAnsi="宋体"/>
        </w:rPr>
      </w:pPr>
      <w:r>
        <w:rPr>
          <w:rFonts w:hint="eastAsia" w:ascii="宋体" w:hAnsi="宋体"/>
        </w:rPr>
        <w:t>报告中应详细描述评估的对象、功能单位和产品主要功能，提供人造革的材料组成及主要技术参数表，绘制并说明人造革的系统边界，披露所使用的软件工具。</w:t>
      </w:r>
    </w:p>
    <w:p>
      <w:pPr>
        <w:ind w:firstLine="420" w:firstLineChars="200"/>
        <w:rPr>
          <w:rFonts w:ascii="宋体" w:hAnsi="宋体"/>
        </w:rPr>
      </w:pPr>
      <w:r>
        <w:rPr>
          <w:rFonts w:hint="eastAsia" w:ascii="宋体" w:hAnsi="宋体"/>
        </w:rPr>
        <w:t>本文件可以“每万米游艇用聚氯乙烯人造革”为功能单位来表示。</w:t>
      </w:r>
    </w:p>
    <w:p>
      <w:pPr>
        <w:pStyle w:val="77"/>
        <w:spacing w:before="120" w:after="120"/>
      </w:pPr>
      <w:r>
        <w:rPr>
          <w:rFonts w:hint="eastAsia"/>
        </w:rPr>
        <w:t>生命周期清单分析</w:t>
      </w:r>
    </w:p>
    <w:p>
      <w:pPr>
        <w:ind w:firstLine="420" w:firstLineChars="200"/>
        <w:rPr>
          <w:rFonts w:ascii="宋体" w:hAnsi="宋体"/>
        </w:rPr>
      </w:pPr>
      <w:r>
        <w:rPr>
          <w:rFonts w:hint="eastAsia" w:ascii="宋体" w:hAnsi="宋体"/>
        </w:rPr>
        <w:t>报告中应提供考虑的生命周期阶段，说明每个阶段所考虑的清单因子及收集到的现场数据或背景数据，涉及到数据分配情况的应说明分配方法。</w:t>
      </w:r>
    </w:p>
    <w:p>
      <w:pPr>
        <w:pStyle w:val="77"/>
        <w:spacing w:before="120" w:after="120"/>
        <w:rPr>
          <w:rFonts w:ascii="宋体" w:hAnsi="宋体"/>
        </w:rPr>
      </w:pPr>
      <w:r>
        <w:rPr>
          <w:rFonts w:hint="eastAsia"/>
        </w:rPr>
        <w:t>生命周期影响评价</w:t>
      </w:r>
    </w:p>
    <w:p>
      <w:pPr>
        <w:ind w:firstLine="420" w:firstLineChars="200"/>
        <w:rPr>
          <w:rFonts w:ascii="宋体" w:hAnsi="宋体"/>
        </w:rPr>
      </w:pPr>
      <w:r>
        <w:rPr>
          <w:rFonts w:hint="eastAsia" w:ascii="宋体" w:hAnsi="宋体"/>
        </w:rPr>
        <w:t>报告中应提供人造革生命周期各阶段的不同影响类型的特征化结果，并对不同影响类型在生命周期阶段的分布情况进行比较分析。</w:t>
      </w:r>
    </w:p>
    <w:p>
      <w:pPr>
        <w:pStyle w:val="77"/>
        <w:spacing w:before="120" w:after="120"/>
      </w:pPr>
      <w:r>
        <w:rPr>
          <w:rFonts w:hint="eastAsia"/>
        </w:rPr>
        <w:t>生态设计改进方案</w:t>
      </w:r>
    </w:p>
    <w:p>
      <w:pPr>
        <w:ind w:firstLine="420" w:firstLineChars="200"/>
        <w:rPr>
          <w:rFonts w:ascii="宋体" w:hAnsi="宋体"/>
        </w:rPr>
      </w:pPr>
      <w:r>
        <w:rPr>
          <w:rFonts w:hint="eastAsia" w:ascii="宋体" w:hAnsi="宋体"/>
        </w:rPr>
        <w:t>在生命周期影响评价结果的基础上,提出人造革绿色设计改进的具体建议。</w:t>
      </w:r>
    </w:p>
    <w:p>
      <w:pPr>
        <w:pStyle w:val="50"/>
        <w:spacing w:before="120" w:after="120"/>
      </w:pPr>
      <w:r>
        <w:rPr>
          <w:rFonts w:hint="eastAsia"/>
        </w:rPr>
        <w:t>评价报告主要结论</w:t>
      </w:r>
    </w:p>
    <w:p>
      <w:pPr>
        <w:ind w:firstLine="420" w:firstLineChars="200"/>
        <w:rPr>
          <w:rFonts w:ascii="宋体" w:hAnsi="宋体"/>
        </w:rPr>
      </w:pPr>
      <w:r>
        <w:rPr>
          <w:rFonts w:hint="eastAsia" w:ascii="宋体" w:hAnsi="宋体"/>
          <w:kern w:val="0"/>
        </w:rPr>
        <w:t>应包括产品生命周期评价结果及提出的改进建议</w:t>
      </w:r>
      <w:r>
        <w:rPr>
          <w:rFonts w:hint="eastAsia" w:ascii="宋体" w:hAnsi="宋体"/>
        </w:rPr>
        <w:t>，并根据评价结论初步判断该产品是否为绿色设计产品。</w:t>
      </w:r>
    </w:p>
    <w:p>
      <w:pPr>
        <w:pStyle w:val="50"/>
        <w:spacing w:before="120" w:after="120"/>
      </w:pPr>
      <w:r>
        <w:rPr>
          <w:rFonts w:hint="eastAsia"/>
        </w:rPr>
        <w:t>附件</w:t>
      </w:r>
    </w:p>
    <w:p>
      <w:pPr>
        <w:ind w:firstLine="420" w:firstLineChars="200"/>
        <w:rPr>
          <w:rFonts w:ascii="宋体" w:hAnsi="宋体"/>
        </w:rPr>
      </w:pPr>
      <w:r>
        <w:rPr>
          <w:rFonts w:hint="eastAsia" w:ascii="宋体" w:hAnsi="宋体"/>
        </w:rPr>
        <w:t>附件包括：</w:t>
      </w:r>
    </w:p>
    <w:p>
      <w:pPr>
        <w:pStyle w:val="152"/>
        <w:numPr>
          <w:ilvl w:val="0"/>
          <w:numId w:val="36"/>
        </w:numPr>
      </w:pPr>
      <w:r>
        <w:rPr>
          <w:rFonts w:hint="eastAsia"/>
        </w:rPr>
        <w:t>产品生产材料清单；</w:t>
      </w:r>
    </w:p>
    <w:p>
      <w:pPr>
        <w:pStyle w:val="152"/>
      </w:pPr>
      <w:r>
        <w:rPr>
          <w:rFonts w:hint="eastAsia"/>
        </w:rPr>
        <w:t>产品工艺表（产品生产工艺过程示意图等）；</w:t>
      </w:r>
    </w:p>
    <w:p>
      <w:pPr>
        <w:pStyle w:val="152"/>
      </w:pPr>
      <w:r>
        <w:rPr>
          <w:rFonts w:hint="eastAsia"/>
        </w:rPr>
        <w:t>各单元过程的数据收集表；</w:t>
      </w:r>
    </w:p>
    <w:p>
      <w:pPr>
        <w:pStyle w:val="152"/>
      </w:pPr>
      <w:r>
        <w:rPr>
          <w:rFonts w:hint="eastAsia"/>
        </w:rPr>
        <w:t>其他。</w:t>
      </w:r>
    </w:p>
    <w:p>
      <w:pPr>
        <w:pStyle w:val="84"/>
        <w:spacing w:before="240" w:after="240"/>
      </w:pPr>
      <w:bookmarkStart w:id="68" w:name="_Toc9416542"/>
      <w:bookmarkStart w:id="69" w:name="_Toc14866936"/>
      <w:bookmarkStart w:id="70" w:name="_Toc126133976"/>
      <w:bookmarkStart w:id="71" w:name="_Toc126226133"/>
      <w:bookmarkStart w:id="72" w:name="_Toc126667254"/>
      <w:bookmarkStart w:id="73" w:name="_Toc142490387"/>
      <w:r>
        <w:rPr>
          <w:rFonts w:hint="eastAsia"/>
        </w:rPr>
        <w:t>评价</w:t>
      </w:r>
      <w:bookmarkEnd w:id="68"/>
      <w:bookmarkEnd w:id="69"/>
      <w:r>
        <w:rPr>
          <w:rFonts w:hint="eastAsia"/>
        </w:rPr>
        <w:t>方法</w:t>
      </w:r>
      <w:bookmarkEnd w:id="70"/>
      <w:bookmarkEnd w:id="71"/>
      <w:bookmarkEnd w:id="72"/>
      <w:bookmarkEnd w:id="73"/>
    </w:p>
    <w:p>
      <w:pPr>
        <w:widowControl/>
        <w:tabs>
          <w:tab w:val="center" w:pos="4201"/>
          <w:tab w:val="right" w:leader="dot" w:pos="9298"/>
        </w:tabs>
        <w:autoSpaceDE w:val="0"/>
        <w:autoSpaceDN w:val="0"/>
        <w:ind w:firstLine="420" w:firstLineChars="200"/>
      </w:pPr>
      <w:bookmarkStart w:id="74" w:name="_Hlk109740933"/>
      <w:r>
        <w:rPr>
          <w:rFonts w:hint="eastAsia"/>
        </w:rPr>
        <w:t>企业按本文件4开展自我评价或第三方评价，人造革</w:t>
      </w:r>
      <w:bookmarkStart w:id="75" w:name="_Hlk109740996"/>
      <w:r>
        <w:rPr>
          <w:rFonts w:hint="eastAsia"/>
        </w:rPr>
        <w:t>产品</w:t>
      </w:r>
      <w:bookmarkEnd w:id="75"/>
      <w:r>
        <w:rPr>
          <w:rFonts w:hint="eastAsia"/>
        </w:rPr>
        <w:t>满足以下条件并按照相关程序要求经过公示无异议后为绿色设计产品：</w:t>
      </w:r>
    </w:p>
    <w:p>
      <w:pPr>
        <w:widowControl/>
        <w:tabs>
          <w:tab w:val="center" w:pos="4201"/>
          <w:tab w:val="right" w:leader="dot" w:pos="9298"/>
        </w:tabs>
        <w:autoSpaceDE w:val="0"/>
        <w:autoSpaceDN w:val="0"/>
        <w:ind w:firstLine="420" w:firstLineChars="200"/>
      </w:pPr>
      <w:r>
        <w:rPr>
          <w:rFonts w:hint="eastAsia"/>
        </w:rPr>
        <w:t>——满足本文件4</w:t>
      </w:r>
      <w:r>
        <w:t>.1</w:t>
      </w:r>
      <w:r>
        <w:rPr>
          <w:rFonts w:hint="eastAsia"/>
        </w:rPr>
        <w:t>的要求；</w:t>
      </w:r>
    </w:p>
    <w:p>
      <w:pPr>
        <w:widowControl/>
        <w:tabs>
          <w:tab w:val="center" w:pos="4201"/>
          <w:tab w:val="right" w:leader="dot" w:pos="9298"/>
        </w:tabs>
        <w:autoSpaceDE w:val="0"/>
        <w:autoSpaceDN w:val="0"/>
        <w:ind w:firstLine="420" w:firstLineChars="200"/>
      </w:pPr>
      <w:r>
        <w:rPr>
          <w:rFonts w:hint="eastAsia"/>
        </w:rPr>
        <w:t>——满足本文件4.</w:t>
      </w:r>
      <w:r>
        <w:t>2</w:t>
      </w:r>
      <w:r>
        <w:rPr>
          <w:rFonts w:hint="eastAsia"/>
        </w:rPr>
        <w:t>的要求；</w:t>
      </w:r>
    </w:p>
    <w:p>
      <w:pPr>
        <w:widowControl/>
        <w:tabs>
          <w:tab w:val="center" w:pos="4201"/>
          <w:tab w:val="right" w:leader="dot" w:pos="9298"/>
        </w:tabs>
        <w:autoSpaceDE w:val="0"/>
        <w:autoSpaceDN w:val="0"/>
        <w:ind w:firstLine="420" w:firstLineChars="200"/>
      </w:pPr>
      <w:r>
        <w:rPr>
          <w:rFonts w:hint="eastAsia"/>
        </w:rPr>
        <w:t>——按照5提供人造革合品生命周期评价报告的。</w:t>
      </w:r>
    </w:p>
    <w:p>
      <w:pPr>
        <w:ind w:firstLine="420" w:firstLineChars="200"/>
        <w:rPr>
          <w:rFonts w:hAnsi="宋体"/>
        </w:rPr>
      </w:pPr>
      <w:r>
        <w:rPr>
          <w:rFonts w:hAnsi="宋体"/>
        </w:rPr>
        <w:t>判定为绿色设计产品的可按照</w:t>
      </w:r>
      <w:r>
        <w:t>GB/T</w:t>
      </w:r>
      <w:r>
        <w:rPr>
          <w:rFonts w:hint="eastAsia"/>
        </w:rPr>
        <w:t xml:space="preserve"> </w:t>
      </w:r>
      <w:r>
        <w:t>32162</w:t>
      </w:r>
      <w:r>
        <w:rPr>
          <w:rFonts w:hAnsi="宋体"/>
        </w:rPr>
        <w:t>－</w:t>
      </w:r>
      <w:r>
        <w:t>2015</w:t>
      </w:r>
      <w:r>
        <w:rPr>
          <w:rFonts w:hAnsi="宋体"/>
        </w:rPr>
        <w:t>的要求粘贴标识，可以各种形式进行相关信息自我声明，声明内容应包括但不限于本</w:t>
      </w:r>
      <w:r>
        <w:rPr>
          <w:rFonts w:hint="eastAsia" w:hAnsi="宋体"/>
        </w:rPr>
        <w:t>文件</w:t>
      </w:r>
      <w:r>
        <w:t>4.1</w:t>
      </w:r>
      <w:r>
        <w:rPr>
          <w:rFonts w:hAnsi="宋体"/>
        </w:rPr>
        <w:t>和</w:t>
      </w:r>
      <w:r>
        <w:t>4.2</w:t>
      </w:r>
      <w:r>
        <w:rPr>
          <w:rFonts w:hAnsi="宋体"/>
        </w:rPr>
        <w:t>的要求，但</w:t>
      </w:r>
      <w:r>
        <w:rPr>
          <w:rFonts w:hint="eastAsia" w:hAnsi="宋体"/>
        </w:rPr>
        <w:t>应</w:t>
      </w:r>
      <w:r>
        <w:rPr>
          <w:rFonts w:hAnsi="宋体"/>
        </w:rPr>
        <w:t>提供相关的符合有关要求的验证说明材料。</w:t>
      </w:r>
      <w:bookmarkEnd w:id="74"/>
    </w:p>
    <w:p>
      <w:pPr>
        <w:ind w:firstLine="420" w:firstLineChars="200"/>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720" w:num="1"/>
          <w:formProt w:val="0"/>
          <w:docGrid w:linePitch="312" w:charSpace="0"/>
        </w:sectPr>
      </w:pPr>
    </w:p>
    <w:bookmarkEnd w:id="20"/>
    <w:p>
      <w:pPr>
        <w:pStyle w:val="173"/>
      </w:pPr>
      <w:bookmarkStart w:id="76" w:name="BookMark5"/>
    </w:p>
    <w:p>
      <w:pPr>
        <w:pStyle w:val="174"/>
      </w:pPr>
    </w:p>
    <w:p>
      <w:pPr>
        <w:pStyle w:val="60"/>
        <w:spacing w:after="120"/>
      </w:pPr>
      <w:r>
        <w:br w:type="textWrapping"/>
      </w:r>
      <w:bookmarkStart w:id="77" w:name="_Toc126667255"/>
      <w:bookmarkStart w:id="78" w:name="_Toc142490388"/>
      <w:bookmarkStart w:id="79" w:name="_Toc126226134"/>
      <w:bookmarkStart w:id="80" w:name="_Toc126133977"/>
      <w:r>
        <w:rPr>
          <w:rFonts w:hint="eastAsia"/>
        </w:rPr>
        <w:t>（规范性）</w:t>
      </w:r>
      <w:r>
        <w:br w:type="textWrapping"/>
      </w:r>
      <w:r>
        <w:rPr>
          <w:rFonts w:hint="eastAsia"/>
        </w:rPr>
        <w:t>指标计算方法</w:t>
      </w:r>
      <w:bookmarkEnd w:id="77"/>
      <w:bookmarkEnd w:id="78"/>
      <w:bookmarkEnd w:id="79"/>
      <w:bookmarkEnd w:id="80"/>
    </w:p>
    <w:p>
      <w:pPr>
        <w:pStyle w:val="62"/>
        <w:spacing w:before="120" w:after="120"/>
      </w:pPr>
      <w:r>
        <w:t>单位产品综合能耗</w:t>
      </w:r>
    </w:p>
    <w:p>
      <w:pPr>
        <w:ind w:firstLine="420" w:firstLineChars="200"/>
      </w:pPr>
      <w:r>
        <w:rPr>
          <w:rFonts w:hAnsi="宋体"/>
          <w:color w:val="000000"/>
        </w:rPr>
        <w:t>综合能耗中如涉及外</w:t>
      </w:r>
      <w:r>
        <w:rPr>
          <w:rFonts w:hAnsi="宋体"/>
        </w:rPr>
        <w:t>购能源，则外购燃料能源一般以其实物发热量为计算基础折算为标准煤量，外购电按当量值折算成标煤。企业消耗的各种能源包括主要生产系统、辅助生产系统和附属生产系统用能，不包括冬季采暖用能、生活用能和基建项目用能。</w:t>
      </w:r>
    </w:p>
    <w:p>
      <w:pPr>
        <w:spacing w:line="240" w:lineRule="auto"/>
        <w:ind w:firstLine="420" w:firstLineChars="200"/>
        <w:rPr>
          <w:rFonts w:hAnsi="宋体"/>
          <w:color w:val="000000"/>
        </w:rPr>
      </w:pPr>
      <w:r>
        <w:rPr>
          <w:rFonts w:hAnsi="宋体"/>
        </w:rPr>
        <w:t>单位产品综合能耗指合成革企业在计划统计期内，对实际消耗的各种能源实物量按规定的计算方法和单位分别折算为一次能</w:t>
      </w:r>
      <w:r>
        <w:rPr>
          <w:rFonts w:hAnsi="宋体"/>
          <w:color w:val="000000"/>
        </w:rPr>
        <w:t>源后的总和。综合能耗主要包括一次能源（如煤、石油、天然气等）、二次能源（如蒸汽、电力等）和直接用于生产的能耗工质（如冷却水、压缩空气等）。具体综合能耗按照</w:t>
      </w:r>
      <w:r>
        <w:rPr>
          <w:color w:val="000000"/>
        </w:rPr>
        <w:t>GB/T 2589</w:t>
      </w:r>
      <w:r>
        <w:rPr>
          <w:rFonts w:hAnsi="宋体"/>
          <w:color w:val="000000"/>
        </w:rPr>
        <w:t>计算。按公式</w:t>
      </w:r>
      <w:r>
        <w:rPr>
          <w:rFonts w:hint="eastAsia" w:hAnsi="宋体"/>
          <w:color w:val="000000"/>
        </w:rPr>
        <w:t>（</w:t>
      </w:r>
      <w:r>
        <w:rPr>
          <w:color w:val="000000"/>
        </w:rPr>
        <w:t>A.1</w:t>
      </w:r>
      <w:r>
        <w:rPr>
          <w:rFonts w:hint="eastAsia" w:hAnsi="宋体"/>
          <w:color w:val="000000"/>
        </w:rPr>
        <w:t>）</w:t>
      </w:r>
      <w:r>
        <w:rPr>
          <w:rFonts w:hAnsi="宋体"/>
          <w:color w:val="000000"/>
        </w:rPr>
        <w:t>计算：</w:t>
      </w:r>
    </w:p>
    <w:p>
      <w:pPr>
        <w:spacing w:line="240" w:lineRule="auto"/>
        <w:ind w:firstLine="420" w:firstLineChars="200"/>
        <w:jc w:val="right"/>
        <w:rPr>
          <w:color w:val="000000"/>
        </w:rPr>
      </w:pPr>
      <w:r>
        <w:rPr>
          <w:rFonts w:hint="eastAsia" w:ascii="宋体" w:hAnsi="宋体"/>
          <w:color w:val="000000"/>
        </w:rPr>
        <w:t xml:space="preserve">       </w:t>
      </w:r>
      <w:r>
        <w:rPr>
          <w:rFonts w:ascii="宋体" w:hAnsi="宋体" w:eastAsia="宋体" w:cs="Times New Roman"/>
          <w:color w:val="000000"/>
          <w:kern w:val="2"/>
          <w:position w:val="-30"/>
          <w:sz w:val="21"/>
          <w:szCs w:val="21"/>
          <w:lang w:val="en-US" w:eastAsia="zh-CN" w:bidi="ar-SA"/>
        </w:rPr>
        <w:object>
          <v:shape id="_x0000_i1025" o:spt="75" type="#_x0000_t75" style="height:36pt;width:48pt;" o:ole="t" fillcolor="#FFFFFF" filled="f" o:preferrelative="t" stroked="f" coordsize="21600,21600">
            <v:path/>
            <v:fill on="f" color2="#FFFFFF" focussize="0,0"/>
            <v:stroke on="f"/>
            <v:imagedata r:id="rId55" gain="65536f" blacklevel="0f" gamma="0" o:title=""/>
            <o:lock v:ext="edit" position="f" selection="f" grouping="f" rotation="f" cropping="f" text="f" aspectratio="t"/>
            <w10:wrap type="none"/>
            <w10:anchorlock/>
          </v:shape>
          <o:OLEObject Type="Embed" ProgID="" ShapeID="_x0000_i1025" DrawAspect="Content" ObjectID="_1468075725" r:id="rId54">
            <o:LockedField>false</o:LockedField>
          </o:OLEObject>
        </w:object>
      </w:r>
      <w:r>
        <w:rPr>
          <w:rFonts w:ascii="宋体" w:hAnsi="宋体"/>
          <w:color w:val="000000"/>
        </w:rPr>
        <w:t>………………………………………………</w:t>
      </w:r>
      <w:r>
        <w:rPr>
          <w:rFonts w:hAnsi="宋体"/>
          <w:color w:val="000000"/>
        </w:rPr>
        <w:t>（</w:t>
      </w:r>
      <w:r>
        <w:rPr>
          <w:color w:val="000000"/>
        </w:rPr>
        <w:t>A.1</w:t>
      </w:r>
      <w:r>
        <w:rPr>
          <w:rFonts w:hAnsi="宋体"/>
          <w:color w:val="000000"/>
        </w:rPr>
        <w:t>）</w:t>
      </w:r>
    </w:p>
    <w:p>
      <w:pPr>
        <w:spacing w:line="240" w:lineRule="auto"/>
        <w:ind w:firstLine="420" w:firstLineChars="200"/>
        <w:rPr>
          <w:rFonts w:hAnsi="宋体"/>
          <w:color w:val="000000"/>
        </w:rPr>
      </w:pPr>
      <w:r>
        <w:rPr>
          <w:rFonts w:hAnsi="宋体"/>
          <w:color w:val="000000"/>
        </w:rPr>
        <w:t>式中：</w:t>
      </w:r>
    </w:p>
    <w:p>
      <w:pPr>
        <w:ind w:firstLine="420" w:firstLineChars="200"/>
        <w:rPr>
          <w:rFonts w:hAnsi="宋体"/>
          <w:color w:val="000000"/>
        </w:rPr>
      </w:pPr>
      <w:r>
        <w:rPr>
          <w:rFonts w:hint="eastAsia"/>
          <w:i/>
          <w:color w:val="000000"/>
        </w:rPr>
        <w:t>E</w:t>
      </w:r>
      <w:r>
        <w:rPr>
          <w:rFonts w:hint="eastAsia"/>
          <w:color w:val="000000"/>
          <w:vertAlign w:val="subscript"/>
        </w:rPr>
        <w:t>ui</w:t>
      </w:r>
      <w:r>
        <w:rPr>
          <w:color w:val="000000"/>
        </w:rPr>
        <w:t>—</w:t>
      </w:r>
      <w:r>
        <w:rPr>
          <w:rFonts w:hAnsi="宋体"/>
          <w:color w:val="000000"/>
        </w:rPr>
        <w:t>单位产品综合能耗，单位为吨标煤每万米</w:t>
      </w:r>
      <w:r>
        <w:rPr>
          <w:rFonts w:hint="eastAsia" w:hAnsi="宋体"/>
          <w:color w:val="000000"/>
        </w:rPr>
        <w:t>（</w:t>
      </w:r>
      <w:r>
        <w:rPr>
          <w:color w:val="000000"/>
        </w:rPr>
        <w:t>tce/10</w:t>
      </w:r>
      <w:r>
        <w:rPr>
          <w:color w:val="000000"/>
          <w:vertAlign w:val="superscript"/>
        </w:rPr>
        <w:t>4</w:t>
      </w:r>
      <w:r>
        <w:rPr>
          <w:color w:val="000000"/>
        </w:rPr>
        <w:t xml:space="preserve"> m</w:t>
      </w:r>
      <w:r>
        <w:rPr>
          <w:rFonts w:hint="eastAsia" w:hAnsi="宋体"/>
          <w:color w:val="000000"/>
        </w:rPr>
        <w:t>）</w:t>
      </w:r>
      <w:r>
        <w:rPr>
          <w:rFonts w:hAnsi="宋体"/>
          <w:color w:val="000000"/>
        </w:rPr>
        <w:t>；</w:t>
      </w:r>
    </w:p>
    <w:p>
      <w:pPr>
        <w:ind w:firstLine="420" w:firstLineChars="200"/>
        <w:rPr>
          <w:rFonts w:hAnsi="宋体"/>
          <w:color w:val="000000"/>
        </w:rPr>
      </w:pPr>
      <w:r>
        <w:rPr>
          <w:rFonts w:hint="eastAsia"/>
          <w:i/>
          <w:color w:val="000000"/>
        </w:rPr>
        <w:t>E</w:t>
      </w:r>
      <w:r>
        <w:rPr>
          <w:rFonts w:hint="eastAsia"/>
          <w:color w:val="000000"/>
          <w:vertAlign w:val="subscript"/>
        </w:rPr>
        <w:t>i</w:t>
      </w:r>
      <w:r>
        <w:rPr>
          <w:color w:val="000000"/>
        </w:rPr>
        <w:t>—</w:t>
      </w:r>
      <w:r>
        <w:rPr>
          <w:rFonts w:hAnsi="宋体"/>
          <w:color w:val="000000"/>
        </w:rPr>
        <w:t>在一定计量时间内产品生产的综合能耗，单位为吨标煤</w:t>
      </w:r>
      <w:r>
        <w:rPr>
          <w:rFonts w:hint="eastAsia" w:hAnsi="宋体"/>
          <w:color w:val="000000"/>
        </w:rPr>
        <w:t>（</w:t>
      </w:r>
      <w:r>
        <w:rPr>
          <w:color w:val="000000"/>
        </w:rPr>
        <w:t>tce</w:t>
      </w:r>
      <w:r>
        <w:rPr>
          <w:rFonts w:hint="eastAsia" w:hAnsi="宋体"/>
          <w:color w:val="000000"/>
        </w:rPr>
        <w:t>）</w:t>
      </w:r>
      <w:r>
        <w:rPr>
          <w:rFonts w:hAnsi="宋体"/>
          <w:color w:val="000000"/>
        </w:rPr>
        <w:t>；</w:t>
      </w:r>
    </w:p>
    <w:p>
      <w:pPr>
        <w:ind w:firstLine="420" w:firstLineChars="200"/>
        <w:rPr>
          <w:rFonts w:hAnsi="宋体"/>
          <w:color w:val="000000"/>
        </w:rPr>
      </w:pPr>
      <w:r>
        <w:rPr>
          <w:rFonts w:hint="eastAsia"/>
          <w:i/>
          <w:color w:val="000000"/>
        </w:rPr>
        <w:t>Q</w:t>
      </w:r>
      <w:r>
        <w:rPr>
          <w:rFonts w:hint="eastAsia"/>
          <w:color w:val="000000"/>
          <w:vertAlign w:val="subscript"/>
        </w:rPr>
        <w:t>bz</w:t>
      </w:r>
      <w:r>
        <w:rPr>
          <w:color w:val="000000"/>
        </w:rPr>
        <w:t>—</w:t>
      </w:r>
      <w:r>
        <w:rPr>
          <w:rFonts w:hAnsi="宋体"/>
          <w:color w:val="000000"/>
        </w:rPr>
        <w:t>在一定计量时间内合成革标准品产量，单位为万米</w:t>
      </w:r>
      <w:r>
        <w:rPr>
          <w:rFonts w:hint="eastAsia" w:hAnsi="宋体"/>
          <w:color w:val="000000"/>
        </w:rPr>
        <w:t>（</w:t>
      </w:r>
      <w:r>
        <w:rPr>
          <w:color w:val="000000"/>
        </w:rPr>
        <w:t>10</w:t>
      </w:r>
      <w:r>
        <w:rPr>
          <w:color w:val="000000"/>
          <w:vertAlign w:val="superscript"/>
        </w:rPr>
        <w:t>4</w:t>
      </w:r>
      <w:r>
        <w:rPr>
          <w:color w:val="000000"/>
        </w:rPr>
        <w:t xml:space="preserve"> m</w:t>
      </w:r>
      <w:r>
        <w:rPr>
          <w:rFonts w:hint="eastAsia" w:hAnsi="宋体"/>
          <w:color w:val="000000"/>
        </w:rPr>
        <w:t>）</w:t>
      </w:r>
      <w:r>
        <w:rPr>
          <w:rFonts w:hAnsi="宋体"/>
          <w:color w:val="000000"/>
        </w:rPr>
        <w:t>。</w:t>
      </w:r>
    </w:p>
    <w:p>
      <w:pPr>
        <w:pStyle w:val="62"/>
        <w:spacing w:before="120" w:after="120"/>
      </w:pPr>
      <w:r>
        <w:t>单位产品取水量</w:t>
      </w:r>
    </w:p>
    <w:p>
      <w:pPr>
        <w:spacing w:line="240" w:lineRule="auto"/>
        <w:ind w:firstLine="420" w:firstLineChars="200"/>
        <w:rPr>
          <w:rFonts w:hAnsi="宋体"/>
          <w:color w:val="000000"/>
        </w:rPr>
      </w:pPr>
      <w:r>
        <w:rPr>
          <w:rFonts w:hAnsi="宋体"/>
          <w:color w:val="000000"/>
        </w:rPr>
        <w:t>企业在一定计量时间内生产单位产品需要从各种水源所取得的水量。工业生产取水量，包括取自地表水（以净水厂供水计量）、地下水、城镇供水工程，以及企业从市场购得的其他水或水的产品（如蒸汽、热水、地热水等），不包括企业自取的海水和苦咸水等以及企业为外供给市场的水的产品（如蒸汽、热水、地热水等）而取用的水量。按公式</w:t>
      </w:r>
      <w:r>
        <w:rPr>
          <w:rFonts w:hint="eastAsia"/>
          <w:color w:val="000000"/>
        </w:rPr>
        <w:t>（</w:t>
      </w:r>
      <w:r>
        <w:rPr>
          <w:color w:val="000000"/>
        </w:rPr>
        <w:t xml:space="preserve">A.2 </w:t>
      </w:r>
      <w:r>
        <w:rPr>
          <w:rFonts w:hint="eastAsia"/>
          <w:color w:val="000000"/>
        </w:rPr>
        <w:t>）</w:t>
      </w:r>
      <w:r>
        <w:rPr>
          <w:rFonts w:hAnsi="宋体"/>
          <w:color w:val="000000"/>
        </w:rPr>
        <w:t>计算：</w:t>
      </w:r>
    </w:p>
    <w:p>
      <w:pPr>
        <w:spacing w:line="240" w:lineRule="auto"/>
        <w:ind w:firstLine="420" w:firstLineChars="200"/>
        <w:jc w:val="right"/>
        <w:rPr>
          <w:color w:val="000000"/>
        </w:rPr>
      </w:pPr>
      <w:r>
        <w:rPr>
          <w:rFonts w:ascii="Calibri" w:hAnsi="宋体" w:eastAsia="宋体" w:cs="Times New Roman"/>
          <w:color w:val="000000"/>
          <w:kern w:val="2"/>
          <w:position w:val="-30"/>
          <w:sz w:val="21"/>
          <w:szCs w:val="21"/>
          <w:lang w:val="en-US" w:eastAsia="zh-CN" w:bidi="ar-SA"/>
        </w:rPr>
        <w:object>
          <v:shape id="_x0000_i1026" o:spt="75" type="#_x0000_t75" style="height:36pt;width:48pt;" o:ole="t" fillcolor="#FFFFFF" filled="f" o:preferrelative="t" stroked="f" coordsize="21600,21600">
            <v:path/>
            <v:fill on="f" color2="#FFFFFF" focussize="0,0"/>
            <v:stroke on="f"/>
            <v:imagedata r:id="rId57" gain="65536f" blacklevel="0f" gamma="0" o:title=""/>
            <o:lock v:ext="edit" position="f" selection="f" grouping="f" rotation="f" cropping="f" text="f" aspectratio="t"/>
            <w10:wrap type="none"/>
            <w10:anchorlock/>
          </v:shape>
          <o:OLEObject Type="Embed" ProgID="" ShapeID="_x0000_i1026" DrawAspect="Content" ObjectID="_1468075726" r:id="rId56">
            <o:LockedField>false</o:LockedField>
          </o:OLEObject>
        </w:object>
      </w:r>
      <w:r>
        <w:rPr>
          <w:rFonts w:ascii="宋体" w:hAnsi="宋体"/>
          <w:color w:val="000000"/>
        </w:rPr>
        <w:t>…………………………………………………</w:t>
      </w:r>
      <w:r>
        <w:rPr>
          <w:rFonts w:hAnsi="宋体"/>
          <w:color w:val="000000"/>
        </w:rPr>
        <w:t>（</w:t>
      </w:r>
      <w:r>
        <w:rPr>
          <w:color w:val="000000"/>
        </w:rPr>
        <w:t>A.2</w:t>
      </w:r>
      <w:r>
        <w:rPr>
          <w:rFonts w:hAnsi="宋体"/>
          <w:color w:val="000000"/>
        </w:rPr>
        <w:t>）</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rFonts w:hAnsi="宋体"/>
          <w:color w:val="000000"/>
        </w:rPr>
      </w:pPr>
      <w:r>
        <w:rPr>
          <w:rFonts w:hint="eastAsia" w:hAnsi="宋体"/>
          <w:i/>
          <w:color w:val="000000"/>
        </w:rPr>
        <w:t>V</w:t>
      </w:r>
      <w:r>
        <w:rPr>
          <w:rFonts w:hint="eastAsia" w:hAnsi="宋体"/>
          <w:color w:val="000000"/>
          <w:vertAlign w:val="subscript"/>
        </w:rPr>
        <w:t>ui</w:t>
      </w:r>
      <w:r>
        <w:rPr>
          <w:color w:val="000000"/>
        </w:rPr>
        <w:t>—单位产品取水量，单位为立方米每万米</w:t>
      </w:r>
      <w:r>
        <w:rPr>
          <w:rFonts w:hint="eastAsia"/>
          <w:color w:val="000000"/>
        </w:rPr>
        <w:t>（</w:t>
      </w:r>
      <w:r>
        <w:rPr>
          <w:color w:val="000000"/>
        </w:rPr>
        <w:t>m³/10</w:t>
      </w:r>
      <w:r>
        <w:rPr>
          <w:color w:val="000000"/>
          <w:vertAlign w:val="superscript"/>
        </w:rPr>
        <w:t>4</w:t>
      </w:r>
      <w:r>
        <w:rPr>
          <w:color w:val="000000"/>
        </w:rPr>
        <w:t xml:space="preserve"> m</w:t>
      </w:r>
      <w:r>
        <w:rPr>
          <w:rFonts w:hint="eastAsia"/>
          <w:color w:val="000000"/>
        </w:rPr>
        <w:t>）</w:t>
      </w:r>
      <w:r>
        <w:rPr>
          <w:color w:val="000000"/>
        </w:rPr>
        <w:t>；</w:t>
      </w:r>
    </w:p>
    <w:p>
      <w:pPr>
        <w:spacing w:line="240" w:lineRule="auto"/>
        <w:ind w:firstLine="420" w:firstLineChars="200"/>
        <w:rPr>
          <w:rFonts w:hAnsi="宋体"/>
          <w:color w:val="000000"/>
        </w:rPr>
      </w:pPr>
      <w:r>
        <w:rPr>
          <w:rFonts w:hint="eastAsia"/>
          <w:i/>
          <w:color w:val="000000"/>
        </w:rPr>
        <w:t>V</w:t>
      </w:r>
      <w:r>
        <w:rPr>
          <w:rFonts w:hint="eastAsia"/>
          <w:color w:val="000000"/>
          <w:vertAlign w:val="subscript"/>
        </w:rPr>
        <w:t>i</w:t>
      </w:r>
      <w:r>
        <w:rPr>
          <w:color w:val="000000"/>
        </w:rPr>
        <w:t>—在一定计量时间内产品生产取水量，单位为立方米</w:t>
      </w:r>
      <w:r>
        <w:rPr>
          <w:rFonts w:hint="eastAsia"/>
          <w:color w:val="000000"/>
        </w:rPr>
        <w:t>（</w:t>
      </w:r>
      <w:r>
        <w:rPr>
          <w:color w:val="000000"/>
        </w:rPr>
        <w:t>m³</w:t>
      </w:r>
      <w:r>
        <w:rPr>
          <w:rFonts w:hint="eastAsia"/>
          <w:color w:val="000000"/>
        </w:rPr>
        <w:t>）</w:t>
      </w:r>
      <w:r>
        <w:rPr>
          <w:color w:val="000000"/>
        </w:rPr>
        <w:t>；</w:t>
      </w:r>
    </w:p>
    <w:p>
      <w:pPr>
        <w:spacing w:line="240" w:lineRule="auto"/>
        <w:ind w:firstLine="420" w:firstLineChars="200"/>
        <w:rPr>
          <w:rFonts w:hAnsi="宋体"/>
          <w:color w:val="000000"/>
        </w:rPr>
      </w:pPr>
      <w:r>
        <w:rPr>
          <w:rFonts w:hint="eastAsia"/>
          <w:i/>
          <w:color w:val="000000"/>
        </w:rPr>
        <w:t>Q</w:t>
      </w:r>
      <w:r>
        <w:rPr>
          <w:rFonts w:hint="eastAsia"/>
          <w:color w:val="000000"/>
          <w:vertAlign w:val="subscript"/>
        </w:rPr>
        <w:t>bz</w:t>
      </w:r>
      <w:r>
        <w:rPr>
          <w:color w:val="000000"/>
        </w:rPr>
        <w:t>—在一定计量时间内合成革标准品产量，单位为万米</w:t>
      </w:r>
      <w:r>
        <w:rPr>
          <w:rFonts w:hint="eastAsia"/>
          <w:color w:val="000000"/>
        </w:rPr>
        <w:t>（</w:t>
      </w:r>
      <w:r>
        <w:rPr>
          <w:color w:val="000000"/>
        </w:rPr>
        <w:t>10</w:t>
      </w:r>
      <w:r>
        <w:rPr>
          <w:color w:val="000000"/>
          <w:vertAlign w:val="superscript"/>
        </w:rPr>
        <w:t>4</w:t>
      </w:r>
      <w:r>
        <w:rPr>
          <w:color w:val="000000"/>
        </w:rPr>
        <w:t xml:space="preserve"> m</w:t>
      </w:r>
      <w:r>
        <w:rPr>
          <w:rFonts w:hint="eastAsia"/>
          <w:color w:val="000000"/>
        </w:rPr>
        <w:t>）</w:t>
      </w:r>
      <w:r>
        <w:rPr>
          <w:color w:val="000000"/>
        </w:rPr>
        <w:t>。</w:t>
      </w:r>
    </w:p>
    <w:p>
      <w:pPr>
        <w:pStyle w:val="62"/>
        <w:spacing w:before="120" w:after="120"/>
      </w:pPr>
      <w:r>
        <w:t>水重复利用率</w:t>
      </w:r>
    </w:p>
    <w:p>
      <w:pPr>
        <w:spacing w:line="240" w:lineRule="auto"/>
        <w:jc w:val="right"/>
        <w:rPr>
          <w:rFonts w:eastAsia="黑体"/>
          <w:color w:val="000000"/>
        </w:rPr>
      </w:pPr>
      <w:r>
        <w:rPr>
          <w:rFonts w:ascii="黑体" w:hAnsi="Calibri" w:eastAsia="黑体" w:cs="Times New Roman"/>
          <w:color w:val="000000"/>
          <w:kern w:val="2"/>
          <w:position w:val="-30"/>
          <w:sz w:val="21"/>
          <w:szCs w:val="21"/>
          <w:lang w:val="en-US" w:eastAsia="zh-CN" w:bidi="ar-SA"/>
        </w:rPr>
        <w:object>
          <v:shape id="_x0000_i1027" o:spt="75" type="#_x0000_t75" style="height:36pt;width:54pt;" o:ole="t" fillcolor="#FFFFFF" filled="f" o:preferrelative="t" stroked="f" coordsize="21600,21600">
            <v:path/>
            <v:fill on="f" color2="#FFFFFF" focussize="0,0"/>
            <v:stroke on="f"/>
            <v:imagedata r:id="rId59" gain="65536f" blacklevel="0f" gamma="0" o:title=""/>
            <o:lock v:ext="edit" position="f" selection="f" grouping="f" rotation="f" cropping="f" text="f" aspectratio="t"/>
            <w10:wrap type="none"/>
            <w10:anchorlock/>
          </v:shape>
          <o:OLEObject Type="Embed" ProgID="" ShapeID="_x0000_i1027" DrawAspect="Content" ObjectID="_1468075727" r:id="rId58">
            <o:LockedField>false</o:LockedField>
          </o:OLEObject>
        </w:object>
      </w:r>
      <w:r>
        <w:rPr>
          <w:rFonts w:ascii="黑体" w:hAnsi="黑体" w:eastAsia="黑体"/>
          <w:color w:val="000000"/>
        </w:rPr>
        <w:t>×</w:t>
      </w:r>
      <w:r>
        <w:rPr>
          <w:rFonts w:eastAsia="黑体"/>
          <w:color w:val="000000"/>
        </w:rPr>
        <w:t xml:space="preserve">100% </w:t>
      </w:r>
      <w:r>
        <w:rPr>
          <w:rFonts w:ascii="宋体" w:hAnsi="宋体"/>
          <w:color w:val="000000"/>
        </w:rPr>
        <w:t>……………………………………</w:t>
      </w:r>
      <w:r>
        <w:rPr>
          <w:rFonts w:hAnsi="宋体"/>
          <w:color w:val="000000"/>
        </w:rPr>
        <w:t>（</w:t>
      </w:r>
      <w:r>
        <w:rPr>
          <w:color w:val="000000"/>
        </w:rPr>
        <w:t>A.3</w:t>
      </w:r>
      <w:r>
        <w:rPr>
          <w:rFonts w:hAnsi="宋体"/>
          <w:color w:val="000000"/>
        </w:rPr>
        <w:t>）</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color w:val="000000"/>
        </w:rPr>
      </w:pPr>
      <w:r>
        <w:rPr>
          <w:i/>
          <w:color w:val="000000"/>
        </w:rPr>
        <w:t>R</w:t>
      </w:r>
      <w:r>
        <w:rPr>
          <w:rFonts w:hint="eastAsia"/>
          <w:i/>
          <w:color w:val="000000"/>
        </w:rPr>
        <w:t xml:space="preserve"> </w:t>
      </w:r>
      <w:r>
        <w:rPr>
          <w:color w:val="000000"/>
        </w:rPr>
        <w:t>—</w:t>
      </w:r>
      <w:r>
        <w:rPr>
          <w:rFonts w:hAnsi="宋体"/>
          <w:color w:val="000000"/>
        </w:rPr>
        <w:t>水的重复利用率，</w:t>
      </w:r>
      <w:r>
        <w:rPr>
          <w:rFonts w:hint="eastAsia" w:hAnsi="宋体"/>
          <w:color w:val="000000"/>
        </w:rPr>
        <w:t>用百分数（</w:t>
      </w:r>
      <w:r>
        <w:rPr>
          <w:color w:val="000000"/>
        </w:rPr>
        <w:t>%</w:t>
      </w:r>
      <w:r>
        <w:rPr>
          <w:rFonts w:hint="eastAsia" w:hAnsi="宋体"/>
          <w:color w:val="000000"/>
        </w:rPr>
        <w:t>）表示</w:t>
      </w:r>
      <w:r>
        <w:rPr>
          <w:rFonts w:hAnsi="宋体"/>
          <w:color w:val="000000"/>
        </w:rPr>
        <w:t>；</w:t>
      </w:r>
    </w:p>
    <w:p>
      <w:pPr>
        <w:spacing w:line="240" w:lineRule="auto"/>
        <w:ind w:firstLine="420" w:firstLineChars="200"/>
        <w:rPr>
          <w:color w:val="000000"/>
        </w:rPr>
      </w:pPr>
      <w:r>
        <w:rPr>
          <w:rFonts w:hint="eastAsia"/>
          <w:i/>
          <w:color w:val="000000"/>
        </w:rPr>
        <w:t>V</w:t>
      </w:r>
      <w:r>
        <w:rPr>
          <w:rFonts w:hint="eastAsia"/>
          <w:color w:val="000000"/>
          <w:vertAlign w:val="subscript"/>
        </w:rPr>
        <w:t>r</w:t>
      </w:r>
      <w:r>
        <w:rPr>
          <w:color w:val="000000"/>
        </w:rPr>
        <w:t>—</w:t>
      </w:r>
      <w:r>
        <w:rPr>
          <w:rFonts w:hAnsi="宋体"/>
          <w:color w:val="000000"/>
          <w:spacing w:val="-4"/>
        </w:rPr>
        <w:t>在一定计量时间内重复利用水量（包括循环用水量和串联使用水量），单位为立方米</w:t>
      </w:r>
      <w:r>
        <w:rPr>
          <w:rFonts w:hint="eastAsia" w:hAnsi="宋体"/>
          <w:color w:val="000000"/>
          <w:spacing w:val="-4"/>
        </w:rPr>
        <w:t>（</w:t>
      </w:r>
      <w:r>
        <w:rPr>
          <w:color w:val="000000"/>
          <w:spacing w:val="-4"/>
        </w:rPr>
        <w:t>m³</w:t>
      </w:r>
      <w:r>
        <w:rPr>
          <w:rFonts w:hint="eastAsia" w:hAnsi="宋体"/>
          <w:color w:val="000000"/>
          <w:spacing w:val="-4"/>
        </w:rPr>
        <w:t>）</w:t>
      </w:r>
      <w:r>
        <w:rPr>
          <w:rFonts w:hAnsi="宋体"/>
          <w:color w:val="000000"/>
        </w:rPr>
        <w:t>；</w:t>
      </w:r>
    </w:p>
    <w:p>
      <w:pPr>
        <w:spacing w:line="240" w:lineRule="auto"/>
        <w:ind w:firstLine="420" w:firstLineChars="200"/>
        <w:rPr>
          <w:color w:val="000000"/>
        </w:rPr>
      </w:pPr>
      <w:r>
        <w:rPr>
          <w:rFonts w:hint="eastAsia"/>
          <w:i/>
          <w:color w:val="000000"/>
        </w:rPr>
        <w:t>V</w:t>
      </w:r>
      <w:r>
        <w:rPr>
          <w:rFonts w:hint="eastAsia"/>
          <w:color w:val="000000"/>
          <w:vertAlign w:val="subscript"/>
        </w:rPr>
        <w:t xml:space="preserve">i </w:t>
      </w:r>
      <w:r>
        <w:rPr>
          <w:color w:val="000000"/>
        </w:rPr>
        <w:t>—</w:t>
      </w:r>
      <w:r>
        <w:rPr>
          <w:rFonts w:hAnsi="宋体"/>
          <w:color w:val="000000"/>
        </w:rPr>
        <w:t>在一定计量时间内合成革标准品生产取水量，单位为立方米</w:t>
      </w:r>
      <w:r>
        <w:rPr>
          <w:rFonts w:hint="eastAsia" w:hAnsi="宋体"/>
          <w:color w:val="000000"/>
        </w:rPr>
        <w:t>（</w:t>
      </w:r>
      <w:r>
        <w:rPr>
          <w:color w:val="000000"/>
        </w:rPr>
        <w:t>m³</w:t>
      </w:r>
      <w:r>
        <w:rPr>
          <w:rFonts w:hint="eastAsia" w:hAnsi="宋体"/>
          <w:color w:val="000000"/>
        </w:rPr>
        <w:t>）</w:t>
      </w:r>
      <w:r>
        <w:rPr>
          <w:rFonts w:hAnsi="宋体"/>
          <w:color w:val="000000"/>
        </w:rPr>
        <w:t>。</w:t>
      </w:r>
    </w:p>
    <w:p>
      <w:pPr>
        <w:pStyle w:val="62"/>
        <w:spacing w:before="120" w:after="120"/>
        <w:rPr>
          <w:bCs/>
        </w:rPr>
      </w:pPr>
      <w:r>
        <w:t>单位产品废水产生量</w:t>
      </w:r>
    </w:p>
    <w:p>
      <w:pPr>
        <w:spacing w:line="240" w:lineRule="auto"/>
        <w:ind w:firstLine="420" w:firstLineChars="200"/>
        <w:rPr>
          <w:rFonts w:hAnsi="宋体"/>
          <w:color w:val="000000"/>
        </w:rPr>
      </w:pPr>
      <w:r>
        <w:rPr>
          <w:rFonts w:hAnsi="宋体"/>
          <w:color w:val="000000"/>
        </w:rPr>
        <w:t>指单位产品的生产（或加工）过程中，产生污染物的量（末端处理前），按公式</w:t>
      </w:r>
      <w:r>
        <w:rPr>
          <w:rFonts w:hint="eastAsia"/>
          <w:color w:val="000000"/>
        </w:rPr>
        <w:t>（</w:t>
      </w:r>
      <w:r>
        <w:rPr>
          <w:color w:val="000000"/>
        </w:rPr>
        <w:t>A.4</w:t>
      </w:r>
      <w:r>
        <w:rPr>
          <w:rFonts w:hint="eastAsia"/>
          <w:color w:val="000000"/>
        </w:rPr>
        <w:t>）</w:t>
      </w:r>
      <w:r>
        <w:rPr>
          <w:rFonts w:hAnsi="宋体"/>
          <w:color w:val="000000"/>
        </w:rPr>
        <w:t>计算：</w:t>
      </w:r>
    </w:p>
    <w:p>
      <w:pPr>
        <w:spacing w:line="240" w:lineRule="auto"/>
        <w:ind w:firstLine="420" w:firstLineChars="200"/>
        <w:jc w:val="right"/>
        <w:rPr>
          <w:rFonts w:ascii="宋体" w:hAnsi="宋体" w:cs="宋体"/>
          <w:color w:val="000000"/>
        </w:rPr>
      </w:pPr>
      <w:r>
        <w:rPr>
          <w:rFonts w:hint="eastAsia" w:ascii="宋体" w:hAnsi="宋体"/>
          <w:color w:val="000000"/>
        </w:rPr>
        <w:t xml:space="preserve">  </w:t>
      </w:r>
      <w:r>
        <w:rPr>
          <w:rFonts w:hint="eastAsia" w:ascii="宋体" w:hAnsi="宋体" w:cs="宋体"/>
          <w:color w:val="000000"/>
        </w:rPr>
        <w:t xml:space="preserve">        </w:t>
      </w:r>
      <w:r>
        <w:rPr>
          <w:rFonts w:ascii="宋体" w:hAnsi="宋体" w:eastAsia="宋体" w:cs="宋体"/>
          <w:color w:val="000000"/>
          <w:kern w:val="2"/>
          <w:position w:val="-30"/>
          <w:sz w:val="21"/>
          <w:szCs w:val="21"/>
          <w:lang w:val="en-US" w:eastAsia="zh-CN" w:bidi="ar-SA"/>
        </w:rPr>
        <w:object>
          <v:shape id="_x0000_i1028" o:spt="75" type="#_x0000_t75" style="height:36pt;width:48pt;" o:ole="t" fillcolor="#FFFFFF" filled="f" o:preferrelative="t" stroked="f" coordsize="21600,21600">
            <v:path/>
            <v:fill on="f" color2="#FFFFFF" focussize="0,0"/>
            <v:stroke on="f"/>
            <v:imagedata r:id="rId61" gain="65536f" blacklevel="0f" gamma="0" o:title=""/>
            <o:lock v:ext="edit" position="f" selection="f" grouping="f" rotation="f" cropping="f" text="f" aspectratio="t"/>
            <w10:wrap type="none"/>
            <w10:anchorlock/>
          </v:shape>
          <o:OLEObject Type="Embed" ProgID="" ShapeID="_x0000_i1028" DrawAspect="Content" ObjectID="_1468075728" r:id="rId60">
            <o:LockedField>false</o:LockedField>
          </o:OLEObject>
        </w:object>
      </w:r>
      <w:r>
        <w:rPr>
          <w:rFonts w:ascii="宋体" w:hAnsi="宋体"/>
          <w:color w:val="000000"/>
        </w:rPr>
        <w:t>…………………………………………………</w:t>
      </w:r>
      <w:r>
        <w:rPr>
          <w:rFonts w:hAnsi="宋体"/>
          <w:color w:val="000000"/>
        </w:rPr>
        <w:t>（</w:t>
      </w:r>
      <w:r>
        <w:rPr>
          <w:color w:val="000000"/>
        </w:rPr>
        <w:t>A.4</w:t>
      </w:r>
      <w:r>
        <w:rPr>
          <w:rFonts w:hAnsi="宋体"/>
          <w:color w:val="000000"/>
        </w:rPr>
        <w:t>）</w:t>
      </w:r>
      <w:r>
        <w:rPr>
          <w:rFonts w:hint="eastAsia" w:ascii="宋体" w:hAnsi="宋体" w:cs="宋体"/>
          <w:color w:val="000000"/>
        </w:rPr>
        <w:t xml:space="preserve"> </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rFonts w:hAnsi="宋体"/>
          <w:color w:val="000000"/>
        </w:rPr>
      </w:pPr>
      <w:r>
        <w:rPr>
          <w:rFonts w:hint="eastAsia" w:hAnsi="宋体"/>
          <w:i/>
          <w:color w:val="000000"/>
        </w:rPr>
        <w:t>V</w:t>
      </w:r>
      <w:r>
        <w:rPr>
          <w:rFonts w:hint="eastAsia" w:hAnsi="宋体"/>
          <w:color w:val="000000"/>
          <w:vertAlign w:val="subscript"/>
        </w:rPr>
        <w:t>ci</w:t>
      </w:r>
      <w:r>
        <w:rPr>
          <w:color w:val="000000"/>
        </w:rPr>
        <w:t>—</w:t>
      </w:r>
      <w:r>
        <w:rPr>
          <w:rFonts w:hAnsi="宋体"/>
          <w:color w:val="000000"/>
        </w:rPr>
        <w:t>单位产品废水产生量，单位为立方米每万米</w:t>
      </w:r>
      <w:r>
        <w:rPr>
          <w:rFonts w:hint="eastAsia" w:hAnsi="宋体"/>
          <w:color w:val="000000"/>
        </w:rPr>
        <w:t>（</w:t>
      </w:r>
      <w:r>
        <w:rPr>
          <w:color w:val="000000"/>
        </w:rPr>
        <w:t>m³/10</w:t>
      </w:r>
      <w:r>
        <w:rPr>
          <w:color w:val="000000"/>
          <w:vertAlign w:val="superscript"/>
        </w:rPr>
        <w:t xml:space="preserve">4 </w:t>
      </w:r>
      <w:r>
        <w:rPr>
          <w:color w:val="000000"/>
        </w:rPr>
        <w:t>m</w:t>
      </w:r>
      <w:r>
        <w:rPr>
          <w:rFonts w:hint="eastAsia" w:hAnsi="宋体"/>
          <w:color w:val="000000"/>
        </w:rPr>
        <w:t>）</w:t>
      </w:r>
      <w:r>
        <w:rPr>
          <w:rFonts w:hAnsi="宋体"/>
          <w:color w:val="000000"/>
        </w:rPr>
        <w:t>；</w:t>
      </w:r>
    </w:p>
    <w:p>
      <w:pPr>
        <w:spacing w:line="240" w:lineRule="auto"/>
        <w:ind w:firstLine="420" w:firstLineChars="200"/>
        <w:rPr>
          <w:rFonts w:hAnsi="宋体"/>
          <w:color w:val="000000"/>
        </w:rPr>
      </w:pPr>
      <w:r>
        <w:rPr>
          <w:rFonts w:hint="eastAsia" w:hAnsi="宋体"/>
          <w:i/>
          <w:color w:val="000000"/>
        </w:rPr>
        <w:t>V</w:t>
      </w:r>
      <w:r>
        <w:rPr>
          <w:rFonts w:hint="eastAsia" w:hAnsi="宋体"/>
          <w:color w:val="000000"/>
          <w:vertAlign w:val="subscript"/>
        </w:rPr>
        <w:t>c</w:t>
      </w:r>
      <w:r>
        <w:rPr>
          <w:color w:val="000000"/>
        </w:rPr>
        <w:t>—</w:t>
      </w:r>
      <w:r>
        <w:rPr>
          <w:rFonts w:hAnsi="宋体"/>
          <w:color w:val="000000"/>
        </w:rPr>
        <w:t>在一定计量时间内企业生产废水产生量，单位为立方米</w:t>
      </w:r>
      <w:r>
        <w:rPr>
          <w:rFonts w:hint="eastAsia" w:hAnsi="宋体"/>
          <w:color w:val="000000"/>
        </w:rPr>
        <w:t>（</w:t>
      </w:r>
      <w:r>
        <w:rPr>
          <w:color w:val="000000"/>
        </w:rPr>
        <w:t>m³</w:t>
      </w:r>
      <w:r>
        <w:rPr>
          <w:rFonts w:hint="eastAsia" w:hAnsi="宋体"/>
          <w:color w:val="000000"/>
        </w:rPr>
        <w:t>）</w:t>
      </w:r>
      <w:r>
        <w:rPr>
          <w:rFonts w:hAnsi="宋体"/>
          <w:color w:val="000000"/>
        </w:rPr>
        <w:t>；</w:t>
      </w:r>
    </w:p>
    <w:p>
      <w:pPr>
        <w:spacing w:line="240" w:lineRule="auto"/>
        <w:ind w:firstLine="420" w:firstLineChars="200"/>
        <w:rPr>
          <w:rFonts w:hAnsi="宋体"/>
          <w:color w:val="000000"/>
        </w:rPr>
      </w:pPr>
      <w:r>
        <w:rPr>
          <w:rFonts w:hint="eastAsia" w:hAnsi="宋体"/>
          <w:i/>
          <w:color w:val="000000"/>
        </w:rPr>
        <w:t>Q</w:t>
      </w:r>
      <w:r>
        <w:rPr>
          <w:rFonts w:hint="eastAsia" w:hAnsi="宋体"/>
          <w:color w:val="000000"/>
          <w:vertAlign w:val="subscript"/>
        </w:rPr>
        <w:t>bz</w:t>
      </w:r>
      <w:r>
        <w:rPr>
          <w:color w:val="000000"/>
        </w:rPr>
        <w:t>—</w:t>
      </w:r>
      <w:r>
        <w:rPr>
          <w:rFonts w:hAnsi="宋体"/>
          <w:color w:val="000000"/>
        </w:rPr>
        <w:t>在一定计量时间内合成革标准品产量，单位为万米</w:t>
      </w:r>
      <w:r>
        <w:rPr>
          <w:rFonts w:hint="eastAsia" w:hAnsi="宋体"/>
          <w:color w:val="000000"/>
        </w:rPr>
        <w:t>（</w:t>
      </w:r>
      <w:r>
        <w:rPr>
          <w:color w:val="000000"/>
        </w:rPr>
        <w:t>10</w:t>
      </w:r>
      <w:r>
        <w:rPr>
          <w:color w:val="000000"/>
          <w:vertAlign w:val="superscript"/>
        </w:rPr>
        <w:t>4</w:t>
      </w:r>
      <w:r>
        <w:rPr>
          <w:color w:val="000000"/>
        </w:rPr>
        <w:t>m</w:t>
      </w:r>
      <w:r>
        <w:rPr>
          <w:rFonts w:hint="eastAsia" w:hAnsi="宋体"/>
          <w:color w:val="000000"/>
        </w:rPr>
        <w:t>）</w:t>
      </w:r>
      <w:r>
        <w:rPr>
          <w:rFonts w:hAnsi="宋体"/>
          <w:color w:val="000000"/>
        </w:rPr>
        <w:t>。</w:t>
      </w:r>
    </w:p>
    <w:p>
      <w:pPr>
        <w:pStyle w:val="62"/>
        <w:spacing w:before="120" w:after="120"/>
      </w:pPr>
      <w:r>
        <w:t>单位产品化学需氧量产生量</w:t>
      </w:r>
    </w:p>
    <w:p>
      <w:pPr>
        <w:spacing w:line="240" w:lineRule="auto"/>
        <w:ind w:firstLine="420" w:firstLineChars="200"/>
        <w:rPr>
          <w:rFonts w:hAnsi="宋体"/>
          <w:color w:val="000000"/>
        </w:rPr>
      </w:pPr>
      <w:r>
        <w:rPr>
          <w:rFonts w:hAnsi="宋体"/>
          <w:color w:val="000000"/>
        </w:rPr>
        <w:t>指生产过程产生的废水中化学需氧量的量，在废水处理站入口处进行测定，单位产品化学需氧量产生量按公式</w:t>
      </w:r>
      <w:r>
        <w:rPr>
          <w:rFonts w:hint="eastAsia"/>
          <w:color w:val="000000"/>
        </w:rPr>
        <w:t>（</w:t>
      </w:r>
      <w:r>
        <w:rPr>
          <w:color w:val="000000"/>
        </w:rPr>
        <w:t>A.5</w:t>
      </w:r>
      <w:r>
        <w:rPr>
          <w:rFonts w:hint="eastAsia"/>
          <w:color w:val="000000"/>
        </w:rPr>
        <w:t>）</w:t>
      </w:r>
      <w:r>
        <w:rPr>
          <w:rFonts w:hAnsi="宋体"/>
          <w:color w:val="000000"/>
        </w:rPr>
        <w:t>计算：</w:t>
      </w:r>
    </w:p>
    <w:p>
      <w:pPr>
        <w:spacing w:line="240" w:lineRule="auto"/>
        <w:ind w:firstLine="420" w:firstLineChars="200"/>
        <w:jc w:val="right"/>
        <w:rPr>
          <w:color w:val="000000"/>
        </w:rPr>
      </w:pPr>
      <w:r>
        <w:rPr>
          <w:rFonts w:ascii="Calibri" w:hAnsi="宋体" w:eastAsia="宋体" w:cs="Times New Roman"/>
          <w:color w:val="000000"/>
          <w:kern w:val="2"/>
          <w:position w:val="-30"/>
          <w:sz w:val="21"/>
          <w:szCs w:val="21"/>
          <w:lang w:val="en-US" w:eastAsia="zh-CN" w:bidi="ar-SA"/>
        </w:rPr>
        <w:object>
          <v:shape id="_x0000_i1029" o:spt="75" type="#_x0000_t75" style="height:30pt;width:84pt;" o:ole="t" fillcolor="#FFFFFF" filled="f" o:preferrelative="t" stroked="f" coordsize="21600,21600">
            <v:path/>
            <v:fill on="f" color2="#FFFFFF" focussize="0,0"/>
            <v:stroke on="f"/>
            <v:imagedata r:id="rId63" gain="65536f" blacklevel="0f" gamma="0" o:title=""/>
            <o:lock v:ext="edit" position="f" selection="f" grouping="f" rotation="f" cropping="f" text="f" aspectratio="t"/>
            <w10:wrap type="none"/>
            <w10:anchorlock/>
          </v:shape>
          <o:OLEObject Type="Embed" ProgID="" ShapeID="_x0000_i1029" DrawAspect="Content" ObjectID="_1468075729" r:id="rId62">
            <o:LockedField>false</o:LockedField>
          </o:OLEObject>
        </w:object>
      </w:r>
      <w:r>
        <w:rPr>
          <w:rFonts w:ascii="宋体" w:hAnsi="宋体"/>
          <w:color w:val="000000"/>
        </w:rPr>
        <w:t>…………………………………………</w:t>
      </w:r>
      <w:r>
        <w:rPr>
          <w:rFonts w:hAnsi="宋体"/>
          <w:color w:val="000000"/>
        </w:rPr>
        <w:t>（</w:t>
      </w:r>
      <w:r>
        <w:rPr>
          <w:color w:val="000000"/>
        </w:rPr>
        <w:t>A.5</w:t>
      </w:r>
      <w:r>
        <w:rPr>
          <w:rFonts w:hAnsi="宋体"/>
          <w:color w:val="000000"/>
        </w:rPr>
        <w:t>）</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rFonts w:hAnsi="宋体"/>
          <w:color w:val="000000"/>
        </w:rPr>
      </w:pPr>
      <w:r>
        <w:rPr>
          <w:rFonts w:hint="eastAsia"/>
          <w:color w:val="000000"/>
        </w:rPr>
        <w:t>COD</w:t>
      </w:r>
      <w:r>
        <w:rPr>
          <w:color w:val="000000"/>
        </w:rPr>
        <w:t>—</w:t>
      </w:r>
      <w:r>
        <w:rPr>
          <w:rFonts w:hAnsi="宋体"/>
          <w:color w:val="000000"/>
        </w:rPr>
        <w:t>单位产品化学需氧量产生量，单位为千克每万米</w:t>
      </w:r>
      <w:r>
        <w:rPr>
          <w:rFonts w:hint="eastAsia" w:hAnsi="宋体"/>
          <w:color w:val="000000"/>
        </w:rPr>
        <w:t>（</w:t>
      </w:r>
      <w:r>
        <w:rPr>
          <w:color w:val="000000"/>
        </w:rPr>
        <w:t>kg/10</w:t>
      </w:r>
      <w:r>
        <w:rPr>
          <w:color w:val="000000"/>
          <w:vertAlign w:val="superscript"/>
        </w:rPr>
        <w:t xml:space="preserve">4 </w:t>
      </w:r>
      <w:r>
        <w:rPr>
          <w:color w:val="000000"/>
        </w:rPr>
        <w:t>m</w:t>
      </w:r>
      <w:r>
        <w:rPr>
          <w:rFonts w:hint="eastAsia" w:hAnsi="宋体"/>
          <w:color w:val="000000"/>
        </w:rPr>
        <w:t>）</w:t>
      </w:r>
      <w:r>
        <w:rPr>
          <w:rFonts w:hAnsi="宋体"/>
          <w:color w:val="000000"/>
        </w:rPr>
        <w:t>；</w:t>
      </w:r>
    </w:p>
    <w:p>
      <w:pPr>
        <w:spacing w:line="240" w:lineRule="auto"/>
        <w:ind w:firstLine="480" w:firstLineChars="200"/>
        <w:rPr>
          <w:rFonts w:hAnsi="宋体"/>
          <w:color w:val="000000"/>
        </w:rPr>
      </w:pPr>
      <w:r>
        <w:rPr>
          <w:rFonts w:hint="eastAsia"/>
          <w:i/>
          <w:color w:val="000000"/>
          <w:sz w:val="24"/>
        </w:rPr>
        <w:t>c</w:t>
      </w:r>
      <w:r>
        <w:rPr>
          <w:rFonts w:hint="eastAsia"/>
          <w:color w:val="000000"/>
          <w:sz w:val="20"/>
          <w:vertAlign w:val="subscript"/>
        </w:rPr>
        <w:t>i</w:t>
      </w:r>
      <w:r>
        <w:rPr>
          <w:color w:val="000000"/>
        </w:rPr>
        <w:t>—</w:t>
      </w:r>
      <w:r>
        <w:rPr>
          <w:rFonts w:hAnsi="宋体"/>
          <w:color w:val="000000"/>
        </w:rPr>
        <w:t>在一定计量时间内，各生产环节化学需氧量产生浓度实测加权值，单位为毫克每升</w:t>
      </w:r>
      <w:r>
        <w:rPr>
          <w:rFonts w:hint="eastAsia" w:hAnsi="宋体"/>
          <w:color w:val="000000"/>
        </w:rPr>
        <w:t>（</w:t>
      </w:r>
      <w:r>
        <w:rPr>
          <w:color w:val="000000"/>
        </w:rPr>
        <w:t>mg/L</w:t>
      </w:r>
      <w:r>
        <w:rPr>
          <w:rFonts w:hint="eastAsia" w:hAnsi="宋体"/>
          <w:color w:val="000000"/>
        </w:rPr>
        <w:t>）</w:t>
      </w:r>
      <w:r>
        <w:rPr>
          <w:rFonts w:hAnsi="宋体"/>
          <w:color w:val="000000"/>
        </w:rPr>
        <w:t>；</w:t>
      </w:r>
    </w:p>
    <w:p>
      <w:pPr>
        <w:spacing w:line="240" w:lineRule="auto"/>
        <w:ind w:firstLine="420" w:firstLineChars="200"/>
        <w:rPr>
          <w:rFonts w:hAnsi="宋体"/>
          <w:color w:val="000000"/>
        </w:rPr>
      </w:pPr>
      <w:r>
        <w:rPr>
          <w:rFonts w:hint="eastAsia"/>
          <w:i/>
          <w:color w:val="000000"/>
        </w:rPr>
        <w:t>V</w:t>
      </w:r>
      <w:r>
        <w:rPr>
          <w:rFonts w:hint="eastAsia"/>
          <w:color w:val="000000"/>
          <w:vertAlign w:val="subscript"/>
        </w:rPr>
        <w:t>c</w:t>
      </w:r>
      <w:r>
        <w:rPr>
          <w:color w:val="000000"/>
        </w:rPr>
        <w:t>—</w:t>
      </w:r>
      <w:r>
        <w:rPr>
          <w:rFonts w:hAnsi="宋体"/>
          <w:color w:val="000000"/>
        </w:rPr>
        <w:t>在一定计量时间内企业生产废水产生量，单位为立方米</w:t>
      </w:r>
      <w:r>
        <w:rPr>
          <w:rFonts w:hint="eastAsia" w:hAnsi="宋体"/>
          <w:color w:val="000000"/>
        </w:rPr>
        <w:t>（</w:t>
      </w:r>
      <w:r>
        <w:rPr>
          <w:color w:val="000000"/>
        </w:rPr>
        <w:t>m³</w:t>
      </w:r>
      <w:r>
        <w:rPr>
          <w:rFonts w:hint="eastAsia" w:hAnsi="宋体"/>
          <w:color w:val="000000"/>
        </w:rPr>
        <w:t>）</w:t>
      </w:r>
      <w:r>
        <w:rPr>
          <w:rFonts w:hAnsi="宋体"/>
          <w:color w:val="000000"/>
        </w:rPr>
        <w:t>；</w:t>
      </w:r>
    </w:p>
    <w:p>
      <w:pPr>
        <w:spacing w:line="240" w:lineRule="auto"/>
        <w:ind w:firstLine="420" w:firstLineChars="200"/>
        <w:rPr>
          <w:rFonts w:hAnsi="宋体"/>
          <w:color w:val="000000"/>
        </w:rPr>
      </w:pPr>
      <w:r>
        <w:rPr>
          <w:rFonts w:hint="eastAsia"/>
          <w:i/>
          <w:color w:val="000000"/>
        </w:rPr>
        <w:t>Q</w:t>
      </w:r>
      <w:r>
        <w:rPr>
          <w:rFonts w:hint="eastAsia"/>
          <w:color w:val="000000"/>
          <w:vertAlign w:val="subscript"/>
        </w:rPr>
        <w:t>bz</w:t>
      </w:r>
      <w:r>
        <w:rPr>
          <w:color w:val="000000"/>
        </w:rPr>
        <w:t>—</w:t>
      </w:r>
      <w:r>
        <w:rPr>
          <w:rFonts w:hAnsi="宋体"/>
          <w:color w:val="000000"/>
        </w:rPr>
        <w:t>在一定计量时间内合成革标准品产量，单位为万米</w:t>
      </w:r>
      <w:r>
        <w:rPr>
          <w:rFonts w:hint="eastAsia" w:hAnsi="宋体"/>
          <w:color w:val="000000"/>
        </w:rPr>
        <w:t>（</w:t>
      </w:r>
      <w:r>
        <w:rPr>
          <w:color w:val="000000"/>
        </w:rPr>
        <w:t>10</w:t>
      </w:r>
      <w:r>
        <w:rPr>
          <w:color w:val="000000"/>
          <w:vertAlign w:val="superscript"/>
        </w:rPr>
        <w:t xml:space="preserve">4 </w:t>
      </w:r>
      <w:r>
        <w:rPr>
          <w:color w:val="000000"/>
        </w:rPr>
        <w:t>m</w:t>
      </w:r>
      <w:r>
        <w:rPr>
          <w:rFonts w:hint="eastAsia" w:hAnsi="宋体"/>
          <w:color w:val="000000"/>
        </w:rPr>
        <w:t>）</w:t>
      </w:r>
      <w:r>
        <w:rPr>
          <w:rFonts w:hAnsi="宋体"/>
          <w:color w:val="000000"/>
        </w:rPr>
        <w:t>。</w:t>
      </w:r>
    </w:p>
    <w:p>
      <w:pPr>
        <w:pStyle w:val="62"/>
        <w:spacing w:before="120" w:after="120"/>
      </w:pPr>
      <w:r>
        <w:t>单位产品挥发性有机物产生量</w:t>
      </w:r>
    </w:p>
    <w:p>
      <w:pPr>
        <w:spacing w:line="240" w:lineRule="auto"/>
        <w:ind w:firstLine="420" w:firstLineChars="200"/>
        <w:rPr>
          <w:rFonts w:hAnsi="宋体"/>
          <w:color w:val="000000"/>
        </w:rPr>
      </w:pPr>
      <w:r>
        <w:rPr>
          <w:rFonts w:hAnsi="宋体"/>
          <w:color w:val="000000"/>
        </w:rPr>
        <w:t>指合成革烘干等工序所产生的挥发性有机物的量，单位产品挥发性有机物产生量按公式</w:t>
      </w:r>
      <w:r>
        <w:rPr>
          <w:rFonts w:hint="eastAsia"/>
          <w:color w:val="000000"/>
        </w:rPr>
        <w:t>（</w:t>
      </w:r>
      <w:r>
        <w:rPr>
          <w:color w:val="000000"/>
        </w:rPr>
        <w:t>A</w:t>
      </w:r>
      <w:r>
        <w:rPr>
          <w:rFonts w:hint="eastAsia"/>
          <w:color w:val="000000"/>
        </w:rPr>
        <w:t>.</w:t>
      </w:r>
      <w:r>
        <w:rPr>
          <w:color w:val="000000"/>
        </w:rPr>
        <w:t>6</w:t>
      </w:r>
      <w:r>
        <w:rPr>
          <w:rFonts w:hint="eastAsia"/>
          <w:color w:val="000000"/>
        </w:rPr>
        <w:t>）</w:t>
      </w:r>
      <w:r>
        <w:rPr>
          <w:rFonts w:hAnsi="宋体"/>
          <w:color w:val="000000"/>
        </w:rPr>
        <w:t>计算：</w:t>
      </w:r>
    </w:p>
    <w:p>
      <w:pPr>
        <w:spacing w:line="240" w:lineRule="auto"/>
        <w:ind w:firstLine="420" w:firstLineChars="200"/>
        <w:jc w:val="right"/>
        <w:rPr>
          <w:color w:val="000000"/>
        </w:rPr>
      </w:pPr>
      <w:r>
        <w:rPr>
          <w:rFonts w:ascii="Calibri" w:hAnsi="宋体" w:eastAsia="宋体" w:cs="Times New Roman"/>
          <w:color w:val="000000"/>
          <w:kern w:val="2"/>
          <w:position w:val="-30"/>
          <w:sz w:val="21"/>
          <w:szCs w:val="21"/>
          <w:lang w:val="en-US" w:eastAsia="zh-CN" w:bidi="ar-SA"/>
        </w:rPr>
        <w:object>
          <v:shape id="_x0000_i1030" o:spt="75" type="#_x0000_t75" style="height:36pt;width:72pt;" o:ole="t" fillcolor="#FFFFFF" filled="f" o:preferrelative="t" stroked="f" coordsize="21600,21600">
            <v:path/>
            <v:fill on="f" color2="#FFFFFF" focussize="0,0"/>
            <v:stroke on="f"/>
            <v:imagedata r:id="rId65" gain="65536f" blacklevel="0f" gamma="0" o:title=""/>
            <o:lock v:ext="edit" position="f" selection="f" grouping="f" rotation="f" cropping="f" text="f" aspectratio="t"/>
            <w10:wrap type="none"/>
            <w10:anchorlock/>
          </v:shape>
          <o:OLEObject Type="Embed" ProgID="" ShapeID="_x0000_i1030" DrawAspect="Content" ObjectID="_1468075730" r:id="rId64">
            <o:LockedField>false</o:LockedField>
          </o:OLEObject>
        </w:object>
      </w:r>
      <w:r>
        <w:rPr>
          <w:rFonts w:ascii="宋体" w:hAnsi="宋体"/>
          <w:color w:val="000000"/>
        </w:rPr>
        <w:t>…………………………………………</w:t>
      </w:r>
      <w:r>
        <w:rPr>
          <w:color w:val="000000"/>
        </w:rPr>
        <w:t xml:space="preserve"> </w:t>
      </w:r>
      <w:r>
        <w:rPr>
          <w:rFonts w:hAnsi="宋体"/>
          <w:color w:val="000000"/>
        </w:rPr>
        <w:t>（</w:t>
      </w:r>
      <w:r>
        <w:rPr>
          <w:color w:val="000000"/>
        </w:rPr>
        <w:t>A.6</w:t>
      </w:r>
      <w:r>
        <w:rPr>
          <w:rFonts w:hAnsi="宋体"/>
          <w:color w:val="000000"/>
        </w:rPr>
        <w:t>）</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color w:val="000000"/>
        </w:rPr>
      </w:pPr>
      <w:r>
        <w:rPr>
          <w:rFonts w:hint="eastAsia"/>
          <w:color w:val="000000"/>
        </w:rPr>
        <w:t>VOCs—单位产品挥发性有机物产生量，单位为千克每万米（kg/104 m）；</w:t>
      </w:r>
    </w:p>
    <w:p>
      <w:pPr>
        <w:spacing w:line="240" w:lineRule="auto"/>
        <w:ind w:firstLine="420" w:firstLineChars="200"/>
        <w:rPr>
          <w:color w:val="000000"/>
        </w:rPr>
      </w:pPr>
      <w:r>
        <w:rPr>
          <w:rFonts w:hint="eastAsia"/>
          <w:color w:val="000000"/>
        </w:rPr>
        <w:t>GVOC—在一定计量时间内，企业的 VOCs 产生量，单位为千克（kg）；</w:t>
      </w:r>
    </w:p>
    <w:p>
      <w:pPr>
        <w:spacing w:line="240" w:lineRule="auto"/>
        <w:ind w:firstLine="420" w:firstLineChars="200"/>
        <w:rPr>
          <w:color w:val="000000"/>
        </w:rPr>
        <w:sectPr>
          <w:headerReference r:id="rId21" w:type="default"/>
          <w:footerReference r:id="rId23" w:type="default"/>
          <w:headerReference r:id="rId22" w:type="even"/>
          <w:footerReference r:id="rId24" w:type="even"/>
          <w:pgSz w:w="11906" w:h="16838"/>
          <w:pgMar w:top="1928" w:right="1134" w:bottom="1134" w:left="1134" w:header="1418" w:footer="1134" w:gutter="284"/>
          <w:cols w:space="720" w:num="1"/>
          <w:formProt w:val="0"/>
          <w:docGrid w:linePitch="312" w:charSpace="0"/>
        </w:sectPr>
      </w:pPr>
      <w:r>
        <w:rPr>
          <w:rFonts w:hint="eastAsia"/>
          <w:color w:val="000000"/>
        </w:rPr>
        <w:t>Qbz—在一定计量时间内产品产量，单位为万米（104m）。</w:t>
      </w:r>
    </w:p>
    <w:p>
      <w:pPr>
        <w:pStyle w:val="173"/>
      </w:pPr>
    </w:p>
    <w:p>
      <w:pPr>
        <w:pStyle w:val="174"/>
      </w:pPr>
    </w:p>
    <w:p>
      <w:pPr>
        <w:pStyle w:val="60"/>
        <w:spacing w:after="120"/>
      </w:pPr>
      <w:r>
        <w:br w:type="textWrapping"/>
      </w:r>
      <w:bookmarkStart w:id="81" w:name="_Toc126226135"/>
      <w:bookmarkStart w:id="82" w:name="_Toc126133978"/>
      <w:bookmarkStart w:id="83" w:name="_Toc126667256"/>
      <w:bookmarkStart w:id="84" w:name="_Toc142490389"/>
      <w:r>
        <w:rPr>
          <w:rFonts w:hint="eastAsia"/>
        </w:rPr>
        <w:t>（规范性）</w:t>
      </w:r>
      <w:r>
        <w:br w:type="textWrapping"/>
      </w:r>
      <w:r>
        <w:rPr>
          <w:rFonts w:hint="eastAsia"/>
        </w:rPr>
        <w:t>资源属性中烷基酚（AP）和烷基酚聚氧乙烯醚（APEO）</w:t>
      </w:r>
      <w:bookmarkEnd w:id="81"/>
      <w:bookmarkEnd w:id="82"/>
      <w:bookmarkEnd w:id="83"/>
      <w:bookmarkEnd w:id="84"/>
    </w:p>
    <w:p>
      <w:pPr>
        <w:pStyle w:val="62"/>
        <w:spacing w:before="120" w:after="120"/>
      </w:pPr>
      <w:r>
        <w:t>烷基酚（AP）和烷基酚聚氧乙烯醚（APEO）</w:t>
      </w:r>
    </w:p>
    <w:p>
      <w:pPr>
        <w:ind w:firstLine="420" w:firstLineChars="200"/>
        <w:rPr>
          <w:color w:val="000000"/>
        </w:rPr>
      </w:pPr>
      <w:r>
        <w:rPr>
          <w:rFonts w:hAnsi="宋体"/>
          <w:color w:val="000000"/>
        </w:rPr>
        <w:t>见表</w:t>
      </w:r>
      <w:r>
        <w:rPr>
          <w:rFonts w:hint="eastAsia"/>
          <w:color w:val="000000"/>
        </w:rPr>
        <w:t>B.1</w:t>
      </w:r>
      <w:r>
        <w:rPr>
          <w:rFonts w:hAnsi="宋体"/>
          <w:color w:val="000000"/>
        </w:rPr>
        <w:t>。</w:t>
      </w:r>
    </w:p>
    <w:p>
      <w:pPr>
        <w:pStyle w:val="61"/>
        <w:spacing w:before="120" w:after="120"/>
      </w:pPr>
      <w:r>
        <w:t>烷基酚（AP）和烷基酚聚氧乙烯醚（APEO）</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4520"/>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12" w:space="0"/>
            </w:tcBorders>
            <w:vAlign w:val="center"/>
          </w:tcPr>
          <w:p>
            <w:pPr>
              <w:jc w:val="center"/>
              <w:rPr>
                <w:color w:val="000000"/>
                <w:sz w:val="18"/>
                <w:szCs w:val="18"/>
              </w:rPr>
            </w:pPr>
            <w:r>
              <w:rPr>
                <w:color w:val="000000"/>
                <w:sz w:val="18"/>
                <w:szCs w:val="18"/>
              </w:rPr>
              <w:t>中文名称</w:t>
            </w:r>
          </w:p>
        </w:tc>
        <w:tc>
          <w:tcPr>
            <w:tcW w:w="4520" w:type="dxa"/>
            <w:tcBorders>
              <w:top w:val="single" w:color="auto" w:sz="12" w:space="0"/>
              <w:bottom w:val="single" w:color="auto" w:sz="12" w:space="0"/>
            </w:tcBorders>
            <w:vAlign w:val="center"/>
          </w:tcPr>
          <w:p>
            <w:pPr>
              <w:jc w:val="center"/>
              <w:rPr>
                <w:color w:val="000000"/>
                <w:sz w:val="18"/>
                <w:szCs w:val="18"/>
              </w:rPr>
            </w:pPr>
            <w:r>
              <w:rPr>
                <w:color w:val="000000"/>
                <w:sz w:val="18"/>
                <w:szCs w:val="18"/>
              </w:rPr>
              <w:t>英文名称</w:t>
            </w:r>
          </w:p>
        </w:tc>
        <w:tc>
          <w:tcPr>
            <w:tcW w:w="1551" w:type="dxa"/>
            <w:tcBorders>
              <w:top w:val="single" w:color="auto" w:sz="12" w:space="0"/>
              <w:bottom w:val="single" w:color="auto" w:sz="12" w:space="0"/>
              <w:right w:val="single" w:color="auto" w:sz="12" w:space="0"/>
            </w:tcBorders>
            <w:vAlign w:val="center"/>
          </w:tcPr>
          <w:p>
            <w:pPr>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restart"/>
            <w:tcBorders>
              <w:top w:val="single" w:color="auto" w:sz="12" w:space="0"/>
              <w:left w:val="single" w:color="auto" w:sz="12" w:space="0"/>
              <w:bottom w:val="single" w:color="auto" w:sz="4" w:space="0"/>
            </w:tcBorders>
            <w:vAlign w:val="center"/>
          </w:tcPr>
          <w:p>
            <w:pPr>
              <w:jc w:val="center"/>
              <w:rPr>
                <w:color w:val="000000"/>
                <w:sz w:val="18"/>
                <w:szCs w:val="18"/>
              </w:rPr>
            </w:pPr>
            <w:r>
              <w:rPr>
                <w:color w:val="000000"/>
                <w:sz w:val="18"/>
                <w:szCs w:val="18"/>
              </w:rPr>
              <w:t>壬基苯酚（NP），混合同分异构体</w:t>
            </w:r>
          </w:p>
        </w:tc>
        <w:tc>
          <w:tcPr>
            <w:tcW w:w="4520" w:type="dxa"/>
            <w:vMerge w:val="restart"/>
            <w:tcBorders>
              <w:top w:val="single" w:color="auto" w:sz="12" w:space="0"/>
              <w:bottom w:val="single" w:color="auto" w:sz="4" w:space="0"/>
            </w:tcBorders>
            <w:vAlign w:val="center"/>
          </w:tcPr>
          <w:p>
            <w:pPr>
              <w:jc w:val="center"/>
              <w:rPr>
                <w:color w:val="000000"/>
                <w:sz w:val="18"/>
                <w:szCs w:val="18"/>
              </w:rPr>
            </w:pPr>
            <w:r>
              <w:rPr>
                <w:color w:val="000000"/>
                <w:sz w:val="18"/>
                <w:szCs w:val="18"/>
              </w:rPr>
              <w:t>Nonylphenol (NP), mixed isomers</w:t>
            </w:r>
          </w:p>
        </w:tc>
        <w:tc>
          <w:tcPr>
            <w:tcW w:w="1551"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104-40-5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11066-49-2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25154-52-3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84852-15-3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restart"/>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辛基苯酚（OP），混合同分异构体</w:t>
            </w:r>
          </w:p>
        </w:tc>
        <w:tc>
          <w:tcPr>
            <w:tcW w:w="4520" w:type="dxa"/>
            <w:vMerge w:val="restart"/>
            <w:tcBorders>
              <w:top w:val="single" w:color="auto" w:sz="4" w:space="0"/>
              <w:bottom w:val="single" w:color="auto" w:sz="4" w:space="0"/>
            </w:tcBorders>
            <w:vAlign w:val="center"/>
          </w:tcPr>
          <w:p>
            <w:pPr>
              <w:jc w:val="center"/>
              <w:rPr>
                <w:color w:val="000000"/>
                <w:sz w:val="18"/>
                <w:szCs w:val="18"/>
              </w:rPr>
            </w:pPr>
            <w:r>
              <w:rPr>
                <w:color w:val="000000"/>
                <w:sz w:val="18"/>
                <w:szCs w:val="18"/>
              </w:rPr>
              <w:t>Octylphenol (OP), mixed isomers</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140-66-9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1806-26-4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27193-28-8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restart"/>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辛基酚聚氧乙烯醚(OPEO)</w:t>
            </w:r>
          </w:p>
        </w:tc>
        <w:tc>
          <w:tcPr>
            <w:tcW w:w="4520" w:type="dxa"/>
            <w:vMerge w:val="restart"/>
            <w:tcBorders>
              <w:top w:val="single" w:color="auto" w:sz="4" w:space="0"/>
              <w:bottom w:val="single" w:color="auto" w:sz="4" w:space="0"/>
            </w:tcBorders>
            <w:vAlign w:val="center"/>
          </w:tcPr>
          <w:p>
            <w:pPr>
              <w:jc w:val="center"/>
              <w:rPr>
                <w:color w:val="000000"/>
                <w:sz w:val="18"/>
                <w:szCs w:val="18"/>
              </w:rPr>
            </w:pPr>
            <w:r>
              <w:rPr>
                <w:color w:val="000000"/>
                <w:sz w:val="18"/>
                <w:szCs w:val="18"/>
              </w:rPr>
              <w:t>Octylphenol ethoxylates (OPEO)</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9002-93-1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9036-19-5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68987-90-6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restart"/>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壬基酚聚氧乙烯醚（NPEO）</w:t>
            </w:r>
          </w:p>
        </w:tc>
        <w:tc>
          <w:tcPr>
            <w:tcW w:w="4520" w:type="dxa"/>
            <w:vMerge w:val="restart"/>
            <w:tcBorders>
              <w:top w:val="single" w:color="auto" w:sz="4" w:space="0"/>
              <w:bottom w:val="single" w:color="auto" w:sz="4" w:space="0"/>
            </w:tcBorders>
            <w:vAlign w:val="center"/>
          </w:tcPr>
          <w:p>
            <w:pPr>
              <w:jc w:val="center"/>
              <w:rPr>
                <w:color w:val="000000"/>
                <w:sz w:val="18"/>
                <w:szCs w:val="18"/>
              </w:rPr>
            </w:pPr>
            <w:r>
              <w:rPr>
                <w:color w:val="000000"/>
                <w:sz w:val="18"/>
                <w:szCs w:val="18"/>
              </w:rPr>
              <w:t>Nonylphenol ethoxylates (NPEO)</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9016-45-9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26027-38-3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37205-87-1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68412-54-4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12" w:space="0"/>
            </w:tcBorders>
            <w:vAlign w:val="center"/>
          </w:tcPr>
          <w:p>
            <w:pPr>
              <w:jc w:val="center"/>
              <w:rPr>
                <w:color w:val="000000"/>
                <w:sz w:val="18"/>
                <w:szCs w:val="18"/>
              </w:rPr>
            </w:pPr>
          </w:p>
        </w:tc>
        <w:tc>
          <w:tcPr>
            <w:tcW w:w="4520" w:type="dxa"/>
            <w:vMerge w:val="continue"/>
            <w:tcBorders>
              <w:top w:val="single" w:color="auto" w:sz="4" w:space="0"/>
              <w:bottom w:val="single" w:color="auto" w:sz="12" w:space="0"/>
            </w:tcBorders>
            <w:vAlign w:val="center"/>
          </w:tcPr>
          <w:p>
            <w:pPr>
              <w:jc w:val="center"/>
              <w:rPr>
                <w:color w:val="000000"/>
                <w:sz w:val="18"/>
                <w:szCs w:val="18"/>
              </w:rPr>
            </w:pPr>
          </w:p>
        </w:tc>
        <w:tc>
          <w:tcPr>
            <w:tcW w:w="1551" w:type="dxa"/>
            <w:tcBorders>
              <w:top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127087-87-0</w:t>
            </w:r>
          </w:p>
        </w:tc>
      </w:tr>
    </w:tbl>
    <w:p>
      <w:pPr>
        <w:spacing w:line="240" w:lineRule="auto"/>
        <w:ind w:firstLine="420" w:firstLineChars="200"/>
        <w:sectPr>
          <w:headerReference r:id="rId25" w:type="default"/>
          <w:footerReference r:id="rId27" w:type="default"/>
          <w:headerReference r:id="rId26" w:type="even"/>
          <w:footerReference r:id="rId28"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60"/>
        <w:spacing w:after="120"/>
      </w:pPr>
      <w:r>
        <w:br w:type="textWrapping"/>
      </w:r>
      <w:bookmarkStart w:id="85" w:name="_Toc126133979"/>
      <w:bookmarkStart w:id="86" w:name="_Toc126667257"/>
      <w:bookmarkStart w:id="87" w:name="_Toc126226136"/>
      <w:bookmarkStart w:id="88" w:name="_Toc142490390"/>
      <w:r>
        <w:rPr>
          <w:rFonts w:hint="eastAsia"/>
        </w:rPr>
        <w:t>（规范性）</w:t>
      </w:r>
      <w:r>
        <w:br w:type="textWrapping"/>
      </w:r>
      <w:r>
        <w:rPr>
          <w:rFonts w:hint="eastAsia"/>
        </w:rPr>
        <w:t>资源属性中氯化苯酚</w:t>
      </w:r>
      <w:bookmarkEnd w:id="85"/>
      <w:bookmarkEnd w:id="86"/>
      <w:bookmarkEnd w:id="87"/>
      <w:bookmarkEnd w:id="88"/>
    </w:p>
    <w:p>
      <w:pPr>
        <w:pStyle w:val="62"/>
        <w:spacing w:before="120" w:after="120"/>
      </w:pPr>
      <w:r>
        <w:rPr>
          <w:rFonts w:hint="eastAsia"/>
        </w:rPr>
        <w:t>氯化苯酚</w:t>
      </w:r>
    </w:p>
    <w:p>
      <w:pPr>
        <w:ind w:firstLine="420" w:firstLineChars="200"/>
        <w:rPr>
          <w:color w:val="000000"/>
        </w:rPr>
      </w:pPr>
      <w:r>
        <w:rPr>
          <w:rFonts w:hAnsi="宋体"/>
          <w:color w:val="000000"/>
        </w:rPr>
        <w:t>见表</w:t>
      </w:r>
      <w:r>
        <w:rPr>
          <w:rFonts w:hint="eastAsia"/>
          <w:color w:val="000000"/>
        </w:rPr>
        <w:t>C</w:t>
      </w:r>
      <w:r>
        <w:rPr>
          <w:color w:val="000000"/>
        </w:rPr>
        <w:t>.1</w:t>
      </w:r>
      <w:r>
        <w:rPr>
          <w:rFonts w:hAnsi="宋体"/>
          <w:color w:val="000000"/>
        </w:rPr>
        <w:t>。</w:t>
      </w:r>
    </w:p>
    <w:p>
      <w:pPr>
        <w:pStyle w:val="61"/>
        <w:spacing w:before="120" w:after="120"/>
      </w:pPr>
      <w:r>
        <w:rPr>
          <w:rFonts w:hint="eastAsia"/>
        </w:rPr>
        <w:t>氯化苯酚</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4520"/>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12" w:space="0"/>
            </w:tcBorders>
            <w:vAlign w:val="center"/>
          </w:tcPr>
          <w:p>
            <w:pPr>
              <w:jc w:val="center"/>
              <w:rPr>
                <w:color w:val="000000"/>
                <w:sz w:val="18"/>
                <w:szCs w:val="18"/>
              </w:rPr>
            </w:pPr>
            <w:r>
              <w:rPr>
                <w:color w:val="000000"/>
                <w:sz w:val="18"/>
                <w:szCs w:val="18"/>
              </w:rPr>
              <w:t>中文名称</w:t>
            </w:r>
          </w:p>
        </w:tc>
        <w:tc>
          <w:tcPr>
            <w:tcW w:w="4520" w:type="dxa"/>
            <w:tcBorders>
              <w:top w:val="single" w:color="auto" w:sz="12" w:space="0"/>
              <w:bottom w:val="single" w:color="auto" w:sz="12" w:space="0"/>
            </w:tcBorders>
            <w:vAlign w:val="center"/>
          </w:tcPr>
          <w:p>
            <w:pPr>
              <w:jc w:val="center"/>
              <w:rPr>
                <w:color w:val="000000"/>
                <w:sz w:val="18"/>
                <w:szCs w:val="18"/>
              </w:rPr>
            </w:pPr>
            <w:r>
              <w:rPr>
                <w:color w:val="000000"/>
                <w:sz w:val="18"/>
                <w:szCs w:val="18"/>
              </w:rPr>
              <w:t>英文名称</w:t>
            </w:r>
          </w:p>
        </w:tc>
        <w:tc>
          <w:tcPr>
            <w:tcW w:w="1551" w:type="dxa"/>
            <w:tcBorders>
              <w:top w:val="single" w:color="auto" w:sz="12" w:space="0"/>
              <w:bottom w:val="single" w:color="auto" w:sz="12" w:space="0"/>
              <w:right w:val="single" w:color="auto" w:sz="12" w:space="0"/>
            </w:tcBorders>
            <w:vAlign w:val="center"/>
          </w:tcPr>
          <w:p>
            <w:pPr>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4" w:space="0"/>
            </w:tcBorders>
            <w:vAlign w:val="center"/>
          </w:tcPr>
          <w:p>
            <w:pPr>
              <w:jc w:val="center"/>
              <w:rPr>
                <w:color w:val="000000"/>
                <w:sz w:val="18"/>
                <w:szCs w:val="18"/>
              </w:rPr>
            </w:pPr>
            <w:r>
              <w:rPr>
                <w:color w:val="000000"/>
                <w:sz w:val="18"/>
                <w:szCs w:val="18"/>
              </w:rPr>
              <w:t>2-氯苯酚</w:t>
            </w:r>
          </w:p>
        </w:tc>
        <w:tc>
          <w:tcPr>
            <w:tcW w:w="4520" w:type="dxa"/>
            <w:tcBorders>
              <w:top w:val="single" w:color="auto" w:sz="12" w:space="0"/>
              <w:bottom w:val="single" w:color="auto" w:sz="4" w:space="0"/>
            </w:tcBorders>
            <w:vAlign w:val="center"/>
          </w:tcPr>
          <w:p>
            <w:pPr>
              <w:jc w:val="center"/>
              <w:rPr>
                <w:color w:val="000000"/>
                <w:sz w:val="18"/>
                <w:szCs w:val="18"/>
              </w:rPr>
            </w:pPr>
            <w:r>
              <w:rPr>
                <w:color w:val="000000"/>
                <w:sz w:val="18"/>
                <w:szCs w:val="18"/>
              </w:rPr>
              <w:t>2-chlorophenol</w:t>
            </w:r>
          </w:p>
        </w:tc>
        <w:tc>
          <w:tcPr>
            <w:tcW w:w="1551"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95-57-8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3-chlorophenol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108-43-0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4-氯苯酚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4-chlorophenol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106-48-9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576-24-9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2,4-二氯苯酚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2,4-dichlorophenol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120-83-2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2,5-二氯苯酚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2,5-dichlorophenol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583-78-8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2,6-二氯苯酚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2,6-dichlorophenol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87-65-0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3,4-二氯苯酚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3,4-dichlorophenol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95-77-2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3,5-二氯苯酚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3,5-dichlorophenol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591-35-5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2,3,4-三氯苯酚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2,3,4-trichlorophenol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15950-66-0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2,3,5-三氯苯酚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2,3,5-trichlorophenol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933-78-8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2,4,5-三氯苯酚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2,4,5-trichlorophenol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95-95-4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2,4,6-三氯苯酚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2,4,6-trichlorophenol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88-06-2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3,4,5-三氯苯酚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3,4,5-trichlorophenol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609-19-8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四氯苯酚（TeCP）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Tetrachlorophenol (TeCP)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25167-83-3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2,3,4,5-四氯苯酚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2,3,4,5-tetrachlorophenol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4901-51-3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2,3,4,6-四氯苯酚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2,3,4,6-tetrachlorophenol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58-90-2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2,3,5,6-四氯苯酚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2,3,5,6-tetrachlorophenol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935-95-5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12" w:space="0"/>
            </w:tcBorders>
            <w:vAlign w:val="center"/>
          </w:tcPr>
          <w:p>
            <w:pPr>
              <w:jc w:val="center"/>
              <w:rPr>
                <w:color w:val="000000"/>
                <w:sz w:val="18"/>
                <w:szCs w:val="18"/>
              </w:rPr>
            </w:pPr>
            <w:r>
              <w:rPr>
                <w:color w:val="000000"/>
                <w:sz w:val="18"/>
                <w:szCs w:val="18"/>
              </w:rPr>
              <w:t>五氯苯酚（PCP）</w:t>
            </w:r>
          </w:p>
        </w:tc>
        <w:tc>
          <w:tcPr>
            <w:tcW w:w="4520" w:type="dxa"/>
            <w:tcBorders>
              <w:top w:val="single" w:color="auto" w:sz="4" w:space="0"/>
              <w:bottom w:val="single" w:color="auto" w:sz="12" w:space="0"/>
            </w:tcBorders>
            <w:vAlign w:val="center"/>
          </w:tcPr>
          <w:p>
            <w:pPr>
              <w:jc w:val="center"/>
              <w:rPr>
                <w:color w:val="000000"/>
                <w:sz w:val="18"/>
                <w:szCs w:val="18"/>
              </w:rPr>
            </w:pPr>
            <w:r>
              <w:rPr>
                <w:color w:val="000000"/>
                <w:sz w:val="18"/>
                <w:szCs w:val="18"/>
              </w:rPr>
              <w:t>Pentachlorophenol (PCP)</w:t>
            </w:r>
          </w:p>
        </w:tc>
        <w:tc>
          <w:tcPr>
            <w:tcW w:w="1551" w:type="dxa"/>
            <w:tcBorders>
              <w:top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87-86-5</w:t>
            </w:r>
          </w:p>
        </w:tc>
      </w:tr>
    </w:tbl>
    <w:p>
      <w:pPr>
        <w:spacing w:line="240" w:lineRule="auto"/>
        <w:ind w:firstLine="420" w:firstLineChars="200"/>
        <w:sectPr>
          <w:headerReference r:id="rId29" w:type="default"/>
          <w:footerReference r:id="rId31" w:type="default"/>
          <w:headerReference r:id="rId30" w:type="even"/>
          <w:footerReference r:id="rId32"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60"/>
        <w:spacing w:after="120"/>
      </w:pPr>
      <w:r>
        <w:br w:type="textWrapping"/>
      </w:r>
      <w:bookmarkStart w:id="89" w:name="_Toc126226137"/>
      <w:bookmarkStart w:id="90" w:name="_Toc142490391"/>
      <w:bookmarkStart w:id="91" w:name="_Toc126133980"/>
      <w:bookmarkStart w:id="92" w:name="_Toc126667258"/>
      <w:r>
        <w:rPr>
          <w:rFonts w:hint="eastAsia"/>
        </w:rPr>
        <w:t>（规范性）</w:t>
      </w:r>
      <w:r>
        <w:br w:type="textWrapping"/>
      </w:r>
      <w:r>
        <w:rPr>
          <w:rFonts w:hint="eastAsia"/>
        </w:rPr>
        <w:t>有害染料</w:t>
      </w:r>
      <w:bookmarkEnd w:id="89"/>
      <w:bookmarkEnd w:id="90"/>
      <w:bookmarkEnd w:id="91"/>
      <w:bookmarkEnd w:id="92"/>
    </w:p>
    <w:p>
      <w:pPr>
        <w:pStyle w:val="221"/>
        <w:numPr>
          <w:ilvl w:val="1"/>
          <w:numId w:val="4"/>
        </w:numPr>
        <w:spacing w:before="240" w:after="240"/>
      </w:pPr>
      <w:r>
        <w:rPr>
          <w:rFonts w:hint="eastAsia"/>
        </w:rPr>
        <w:t>可分解芳香胺染料</w:t>
      </w:r>
    </w:p>
    <w:p>
      <w:pPr>
        <w:pStyle w:val="203"/>
        <w:rPr>
          <w:rFonts w:ascii="Times New Roman"/>
        </w:rPr>
      </w:pPr>
      <w:r>
        <w:rPr>
          <w:rFonts w:ascii="Times New Roman"/>
        </w:rPr>
        <w:t>见表D.1。</w:t>
      </w:r>
    </w:p>
    <w:p>
      <w:pPr>
        <w:pStyle w:val="61"/>
        <w:spacing w:before="120" w:after="120"/>
      </w:pPr>
      <w:r>
        <w:rPr>
          <w:rFonts w:hint="eastAsia"/>
        </w:rPr>
        <w:t>可分解芳香胺染料</w:t>
      </w:r>
    </w:p>
    <w:tbl>
      <w:tblPr>
        <w:tblStyle w:val="26"/>
        <w:tblW w:w="93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108"/>
        <w:gridCol w:w="3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中文名称</w:t>
            </w:r>
          </w:p>
        </w:tc>
        <w:tc>
          <w:tcPr>
            <w:tcW w:w="3108" w:type="dxa"/>
            <w:tcBorders>
              <w:top w:val="single" w:color="auto" w:sz="12" w:space="0"/>
              <w:bottom w:val="single" w:color="auto" w:sz="12" w:space="0"/>
            </w:tcBorders>
            <w:vAlign w:val="center"/>
          </w:tcPr>
          <w:p>
            <w:pPr>
              <w:ind w:firstLine="360"/>
              <w:jc w:val="center"/>
              <w:rPr>
                <w:color w:val="000000"/>
                <w:sz w:val="18"/>
                <w:szCs w:val="18"/>
              </w:rPr>
            </w:pPr>
            <w:r>
              <w:rPr>
                <w:color w:val="000000"/>
                <w:sz w:val="18"/>
                <w:szCs w:val="18"/>
              </w:rPr>
              <w:t>英文名称</w:t>
            </w:r>
          </w:p>
        </w:tc>
        <w:tc>
          <w:tcPr>
            <w:tcW w:w="3108" w:type="dxa"/>
            <w:tcBorders>
              <w:top w:val="single" w:color="auto" w:sz="12"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4-氨基联苯</w:t>
            </w:r>
          </w:p>
        </w:tc>
        <w:tc>
          <w:tcPr>
            <w:tcW w:w="3108" w:type="dxa"/>
            <w:tcBorders>
              <w:top w:val="single" w:color="auto" w:sz="12" w:space="0"/>
              <w:bottom w:val="single" w:color="auto" w:sz="4" w:space="0"/>
            </w:tcBorders>
            <w:vAlign w:val="center"/>
          </w:tcPr>
          <w:p>
            <w:pPr>
              <w:ind w:firstLine="360"/>
              <w:jc w:val="center"/>
              <w:rPr>
                <w:color w:val="000000"/>
                <w:sz w:val="18"/>
                <w:szCs w:val="18"/>
              </w:rPr>
            </w:pPr>
            <w:r>
              <w:rPr>
                <w:color w:val="000000"/>
                <w:sz w:val="18"/>
                <w:szCs w:val="18"/>
              </w:rPr>
              <w:t>4-Aminobiphenyl</w:t>
            </w:r>
          </w:p>
        </w:tc>
        <w:tc>
          <w:tcPr>
            <w:tcW w:w="3108" w:type="dxa"/>
            <w:tcBorders>
              <w:top w:val="single" w:color="auto" w:sz="12"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92-67-1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联苯胺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Benzidine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92-87-5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4-氯-邻甲苯胺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4-Chloro-o-toluidine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95-69-2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2-萘胺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2-Naphthylamine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91-59-8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邻氨基偶氮甲苯</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o-Aminoazotoluene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97-56-3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5-硝基-邻甲苯胺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5-nitro-o-toluidine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99-55-8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对氯苯胺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p-Chloroaniline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106-47-8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4-甲氧基间苯二胺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2,4-Diaminoanisole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615-05-4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4,4'-二氨基二苯甲烷</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4,4'-Diaminodiphenylmethane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101-77-9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3,3'-二氯联苯胺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3,3'-Dichlorobenzidine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91-94-1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3,3'-二甲氧基联苯胺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3,3'-Dimethoxybenzidine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119-90-4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3,3'-二甲基联苯胺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3,3'-Dimethylbenzidine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119-93-7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3,3'-二甲基-4,4'-二氨基二苯甲烷</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3,3'-Dimethyl-4，4'-diaminobiphenylmethane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838-88-0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2-甲氧基-5-甲基苯胺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2-Methoxy-5-methylaniline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120-71-8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4,4'-亚甲基-二-（2-氯苯胺）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4,4'-Methylene-bis-(2-chloroaniline)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101-14-4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4,4'-二氨基二苯醚</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4,4'-Oxydianiline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101-80-4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4,4'-二氨基二苯硫醚</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4,4'-Thiodianiline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139-65-1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邻甲苯胺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o-Toluidine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95-53-4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2,4-二氨基甲苯</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2,4-Toluylendiamine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95-80-7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2,4,5-三甲基苯胺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2,4,5-Trimethylaniline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137-17-7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邻甲氧基苯胺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o-Anisidine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90-04-0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2,4-二甲基苯胺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2,4-Xylidine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95-68-1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2,6-二甲基苯胺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2,6-Xylidine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87-62-7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4-氨基偶氮苯</w:t>
            </w:r>
          </w:p>
        </w:tc>
        <w:tc>
          <w:tcPr>
            <w:tcW w:w="3108" w:type="dxa"/>
            <w:tcBorders>
              <w:top w:val="single" w:color="auto" w:sz="4" w:space="0"/>
              <w:bottom w:val="single" w:color="auto" w:sz="12" w:space="0"/>
            </w:tcBorders>
            <w:vAlign w:val="center"/>
          </w:tcPr>
          <w:p>
            <w:pPr>
              <w:ind w:firstLine="360"/>
              <w:jc w:val="center"/>
              <w:rPr>
                <w:color w:val="000000"/>
                <w:sz w:val="18"/>
                <w:szCs w:val="18"/>
              </w:rPr>
            </w:pPr>
            <w:r>
              <w:rPr>
                <w:color w:val="000000"/>
                <w:sz w:val="18"/>
                <w:szCs w:val="18"/>
              </w:rPr>
              <w:t>4-Aminoazobenzene</w:t>
            </w:r>
          </w:p>
        </w:tc>
        <w:tc>
          <w:tcPr>
            <w:tcW w:w="3108" w:type="dxa"/>
            <w:tcBorders>
              <w:top w:val="single" w:color="auto" w:sz="4"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60-09-3</w:t>
            </w:r>
          </w:p>
        </w:tc>
      </w:tr>
    </w:tbl>
    <w:p>
      <w:pPr>
        <w:pStyle w:val="221"/>
        <w:numPr>
          <w:ilvl w:val="1"/>
          <w:numId w:val="4"/>
        </w:numPr>
        <w:spacing w:before="240" w:after="240"/>
      </w:pPr>
      <w:r>
        <w:t>致癌染料</w:t>
      </w:r>
    </w:p>
    <w:p>
      <w:pPr>
        <w:pStyle w:val="203"/>
        <w:rPr>
          <w:rFonts w:ascii="Times New Roman"/>
        </w:rPr>
      </w:pPr>
      <w:r>
        <w:rPr>
          <w:rFonts w:ascii="Times New Roman"/>
        </w:rPr>
        <w:t>见表D.2。</w:t>
      </w:r>
    </w:p>
    <w:p>
      <w:pPr>
        <w:pStyle w:val="61"/>
        <w:spacing w:before="120" w:after="120"/>
      </w:pPr>
      <w:r>
        <w:t>致癌染料</w:t>
      </w:r>
    </w:p>
    <w:tbl>
      <w:tblPr>
        <w:tblStyle w:val="26"/>
        <w:tblW w:w="93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108"/>
        <w:gridCol w:w="3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中文名称</w:t>
            </w:r>
          </w:p>
        </w:tc>
        <w:tc>
          <w:tcPr>
            <w:tcW w:w="3108" w:type="dxa"/>
            <w:tcBorders>
              <w:top w:val="single" w:color="auto" w:sz="12" w:space="0"/>
              <w:bottom w:val="single" w:color="auto" w:sz="12" w:space="0"/>
            </w:tcBorders>
            <w:vAlign w:val="center"/>
          </w:tcPr>
          <w:p>
            <w:pPr>
              <w:ind w:firstLine="360"/>
              <w:jc w:val="center"/>
              <w:rPr>
                <w:color w:val="000000"/>
                <w:sz w:val="18"/>
                <w:szCs w:val="18"/>
              </w:rPr>
            </w:pPr>
            <w:r>
              <w:rPr>
                <w:color w:val="000000"/>
                <w:sz w:val="18"/>
                <w:szCs w:val="18"/>
              </w:rPr>
              <w:t>英文名称</w:t>
            </w:r>
          </w:p>
        </w:tc>
        <w:tc>
          <w:tcPr>
            <w:tcW w:w="3108" w:type="dxa"/>
            <w:tcBorders>
              <w:top w:val="single" w:color="auto" w:sz="12"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酸性红 26</w:t>
            </w:r>
          </w:p>
        </w:tc>
        <w:tc>
          <w:tcPr>
            <w:tcW w:w="3108" w:type="dxa"/>
            <w:tcBorders>
              <w:top w:val="single" w:color="auto" w:sz="12" w:space="0"/>
              <w:bottom w:val="single" w:color="auto" w:sz="4" w:space="0"/>
            </w:tcBorders>
            <w:vAlign w:val="center"/>
          </w:tcPr>
          <w:p>
            <w:pPr>
              <w:ind w:firstLine="360"/>
              <w:jc w:val="center"/>
              <w:rPr>
                <w:color w:val="000000"/>
                <w:sz w:val="18"/>
                <w:szCs w:val="18"/>
              </w:rPr>
            </w:pPr>
            <w:r>
              <w:rPr>
                <w:color w:val="000000"/>
                <w:sz w:val="18"/>
                <w:szCs w:val="18"/>
              </w:rPr>
              <w:t>Acid Red 26</w:t>
            </w:r>
          </w:p>
        </w:tc>
        <w:tc>
          <w:tcPr>
            <w:tcW w:w="3108" w:type="dxa"/>
            <w:tcBorders>
              <w:top w:val="single" w:color="auto" w:sz="12"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3761-53-3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碱性红 9</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Basic Red 9</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569-61-9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直接黑 38</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Direct Black 38</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1937-37-7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直接蓝 6</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Direct Blue 6</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2602-46-2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直接红 28</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Direct Red 28</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573-58-0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1</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1</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2475-45-8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3</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3</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2475-46-9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碱性紫 14</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Basic Violet 14</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632-99-5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分散橙 11</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Orange 11</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82-28-0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碱性蓝 26（米氏酮＞0.1%）</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Basic Blue 26</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2580-56-5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碱性绿 4（孔雀石绿氯化物）</w:t>
            </w:r>
          </w:p>
        </w:tc>
        <w:tc>
          <w:tcPr>
            <w:tcW w:w="3108" w:type="dxa"/>
            <w:vMerge w:val="restart"/>
            <w:tcBorders>
              <w:top w:val="single" w:color="auto" w:sz="4" w:space="0"/>
              <w:bottom w:val="single" w:color="auto" w:sz="4" w:space="0"/>
            </w:tcBorders>
            <w:vAlign w:val="center"/>
          </w:tcPr>
          <w:p>
            <w:pPr>
              <w:ind w:firstLine="360"/>
              <w:jc w:val="center"/>
              <w:rPr>
                <w:sz w:val="18"/>
                <w:szCs w:val="18"/>
              </w:rPr>
            </w:pPr>
            <w:r>
              <w:rPr>
                <w:color w:val="000000"/>
                <w:sz w:val="18"/>
                <w:szCs w:val="18"/>
              </w:rPr>
              <w:t>Basic Green 4</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569-64-2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碱性绿 4（孔雀石绿草酸盐）</w:t>
            </w:r>
          </w:p>
        </w:tc>
        <w:tc>
          <w:tcPr>
            <w:tcW w:w="3108" w:type="dxa"/>
            <w:vMerge w:val="continue"/>
            <w:tcBorders>
              <w:top w:val="single" w:color="auto" w:sz="4" w:space="0"/>
              <w:bottom w:val="single" w:color="auto" w:sz="4" w:space="0"/>
            </w:tcBorders>
            <w:vAlign w:val="top"/>
          </w:tcPr>
          <w:p>
            <w:pPr>
              <w:ind w:firstLine="360"/>
              <w:rPr>
                <w:sz w:val="18"/>
                <w:szCs w:val="18"/>
              </w:rPr>
            </w:pP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2437-29-8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碱性绿 4（孔雀石绿）</w:t>
            </w:r>
          </w:p>
        </w:tc>
        <w:tc>
          <w:tcPr>
            <w:tcW w:w="3108" w:type="dxa"/>
            <w:vMerge w:val="continue"/>
            <w:tcBorders>
              <w:top w:val="single" w:color="auto" w:sz="4" w:space="0"/>
              <w:bottom w:val="single" w:color="auto" w:sz="12" w:space="0"/>
            </w:tcBorders>
            <w:vAlign w:val="top"/>
          </w:tcPr>
          <w:p>
            <w:pPr>
              <w:ind w:firstLine="360"/>
              <w:rPr>
                <w:sz w:val="18"/>
                <w:szCs w:val="18"/>
              </w:rPr>
            </w:pPr>
          </w:p>
        </w:tc>
        <w:tc>
          <w:tcPr>
            <w:tcW w:w="3108" w:type="dxa"/>
            <w:tcBorders>
              <w:top w:val="single" w:color="auto" w:sz="4"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10309-95-2</w:t>
            </w:r>
          </w:p>
        </w:tc>
      </w:tr>
    </w:tbl>
    <w:p>
      <w:pPr>
        <w:pStyle w:val="221"/>
        <w:numPr>
          <w:ilvl w:val="1"/>
          <w:numId w:val="4"/>
        </w:numPr>
        <w:spacing w:before="240" w:after="240"/>
      </w:pPr>
      <w:r>
        <w:t>致敏染料</w:t>
      </w:r>
    </w:p>
    <w:p>
      <w:pPr>
        <w:pStyle w:val="203"/>
        <w:rPr>
          <w:rFonts w:ascii="Times New Roman"/>
        </w:rPr>
      </w:pPr>
      <w:r>
        <w:rPr>
          <w:rFonts w:ascii="Times New Roman"/>
        </w:rPr>
        <w:t>见表D.3。</w:t>
      </w:r>
    </w:p>
    <w:p>
      <w:pPr>
        <w:pStyle w:val="61"/>
        <w:spacing w:before="120" w:after="120"/>
      </w:pPr>
      <w:r>
        <w:t>致敏染料</w:t>
      </w:r>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中文名称</w:t>
            </w:r>
          </w:p>
        </w:tc>
        <w:tc>
          <w:tcPr>
            <w:tcW w:w="3190" w:type="dxa"/>
            <w:tcBorders>
              <w:top w:val="single" w:color="auto" w:sz="12" w:space="0"/>
              <w:bottom w:val="single" w:color="auto" w:sz="12" w:space="0"/>
            </w:tcBorders>
            <w:vAlign w:val="center"/>
          </w:tcPr>
          <w:p>
            <w:pPr>
              <w:ind w:firstLine="360"/>
              <w:jc w:val="center"/>
              <w:rPr>
                <w:color w:val="000000"/>
                <w:sz w:val="18"/>
                <w:szCs w:val="18"/>
              </w:rPr>
            </w:pPr>
            <w:r>
              <w:rPr>
                <w:color w:val="000000"/>
                <w:sz w:val="18"/>
                <w:szCs w:val="18"/>
              </w:rPr>
              <w:t>英文名称</w:t>
            </w:r>
          </w:p>
        </w:tc>
        <w:tc>
          <w:tcPr>
            <w:tcW w:w="3190" w:type="dxa"/>
            <w:tcBorders>
              <w:top w:val="single" w:color="auto" w:sz="12"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7</w:t>
            </w:r>
          </w:p>
        </w:tc>
        <w:tc>
          <w:tcPr>
            <w:tcW w:w="3190" w:type="dxa"/>
            <w:tcBorders>
              <w:top w:val="single" w:color="auto" w:sz="12" w:space="0"/>
              <w:bottom w:val="single" w:color="auto" w:sz="4" w:space="0"/>
            </w:tcBorders>
            <w:vAlign w:val="center"/>
          </w:tcPr>
          <w:p>
            <w:pPr>
              <w:ind w:firstLine="360"/>
              <w:jc w:val="center"/>
              <w:rPr>
                <w:color w:val="000000"/>
                <w:sz w:val="18"/>
                <w:szCs w:val="18"/>
              </w:rPr>
            </w:pPr>
            <w:r>
              <w:rPr>
                <w:color w:val="000000"/>
                <w:sz w:val="18"/>
                <w:szCs w:val="18"/>
              </w:rPr>
              <w:t>Disperse Blue 7</w:t>
            </w:r>
          </w:p>
        </w:tc>
        <w:tc>
          <w:tcPr>
            <w:tcW w:w="3190" w:type="dxa"/>
            <w:tcBorders>
              <w:top w:val="single" w:color="auto" w:sz="12"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3179-90-6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26</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26</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3860-63-7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35</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35</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12222-75-2/56524-77-7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102</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102</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12222-97-8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106</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106</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12223-01-7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124</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124</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61951-51-7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分散橙 1</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Orange 1</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2581-69-3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分散橙 3</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Orange 3</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730-40-5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分散橙 37/59/76</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Orange 37/59/76</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13301-61-6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分散红 1</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Red 1</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2872-52-8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分散红 11</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Red 11</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2872-48-2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分散红 17</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Red 17</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3179-89-3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1</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1</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119-15-3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3</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3</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2832-40-8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9</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9</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6373-73-5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39</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39</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12236-29-2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49</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49</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54824-37-2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分散棕 1</w:t>
            </w:r>
          </w:p>
        </w:tc>
        <w:tc>
          <w:tcPr>
            <w:tcW w:w="3190" w:type="dxa"/>
            <w:tcBorders>
              <w:top w:val="single" w:color="auto" w:sz="4" w:space="0"/>
              <w:bottom w:val="single" w:color="auto" w:sz="12" w:space="0"/>
            </w:tcBorders>
            <w:vAlign w:val="center"/>
          </w:tcPr>
          <w:p>
            <w:pPr>
              <w:ind w:firstLine="360"/>
              <w:jc w:val="center"/>
              <w:rPr>
                <w:color w:val="000000"/>
                <w:sz w:val="18"/>
                <w:szCs w:val="18"/>
              </w:rPr>
            </w:pPr>
            <w:r>
              <w:rPr>
                <w:color w:val="000000"/>
                <w:sz w:val="18"/>
                <w:szCs w:val="18"/>
              </w:rPr>
              <w:t>Disperse Brown 1</w:t>
            </w:r>
          </w:p>
        </w:tc>
        <w:tc>
          <w:tcPr>
            <w:tcW w:w="3190" w:type="dxa"/>
            <w:tcBorders>
              <w:top w:val="single" w:color="auto" w:sz="4"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23355-64-8</w:t>
            </w:r>
          </w:p>
        </w:tc>
      </w:tr>
    </w:tbl>
    <w:p>
      <w:pPr>
        <w:pStyle w:val="221"/>
        <w:numPr>
          <w:ilvl w:val="1"/>
          <w:numId w:val="4"/>
        </w:numPr>
        <w:spacing w:before="240" w:after="240"/>
      </w:pPr>
      <w:r>
        <w:t>其他有害染料</w:t>
      </w:r>
    </w:p>
    <w:p>
      <w:pPr>
        <w:pStyle w:val="203"/>
        <w:rPr>
          <w:rFonts w:ascii="Times New Roman"/>
        </w:rPr>
      </w:pPr>
      <w:r>
        <w:rPr>
          <w:rFonts w:ascii="Times New Roman"/>
        </w:rPr>
        <w:t>见表D.4。</w:t>
      </w:r>
    </w:p>
    <w:p>
      <w:pPr>
        <w:pStyle w:val="61"/>
        <w:spacing w:before="120" w:after="120"/>
      </w:pPr>
      <w:r>
        <w:rPr>
          <w:rFonts w:hint="eastAsia"/>
        </w:rPr>
        <w:t>其他有害染料</w:t>
      </w:r>
    </w:p>
    <w:tbl>
      <w:tblPr>
        <w:tblStyle w:val="26"/>
        <w:tblW w:w="93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108"/>
        <w:gridCol w:w="3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12" w:space="0"/>
            </w:tcBorders>
            <w:vAlign w:val="top"/>
          </w:tcPr>
          <w:p>
            <w:pPr>
              <w:ind w:firstLine="360"/>
              <w:jc w:val="center"/>
              <w:rPr>
                <w:sz w:val="18"/>
                <w:szCs w:val="18"/>
              </w:rPr>
            </w:pPr>
            <w:r>
              <w:rPr>
                <w:sz w:val="18"/>
                <w:szCs w:val="18"/>
              </w:rPr>
              <w:t>中文名称</w:t>
            </w:r>
          </w:p>
        </w:tc>
        <w:tc>
          <w:tcPr>
            <w:tcW w:w="3108" w:type="dxa"/>
            <w:tcBorders>
              <w:top w:val="single" w:color="auto" w:sz="12" w:space="0"/>
              <w:bottom w:val="single" w:color="auto" w:sz="12" w:space="0"/>
            </w:tcBorders>
            <w:vAlign w:val="top"/>
          </w:tcPr>
          <w:p>
            <w:pPr>
              <w:ind w:firstLine="360"/>
              <w:jc w:val="center"/>
              <w:rPr>
                <w:sz w:val="18"/>
                <w:szCs w:val="18"/>
              </w:rPr>
            </w:pPr>
            <w:r>
              <w:rPr>
                <w:sz w:val="18"/>
                <w:szCs w:val="18"/>
              </w:rPr>
              <w:t>英文名称</w:t>
            </w:r>
          </w:p>
        </w:tc>
        <w:tc>
          <w:tcPr>
            <w:tcW w:w="3108" w:type="dxa"/>
            <w:tcBorders>
              <w:top w:val="single" w:color="auto" w:sz="12" w:space="0"/>
              <w:bottom w:val="single" w:color="auto" w:sz="12" w:space="0"/>
              <w:right w:val="single" w:color="auto" w:sz="12" w:space="0"/>
            </w:tcBorders>
            <w:vAlign w:val="top"/>
          </w:tcPr>
          <w:p>
            <w:pPr>
              <w:ind w:firstLine="360"/>
              <w:jc w:val="center"/>
              <w:rPr>
                <w:sz w:val="18"/>
                <w:szCs w:val="18"/>
              </w:rPr>
            </w:pPr>
            <w:r>
              <w:rPr>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4" w:space="0"/>
            </w:tcBorders>
            <w:vAlign w:val="top"/>
          </w:tcPr>
          <w:p>
            <w:pPr>
              <w:ind w:firstLine="360"/>
              <w:jc w:val="center"/>
              <w:rPr>
                <w:sz w:val="18"/>
                <w:szCs w:val="18"/>
              </w:rPr>
            </w:pPr>
            <w:r>
              <w:rPr>
                <w:sz w:val="18"/>
                <w:szCs w:val="18"/>
              </w:rPr>
              <w:t>分散橙149</w:t>
            </w:r>
          </w:p>
        </w:tc>
        <w:tc>
          <w:tcPr>
            <w:tcW w:w="3108" w:type="dxa"/>
            <w:tcBorders>
              <w:top w:val="single" w:color="auto" w:sz="12" w:space="0"/>
              <w:bottom w:val="single" w:color="auto" w:sz="4" w:space="0"/>
            </w:tcBorders>
            <w:vAlign w:val="top"/>
          </w:tcPr>
          <w:p>
            <w:pPr>
              <w:ind w:firstLine="360"/>
              <w:jc w:val="center"/>
              <w:rPr>
                <w:sz w:val="18"/>
                <w:szCs w:val="18"/>
              </w:rPr>
            </w:pPr>
            <w:r>
              <w:rPr>
                <w:sz w:val="18"/>
                <w:szCs w:val="18"/>
              </w:rPr>
              <w:t>Disperse Orange 149</w:t>
            </w:r>
          </w:p>
        </w:tc>
        <w:tc>
          <w:tcPr>
            <w:tcW w:w="3108" w:type="dxa"/>
            <w:tcBorders>
              <w:top w:val="single" w:color="auto" w:sz="12" w:space="0"/>
              <w:bottom w:val="single" w:color="auto" w:sz="4" w:space="0"/>
              <w:right w:val="single" w:color="auto" w:sz="12" w:space="0"/>
            </w:tcBorders>
            <w:vAlign w:val="top"/>
          </w:tcPr>
          <w:p>
            <w:pPr>
              <w:ind w:firstLine="360"/>
              <w:jc w:val="center"/>
              <w:rPr>
                <w:sz w:val="18"/>
                <w:szCs w:val="18"/>
              </w:rPr>
            </w:pPr>
            <w:r>
              <w:rPr>
                <w:sz w:val="18"/>
                <w:szCs w:val="18"/>
              </w:rPr>
              <w:t>85136-74-9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12" w:space="0"/>
            </w:tcBorders>
            <w:vAlign w:val="top"/>
          </w:tcPr>
          <w:p>
            <w:pPr>
              <w:ind w:firstLine="360"/>
              <w:jc w:val="center"/>
              <w:rPr>
                <w:sz w:val="18"/>
                <w:szCs w:val="18"/>
              </w:rPr>
            </w:pPr>
            <w:r>
              <w:rPr>
                <w:sz w:val="18"/>
                <w:szCs w:val="18"/>
              </w:rPr>
              <w:t>分散黄23</w:t>
            </w:r>
          </w:p>
        </w:tc>
        <w:tc>
          <w:tcPr>
            <w:tcW w:w="3108" w:type="dxa"/>
            <w:tcBorders>
              <w:top w:val="single" w:color="auto" w:sz="4" w:space="0"/>
              <w:bottom w:val="single" w:color="auto" w:sz="12" w:space="0"/>
            </w:tcBorders>
            <w:vAlign w:val="top"/>
          </w:tcPr>
          <w:p>
            <w:pPr>
              <w:ind w:firstLine="360"/>
              <w:jc w:val="center"/>
              <w:rPr>
                <w:sz w:val="18"/>
                <w:szCs w:val="18"/>
              </w:rPr>
            </w:pPr>
            <w:r>
              <w:rPr>
                <w:sz w:val="18"/>
                <w:szCs w:val="18"/>
              </w:rPr>
              <w:t>Disperse Yellow 23</w:t>
            </w:r>
          </w:p>
        </w:tc>
        <w:tc>
          <w:tcPr>
            <w:tcW w:w="3108" w:type="dxa"/>
            <w:tcBorders>
              <w:top w:val="single" w:color="auto" w:sz="4" w:space="0"/>
              <w:bottom w:val="single" w:color="auto" w:sz="12" w:space="0"/>
              <w:right w:val="single" w:color="auto" w:sz="12" w:space="0"/>
            </w:tcBorders>
            <w:vAlign w:val="top"/>
          </w:tcPr>
          <w:p>
            <w:pPr>
              <w:ind w:firstLine="360"/>
              <w:jc w:val="center"/>
              <w:rPr>
                <w:sz w:val="18"/>
                <w:szCs w:val="18"/>
              </w:rPr>
            </w:pPr>
            <w:r>
              <w:rPr>
                <w:sz w:val="18"/>
                <w:szCs w:val="18"/>
              </w:rPr>
              <w:t>6250-23-3</w:t>
            </w:r>
          </w:p>
        </w:tc>
      </w:tr>
    </w:tbl>
    <w:p>
      <w:pPr>
        <w:spacing w:line="240" w:lineRule="auto"/>
        <w:ind w:firstLine="420" w:firstLineChars="200"/>
        <w:sectPr>
          <w:headerReference r:id="rId33" w:type="default"/>
          <w:footerReference r:id="rId35" w:type="default"/>
          <w:headerReference r:id="rId34" w:type="even"/>
          <w:footerReference r:id="rId36"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60"/>
        <w:spacing w:after="120"/>
      </w:pPr>
      <w:r>
        <w:br w:type="textWrapping"/>
      </w:r>
      <w:bookmarkStart w:id="93" w:name="_Toc126226138"/>
      <w:bookmarkStart w:id="94" w:name="_Toc126667259"/>
      <w:bookmarkStart w:id="95" w:name="_Toc126133981"/>
      <w:bookmarkStart w:id="96" w:name="_Toc142490392"/>
      <w:r>
        <w:rPr>
          <w:rFonts w:hint="eastAsia"/>
        </w:rPr>
        <w:t>（规范性）</w:t>
      </w:r>
      <w:r>
        <w:br w:type="textWrapping"/>
      </w:r>
      <w:r>
        <w:rPr>
          <w:rFonts w:hint="eastAsia"/>
        </w:rPr>
        <w:t>资源属性中阻燃剂</w:t>
      </w:r>
      <w:bookmarkEnd w:id="93"/>
      <w:bookmarkEnd w:id="94"/>
      <w:bookmarkEnd w:id="95"/>
      <w:bookmarkEnd w:id="96"/>
    </w:p>
    <w:p>
      <w:pPr>
        <w:pStyle w:val="221"/>
        <w:numPr>
          <w:ilvl w:val="1"/>
          <w:numId w:val="4"/>
        </w:numPr>
        <w:spacing w:before="240" w:after="240"/>
      </w:pPr>
      <w:r>
        <w:rPr>
          <w:rFonts w:hint="eastAsia"/>
        </w:rPr>
        <w:t>阻燃剂</w:t>
      </w:r>
    </w:p>
    <w:p>
      <w:pPr>
        <w:ind w:firstLine="420" w:firstLineChars="200"/>
        <w:rPr>
          <w:color w:val="000000"/>
        </w:rPr>
      </w:pPr>
      <w:r>
        <w:rPr>
          <w:rFonts w:hint="eastAsia"/>
          <w:color w:val="000000"/>
        </w:rPr>
        <w:t>见表E.1。</w:t>
      </w:r>
    </w:p>
    <w:p>
      <w:pPr>
        <w:pStyle w:val="61"/>
        <w:spacing w:before="120" w:after="120"/>
      </w:pPr>
      <w:r>
        <w:rPr>
          <w:rFonts w:hint="eastAsia"/>
        </w:rPr>
        <w:t>阻燃剂</w:t>
      </w:r>
    </w:p>
    <w:tbl>
      <w:tblPr>
        <w:tblStyle w:val="26"/>
        <w:tblW w:w="935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53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12" w:space="0"/>
            </w:tcBorders>
            <w:vAlign w:val="center"/>
          </w:tcPr>
          <w:p>
            <w:pPr>
              <w:jc w:val="center"/>
              <w:rPr>
                <w:color w:val="000000"/>
                <w:sz w:val="18"/>
                <w:szCs w:val="18"/>
              </w:rPr>
            </w:pPr>
            <w:r>
              <w:rPr>
                <w:color w:val="000000"/>
                <w:sz w:val="18"/>
                <w:szCs w:val="18"/>
              </w:rPr>
              <w:t>中文名称</w:t>
            </w:r>
          </w:p>
        </w:tc>
        <w:tc>
          <w:tcPr>
            <w:tcW w:w="4536" w:type="dxa"/>
            <w:tcBorders>
              <w:top w:val="single" w:color="auto" w:sz="12" w:space="0"/>
              <w:bottom w:val="single" w:color="auto" w:sz="12" w:space="0"/>
            </w:tcBorders>
            <w:vAlign w:val="center"/>
          </w:tcPr>
          <w:p>
            <w:pPr>
              <w:jc w:val="center"/>
              <w:rPr>
                <w:color w:val="000000"/>
                <w:sz w:val="18"/>
                <w:szCs w:val="18"/>
              </w:rPr>
            </w:pPr>
            <w:r>
              <w:rPr>
                <w:color w:val="000000"/>
                <w:sz w:val="18"/>
                <w:szCs w:val="18"/>
              </w:rPr>
              <w:t>英文名称</w:t>
            </w:r>
          </w:p>
        </w:tc>
        <w:tc>
          <w:tcPr>
            <w:tcW w:w="1559" w:type="dxa"/>
            <w:tcBorders>
              <w:top w:val="single" w:color="auto" w:sz="12" w:space="0"/>
              <w:bottom w:val="single" w:color="auto" w:sz="12" w:space="0"/>
              <w:right w:val="single" w:color="auto" w:sz="12" w:space="0"/>
            </w:tcBorders>
            <w:vAlign w:val="center"/>
          </w:tcPr>
          <w:p>
            <w:pPr>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4" w:space="0"/>
            </w:tcBorders>
            <w:vAlign w:val="center"/>
          </w:tcPr>
          <w:p>
            <w:pPr>
              <w:jc w:val="center"/>
              <w:rPr>
                <w:color w:val="000000"/>
                <w:sz w:val="18"/>
                <w:szCs w:val="18"/>
              </w:rPr>
            </w:pPr>
            <w:r>
              <w:rPr>
                <w:color w:val="000000"/>
                <w:sz w:val="18"/>
                <w:szCs w:val="18"/>
              </w:rPr>
              <w:t>三（2-氯乙基）磷酸酯 (TCEP)</w:t>
            </w:r>
          </w:p>
        </w:tc>
        <w:tc>
          <w:tcPr>
            <w:tcW w:w="4536" w:type="dxa"/>
            <w:tcBorders>
              <w:top w:val="single" w:color="auto" w:sz="12" w:space="0"/>
              <w:bottom w:val="single" w:color="auto" w:sz="4" w:space="0"/>
            </w:tcBorders>
            <w:vAlign w:val="center"/>
          </w:tcPr>
          <w:p>
            <w:pPr>
              <w:jc w:val="center"/>
              <w:rPr>
                <w:color w:val="000000"/>
                <w:sz w:val="18"/>
                <w:szCs w:val="18"/>
              </w:rPr>
            </w:pPr>
            <w:r>
              <w:rPr>
                <w:color w:val="000000"/>
                <w:sz w:val="18"/>
                <w:szCs w:val="18"/>
              </w:rPr>
              <w:t>Tris(2-chloroethyl)phosphate (TCEP)</w:t>
            </w:r>
          </w:p>
        </w:tc>
        <w:tc>
          <w:tcPr>
            <w:tcW w:w="1559"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115-96-8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十溴二苯醚 (DecaBDE)</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Decabromodiphenyl ether (DecaBDE)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1163-19-5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三（2,3-二溴丙基）磷酸酯 (TRIS)</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Tris(2,3,-dibromopropyl) phosphate (TRIS)</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126-72-7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五溴二苯醚 (PentaBDE)</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Pentabromodiphenyl ether (PentaBDE)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32534-81-9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八溴二苯醚 (OctaBDE)</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Octabromodiphenyl ether (OctaBDE)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32536-52-0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二（2,3-二溴丙基）磷酸酯 (BDBPP)</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Bis(2,3-dibromopropyl) phosphate (BDBPP)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5412-25-9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三-（1-吖丙啶基）氧化膦(TEPA)</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Tris(1-aziridinyl)phosphine oxide) (TEPA)</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545-55-1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多溴联苯 (PBB)</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Polybromobiphenyls (PBB)</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59536-65-1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四溴双酚A (TBBPA)</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Tetrabromobisphenol A (TBBP A)</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79-94-7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六溴环十二烷 (HBCDD)</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Hexabromocyclododecane (HBCDD)</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3194-55-6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2,2-二（溴甲基）-1,3-丙二醇 (BBMP)</w:t>
            </w:r>
          </w:p>
        </w:tc>
        <w:tc>
          <w:tcPr>
            <w:tcW w:w="4536" w:type="dxa"/>
            <w:tcBorders>
              <w:top w:val="single" w:color="auto" w:sz="4" w:space="0"/>
              <w:bottom w:val="single" w:color="auto" w:sz="4" w:space="0"/>
            </w:tcBorders>
            <w:vAlign w:val="center"/>
          </w:tcPr>
          <w:p>
            <w:pPr>
              <w:jc w:val="center"/>
              <w:rPr>
                <w:color w:val="000000"/>
                <w:sz w:val="18"/>
                <w:szCs w:val="18"/>
              </w:rPr>
            </w:pPr>
            <w:r>
              <w:rPr>
                <w:color w:val="000000"/>
                <w:sz w:val="18"/>
                <w:szCs w:val="18"/>
              </w:rPr>
              <w:t>2,2-bis(bromomethyl)-1,3-propanediol (BBMP)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3296-90-0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三（1,3-二氯异丙基）磷酸酯 (TDCPP)</w:t>
            </w:r>
          </w:p>
        </w:tc>
        <w:tc>
          <w:tcPr>
            <w:tcW w:w="4536" w:type="dxa"/>
            <w:tcBorders>
              <w:top w:val="single" w:color="auto" w:sz="4" w:space="0"/>
              <w:bottom w:val="single" w:color="auto" w:sz="4" w:space="0"/>
            </w:tcBorders>
            <w:vAlign w:val="center"/>
          </w:tcPr>
          <w:p>
            <w:pPr>
              <w:jc w:val="center"/>
              <w:rPr>
                <w:color w:val="000000"/>
                <w:sz w:val="18"/>
                <w:szCs w:val="18"/>
              </w:rPr>
            </w:pPr>
            <w:r>
              <w:rPr>
                <w:sz w:val="18"/>
                <w:szCs w:val="18"/>
              </w:rPr>
              <w:t>Tris(1,3</w:t>
            </w:r>
            <w:r>
              <w:rPr>
                <w:color w:val="000000"/>
                <w:sz w:val="18"/>
                <w:szCs w:val="18"/>
              </w:rPr>
              <w:t>-dichloro-isopropyl) phosphate (TDCPP)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13674-87-8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12" w:space="0"/>
            </w:tcBorders>
            <w:vAlign w:val="center"/>
          </w:tcPr>
          <w:p>
            <w:pPr>
              <w:jc w:val="center"/>
              <w:rPr>
                <w:color w:val="000000"/>
                <w:sz w:val="18"/>
                <w:szCs w:val="18"/>
              </w:rPr>
            </w:pPr>
            <w:r>
              <w:rPr>
                <w:color w:val="000000"/>
                <w:sz w:val="18"/>
                <w:szCs w:val="18"/>
              </w:rPr>
              <w:t>短链氯化石蜡（SCCP）</w:t>
            </w:r>
          </w:p>
          <w:p>
            <w:pPr>
              <w:jc w:val="center"/>
              <w:rPr>
                <w:color w:val="000000"/>
                <w:sz w:val="18"/>
                <w:szCs w:val="18"/>
              </w:rPr>
            </w:pPr>
            <w:r>
              <w:rPr>
                <w:color w:val="000000"/>
                <w:sz w:val="18"/>
                <w:szCs w:val="18"/>
              </w:rPr>
              <w:t>（C10-C13）</w:t>
            </w:r>
          </w:p>
        </w:tc>
        <w:tc>
          <w:tcPr>
            <w:tcW w:w="4536" w:type="dxa"/>
            <w:tcBorders>
              <w:top w:val="single" w:color="auto" w:sz="4" w:space="0"/>
              <w:bottom w:val="single" w:color="auto" w:sz="12" w:space="0"/>
            </w:tcBorders>
            <w:vAlign w:val="center"/>
          </w:tcPr>
          <w:p>
            <w:pPr>
              <w:jc w:val="center"/>
              <w:rPr>
                <w:color w:val="000000"/>
                <w:sz w:val="18"/>
                <w:szCs w:val="18"/>
              </w:rPr>
            </w:pPr>
            <w:r>
              <w:rPr>
                <w:color w:val="000000"/>
                <w:sz w:val="18"/>
                <w:szCs w:val="18"/>
              </w:rPr>
              <w:t>Short-chain chlorinated Paraffins (SCCP)</w:t>
            </w:r>
          </w:p>
          <w:p>
            <w:pPr>
              <w:jc w:val="center"/>
              <w:rPr>
                <w:color w:val="000000"/>
                <w:sz w:val="18"/>
                <w:szCs w:val="18"/>
              </w:rPr>
            </w:pPr>
            <w:r>
              <w:rPr>
                <w:color w:val="000000"/>
                <w:sz w:val="18"/>
                <w:szCs w:val="18"/>
              </w:rPr>
              <w:t>(C10-C13)</w:t>
            </w:r>
          </w:p>
        </w:tc>
        <w:tc>
          <w:tcPr>
            <w:tcW w:w="1559" w:type="dxa"/>
            <w:tcBorders>
              <w:top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85535-84-8</w:t>
            </w:r>
          </w:p>
        </w:tc>
      </w:tr>
    </w:tbl>
    <w:p>
      <w:pPr>
        <w:spacing w:line="240" w:lineRule="auto"/>
        <w:ind w:firstLine="420" w:firstLineChars="200"/>
        <w:sectPr>
          <w:headerReference r:id="rId37" w:type="default"/>
          <w:footerReference r:id="rId39" w:type="default"/>
          <w:headerReference r:id="rId38" w:type="even"/>
          <w:footerReference r:id="rId40"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173"/>
      </w:pPr>
    </w:p>
    <w:p>
      <w:pPr>
        <w:pStyle w:val="174"/>
      </w:pPr>
    </w:p>
    <w:p>
      <w:pPr>
        <w:pStyle w:val="60"/>
        <w:spacing w:after="120"/>
      </w:pPr>
      <w:r>
        <w:br w:type="textWrapping"/>
      </w:r>
      <w:bookmarkStart w:id="97" w:name="_Toc126226140"/>
      <w:bookmarkStart w:id="98" w:name="_Toc126133983"/>
      <w:bookmarkStart w:id="99" w:name="_Toc126667261"/>
      <w:bookmarkStart w:id="100" w:name="_Toc142490394"/>
      <w:r>
        <w:rPr>
          <w:rFonts w:hint="eastAsia"/>
        </w:rPr>
        <w:t>（规范性）</w:t>
      </w:r>
      <w:r>
        <w:br w:type="textWrapping"/>
      </w:r>
      <w:r>
        <w:rPr>
          <w:rFonts w:hint="eastAsia"/>
        </w:rPr>
        <w:t>多环芳烃</w:t>
      </w:r>
      <w:bookmarkEnd w:id="97"/>
      <w:bookmarkEnd w:id="98"/>
      <w:bookmarkEnd w:id="99"/>
      <w:bookmarkEnd w:id="100"/>
    </w:p>
    <w:p>
      <w:pPr>
        <w:pStyle w:val="62"/>
        <w:spacing w:before="120" w:after="120"/>
      </w:pPr>
      <w:r>
        <w:t>多环芳烃</w:t>
      </w:r>
    </w:p>
    <w:p>
      <w:pPr>
        <w:pStyle w:val="203"/>
        <w:rPr>
          <w:rFonts w:ascii="Times New Roman"/>
        </w:rPr>
      </w:pPr>
      <w:r>
        <w:rPr>
          <w:rFonts w:ascii="Times New Roman"/>
        </w:rPr>
        <w:t>见表</w:t>
      </w:r>
      <w:r>
        <w:rPr>
          <w:rFonts w:hint="eastAsia" w:ascii="Times New Roman"/>
          <w:lang w:val="en-US" w:eastAsia="zh-CN"/>
        </w:rPr>
        <w:t>F</w:t>
      </w:r>
      <w:r>
        <w:rPr>
          <w:rFonts w:ascii="Times New Roman"/>
        </w:rPr>
        <w:t>.1。</w:t>
      </w:r>
    </w:p>
    <w:p>
      <w:pPr>
        <w:pStyle w:val="61"/>
        <w:numPr>
          <w:ilvl w:val="1"/>
          <w:numId w:val="0"/>
        </w:numPr>
        <w:spacing w:before="120" w:after="120"/>
        <w:ind w:leftChars="0"/>
        <w:jc w:val="center"/>
      </w:pPr>
      <w:r>
        <w:rPr>
          <w:rFonts w:hint="eastAsia"/>
          <w:lang w:eastAsia="zh-CN"/>
        </w:rPr>
        <w:t>表</w:t>
      </w:r>
      <w:r>
        <w:rPr>
          <w:rFonts w:hint="eastAsia"/>
          <w:lang w:val="en-US" w:eastAsia="zh-CN"/>
        </w:rPr>
        <w:t>F.1</w:t>
      </w:r>
      <w:r>
        <w:rPr>
          <w:rFonts w:hint="eastAsia"/>
        </w:rPr>
        <w:t>多环芳烃</w:t>
      </w:r>
    </w:p>
    <w:tbl>
      <w:tblPr>
        <w:tblStyle w:val="26"/>
        <w:tblW w:w="93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108"/>
        <w:gridCol w:w="3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中文名称</w:t>
            </w:r>
          </w:p>
        </w:tc>
        <w:tc>
          <w:tcPr>
            <w:tcW w:w="3108" w:type="dxa"/>
            <w:tcBorders>
              <w:top w:val="single" w:color="auto" w:sz="12" w:space="0"/>
              <w:bottom w:val="single" w:color="auto" w:sz="12" w:space="0"/>
            </w:tcBorders>
            <w:vAlign w:val="center"/>
          </w:tcPr>
          <w:p>
            <w:pPr>
              <w:ind w:firstLine="360"/>
              <w:jc w:val="center"/>
              <w:rPr>
                <w:color w:val="000000"/>
                <w:sz w:val="18"/>
                <w:szCs w:val="18"/>
              </w:rPr>
            </w:pPr>
            <w:r>
              <w:rPr>
                <w:color w:val="000000"/>
                <w:sz w:val="18"/>
                <w:szCs w:val="18"/>
              </w:rPr>
              <w:t>英文名称</w:t>
            </w:r>
          </w:p>
        </w:tc>
        <w:tc>
          <w:tcPr>
            <w:tcW w:w="3108" w:type="dxa"/>
            <w:tcBorders>
              <w:top w:val="single" w:color="auto" w:sz="12"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4" w:space="0"/>
            </w:tcBorders>
            <w:vAlign w:val="center"/>
          </w:tcPr>
          <w:p>
            <w:pPr>
              <w:ind w:firstLine="360"/>
              <w:jc w:val="center"/>
              <w:rPr>
                <w:sz w:val="18"/>
                <w:szCs w:val="18"/>
              </w:rPr>
            </w:pPr>
            <w:r>
              <w:rPr>
                <w:sz w:val="18"/>
                <w:szCs w:val="18"/>
              </w:rPr>
              <w:t>苯并[a]蒽</w:t>
            </w:r>
          </w:p>
        </w:tc>
        <w:tc>
          <w:tcPr>
            <w:tcW w:w="3108" w:type="dxa"/>
            <w:tcBorders>
              <w:top w:val="single" w:color="auto" w:sz="12" w:space="0"/>
              <w:bottom w:val="single" w:color="auto" w:sz="4" w:space="0"/>
            </w:tcBorders>
            <w:vAlign w:val="center"/>
          </w:tcPr>
          <w:p>
            <w:pPr>
              <w:ind w:firstLine="360"/>
              <w:jc w:val="center"/>
              <w:rPr>
                <w:sz w:val="18"/>
                <w:szCs w:val="18"/>
              </w:rPr>
            </w:pPr>
            <w:r>
              <w:rPr>
                <w:sz w:val="18"/>
                <w:szCs w:val="18"/>
              </w:rPr>
              <w:t>Benzo[a]anthracene</w:t>
            </w:r>
          </w:p>
        </w:tc>
        <w:tc>
          <w:tcPr>
            <w:tcW w:w="3108" w:type="dxa"/>
            <w:tcBorders>
              <w:top w:val="single" w:color="auto" w:sz="12" w:space="0"/>
              <w:bottom w:val="single" w:color="auto" w:sz="4" w:space="0"/>
              <w:right w:val="single" w:color="auto" w:sz="12" w:space="0"/>
            </w:tcBorders>
            <w:vAlign w:val="center"/>
          </w:tcPr>
          <w:p>
            <w:pPr>
              <w:ind w:firstLine="360"/>
              <w:jc w:val="center"/>
              <w:rPr>
                <w:sz w:val="18"/>
                <w:szCs w:val="18"/>
              </w:rPr>
            </w:pPr>
            <w:r>
              <w:rPr>
                <w:sz w:val="18"/>
                <w:szCs w:val="18"/>
              </w:rPr>
              <w:t>56-55-3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苯并[а]芘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Benzo[a]pyrene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50-32-8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苯并[b]荧蒽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Benzo[b]fluoranthene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205-99-2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苯并[e]芘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Benzo[e]pyrene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192-97-2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苯并[j]</w:t>
            </w:r>
            <w:r>
              <w:rPr>
                <w:vanish/>
                <w:sz w:val="18"/>
                <w:szCs w:val="18"/>
              </w:rPr>
              <w:t>[j]</w:t>
            </w:r>
            <w:r>
              <w:rPr>
                <w:sz w:val="18"/>
                <w:szCs w:val="18"/>
              </w:rPr>
              <w:t>荧蒽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Benzo[j]fluoranthene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205-82-3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苯并[k]</w:t>
            </w:r>
            <w:r>
              <w:rPr>
                <w:vanish/>
                <w:sz w:val="18"/>
                <w:szCs w:val="18"/>
              </w:rPr>
              <w:t xml:space="preserve"> [k]</w:t>
            </w:r>
            <w:r>
              <w:rPr>
                <w:sz w:val="18"/>
                <w:szCs w:val="18"/>
              </w:rPr>
              <w:t>荧蒽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Benzo[k]fluoranthene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207-08-9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䓛</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Chrysene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218-01-9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二苯并[a,h]蒽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Dibenzo[a,h]anthracene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53-70-3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Anthracene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120-12-7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苯并[g,h,i]苝</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Benzo[g,h,i]perylene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191-24-2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荧蒽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Fluoranthene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206-44-0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茚并[1,2,3-cd]芘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Indeno[1,2,3-cd]pyrene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193-39-5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Naphthalene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91-20-3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菲</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Phenanthrene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85-01-8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Pyrene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129-00-0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苊</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Acenaphthene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83-32-9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苊烯</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Acenaphthylene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208-96-8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12" w:space="0"/>
            </w:tcBorders>
            <w:vAlign w:val="center"/>
          </w:tcPr>
          <w:p>
            <w:pPr>
              <w:ind w:firstLine="360"/>
              <w:jc w:val="center"/>
              <w:rPr>
                <w:sz w:val="18"/>
                <w:szCs w:val="18"/>
              </w:rPr>
            </w:pPr>
            <w:r>
              <w:rPr>
                <w:sz w:val="18"/>
                <w:szCs w:val="18"/>
              </w:rPr>
              <w:t>芴</w:t>
            </w:r>
          </w:p>
        </w:tc>
        <w:tc>
          <w:tcPr>
            <w:tcW w:w="3108" w:type="dxa"/>
            <w:tcBorders>
              <w:top w:val="single" w:color="auto" w:sz="4" w:space="0"/>
              <w:bottom w:val="single" w:color="auto" w:sz="12" w:space="0"/>
            </w:tcBorders>
            <w:vAlign w:val="center"/>
          </w:tcPr>
          <w:p>
            <w:pPr>
              <w:ind w:firstLine="360"/>
              <w:jc w:val="center"/>
              <w:rPr>
                <w:sz w:val="18"/>
                <w:szCs w:val="18"/>
              </w:rPr>
            </w:pPr>
            <w:r>
              <w:rPr>
                <w:sz w:val="18"/>
                <w:szCs w:val="18"/>
              </w:rPr>
              <w:t>Fluorene</w:t>
            </w:r>
          </w:p>
        </w:tc>
        <w:tc>
          <w:tcPr>
            <w:tcW w:w="3108" w:type="dxa"/>
            <w:tcBorders>
              <w:top w:val="single" w:color="auto" w:sz="4" w:space="0"/>
              <w:bottom w:val="single" w:color="auto" w:sz="12" w:space="0"/>
              <w:right w:val="single" w:color="auto" w:sz="12" w:space="0"/>
            </w:tcBorders>
            <w:vAlign w:val="center"/>
          </w:tcPr>
          <w:p>
            <w:pPr>
              <w:ind w:firstLine="360"/>
              <w:jc w:val="center"/>
              <w:rPr>
                <w:sz w:val="18"/>
                <w:szCs w:val="18"/>
              </w:rPr>
            </w:pPr>
            <w:r>
              <w:rPr>
                <w:sz w:val="18"/>
                <w:szCs w:val="18"/>
              </w:rPr>
              <w:t>86-73-7</w:t>
            </w:r>
          </w:p>
        </w:tc>
      </w:tr>
    </w:tbl>
    <w:p>
      <w:pPr>
        <w:spacing w:line="240" w:lineRule="auto"/>
        <w:ind w:firstLine="420" w:firstLineChars="200"/>
        <w:sectPr>
          <w:headerReference r:id="rId41" w:type="default"/>
          <w:footerReference r:id="rId43" w:type="default"/>
          <w:headerReference r:id="rId42" w:type="even"/>
          <w:footerReference r:id="rId44"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60"/>
        <w:spacing w:after="120"/>
      </w:pPr>
      <w:r>
        <w:br w:type="textWrapping"/>
      </w:r>
      <w:bookmarkStart w:id="101" w:name="_Toc126133984"/>
      <w:bookmarkStart w:id="102" w:name="_Toc142490395"/>
      <w:bookmarkStart w:id="103" w:name="_Toc126667262"/>
      <w:bookmarkStart w:id="104" w:name="_Toc126226141"/>
      <w:r>
        <w:rPr>
          <w:rFonts w:hint="eastAsia"/>
        </w:rPr>
        <w:t>（规范性）</w:t>
      </w:r>
      <w:r>
        <w:br w:type="textWrapping"/>
      </w:r>
      <w:r>
        <w:rPr>
          <w:rFonts w:hint="eastAsia"/>
        </w:rPr>
        <w:t>资源属性中邻苯二甲酸酯</w:t>
      </w:r>
      <w:bookmarkEnd w:id="101"/>
      <w:bookmarkEnd w:id="102"/>
      <w:bookmarkEnd w:id="103"/>
      <w:bookmarkEnd w:id="104"/>
    </w:p>
    <w:p>
      <w:pPr>
        <w:pStyle w:val="62"/>
        <w:spacing w:before="120" w:after="120"/>
      </w:pPr>
      <w:r>
        <w:rPr>
          <w:rFonts w:hint="eastAsia"/>
        </w:rPr>
        <w:t>邻苯二甲酸酯</w:t>
      </w:r>
    </w:p>
    <w:p>
      <w:pPr>
        <w:ind w:firstLine="420" w:firstLineChars="200"/>
        <w:rPr>
          <w:color w:val="000000"/>
        </w:rPr>
      </w:pPr>
      <w:r>
        <w:rPr>
          <w:rFonts w:hAnsi="宋体"/>
          <w:color w:val="000000"/>
        </w:rPr>
        <w:t>见表</w:t>
      </w:r>
      <w:r>
        <w:rPr>
          <w:rFonts w:hint="eastAsia"/>
          <w:color w:val="000000"/>
          <w:lang w:val="en-US" w:eastAsia="zh-CN"/>
        </w:rPr>
        <w:t>G</w:t>
      </w:r>
      <w:r>
        <w:rPr>
          <w:color w:val="000000"/>
        </w:rPr>
        <w:t>.1</w:t>
      </w:r>
      <w:r>
        <w:rPr>
          <w:rFonts w:hAnsi="宋体"/>
          <w:color w:val="000000"/>
        </w:rPr>
        <w:t>。</w:t>
      </w:r>
    </w:p>
    <w:p>
      <w:pPr>
        <w:pStyle w:val="61"/>
        <w:numPr>
          <w:ilvl w:val="1"/>
          <w:numId w:val="0"/>
        </w:numPr>
        <w:spacing w:before="120" w:after="120"/>
        <w:ind w:leftChars="0"/>
        <w:jc w:val="center"/>
      </w:pPr>
      <w:r>
        <w:rPr>
          <w:rFonts w:hint="eastAsia"/>
          <w:lang w:eastAsia="zh-CN"/>
        </w:rPr>
        <w:t>表</w:t>
      </w:r>
      <w:r>
        <w:rPr>
          <w:rFonts w:hint="eastAsia"/>
          <w:lang w:val="en-US" w:eastAsia="zh-CN"/>
        </w:rPr>
        <w:t>G.1</w:t>
      </w:r>
      <w:r>
        <w:rPr>
          <w:rFonts w:hint="eastAsia"/>
        </w:rPr>
        <w:t>邻苯二甲酸酯</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4520"/>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12" w:space="0"/>
            </w:tcBorders>
            <w:vAlign w:val="center"/>
          </w:tcPr>
          <w:p>
            <w:pPr>
              <w:jc w:val="center"/>
              <w:rPr>
                <w:color w:val="000000"/>
                <w:sz w:val="18"/>
                <w:szCs w:val="18"/>
              </w:rPr>
            </w:pPr>
            <w:r>
              <w:rPr>
                <w:color w:val="000000"/>
                <w:sz w:val="18"/>
                <w:szCs w:val="18"/>
              </w:rPr>
              <w:t>中文名称</w:t>
            </w:r>
          </w:p>
        </w:tc>
        <w:tc>
          <w:tcPr>
            <w:tcW w:w="4520" w:type="dxa"/>
            <w:tcBorders>
              <w:top w:val="single" w:color="auto" w:sz="12" w:space="0"/>
              <w:bottom w:val="single" w:color="auto" w:sz="12" w:space="0"/>
            </w:tcBorders>
            <w:vAlign w:val="center"/>
          </w:tcPr>
          <w:p>
            <w:pPr>
              <w:jc w:val="center"/>
              <w:rPr>
                <w:color w:val="000000"/>
                <w:sz w:val="18"/>
                <w:szCs w:val="18"/>
              </w:rPr>
            </w:pPr>
            <w:r>
              <w:rPr>
                <w:color w:val="000000"/>
                <w:sz w:val="18"/>
                <w:szCs w:val="18"/>
              </w:rPr>
              <w:t>英文名称</w:t>
            </w:r>
          </w:p>
        </w:tc>
        <w:tc>
          <w:tcPr>
            <w:tcW w:w="1551" w:type="dxa"/>
            <w:tcBorders>
              <w:top w:val="single" w:color="auto" w:sz="12" w:space="0"/>
              <w:bottom w:val="single" w:color="auto" w:sz="12" w:space="0"/>
              <w:right w:val="single" w:color="auto" w:sz="12" w:space="0"/>
            </w:tcBorders>
            <w:vAlign w:val="center"/>
          </w:tcPr>
          <w:p>
            <w:pPr>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邻苯二甲酸二（2-乙基己基）酯 (DEHP)</w:t>
            </w:r>
          </w:p>
        </w:tc>
        <w:tc>
          <w:tcPr>
            <w:tcW w:w="4520" w:type="dxa"/>
            <w:tcBorders>
              <w:top w:val="single" w:color="auto" w:sz="12" w:space="0"/>
              <w:bottom w:val="single" w:color="auto" w:sz="4" w:space="0"/>
            </w:tcBorders>
            <w:vAlign w:val="center"/>
          </w:tcPr>
          <w:p>
            <w:pPr>
              <w:jc w:val="center"/>
              <w:rPr>
                <w:color w:val="000000"/>
                <w:sz w:val="18"/>
                <w:szCs w:val="18"/>
              </w:rPr>
            </w:pPr>
            <w:r>
              <w:rPr>
                <w:color w:val="000000"/>
                <w:sz w:val="18"/>
                <w:szCs w:val="18"/>
              </w:rPr>
              <w:t>Di(2-ethylhexyl)-phthalate (DEHP)</w:t>
            </w:r>
          </w:p>
        </w:tc>
        <w:tc>
          <w:tcPr>
            <w:tcW w:w="1551"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117-81-7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邻苯二甲酸二（2-甲氧乙基）酯 (DMEP)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Bis(2-methoxyethyl) phthalate（DMEP）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117-82-8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邻苯二甲酸二正辛酯 (DNOP)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Di-n-octylphthalate (DNOP)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117-84-0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邻苯二甲酸二异癸酯 (DIDP)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Diisodecylphthalate (DIDP)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26761-40-0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邻苯二甲酸二异壬酯 (DINP)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Di-Iso-nonylphthalate (DINP)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28553-12-0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邻苯二甲酸二己酯 (DnHP)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Di-n-hexylphthalate (DnHP)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84-75-3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邻苯二甲酸二丁酯 (DBP)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Dibutylphthalate (DBP)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84-74-2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邻苯二甲酸丁苄酯 (BBP)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Butylbenzylphthalate (BBP)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85-68-7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邻苯二甲酸二壬酯 (DNP)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Dinonyl phthalate（DNP）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84-76-4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邻苯二甲酸二乙酯 (DEP)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Diethylphthalate (DEP)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84-66-2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邻苯二甲酸二丙酯 (DPRP)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Dipropyl Phthalate（DPRP）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131-16-8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邻苯二甲酸二异丁酯(DIBP)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Diisobutylphthalate (DIBP)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84-69-5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邻苯二甲酸二环己酯 (DCHP)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Dicyclohexyl phthalate (DCHP)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84-61-7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邻苯二甲酸二异辛酯 (DIOP)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Dioctyl Phthalate（DIOP）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27554-26-3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1,2-苯二酸-二(C7-11支链与直链)烷基(醇)酯(DHNUP)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1,2-Benzenedicarboxylic acid, di-(C7-11)-branched and linear alkyl esters（DHNUP）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68515-42-4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12" w:space="0"/>
            </w:tcBorders>
            <w:vAlign w:val="center"/>
          </w:tcPr>
          <w:p>
            <w:pPr>
              <w:jc w:val="center"/>
              <w:rPr>
                <w:color w:val="000000"/>
                <w:sz w:val="18"/>
                <w:szCs w:val="18"/>
              </w:rPr>
            </w:pPr>
            <w:r>
              <w:rPr>
                <w:color w:val="000000"/>
                <w:sz w:val="18"/>
                <w:szCs w:val="18"/>
              </w:rPr>
              <w:t>邻苯二甲酸二C6-8支链烷基酯(富C7)  (DIHP)</w:t>
            </w:r>
          </w:p>
        </w:tc>
        <w:tc>
          <w:tcPr>
            <w:tcW w:w="4520" w:type="dxa"/>
            <w:tcBorders>
              <w:top w:val="single" w:color="auto" w:sz="4" w:space="0"/>
              <w:bottom w:val="single" w:color="auto" w:sz="12" w:space="0"/>
            </w:tcBorders>
            <w:vAlign w:val="center"/>
          </w:tcPr>
          <w:p>
            <w:pPr>
              <w:jc w:val="center"/>
              <w:rPr>
                <w:color w:val="000000"/>
                <w:sz w:val="18"/>
                <w:szCs w:val="18"/>
              </w:rPr>
            </w:pPr>
            <w:r>
              <w:rPr>
                <w:color w:val="000000"/>
                <w:sz w:val="18"/>
                <w:szCs w:val="18"/>
              </w:rPr>
              <w:t>1,2-Benzenedicarboxylic acid,di-C6-8-branched alkyl esters,C7-rich/Diisoheptyl phthalate（DIHP）</w:t>
            </w:r>
          </w:p>
        </w:tc>
        <w:tc>
          <w:tcPr>
            <w:tcW w:w="1551" w:type="dxa"/>
            <w:tcBorders>
              <w:top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71888-89-6</w:t>
            </w:r>
          </w:p>
        </w:tc>
      </w:tr>
    </w:tbl>
    <w:p>
      <w:pPr>
        <w:spacing w:line="240" w:lineRule="auto"/>
        <w:ind w:firstLine="420" w:firstLineChars="200"/>
        <w:sectPr>
          <w:headerReference r:id="rId45" w:type="default"/>
          <w:footerReference r:id="rId47" w:type="default"/>
          <w:headerReference r:id="rId46" w:type="even"/>
          <w:footerReference r:id="rId48"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173"/>
      </w:pPr>
    </w:p>
    <w:p>
      <w:pPr>
        <w:pStyle w:val="174"/>
      </w:pPr>
    </w:p>
    <w:p>
      <w:pPr>
        <w:pStyle w:val="173"/>
      </w:pPr>
    </w:p>
    <w:p>
      <w:pPr>
        <w:pStyle w:val="174"/>
      </w:pPr>
    </w:p>
    <w:p>
      <w:pPr>
        <w:pStyle w:val="60"/>
        <w:spacing w:after="120"/>
      </w:pPr>
      <w:r>
        <w:br w:type="textWrapping"/>
      </w:r>
      <w:bookmarkStart w:id="105" w:name="_Toc126226145"/>
      <w:bookmarkStart w:id="106" w:name="_Toc126667266"/>
      <w:bookmarkStart w:id="107" w:name="_Toc126133988"/>
      <w:bookmarkStart w:id="108" w:name="_Toc142490399"/>
      <w:r>
        <w:rPr>
          <w:rFonts w:hint="eastAsia"/>
        </w:rPr>
        <w:t>（资料性）</w:t>
      </w:r>
      <w:r>
        <w:br w:type="textWrapping"/>
      </w:r>
      <w:r>
        <w:rPr>
          <w:rFonts w:hint="eastAsia"/>
        </w:rPr>
        <w:t>人造革产品生命周期评价方法</w:t>
      </w:r>
      <w:bookmarkEnd w:id="105"/>
      <w:bookmarkEnd w:id="106"/>
      <w:bookmarkEnd w:id="107"/>
      <w:bookmarkEnd w:id="108"/>
    </w:p>
    <w:p>
      <w:pPr>
        <w:pStyle w:val="62"/>
        <w:spacing w:before="120" w:after="120"/>
      </w:pPr>
      <w:r>
        <w:t>目的</w:t>
      </w:r>
    </w:p>
    <w:p>
      <w:pPr>
        <w:ind w:firstLine="420" w:firstLineChars="200"/>
        <w:rPr>
          <w:color w:val="000000"/>
        </w:rPr>
      </w:pPr>
      <w:r>
        <w:rPr>
          <w:rFonts w:hint="eastAsia" w:hAnsi="宋体"/>
        </w:rPr>
        <w:t>针对人造革</w:t>
      </w:r>
      <w:r>
        <w:rPr>
          <w:rFonts w:hAnsi="宋体"/>
        </w:rPr>
        <w:t>的原材料获取、生产、运输到最终废弃处理的过程中对环境造成的影响，通过评价</w:t>
      </w:r>
      <w:r>
        <w:rPr>
          <w:rFonts w:hint="eastAsia" w:hAnsi="宋体"/>
        </w:rPr>
        <w:t>人造革</w:t>
      </w:r>
      <w:r>
        <w:rPr>
          <w:rFonts w:hAnsi="宋体"/>
        </w:rPr>
        <w:t>产品全生命周期的环境影响大小</w:t>
      </w:r>
      <w:r>
        <w:rPr>
          <w:rFonts w:hint="eastAsia"/>
        </w:rPr>
        <w:t>，</w:t>
      </w:r>
      <w:r>
        <w:rPr>
          <w:rFonts w:hAnsi="宋体"/>
        </w:rPr>
        <w:t>提出</w:t>
      </w:r>
      <w:r>
        <w:rPr>
          <w:rFonts w:hint="eastAsia" w:hAnsi="宋体"/>
        </w:rPr>
        <w:t>人造革绿色化</w:t>
      </w:r>
      <w:r>
        <w:rPr>
          <w:rFonts w:hAnsi="宋体"/>
        </w:rPr>
        <w:t>改进建议</w:t>
      </w:r>
      <w:r>
        <w:rPr>
          <w:rFonts w:hint="eastAsia"/>
        </w:rPr>
        <w:t>，</w:t>
      </w:r>
      <w:r>
        <w:rPr>
          <w:rFonts w:hAnsi="宋体"/>
        </w:rPr>
        <w:t>提升</w:t>
      </w:r>
      <w:r>
        <w:rPr>
          <w:rFonts w:hint="eastAsia" w:hAnsi="宋体"/>
        </w:rPr>
        <w:t>人造革</w:t>
      </w:r>
      <w:r>
        <w:rPr>
          <w:rFonts w:hAnsi="宋体"/>
        </w:rPr>
        <w:t>的环</w:t>
      </w:r>
      <w:r>
        <w:rPr>
          <w:rFonts w:hAnsi="宋体"/>
          <w:color w:val="000000"/>
        </w:rPr>
        <w:t>境友好性。</w:t>
      </w:r>
    </w:p>
    <w:p>
      <w:pPr>
        <w:pStyle w:val="62"/>
        <w:spacing w:before="120" w:after="120"/>
      </w:pPr>
      <w:r>
        <w:rPr>
          <w:rFonts w:hint="eastAsia"/>
        </w:rPr>
        <w:t>评价</w:t>
      </w:r>
      <w:r>
        <w:t>范围</w:t>
      </w:r>
    </w:p>
    <w:p>
      <w:pPr>
        <w:ind w:firstLine="420" w:firstLineChars="200"/>
        <w:rPr>
          <w:color w:val="000000"/>
        </w:rPr>
      </w:pPr>
      <w:r>
        <w:rPr>
          <w:rFonts w:hAnsi="宋体"/>
          <w:color w:val="000000"/>
        </w:rPr>
        <w:t>应根据评价目的确定评价范围，确保两者相适应。定义全生命周期评价范围时，应考虑以下内容并作出清晰描述。</w:t>
      </w:r>
    </w:p>
    <w:p>
      <w:pPr>
        <w:pStyle w:val="63"/>
        <w:spacing w:before="120" w:after="120"/>
      </w:pPr>
      <w:r>
        <w:t>功能单位</w:t>
      </w:r>
    </w:p>
    <w:p>
      <w:pPr>
        <w:ind w:firstLine="420" w:firstLineChars="200"/>
        <w:rPr>
          <w:rFonts w:hAnsi="宋体"/>
        </w:rPr>
      </w:pPr>
      <w:r>
        <w:rPr>
          <w:rFonts w:hAnsi="宋体"/>
        </w:rPr>
        <w:t>功能单位</w:t>
      </w:r>
      <w:r>
        <w:rPr>
          <w:rFonts w:hint="eastAsia" w:hAnsi="宋体"/>
        </w:rPr>
        <w:t>应</w:t>
      </w:r>
      <w:r>
        <w:rPr>
          <w:rFonts w:hAnsi="宋体"/>
        </w:rPr>
        <w:t>是明确规定并且可测量的。本文件可以“</w:t>
      </w:r>
      <w:r>
        <w:rPr>
          <w:rFonts w:hint="eastAsia" w:hAnsi="宋体"/>
        </w:rPr>
        <w:t>每</w:t>
      </w:r>
      <w:r>
        <w:rPr>
          <w:rFonts w:hAnsi="宋体"/>
        </w:rPr>
        <w:t>万米</w:t>
      </w:r>
      <w:r>
        <w:rPr>
          <w:rFonts w:hint="eastAsia" w:hAnsi="宋体"/>
        </w:rPr>
        <w:t>游艇用聚氯乙烯人造革”</w:t>
      </w:r>
      <w:r>
        <w:rPr>
          <w:rFonts w:hAnsi="宋体"/>
        </w:rPr>
        <w:t>为功能单位。</w:t>
      </w:r>
    </w:p>
    <w:p>
      <w:pPr>
        <w:pStyle w:val="63"/>
        <w:spacing w:before="120" w:after="120"/>
      </w:pPr>
      <w:r>
        <w:t>系统边界</w:t>
      </w:r>
    </w:p>
    <w:p>
      <w:pPr>
        <w:spacing w:line="240" w:lineRule="auto"/>
        <w:ind w:firstLine="420"/>
        <w:rPr>
          <w:color w:val="000000"/>
        </w:rPr>
      </w:pPr>
      <w:r>
        <w:rPr>
          <w:rFonts w:hAnsi="宋体"/>
        </w:rPr>
        <w:t>本附录界定的</w:t>
      </w:r>
      <w:r>
        <w:rPr>
          <w:rFonts w:hint="eastAsia" w:hAnsi="宋体"/>
        </w:rPr>
        <w:t>人造革</w:t>
      </w:r>
      <w:r>
        <w:rPr>
          <w:rFonts w:hAnsi="宋体"/>
        </w:rPr>
        <w:t>产品全生命周期系统边界分为</w:t>
      </w:r>
      <w:r>
        <w:rPr>
          <w:rFonts w:hint="eastAsia"/>
        </w:rPr>
        <w:t>三</w:t>
      </w:r>
      <w:r>
        <w:rPr>
          <w:rFonts w:hAnsi="宋体"/>
        </w:rPr>
        <w:t>个阶段：原材料</w:t>
      </w:r>
      <w:r>
        <w:rPr>
          <w:rFonts w:hint="eastAsia" w:hAnsi="宋体"/>
        </w:rPr>
        <w:t>生产及运输</w:t>
      </w:r>
      <w:r>
        <w:rPr>
          <w:rFonts w:hAnsi="宋体"/>
        </w:rPr>
        <w:t>与能源的</w:t>
      </w:r>
      <w:r>
        <w:rPr>
          <w:rFonts w:hint="eastAsia" w:hAnsi="宋体"/>
        </w:rPr>
        <w:t>生产及输送</w:t>
      </w:r>
      <w:r>
        <w:rPr>
          <w:rFonts w:hAnsi="宋体"/>
        </w:rPr>
        <w:t>阶段；</w:t>
      </w:r>
      <w:r>
        <w:rPr>
          <w:rFonts w:hint="eastAsia" w:hAnsi="宋体"/>
        </w:rPr>
        <w:t>人造革</w:t>
      </w:r>
      <w:r>
        <w:rPr>
          <w:rFonts w:hAnsi="宋体"/>
        </w:rPr>
        <w:t>生产</w:t>
      </w:r>
      <w:r>
        <w:rPr>
          <w:rFonts w:hint="eastAsia" w:hAnsi="宋体"/>
        </w:rPr>
        <w:t>包装及运输阶段</w:t>
      </w:r>
      <w:r>
        <w:rPr>
          <w:rFonts w:hAnsi="宋体"/>
        </w:rPr>
        <w:t>、</w:t>
      </w:r>
      <w:r>
        <w:rPr>
          <w:rFonts w:hint="eastAsia" w:hAnsi="宋体"/>
        </w:rPr>
        <w:t>人造革销售及使用阶段</w:t>
      </w:r>
      <w:r>
        <w:rPr>
          <w:rFonts w:hAnsi="宋体"/>
        </w:rPr>
        <w:t>。如图</w:t>
      </w:r>
      <w:r>
        <w:t>L.1</w:t>
      </w:r>
      <w:r>
        <w:rPr>
          <w:rFonts w:hAnsi="宋体"/>
        </w:rPr>
        <w:t>所示。</w:t>
      </w:r>
    </w:p>
    <w:p>
      <w:pPr>
        <w:spacing w:line="240" w:lineRule="auto"/>
        <w:jc w:val="center"/>
        <w:rPr>
          <w:szCs w:val="20"/>
        </w:rPr>
      </w:pPr>
      <w:r>
        <w:rPr>
          <w:rFonts w:ascii="Calibri" w:hAnsi="Calibri" w:eastAsia="宋体" w:cs="Times New Roman"/>
          <w:kern w:val="2"/>
          <w:sz w:val="21"/>
          <w:szCs w:val="21"/>
          <w:lang w:val="en-US" w:eastAsia="zh-CN" w:bidi="ar-SA"/>
        </w:rPr>
        <w:pict>
          <v:shape id="_x0000_i1031" o:spt="75" type="#_x0000_t75" style="height:78pt;width:373pt;" fillcolor="#FFFFFF" filled="f" o:preferrelative="t" stroked="f" coordsize="21600,21600">
            <v:path/>
            <v:fill on="f" color2="#FFFFFF" focussize="0,0"/>
            <v:stroke on="f"/>
            <v:imagedata r:id="rId66" gain="65536f" blacklevel="0f" gamma="0" o:title=""/>
            <o:lock v:ext="edit" position="f" selection="f" grouping="f" rotation="f" cropping="f" text="f" aspectratio="t"/>
            <w10:wrap type="none"/>
            <w10:anchorlock/>
          </v:shape>
        </w:pict>
      </w:r>
    </w:p>
    <w:p>
      <w:pPr>
        <w:pStyle w:val="67"/>
        <w:spacing w:before="120" w:after="120"/>
      </w:pPr>
      <w:r>
        <w:rPr>
          <w:rFonts w:hint="eastAsia"/>
        </w:rPr>
        <w:t>人造革</w:t>
      </w:r>
      <w:r>
        <w:t>产品生命周期系统边界图</w:t>
      </w:r>
    </w:p>
    <w:p>
      <w:pPr>
        <w:spacing w:line="240" w:lineRule="auto"/>
        <w:ind w:firstLine="420"/>
        <w:rPr>
          <w:color w:val="000000"/>
        </w:rPr>
      </w:pPr>
      <w:r>
        <w:rPr>
          <w:color w:val="000000"/>
        </w:rPr>
        <w:t>生命周期</w:t>
      </w:r>
      <w:r>
        <w:rPr>
          <w:rFonts w:hAnsi="宋体"/>
          <w:color w:val="000000"/>
        </w:rPr>
        <w:t>评价的覆盖时间应在规定的期限内。数据应反映具有代表性的时期（取最近</w:t>
      </w:r>
      <w:r>
        <w:rPr>
          <w:color w:val="000000"/>
        </w:rPr>
        <w:t>3</w:t>
      </w:r>
      <w:r>
        <w:rPr>
          <w:rFonts w:hAnsi="宋体"/>
          <w:color w:val="000000"/>
        </w:rPr>
        <w:t>年内有效值）。如果未能取得</w:t>
      </w:r>
      <w:r>
        <w:rPr>
          <w:color w:val="000000"/>
        </w:rPr>
        <w:t>3</w:t>
      </w:r>
      <w:r>
        <w:rPr>
          <w:rFonts w:hAnsi="宋体"/>
          <w:color w:val="000000"/>
        </w:rPr>
        <w:t>年内有效值，应做具体说明。</w:t>
      </w:r>
    </w:p>
    <w:p>
      <w:pPr>
        <w:pStyle w:val="63"/>
        <w:spacing w:before="120" w:after="120"/>
      </w:pPr>
      <w:r>
        <w:t>数据取舍原则</w:t>
      </w:r>
    </w:p>
    <w:p>
      <w:pPr>
        <w:ind w:firstLine="420"/>
        <w:rPr>
          <w:color w:val="000000"/>
        </w:rPr>
      </w:pPr>
      <w:r>
        <w:rPr>
          <w:rFonts w:hAnsi="宋体"/>
          <w:color w:val="000000"/>
        </w:rPr>
        <w:t>单元过程数据种类很多，应对数据进行适当的取舍，原则如下：</w:t>
      </w:r>
    </w:p>
    <w:p>
      <w:pPr>
        <w:pStyle w:val="152"/>
        <w:numPr>
          <w:ilvl w:val="0"/>
          <w:numId w:val="37"/>
        </w:numPr>
      </w:pPr>
      <w:r>
        <w:t>能源的所有输入均列出；</w:t>
      </w:r>
    </w:p>
    <w:p>
      <w:pPr>
        <w:pStyle w:val="152"/>
      </w:pPr>
      <w:r>
        <w:t>原材料的所有输入均列出；</w:t>
      </w:r>
    </w:p>
    <w:p>
      <w:pPr>
        <w:pStyle w:val="152"/>
      </w:pPr>
      <w:r>
        <w:t>重量小于产品重量1%的辅料可忽略，但总忽略的重量不应超过产品重量的5%；</w:t>
      </w:r>
    </w:p>
    <w:p>
      <w:pPr>
        <w:pStyle w:val="152"/>
      </w:pPr>
      <w:r>
        <w:t>大气、水体的各种排放均列出；</w:t>
      </w:r>
    </w:p>
    <w:p>
      <w:pPr>
        <w:pStyle w:val="152"/>
      </w:pPr>
      <w:r>
        <w:t>小于固体废弃物排放量总量1%的一般性固体废弃物可忽略；</w:t>
      </w:r>
    </w:p>
    <w:p>
      <w:pPr>
        <w:pStyle w:val="152"/>
      </w:pPr>
      <w:r>
        <w:t>道路与厂房等基础设施、各工序的设备、厂房内人员及生活设施的消耗和排放，均忽略；</w:t>
      </w:r>
    </w:p>
    <w:p>
      <w:pPr>
        <w:pStyle w:val="152"/>
      </w:pPr>
      <w:r>
        <w:rPr>
          <w:rFonts w:hint="eastAsia"/>
        </w:rPr>
        <w:t>任何有毒有害材料和物质均应包含于清单中。</w:t>
      </w:r>
    </w:p>
    <w:p>
      <w:pPr>
        <w:pStyle w:val="62"/>
        <w:spacing w:before="120" w:after="120"/>
      </w:pPr>
      <w:r>
        <w:t>生命周期清单分析</w:t>
      </w:r>
    </w:p>
    <w:p>
      <w:pPr>
        <w:pStyle w:val="63"/>
        <w:spacing w:before="120" w:after="120"/>
      </w:pPr>
      <w:r>
        <w:t>总则</w:t>
      </w:r>
    </w:p>
    <w:p>
      <w:pPr>
        <w:ind w:firstLine="420"/>
        <w:rPr>
          <w:color w:val="000000"/>
        </w:rPr>
      </w:pPr>
      <w:r>
        <w:rPr>
          <w:rFonts w:hint="eastAsia"/>
          <w:color w:val="000000"/>
        </w:rPr>
        <w:t>编制人造革品系统边界内的所有材料/能源输入、输出清单，作为产品生命周期评价的依据。如果数据清单有特殊情况、异常或其他问题，应在报告中进行明确说明</w:t>
      </w:r>
    </w:p>
    <w:p>
      <w:pPr>
        <w:ind w:firstLine="420"/>
        <w:rPr>
          <w:color w:val="000000"/>
        </w:rPr>
      </w:pPr>
      <w:r>
        <w:rPr>
          <w:rFonts w:hAnsi="宋体"/>
          <w:color w:val="000000"/>
        </w:rPr>
        <w:t>当数据收集完成后，应对收集的数据进行审定。然后，确定每个单元过程的基本流，并据此计算出单元过程的定量输入和输出。此后，将每个单元过程的输入输出数据除以产品的产量</w:t>
      </w:r>
      <w:r>
        <w:rPr>
          <w:rFonts w:hint="eastAsia"/>
          <w:color w:val="000000"/>
        </w:rPr>
        <w:t>，</w:t>
      </w:r>
      <w:r>
        <w:rPr>
          <w:rFonts w:hAnsi="宋体"/>
          <w:color w:val="000000"/>
        </w:rPr>
        <w:t>得到功能单位的资源消耗和环境排放。最后，将产品各单元过程中相同影响因素的数据求和，以获取该影响因素的总量，为产品级的影响评价提供必要的数据。</w:t>
      </w:r>
    </w:p>
    <w:p>
      <w:pPr>
        <w:pStyle w:val="63"/>
        <w:spacing w:before="120" w:after="120"/>
      </w:pPr>
      <w:r>
        <w:t>数据收集</w:t>
      </w:r>
    </w:p>
    <w:p>
      <w:pPr>
        <w:pStyle w:val="65"/>
        <w:spacing w:before="120" w:after="120"/>
      </w:pPr>
      <w:r>
        <w:t>概况</w:t>
      </w:r>
    </w:p>
    <w:p>
      <w:pPr>
        <w:ind w:firstLine="420" w:firstLineChars="200"/>
        <w:rPr>
          <w:color w:val="000000"/>
        </w:rPr>
      </w:pPr>
      <w:r>
        <w:rPr>
          <w:rFonts w:hAnsi="宋体"/>
          <w:color w:val="000000"/>
        </w:rPr>
        <w:t>应将以下要素纳入数据清单：</w:t>
      </w:r>
      <w:r>
        <w:rPr>
          <w:color w:val="000000"/>
        </w:rPr>
        <w:t xml:space="preserve"> </w:t>
      </w:r>
    </w:p>
    <w:p>
      <w:pPr>
        <w:pStyle w:val="152"/>
        <w:numPr>
          <w:ilvl w:val="0"/>
          <w:numId w:val="38"/>
        </w:numPr>
      </w:pPr>
      <w:r>
        <w:t>原材料采购和预加工；</w:t>
      </w:r>
    </w:p>
    <w:p>
      <w:pPr>
        <w:pStyle w:val="152"/>
      </w:pPr>
      <w:r>
        <w:t>生产；</w:t>
      </w:r>
    </w:p>
    <w:p>
      <w:pPr>
        <w:pStyle w:val="152"/>
      </w:pPr>
      <w:r>
        <w:t>使用阶段；</w:t>
      </w:r>
    </w:p>
    <w:p>
      <w:pPr>
        <w:pStyle w:val="152"/>
      </w:pPr>
      <w:r>
        <w:t>运输。</w:t>
      </w:r>
    </w:p>
    <w:p>
      <w:pPr>
        <w:ind w:firstLine="420" w:firstLineChars="200"/>
        <w:rPr>
          <w:color w:val="000000"/>
        </w:rPr>
      </w:pPr>
      <w:r>
        <w:rPr>
          <w:rFonts w:hAnsi="宋体"/>
          <w:color w:val="000000"/>
        </w:rPr>
        <w:t>基于</w:t>
      </w:r>
      <w:r>
        <w:rPr>
          <w:color w:val="000000"/>
        </w:rPr>
        <w:t>生命周期</w:t>
      </w:r>
      <w:r>
        <w:rPr>
          <w:rFonts w:hAnsi="宋体"/>
          <w:color w:val="000000"/>
        </w:rPr>
        <w:t>的信息中要使用的数据可分为两类：现场数据和背景数据。主要数据尽量使用现场数据，如果现场数据收集缺乏，可以选择背景数据。</w:t>
      </w:r>
    </w:p>
    <w:p>
      <w:pPr>
        <w:ind w:firstLine="420" w:firstLineChars="200"/>
        <w:rPr>
          <w:color w:val="000000"/>
        </w:rPr>
      </w:pPr>
      <w:r>
        <w:rPr>
          <w:rFonts w:hAnsi="宋体"/>
          <w:color w:val="000000"/>
        </w:rPr>
        <w:t>现场数据是从企业直接获得的数据。主要包括生产过程的能源与水资源消耗、产品原材料的使用量、产品主要包装材料的使用量和废物产生量等。现场数据还应包括运输数据</w:t>
      </w:r>
      <w:r>
        <w:rPr>
          <w:color w:val="000000"/>
        </w:rPr>
        <w:t>，</w:t>
      </w:r>
      <w:r>
        <w:rPr>
          <w:rFonts w:hAnsi="宋体"/>
          <w:color w:val="000000"/>
        </w:rPr>
        <w:t>即产品原料、成品等从制造地点到最终交货点的运输距离。</w:t>
      </w:r>
    </w:p>
    <w:p>
      <w:pPr>
        <w:ind w:firstLine="420" w:firstLineChars="200"/>
        <w:rPr>
          <w:color w:val="000000"/>
        </w:rPr>
      </w:pPr>
      <w:r>
        <w:rPr>
          <w:rFonts w:hAnsi="宋体"/>
          <w:color w:val="000000"/>
        </w:rPr>
        <w:t>背景数据包括主要原料的生产数据、权威的电力的组合的数据</w:t>
      </w:r>
      <w:r>
        <w:rPr>
          <w:rFonts w:hint="eastAsia"/>
          <w:color w:val="000000"/>
        </w:rPr>
        <w:t>（</w:t>
      </w:r>
      <w:r>
        <w:rPr>
          <w:rFonts w:hAnsi="宋体"/>
          <w:color w:val="000000"/>
        </w:rPr>
        <w:t>如火力、水、风力发电等</w:t>
      </w:r>
      <w:r>
        <w:rPr>
          <w:rFonts w:hint="eastAsia"/>
          <w:color w:val="000000"/>
        </w:rPr>
        <w:t>）</w:t>
      </w:r>
      <w:r>
        <w:rPr>
          <w:rFonts w:hAnsi="宋体"/>
          <w:color w:val="000000"/>
        </w:rPr>
        <w:t>、不同运输类型造成的环境影响以及产品成分在环境中降解等排放数据。</w:t>
      </w:r>
    </w:p>
    <w:p>
      <w:pPr>
        <w:pStyle w:val="65"/>
        <w:spacing w:before="120" w:after="120"/>
      </w:pPr>
      <w:r>
        <w:t>现场数据采集</w:t>
      </w:r>
    </w:p>
    <w:p>
      <w:pPr>
        <w:ind w:firstLine="420" w:firstLineChars="200"/>
        <w:rPr>
          <w:rFonts w:hAnsi="宋体"/>
          <w:color w:val="000000"/>
        </w:rPr>
      </w:pPr>
      <w:r>
        <w:rPr>
          <w:rFonts w:hAnsi="宋体"/>
          <w:color w:val="000000"/>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rPr>
          <w:color w:val="000000"/>
        </w:rPr>
      </w:pPr>
      <w:r>
        <w:rPr>
          <w:rFonts w:hint="eastAsia" w:hAnsi="宋体"/>
          <w:color w:val="000000"/>
        </w:rPr>
        <w:t>现场</w:t>
      </w:r>
      <w:r>
        <w:rPr>
          <w:rFonts w:hAnsi="宋体"/>
          <w:color w:val="000000"/>
        </w:rPr>
        <w:t>数据的质量要求包括：</w:t>
      </w:r>
    </w:p>
    <w:p>
      <w:pPr>
        <w:pStyle w:val="152"/>
        <w:numPr>
          <w:ilvl w:val="0"/>
          <w:numId w:val="39"/>
        </w:numPr>
      </w:pPr>
      <w:r>
        <w:t>代表性：现场数据按照企业生产单元收集所确定范围内的生产统计数据；</w:t>
      </w:r>
    </w:p>
    <w:p>
      <w:pPr>
        <w:pStyle w:val="152"/>
      </w:pPr>
      <w:r>
        <w:t>完整性：现场数据应采集完整的生命周期要求数据；</w:t>
      </w:r>
    </w:p>
    <w:p>
      <w:pPr>
        <w:pStyle w:val="152"/>
      </w:pPr>
      <w:r>
        <w:t>准确性：现场数据中的资源、能源、原材料消耗数据应该来自于生产单元的实际生产统计记录；环境排放数据优先选择相关的环境监测报告，或由排污因子或物料平衡公式计算获得。所有现场数据均须转换为单位产品，即</w:t>
      </w:r>
      <w:r>
        <w:rPr>
          <w:rFonts w:hint="eastAsia"/>
        </w:rPr>
        <w:t>一</w:t>
      </w:r>
      <w:r>
        <w:t>万米为基准折算，且需要详细记录相关的原始数据、数据来源、计算过程等；</w:t>
      </w:r>
    </w:p>
    <w:p>
      <w:pPr>
        <w:pStyle w:val="152"/>
      </w:pPr>
      <w:r>
        <w:t>一致性：企业现场数据收集时应保持相同的数据来源、统计口径、处理规则等。</w:t>
      </w:r>
    </w:p>
    <w:p>
      <w:pPr>
        <w:pStyle w:val="213"/>
        <w:numPr>
          <w:ilvl w:val="0"/>
          <w:numId w:val="0"/>
        </w:numPr>
        <w:tabs>
          <w:tab w:val="clear" w:pos="840"/>
        </w:tabs>
        <w:spacing w:before="120" w:after="120"/>
        <w:ind w:left="839"/>
      </w:pPr>
      <w:r>
        <w:t>典型的现场数据来源包括：</w:t>
      </w:r>
    </w:p>
    <w:p>
      <w:pPr>
        <w:ind w:firstLine="420"/>
      </w:pPr>
      <w:r>
        <w:rPr>
          <w:rFonts w:hint="eastAsia"/>
        </w:rPr>
        <w:t xml:space="preserve">    </w:t>
      </w:r>
      <w:r>
        <w:t>——</w:t>
      </w:r>
      <w:r>
        <w:rPr>
          <w:rFonts w:hint="eastAsia" w:hAnsi="宋体"/>
        </w:rPr>
        <w:t>人造革产品用</w:t>
      </w:r>
      <w:r>
        <w:rPr>
          <w:rFonts w:hAnsi="宋体"/>
        </w:rPr>
        <w:t>原材料采购和预加工；</w:t>
      </w:r>
    </w:p>
    <w:p>
      <w:pPr>
        <w:ind w:firstLine="420"/>
      </w:pPr>
      <w:r>
        <w:rPr>
          <w:rFonts w:hint="eastAsia"/>
        </w:rPr>
        <w:t xml:space="preserve">    </w:t>
      </w:r>
      <w:r>
        <w:t>——</w:t>
      </w:r>
      <w:r>
        <w:rPr>
          <w:rFonts w:hint="eastAsia" w:hAnsi="宋体"/>
        </w:rPr>
        <w:t>人造革产品</w:t>
      </w:r>
      <w:r>
        <w:rPr>
          <w:rFonts w:hAnsi="宋体"/>
        </w:rPr>
        <w:t>原材料由原材料供应商运输至</w:t>
      </w:r>
      <w:r>
        <w:rPr>
          <w:rFonts w:hint="eastAsia" w:hAnsi="宋体"/>
        </w:rPr>
        <w:t>人造革合成革</w:t>
      </w:r>
      <w:r>
        <w:rPr>
          <w:rFonts w:hAnsi="宋体"/>
        </w:rPr>
        <w:t>产品生产商处的运输数据；</w:t>
      </w:r>
    </w:p>
    <w:p>
      <w:pPr>
        <w:ind w:firstLine="420"/>
      </w:pPr>
      <w:r>
        <w:rPr>
          <w:rFonts w:hint="eastAsia"/>
        </w:rPr>
        <w:t xml:space="preserve">    </w:t>
      </w:r>
      <w:r>
        <w:t>——</w:t>
      </w:r>
      <w:r>
        <w:rPr>
          <w:rFonts w:hint="eastAsia" w:hAnsi="宋体"/>
        </w:rPr>
        <w:t>人造革产品</w:t>
      </w:r>
      <w:r>
        <w:rPr>
          <w:rFonts w:hAnsi="宋体"/>
        </w:rPr>
        <w:t>生产过程的能源和水资源消耗数据；</w:t>
      </w:r>
    </w:p>
    <w:p>
      <w:pPr>
        <w:ind w:firstLine="420"/>
      </w:pPr>
      <w:r>
        <w:rPr>
          <w:rFonts w:hint="eastAsia"/>
        </w:rPr>
        <w:t xml:space="preserve">    </w:t>
      </w:r>
      <w:r>
        <w:t>——</w:t>
      </w:r>
      <w:r>
        <w:rPr>
          <w:rFonts w:hint="eastAsia" w:hAnsi="宋体"/>
        </w:rPr>
        <w:t>人造革产品</w:t>
      </w:r>
      <w:r>
        <w:rPr>
          <w:rFonts w:hAnsi="宋体"/>
        </w:rPr>
        <w:t>包装材料数据，包括原材料包装数据；</w:t>
      </w:r>
    </w:p>
    <w:p>
      <w:pPr>
        <w:ind w:firstLine="420"/>
      </w:pPr>
      <w:r>
        <w:rPr>
          <w:rFonts w:hint="eastAsia"/>
        </w:rPr>
        <w:t xml:space="preserve">    </w:t>
      </w:r>
      <w:r>
        <w:t>——</w:t>
      </w:r>
      <w:r>
        <w:rPr>
          <w:rFonts w:hint="eastAsia" w:hAnsi="宋体"/>
        </w:rPr>
        <w:t>人造革产品</w:t>
      </w:r>
      <w:r>
        <w:rPr>
          <w:rFonts w:hAnsi="宋体"/>
        </w:rPr>
        <w:t>由生产商处运输至经销商处的运输数据；</w:t>
      </w:r>
    </w:p>
    <w:p>
      <w:pPr>
        <w:ind w:firstLine="420"/>
      </w:pPr>
      <w:r>
        <w:rPr>
          <w:rFonts w:hint="eastAsia"/>
        </w:rPr>
        <w:t xml:space="preserve">    </w:t>
      </w:r>
      <w:r>
        <w:t>——</w:t>
      </w:r>
      <w:r>
        <w:rPr>
          <w:rFonts w:hint="eastAsia" w:hAnsi="宋体"/>
        </w:rPr>
        <w:t>人造革产品</w:t>
      </w:r>
      <w:r>
        <w:rPr>
          <w:rFonts w:hAnsi="宋体"/>
        </w:rPr>
        <w:t>生产废水经污水处理厂所消耗的数据。</w:t>
      </w:r>
    </w:p>
    <w:p>
      <w:pPr>
        <w:pStyle w:val="65"/>
        <w:spacing w:before="120" w:after="120"/>
      </w:pPr>
      <w:r>
        <w:t>背景数据采集</w:t>
      </w:r>
    </w:p>
    <w:p>
      <w:pPr>
        <w:ind w:firstLine="420" w:firstLineChars="200"/>
        <w:rPr>
          <w:rFonts w:hAnsi="宋体"/>
          <w:color w:val="000000"/>
        </w:rPr>
      </w:pPr>
      <w:r>
        <w:rPr>
          <w:rFonts w:hAnsi="宋体"/>
          <w:color w:val="000000"/>
        </w:rPr>
        <w:t>背景数据不是直接测量或计算而得到的数据。所使用数据的来源应有清楚的文件记载并应载入产品生命周期评价报告。</w:t>
      </w:r>
    </w:p>
    <w:p>
      <w:pPr>
        <w:ind w:firstLine="420" w:firstLineChars="200"/>
        <w:rPr>
          <w:color w:val="000000"/>
        </w:rPr>
      </w:pPr>
      <w:r>
        <w:rPr>
          <w:rFonts w:hint="eastAsia" w:hAnsi="宋体"/>
          <w:color w:val="000000"/>
        </w:rPr>
        <w:t>背景</w:t>
      </w:r>
      <w:r>
        <w:rPr>
          <w:rFonts w:hAnsi="宋体"/>
          <w:color w:val="000000"/>
        </w:rPr>
        <w:t>数据质量要求如下：</w:t>
      </w:r>
    </w:p>
    <w:p>
      <w:pPr>
        <w:pStyle w:val="152"/>
        <w:numPr>
          <w:ilvl w:val="0"/>
          <w:numId w:val="40"/>
        </w:numPr>
      </w:pPr>
      <w:r>
        <w:t>代表性：背景数据应优先选择企业的原材料供应商提供的符合相关生命周期标准要求的、经第三方独立验证的上游产品生命周期报告中的数据。若无，应优先选择代表中国国内平均生产水平的公开生命周期数据，数据的参考年限应优先选择近年数据。</w:t>
      </w:r>
      <w:r>
        <w:rPr>
          <w:rFonts w:hint="eastAsia"/>
        </w:rPr>
        <w:t>在没有符合要求的中国国内数据的情况下，可以选择国外同类技术数据作为背景数据；</w:t>
      </w:r>
    </w:p>
    <w:p>
      <w:pPr>
        <w:pStyle w:val="152"/>
      </w:pPr>
      <w:r>
        <w:t>完整性：背景数据的系统边界应该从资源开采到这些原辅材料或能源产品出厂为止</w:t>
      </w:r>
      <w:r>
        <w:rPr>
          <w:rFonts w:hint="eastAsia"/>
        </w:rPr>
        <w:t>；</w:t>
      </w:r>
    </w:p>
    <w:p>
      <w:pPr>
        <w:pStyle w:val="152"/>
      </w:pPr>
      <w:r>
        <w:t>一致性：所有被选择的背景数据应完整覆盖本部分确定的生命周期清单因子，并且应将背景数据转换为一致的物质名录后再进行计算。</w:t>
      </w:r>
    </w:p>
    <w:p>
      <w:pPr>
        <w:pStyle w:val="65"/>
        <w:spacing w:before="120" w:after="120"/>
      </w:pPr>
      <w:r>
        <w:t>原材料采购和预加工</w:t>
      </w:r>
    </w:p>
    <w:p>
      <w:pPr>
        <w:ind w:firstLine="420" w:firstLineChars="200"/>
      </w:pPr>
      <w:r>
        <w:rPr>
          <w:rFonts w:hAnsi="宋体"/>
          <w:color w:val="000000"/>
        </w:rPr>
        <w:t>该阶段始于原辅材料的采购</w:t>
      </w:r>
      <w:r>
        <w:rPr>
          <w:rFonts w:hAnsi="宋体"/>
        </w:rPr>
        <w:t>，结束于原辅材料进入</w:t>
      </w:r>
      <w:r>
        <w:rPr>
          <w:rFonts w:hint="eastAsia" w:hAnsi="宋体"/>
        </w:rPr>
        <w:t>人造革</w:t>
      </w:r>
      <w:r>
        <w:rPr>
          <w:rFonts w:hAnsi="宋体"/>
        </w:rPr>
        <w:t>产品生产设施，包括</w:t>
      </w:r>
      <w:r>
        <w:rPr>
          <w:rFonts w:hint="eastAsia"/>
        </w:rPr>
        <w:t>：</w:t>
      </w:r>
    </w:p>
    <w:p>
      <w:pPr>
        <w:pStyle w:val="152"/>
        <w:numPr>
          <w:ilvl w:val="0"/>
          <w:numId w:val="41"/>
        </w:numPr>
      </w:pPr>
      <w:r>
        <w:t>开采和提取；</w:t>
      </w:r>
    </w:p>
    <w:p>
      <w:pPr>
        <w:pStyle w:val="152"/>
      </w:pPr>
      <w:r>
        <w:t>所有材料的预加工，例如使纱线变成基布、树脂变成浆料等；</w:t>
      </w:r>
    </w:p>
    <w:p>
      <w:pPr>
        <w:pStyle w:val="152"/>
      </w:pPr>
      <w:r>
        <w:t>转换回收的材料；</w:t>
      </w:r>
    </w:p>
    <w:p>
      <w:pPr>
        <w:pStyle w:val="152"/>
      </w:pPr>
      <w:r>
        <w:t>提取或与加工设施内部或与加工设施之间的运输。</w:t>
      </w:r>
    </w:p>
    <w:p>
      <w:pPr>
        <w:pStyle w:val="65"/>
        <w:spacing w:before="120" w:after="120"/>
      </w:pPr>
      <w:r>
        <w:t>生产</w:t>
      </w:r>
    </w:p>
    <w:p>
      <w:pPr>
        <w:ind w:firstLine="420" w:firstLineChars="200"/>
      </w:pPr>
      <w:r>
        <w:rPr>
          <w:rFonts w:hAnsi="宋体"/>
        </w:rPr>
        <w:t>该阶段始于</w:t>
      </w:r>
      <w:r>
        <w:rPr>
          <w:rFonts w:hint="eastAsia" w:hAnsi="宋体"/>
        </w:rPr>
        <w:t>人造革</w:t>
      </w:r>
      <w:r>
        <w:rPr>
          <w:rFonts w:hAnsi="宋体"/>
        </w:rPr>
        <w:t>产品进入生产设施，结束于</w:t>
      </w:r>
      <w:r>
        <w:rPr>
          <w:rFonts w:hint="eastAsia" w:hAnsi="宋体"/>
        </w:rPr>
        <w:t>人造革</w:t>
      </w:r>
      <w:r>
        <w:rPr>
          <w:rFonts w:hAnsi="宋体"/>
        </w:rPr>
        <w:t>产品离开生产设施。生产活动包括物理处理、化学处理、制造、制造过程中半成品的运输、材料组成包装等。</w:t>
      </w:r>
    </w:p>
    <w:p>
      <w:pPr>
        <w:pStyle w:val="65"/>
        <w:spacing w:before="120" w:after="120"/>
      </w:pPr>
      <w:r>
        <w:t>产品运输</w:t>
      </w:r>
    </w:p>
    <w:p>
      <w:pPr>
        <w:ind w:firstLine="420" w:firstLineChars="200"/>
        <w:rPr>
          <w:rFonts w:hAnsi="宋体"/>
          <w:color w:val="000000"/>
        </w:rPr>
      </w:pPr>
      <w:r>
        <w:rPr>
          <w:rFonts w:hAnsi="宋体"/>
        </w:rPr>
        <w:t>该阶段将</w:t>
      </w:r>
      <w:r>
        <w:rPr>
          <w:rFonts w:hint="eastAsia" w:hAnsi="宋体"/>
        </w:rPr>
        <w:t>人造革</w:t>
      </w:r>
      <w:r>
        <w:rPr>
          <w:rFonts w:hAnsi="宋体"/>
        </w:rPr>
        <w:t>产品分配给各</w:t>
      </w:r>
      <w:r>
        <w:rPr>
          <w:rFonts w:hAnsi="宋体"/>
          <w:color w:val="000000"/>
        </w:rPr>
        <w:t>地经销商，可沿着供应链将其储存在各点，包括运输车辆的燃料使用等过程。</w:t>
      </w:r>
    </w:p>
    <w:p>
      <w:pPr>
        <w:ind w:firstLine="420" w:firstLineChars="200"/>
        <w:rPr>
          <w:color w:val="000000"/>
        </w:rPr>
      </w:pPr>
      <w:r>
        <w:rPr>
          <w:rFonts w:hint="eastAsia"/>
          <w:color w:val="000000"/>
        </w:rPr>
        <w:t>应考虑的运输参数包括运输方式、车辆类型、燃料消耗量、运输距离等。</w:t>
      </w:r>
    </w:p>
    <w:p>
      <w:pPr>
        <w:pStyle w:val="65"/>
        <w:spacing w:before="120" w:after="120"/>
      </w:pPr>
      <w:r>
        <w:t>物流</w:t>
      </w:r>
    </w:p>
    <w:p>
      <w:pPr>
        <w:ind w:firstLine="420" w:firstLineChars="200"/>
        <w:rPr>
          <w:color w:val="000000"/>
        </w:rPr>
      </w:pPr>
      <w:r>
        <w:rPr>
          <w:rFonts w:hAnsi="宋体"/>
          <w:color w:val="000000"/>
        </w:rPr>
        <w:t>应考虑的运输参数包括运输方式、车辆类型、燃料消耗量、装货速率、回空数量、运输距离、根据负载限制因素</w:t>
      </w:r>
      <w:r>
        <w:rPr>
          <w:rFonts w:hint="eastAsia"/>
          <w:color w:val="000000"/>
        </w:rPr>
        <w:t>（</w:t>
      </w:r>
      <w:r>
        <w:rPr>
          <w:rFonts w:hAnsi="宋体"/>
          <w:color w:val="000000"/>
        </w:rPr>
        <w:t>即高密度产品质量和低密度产品体积</w:t>
      </w:r>
      <w:r>
        <w:rPr>
          <w:rFonts w:hint="eastAsia"/>
          <w:color w:val="000000"/>
        </w:rPr>
        <w:t>）</w:t>
      </w:r>
      <w:r>
        <w:rPr>
          <w:rFonts w:hAnsi="宋体"/>
          <w:color w:val="000000"/>
        </w:rPr>
        <w:t>的商品运输分配以及燃料用量。</w:t>
      </w:r>
    </w:p>
    <w:p>
      <w:pPr>
        <w:pStyle w:val="65"/>
        <w:spacing w:before="120" w:after="120"/>
      </w:pPr>
      <w:r>
        <w:t>用电量计算</w:t>
      </w:r>
    </w:p>
    <w:p>
      <w:pPr>
        <w:ind w:firstLine="420" w:firstLineChars="200"/>
        <w:rPr>
          <w:color w:val="000000"/>
        </w:rPr>
      </w:pPr>
      <w:r>
        <w:rPr>
          <w:rFonts w:hAnsi="宋体"/>
          <w:color w:val="000000"/>
        </w:rPr>
        <w:t>对于产品系统边界上游或内部消耗的电力，应使用区域供应商现场数据。</w:t>
      </w:r>
    </w:p>
    <w:p>
      <w:pPr>
        <w:pStyle w:val="63"/>
        <w:spacing w:before="120" w:after="120"/>
      </w:pPr>
      <w:r>
        <w:t>数据分配</w:t>
      </w:r>
    </w:p>
    <w:p>
      <w:pPr>
        <w:ind w:firstLine="420" w:firstLineChars="200"/>
        <w:rPr>
          <w:color w:val="000000"/>
        </w:rPr>
      </w:pPr>
      <w:r>
        <w:rPr>
          <w:rFonts w:hAnsi="宋体"/>
        </w:rPr>
        <w:t>在进行</w:t>
      </w:r>
      <w:r>
        <w:rPr>
          <w:rFonts w:hint="eastAsia" w:hAnsi="宋体"/>
        </w:rPr>
        <w:t>人造革</w:t>
      </w:r>
      <w:r>
        <w:rPr>
          <w:rFonts w:hAnsi="宋体"/>
        </w:rPr>
        <w:t>产品生命周期评价的过程中涉及到数据分配问题，特别是</w:t>
      </w:r>
      <w:r>
        <w:rPr>
          <w:rFonts w:hint="eastAsia" w:hAnsi="宋体"/>
        </w:rPr>
        <w:t>人造革</w:t>
      </w:r>
      <w:r>
        <w:rPr>
          <w:rFonts w:hAnsi="宋体"/>
        </w:rPr>
        <w:t>产品的生产环节。由于厂家往往同时生产多种类型的产品，一条流水线上或一个车间里会同时生产多种型号。很难就某单个型号的产品生产收集清单数据，往往会就某个车间、某条流水线收集数据，然后再分配到具体的产品上。针对</w:t>
      </w:r>
      <w:r>
        <w:rPr>
          <w:rFonts w:hint="eastAsia" w:hAnsi="宋体"/>
        </w:rPr>
        <w:t>人造革</w:t>
      </w:r>
      <w:r>
        <w:rPr>
          <w:rFonts w:hAnsi="宋体"/>
        </w:rPr>
        <w:t>生产阶段，</w:t>
      </w:r>
      <w:r>
        <w:rPr>
          <w:rFonts w:hAnsi="宋体"/>
          <w:color w:val="000000"/>
        </w:rPr>
        <w:t>因为生产的产品主要成分比较一致，所以可以</w:t>
      </w:r>
      <w:r>
        <w:rPr>
          <w:rFonts w:ascii="宋体" w:hAnsi="宋体"/>
          <w:color w:val="000000"/>
        </w:rPr>
        <w:t>“重量分配”</w:t>
      </w:r>
      <w:r>
        <w:rPr>
          <w:rFonts w:hAnsi="宋体"/>
          <w:color w:val="000000"/>
        </w:rPr>
        <w:t>作为分摊的比例，即重量越大的产品，其分摊额度就越大。</w:t>
      </w:r>
    </w:p>
    <w:p>
      <w:pPr>
        <w:pStyle w:val="63"/>
        <w:spacing w:before="120" w:after="120"/>
      </w:pPr>
      <w:r>
        <w:t>数据分析</w:t>
      </w:r>
    </w:p>
    <w:p>
      <w:pPr>
        <w:ind w:firstLine="420" w:firstLineChars="200"/>
        <w:rPr>
          <w:rFonts w:hAnsi="宋体"/>
          <w:color w:val="000000"/>
        </w:rPr>
      </w:pPr>
      <w:r>
        <w:rPr>
          <w:rFonts w:hAnsi="宋体"/>
          <w:color w:val="000000"/>
        </w:rPr>
        <w:t>根据表</w:t>
      </w:r>
      <w:r>
        <w:rPr>
          <w:rFonts w:hint="eastAsia"/>
          <w:color w:val="000000"/>
          <w:lang w:val="en-US" w:eastAsia="zh-CN"/>
        </w:rPr>
        <w:t>H</w:t>
      </w:r>
      <w:r>
        <w:rPr>
          <w:color w:val="000000"/>
        </w:rPr>
        <w:t>.1</w:t>
      </w:r>
      <w:r>
        <w:rPr>
          <w:rFonts w:hAnsi="宋体"/>
          <w:color w:val="000000"/>
        </w:rPr>
        <w:t>～表</w:t>
      </w:r>
      <w:r>
        <w:rPr>
          <w:rFonts w:hint="eastAsia"/>
          <w:color w:val="000000"/>
          <w:lang w:val="en-US" w:eastAsia="zh-CN"/>
        </w:rPr>
        <w:t>H</w:t>
      </w:r>
      <w:r>
        <w:rPr>
          <w:color w:val="000000"/>
        </w:rPr>
        <w:t>.</w:t>
      </w:r>
      <w:r>
        <w:rPr>
          <w:rFonts w:hint="eastAsia"/>
          <w:color w:val="000000"/>
        </w:rPr>
        <w:t>5</w:t>
      </w:r>
      <w:r>
        <w:rPr>
          <w:rFonts w:hAnsi="宋体"/>
          <w:color w:val="000000"/>
        </w:rPr>
        <w:t>对应需要的数据进行填报。</w:t>
      </w:r>
    </w:p>
    <w:p>
      <w:pPr>
        <w:pStyle w:val="213"/>
        <w:numPr>
          <w:ilvl w:val="0"/>
          <w:numId w:val="0"/>
        </w:numPr>
        <w:tabs>
          <w:tab w:val="clear" w:pos="840"/>
        </w:tabs>
        <w:spacing w:before="120" w:after="120"/>
        <w:ind w:firstLine="420" w:firstLineChars="200"/>
      </w:pPr>
      <w:r>
        <w:t>现场数据可通过企业调研、上游厂家提供、采样监测等途径进行收集，所收集的数据要求为企业3年内平均统计数据，并能够反映企业的实际生产水平；</w:t>
      </w:r>
    </w:p>
    <w:p>
      <w:pPr>
        <w:pStyle w:val="213"/>
        <w:numPr>
          <w:ilvl w:val="0"/>
          <w:numId w:val="0"/>
        </w:numPr>
        <w:tabs>
          <w:tab w:val="clear" w:pos="840"/>
        </w:tabs>
        <w:spacing w:before="120" w:after="120"/>
        <w:ind w:left="839" w:hanging="419"/>
      </w:pPr>
      <w:r>
        <w:t>从实际调研过程中无法获得的数据，即背景数据，可采用相关数据进行替代，在这一步骤中所涉及</w:t>
      </w:r>
    </w:p>
    <w:p>
      <w:pPr>
        <w:pStyle w:val="213"/>
        <w:numPr>
          <w:ilvl w:val="0"/>
          <w:numId w:val="0"/>
        </w:numPr>
        <w:tabs>
          <w:tab w:val="clear" w:pos="840"/>
        </w:tabs>
        <w:spacing w:before="120" w:after="120"/>
        <w:ind w:left="839" w:hanging="419"/>
      </w:pPr>
      <w:r>
        <w:t>到的单元过程包括</w:t>
      </w:r>
      <w:r>
        <w:rPr>
          <w:rFonts w:hint="eastAsia"/>
        </w:rPr>
        <w:t>人造革</w:t>
      </w:r>
      <w:r>
        <w:t>行业相关原材料产品生产、包装材料、能源消耗以及产品运输等。</w:t>
      </w:r>
    </w:p>
    <w:p>
      <w:pPr>
        <w:pStyle w:val="61"/>
        <w:numPr>
          <w:ilvl w:val="1"/>
          <w:numId w:val="0"/>
        </w:numPr>
        <w:spacing w:before="120" w:after="120"/>
        <w:ind w:leftChars="0"/>
        <w:jc w:val="center"/>
      </w:pPr>
      <w:r>
        <w:rPr>
          <w:rFonts w:hint="eastAsia"/>
          <w:lang w:eastAsia="zh-CN"/>
        </w:rPr>
        <w:t>表</w:t>
      </w:r>
      <w:r>
        <w:rPr>
          <w:rFonts w:hint="eastAsia"/>
          <w:lang w:val="en-US" w:eastAsia="zh-CN"/>
        </w:rPr>
        <w:t>H.1</w:t>
      </w:r>
      <w:r>
        <w:t>原材料成分、用量及运输清单</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92"/>
        <w:gridCol w:w="1985"/>
        <w:gridCol w:w="1275"/>
        <w:gridCol w:w="993"/>
        <w:gridCol w:w="1275"/>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原材料</w:t>
            </w:r>
          </w:p>
        </w:tc>
        <w:tc>
          <w:tcPr>
            <w:tcW w:w="992"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含量</w:t>
            </w:r>
            <w:r>
              <w:rPr>
                <w:kern w:val="0"/>
                <w:sz w:val="18"/>
                <w:szCs w:val="18"/>
              </w:rPr>
              <w:t>/</w:t>
            </w:r>
            <w:r>
              <w:rPr>
                <w:rFonts w:hint="eastAsia"/>
                <w:kern w:val="0"/>
                <w:sz w:val="18"/>
                <w:szCs w:val="18"/>
              </w:rPr>
              <w:t>（</w:t>
            </w:r>
            <w:r>
              <w:rPr>
                <w:kern w:val="0"/>
                <w:sz w:val="18"/>
                <w:szCs w:val="18"/>
              </w:rPr>
              <w:t>%</w:t>
            </w:r>
            <w:r>
              <w:rPr>
                <w:rFonts w:hint="eastAsia"/>
                <w:kern w:val="0"/>
                <w:sz w:val="18"/>
                <w:szCs w:val="18"/>
              </w:rPr>
              <w:t>）</w:t>
            </w:r>
          </w:p>
        </w:tc>
        <w:tc>
          <w:tcPr>
            <w:tcW w:w="1985" w:type="dxa"/>
            <w:tcBorders>
              <w:top w:val="single" w:color="auto" w:sz="12" w:space="0"/>
              <w:bottom w:val="single" w:color="auto" w:sz="12" w:space="0"/>
            </w:tcBorders>
            <w:vAlign w:val="center"/>
          </w:tcPr>
          <w:p>
            <w:pPr>
              <w:widowControl/>
              <w:jc w:val="center"/>
              <w:rPr>
                <w:kern w:val="0"/>
                <w:sz w:val="18"/>
                <w:szCs w:val="18"/>
              </w:rPr>
            </w:pPr>
            <w:r>
              <w:rPr>
                <w:kern w:val="0"/>
                <w:sz w:val="18"/>
                <w:szCs w:val="18"/>
              </w:rPr>
              <w:t>相应过程功能单位/10</w:t>
            </w:r>
            <w:r>
              <w:rPr>
                <w:kern w:val="0"/>
                <w:sz w:val="18"/>
                <w:szCs w:val="18"/>
                <w:vertAlign w:val="superscript"/>
              </w:rPr>
              <w:t>4</w:t>
            </w:r>
            <w:r>
              <w:rPr>
                <w:kern w:val="0"/>
                <w:sz w:val="18"/>
                <w:szCs w:val="18"/>
              </w:rPr>
              <w:t>m</w:t>
            </w:r>
          </w:p>
        </w:tc>
        <w:tc>
          <w:tcPr>
            <w:tcW w:w="1275"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原材料产地</w:t>
            </w:r>
          </w:p>
        </w:tc>
        <w:tc>
          <w:tcPr>
            <w:tcW w:w="993"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运输方式</w:t>
            </w:r>
          </w:p>
        </w:tc>
        <w:tc>
          <w:tcPr>
            <w:tcW w:w="1275"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运输距离</w:t>
            </w:r>
            <w:r>
              <w:rPr>
                <w:kern w:val="0"/>
                <w:sz w:val="18"/>
                <w:szCs w:val="18"/>
              </w:rPr>
              <w:t>/km</w:t>
            </w:r>
          </w:p>
        </w:tc>
        <w:tc>
          <w:tcPr>
            <w:tcW w:w="1985" w:type="dxa"/>
            <w:tcBorders>
              <w:top w:val="single" w:color="auto" w:sz="12" w:space="0"/>
              <w:bottom w:val="single" w:color="auto" w:sz="12" w:space="0"/>
              <w:right w:val="single" w:color="auto" w:sz="12" w:space="0"/>
            </w:tcBorders>
            <w:vAlign w:val="center"/>
          </w:tcPr>
          <w:p>
            <w:pPr>
              <w:widowControl/>
              <w:snapToGrid w:val="0"/>
              <w:jc w:val="center"/>
              <w:rPr>
                <w:rFonts w:hAnsi="宋体"/>
                <w:kern w:val="0"/>
                <w:sz w:val="18"/>
                <w:szCs w:val="18"/>
              </w:rPr>
            </w:pPr>
            <w:r>
              <w:rPr>
                <w:rFonts w:hAnsi="宋体"/>
                <w:kern w:val="0"/>
                <w:sz w:val="18"/>
                <w:szCs w:val="18"/>
              </w:rPr>
              <w:t>单位产品运输距离</w:t>
            </w:r>
          </w:p>
          <w:p>
            <w:pPr>
              <w:widowControl/>
              <w:snapToGrid w:val="0"/>
              <w:jc w:val="center"/>
              <w:rPr>
                <w:kern w:val="0"/>
                <w:sz w:val="18"/>
                <w:szCs w:val="18"/>
              </w:rPr>
            </w:pPr>
            <w:r>
              <w:rPr>
                <w:kern w:val="0"/>
                <w:sz w:val="18"/>
                <w:szCs w:val="18"/>
              </w:rPr>
              <w:t>/</w:t>
            </w:r>
            <w:r>
              <w:rPr>
                <w:rFonts w:hAnsi="宋体"/>
                <w:kern w:val="0"/>
                <w:sz w:val="18"/>
                <w:szCs w:val="18"/>
              </w:rPr>
              <w:t>（</w:t>
            </w:r>
            <w:r>
              <w:rPr>
                <w:kern w:val="0"/>
                <w:sz w:val="18"/>
                <w:szCs w:val="18"/>
              </w:rPr>
              <w:t>km/10</w:t>
            </w:r>
            <w:r>
              <w:rPr>
                <w:kern w:val="0"/>
                <w:sz w:val="18"/>
                <w:szCs w:val="18"/>
                <w:vertAlign w:val="superscript"/>
              </w:rPr>
              <w:t>4</w:t>
            </w:r>
            <w:r>
              <w:rPr>
                <w:kern w:val="0"/>
                <w:sz w:val="18"/>
                <w:szCs w:val="18"/>
              </w:rPr>
              <w:t>m</w:t>
            </w:r>
            <w:r>
              <w:rPr>
                <w:rFonts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12" w:space="0"/>
              <w:left w:val="single" w:color="auto" w:sz="12" w:space="0"/>
              <w:bottom w:val="single" w:color="auto" w:sz="4" w:space="0"/>
            </w:tcBorders>
            <w:vAlign w:val="center"/>
          </w:tcPr>
          <w:p>
            <w:pPr>
              <w:widowControl/>
              <w:jc w:val="center"/>
              <w:rPr>
                <w:kern w:val="0"/>
                <w:sz w:val="18"/>
                <w:szCs w:val="18"/>
              </w:rPr>
            </w:pPr>
          </w:p>
        </w:tc>
        <w:tc>
          <w:tcPr>
            <w:tcW w:w="992" w:type="dxa"/>
            <w:tcBorders>
              <w:top w:val="single" w:color="auto" w:sz="12" w:space="0"/>
              <w:bottom w:val="single" w:color="auto" w:sz="4" w:space="0"/>
            </w:tcBorders>
            <w:vAlign w:val="center"/>
          </w:tcPr>
          <w:p>
            <w:pPr>
              <w:widowControl/>
              <w:jc w:val="center"/>
              <w:rPr>
                <w:kern w:val="0"/>
                <w:sz w:val="18"/>
                <w:szCs w:val="18"/>
              </w:rPr>
            </w:pPr>
          </w:p>
        </w:tc>
        <w:tc>
          <w:tcPr>
            <w:tcW w:w="1985" w:type="dxa"/>
            <w:tcBorders>
              <w:top w:val="single" w:color="auto" w:sz="12" w:space="0"/>
              <w:bottom w:val="single" w:color="auto" w:sz="4" w:space="0"/>
            </w:tcBorders>
            <w:vAlign w:val="center"/>
          </w:tcPr>
          <w:p>
            <w:pPr>
              <w:widowControl/>
              <w:jc w:val="center"/>
              <w:rPr>
                <w:kern w:val="0"/>
                <w:sz w:val="18"/>
                <w:szCs w:val="18"/>
              </w:rPr>
            </w:pPr>
          </w:p>
        </w:tc>
        <w:tc>
          <w:tcPr>
            <w:tcW w:w="1275" w:type="dxa"/>
            <w:tcBorders>
              <w:top w:val="single" w:color="auto" w:sz="12" w:space="0"/>
              <w:bottom w:val="single" w:color="auto" w:sz="4" w:space="0"/>
            </w:tcBorders>
            <w:vAlign w:val="center"/>
          </w:tcPr>
          <w:p>
            <w:pPr>
              <w:widowControl/>
              <w:jc w:val="center"/>
              <w:rPr>
                <w:kern w:val="0"/>
                <w:sz w:val="18"/>
                <w:szCs w:val="18"/>
              </w:rPr>
            </w:pPr>
          </w:p>
        </w:tc>
        <w:tc>
          <w:tcPr>
            <w:tcW w:w="993" w:type="dxa"/>
            <w:tcBorders>
              <w:top w:val="single" w:color="auto" w:sz="12" w:space="0"/>
              <w:bottom w:val="single" w:color="auto" w:sz="4" w:space="0"/>
            </w:tcBorders>
            <w:vAlign w:val="center"/>
          </w:tcPr>
          <w:p>
            <w:pPr>
              <w:widowControl/>
              <w:jc w:val="center"/>
              <w:rPr>
                <w:kern w:val="0"/>
                <w:sz w:val="18"/>
                <w:szCs w:val="18"/>
              </w:rPr>
            </w:pPr>
          </w:p>
        </w:tc>
        <w:tc>
          <w:tcPr>
            <w:tcW w:w="1275" w:type="dxa"/>
            <w:tcBorders>
              <w:top w:val="single" w:color="auto" w:sz="12" w:space="0"/>
              <w:bottom w:val="single" w:color="auto" w:sz="4" w:space="0"/>
            </w:tcBorders>
            <w:vAlign w:val="center"/>
          </w:tcPr>
          <w:p>
            <w:pPr>
              <w:widowControl/>
              <w:jc w:val="center"/>
              <w:rPr>
                <w:kern w:val="0"/>
                <w:sz w:val="18"/>
                <w:szCs w:val="18"/>
              </w:rPr>
            </w:pPr>
          </w:p>
        </w:tc>
        <w:tc>
          <w:tcPr>
            <w:tcW w:w="1985"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left w:val="single" w:color="auto" w:sz="12" w:space="0"/>
              <w:bottom w:val="single" w:color="auto" w:sz="4" w:space="0"/>
            </w:tcBorders>
            <w:vAlign w:val="center"/>
          </w:tcPr>
          <w:p>
            <w:pPr>
              <w:widowControl/>
              <w:jc w:val="center"/>
              <w:rPr>
                <w:kern w:val="0"/>
                <w:sz w:val="18"/>
                <w:szCs w:val="18"/>
              </w:rPr>
            </w:pPr>
          </w:p>
        </w:tc>
        <w:tc>
          <w:tcPr>
            <w:tcW w:w="992" w:type="dxa"/>
            <w:tcBorders>
              <w:top w:val="single" w:color="auto" w:sz="4" w:space="0"/>
              <w:bottom w:val="single" w:color="auto" w:sz="4" w:space="0"/>
            </w:tcBorders>
            <w:vAlign w:val="center"/>
          </w:tcPr>
          <w:p>
            <w:pPr>
              <w:widowControl/>
              <w:jc w:val="center"/>
              <w:rPr>
                <w:kern w:val="0"/>
                <w:sz w:val="18"/>
                <w:szCs w:val="18"/>
              </w:rPr>
            </w:pPr>
          </w:p>
        </w:tc>
        <w:tc>
          <w:tcPr>
            <w:tcW w:w="1985" w:type="dxa"/>
            <w:tcBorders>
              <w:top w:val="single" w:color="auto" w:sz="4" w:space="0"/>
              <w:bottom w:val="single" w:color="auto" w:sz="4" w:space="0"/>
            </w:tcBorders>
            <w:vAlign w:val="center"/>
          </w:tcPr>
          <w:p>
            <w:pPr>
              <w:widowControl/>
              <w:jc w:val="center"/>
              <w:rPr>
                <w:kern w:val="0"/>
                <w:sz w:val="18"/>
                <w:szCs w:val="18"/>
              </w:rPr>
            </w:pPr>
          </w:p>
        </w:tc>
        <w:tc>
          <w:tcPr>
            <w:tcW w:w="1275" w:type="dxa"/>
            <w:tcBorders>
              <w:top w:val="single" w:color="auto" w:sz="4" w:space="0"/>
              <w:bottom w:val="single" w:color="auto" w:sz="4" w:space="0"/>
            </w:tcBorders>
            <w:vAlign w:val="center"/>
          </w:tcPr>
          <w:p>
            <w:pPr>
              <w:widowControl/>
              <w:jc w:val="center"/>
              <w:rPr>
                <w:kern w:val="0"/>
                <w:sz w:val="18"/>
                <w:szCs w:val="18"/>
              </w:rPr>
            </w:pPr>
          </w:p>
        </w:tc>
        <w:tc>
          <w:tcPr>
            <w:tcW w:w="993" w:type="dxa"/>
            <w:tcBorders>
              <w:top w:val="single" w:color="auto" w:sz="4" w:space="0"/>
              <w:bottom w:val="single" w:color="auto" w:sz="4" w:space="0"/>
            </w:tcBorders>
            <w:vAlign w:val="center"/>
          </w:tcPr>
          <w:p>
            <w:pPr>
              <w:widowControl/>
              <w:jc w:val="center"/>
              <w:rPr>
                <w:kern w:val="0"/>
                <w:sz w:val="18"/>
                <w:szCs w:val="18"/>
              </w:rPr>
            </w:pPr>
          </w:p>
        </w:tc>
        <w:tc>
          <w:tcPr>
            <w:tcW w:w="1275" w:type="dxa"/>
            <w:tcBorders>
              <w:top w:val="single" w:color="auto" w:sz="4" w:space="0"/>
              <w:bottom w:val="single" w:color="auto" w:sz="4" w:space="0"/>
            </w:tcBorders>
            <w:vAlign w:val="center"/>
          </w:tcPr>
          <w:p>
            <w:pPr>
              <w:widowControl/>
              <w:jc w:val="center"/>
              <w:rPr>
                <w:kern w:val="0"/>
                <w:sz w:val="18"/>
                <w:szCs w:val="18"/>
              </w:rPr>
            </w:pPr>
          </w:p>
        </w:tc>
        <w:tc>
          <w:tcPr>
            <w:tcW w:w="1985"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992" w:type="dxa"/>
            <w:tcBorders>
              <w:top w:val="single" w:color="auto" w:sz="4" w:space="0"/>
              <w:bottom w:val="single" w:color="auto" w:sz="12" w:space="0"/>
            </w:tcBorders>
            <w:vAlign w:val="center"/>
          </w:tcPr>
          <w:p>
            <w:pPr>
              <w:widowControl/>
              <w:jc w:val="center"/>
              <w:rPr>
                <w:kern w:val="0"/>
                <w:sz w:val="18"/>
                <w:szCs w:val="18"/>
              </w:rPr>
            </w:pPr>
          </w:p>
        </w:tc>
        <w:tc>
          <w:tcPr>
            <w:tcW w:w="1985" w:type="dxa"/>
            <w:tcBorders>
              <w:top w:val="single" w:color="auto" w:sz="4" w:space="0"/>
              <w:bottom w:val="single" w:color="auto" w:sz="12" w:space="0"/>
            </w:tcBorders>
            <w:vAlign w:val="center"/>
          </w:tcPr>
          <w:p>
            <w:pPr>
              <w:widowControl/>
              <w:jc w:val="center"/>
              <w:rPr>
                <w:kern w:val="0"/>
                <w:sz w:val="18"/>
                <w:szCs w:val="18"/>
              </w:rPr>
            </w:pPr>
          </w:p>
        </w:tc>
        <w:tc>
          <w:tcPr>
            <w:tcW w:w="1275" w:type="dxa"/>
            <w:tcBorders>
              <w:top w:val="single" w:color="auto" w:sz="4" w:space="0"/>
              <w:bottom w:val="single" w:color="auto" w:sz="12" w:space="0"/>
            </w:tcBorders>
            <w:vAlign w:val="center"/>
          </w:tcPr>
          <w:p>
            <w:pPr>
              <w:widowControl/>
              <w:jc w:val="center"/>
              <w:rPr>
                <w:kern w:val="0"/>
                <w:sz w:val="18"/>
                <w:szCs w:val="18"/>
              </w:rPr>
            </w:pPr>
          </w:p>
        </w:tc>
        <w:tc>
          <w:tcPr>
            <w:tcW w:w="993" w:type="dxa"/>
            <w:tcBorders>
              <w:top w:val="single" w:color="auto" w:sz="4" w:space="0"/>
              <w:bottom w:val="single" w:color="auto" w:sz="12" w:space="0"/>
            </w:tcBorders>
            <w:vAlign w:val="center"/>
          </w:tcPr>
          <w:p>
            <w:pPr>
              <w:widowControl/>
              <w:jc w:val="center"/>
              <w:rPr>
                <w:kern w:val="0"/>
                <w:sz w:val="18"/>
                <w:szCs w:val="18"/>
              </w:rPr>
            </w:pPr>
          </w:p>
        </w:tc>
        <w:tc>
          <w:tcPr>
            <w:tcW w:w="1275" w:type="dxa"/>
            <w:tcBorders>
              <w:top w:val="single" w:color="auto" w:sz="4" w:space="0"/>
              <w:bottom w:val="single" w:color="auto" w:sz="12" w:space="0"/>
            </w:tcBorders>
            <w:vAlign w:val="center"/>
          </w:tcPr>
          <w:p>
            <w:pPr>
              <w:widowControl/>
              <w:jc w:val="center"/>
              <w:rPr>
                <w:kern w:val="0"/>
                <w:sz w:val="18"/>
                <w:szCs w:val="18"/>
              </w:rPr>
            </w:pPr>
          </w:p>
        </w:tc>
        <w:tc>
          <w:tcPr>
            <w:tcW w:w="1985"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61"/>
        <w:numPr>
          <w:ilvl w:val="1"/>
          <w:numId w:val="0"/>
        </w:numPr>
        <w:spacing w:before="120" w:after="120"/>
        <w:ind w:leftChars="0"/>
        <w:jc w:val="center"/>
      </w:pPr>
      <w:r>
        <w:rPr>
          <w:rFonts w:hint="eastAsia"/>
          <w:lang w:eastAsia="zh-CN"/>
        </w:rPr>
        <w:t>表</w:t>
      </w:r>
      <w:r>
        <w:rPr>
          <w:rFonts w:hint="eastAsia"/>
          <w:lang w:val="en-US" w:eastAsia="zh-CN"/>
        </w:rPr>
        <w:t>H.2</w:t>
      </w:r>
      <w:r>
        <w:t>生产过程能耗</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410"/>
        <w:gridCol w:w="2693"/>
        <w:gridCol w:w="2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kern w:val="0"/>
                <w:sz w:val="18"/>
                <w:szCs w:val="18"/>
              </w:rPr>
              <w:t>能耗种类</w:t>
            </w:r>
          </w:p>
        </w:tc>
        <w:tc>
          <w:tcPr>
            <w:tcW w:w="2410" w:type="dxa"/>
            <w:tcBorders>
              <w:top w:val="single" w:color="auto" w:sz="12" w:space="0"/>
              <w:bottom w:val="single" w:color="auto" w:sz="12" w:space="0"/>
            </w:tcBorders>
            <w:vAlign w:val="center"/>
          </w:tcPr>
          <w:p>
            <w:pPr>
              <w:widowControl/>
              <w:jc w:val="center"/>
              <w:rPr>
                <w:kern w:val="0"/>
                <w:sz w:val="18"/>
                <w:szCs w:val="18"/>
              </w:rPr>
            </w:pPr>
            <w:r>
              <w:rPr>
                <w:kern w:val="0"/>
                <w:sz w:val="18"/>
                <w:szCs w:val="18"/>
              </w:rPr>
              <w:t>单位</w:t>
            </w:r>
          </w:p>
        </w:tc>
        <w:tc>
          <w:tcPr>
            <w:tcW w:w="2693" w:type="dxa"/>
            <w:tcBorders>
              <w:top w:val="single" w:color="auto" w:sz="12" w:space="0"/>
              <w:bottom w:val="single" w:color="auto" w:sz="12" w:space="0"/>
            </w:tcBorders>
            <w:vAlign w:val="center"/>
          </w:tcPr>
          <w:p>
            <w:pPr>
              <w:jc w:val="center"/>
              <w:rPr>
                <w:kern w:val="0"/>
                <w:sz w:val="18"/>
                <w:szCs w:val="18"/>
              </w:rPr>
            </w:pPr>
            <w:r>
              <w:rPr>
                <w:kern w:val="0"/>
                <w:sz w:val="18"/>
                <w:szCs w:val="18"/>
              </w:rPr>
              <w:t>生产过程总消耗量</w:t>
            </w:r>
          </w:p>
        </w:tc>
        <w:tc>
          <w:tcPr>
            <w:tcW w:w="2552"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kern w:val="0"/>
                <w:sz w:val="18"/>
                <w:szCs w:val="18"/>
              </w:rPr>
              <w:t>单次使用产品消耗量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kern w:val="0"/>
                <w:sz w:val="18"/>
                <w:szCs w:val="18"/>
              </w:rPr>
              <w:t>电耗</w:t>
            </w:r>
          </w:p>
        </w:tc>
        <w:tc>
          <w:tcPr>
            <w:tcW w:w="2410" w:type="dxa"/>
            <w:tcBorders>
              <w:top w:val="single" w:color="auto" w:sz="12" w:space="0"/>
              <w:bottom w:val="single" w:color="auto" w:sz="4" w:space="0"/>
            </w:tcBorders>
            <w:vAlign w:val="center"/>
          </w:tcPr>
          <w:p>
            <w:pPr>
              <w:widowControl/>
              <w:jc w:val="center"/>
              <w:rPr>
                <w:kern w:val="0"/>
                <w:sz w:val="18"/>
                <w:szCs w:val="18"/>
              </w:rPr>
            </w:pPr>
            <w:r>
              <w:rPr>
                <w:kern w:val="0"/>
                <w:sz w:val="18"/>
                <w:szCs w:val="18"/>
              </w:rPr>
              <w:t>千瓦时</w:t>
            </w:r>
            <w:r>
              <w:rPr>
                <w:rFonts w:hint="eastAsia" w:ascii="宋体" w:hAnsi="宋体"/>
                <w:kern w:val="0"/>
                <w:sz w:val="18"/>
                <w:szCs w:val="18"/>
              </w:rPr>
              <w:t>（</w:t>
            </w:r>
            <w:r>
              <w:rPr>
                <w:kern w:val="0"/>
                <w:sz w:val="18"/>
                <w:szCs w:val="18"/>
              </w:rPr>
              <w:t>kW·h</w:t>
            </w:r>
            <w:r>
              <w:rPr>
                <w:rFonts w:hint="eastAsia" w:ascii="宋体" w:hAnsi="宋体"/>
                <w:kern w:val="0"/>
                <w:sz w:val="18"/>
                <w:szCs w:val="18"/>
              </w:rPr>
              <w:t>）</w:t>
            </w:r>
          </w:p>
        </w:tc>
        <w:tc>
          <w:tcPr>
            <w:tcW w:w="2693" w:type="dxa"/>
            <w:tcBorders>
              <w:top w:val="single" w:color="auto" w:sz="12" w:space="0"/>
              <w:bottom w:val="single" w:color="auto" w:sz="4" w:space="0"/>
            </w:tcBorders>
            <w:vAlign w:val="center"/>
          </w:tcPr>
          <w:p>
            <w:pPr>
              <w:widowControl/>
              <w:jc w:val="center"/>
              <w:rPr>
                <w:kern w:val="0"/>
                <w:sz w:val="18"/>
                <w:szCs w:val="18"/>
              </w:rPr>
            </w:pPr>
          </w:p>
        </w:tc>
        <w:tc>
          <w:tcPr>
            <w:tcW w:w="2552"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4" w:space="0"/>
            </w:tcBorders>
            <w:vAlign w:val="center"/>
          </w:tcPr>
          <w:p>
            <w:pPr>
              <w:widowControl/>
              <w:jc w:val="center"/>
              <w:rPr>
                <w:kern w:val="0"/>
                <w:sz w:val="18"/>
                <w:szCs w:val="18"/>
              </w:rPr>
            </w:pPr>
            <w:r>
              <w:rPr>
                <w:kern w:val="0"/>
                <w:sz w:val="18"/>
                <w:szCs w:val="18"/>
              </w:rPr>
              <w:t>水</w:t>
            </w:r>
          </w:p>
        </w:tc>
        <w:tc>
          <w:tcPr>
            <w:tcW w:w="2410" w:type="dxa"/>
            <w:tcBorders>
              <w:top w:val="single" w:color="auto" w:sz="4" w:space="0"/>
              <w:bottom w:val="single" w:color="auto" w:sz="4" w:space="0"/>
            </w:tcBorders>
            <w:vAlign w:val="center"/>
          </w:tcPr>
          <w:p>
            <w:pPr>
              <w:widowControl/>
              <w:jc w:val="center"/>
              <w:rPr>
                <w:kern w:val="0"/>
                <w:sz w:val="18"/>
                <w:szCs w:val="18"/>
              </w:rPr>
            </w:pPr>
            <w:r>
              <w:rPr>
                <w:kern w:val="0"/>
                <w:sz w:val="18"/>
                <w:szCs w:val="18"/>
              </w:rPr>
              <w:t>吨（t）</w:t>
            </w:r>
          </w:p>
        </w:tc>
        <w:tc>
          <w:tcPr>
            <w:tcW w:w="2693" w:type="dxa"/>
            <w:tcBorders>
              <w:top w:val="single" w:color="auto" w:sz="4" w:space="0"/>
              <w:bottom w:val="single" w:color="auto" w:sz="4" w:space="0"/>
            </w:tcBorders>
            <w:vAlign w:val="center"/>
          </w:tcPr>
          <w:p>
            <w:pPr>
              <w:widowControl/>
              <w:jc w:val="center"/>
              <w:rPr>
                <w:kern w:val="0"/>
                <w:sz w:val="18"/>
                <w:szCs w:val="18"/>
              </w:rPr>
            </w:pPr>
          </w:p>
        </w:tc>
        <w:tc>
          <w:tcPr>
            <w:tcW w:w="2552"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4" w:space="0"/>
            </w:tcBorders>
            <w:vAlign w:val="center"/>
          </w:tcPr>
          <w:p>
            <w:pPr>
              <w:widowControl/>
              <w:jc w:val="center"/>
              <w:rPr>
                <w:kern w:val="0"/>
                <w:sz w:val="18"/>
                <w:szCs w:val="18"/>
              </w:rPr>
            </w:pPr>
            <w:r>
              <w:rPr>
                <w:kern w:val="0"/>
                <w:sz w:val="18"/>
                <w:szCs w:val="18"/>
              </w:rPr>
              <w:t>煤耗</w:t>
            </w:r>
          </w:p>
        </w:tc>
        <w:tc>
          <w:tcPr>
            <w:tcW w:w="2410" w:type="dxa"/>
            <w:tcBorders>
              <w:top w:val="single" w:color="auto" w:sz="4" w:space="0"/>
              <w:bottom w:val="single" w:color="auto" w:sz="4" w:space="0"/>
            </w:tcBorders>
            <w:vAlign w:val="center"/>
          </w:tcPr>
          <w:p>
            <w:pPr>
              <w:widowControl/>
              <w:jc w:val="center"/>
              <w:rPr>
                <w:kern w:val="0"/>
                <w:sz w:val="18"/>
                <w:szCs w:val="18"/>
              </w:rPr>
            </w:pPr>
            <w:r>
              <w:rPr>
                <w:kern w:val="0"/>
                <w:sz w:val="18"/>
                <w:szCs w:val="18"/>
              </w:rPr>
              <w:t>兆焦（MJ）</w:t>
            </w:r>
          </w:p>
        </w:tc>
        <w:tc>
          <w:tcPr>
            <w:tcW w:w="2693" w:type="dxa"/>
            <w:tcBorders>
              <w:top w:val="single" w:color="auto" w:sz="4" w:space="0"/>
              <w:bottom w:val="single" w:color="auto" w:sz="4" w:space="0"/>
            </w:tcBorders>
            <w:vAlign w:val="center"/>
          </w:tcPr>
          <w:p>
            <w:pPr>
              <w:widowControl/>
              <w:jc w:val="center"/>
              <w:rPr>
                <w:kern w:val="0"/>
                <w:sz w:val="18"/>
                <w:szCs w:val="18"/>
              </w:rPr>
            </w:pPr>
          </w:p>
        </w:tc>
        <w:tc>
          <w:tcPr>
            <w:tcW w:w="2552"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12" w:space="0"/>
            </w:tcBorders>
            <w:vAlign w:val="center"/>
          </w:tcPr>
          <w:p>
            <w:pPr>
              <w:widowControl/>
              <w:jc w:val="center"/>
              <w:rPr>
                <w:kern w:val="0"/>
                <w:sz w:val="18"/>
                <w:szCs w:val="18"/>
              </w:rPr>
            </w:pPr>
            <w:r>
              <w:rPr>
                <w:kern w:val="0"/>
                <w:sz w:val="18"/>
                <w:szCs w:val="18"/>
              </w:rPr>
              <w:t>蒸汽</w:t>
            </w:r>
          </w:p>
        </w:tc>
        <w:tc>
          <w:tcPr>
            <w:tcW w:w="2410" w:type="dxa"/>
            <w:tcBorders>
              <w:top w:val="single" w:color="auto" w:sz="4" w:space="0"/>
              <w:bottom w:val="single" w:color="auto" w:sz="12" w:space="0"/>
            </w:tcBorders>
            <w:vAlign w:val="center"/>
          </w:tcPr>
          <w:p>
            <w:pPr>
              <w:widowControl/>
              <w:jc w:val="center"/>
              <w:rPr>
                <w:kern w:val="0"/>
                <w:sz w:val="18"/>
                <w:szCs w:val="18"/>
              </w:rPr>
            </w:pPr>
            <w:r>
              <w:rPr>
                <w:kern w:val="0"/>
                <w:sz w:val="18"/>
                <w:szCs w:val="18"/>
              </w:rPr>
              <w:t>立方米（m³）</w:t>
            </w:r>
          </w:p>
        </w:tc>
        <w:tc>
          <w:tcPr>
            <w:tcW w:w="2693" w:type="dxa"/>
            <w:tcBorders>
              <w:top w:val="single" w:color="auto" w:sz="4" w:space="0"/>
              <w:bottom w:val="single" w:color="auto" w:sz="12" w:space="0"/>
            </w:tcBorders>
            <w:vAlign w:val="center"/>
          </w:tcPr>
          <w:p>
            <w:pPr>
              <w:widowControl/>
              <w:jc w:val="center"/>
              <w:rPr>
                <w:kern w:val="0"/>
                <w:sz w:val="18"/>
                <w:szCs w:val="18"/>
              </w:rPr>
            </w:pPr>
          </w:p>
        </w:tc>
        <w:tc>
          <w:tcPr>
            <w:tcW w:w="2552"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61"/>
        <w:numPr>
          <w:ilvl w:val="1"/>
          <w:numId w:val="0"/>
        </w:numPr>
        <w:spacing w:before="120" w:after="120"/>
        <w:ind w:leftChars="0"/>
        <w:jc w:val="center"/>
      </w:pPr>
      <w:r>
        <w:rPr>
          <w:rFonts w:hint="eastAsia"/>
          <w:lang w:eastAsia="zh-CN"/>
        </w:rPr>
        <w:t>表</w:t>
      </w:r>
      <w:r>
        <w:rPr>
          <w:rFonts w:hint="eastAsia"/>
          <w:lang w:val="en-US" w:eastAsia="zh-CN"/>
        </w:rPr>
        <w:t>H.3</w:t>
      </w:r>
      <w:r>
        <w:t>包装材料清单</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685"/>
        <w:gridCol w:w="3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21"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材料</w:t>
            </w:r>
          </w:p>
        </w:tc>
        <w:tc>
          <w:tcPr>
            <w:tcW w:w="3685"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单位产品用量</w:t>
            </w:r>
            <w:r>
              <w:rPr>
                <w:kern w:val="0"/>
                <w:sz w:val="18"/>
                <w:szCs w:val="18"/>
              </w:rPr>
              <w:t>/10</w:t>
            </w:r>
            <w:r>
              <w:rPr>
                <w:kern w:val="0"/>
                <w:sz w:val="18"/>
                <w:szCs w:val="18"/>
                <w:vertAlign w:val="superscript"/>
              </w:rPr>
              <w:t>4</w:t>
            </w:r>
            <w:r>
              <w:rPr>
                <w:kern w:val="0"/>
                <w:sz w:val="18"/>
                <w:szCs w:val="18"/>
              </w:rPr>
              <w:t>m</w:t>
            </w:r>
          </w:p>
        </w:tc>
        <w:tc>
          <w:tcPr>
            <w:tcW w:w="3544"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rFonts w:hAnsi="宋体"/>
                <w:kern w:val="0"/>
                <w:sz w:val="18"/>
                <w:szCs w:val="18"/>
              </w:rPr>
              <w:t>单次使用产品消耗量</w:t>
            </w:r>
            <w:r>
              <w:rPr>
                <w:kern w:val="0"/>
                <w:sz w:val="18"/>
                <w:szCs w:val="18"/>
              </w:rPr>
              <w:t>/10</w:t>
            </w:r>
            <w:r>
              <w:rPr>
                <w:kern w:val="0"/>
                <w:sz w:val="18"/>
                <w:szCs w:val="18"/>
                <w:vertAlign w:val="superscript"/>
              </w:rPr>
              <w:t>4</w:t>
            </w:r>
            <w:r>
              <w:rPr>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瓦楞纸</w:t>
            </w:r>
          </w:p>
        </w:tc>
        <w:tc>
          <w:tcPr>
            <w:tcW w:w="3685" w:type="dxa"/>
            <w:tcBorders>
              <w:top w:val="single" w:color="auto" w:sz="12" w:space="0"/>
              <w:bottom w:val="single" w:color="auto" w:sz="4" w:space="0"/>
            </w:tcBorders>
            <w:vAlign w:val="center"/>
          </w:tcPr>
          <w:p>
            <w:pPr>
              <w:widowControl/>
              <w:jc w:val="center"/>
              <w:rPr>
                <w:kern w:val="0"/>
                <w:sz w:val="18"/>
                <w:szCs w:val="18"/>
              </w:rPr>
            </w:pPr>
          </w:p>
        </w:tc>
        <w:tc>
          <w:tcPr>
            <w:tcW w:w="3544"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聚乙烯（</w:t>
            </w:r>
            <w:r>
              <w:rPr>
                <w:kern w:val="0"/>
                <w:sz w:val="18"/>
                <w:szCs w:val="18"/>
              </w:rPr>
              <w:t>PE</w:t>
            </w:r>
            <w:r>
              <w:rPr>
                <w:rFonts w:hAnsi="宋体"/>
                <w:kern w:val="0"/>
                <w:sz w:val="18"/>
                <w:szCs w:val="18"/>
              </w:rPr>
              <w:t>）</w:t>
            </w:r>
          </w:p>
        </w:tc>
        <w:tc>
          <w:tcPr>
            <w:tcW w:w="3685" w:type="dxa"/>
            <w:tcBorders>
              <w:top w:val="single" w:color="auto" w:sz="4" w:space="0"/>
              <w:bottom w:val="single" w:color="auto" w:sz="4" w:space="0"/>
            </w:tcBorders>
            <w:vAlign w:val="center"/>
          </w:tcPr>
          <w:p>
            <w:pPr>
              <w:widowControl/>
              <w:jc w:val="center"/>
              <w:rPr>
                <w:kern w:val="0"/>
                <w:sz w:val="18"/>
                <w:szCs w:val="18"/>
              </w:rPr>
            </w:pPr>
          </w:p>
        </w:tc>
        <w:tc>
          <w:tcPr>
            <w:tcW w:w="3544"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聚丙烯（</w:t>
            </w:r>
            <w:r>
              <w:rPr>
                <w:kern w:val="0"/>
                <w:sz w:val="18"/>
                <w:szCs w:val="18"/>
              </w:rPr>
              <w:t>PP</w:t>
            </w:r>
            <w:r>
              <w:rPr>
                <w:rFonts w:hAnsi="宋体"/>
                <w:kern w:val="0"/>
                <w:sz w:val="18"/>
                <w:szCs w:val="18"/>
              </w:rPr>
              <w:t>）</w:t>
            </w:r>
          </w:p>
        </w:tc>
        <w:tc>
          <w:tcPr>
            <w:tcW w:w="3685" w:type="dxa"/>
            <w:tcBorders>
              <w:top w:val="single" w:color="auto" w:sz="4" w:space="0"/>
              <w:bottom w:val="single" w:color="auto" w:sz="4" w:space="0"/>
            </w:tcBorders>
            <w:vAlign w:val="center"/>
          </w:tcPr>
          <w:p>
            <w:pPr>
              <w:widowControl/>
              <w:jc w:val="center"/>
              <w:rPr>
                <w:kern w:val="0"/>
                <w:sz w:val="18"/>
                <w:szCs w:val="18"/>
              </w:rPr>
            </w:pPr>
          </w:p>
        </w:tc>
        <w:tc>
          <w:tcPr>
            <w:tcW w:w="3544"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其他</w:t>
            </w:r>
          </w:p>
        </w:tc>
        <w:tc>
          <w:tcPr>
            <w:tcW w:w="3685" w:type="dxa"/>
            <w:tcBorders>
              <w:top w:val="single" w:color="auto" w:sz="4" w:space="0"/>
              <w:bottom w:val="single" w:color="auto" w:sz="12" w:space="0"/>
            </w:tcBorders>
            <w:vAlign w:val="center"/>
          </w:tcPr>
          <w:p>
            <w:pPr>
              <w:widowControl/>
              <w:jc w:val="center"/>
              <w:rPr>
                <w:kern w:val="0"/>
                <w:sz w:val="18"/>
                <w:szCs w:val="18"/>
              </w:rPr>
            </w:pPr>
          </w:p>
        </w:tc>
        <w:tc>
          <w:tcPr>
            <w:tcW w:w="3544"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61"/>
        <w:numPr>
          <w:ilvl w:val="1"/>
          <w:numId w:val="0"/>
        </w:numPr>
        <w:spacing w:before="120" w:after="120"/>
        <w:ind w:leftChars="0"/>
        <w:jc w:val="center"/>
      </w:pPr>
      <w:r>
        <w:rPr>
          <w:rFonts w:hint="eastAsia"/>
          <w:lang w:eastAsia="zh-CN"/>
        </w:rPr>
        <w:t>表</w:t>
      </w:r>
      <w:r>
        <w:rPr>
          <w:rFonts w:hint="eastAsia"/>
          <w:lang w:val="en-US" w:eastAsia="zh-CN"/>
        </w:rPr>
        <w:t>H.4</w:t>
      </w:r>
      <w:r>
        <w:t>运输过程清单</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1560"/>
        <w:gridCol w:w="1701"/>
        <w:gridCol w:w="26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396"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过</w:t>
            </w:r>
            <w:r>
              <w:rPr>
                <w:kern w:val="0"/>
                <w:sz w:val="18"/>
                <w:szCs w:val="18"/>
              </w:rPr>
              <w:t xml:space="preserve">  </w:t>
            </w:r>
            <w:r>
              <w:rPr>
                <w:rFonts w:hAnsi="宋体"/>
                <w:kern w:val="0"/>
                <w:sz w:val="18"/>
                <w:szCs w:val="18"/>
              </w:rPr>
              <w:t>程</w:t>
            </w:r>
          </w:p>
        </w:tc>
        <w:tc>
          <w:tcPr>
            <w:tcW w:w="1560"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运输方式</w:t>
            </w:r>
          </w:p>
        </w:tc>
        <w:tc>
          <w:tcPr>
            <w:tcW w:w="1701"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运输距离</w:t>
            </w:r>
            <w:r>
              <w:rPr>
                <w:kern w:val="0"/>
                <w:sz w:val="18"/>
                <w:szCs w:val="18"/>
              </w:rPr>
              <w:t>/km</w:t>
            </w:r>
          </w:p>
        </w:tc>
        <w:tc>
          <w:tcPr>
            <w:tcW w:w="2693"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rFonts w:hAnsi="宋体"/>
                <w:kern w:val="0"/>
                <w:sz w:val="18"/>
                <w:szCs w:val="18"/>
              </w:rPr>
              <w:t>单位产品运输距离</w:t>
            </w:r>
            <w:r>
              <w:rPr>
                <w:kern w:val="0"/>
                <w:sz w:val="18"/>
                <w:szCs w:val="18"/>
              </w:rPr>
              <w:t>/</w:t>
            </w:r>
            <w:r>
              <w:rPr>
                <w:rFonts w:hAnsi="宋体"/>
                <w:kern w:val="0"/>
                <w:sz w:val="18"/>
                <w:szCs w:val="18"/>
              </w:rPr>
              <w:t>（</w:t>
            </w:r>
            <w:r>
              <w:rPr>
                <w:kern w:val="0"/>
                <w:sz w:val="18"/>
                <w:szCs w:val="18"/>
              </w:rPr>
              <w:t>km/10</w:t>
            </w:r>
            <w:r>
              <w:rPr>
                <w:kern w:val="0"/>
                <w:sz w:val="18"/>
                <w:szCs w:val="18"/>
                <w:vertAlign w:val="superscript"/>
              </w:rPr>
              <w:t>4</w:t>
            </w:r>
            <w:r>
              <w:rPr>
                <w:kern w:val="0"/>
                <w:sz w:val="18"/>
                <w:szCs w:val="18"/>
              </w:rPr>
              <w:t>m</w:t>
            </w:r>
            <w:r>
              <w:rPr>
                <w:rFonts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从生产地到总经销商</w:t>
            </w:r>
          </w:p>
        </w:tc>
        <w:tc>
          <w:tcPr>
            <w:tcW w:w="1560" w:type="dxa"/>
            <w:tcBorders>
              <w:top w:val="single" w:color="auto" w:sz="12" w:space="0"/>
              <w:bottom w:val="single" w:color="auto" w:sz="4" w:space="0"/>
            </w:tcBorders>
            <w:vAlign w:val="center"/>
          </w:tcPr>
          <w:p>
            <w:pPr>
              <w:widowControl/>
              <w:jc w:val="center"/>
              <w:rPr>
                <w:kern w:val="0"/>
                <w:sz w:val="18"/>
                <w:szCs w:val="18"/>
              </w:rPr>
            </w:pPr>
          </w:p>
        </w:tc>
        <w:tc>
          <w:tcPr>
            <w:tcW w:w="1701" w:type="dxa"/>
            <w:tcBorders>
              <w:top w:val="single" w:color="auto" w:sz="12" w:space="0"/>
              <w:bottom w:val="single" w:color="auto" w:sz="4" w:space="0"/>
            </w:tcBorders>
            <w:vAlign w:val="center"/>
          </w:tcPr>
          <w:p>
            <w:pPr>
              <w:widowControl/>
              <w:jc w:val="center"/>
              <w:rPr>
                <w:kern w:val="0"/>
                <w:sz w:val="18"/>
                <w:szCs w:val="18"/>
              </w:rPr>
            </w:pPr>
          </w:p>
        </w:tc>
        <w:tc>
          <w:tcPr>
            <w:tcW w:w="2693"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从总经销商到分经销商</w:t>
            </w:r>
          </w:p>
        </w:tc>
        <w:tc>
          <w:tcPr>
            <w:tcW w:w="1560" w:type="dxa"/>
            <w:tcBorders>
              <w:top w:val="single" w:color="auto" w:sz="4" w:space="0"/>
              <w:bottom w:val="single" w:color="auto" w:sz="4" w:space="0"/>
            </w:tcBorders>
            <w:vAlign w:val="center"/>
          </w:tcPr>
          <w:p>
            <w:pPr>
              <w:widowControl/>
              <w:jc w:val="center"/>
              <w:rPr>
                <w:kern w:val="0"/>
                <w:sz w:val="18"/>
                <w:szCs w:val="18"/>
              </w:rPr>
            </w:pPr>
          </w:p>
        </w:tc>
        <w:tc>
          <w:tcPr>
            <w:tcW w:w="1701" w:type="dxa"/>
            <w:tcBorders>
              <w:top w:val="single" w:color="auto" w:sz="4" w:space="0"/>
              <w:bottom w:val="single" w:color="auto" w:sz="4" w:space="0"/>
            </w:tcBorders>
            <w:vAlign w:val="center"/>
          </w:tcPr>
          <w:p>
            <w:pPr>
              <w:widowControl/>
              <w:jc w:val="center"/>
              <w:rPr>
                <w:kern w:val="0"/>
                <w:sz w:val="18"/>
                <w:szCs w:val="18"/>
              </w:rPr>
            </w:pPr>
          </w:p>
        </w:tc>
        <w:tc>
          <w:tcPr>
            <w:tcW w:w="2693"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从生产地到分经销商的总运输距离</w:t>
            </w:r>
          </w:p>
        </w:tc>
        <w:tc>
          <w:tcPr>
            <w:tcW w:w="1560" w:type="dxa"/>
            <w:tcBorders>
              <w:top w:val="single" w:color="auto" w:sz="4" w:space="0"/>
              <w:bottom w:val="single" w:color="auto" w:sz="4" w:space="0"/>
            </w:tcBorders>
            <w:vAlign w:val="center"/>
          </w:tcPr>
          <w:p>
            <w:pPr>
              <w:widowControl/>
              <w:jc w:val="center"/>
              <w:rPr>
                <w:kern w:val="0"/>
                <w:sz w:val="18"/>
                <w:szCs w:val="18"/>
              </w:rPr>
            </w:pPr>
          </w:p>
        </w:tc>
        <w:tc>
          <w:tcPr>
            <w:tcW w:w="1701" w:type="dxa"/>
            <w:tcBorders>
              <w:top w:val="single" w:color="auto" w:sz="4" w:space="0"/>
              <w:bottom w:val="single" w:color="auto" w:sz="4" w:space="0"/>
            </w:tcBorders>
            <w:vAlign w:val="center"/>
          </w:tcPr>
          <w:p>
            <w:pPr>
              <w:widowControl/>
              <w:jc w:val="center"/>
              <w:rPr>
                <w:kern w:val="0"/>
                <w:sz w:val="18"/>
                <w:szCs w:val="18"/>
              </w:rPr>
            </w:pPr>
          </w:p>
        </w:tc>
        <w:tc>
          <w:tcPr>
            <w:tcW w:w="2693"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1560" w:type="dxa"/>
            <w:tcBorders>
              <w:top w:val="single" w:color="auto" w:sz="4" w:space="0"/>
              <w:bottom w:val="single" w:color="auto" w:sz="12" w:space="0"/>
            </w:tcBorders>
            <w:vAlign w:val="center"/>
          </w:tcPr>
          <w:p>
            <w:pPr>
              <w:widowControl/>
              <w:jc w:val="center"/>
              <w:rPr>
                <w:kern w:val="0"/>
                <w:sz w:val="18"/>
                <w:szCs w:val="18"/>
              </w:rPr>
            </w:pPr>
          </w:p>
        </w:tc>
        <w:tc>
          <w:tcPr>
            <w:tcW w:w="1701" w:type="dxa"/>
            <w:tcBorders>
              <w:top w:val="single" w:color="auto" w:sz="4" w:space="0"/>
              <w:bottom w:val="single" w:color="auto" w:sz="12" w:space="0"/>
            </w:tcBorders>
            <w:vAlign w:val="center"/>
          </w:tcPr>
          <w:p>
            <w:pPr>
              <w:widowControl/>
              <w:jc w:val="center"/>
              <w:rPr>
                <w:kern w:val="0"/>
                <w:sz w:val="18"/>
                <w:szCs w:val="18"/>
              </w:rPr>
            </w:pPr>
          </w:p>
        </w:tc>
        <w:tc>
          <w:tcPr>
            <w:tcW w:w="2693"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203"/>
        <w:ind w:firstLine="0" w:firstLineChars="0"/>
      </w:pPr>
    </w:p>
    <w:p>
      <w:pPr>
        <w:pStyle w:val="203"/>
        <w:spacing w:beforeLines="50"/>
      </w:pPr>
      <w:r>
        <w:rPr>
          <w:rFonts w:hint="eastAsia"/>
        </w:rPr>
        <w:t>人造革产品生产过程中产生的废气、废液或在废弃物处理过程相关排放的排放因子如表</w:t>
      </w:r>
      <w:r>
        <w:rPr>
          <w:rFonts w:hint="eastAsia"/>
          <w:lang w:val="en-US" w:eastAsia="zh-CN"/>
        </w:rPr>
        <w:t>H</w:t>
      </w:r>
      <w:r>
        <w:t>.5</w:t>
      </w:r>
      <w:r>
        <w:rPr>
          <w:rFonts w:hint="eastAsia"/>
        </w:rPr>
        <w:t>所示。</w:t>
      </w:r>
    </w:p>
    <w:p>
      <w:pPr>
        <w:pStyle w:val="61"/>
        <w:numPr>
          <w:ilvl w:val="1"/>
          <w:numId w:val="0"/>
        </w:numPr>
        <w:spacing w:before="120" w:after="120"/>
        <w:ind w:leftChars="0"/>
        <w:jc w:val="center"/>
      </w:pPr>
      <w:r>
        <w:rPr>
          <w:rFonts w:hint="eastAsia"/>
          <w:lang w:eastAsia="zh-CN"/>
        </w:rPr>
        <w:t>表</w:t>
      </w:r>
      <w:r>
        <w:rPr>
          <w:rFonts w:hint="eastAsia"/>
          <w:lang w:val="en-US" w:eastAsia="zh-CN"/>
        </w:rPr>
        <w:t>H.5</w:t>
      </w:r>
      <w:r>
        <w:rPr>
          <w:rFonts w:hint="eastAsia"/>
        </w:rPr>
        <w:t>废弃物循环利用或</w:t>
      </w:r>
      <w:r>
        <w:t>废弃物处置清单</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835"/>
        <w:gridCol w:w="4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404" w:type="dxa"/>
            <w:tcBorders>
              <w:top w:val="single" w:color="auto" w:sz="12" w:space="0"/>
              <w:left w:val="single" w:color="auto" w:sz="12" w:space="0"/>
              <w:bottom w:val="single" w:color="auto" w:sz="12" w:space="0"/>
            </w:tcBorders>
            <w:vAlign w:val="top"/>
          </w:tcPr>
          <w:p>
            <w:pPr>
              <w:jc w:val="center"/>
              <w:rPr>
                <w:rFonts w:ascii="宋体"/>
                <w:sz w:val="18"/>
              </w:rPr>
            </w:pPr>
            <w:r>
              <w:rPr>
                <w:rFonts w:hint="eastAsia" w:ascii="宋体"/>
                <w:sz w:val="18"/>
              </w:rPr>
              <w:t>废弃物名称或项目</w:t>
            </w:r>
          </w:p>
        </w:tc>
        <w:tc>
          <w:tcPr>
            <w:tcW w:w="2835" w:type="dxa"/>
            <w:tcBorders>
              <w:top w:val="single" w:color="auto" w:sz="12" w:space="0"/>
              <w:bottom w:val="single" w:color="auto" w:sz="12" w:space="0"/>
            </w:tcBorders>
            <w:vAlign w:val="top"/>
          </w:tcPr>
          <w:p>
            <w:pPr>
              <w:jc w:val="center"/>
              <w:rPr>
                <w:rFonts w:ascii="宋体"/>
                <w:sz w:val="18"/>
              </w:rPr>
            </w:pPr>
            <w:r>
              <w:rPr>
                <w:rFonts w:hint="eastAsia" w:ascii="宋体"/>
                <w:sz w:val="18"/>
              </w:rPr>
              <w:t>降解、处理回用方式</w:t>
            </w:r>
          </w:p>
        </w:tc>
        <w:tc>
          <w:tcPr>
            <w:tcW w:w="4111" w:type="dxa"/>
            <w:tcBorders>
              <w:top w:val="single" w:color="auto" w:sz="12" w:space="0"/>
              <w:bottom w:val="single" w:color="auto" w:sz="12" w:space="0"/>
              <w:right w:val="single" w:color="auto" w:sz="12" w:space="0"/>
            </w:tcBorders>
            <w:vAlign w:val="top"/>
          </w:tcPr>
          <w:p>
            <w:pPr>
              <w:jc w:val="center"/>
              <w:rPr>
                <w:rFonts w:ascii="宋体"/>
                <w:sz w:val="18"/>
              </w:rPr>
            </w:pPr>
            <w:r>
              <w:rPr>
                <w:rFonts w:hint="eastAsia" w:ascii="宋体"/>
                <w:sz w:val="18"/>
              </w:rPr>
              <w:t>降解、处理过程主要环境排放量（g</w:t>
            </w:r>
            <w:r>
              <w:rPr>
                <w:rFonts w:ascii="宋体"/>
                <w:sz w:val="18"/>
              </w:rPr>
              <w:t>/</w:t>
            </w:r>
            <w:r>
              <w:rPr>
                <w:rFonts w:hint="eastAsia" w:ascii="宋体"/>
                <w:sz w:val="18"/>
              </w:rPr>
              <w:t>10</w:t>
            </w:r>
            <w:r>
              <w:rPr>
                <w:rFonts w:hint="eastAsia" w:ascii="宋体"/>
                <w:sz w:val="18"/>
                <w:vertAlign w:val="superscript"/>
              </w:rPr>
              <w:t>4</w:t>
            </w:r>
            <w:r>
              <w:rPr>
                <w:rFonts w:hint="eastAsia" w:ascii="宋体"/>
                <w:sz w:val="18"/>
              </w:rPr>
              <w:t>m废弃物）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12" w:space="0"/>
              <w:left w:val="single" w:color="auto" w:sz="12" w:space="0"/>
              <w:bottom w:val="single" w:color="auto" w:sz="4" w:space="0"/>
            </w:tcBorders>
            <w:vAlign w:val="center"/>
          </w:tcPr>
          <w:p>
            <w:pPr>
              <w:widowControl/>
              <w:jc w:val="center"/>
              <w:rPr>
                <w:kern w:val="0"/>
                <w:sz w:val="18"/>
                <w:szCs w:val="18"/>
              </w:rPr>
            </w:pPr>
          </w:p>
        </w:tc>
        <w:tc>
          <w:tcPr>
            <w:tcW w:w="2835" w:type="dxa"/>
            <w:tcBorders>
              <w:top w:val="single" w:color="auto" w:sz="12" w:space="0"/>
              <w:bottom w:val="single" w:color="auto" w:sz="4" w:space="0"/>
            </w:tcBorders>
            <w:vAlign w:val="center"/>
          </w:tcPr>
          <w:p>
            <w:pPr>
              <w:widowControl/>
              <w:jc w:val="center"/>
              <w:rPr>
                <w:kern w:val="0"/>
                <w:sz w:val="18"/>
                <w:szCs w:val="18"/>
              </w:rPr>
            </w:pPr>
          </w:p>
        </w:tc>
        <w:tc>
          <w:tcPr>
            <w:tcW w:w="4111"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4" w:space="0"/>
            </w:tcBorders>
            <w:vAlign w:val="center"/>
          </w:tcPr>
          <w:p>
            <w:pPr>
              <w:widowControl/>
              <w:jc w:val="center"/>
              <w:rPr>
                <w:kern w:val="0"/>
                <w:sz w:val="18"/>
                <w:szCs w:val="18"/>
              </w:rPr>
            </w:pPr>
          </w:p>
        </w:tc>
        <w:tc>
          <w:tcPr>
            <w:tcW w:w="2835" w:type="dxa"/>
            <w:tcBorders>
              <w:top w:val="single" w:color="auto" w:sz="4" w:space="0"/>
              <w:bottom w:val="single" w:color="auto" w:sz="4" w:space="0"/>
            </w:tcBorders>
            <w:vAlign w:val="center"/>
          </w:tcPr>
          <w:p>
            <w:pPr>
              <w:widowControl/>
              <w:jc w:val="center"/>
              <w:rPr>
                <w:kern w:val="0"/>
                <w:sz w:val="18"/>
                <w:szCs w:val="18"/>
              </w:rPr>
            </w:pPr>
          </w:p>
        </w:tc>
        <w:tc>
          <w:tcPr>
            <w:tcW w:w="4111"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2835" w:type="dxa"/>
            <w:tcBorders>
              <w:top w:val="single" w:color="auto" w:sz="4" w:space="0"/>
              <w:bottom w:val="single" w:color="auto" w:sz="12" w:space="0"/>
            </w:tcBorders>
            <w:vAlign w:val="center"/>
          </w:tcPr>
          <w:p>
            <w:pPr>
              <w:widowControl/>
              <w:jc w:val="center"/>
              <w:rPr>
                <w:kern w:val="0"/>
                <w:sz w:val="18"/>
                <w:szCs w:val="18"/>
              </w:rPr>
            </w:pPr>
          </w:p>
        </w:tc>
        <w:tc>
          <w:tcPr>
            <w:tcW w:w="4111"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63"/>
        <w:spacing w:before="120" w:after="120"/>
      </w:pPr>
      <w:r>
        <w:t>清单分析</w:t>
      </w:r>
    </w:p>
    <w:p>
      <w:pPr>
        <w:snapToGrid w:val="0"/>
        <w:ind w:firstLine="420" w:firstLineChars="200"/>
      </w:pPr>
      <w:r>
        <w:rPr>
          <w:rFonts w:hAnsi="宋体"/>
        </w:rPr>
        <w:t>对收集的数据进行核实后，利用生命周期评估软件进行数据的分析处理，用以建立生命周期评价科学完整的计算程序。企业可根据实际情况选择软件，通过建立各个过程单元模块，输入各过程单元的数据，可得到全部输入与输出物质和排放清单，选择表L</w:t>
      </w:r>
      <w:r>
        <w:t>.6</w:t>
      </w:r>
      <w:r>
        <w:rPr>
          <w:rFonts w:hAnsi="宋体"/>
        </w:rPr>
        <w:t>各个清单因子的量（以万米为单位），为分类评价做准备。</w:t>
      </w:r>
    </w:p>
    <w:p>
      <w:pPr>
        <w:pStyle w:val="62"/>
        <w:spacing w:before="120" w:after="120"/>
      </w:pPr>
      <w:r>
        <w:t>生命周期影响评价</w:t>
      </w:r>
    </w:p>
    <w:p>
      <w:pPr>
        <w:pStyle w:val="63"/>
        <w:spacing w:before="120" w:after="120"/>
      </w:pPr>
      <w:r>
        <w:t>影响类型</w:t>
      </w:r>
    </w:p>
    <w:p>
      <w:pPr>
        <w:snapToGrid w:val="0"/>
        <w:ind w:firstLine="420" w:firstLineChars="200"/>
      </w:pPr>
      <w:r>
        <w:rPr>
          <w:rFonts w:hAnsi="宋体"/>
        </w:rPr>
        <w:t>影响类型分为资源能源消耗、生态环境影响和人体健康危害</w:t>
      </w:r>
      <w:r>
        <w:t>3</w:t>
      </w:r>
      <w:r>
        <w:rPr>
          <w:rFonts w:hAnsi="宋体"/>
        </w:rPr>
        <w:t>类。</w:t>
      </w:r>
      <w:r>
        <w:rPr>
          <w:rFonts w:hint="eastAsia" w:hAnsi="宋体"/>
        </w:rPr>
        <w:t>人造革</w:t>
      </w:r>
      <w:r>
        <w:rPr>
          <w:rFonts w:hAnsi="宋体"/>
        </w:rPr>
        <w:t>的影响类型采用不可再生资源消耗、气候变化、富营养化和人体健康危害</w:t>
      </w:r>
      <w:r>
        <w:t>4</w:t>
      </w:r>
      <w:r>
        <w:rPr>
          <w:rFonts w:hAnsi="宋体"/>
        </w:rPr>
        <w:t>个指标。</w:t>
      </w:r>
    </w:p>
    <w:p>
      <w:pPr>
        <w:pStyle w:val="63"/>
        <w:spacing w:before="120" w:after="120"/>
      </w:pPr>
      <w:r>
        <w:t>清单因子归类</w:t>
      </w:r>
    </w:p>
    <w:p>
      <w:pPr>
        <w:snapToGrid w:val="0"/>
        <w:ind w:firstLine="420" w:firstLineChars="200"/>
      </w:pPr>
      <w:r>
        <w:rPr>
          <w:rFonts w:hAnsi="宋体"/>
        </w:rPr>
        <w:t>根据清单因子的物理化学性质，将对某影响类型有贡献的因子归到一起，见表</w:t>
      </w:r>
      <w:r>
        <w:rPr>
          <w:rFonts w:hint="eastAsia"/>
          <w:lang w:val="en-US" w:eastAsia="zh-CN"/>
        </w:rPr>
        <w:t>H</w:t>
      </w:r>
      <w:r>
        <w:t>.6</w:t>
      </w:r>
      <w:r>
        <w:rPr>
          <w:rFonts w:hAnsi="宋体"/>
        </w:rPr>
        <w:t>。例如，将对气候变化有贡献的二氧化碳、一氧化氮等清单因子归到气候变化影响类型里面。</w:t>
      </w:r>
    </w:p>
    <w:p>
      <w:pPr>
        <w:pStyle w:val="61"/>
        <w:numPr>
          <w:ilvl w:val="1"/>
          <w:numId w:val="0"/>
        </w:numPr>
        <w:spacing w:before="120" w:after="120"/>
        <w:ind w:leftChars="0"/>
        <w:jc w:val="center"/>
      </w:pPr>
      <w:r>
        <w:rPr>
          <w:rFonts w:hint="eastAsia"/>
          <w:lang w:eastAsia="zh-CN"/>
        </w:rPr>
        <w:t>表</w:t>
      </w:r>
      <w:r>
        <w:rPr>
          <w:rFonts w:hint="eastAsia"/>
          <w:lang w:val="en-US" w:eastAsia="zh-CN"/>
        </w:rPr>
        <w:t>H.6</w:t>
      </w:r>
      <w:r>
        <w:rPr>
          <w:rFonts w:hint="eastAsia"/>
        </w:rPr>
        <w:t>人造革</w:t>
      </w:r>
      <w:r>
        <w:t>产品生命周期清单因子归类示例</w:t>
      </w:r>
    </w:p>
    <w:tbl>
      <w:tblPr>
        <w:tblStyle w:val="26"/>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6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12" w:space="0"/>
              <w:left w:val="single" w:color="auto" w:sz="12" w:space="0"/>
              <w:bottom w:val="single" w:color="auto" w:sz="12" w:space="0"/>
            </w:tcBorders>
            <w:vAlign w:val="center"/>
          </w:tcPr>
          <w:p>
            <w:pPr>
              <w:widowControl/>
              <w:snapToGrid w:val="0"/>
              <w:jc w:val="center"/>
              <w:rPr>
                <w:kern w:val="0"/>
                <w:sz w:val="18"/>
                <w:szCs w:val="18"/>
              </w:rPr>
            </w:pPr>
            <w:r>
              <w:rPr>
                <w:kern w:val="0"/>
                <w:sz w:val="18"/>
                <w:szCs w:val="18"/>
              </w:rPr>
              <w:t>影响类型</w:t>
            </w:r>
          </w:p>
        </w:tc>
        <w:tc>
          <w:tcPr>
            <w:tcW w:w="6361" w:type="dxa"/>
            <w:tcBorders>
              <w:top w:val="single" w:color="auto" w:sz="12" w:space="0"/>
              <w:bottom w:val="single" w:color="auto" w:sz="12" w:space="0"/>
              <w:right w:val="single" w:color="auto" w:sz="12" w:space="0"/>
            </w:tcBorders>
            <w:vAlign w:val="center"/>
          </w:tcPr>
          <w:p>
            <w:pPr>
              <w:widowControl/>
              <w:snapToGrid w:val="0"/>
              <w:jc w:val="center"/>
              <w:rPr>
                <w:sz w:val="18"/>
                <w:szCs w:val="18"/>
              </w:rPr>
            </w:pPr>
            <w:r>
              <w:rPr>
                <w:kern w:val="0"/>
                <w:sz w:val="18"/>
                <w:szCs w:val="18"/>
              </w:rPr>
              <w:t>清单因子归类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12" w:space="0"/>
              <w:left w:val="single" w:color="auto" w:sz="12" w:space="0"/>
              <w:bottom w:val="single" w:color="auto" w:sz="4" w:space="0"/>
            </w:tcBorders>
            <w:vAlign w:val="center"/>
          </w:tcPr>
          <w:p>
            <w:pPr>
              <w:widowControl/>
              <w:snapToGrid w:val="0"/>
              <w:jc w:val="center"/>
              <w:rPr>
                <w:kern w:val="0"/>
                <w:sz w:val="18"/>
                <w:szCs w:val="18"/>
              </w:rPr>
            </w:pPr>
            <w:r>
              <w:rPr>
                <w:kern w:val="0"/>
                <w:sz w:val="18"/>
                <w:szCs w:val="18"/>
              </w:rPr>
              <w:t>不可再生资源消耗</w:t>
            </w:r>
          </w:p>
        </w:tc>
        <w:tc>
          <w:tcPr>
            <w:tcW w:w="6361" w:type="dxa"/>
            <w:tcBorders>
              <w:top w:val="single" w:color="auto" w:sz="12"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煤、石油、天然气、材料本身的有机碳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kern w:val="0"/>
                <w:sz w:val="18"/>
                <w:szCs w:val="18"/>
              </w:rPr>
              <w:t>气候变化</w:t>
            </w:r>
          </w:p>
        </w:tc>
        <w:tc>
          <w:tcPr>
            <w:tcW w:w="6361"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二氧化碳（CO</w:t>
            </w:r>
            <w:r>
              <w:rPr>
                <w:kern w:val="0"/>
                <w:sz w:val="18"/>
                <w:szCs w:val="18"/>
                <w:vertAlign w:val="subscript"/>
              </w:rPr>
              <w:t>2</w:t>
            </w:r>
            <w:r>
              <w:rPr>
                <w:kern w:val="0"/>
                <w:sz w:val="18"/>
                <w:szCs w:val="18"/>
              </w:rPr>
              <w:t>）、甲烷（CH</w:t>
            </w:r>
            <w:r>
              <w:rPr>
                <w:kern w:val="0"/>
                <w:sz w:val="18"/>
                <w:szCs w:val="18"/>
                <w:vertAlign w:val="subscript"/>
              </w:rPr>
              <w:t>4</w:t>
            </w:r>
            <w:r>
              <w:rPr>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kern w:val="0"/>
                <w:sz w:val="18"/>
                <w:szCs w:val="18"/>
              </w:rPr>
              <w:t>富营养化</w:t>
            </w:r>
          </w:p>
        </w:tc>
        <w:tc>
          <w:tcPr>
            <w:tcW w:w="6361"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氮氧化物（NO</w:t>
            </w:r>
            <w:r>
              <w:rPr>
                <w:kern w:val="0"/>
                <w:sz w:val="18"/>
                <w:szCs w:val="18"/>
                <w:vertAlign w:val="subscript"/>
              </w:rPr>
              <w:t>x</w:t>
            </w:r>
            <w:r>
              <w:rPr>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4" w:space="0"/>
              <w:left w:val="single" w:color="auto" w:sz="12" w:space="0"/>
              <w:bottom w:val="single" w:color="auto" w:sz="12" w:space="0"/>
            </w:tcBorders>
            <w:vAlign w:val="center"/>
          </w:tcPr>
          <w:p>
            <w:pPr>
              <w:widowControl/>
              <w:snapToGrid w:val="0"/>
              <w:jc w:val="center"/>
              <w:rPr>
                <w:kern w:val="0"/>
                <w:sz w:val="18"/>
                <w:szCs w:val="18"/>
              </w:rPr>
            </w:pPr>
            <w:r>
              <w:rPr>
                <w:kern w:val="0"/>
                <w:sz w:val="18"/>
                <w:szCs w:val="18"/>
              </w:rPr>
              <w:t>人体健康危害</w:t>
            </w:r>
          </w:p>
        </w:tc>
        <w:tc>
          <w:tcPr>
            <w:tcW w:w="6361" w:type="dxa"/>
            <w:tcBorders>
              <w:top w:val="single" w:color="auto" w:sz="4" w:space="0"/>
              <w:bottom w:val="single" w:color="auto" w:sz="12" w:space="0"/>
              <w:right w:val="single" w:color="auto" w:sz="12" w:space="0"/>
            </w:tcBorders>
            <w:vAlign w:val="center"/>
          </w:tcPr>
          <w:p>
            <w:pPr>
              <w:widowControl/>
              <w:snapToGrid w:val="0"/>
              <w:jc w:val="center"/>
              <w:rPr>
                <w:kern w:val="0"/>
                <w:sz w:val="18"/>
                <w:szCs w:val="18"/>
              </w:rPr>
            </w:pPr>
            <w:r>
              <w:rPr>
                <w:kern w:val="0"/>
                <w:sz w:val="18"/>
                <w:szCs w:val="18"/>
              </w:rPr>
              <w:t>NMP、DMFa、颗粒物</w:t>
            </w:r>
          </w:p>
        </w:tc>
      </w:tr>
    </w:tbl>
    <w:p>
      <w:pPr>
        <w:pStyle w:val="63"/>
        <w:spacing w:before="120" w:after="120"/>
      </w:pPr>
      <w:r>
        <w:t>分类评价</w:t>
      </w:r>
    </w:p>
    <w:p>
      <w:pPr>
        <w:snapToGrid w:val="0"/>
        <w:ind w:firstLine="420" w:firstLineChars="200"/>
      </w:pPr>
      <w:r>
        <w:rPr>
          <w:rFonts w:hAnsi="宋体"/>
        </w:rPr>
        <w:t>计算出不同影响类型的特征化模型。分类评价的结果采用表</w:t>
      </w:r>
      <w:r>
        <w:rPr>
          <w:rFonts w:hint="eastAsia" w:hAnsi="宋体"/>
          <w:lang w:val="en-US" w:eastAsia="zh-CN"/>
        </w:rPr>
        <w:t>H.</w:t>
      </w:r>
      <w:r>
        <w:t>7</w:t>
      </w:r>
      <w:r>
        <w:rPr>
          <w:rFonts w:hAnsi="宋体"/>
        </w:rPr>
        <w:t>中的当量物质表示。</w:t>
      </w:r>
    </w:p>
    <w:p>
      <w:pPr>
        <w:pStyle w:val="61"/>
        <w:numPr>
          <w:ilvl w:val="1"/>
          <w:numId w:val="0"/>
        </w:numPr>
        <w:spacing w:before="120" w:after="120"/>
        <w:ind w:leftChars="0"/>
        <w:jc w:val="center"/>
      </w:pPr>
      <w:r>
        <w:rPr>
          <w:rFonts w:hint="eastAsia"/>
          <w:lang w:eastAsia="zh-CN"/>
        </w:rPr>
        <w:t>表</w:t>
      </w:r>
      <w:r>
        <w:rPr>
          <w:rFonts w:hint="eastAsia"/>
          <w:lang w:val="en-US" w:eastAsia="zh-CN"/>
        </w:rPr>
        <w:t>H.7</w:t>
      </w:r>
      <w:r>
        <w:rPr>
          <w:rFonts w:hint="eastAsia"/>
        </w:rPr>
        <w:t>人造革</w:t>
      </w:r>
      <w:r>
        <w:t>产品生命周期影响评价示例</w:t>
      </w:r>
    </w:p>
    <w:tbl>
      <w:tblPr>
        <w:tblStyle w:val="26"/>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2545"/>
        <w:gridCol w:w="2545"/>
        <w:gridCol w:w="2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tcBorders>
              <w:top w:val="single" w:color="auto" w:sz="12" w:space="0"/>
              <w:left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环境类别</w:t>
            </w:r>
          </w:p>
        </w:tc>
        <w:tc>
          <w:tcPr>
            <w:tcW w:w="2545" w:type="dxa"/>
            <w:tcBorders>
              <w:top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单</w:t>
            </w:r>
            <w:r>
              <w:rPr>
                <w:kern w:val="0"/>
                <w:sz w:val="18"/>
                <w:szCs w:val="18"/>
              </w:rPr>
              <w:t xml:space="preserve">  </w:t>
            </w:r>
            <w:r>
              <w:rPr>
                <w:rFonts w:hAnsi="宋体"/>
                <w:kern w:val="0"/>
                <w:sz w:val="18"/>
                <w:szCs w:val="18"/>
              </w:rPr>
              <w:t>位</w:t>
            </w:r>
          </w:p>
        </w:tc>
        <w:tc>
          <w:tcPr>
            <w:tcW w:w="2545" w:type="dxa"/>
            <w:tcBorders>
              <w:top w:val="single" w:color="auto" w:sz="12" w:space="0"/>
              <w:bottom w:val="single" w:color="auto" w:sz="12" w:space="0"/>
            </w:tcBorders>
            <w:vAlign w:val="center"/>
          </w:tcPr>
          <w:p>
            <w:pPr>
              <w:snapToGrid w:val="0"/>
              <w:jc w:val="center"/>
              <w:rPr>
                <w:kern w:val="0"/>
                <w:sz w:val="18"/>
                <w:szCs w:val="18"/>
              </w:rPr>
            </w:pPr>
            <w:r>
              <w:rPr>
                <w:rFonts w:hAnsi="宋体"/>
                <w:kern w:val="0"/>
                <w:sz w:val="18"/>
                <w:szCs w:val="18"/>
              </w:rPr>
              <w:t>指标参数</w:t>
            </w:r>
          </w:p>
        </w:tc>
        <w:tc>
          <w:tcPr>
            <w:tcW w:w="2120" w:type="dxa"/>
            <w:tcBorders>
              <w:top w:val="single" w:color="auto" w:sz="12" w:space="0"/>
              <w:bottom w:val="single" w:color="auto" w:sz="12" w:space="0"/>
              <w:right w:val="single" w:color="auto" w:sz="12" w:space="0"/>
            </w:tcBorders>
            <w:vAlign w:val="center"/>
          </w:tcPr>
          <w:p>
            <w:pPr>
              <w:widowControl/>
              <w:snapToGrid w:val="0"/>
              <w:jc w:val="center"/>
              <w:rPr>
                <w:kern w:val="0"/>
                <w:sz w:val="18"/>
                <w:szCs w:val="18"/>
              </w:rPr>
            </w:pPr>
            <w:r>
              <w:rPr>
                <w:rFonts w:hAnsi="宋体"/>
                <w:kern w:val="0"/>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restart"/>
            <w:tcBorders>
              <w:top w:val="single" w:color="auto" w:sz="12"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能源消耗</w:t>
            </w:r>
          </w:p>
        </w:tc>
        <w:tc>
          <w:tcPr>
            <w:tcW w:w="2545" w:type="dxa"/>
            <w:vMerge w:val="restart"/>
            <w:tcBorders>
              <w:top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锑当量</w:t>
            </w:r>
            <w:r>
              <w:rPr>
                <w:kern w:val="0"/>
                <w:sz w:val="18"/>
                <w:szCs w:val="18"/>
              </w:rPr>
              <w:t>/10</w:t>
            </w:r>
            <w:r>
              <w:rPr>
                <w:kern w:val="0"/>
                <w:sz w:val="18"/>
                <w:szCs w:val="18"/>
                <w:vertAlign w:val="superscript"/>
              </w:rPr>
              <w:t>4</w:t>
            </w:r>
            <w:r>
              <w:rPr>
                <w:kern w:val="0"/>
                <w:sz w:val="18"/>
                <w:szCs w:val="18"/>
              </w:rPr>
              <w:t>m</w:t>
            </w:r>
          </w:p>
        </w:tc>
        <w:tc>
          <w:tcPr>
            <w:tcW w:w="2545" w:type="dxa"/>
            <w:tcBorders>
              <w:top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煤</w:t>
            </w:r>
          </w:p>
        </w:tc>
        <w:tc>
          <w:tcPr>
            <w:tcW w:w="2120" w:type="dxa"/>
            <w:tcBorders>
              <w:top w:val="single" w:color="auto" w:sz="12"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5.69</w:t>
            </w:r>
            <w:r>
              <w:rPr>
                <w:rFonts w:ascii="宋体" w:hAnsi="宋体"/>
                <w:kern w:val="0"/>
                <w:sz w:val="18"/>
                <w:szCs w:val="18"/>
              </w:rPr>
              <w:t>×</w:t>
            </w:r>
            <w:r>
              <w:rPr>
                <w:kern w:val="0"/>
                <w:sz w:val="18"/>
                <w:szCs w:val="18"/>
              </w:rPr>
              <w:t>10</w:t>
            </w:r>
            <w:r>
              <w:rPr>
                <w:kern w:val="0"/>
                <w:sz w:val="18"/>
                <w:szCs w:val="18"/>
                <w:vertAlign w:val="superscript"/>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rFonts w:hAnsi="宋体"/>
                <w:kern w:val="0"/>
                <w:sz w:val="18"/>
                <w:szCs w:val="18"/>
              </w:rPr>
              <w:t>石油</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rFonts w:hAnsi="宋体"/>
                <w:kern w:val="0"/>
                <w:sz w:val="18"/>
                <w:szCs w:val="18"/>
              </w:rPr>
              <w:t>天然气</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restart"/>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全球变暖</w:t>
            </w:r>
          </w:p>
        </w:tc>
        <w:tc>
          <w:tcPr>
            <w:tcW w:w="2545" w:type="dxa"/>
            <w:vMerge w:val="restart"/>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CO</w:t>
            </w:r>
            <w:r>
              <w:rPr>
                <w:kern w:val="0"/>
                <w:sz w:val="18"/>
                <w:szCs w:val="18"/>
                <w:vertAlign w:val="subscript"/>
              </w:rPr>
              <w:t>2</w:t>
            </w:r>
            <w:r>
              <w:rPr>
                <w:rFonts w:hAnsi="宋体"/>
                <w:kern w:val="0"/>
                <w:sz w:val="18"/>
                <w:szCs w:val="18"/>
              </w:rPr>
              <w:t>当量</w:t>
            </w:r>
            <w:r>
              <w:rPr>
                <w:kern w:val="0"/>
                <w:sz w:val="18"/>
                <w:szCs w:val="18"/>
              </w:rPr>
              <w:t>/10</w:t>
            </w:r>
            <w:r>
              <w:rPr>
                <w:kern w:val="0"/>
                <w:sz w:val="18"/>
                <w:szCs w:val="18"/>
                <w:vertAlign w:val="superscript"/>
              </w:rPr>
              <w:t>4</w:t>
            </w:r>
            <w:r>
              <w:rPr>
                <w:kern w:val="0"/>
                <w:sz w:val="18"/>
                <w:szCs w:val="18"/>
              </w:rPr>
              <w:t>m</w:t>
            </w: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CO</w:t>
            </w:r>
            <w:r>
              <w:rPr>
                <w:kern w:val="0"/>
                <w:sz w:val="18"/>
                <w:szCs w:val="18"/>
                <w:vertAlign w:val="subscript"/>
              </w:rPr>
              <w:t>2</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CH</w:t>
            </w:r>
            <w:r>
              <w:rPr>
                <w:kern w:val="0"/>
                <w:sz w:val="18"/>
                <w:szCs w:val="18"/>
                <w:vertAlign w:val="subscript"/>
              </w:rPr>
              <w:t>4</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富营养化</w:t>
            </w: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r>
              <w:rPr>
                <w:rFonts w:hAnsi="宋体"/>
                <w:kern w:val="0"/>
                <w:sz w:val="18"/>
                <w:szCs w:val="18"/>
              </w:rPr>
              <w:t>当量</w:t>
            </w:r>
            <w:r>
              <w:rPr>
                <w:kern w:val="0"/>
                <w:sz w:val="18"/>
                <w:szCs w:val="18"/>
              </w:rPr>
              <w:t>/10</w:t>
            </w:r>
            <w:r>
              <w:rPr>
                <w:kern w:val="0"/>
                <w:sz w:val="18"/>
                <w:szCs w:val="18"/>
                <w:vertAlign w:val="superscript"/>
              </w:rPr>
              <w:t>4</w:t>
            </w:r>
            <w:r>
              <w:rPr>
                <w:kern w:val="0"/>
                <w:sz w:val="18"/>
                <w:szCs w:val="18"/>
              </w:rPr>
              <w:t>m</w:t>
            </w: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restart"/>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人体健康危害</w:t>
            </w:r>
          </w:p>
        </w:tc>
        <w:tc>
          <w:tcPr>
            <w:tcW w:w="2545" w:type="dxa"/>
            <w:vMerge w:val="restart"/>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1,4-</w:t>
            </w:r>
            <w:r>
              <w:rPr>
                <w:rFonts w:hAnsi="宋体"/>
                <w:kern w:val="0"/>
                <w:sz w:val="18"/>
                <w:szCs w:val="18"/>
              </w:rPr>
              <w:t>二氯苯当量</w:t>
            </w:r>
            <w:r>
              <w:rPr>
                <w:kern w:val="0"/>
                <w:sz w:val="18"/>
                <w:szCs w:val="18"/>
              </w:rPr>
              <w:t>/10</w:t>
            </w:r>
            <w:r>
              <w:rPr>
                <w:kern w:val="0"/>
                <w:sz w:val="18"/>
                <w:szCs w:val="18"/>
                <w:vertAlign w:val="superscript"/>
              </w:rPr>
              <w:t>4</w:t>
            </w:r>
            <w:r>
              <w:rPr>
                <w:kern w:val="0"/>
                <w:sz w:val="18"/>
                <w:szCs w:val="18"/>
              </w:rPr>
              <w:t>m</w:t>
            </w: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NOx</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SOx</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0.096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12"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12" w:space="0"/>
            </w:tcBorders>
            <w:vAlign w:val="center"/>
          </w:tcPr>
          <w:p>
            <w:pPr>
              <w:widowControl/>
              <w:snapToGrid w:val="0"/>
              <w:jc w:val="center"/>
              <w:rPr>
                <w:kern w:val="0"/>
                <w:sz w:val="18"/>
                <w:szCs w:val="18"/>
              </w:rPr>
            </w:pPr>
          </w:p>
        </w:tc>
        <w:tc>
          <w:tcPr>
            <w:tcW w:w="2545" w:type="dxa"/>
            <w:tcBorders>
              <w:top w:val="single" w:color="auto" w:sz="4" w:space="0"/>
              <w:bottom w:val="single" w:color="auto" w:sz="12" w:space="0"/>
            </w:tcBorders>
            <w:vAlign w:val="center"/>
          </w:tcPr>
          <w:p>
            <w:pPr>
              <w:widowControl/>
              <w:snapToGrid w:val="0"/>
              <w:jc w:val="center"/>
              <w:rPr>
                <w:kern w:val="0"/>
                <w:sz w:val="18"/>
                <w:szCs w:val="18"/>
              </w:rPr>
            </w:pPr>
            <w:r>
              <w:rPr>
                <w:rFonts w:hAnsi="宋体"/>
                <w:kern w:val="0"/>
                <w:sz w:val="18"/>
                <w:szCs w:val="18"/>
              </w:rPr>
              <w:t>颗粒物</w:t>
            </w:r>
          </w:p>
        </w:tc>
        <w:tc>
          <w:tcPr>
            <w:tcW w:w="2120" w:type="dxa"/>
            <w:tcBorders>
              <w:top w:val="single" w:color="auto" w:sz="4" w:space="0"/>
              <w:bottom w:val="single" w:color="auto" w:sz="12" w:space="0"/>
              <w:right w:val="single" w:color="auto" w:sz="12" w:space="0"/>
            </w:tcBorders>
            <w:vAlign w:val="center"/>
          </w:tcPr>
          <w:p>
            <w:pPr>
              <w:widowControl/>
              <w:snapToGrid w:val="0"/>
              <w:jc w:val="center"/>
              <w:rPr>
                <w:kern w:val="0"/>
                <w:sz w:val="18"/>
                <w:szCs w:val="18"/>
              </w:rPr>
            </w:pPr>
            <w:r>
              <w:rPr>
                <w:kern w:val="0"/>
                <w:sz w:val="18"/>
                <w:szCs w:val="18"/>
              </w:rPr>
              <w:t>0.82</w:t>
            </w:r>
          </w:p>
        </w:tc>
      </w:tr>
    </w:tbl>
    <w:p>
      <w:pPr>
        <w:pStyle w:val="63"/>
        <w:spacing w:before="120" w:after="120"/>
      </w:pPr>
      <w:r>
        <w:t>计算方法</w:t>
      </w:r>
    </w:p>
    <w:p>
      <w:pPr>
        <w:snapToGrid w:val="0"/>
        <w:ind w:firstLine="420" w:firstLineChars="200"/>
      </w:pPr>
      <w:r>
        <w:rPr>
          <w:rFonts w:hAnsi="宋体"/>
        </w:rPr>
        <w:t>影响评价结果计算方法见公式</w:t>
      </w:r>
      <w:r>
        <w:rPr>
          <w:rFonts w:hint="eastAsia" w:ascii="宋体" w:hAnsi="宋体"/>
        </w:rPr>
        <w:t>（</w:t>
      </w:r>
      <w:r>
        <w:t>L.1</w:t>
      </w:r>
      <w:r>
        <w:rPr>
          <w:rFonts w:hint="eastAsia" w:ascii="宋体" w:hAnsi="宋体"/>
        </w:rPr>
        <w:t>）</w:t>
      </w:r>
      <w:r>
        <w:rPr>
          <w:rFonts w:hint="eastAsia"/>
        </w:rPr>
        <w:t>：</w:t>
      </w:r>
    </w:p>
    <w:p>
      <w:pPr>
        <w:snapToGrid w:val="0"/>
        <w:ind w:firstLine="420" w:firstLineChars="200"/>
        <w:jc w:val="right"/>
      </w:pPr>
      <w:r>
        <w:rPr>
          <w:rFonts w:ascii="宋体" w:hAnsi="宋体" w:eastAsia="宋体" w:cs="Times New Roman"/>
          <w:kern w:val="2"/>
          <w:position w:val="-14"/>
          <w:sz w:val="21"/>
          <w:szCs w:val="21"/>
          <w:lang w:val="en-US" w:eastAsia="zh-CN" w:bidi="ar-SA"/>
        </w:rPr>
        <w:object>
          <v:shape id="_x0000_i1032" o:spt="75" type="#_x0000_t75" style="height:18pt;width:114pt;" o:ole="t" fillcolor="#FFFFFF" filled="f" o:preferrelative="t" stroked="f" coordsize="21600,21600">
            <v:path/>
            <v:fill on="f" color2="#FFFFFF" focussize="0,0"/>
            <v:stroke on="f"/>
            <v:imagedata r:id="rId68" gain="65536f" blacklevel="0f" gamma="0" o:title=""/>
            <o:lock v:ext="edit" position="f" selection="f" grouping="f" rotation="f" cropping="f" text="f" aspectratio="t"/>
            <w10:wrap type="none"/>
            <w10:anchorlock/>
          </v:shape>
          <o:OLEObject Type="Embed" ProgID="" ShapeID="_x0000_i1032" DrawAspect="Content" ObjectID="_1468075731" r:id="rId67">
            <o:LockedField>false</o:LockedField>
          </o:OLEObject>
        </w:object>
      </w:r>
      <w:r>
        <w:rPr>
          <w:rFonts w:ascii="宋体" w:hAnsi="宋体"/>
        </w:rPr>
        <w:t>…………………………………………</w:t>
      </w:r>
      <w:r>
        <w:rPr>
          <w:rFonts w:hAnsi="宋体"/>
        </w:rPr>
        <w:t>（</w:t>
      </w:r>
      <w:r>
        <w:t>L.1</w:t>
      </w:r>
      <w:r>
        <w:rPr>
          <w:rFonts w:hAnsi="宋体"/>
        </w:rPr>
        <w:t>）</w:t>
      </w:r>
    </w:p>
    <w:p>
      <w:pPr>
        <w:ind w:firstLine="420"/>
      </w:pPr>
      <w:r>
        <w:rPr>
          <w:rFonts w:hAnsi="宋体"/>
        </w:rPr>
        <w:t>式中</w:t>
      </w:r>
      <w:r>
        <w:rPr>
          <w:rFonts w:hint="eastAsia"/>
        </w:rPr>
        <w:t>：</w:t>
      </w:r>
    </w:p>
    <w:p>
      <w:pPr>
        <w:ind w:firstLine="420" w:firstLineChars="200"/>
      </w:pPr>
      <w:r>
        <w:rPr>
          <w:rFonts w:hint="eastAsia"/>
          <w:i/>
        </w:rPr>
        <w:t>EP</w:t>
      </w:r>
      <w:r>
        <w:rPr>
          <w:rFonts w:hint="eastAsia"/>
          <w:i/>
          <w:vertAlign w:val="subscript"/>
        </w:rPr>
        <w:t>i</w:t>
      </w:r>
      <w:r>
        <w:t>—</w:t>
      </w:r>
      <w:r>
        <w:rPr>
          <w:rFonts w:hAnsi="宋体"/>
        </w:rPr>
        <w:t>第</w:t>
      </w:r>
      <w:r>
        <w:rPr>
          <w:i/>
        </w:rPr>
        <w:t>i</w:t>
      </w:r>
      <w:r>
        <w:rPr>
          <w:rFonts w:hAnsi="宋体"/>
        </w:rPr>
        <w:t>种影响类型特征化值；</w:t>
      </w:r>
    </w:p>
    <w:p>
      <w:pPr>
        <w:ind w:firstLine="420" w:firstLineChars="200"/>
      </w:pPr>
      <w:r>
        <w:rPr>
          <w:rFonts w:hint="eastAsia"/>
          <w:i/>
        </w:rPr>
        <w:t>EP</w:t>
      </w:r>
      <w:r>
        <w:rPr>
          <w:rFonts w:hint="eastAsia"/>
          <w:i/>
          <w:vertAlign w:val="subscript"/>
        </w:rPr>
        <w:t>ij</w:t>
      </w:r>
      <w:r>
        <w:t>—</w:t>
      </w:r>
      <w:r>
        <w:rPr>
          <w:rFonts w:hAnsi="宋体"/>
        </w:rPr>
        <w:t>第</w:t>
      </w:r>
      <w:r>
        <w:rPr>
          <w:i/>
        </w:rPr>
        <w:t>i</w:t>
      </w:r>
      <w:r>
        <w:rPr>
          <w:rFonts w:hAnsi="宋体"/>
        </w:rPr>
        <w:t>种影响类型中第</w:t>
      </w:r>
      <w:r>
        <w:rPr>
          <w:i/>
        </w:rPr>
        <w:t>j</w:t>
      </w:r>
      <w:r>
        <w:rPr>
          <w:rFonts w:hAnsi="宋体"/>
        </w:rPr>
        <w:t>种清单因子的贡献；</w:t>
      </w:r>
    </w:p>
    <w:p>
      <w:pPr>
        <w:ind w:firstLine="420" w:firstLineChars="200"/>
        <w:rPr>
          <w:rFonts w:hAnsi="宋体"/>
        </w:rPr>
      </w:pPr>
      <w:r>
        <w:rPr>
          <w:rFonts w:hint="eastAsia"/>
          <w:i/>
        </w:rPr>
        <w:t>Q</w:t>
      </w:r>
      <w:r>
        <w:rPr>
          <w:rFonts w:hint="eastAsia"/>
          <w:i/>
          <w:vertAlign w:val="subscript"/>
        </w:rPr>
        <w:t>j</w:t>
      </w:r>
      <w:r>
        <w:t>—</w:t>
      </w:r>
      <w:r>
        <w:rPr>
          <w:rFonts w:hAnsi="宋体"/>
        </w:rPr>
        <w:t>第</w:t>
      </w:r>
      <w:r>
        <w:rPr>
          <w:i/>
        </w:rPr>
        <w:t>j</w:t>
      </w:r>
      <w:r>
        <w:rPr>
          <w:rFonts w:hAnsi="宋体"/>
        </w:rPr>
        <w:t>种清单因子的排放量；</w:t>
      </w:r>
    </w:p>
    <w:p>
      <w:pPr>
        <w:ind w:firstLine="420" w:firstLineChars="200"/>
        <w:rPr>
          <w:rFonts w:hAnsi="宋体"/>
          <w:color w:val="000000"/>
        </w:rPr>
      </w:pPr>
      <w:r>
        <w:rPr>
          <w:rFonts w:hint="eastAsia"/>
          <w:i/>
          <w:color w:val="000000"/>
        </w:rPr>
        <w:t>EF</w:t>
      </w:r>
      <w:r>
        <w:rPr>
          <w:rFonts w:hint="eastAsia"/>
          <w:i/>
          <w:color w:val="000000"/>
          <w:vertAlign w:val="subscript"/>
        </w:rPr>
        <w:t>ij</w:t>
      </w:r>
      <w:r>
        <w:rPr>
          <w:color w:val="000000"/>
        </w:rPr>
        <w:t>—</w:t>
      </w:r>
      <w:r>
        <w:rPr>
          <w:rFonts w:hAnsi="宋体"/>
          <w:color w:val="000000"/>
        </w:rPr>
        <w:t>第</w:t>
      </w:r>
      <w:r>
        <w:rPr>
          <w:i/>
          <w:color w:val="000000"/>
        </w:rPr>
        <w:t>i</w:t>
      </w:r>
      <w:r>
        <w:rPr>
          <w:rFonts w:hAnsi="宋体"/>
          <w:color w:val="000000"/>
        </w:rPr>
        <w:t>种影响类型中第</w:t>
      </w:r>
      <w:r>
        <w:rPr>
          <w:i/>
          <w:color w:val="000000"/>
        </w:rPr>
        <w:t>j</w:t>
      </w:r>
      <w:r>
        <w:rPr>
          <w:rFonts w:hAnsi="宋体"/>
          <w:color w:val="000000"/>
        </w:rPr>
        <w:t>种清单因子的特征化因子。</w:t>
      </w:r>
      <w:bookmarkEnd w:id="76"/>
      <w:bookmarkStart w:id="109" w:name="_Toc126226146"/>
      <w:bookmarkStart w:id="110" w:name="_Toc126133989"/>
      <w:bookmarkStart w:id="111" w:name="_Toc126667267"/>
      <w:bookmarkStart w:id="112" w:name="_Toc142490400"/>
      <w:bookmarkStart w:id="113" w:name="BookMark6"/>
    </w:p>
    <w:p>
      <w:pPr>
        <w:ind w:firstLine="420" w:firstLineChars="200"/>
        <w:rPr>
          <w:rFonts w:hAnsi="宋体"/>
          <w:color w:val="000000"/>
        </w:rPr>
      </w:pPr>
    </w:p>
    <w:p>
      <w:pPr>
        <w:ind w:firstLine="420" w:firstLineChars="200"/>
        <w:rPr>
          <w:rFonts w:hAnsi="宋体"/>
          <w:color w:val="000000"/>
        </w:rPr>
      </w:pPr>
    </w:p>
    <w:p>
      <w:pPr>
        <w:ind w:firstLine="420" w:firstLineChars="200"/>
        <w:rPr>
          <w:rFonts w:hAnsi="宋体"/>
          <w:color w:val="000000"/>
        </w:rPr>
      </w:pPr>
    </w:p>
    <w:p>
      <w:pPr>
        <w:ind w:firstLine="840" w:firstLineChars="200"/>
      </w:pPr>
      <w:r>
        <w:rPr>
          <w:rFonts w:hint="eastAsia"/>
          <w:spacing w:val="105"/>
        </w:rPr>
        <w:t>参考文</w:t>
      </w:r>
      <w:r>
        <w:rPr>
          <w:rFonts w:hint="eastAsia"/>
        </w:rPr>
        <w:t>献</w:t>
      </w:r>
      <w:bookmarkEnd w:id="109"/>
      <w:bookmarkEnd w:id="110"/>
      <w:bookmarkEnd w:id="111"/>
      <w:bookmarkEnd w:id="112"/>
    </w:p>
    <w:p>
      <w:pPr>
        <w:pStyle w:val="211"/>
        <w:numPr>
          <w:ilvl w:val="1"/>
          <w:numId w:val="0"/>
        </w:numPr>
        <w:tabs>
          <w:tab w:val="clear" w:pos="840"/>
          <w:tab w:val="clear" w:pos="1260"/>
        </w:tabs>
      </w:pPr>
      <w:bookmarkStart w:id="114" w:name="_Hlk126666639"/>
      <w:r>
        <w:rPr>
          <w:rFonts w:hint="eastAsia" w:ascii="Times New Roman"/>
          <w:kern w:val="2"/>
          <w:szCs w:val="21"/>
        </w:rPr>
        <w:t>[1]</w:t>
      </w:r>
      <w:bookmarkEnd w:id="114"/>
      <w:r>
        <w:t xml:space="preserve">IATF 16949 </w:t>
      </w:r>
      <w:r>
        <w:rPr>
          <w:rFonts w:hint="eastAsia"/>
        </w:rPr>
        <w:t>汽车生产件及相关服务件组织质量管理体系要求（</w:t>
      </w:r>
      <w:r>
        <w:t>Quality management system requirements for automotive production and relevant service parts organizations</w:t>
      </w:r>
      <w:r>
        <w:rPr>
          <w:rFonts w:hint="eastAsia"/>
        </w:rPr>
        <w:t>）</w:t>
      </w:r>
    </w:p>
    <w:p>
      <w:pPr>
        <w:rPr>
          <w:rFonts w:ascii="宋体" w:hAnsi="宋体"/>
          <w:kern w:val="0"/>
        </w:rPr>
      </w:pPr>
      <w:bookmarkStart w:id="115" w:name="_Hlk126666652"/>
      <w:r>
        <w:rPr>
          <w:rFonts w:hint="eastAsia"/>
        </w:rPr>
        <w:t>[2]</w:t>
      </w:r>
      <w:bookmarkEnd w:id="115"/>
      <w:r>
        <w:rPr>
          <w:rFonts w:hint="eastAsia" w:ascii="宋体" w:hAnsi="宋体"/>
          <w:kern w:val="0"/>
        </w:rPr>
        <w:t>《企业环境信息依法披露管理办法》</w:t>
      </w:r>
    </w:p>
    <w:p>
      <w:pPr>
        <w:jc w:val="left"/>
      </w:pPr>
      <w:r>
        <w:rPr>
          <w:rFonts w:hint="eastAsia"/>
        </w:rPr>
        <w:t>[</w:t>
      </w:r>
      <w:r>
        <w:t>3</w:t>
      </w:r>
      <w:r>
        <w:rPr>
          <w:rFonts w:hint="eastAsia"/>
        </w:rPr>
        <w:t>]</w:t>
      </w:r>
      <w:r>
        <w:t xml:space="preserve"> </w:t>
      </w:r>
      <w:r>
        <w:rPr>
          <w:rFonts w:hint="eastAsia"/>
        </w:rPr>
        <w:t>《危险化学品安全管理条例》</w:t>
      </w:r>
    </w:p>
    <w:bookmarkEnd w:id="113"/>
    <w:p>
      <w:pPr>
        <w:pStyle w:val="41"/>
        <w:ind w:firstLine="0" w:firstLineChars="0"/>
        <w:jc w:val="center"/>
      </w:pPr>
      <w:bookmarkStart w:id="116" w:name="BookMark8"/>
      <w:r>
        <w:rPr>
          <w:rFonts w:hint="eastAsia" w:ascii="宋体" w:hAnsi="Times New Roman" w:eastAsia="宋体" w:cs="Times New Roman"/>
          <w:sz w:val="21"/>
          <w:lang w:val="en-US" w:eastAsia="zh-CN" w:bidi="ar-SA"/>
        </w:rPr>
        <w:pict>
          <v:shape id="_x0000_i1033" o:spt="75" type="#_x0000_t75" style="height:25pt;width:117pt;" fillcolor="#FFFFFF" filled="f" o:preferrelative="t" stroked="f" coordsize="21600,21600">
            <v:path/>
            <v:fill on="f" color2="#FFFFFF" focussize="0,0"/>
            <v:stroke on="f"/>
            <v:imagedata r:id="rId69" gain="65536f" blacklevel="0f" gamma="0" o:title=""/>
            <o:lock v:ext="edit" position="f" selection="f" grouping="f" rotation="f" cropping="f" text="f" aspectratio="t"/>
            <w10:wrap type="none"/>
            <w10:anchorlock/>
          </v:shape>
        </w:pict>
      </w:r>
      <w:bookmarkEnd w:id="116"/>
    </w:p>
    <w:sectPr>
      <w:headerReference r:id="rId49" w:type="default"/>
      <w:footerReference r:id="rId51" w:type="default"/>
      <w:headerReference r:id="rId50" w:type="even"/>
      <w:footerReference r:id="rId52" w:type="even"/>
      <w:pgSz w:w="11906" w:h="16838"/>
      <w:pgMar w:top="1928" w:right="1134" w:bottom="1134" w:left="1134" w:header="1418" w:footer="1134" w:gutter="284"/>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14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14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16</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19</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18</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19</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21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22</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23</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22</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25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32D00"/>
    <w:multiLevelType w:val="multilevel"/>
    <w:tmpl w:val="8B232D00"/>
    <w:lvl w:ilvl="0" w:tentative="0">
      <w:start w:val="1"/>
      <w:numFmt w:val="lowerLetter"/>
      <w:pStyle w:val="21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11"/>
      <w:lvlText w:val="%2)"/>
      <w:lvlJc w:val="left"/>
      <w:pPr>
        <w:tabs>
          <w:tab w:val="left" w:pos="1260"/>
        </w:tabs>
        <w:ind w:left="1259" w:hanging="419"/>
      </w:pPr>
      <w:rPr>
        <w:rFonts w:hint="eastAsia"/>
      </w:rPr>
    </w:lvl>
    <w:lvl w:ilvl="2" w:tentative="0">
      <w:start w:val="1"/>
      <w:numFmt w:val="decimal"/>
      <w:pStyle w:val="21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4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37"/>
      <w:suff w:val="nothing"/>
      <w:lvlText w:val="%1%2.%3　"/>
      <w:lvlJc w:val="left"/>
      <w:pPr>
        <w:ind w:left="0" w:firstLine="0"/>
      </w:pPr>
    </w:lvl>
    <w:lvl w:ilvl="3" w:tentative="0">
      <w:start w:val="1"/>
      <w:numFmt w:val="decimal"/>
      <w:pStyle w:val="98"/>
      <w:suff w:val="nothing"/>
      <w:lvlText w:val="%1%2.%3.%4　"/>
      <w:lvlJc w:val="left"/>
      <w:pPr>
        <w:ind w:left="0" w:firstLine="0"/>
      </w:pPr>
    </w:lvl>
    <w:lvl w:ilvl="4" w:tentative="0">
      <w:start w:val="1"/>
      <w:numFmt w:val="decimal"/>
      <w:pStyle w:val="131"/>
      <w:suff w:val="nothing"/>
      <w:lvlText w:val="%1%2.%3.%4.%5　"/>
      <w:lvlJc w:val="left"/>
      <w:pPr>
        <w:ind w:left="0" w:firstLine="0"/>
      </w:pPr>
    </w:lvl>
    <w:lvl w:ilvl="5" w:tentative="0">
      <w:start w:val="1"/>
      <w:numFmt w:val="decimal"/>
      <w:pStyle w:val="133"/>
      <w:suff w:val="nothing"/>
      <w:lvlText w:val="%1%2.%3.%4.%5.%6　"/>
      <w:lvlJc w:val="left"/>
      <w:pPr>
        <w:ind w:left="0" w:firstLine="0"/>
      </w:pPr>
    </w:lvl>
    <w:lvl w:ilvl="6" w:tentative="0">
      <w:start w:val="1"/>
      <w:numFmt w:val="decimal"/>
      <w:pStyle w:val="13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5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72"/>
      <w:lvlText w:val="%1"/>
      <w:lvlJc w:val="left"/>
      <w:pPr>
        <w:ind w:left="425" w:hanging="425"/>
      </w:pPr>
      <w:rPr>
        <w:rFonts w:hint="eastAsia"/>
      </w:rPr>
    </w:lvl>
    <w:lvl w:ilvl="1" w:tentative="0">
      <w:start w:val="1"/>
      <w:numFmt w:val="decimal"/>
      <w:pStyle w:val="175"/>
      <w:suff w:val="nothing"/>
      <w:lvlText w:val="%10.%2 "/>
      <w:lvlJc w:val="left"/>
      <w:pPr>
        <w:ind w:left="0" w:firstLine="0"/>
      </w:pPr>
      <w:rPr>
        <w:rFonts w:hint="eastAsia" w:ascii="黑体" w:hAnsi="等线" w:eastAsia="黑体"/>
        <w:b w:val="0"/>
        <w:i w:val="0"/>
        <w:sz w:val="21"/>
      </w:rPr>
    </w:lvl>
    <w:lvl w:ilvl="2" w:tentative="0">
      <w:start w:val="1"/>
      <w:numFmt w:val="decimal"/>
      <w:pStyle w:val="176"/>
      <w:suff w:val="nothing"/>
      <w:lvlText w:val="%10.%2.%3 "/>
      <w:lvlJc w:val="left"/>
      <w:pPr>
        <w:ind w:left="0" w:firstLine="0"/>
      </w:pPr>
      <w:rPr>
        <w:rFonts w:hint="eastAsia" w:ascii="黑体" w:hAnsi="等线" w:eastAsia="黑体"/>
        <w:b w:val="0"/>
        <w:i w:val="0"/>
        <w:sz w:val="21"/>
      </w:rPr>
    </w:lvl>
    <w:lvl w:ilvl="3" w:tentative="0">
      <w:start w:val="1"/>
      <w:numFmt w:val="decimal"/>
      <w:pStyle w:val="177"/>
      <w:suff w:val="nothing"/>
      <w:lvlText w:val="%10.%2.%3.%4 "/>
      <w:lvlJc w:val="left"/>
      <w:pPr>
        <w:ind w:left="0" w:firstLine="0"/>
      </w:pPr>
      <w:rPr>
        <w:rFonts w:hint="eastAsia" w:ascii="黑体" w:hAnsi="等线" w:eastAsia="黑体"/>
        <w:b w:val="0"/>
        <w:i w:val="0"/>
        <w:sz w:val="21"/>
      </w:rPr>
    </w:lvl>
    <w:lvl w:ilvl="4" w:tentative="0">
      <w:start w:val="1"/>
      <w:numFmt w:val="decimal"/>
      <w:pStyle w:val="178"/>
      <w:suff w:val="nothing"/>
      <w:lvlText w:val="%10.%2.%3.%4.%5 "/>
      <w:lvlJc w:val="left"/>
      <w:pPr>
        <w:ind w:left="0" w:firstLine="0"/>
      </w:pPr>
      <w:rPr>
        <w:rFonts w:hint="eastAsia" w:ascii="黑体" w:hAnsi="等线" w:eastAsia="黑体"/>
        <w:b w:val="0"/>
        <w:i w:val="0"/>
        <w:sz w:val="21"/>
      </w:rPr>
    </w:lvl>
    <w:lvl w:ilvl="5" w:tentative="0">
      <w:start w:val="1"/>
      <w:numFmt w:val="decimal"/>
      <w:pStyle w:val="179"/>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5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5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4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9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6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7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0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pStyle w:val="207"/>
      <w:suff w:val="nothing"/>
      <w:lvlText w:val="%1.%2.%3　"/>
      <w:lvlJc w:val="left"/>
      <w:pPr>
        <w:ind w:left="0" w:firstLine="0"/>
      </w:pPr>
      <w:rPr>
        <w:rFonts w:hint="eastAsia" w:ascii="黑体" w:hAnsi="Times New Roman" w:eastAsia="黑体"/>
        <w:b w:val="0"/>
        <w:i w:val="0"/>
        <w:sz w:val="21"/>
      </w:rPr>
    </w:lvl>
    <w:lvl w:ilvl="3" w:tentative="0">
      <w:start w:val="1"/>
      <w:numFmt w:val="decimal"/>
      <w:pStyle w:val="208"/>
      <w:suff w:val="nothing"/>
      <w:lvlText w:val="%1.%2.%3.%4　"/>
      <w:lvlJc w:val="left"/>
      <w:pPr>
        <w:ind w:left="0" w:firstLine="0"/>
      </w:pPr>
      <w:rPr>
        <w:rFonts w:hint="eastAsia" w:ascii="黑体" w:hAnsi="Times New Roman" w:eastAsia="黑体"/>
        <w:b w:val="0"/>
        <w:i w:val="0"/>
        <w:sz w:val="21"/>
      </w:rPr>
    </w:lvl>
    <w:lvl w:ilvl="4" w:tentative="0">
      <w:start w:val="1"/>
      <w:numFmt w:val="decimal"/>
      <w:pStyle w:val="209"/>
      <w:suff w:val="nothing"/>
      <w:lvlText w:val="%1.%2.%3.%4.%5　"/>
      <w:lvlJc w:val="left"/>
      <w:pPr>
        <w:ind w:left="0" w:firstLine="0"/>
      </w:pPr>
      <w:rPr>
        <w:rFonts w:hint="eastAsia" w:ascii="黑体" w:hAnsi="Times New Roman" w:eastAsia="黑体"/>
        <w:b w:val="0"/>
        <w:i w:val="0"/>
        <w:sz w:val="21"/>
      </w:rPr>
    </w:lvl>
    <w:lvl w:ilvl="5" w:tentative="0">
      <w:start w:val="1"/>
      <w:numFmt w:val="decimal"/>
      <w:pStyle w:val="2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A8F7113"/>
    <w:multiLevelType w:val="multilevel"/>
    <w:tmpl w:val="2A8F7113"/>
    <w:lvl w:ilvl="0" w:tentative="0">
      <w:start w:val="1"/>
      <w:numFmt w:val="upperLetter"/>
      <w:pStyle w:val="226"/>
      <w:suff w:val="space"/>
      <w:lvlText w:val="%1"/>
      <w:lvlJc w:val="left"/>
      <w:pPr>
        <w:ind w:left="623" w:hanging="425"/>
      </w:pPr>
      <w:rPr>
        <w:rFonts w:hint="eastAsia"/>
      </w:rPr>
    </w:lvl>
    <w:lvl w:ilvl="1" w:tentative="0">
      <w:start w:val="1"/>
      <w:numFmt w:val="decimal"/>
      <w:pStyle w:val="22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11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3"/>
      <w:lvlText w:val=""/>
      <w:lvlJc w:val="left"/>
      <w:pPr>
        <w:ind w:left="851" w:hanging="431"/>
      </w:pPr>
      <w:rPr>
        <w:rFonts w:hint="default" w:ascii="Symbol" w:hAnsi="Symbol"/>
        <w:sz w:val="21"/>
      </w:rPr>
    </w:lvl>
    <w:lvl w:ilvl="2" w:tentative="0">
      <w:start w:val="1"/>
      <w:numFmt w:val="bullet"/>
      <w:pStyle w:val="15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82"/>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52"/>
      <w:lvlText w:val="%1)"/>
      <w:lvlJc w:val="left"/>
      <w:pPr>
        <w:tabs>
          <w:tab w:val="left" w:pos="851"/>
        </w:tabs>
        <w:ind w:left="851" w:hanging="426"/>
      </w:pPr>
      <w:rPr>
        <w:rFonts w:hint="eastAsia" w:ascii="宋体" w:hAnsi="Times New Roman" w:eastAsia="宋体"/>
        <w:sz w:val="21"/>
      </w:rPr>
    </w:lvl>
    <w:lvl w:ilvl="1" w:tentative="0">
      <w:start w:val="1"/>
      <w:numFmt w:val="decimal"/>
      <w:pStyle w:val="89"/>
      <w:lvlText w:val="%2)"/>
      <w:lvlJc w:val="left"/>
      <w:pPr>
        <w:tabs>
          <w:tab w:val="left" w:pos="1276"/>
        </w:tabs>
        <w:ind w:left="1276" w:hanging="425"/>
      </w:pPr>
      <w:rPr>
        <w:rFonts w:hint="eastAsia" w:ascii="宋体" w:hAnsi="Times New Roman" w:eastAsia="宋体"/>
        <w:sz w:val="21"/>
      </w:rPr>
    </w:lvl>
    <w:lvl w:ilvl="2" w:tentative="0">
      <w:start w:val="1"/>
      <w:numFmt w:val="decimal"/>
      <w:pStyle w:val="9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73"/>
      <w:lvlText w:val="%1"/>
      <w:lvlJc w:val="left"/>
      <w:pPr>
        <w:ind w:left="420" w:hanging="420"/>
      </w:pPr>
      <w:rPr>
        <w:rFonts w:hint="eastAsia"/>
      </w:rPr>
    </w:lvl>
    <w:lvl w:ilvl="1" w:tentative="0">
      <w:start w:val="1"/>
      <w:numFmt w:val="decimal"/>
      <w:pStyle w:val="6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6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9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7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9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174"/>
      <w:suff w:val="space"/>
      <w:lvlText w:val="%1"/>
      <w:lvlJc w:val="left"/>
      <w:pPr>
        <w:ind w:left="425" w:hanging="425"/>
      </w:pPr>
      <w:rPr>
        <w:rFonts w:hint="eastAsia"/>
      </w:rPr>
    </w:lvl>
    <w:lvl w:ilvl="1" w:tentative="0">
      <w:start w:val="1"/>
      <w:numFmt w:val="decimal"/>
      <w:pStyle w:val="6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9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B55DC2"/>
    <w:multiLevelType w:val="multilevel"/>
    <w:tmpl w:val="60B55DC2"/>
    <w:lvl w:ilvl="0" w:tentative="0">
      <w:start w:val="1"/>
      <w:numFmt w:val="upperLetter"/>
      <w:pStyle w:val="223"/>
      <w:lvlText w:val="%1"/>
      <w:lvlJc w:val="left"/>
      <w:pPr>
        <w:tabs>
          <w:tab w:val="left" w:pos="0"/>
        </w:tabs>
        <w:ind w:left="0" w:hanging="425"/>
      </w:pPr>
      <w:rPr>
        <w:rFonts w:hint="eastAsia"/>
      </w:rPr>
    </w:lvl>
    <w:lvl w:ilvl="1" w:tentative="0">
      <w:start w:val="1"/>
      <w:numFmt w:val="decimal"/>
      <w:pStyle w:val="2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tentative="0">
      <w:start w:val="1"/>
      <w:numFmt w:val="upperRoman"/>
      <w:pStyle w:val="14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9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65"/>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60"/>
      <w:suff w:val="nothing"/>
      <w:lvlText w:val="附录%1"/>
      <w:lvlJc w:val="left"/>
      <w:pPr>
        <w:ind w:left="0" w:firstLine="0"/>
      </w:pPr>
      <w:rPr>
        <w:rFonts w:hint="eastAsia"/>
        <w:spacing w:val="100"/>
      </w:rPr>
    </w:lvl>
    <w:lvl w:ilvl="1" w:tentative="0">
      <w:start w:val="1"/>
      <w:numFmt w:val="decimal"/>
      <w:pStyle w:val="62"/>
      <w:suff w:val="nothing"/>
      <w:lvlText w:val="%1.%2　"/>
      <w:lvlJc w:val="left"/>
      <w:pPr>
        <w:ind w:left="0" w:firstLine="0"/>
      </w:pPr>
      <w:rPr>
        <w:rFonts w:hint="eastAsia" w:ascii="黑体" w:eastAsia="黑体"/>
        <w:b w:val="0"/>
        <w:i w:val="0"/>
        <w:sz w:val="21"/>
      </w:rPr>
    </w:lvl>
    <w:lvl w:ilvl="2" w:tentative="0">
      <w:start w:val="1"/>
      <w:numFmt w:val="decimal"/>
      <w:pStyle w:val="63"/>
      <w:suff w:val="nothing"/>
      <w:lvlText w:val="%1.%2.%3　"/>
      <w:lvlJc w:val="left"/>
      <w:pPr>
        <w:ind w:left="0" w:firstLine="0"/>
      </w:pPr>
      <w:rPr>
        <w:rFonts w:hint="eastAsia" w:ascii="黑体" w:eastAsia="黑体"/>
        <w:b w:val="0"/>
        <w:i w:val="0"/>
        <w:sz w:val="21"/>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66"/>
      <w:suff w:val="nothing"/>
      <w:lvlText w:val="%1.%2.%3.%4.%5　"/>
      <w:lvlJc w:val="left"/>
      <w:pPr>
        <w:ind w:left="0" w:firstLine="0"/>
      </w:pPr>
      <w:rPr>
        <w:rFonts w:hint="eastAsia" w:ascii="黑体" w:eastAsia="黑体"/>
        <w:b w:val="0"/>
        <w:i w:val="0"/>
        <w:sz w:val="21"/>
      </w:rPr>
    </w:lvl>
    <w:lvl w:ilvl="5" w:tentative="0">
      <w:start w:val="1"/>
      <w:numFmt w:val="decimal"/>
      <w:pStyle w:val="6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6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7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5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30"/>
      <w:suff w:val="nothing"/>
      <w:lvlText w:val="%1"/>
      <w:lvlJc w:val="left"/>
      <w:pPr>
        <w:ind w:left="0" w:firstLine="0"/>
      </w:pPr>
      <w:rPr>
        <w:rFonts w:hint="eastAsia"/>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50"/>
      <w:suff w:val="nothing"/>
      <w:lvlText w:val="%1%2.%3.%4　"/>
      <w:lvlJc w:val="left"/>
      <w:pPr>
        <w:ind w:left="0" w:firstLine="0"/>
      </w:pPr>
      <w:rPr>
        <w:rFonts w:hint="eastAsia" w:ascii="黑体" w:eastAsia="黑体"/>
        <w:b w:val="0"/>
        <w:i w:val="0"/>
        <w:sz w:val="21"/>
      </w:rPr>
    </w:lvl>
    <w:lvl w:ilvl="4" w:tentative="0">
      <w:start w:val="1"/>
      <w:numFmt w:val="decimal"/>
      <w:pStyle w:val="77"/>
      <w:suff w:val="nothing"/>
      <w:lvlText w:val="%1%2.%3.%4.%5　"/>
      <w:lvlJc w:val="left"/>
      <w:pPr>
        <w:ind w:left="0" w:firstLine="0"/>
      </w:pPr>
      <w:rPr>
        <w:rFonts w:hint="eastAsia" w:ascii="黑体" w:eastAsia="黑体"/>
        <w:b w:val="0"/>
        <w:i w:val="0"/>
        <w:sz w:val="21"/>
      </w:rPr>
    </w:lvl>
    <w:lvl w:ilvl="5" w:tentative="0">
      <w:start w:val="1"/>
      <w:numFmt w:val="decimal"/>
      <w:pStyle w:val="80"/>
      <w:suff w:val="nothing"/>
      <w:lvlText w:val="%1%2.%3.%4.%5.%6　"/>
      <w:lvlJc w:val="left"/>
      <w:pPr>
        <w:ind w:left="0" w:firstLine="0"/>
      </w:pPr>
      <w:rPr>
        <w:rFonts w:hint="eastAsia" w:ascii="黑体" w:eastAsia="黑体"/>
        <w:b w:val="0"/>
        <w:i w:val="0"/>
        <w:sz w:val="21"/>
      </w:rPr>
    </w:lvl>
    <w:lvl w:ilvl="6" w:tentative="0">
      <w:start w:val="1"/>
      <w:numFmt w:val="decimal"/>
      <w:pStyle w:val="8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5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9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1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7"/>
  </w:num>
  <w:num w:numId="5">
    <w:abstractNumId w:val="21"/>
  </w:num>
  <w:num w:numId="6">
    <w:abstractNumId w:val="16"/>
  </w:num>
  <w:num w:numId="7">
    <w:abstractNumId w:val="9"/>
  </w:num>
  <w:num w:numId="8">
    <w:abstractNumId w:val="4"/>
  </w:num>
  <w:num w:numId="9">
    <w:abstractNumId w:val="10"/>
  </w:num>
  <w:num w:numId="10">
    <w:abstractNumId w:val="19"/>
  </w:num>
  <w:num w:numId="11">
    <w:abstractNumId w:val="29"/>
  </w:num>
  <w:num w:numId="12">
    <w:abstractNumId w:val="14"/>
  </w:num>
  <w:num w:numId="13">
    <w:abstractNumId w:val="15"/>
  </w:num>
  <w:num w:numId="14">
    <w:abstractNumId w:val="8"/>
  </w:num>
  <w:num w:numId="15">
    <w:abstractNumId w:val="22"/>
  </w:num>
  <w:num w:numId="16">
    <w:abstractNumId w:val="25"/>
  </w:num>
  <w:num w:numId="17">
    <w:abstractNumId w:val="20"/>
  </w:num>
  <w:num w:numId="18">
    <w:abstractNumId w:val="33"/>
  </w:num>
  <w:num w:numId="19">
    <w:abstractNumId w:val="18"/>
  </w:num>
  <w:num w:numId="20">
    <w:abstractNumId w:val="2"/>
  </w:num>
  <w:num w:numId="21">
    <w:abstractNumId w:val="13"/>
  </w:num>
  <w:num w:numId="22">
    <w:abstractNumId w:val="34"/>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7"/>
  </w:num>
  <w:num w:numId="30">
    <w:abstractNumId w:val="28"/>
  </w:num>
  <w:num w:numId="31">
    <w:abstractNumId w:val="26"/>
  </w:num>
  <w:num w:numId="32">
    <w:abstractNumId w:val="11"/>
  </w:num>
  <w:num w:numId="33">
    <w:abstractNumId w:val="0"/>
  </w:num>
  <w:num w:numId="34">
    <w:abstractNumId w:val="23"/>
  </w:num>
  <w:num w:numId="35">
    <w:abstractNumId w:val="12"/>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Zf8TTlilHHjhnMG24ANtzqRyUPKpPhCJx39WqJF8U7ZJ41cUdIDyFuwF1XDgD5Q00zFYu4rUgIoAvVeJZ2QR5g==" w:salt="FVIjqP8cp2QdJC0yP1DPuw=="/>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52741D7B"/>
    <w:rsid w:val="5BEB2F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0"/>
    <w:qFormat/>
    <w:uiPriority w:val="0"/>
    <w:pPr>
      <w:keepNext/>
      <w:keepLines/>
      <w:spacing w:before="260" w:after="260" w:line="416" w:lineRule="auto"/>
      <w:outlineLvl w:val="2"/>
    </w:pPr>
    <w:rPr>
      <w:b/>
      <w:bCs/>
      <w:sz w:val="32"/>
      <w:szCs w:val="32"/>
    </w:rPr>
  </w:style>
  <w:style w:type="paragraph" w:styleId="5">
    <w:name w:val="heading 4"/>
    <w:basedOn w:val="1"/>
    <w:next w:val="1"/>
    <w:link w:val="23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3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3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3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3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36"/>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26">
    <w:name w:val="Normal Table"/>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243"/>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239"/>
    <w:unhideWhenUsed/>
    <w:qFormat/>
    <w:uiPriority w:val="99"/>
    <w:rPr>
      <w:sz w:val="18"/>
      <w:szCs w:val="18"/>
    </w:rPr>
  </w:style>
  <w:style w:type="paragraph" w:styleId="17">
    <w:name w:val="footer"/>
    <w:basedOn w:val="1"/>
    <w:link w:val="238"/>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237"/>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24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241"/>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rPr>
  </w:style>
  <w:style w:type="character" w:styleId="32">
    <w:name w:val="footnote reference"/>
    <w:semiHidden/>
    <w:qFormat/>
    <w:uiPriority w:val="0"/>
    <w:rPr>
      <w:rFonts w:ascii="宋体" w:hAnsi="宋体" w:eastAsia="宋体" w:cs="Times New Roman"/>
      <w:spacing w:val="0"/>
      <w:sz w:val="18"/>
      <w:vertAlign w:val="superscript"/>
    </w:rPr>
  </w:style>
  <w:style w:type="paragraph" w:customStyle="1" w:styleId="33">
    <w:name w:val="引用1"/>
    <w:basedOn w:val="1"/>
    <w:next w:val="1"/>
    <w:link w:val="240"/>
    <w:qFormat/>
    <w:uiPriority w:val="29"/>
    <w:rPr>
      <w:i/>
      <w:iCs/>
      <w:color w:val="000000"/>
    </w:rPr>
  </w:style>
  <w:style w:type="paragraph" w:customStyle="1" w:styleId="3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3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标准文件_ICS"/>
    <w:basedOn w:val="1"/>
    <w:qFormat/>
    <w:uiPriority w:val="0"/>
    <w:pPr>
      <w:spacing w:line="0" w:lineRule="atLeast"/>
    </w:pPr>
    <w:rPr>
      <w:rFonts w:ascii="黑体" w:hAnsi="宋体" w:eastAsia="黑体"/>
    </w:rPr>
  </w:style>
  <w:style w:type="paragraph" w:customStyle="1" w:styleId="40">
    <w:name w:val="标准文件_标准正文"/>
    <w:basedOn w:val="1"/>
    <w:next w:val="41"/>
    <w:qFormat/>
    <w:uiPriority w:val="0"/>
    <w:pPr>
      <w:snapToGrid w:val="0"/>
      <w:ind w:firstLine="200" w:firstLineChars="200"/>
    </w:pPr>
    <w:rPr>
      <w:kern w:val="0"/>
    </w:rPr>
  </w:style>
  <w:style w:type="paragraph" w:customStyle="1" w:styleId="41">
    <w:name w:val="标准文件_段"/>
    <w:link w:val="2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标准文件_版本"/>
    <w:basedOn w:val="40"/>
    <w:qFormat/>
    <w:uiPriority w:val="0"/>
    <w:pPr>
      <w:adjustRightInd/>
      <w:snapToGrid/>
      <w:ind w:firstLine="0" w:firstLineChars="0"/>
    </w:pPr>
    <w:rPr>
      <w:rFonts w:ascii="宋体" w:hAnsi="宋体"/>
      <w:kern w:val="2"/>
    </w:rPr>
  </w:style>
  <w:style w:type="paragraph" w:customStyle="1" w:styleId="43">
    <w:name w:val="标准文件_标准部门"/>
    <w:basedOn w:val="1"/>
    <w:qFormat/>
    <w:uiPriority w:val="0"/>
    <w:pPr>
      <w:jc w:val="center"/>
    </w:pPr>
    <w:rPr>
      <w:rFonts w:ascii="黑体" w:eastAsia="黑体"/>
      <w:kern w:val="0"/>
      <w:sz w:val="44"/>
    </w:rPr>
  </w:style>
  <w:style w:type="paragraph" w:customStyle="1" w:styleId="44">
    <w:name w:val="标准文件_标准代替"/>
    <w:basedOn w:val="1"/>
    <w:next w:val="1"/>
    <w:qFormat/>
    <w:uiPriority w:val="0"/>
    <w:pPr>
      <w:spacing w:line="310" w:lineRule="exact"/>
      <w:jc w:val="right"/>
    </w:pPr>
    <w:rPr>
      <w:rFonts w:ascii="宋体" w:hAnsi="宋体"/>
      <w:kern w:val="0"/>
    </w:rPr>
  </w:style>
  <w:style w:type="paragraph" w:customStyle="1" w:styleId="4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4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7">
    <w:name w:val="标准文件_页眉偶数页"/>
    <w:basedOn w:val="46"/>
    <w:next w:val="1"/>
    <w:qFormat/>
    <w:uiPriority w:val="0"/>
    <w:pPr>
      <w:jc w:val="left"/>
    </w:pPr>
  </w:style>
  <w:style w:type="paragraph" w:customStyle="1" w:styleId="48">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4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0">
    <w:name w:val="标准文件_二级条标题"/>
    <w:next w:val="4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51">
    <w:name w:val="标准文件_方框数字列项"/>
    <w:basedOn w:val="41"/>
    <w:qFormat/>
    <w:uiPriority w:val="0"/>
    <w:pPr>
      <w:numPr>
        <w:ilvl w:val="0"/>
        <w:numId w:val="3"/>
      </w:numPr>
      <w:ind w:firstLine="0" w:firstLineChars="0"/>
    </w:pPr>
  </w:style>
  <w:style w:type="paragraph" w:customStyle="1" w:styleId="52">
    <w:name w:val="标准文件_封面标准编号"/>
    <w:basedOn w:val="1"/>
    <w:next w:val="44"/>
    <w:qFormat/>
    <w:uiPriority w:val="0"/>
    <w:pPr>
      <w:spacing w:line="310" w:lineRule="exact"/>
      <w:jc w:val="right"/>
    </w:pPr>
    <w:rPr>
      <w:rFonts w:ascii="黑体" w:eastAsia="黑体"/>
      <w:kern w:val="0"/>
      <w:sz w:val="28"/>
    </w:rPr>
  </w:style>
  <w:style w:type="paragraph" w:customStyle="1" w:styleId="53">
    <w:name w:val="标准文件_封面标准分类号"/>
    <w:basedOn w:val="1"/>
    <w:qFormat/>
    <w:uiPriority w:val="0"/>
    <w:rPr>
      <w:rFonts w:ascii="黑体" w:eastAsia="黑体"/>
      <w:b/>
      <w:kern w:val="0"/>
      <w:sz w:val="28"/>
    </w:rPr>
  </w:style>
  <w:style w:type="paragraph" w:customStyle="1" w:styleId="54">
    <w:name w:val="标准文件_封面标准名称"/>
    <w:basedOn w:val="1"/>
    <w:qFormat/>
    <w:uiPriority w:val="0"/>
    <w:pPr>
      <w:spacing w:line="240" w:lineRule="auto"/>
      <w:jc w:val="center"/>
    </w:pPr>
    <w:rPr>
      <w:rFonts w:ascii="黑体" w:eastAsia="黑体"/>
      <w:kern w:val="0"/>
      <w:sz w:val="52"/>
    </w:rPr>
  </w:style>
  <w:style w:type="paragraph" w:customStyle="1" w:styleId="55">
    <w:name w:val="标准文件_封面标准英文名称"/>
    <w:basedOn w:val="1"/>
    <w:qFormat/>
    <w:uiPriority w:val="0"/>
    <w:pPr>
      <w:spacing w:line="240" w:lineRule="auto"/>
      <w:jc w:val="center"/>
    </w:pPr>
    <w:rPr>
      <w:rFonts w:ascii="黑体" w:eastAsia="黑体"/>
      <w:b/>
      <w:sz w:val="28"/>
    </w:rPr>
  </w:style>
  <w:style w:type="paragraph" w:customStyle="1" w:styleId="56">
    <w:name w:val="标准文件_封面发布日期"/>
    <w:basedOn w:val="1"/>
    <w:qFormat/>
    <w:uiPriority w:val="0"/>
    <w:pPr>
      <w:spacing w:line="310" w:lineRule="exact"/>
    </w:pPr>
    <w:rPr>
      <w:rFonts w:ascii="黑体" w:eastAsia="黑体"/>
      <w:kern w:val="0"/>
      <w:sz w:val="28"/>
    </w:rPr>
  </w:style>
  <w:style w:type="paragraph" w:customStyle="1" w:styleId="57">
    <w:name w:val="标准文件_封面密级"/>
    <w:basedOn w:val="1"/>
    <w:qFormat/>
    <w:uiPriority w:val="0"/>
    <w:rPr>
      <w:rFonts w:eastAsia="黑体"/>
      <w:sz w:val="32"/>
    </w:rPr>
  </w:style>
  <w:style w:type="paragraph" w:customStyle="1" w:styleId="58">
    <w:name w:val="标准文件_封面实施日期"/>
    <w:basedOn w:val="1"/>
    <w:qFormat/>
    <w:uiPriority w:val="0"/>
    <w:pPr>
      <w:spacing w:line="310" w:lineRule="exact"/>
      <w:jc w:val="right"/>
    </w:pPr>
    <w:rPr>
      <w:rFonts w:ascii="黑体" w:eastAsia="黑体"/>
      <w:sz w:val="28"/>
    </w:rPr>
  </w:style>
  <w:style w:type="paragraph" w:customStyle="1" w:styleId="59">
    <w:name w:val="标准文件_封面抬头"/>
    <w:basedOn w:val="41"/>
    <w:qFormat/>
    <w:uiPriority w:val="0"/>
    <w:pPr>
      <w:adjustRightInd w:val="0"/>
      <w:spacing w:line="800" w:lineRule="exact"/>
      <w:ind w:firstLine="0" w:firstLineChars="0"/>
      <w:jc w:val="distribute"/>
    </w:pPr>
    <w:rPr>
      <w:rFonts w:ascii="黑体" w:eastAsia="黑体"/>
      <w:b/>
      <w:sz w:val="64"/>
    </w:rPr>
  </w:style>
  <w:style w:type="paragraph" w:customStyle="1" w:styleId="60">
    <w:name w:val="标准文件_附录标识"/>
    <w:next w:val="41"/>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61">
    <w:name w:val="标准文件_附录表标题"/>
    <w:next w:val="41"/>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62">
    <w:name w:val="标准文件_附录一级条标题"/>
    <w:next w:val="4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63">
    <w:name w:val="标准文件_附录二级条标题"/>
    <w:basedOn w:val="62"/>
    <w:next w:val="41"/>
    <w:qFormat/>
    <w:uiPriority w:val="0"/>
    <w:pPr>
      <w:widowControl/>
      <w:numPr>
        <w:ilvl w:val="2"/>
        <w:numId w:val="4"/>
      </w:numPr>
      <w:wordWrap w:val="0"/>
      <w:overflowPunct w:val="0"/>
      <w:autoSpaceDE w:val="0"/>
      <w:autoSpaceDN w:val="0"/>
      <w:textAlignment w:val="baseline"/>
      <w:outlineLvl w:val="3"/>
    </w:pPr>
  </w:style>
  <w:style w:type="paragraph" w:customStyle="1" w:styleId="64">
    <w:name w:val="标准文件_附录公式"/>
    <w:basedOn w:val="40"/>
    <w:next w:val="4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65">
    <w:name w:val="标准文件_附录三级条标题"/>
    <w:next w:val="4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66">
    <w:name w:val="标准文件_附录四级条标题"/>
    <w:next w:val="4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67">
    <w:name w:val="标准文件_附录图标题"/>
    <w:next w:val="41"/>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68">
    <w:name w:val="标准文件_附录五级条标题"/>
    <w:next w:val="4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69">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0">
    <w:name w:val="标准文件_附录章标题"/>
    <w:next w:val="4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标准文件_公式后的破折号"/>
    <w:basedOn w:val="41"/>
    <w:next w:val="41"/>
    <w:qFormat/>
    <w:uiPriority w:val="0"/>
    <w:pPr>
      <w:ind w:left="488" w:leftChars="200" w:hanging="289" w:hangingChars="290"/>
    </w:pPr>
  </w:style>
  <w:style w:type="paragraph" w:customStyle="1" w:styleId="7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73">
    <w:name w:val="标准文件_目次、标准名称标题"/>
    <w:basedOn w:val="72"/>
    <w:next w:val="41"/>
    <w:qFormat/>
    <w:uiPriority w:val="0"/>
    <w:pPr>
      <w:spacing w:line="460" w:lineRule="exact"/>
      <w:ind w:left="0" w:firstLine="0"/>
    </w:pPr>
  </w:style>
  <w:style w:type="paragraph" w:customStyle="1" w:styleId="74">
    <w:name w:val="标准文件_目录标题"/>
    <w:basedOn w:val="1"/>
    <w:qFormat/>
    <w:uiPriority w:val="0"/>
    <w:pPr>
      <w:spacing w:before="480" w:afterLines="150" w:line="240" w:lineRule="auto"/>
      <w:jc w:val="center"/>
    </w:pPr>
    <w:rPr>
      <w:rFonts w:ascii="黑体" w:eastAsia="黑体"/>
      <w:sz w:val="32"/>
    </w:rPr>
  </w:style>
  <w:style w:type="paragraph" w:customStyle="1" w:styleId="7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76">
    <w:name w:val="标准文件_破折号列项（二级）"/>
    <w:basedOn w:val="75"/>
    <w:qFormat/>
    <w:uiPriority w:val="0"/>
    <w:pPr>
      <w:numPr>
        <w:ilvl w:val="0"/>
        <w:numId w:val="10"/>
      </w:numPr>
    </w:pPr>
  </w:style>
  <w:style w:type="paragraph" w:customStyle="1" w:styleId="77">
    <w:name w:val="标准文件_三级条标题"/>
    <w:basedOn w:val="50"/>
    <w:next w:val="41"/>
    <w:qFormat/>
    <w:uiPriority w:val="0"/>
    <w:pPr>
      <w:widowControl/>
      <w:numPr>
        <w:ilvl w:val="4"/>
        <w:numId w:val="2"/>
      </w:numPr>
      <w:outlineLvl w:val="3"/>
    </w:pPr>
  </w:style>
  <w:style w:type="paragraph" w:customStyle="1" w:styleId="78">
    <w:name w:val="标准文件_示例后续"/>
    <w:basedOn w:val="1"/>
    <w:qFormat/>
    <w:uiPriority w:val="0"/>
    <w:pPr>
      <w:adjustRightInd/>
      <w:spacing w:line="240" w:lineRule="auto"/>
      <w:ind w:firstLine="200" w:firstLineChars="200"/>
    </w:pPr>
    <w:rPr>
      <w:sz w:val="18"/>
      <w:szCs w:val="24"/>
    </w:rPr>
  </w:style>
  <w:style w:type="paragraph" w:customStyle="1" w:styleId="7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80">
    <w:name w:val="标准文件_四级条标题"/>
    <w:next w:val="4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8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82">
    <w:name w:val="标准文件_图表脚注"/>
    <w:basedOn w:val="1"/>
    <w:next w:val="41"/>
    <w:qFormat/>
    <w:uiPriority w:val="0"/>
    <w:pPr>
      <w:numPr>
        <w:ilvl w:val="0"/>
        <w:numId w:val="12"/>
      </w:numPr>
      <w:spacing w:line="240" w:lineRule="auto"/>
      <w:jc w:val="left"/>
    </w:pPr>
    <w:rPr>
      <w:rFonts w:ascii="宋体" w:hAnsi="宋体"/>
      <w:sz w:val="18"/>
    </w:rPr>
  </w:style>
  <w:style w:type="paragraph" w:customStyle="1" w:styleId="83">
    <w:name w:val="标准文件_五级条标题"/>
    <w:next w:val="4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84">
    <w:name w:val="标准文件_章标题"/>
    <w:next w:val="4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85">
    <w:name w:val="标准文件_一级条标题"/>
    <w:basedOn w:val="84"/>
    <w:next w:val="41"/>
    <w:qFormat/>
    <w:uiPriority w:val="0"/>
    <w:pPr>
      <w:numPr>
        <w:ilvl w:val="2"/>
        <w:numId w:val="2"/>
      </w:numPr>
      <w:spacing w:beforeLines="50" w:afterLines="50"/>
      <w:outlineLvl w:val="1"/>
    </w:pPr>
  </w:style>
  <w:style w:type="paragraph" w:customStyle="1" w:styleId="86">
    <w:name w:val="标准文件_一致程度"/>
    <w:basedOn w:val="1"/>
    <w:qFormat/>
    <w:uiPriority w:val="0"/>
    <w:pPr>
      <w:spacing w:line="440" w:lineRule="exact"/>
      <w:jc w:val="center"/>
    </w:pPr>
    <w:rPr>
      <w:sz w:val="28"/>
    </w:rPr>
  </w:style>
  <w:style w:type="paragraph" w:customStyle="1" w:styleId="8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8">
    <w:name w:val="标准文件_英文图表脚注"/>
    <w:basedOn w:val="40"/>
    <w:qFormat/>
    <w:uiPriority w:val="0"/>
    <w:pPr>
      <w:widowControl/>
      <w:adjustRightInd/>
      <w:snapToGrid/>
      <w:spacing w:line="240" w:lineRule="auto"/>
      <w:ind w:left="79" w:hanging="79" w:hangingChars="80"/>
    </w:pPr>
    <w:rPr>
      <w:rFonts w:ascii="宋体" w:hAnsi="宋体"/>
    </w:rPr>
  </w:style>
  <w:style w:type="paragraph" w:customStyle="1" w:styleId="8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0">
    <w:name w:val="标准文件_英文注："/>
    <w:basedOn w:val="1"/>
    <w:next w:val="4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2">
    <w:name w:val="标准文件_正文表标题"/>
    <w:next w:val="4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93">
    <w:name w:val="标准文件_正文公式"/>
    <w:basedOn w:val="1"/>
    <w:next w:val="40"/>
    <w:qFormat/>
    <w:uiPriority w:val="0"/>
    <w:pPr>
      <w:tabs>
        <w:tab w:val="center" w:pos="4678"/>
        <w:tab w:val="right" w:leader="middleDot" w:pos="9356"/>
      </w:tabs>
      <w:spacing w:line="240" w:lineRule="auto"/>
    </w:pPr>
    <w:rPr>
      <w:rFonts w:ascii="宋体" w:hAnsi="宋体"/>
    </w:rPr>
  </w:style>
  <w:style w:type="paragraph" w:customStyle="1" w:styleId="94">
    <w:name w:val="标准文件_正文图标题"/>
    <w:next w:val="4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95">
    <w:name w:val="标准文件_正文英文表标题"/>
    <w:next w:val="4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96">
    <w:name w:val="标准文件_正文英文图标题"/>
    <w:next w:val="4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9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98">
    <w:name w:val="二级无标题条"/>
    <w:basedOn w:val="1"/>
    <w:qFormat/>
    <w:uiPriority w:val="0"/>
    <w:pPr>
      <w:numPr>
        <w:ilvl w:val="3"/>
        <w:numId w:val="20"/>
      </w:numPr>
      <w:adjustRightInd/>
      <w:spacing w:line="240" w:lineRule="auto"/>
    </w:pPr>
    <w:rPr>
      <w:rFonts w:ascii="宋体" w:hAnsi="宋体"/>
      <w:szCs w:val="24"/>
    </w:rPr>
  </w:style>
  <w:style w:type="paragraph" w:customStyle="1" w:styleId="99">
    <w:name w:val="发布部门"/>
    <w:next w:val="41"/>
    <w:qFormat/>
    <w:uiPriority w:val="0"/>
    <w:pPr>
      <w:jc w:val="center"/>
    </w:pPr>
    <w:rPr>
      <w:rFonts w:ascii="宋体" w:hAnsi="Times New Roman" w:eastAsia="宋体" w:cs="Times New Roman"/>
      <w:b/>
      <w:w w:val="135"/>
      <w:sz w:val="36"/>
      <w:lang w:val="en-US" w:eastAsia="zh-CN" w:bidi="ar-SA"/>
    </w:rPr>
  </w:style>
  <w:style w:type="paragraph" w:customStyle="1" w:styleId="100">
    <w:name w:val="发布日期"/>
    <w:qFormat/>
    <w:uiPriority w:val="0"/>
    <w:rPr>
      <w:rFonts w:ascii="Times New Roman" w:hAnsi="Times New Roman" w:eastAsia="黑体" w:cs="Times New Roman"/>
      <w:sz w:val="28"/>
      <w:lang w:val="en-US" w:eastAsia="zh-CN" w:bidi="ar-SA"/>
    </w:rPr>
  </w:style>
  <w:style w:type="paragraph" w:customStyle="1" w:styleId="101">
    <w:name w:val="封面标准代替信息"/>
    <w:basedOn w:val="1"/>
    <w:qFormat/>
    <w:uiPriority w:val="0"/>
    <w:pPr>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附录二级无标题条"/>
    <w:basedOn w:val="1"/>
    <w:next w:val="4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09">
    <w:name w:val="附录三级无标题条"/>
    <w:basedOn w:val="108"/>
    <w:next w:val="41"/>
    <w:qFormat/>
    <w:uiPriority w:val="0"/>
    <w:pPr>
      <w:outlineLvl w:val="4"/>
    </w:pPr>
  </w:style>
  <w:style w:type="paragraph" w:customStyle="1" w:styleId="110">
    <w:name w:val="附录四级无标题条"/>
    <w:basedOn w:val="109"/>
    <w:next w:val="41"/>
    <w:qFormat/>
    <w:uiPriority w:val="0"/>
    <w:pPr>
      <w:outlineLvl w:val="5"/>
    </w:pPr>
  </w:style>
  <w:style w:type="paragraph" w:customStyle="1" w:styleId="111">
    <w:name w:val="附录图"/>
    <w:next w:val="4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13">
    <w:name w:val="附录五级无标题条"/>
    <w:basedOn w:val="110"/>
    <w:next w:val="41"/>
    <w:qFormat/>
    <w:uiPriority w:val="0"/>
    <w:pPr>
      <w:outlineLvl w:val="6"/>
    </w:pPr>
  </w:style>
  <w:style w:type="paragraph" w:customStyle="1" w:styleId="114">
    <w:name w:val="附录性质"/>
    <w:basedOn w:val="1"/>
    <w:qFormat/>
    <w:uiPriority w:val="0"/>
    <w:pPr>
      <w:widowControl/>
      <w:adjustRightInd/>
      <w:jc w:val="center"/>
    </w:pPr>
    <w:rPr>
      <w:rFonts w:ascii="黑体" w:eastAsia="黑体"/>
    </w:rPr>
  </w:style>
  <w:style w:type="paragraph" w:customStyle="1" w:styleId="115">
    <w:name w:val="附录一级无标题条"/>
    <w:basedOn w:val="70"/>
    <w:next w:val="41"/>
    <w:qFormat/>
    <w:uiPriority w:val="0"/>
    <w:pPr>
      <w:autoSpaceDN w:val="0"/>
      <w:outlineLvl w:val="2"/>
    </w:pPr>
    <w:rPr>
      <w:rFonts w:ascii="宋体" w:hAnsi="宋体" w:eastAsia="宋体"/>
    </w:rPr>
  </w:style>
  <w:style w:type="paragraph" w:customStyle="1" w:styleId="11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17">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18">
    <w:name w:val="列项·"/>
    <w:basedOn w:val="41"/>
    <w:qFormat/>
    <w:uiPriority w:val="0"/>
    <w:pPr>
      <w:tabs>
        <w:tab w:val="left" w:pos="840"/>
      </w:tabs>
    </w:p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目录 21"/>
    <w:basedOn w:val="1"/>
    <w:next w:val="1"/>
    <w:semiHidden/>
    <w:qFormat/>
    <w:uiPriority w:val="0"/>
    <w:pPr>
      <w:adjustRightInd/>
      <w:spacing w:line="240" w:lineRule="auto"/>
      <w:jc w:val="left"/>
    </w:pPr>
    <w:rPr>
      <w:bCs/>
      <w:iCs/>
    </w:rPr>
  </w:style>
  <w:style w:type="paragraph" w:customStyle="1" w:styleId="121">
    <w:name w:val="目录 31"/>
    <w:basedOn w:val="1"/>
    <w:next w:val="1"/>
    <w:semiHidden/>
    <w:qFormat/>
    <w:uiPriority w:val="0"/>
    <w:pPr>
      <w:spacing w:line="240" w:lineRule="auto"/>
    </w:pPr>
    <w:rPr>
      <w:rFonts w:ascii="宋体" w:hAnsi="宋体"/>
      <w:iCs/>
    </w:rPr>
  </w:style>
  <w:style w:type="paragraph" w:customStyle="1" w:styleId="122">
    <w:name w:val="目录 41"/>
    <w:basedOn w:val="1"/>
    <w:next w:val="1"/>
    <w:semiHidden/>
    <w:qFormat/>
    <w:uiPriority w:val="0"/>
    <w:pPr>
      <w:adjustRightInd/>
      <w:spacing w:line="240" w:lineRule="auto"/>
      <w:jc w:val="left"/>
    </w:pPr>
  </w:style>
  <w:style w:type="paragraph" w:customStyle="1" w:styleId="123">
    <w:name w:val="目录 51"/>
    <w:basedOn w:val="1"/>
    <w:next w:val="1"/>
    <w:semiHidden/>
    <w:qFormat/>
    <w:uiPriority w:val="0"/>
    <w:pPr>
      <w:spacing w:line="240" w:lineRule="auto"/>
    </w:pPr>
    <w:rPr>
      <w:rFonts w:ascii="宋体" w:hAnsi="宋体"/>
    </w:rPr>
  </w:style>
  <w:style w:type="paragraph" w:customStyle="1" w:styleId="124">
    <w:name w:val="目录 61"/>
    <w:basedOn w:val="1"/>
    <w:next w:val="1"/>
    <w:semiHidden/>
    <w:qFormat/>
    <w:uiPriority w:val="0"/>
    <w:pPr>
      <w:adjustRightInd/>
      <w:spacing w:line="240" w:lineRule="auto"/>
      <w:jc w:val="left"/>
    </w:pPr>
  </w:style>
  <w:style w:type="paragraph" w:customStyle="1" w:styleId="125">
    <w:name w:val="目录 71"/>
    <w:basedOn w:val="124"/>
    <w:semiHidden/>
    <w:qFormat/>
    <w:uiPriority w:val="0"/>
    <w:pPr>
      <w:ind w:left="1260"/>
    </w:pPr>
  </w:style>
  <w:style w:type="paragraph" w:customStyle="1" w:styleId="126">
    <w:name w:val="目录 81"/>
    <w:basedOn w:val="125"/>
    <w:semiHidden/>
    <w:qFormat/>
    <w:uiPriority w:val="0"/>
    <w:pPr>
      <w:ind w:left="1470"/>
    </w:pPr>
  </w:style>
  <w:style w:type="paragraph" w:customStyle="1" w:styleId="127">
    <w:name w:val="目录 91"/>
    <w:basedOn w:val="126"/>
    <w:semiHidden/>
    <w:qFormat/>
    <w:uiPriority w:val="0"/>
    <w:pPr>
      <w:ind w:left="1680"/>
    </w:pPr>
  </w:style>
  <w:style w:type="paragraph" w:customStyle="1" w:styleId="12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9">
    <w:name w:val="其他发布部门"/>
    <w:basedOn w:val="99"/>
    <w:qFormat/>
    <w:uiPriority w:val="0"/>
    <w:pPr>
      <w:spacing w:line="0" w:lineRule="atLeast"/>
    </w:pPr>
    <w:rPr>
      <w:rFonts w:ascii="黑体" w:eastAsia="黑体"/>
      <w:b w:val="0"/>
    </w:rPr>
  </w:style>
  <w:style w:type="paragraph" w:customStyle="1" w:styleId="13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32">
    <w:name w:val="实施日期"/>
    <w:basedOn w:val="100"/>
    <w:qFormat/>
    <w:uiPriority w:val="0"/>
    <w:pPr>
      <w:jc w:val="right"/>
    </w:pPr>
  </w:style>
  <w:style w:type="paragraph" w:customStyle="1" w:styleId="13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
    <w:name w:val="无标题条"/>
    <w:next w:val="41"/>
    <w:qFormat/>
    <w:uiPriority w:val="0"/>
    <w:pPr>
      <w:jc w:val="both"/>
    </w:pPr>
    <w:rPr>
      <w:rFonts w:ascii="宋体" w:hAnsi="宋体" w:eastAsia="宋体" w:cs="Times New Roman"/>
      <w:sz w:val="21"/>
      <w:lang w:val="en-US" w:eastAsia="zh-CN" w:bidi="ar-SA"/>
    </w:rPr>
  </w:style>
  <w:style w:type="paragraph" w:customStyle="1" w:styleId="136">
    <w:name w:val="五级无标题条"/>
    <w:basedOn w:val="1"/>
    <w:qFormat/>
    <w:uiPriority w:val="0"/>
    <w:pPr>
      <w:numPr>
        <w:ilvl w:val="6"/>
        <w:numId w:val="20"/>
      </w:numPr>
      <w:adjustRightInd/>
    </w:pPr>
    <w:rPr>
      <w:szCs w:val="24"/>
    </w:rPr>
  </w:style>
  <w:style w:type="paragraph" w:customStyle="1" w:styleId="13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3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39">
    <w:name w:val="注×:后续"/>
    <w:basedOn w:val="138"/>
    <w:qFormat/>
    <w:uiPriority w:val="0"/>
    <w:pPr>
      <w:ind w:left="1406" w:leftChars="0" w:hanging="499" w:firstLineChars="0"/>
    </w:pPr>
  </w:style>
  <w:style w:type="paragraph" w:customStyle="1" w:styleId="140">
    <w:name w:val="标准文件_一级无标题"/>
    <w:basedOn w:val="85"/>
    <w:qFormat/>
    <w:uiPriority w:val="0"/>
    <w:pPr>
      <w:spacing w:beforeLines="50" w:afterLines="50"/>
      <w:outlineLvl w:val="9"/>
    </w:pPr>
    <w:rPr>
      <w:rFonts w:ascii="宋体" w:eastAsia="宋体"/>
    </w:rPr>
  </w:style>
  <w:style w:type="paragraph" w:customStyle="1" w:styleId="141">
    <w:name w:val="标准文件_五级无标题"/>
    <w:basedOn w:val="83"/>
    <w:qFormat/>
    <w:uiPriority w:val="0"/>
    <w:pPr>
      <w:spacing w:beforeLines="50" w:afterLines="50"/>
      <w:outlineLvl w:val="9"/>
    </w:pPr>
    <w:rPr>
      <w:rFonts w:ascii="宋体" w:eastAsia="宋体"/>
    </w:rPr>
  </w:style>
  <w:style w:type="paragraph" w:customStyle="1" w:styleId="142">
    <w:name w:val="标准文件_三级无标题"/>
    <w:basedOn w:val="77"/>
    <w:qFormat/>
    <w:uiPriority w:val="0"/>
    <w:pPr>
      <w:spacing w:before="0" w:after="0"/>
      <w:outlineLvl w:val="9"/>
    </w:pPr>
    <w:rPr>
      <w:rFonts w:ascii="宋体" w:eastAsia="宋体"/>
    </w:rPr>
  </w:style>
  <w:style w:type="paragraph" w:customStyle="1" w:styleId="143">
    <w:name w:val="标准文件_二级无标题"/>
    <w:basedOn w:val="50"/>
    <w:qFormat/>
    <w:uiPriority w:val="0"/>
    <w:pPr>
      <w:spacing w:beforeLines="50" w:afterLines="50"/>
      <w:outlineLvl w:val="9"/>
    </w:pPr>
    <w:rPr>
      <w:rFonts w:ascii="宋体" w:eastAsia="宋体"/>
    </w:rPr>
  </w:style>
  <w:style w:type="paragraph" w:customStyle="1" w:styleId="144">
    <w:name w:val="标准_四级无标题"/>
    <w:basedOn w:val="80"/>
    <w:next w:val="41"/>
    <w:qFormat/>
    <w:uiPriority w:val="0"/>
    <w:rPr>
      <w:rFonts w:eastAsia="宋体"/>
    </w:rPr>
  </w:style>
  <w:style w:type="paragraph" w:customStyle="1" w:styleId="145">
    <w:name w:val="标准文件_四级无标题"/>
    <w:basedOn w:val="80"/>
    <w:qFormat/>
    <w:uiPriority w:val="0"/>
    <w:pPr>
      <w:spacing w:beforeLines="50" w:afterLines="50"/>
      <w:outlineLvl w:val="9"/>
    </w:pPr>
    <w:rPr>
      <w:rFonts w:ascii="宋体" w:hAnsi="黑体" w:eastAsia="宋体"/>
      <w:szCs w:val="52"/>
    </w:rPr>
  </w:style>
  <w:style w:type="paragraph" w:customStyle="1" w:styleId="146">
    <w:name w:val="标准文件_大写罗马数字编号列项"/>
    <w:basedOn w:val="41"/>
    <w:qFormat/>
    <w:uiPriority w:val="0"/>
    <w:pPr>
      <w:numPr>
        <w:ilvl w:val="0"/>
        <w:numId w:val="23"/>
      </w:numPr>
      <w:ind w:firstLine="0" w:firstLineChars="0"/>
    </w:pPr>
    <w:rPr>
      <w:rFonts w:ascii="Times New Roman" w:cs="Arial"/>
      <w:szCs w:val="28"/>
    </w:rPr>
  </w:style>
  <w:style w:type="paragraph" w:customStyle="1" w:styleId="147">
    <w:name w:val="标准文件_小写罗马数字编号列项"/>
    <w:basedOn w:val="41"/>
    <w:qFormat/>
    <w:uiPriority w:val="0"/>
    <w:pPr>
      <w:numPr>
        <w:ilvl w:val="0"/>
        <w:numId w:val="24"/>
      </w:numPr>
      <w:ind w:firstLine="0" w:firstLineChars="0"/>
    </w:pPr>
    <w:rPr>
      <w:rFonts w:cs="Arial"/>
      <w:szCs w:val="28"/>
    </w:rPr>
  </w:style>
  <w:style w:type="paragraph" w:customStyle="1" w:styleId="148">
    <w:name w:val="标准文件_附录标题"/>
    <w:basedOn w:val="60"/>
    <w:qFormat/>
    <w:uiPriority w:val="0"/>
    <w:pPr>
      <w:numPr>
        <w:ilvl w:val="0"/>
        <w:numId w:val="0"/>
      </w:numPr>
      <w:spacing w:afterLines="50"/>
      <w:outlineLvl w:val="9"/>
    </w:pPr>
  </w:style>
  <w:style w:type="paragraph" w:customStyle="1" w:styleId="149">
    <w:name w:val="标准文件_二级项"/>
    <w:qFormat/>
    <w:uiPriority w:val="0"/>
    <w:rPr>
      <w:rFonts w:ascii="宋体" w:hAnsi="Times New Roman" w:eastAsia="宋体" w:cs="Times New Roman"/>
      <w:sz w:val="21"/>
      <w:lang w:val="en-US" w:eastAsia="zh-CN" w:bidi="ar-SA"/>
    </w:rPr>
  </w:style>
  <w:style w:type="paragraph" w:customStyle="1" w:styleId="150">
    <w:name w:val="标准文件_三级项"/>
    <w:basedOn w:val="1"/>
    <w:qFormat/>
    <w:uiPriority w:val="0"/>
    <w:pPr>
      <w:numPr>
        <w:ilvl w:val="2"/>
        <w:numId w:val="21"/>
      </w:numPr>
      <w:tabs>
        <w:tab w:val="left" w:pos="851"/>
      </w:tabs>
      <w:spacing w:line="300" w:lineRule="exact"/>
    </w:pPr>
    <w:rPr>
      <w:rFonts w:ascii="Times New Roman" w:hAnsi="Times New Roman"/>
    </w:rPr>
  </w:style>
  <w:style w:type="paragraph" w:customStyle="1" w:styleId="151">
    <w:name w:val="图表脚注说明"/>
    <w:basedOn w:val="1"/>
    <w:next w:val="41"/>
    <w:qFormat/>
    <w:uiPriority w:val="0"/>
    <w:pPr>
      <w:numPr>
        <w:ilvl w:val="0"/>
        <w:numId w:val="25"/>
      </w:numPr>
      <w:adjustRightInd/>
      <w:spacing w:line="240" w:lineRule="auto"/>
    </w:pPr>
    <w:rPr>
      <w:rFonts w:ascii="宋体" w:hAnsi="Times New Roman"/>
      <w:sz w:val="18"/>
      <w:szCs w:val="18"/>
    </w:rPr>
  </w:style>
  <w:style w:type="paragraph" w:customStyle="1" w:styleId="152">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3">
    <w:name w:val="标准文件_索引字母"/>
    <w:next w:val="41"/>
    <w:qFormat/>
    <w:uiPriority w:val="0"/>
    <w:pPr>
      <w:jc w:val="center"/>
    </w:pPr>
    <w:rPr>
      <w:rFonts w:ascii="宋体" w:hAnsi="宋体" w:eastAsia="Times New Roman" w:cs="Times New Roman"/>
      <w:b/>
      <w:kern w:val="2"/>
      <w:sz w:val="21"/>
      <w:lang w:val="en-US" w:eastAsia="zh-CN" w:bidi="ar-SA"/>
    </w:rPr>
  </w:style>
  <w:style w:type="paragraph" w:customStyle="1" w:styleId="154">
    <w:name w:val="标准文件_附录前"/>
    <w:next w:val="4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56">
    <w:name w:val="标准文件_表格"/>
    <w:basedOn w:val="41"/>
    <w:qFormat/>
    <w:uiPriority w:val="0"/>
    <w:pPr>
      <w:ind w:firstLine="0" w:firstLineChars="0"/>
      <w:jc w:val="center"/>
    </w:pPr>
    <w:rPr>
      <w:sz w:val="18"/>
    </w:rPr>
  </w:style>
  <w:style w:type="paragraph" w:customStyle="1" w:styleId="157">
    <w:name w:val="标准文件_注："/>
    <w:next w:val="4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5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59">
    <w:name w:val="标准文件_示例："/>
    <w:next w:val="16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0">
    <w:name w:val="标准文件_示例内容"/>
    <w:basedOn w:val="41"/>
    <w:qFormat/>
    <w:uiPriority w:val="0"/>
    <w:pPr>
      <w:ind w:firstLine="420"/>
    </w:pPr>
    <w:rPr>
      <w:sz w:val="18"/>
    </w:rPr>
  </w:style>
  <w:style w:type="paragraph" w:customStyle="1" w:styleId="161">
    <w:name w:val="标准文件_示例×："/>
    <w:basedOn w:val="1"/>
    <w:next w:val="160"/>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2">
    <w:name w:val="标准文件_表格续"/>
    <w:basedOn w:val="41"/>
    <w:next w:val="41"/>
    <w:qFormat/>
    <w:uiPriority w:val="0"/>
    <w:pPr>
      <w:jc w:val="center"/>
    </w:pPr>
    <w:rPr>
      <w:rFonts w:ascii="黑体" w:hAnsi="黑体" w:eastAsia="黑体"/>
    </w:rPr>
  </w:style>
  <w:style w:type="paragraph" w:customStyle="1" w:styleId="163">
    <w:name w:val="标准文件_二级项2"/>
    <w:basedOn w:val="41"/>
    <w:qFormat/>
    <w:uiPriority w:val="0"/>
    <w:pPr>
      <w:numPr>
        <w:ilvl w:val="1"/>
        <w:numId w:val="21"/>
      </w:numPr>
      <w:tabs>
        <w:tab w:val="left" w:pos="851"/>
      </w:tabs>
      <w:ind w:firstLine="0" w:firstLineChars="0"/>
    </w:pPr>
  </w:style>
  <w:style w:type="paragraph" w:customStyle="1" w:styleId="164">
    <w:name w:val="标准文件_三级项2"/>
    <w:basedOn w:val="41"/>
    <w:qFormat/>
    <w:uiPriority w:val="0"/>
    <w:pPr>
      <w:numPr>
        <w:ilvl w:val="0"/>
        <w:numId w:val="30"/>
      </w:numPr>
      <w:spacing w:line="300" w:lineRule="exact"/>
      <w:ind w:firstLineChars="0"/>
    </w:pPr>
    <w:rPr>
      <w:rFonts w:ascii="Times New Roman"/>
    </w:rPr>
  </w:style>
  <w:style w:type="paragraph" w:customStyle="1" w:styleId="165">
    <w:name w:val="标准文件_一级项2"/>
    <w:basedOn w:val="41"/>
    <w:qFormat/>
    <w:uiPriority w:val="0"/>
    <w:pPr>
      <w:numPr>
        <w:ilvl w:val="0"/>
        <w:numId w:val="31"/>
      </w:numPr>
      <w:spacing w:line="300" w:lineRule="exact"/>
      <w:ind w:firstLineChars="0"/>
    </w:pPr>
    <w:rPr>
      <w:rFonts w:ascii="Times New Roman"/>
    </w:rPr>
  </w:style>
  <w:style w:type="paragraph" w:customStyle="1" w:styleId="166">
    <w:name w:val="标准文件_提示"/>
    <w:basedOn w:val="41"/>
    <w:next w:val="41"/>
    <w:qFormat/>
    <w:uiPriority w:val="0"/>
    <w:pPr>
      <w:ind w:firstLine="420"/>
    </w:pPr>
    <w:rPr>
      <w:rFonts w:ascii="黑体" w:eastAsia="黑体"/>
    </w:rPr>
  </w:style>
  <w:style w:type="paragraph" w:customStyle="1" w:styleId="16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68">
    <w:name w:val="其他发布日期"/>
    <w:basedOn w:val="100"/>
    <w:qFormat/>
    <w:uiPriority w:val="0"/>
  </w:style>
  <w:style w:type="paragraph" w:customStyle="1" w:styleId="169">
    <w:name w:val="其他实施日期"/>
    <w:basedOn w:val="132"/>
    <w:qFormat/>
    <w:uiPriority w:val="0"/>
  </w:style>
  <w:style w:type="paragraph" w:customStyle="1" w:styleId="170">
    <w:name w:val="标准文件_文件编号"/>
    <w:basedOn w:val="41"/>
    <w:qFormat/>
    <w:uiPriority w:val="0"/>
    <w:pPr>
      <w:wordWrap w:val="0"/>
      <w:spacing w:line="280" w:lineRule="exact"/>
      <w:ind w:firstLine="0" w:firstLineChars="0"/>
      <w:jc w:val="right"/>
    </w:pPr>
    <w:rPr>
      <w:rFonts w:ascii="黑体" w:eastAsia="黑体"/>
      <w:bCs/>
      <w:sz w:val="28"/>
      <w:szCs w:val="28"/>
    </w:rPr>
  </w:style>
  <w:style w:type="paragraph" w:customStyle="1" w:styleId="171">
    <w:name w:val="标准文件_替换文件编号"/>
    <w:basedOn w:val="170"/>
    <w:qFormat/>
    <w:uiPriority w:val="0"/>
    <w:pPr>
      <w:spacing w:before="57"/>
    </w:pPr>
    <w:rPr>
      <w:sz w:val="21"/>
    </w:rPr>
  </w:style>
  <w:style w:type="paragraph" w:customStyle="1" w:styleId="172">
    <w:name w:val="标准文件_文件名称"/>
    <w:basedOn w:val="41"/>
    <w:next w:val="41"/>
    <w:qFormat/>
    <w:uiPriority w:val="0"/>
    <w:pPr>
      <w:spacing w:line="700" w:lineRule="exact"/>
      <w:ind w:firstLine="0" w:firstLineChars="0"/>
      <w:jc w:val="center"/>
    </w:pPr>
    <w:rPr>
      <w:rFonts w:ascii="黑体" w:hAnsi="黑体" w:eastAsia="黑体"/>
      <w:bCs/>
      <w:sz w:val="52"/>
    </w:rPr>
  </w:style>
  <w:style w:type="paragraph" w:customStyle="1" w:styleId="173">
    <w:name w:val="标准文件_附录图标号"/>
    <w:basedOn w:val="41"/>
    <w:next w:val="4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4">
    <w:name w:val="标准文件_附录表标号"/>
    <w:basedOn w:val="41"/>
    <w:next w:val="41"/>
    <w:qFormat/>
    <w:uiPriority w:val="0"/>
    <w:pPr>
      <w:numPr>
        <w:ilvl w:val="0"/>
        <w:numId w:val="5"/>
      </w:numPr>
      <w:spacing w:line="14" w:lineRule="exact"/>
      <w:ind w:firstLine="0" w:firstLineChars="0"/>
      <w:jc w:val="center"/>
    </w:pPr>
    <w:rPr>
      <w:rFonts w:eastAsia="黑体"/>
      <w:vanish/>
      <w:sz w:val="2"/>
    </w:rPr>
  </w:style>
  <w:style w:type="paragraph" w:customStyle="1" w:styleId="175">
    <w:name w:val="标准文件_引言一级条标题"/>
    <w:basedOn w:val="41"/>
    <w:next w:val="41"/>
    <w:qFormat/>
    <w:uiPriority w:val="0"/>
    <w:pPr>
      <w:numPr>
        <w:ilvl w:val="1"/>
        <w:numId w:val="8"/>
      </w:numPr>
      <w:spacing w:beforeLines="50" w:afterLines="50"/>
      <w:ind w:firstLineChars="0"/>
    </w:pPr>
    <w:rPr>
      <w:rFonts w:ascii="黑体" w:eastAsia="黑体"/>
    </w:rPr>
  </w:style>
  <w:style w:type="paragraph" w:customStyle="1" w:styleId="176">
    <w:name w:val="标准文件_引言二级条标题"/>
    <w:basedOn w:val="41"/>
    <w:next w:val="41"/>
    <w:qFormat/>
    <w:uiPriority w:val="0"/>
    <w:pPr>
      <w:numPr>
        <w:ilvl w:val="2"/>
        <w:numId w:val="8"/>
      </w:numPr>
      <w:spacing w:beforeLines="50" w:afterLines="50"/>
      <w:ind w:firstLineChars="0"/>
    </w:pPr>
    <w:rPr>
      <w:rFonts w:ascii="黑体" w:eastAsia="黑体"/>
    </w:rPr>
  </w:style>
  <w:style w:type="paragraph" w:customStyle="1" w:styleId="177">
    <w:name w:val="标准文件_引言三级条标题"/>
    <w:basedOn w:val="41"/>
    <w:next w:val="41"/>
    <w:qFormat/>
    <w:uiPriority w:val="0"/>
    <w:pPr>
      <w:numPr>
        <w:ilvl w:val="3"/>
        <w:numId w:val="8"/>
      </w:numPr>
      <w:spacing w:beforeLines="50" w:afterLines="50"/>
      <w:ind w:firstLineChars="0"/>
    </w:pPr>
    <w:rPr>
      <w:rFonts w:ascii="黑体" w:eastAsia="黑体"/>
    </w:rPr>
  </w:style>
  <w:style w:type="paragraph" w:customStyle="1" w:styleId="178">
    <w:name w:val="标准文件_引言四级条标题"/>
    <w:basedOn w:val="41"/>
    <w:next w:val="41"/>
    <w:qFormat/>
    <w:uiPriority w:val="0"/>
    <w:pPr>
      <w:numPr>
        <w:ilvl w:val="4"/>
        <w:numId w:val="8"/>
      </w:numPr>
      <w:spacing w:beforeLines="50" w:afterLines="50"/>
      <w:ind w:firstLineChars="0"/>
    </w:pPr>
    <w:rPr>
      <w:rFonts w:ascii="黑体" w:eastAsia="黑体"/>
    </w:rPr>
  </w:style>
  <w:style w:type="paragraph" w:customStyle="1" w:styleId="179">
    <w:name w:val="标准文件_引言五级条标题"/>
    <w:basedOn w:val="41"/>
    <w:next w:val="41"/>
    <w:qFormat/>
    <w:uiPriority w:val="0"/>
    <w:pPr>
      <w:numPr>
        <w:ilvl w:val="5"/>
        <w:numId w:val="8"/>
      </w:numPr>
      <w:spacing w:beforeLines="50" w:afterLines="50"/>
      <w:ind w:firstLineChars="0"/>
    </w:pPr>
    <w:rPr>
      <w:rFonts w:ascii="黑体" w:eastAsia="黑体"/>
    </w:rPr>
  </w:style>
  <w:style w:type="paragraph" w:customStyle="1" w:styleId="180">
    <w:name w:val="标准文件_注后"/>
    <w:basedOn w:val="41"/>
    <w:qFormat/>
    <w:uiPriority w:val="0"/>
    <w:pPr>
      <w:ind w:left="811" w:firstLine="0" w:firstLineChars="0"/>
    </w:pPr>
    <w:rPr>
      <w:sz w:val="18"/>
    </w:rPr>
  </w:style>
  <w:style w:type="paragraph" w:customStyle="1" w:styleId="181">
    <w:name w:val="标准文件_注X后"/>
    <w:basedOn w:val="41"/>
    <w:qFormat/>
    <w:uiPriority w:val="0"/>
    <w:pPr>
      <w:ind w:left="811" w:firstLine="0" w:firstLineChars="0"/>
    </w:pPr>
    <w:rPr>
      <w:sz w:val="18"/>
    </w:rPr>
  </w:style>
  <w:style w:type="paragraph" w:customStyle="1" w:styleId="182">
    <w:name w:val="标准文件_示例后"/>
    <w:basedOn w:val="41"/>
    <w:qFormat/>
    <w:uiPriority w:val="0"/>
    <w:pPr>
      <w:ind w:left="964" w:firstLine="0" w:firstLineChars="0"/>
    </w:pPr>
    <w:rPr>
      <w:sz w:val="18"/>
    </w:rPr>
  </w:style>
  <w:style w:type="paragraph" w:customStyle="1" w:styleId="183">
    <w:name w:val="标准文件_示例X后"/>
    <w:basedOn w:val="41"/>
    <w:link w:val="252"/>
    <w:qFormat/>
    <w:uiPriority w:val="0"/>
    <w:pPr>
      <w:ind w:left="1049" w:firstLine="0" w:firstLineChars="0"/>
    </w:pPr>
    <w:rPr>
      <w:sz w:val="18"/>
    </w:rPr>
  </w:style>
  <w:style w:type="paragraph" w:customStyle="1" w:styleId="184">
    <w:name w:val="标准文件_索引项"/>
    <w:basedOn w:val="41"/>
    <w:next w:val="41"/>
    <w:qFormat/>
    <w:uiPriority w:val="0"/>
    <w:pPr>
      <w:tabs>
        <w:tab w:val="right" w:leader="dot" w:pos="9356"/>
      </w:tabs>
      <w:ind w:left="210" w:hanging="210" w:firstLineChars="0"/>
      <w:jc w:val="left"/>
    </w:pPr>
  </w:style>
  <w:style w:type="paragraph" w:customStyle="1" w:styleId="185">
    <w:name w:val="标准文件_附录一级无标题"/>
    <w:basedOn w:val="62"/>
    <w:qFormat/>
    <w:uiPriority w:val="0"/>
    <w:pPr>
      <w:spacing w:beforeLines="50" w:afterLines="50" w:line="276" w:lineRule="auto"/>
      <w:outlineLvl w:val="9"/>
    </w:pPr>
    <w:rPr>
      <w:rFonts w:ascii="宋体" w:eastAsia="宋体"/>
    </w:rPr>
  </w:style>
  <w:style w:type="paragraph" w:customStyle="1" w:styleId="186">
    <w:name w:val="标准文件_附录二级无标题"/>
    <w:basedOn w:val="63"/>
    <w:qFormat/>
    <w:uiPriority w:val="0"/>
    <w:pPr>
      <w:spacing w:before="0" w:after="0" w:line="276" w:lineRule="auto"/>
      <w:outlineLvl w:val="9"/>
    </w:pPr>
    <w:rPr>
      <w:rFonts w:ascii="宋体" w:eastAsia="宋体"/>
    </w:rPr>
  </w:style>
  <w:style w:type="paragraph" w:customStyle="1" w:styleId="187">
    <w:name w:val="标准文件_附录三级无标题"/>
    <w:basedOn w:val="65"/>
    <w:qFormat/>
    <w:uiPriority w:val="0"/>
    <w:pPr>
      <w:spacing w:beforeLines="50" w:afterLines="50" w:line="276" w:lineRule="auto"/>
      <w:outlineLvl w:val="9"/>
    </w:pPr>
    <w:rPr>
      <w:rFonts w:ascii="宋体" w:eastAsia="宋体"/>
    </w:rPr>
  </w:style>
  <w:style w:type="paragraph" w:customStyle="1" w:styleId="188">
    <w:name w:val="标准文件_附录四级无标题"/>
    <w:basedOn w:val="66"/>
    <w:qFormat/>
    <w:uiPriority w:val="0"/>
    <w:pPr>
      <w:spacing w:beforeLines="50" w:afterLines="50" w:line="276" w:lineRule="auto"/>
      <w:outlineLvl w:val="9"/>
    </w:pPr>
    <w:rPr>
      <w:rFonts w:ascii="宋体" w:eastAsia="宋体"/>
    </w:rPr>
  </w:style>
  <w:style w:type="paragraph" w:customStyle="1" w:styleId="189">
    <w:name w:val="标准文件_附录五级无标题"/>
    <w:basedOn w:val="68"/>
    <w:qFormat/>
    <w:uiPriority w:val="0"/>
    <w:pPr>
      <w:spacing w:beforeLines="50" w:afterLines="50" w:line="276" w:lineRule="auto"/>
      <w:outlineLvl w:val="9"/>
    </w:pPr>
    <w:rPr>
      <w:rFonts w:ascii="宋体" w:eastAsia="宋体"/>
    </w:rPr>
  </w:style>
  <w:style w:type="paragraph" w:customStyle="1" w:styleId="190">
    <w:name w:val="标准文件_引言一级无标题"/>
    <w:basedOn w:val="175"/>
    <w:next w:val="41"/>
    <w:qFormat/>
    <w:uiPriority w:val="0"/>
    <w:pPr>
      <w:spacing w:beforeLines="50" w:afterLines="50" w:line="276" w:lineRule="auto"/>
    </w:pPr>
    <w:rPr>
      <w:rFonts w:ascii="宋体" w:eastAsia="宋体"/>
    </w:rPr>
  </w:style>
  <w:style w:type="paragraph" w:customStyle="1" w:styleId="191">
    <w:name w:val="标准文件_引言二级无标题"/>
    <w:basedOn w:val="176"/>
    <w:next w:val="41"/>
    <w:qFormat/>
    <w:uiPriority w:val="0"/>
    <w:pPr>
      <w:spacing w:beforeLines="50" w:afterLines="50" w:line="276" w:lineRule="auto"/>
    </w:pPr>
    <w:rPr>
      <w:rFonts w:ascii="宋体" w:eastAsia="宋体"/>
    </w:rPr>
  </w:style>
  <w:style w:type="paragraph" w:customStyle="1" w:styleId="192">
    <w:name w:val="标准文件_引言三级无标题"/>
    <w:basedOn w:val="177"/>
    <w:qFormat/>
    <w:uiPriority w:val="0"/>
    <w:pPr>
      <w:spacing w:beforeLines="50" w:afterLines="50" w:line="276" w:lineRule="auto"/>
    </w:pPr>
    <w:rPr>
      <w:rFonts w:ascii="宋体" w:eastAsia="宋体"/>
    </w:rPr>
  </w:style>
  <w:style w:type="paragraph" w:customStyle="1" w:styleId="193">
    <w:name w:val="标准文件_引言四级无标题"/>
    <w:basedOn w:val="178"/>
    <w:next w:val="41"/>
    <w:qFormat/>
    <w:uiPriority w:val="0"/>
    <w:pPr>
      <w:spacing w:beforeLines="50" w:afterLines="50" w:line="276" w:lineRule="auto"/>
    </w:pPr>
    <w:rPr>
      <w:rFonts w:ascii="宋体" w:eastAsia="宋体"/>
    </w:rPr>
  </w:style>
  <w:style w:type="paragraph" w:customStyle="1" w:styleId="194">
    <w:name w:val="标准文件_引言五级无标题"/>
    <w:basedOn w:val="179"/>
    <w:next w:val="41"/>
    <w:qFormat/>
    <w:uiPriority w:val="0"/>
    <w:pPr>
      <w:spacing w:beforeLines="50" w:afterLines="50" w:line="276" w:lineRule="auto"/>
    </w:pPr>
    <w:rPr>
      <w:rFonts w:ascii="宋体" w:eastAsia="宋体"/>
    </w:rPr>
  </w:style>
  <w:style w:type="paragraph" w:customStyle="1" w:styleId="195">
    <w:name w:val="标准文件_索引标题"/>
    <w:basedOn w:val="48"/>
    <w:next w:val="41"/>
    <w:qFormat/>
    <w:uiPriority w:val="0"/>
    <w:rPr>
      <w:rFonts w:hAnsi="黑体"/>
    </w:rPr>
  </w:style>
  <w:style w:type="paragraph" w:customStyle="1" w:styleId="196">
    <w:name w:val="标准文件_脚注内容"/>
    <w:basedOn w:val="41"/>
    <w:qFormat/>
    <w:uiPriority w:val="0"/>
    <w:pPr>
      <w:ind w:left="400" w:leftChars="200" w:hanging="200" w:hangingChars="200"/>
    </w:pPr>
    <w:rPr>
      <w:sz w:val="15"/>
    </w:rPr>
  </w:style>
  <w:style w:type="paragraph" w:customStyle="1" w:styleId="197">
    <w:name w:val="标准文件_术语条一"/>
    <w:basedOn w:val="140"/>
    <w:next w:val="41"/>
    <w:qFormat/>
    <w:uiPriority w:val="0"/>
  </w:style>
  <w:style w:type="paragraph" w:customStyle="1" w:styleId="198">
    <w:name w:val="标准文件_术语条二"/>
    <w:basedOn w:val="143"/>
    <w:next w:val="41"/>
    <w:qFormat/>
    <w:uiPriority w:val="0"/>
  </w:style>
  <w:style w:type="paragraph" w:customStyle="1" w:styleId="199">
    <w:name w:val="标准文件_术语条三"/>
    <w:basedOn w:val="142"/>
    <w:next w:val="41"/>
    <w:qFormat/>
    <w:uiPriority w:val="0"/>
  </w:style>
  <w:style w:type="paragraph" w:customStyle="1" w:styleId="200">
    <w:name w:val="标准文件_术语条四"/>
    <w:basedOn w:val="145"/>
    <w:next w:val="41"/>
    <w:qFormat/>
    <w:uiPriority w:val="0"/>
  </w:style>
  <w:style w:type="paragraph" w:customStyle="1" w:styleId="201">
    <w:name w:val="标准文件_术语条五"/>
    <w:basedOn w:val="141"/>
    <w:next w:val="41"/>
    <w:qFormat/>
    <w:uiPriority w:val="0"/>
  </w:style>
  <w:style w:type="paragraph" w:customStyle="1" w:styleId="20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3">
    <w:name w:val="段"/>
    <w:link w:val="2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5">
    <w:name w:val="一级条标题"/>
    <w:next w:val="20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06">
    <w:name w:val="章标题"/>
    <w:next w:val="203"/>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07">
    <w:name w:val="二级条标题"/>
    <w:basedOn w:val="205"/>
    <w:next w:val="203"/>
    <w:qFormat/>
    <w:uiPriority w:val="0"/>
    <w:pPr>
      <w:numPr>
        <w:ilvl w:val="2"/>
        <w:numId w:val="32"/>
      </w:numPr>
      <w:spacing w:beforeLines="50" w:afterLines="50"/>
      <w:outlineLvl w:val="3"/>
    </w:pPr>
  </w:style>
  <w:style w:type="paragraph" w:customStyle="1" w:styleId="208">
    <w:name w:val="三级条标题"/>
    <w:basedOn w:val="207"/>
    <w:next w:val="203"/>
    <w:qFormat/>
    <w:uiPriority w:val="0"/>
    <w:pPr>
      <w:numPr>
        <w:ilvl w:val="3"/>
        <w:numId w:val="32"/>
      </w:numPr>
      <w:outlineLvl w:val="4"/>
    </w:pPr>
  </w:style>
  <w:style w:type="paragraph" w:customStyle="1" w:styleId="209">
    <w:name w:val="四级条标题"/>
    <w:basedOn w:val="208"/>
    <w:next w:val="203"/>
    <w:qFormat/>
    <w:uiPriority w:val="0"/>
    <w:pPr>
      <w:numPr>
        <w:ilvl w:val="4"/>
        <w:numId w:val="32"/>
      </w:numPr>
      <w:outlineLvl w:val="5"/>
    </w:pPr>
  </w:style>
  <w:style w:type="paragraph" w:customStyle="1" w:styleId="210">
    <w:name w:val="五级条标题"/>
    <w:basedOn w:val="209"/>
    <w:next w:val="203"/>
    <w:qFormat/>
    <w:uiPriority w:val="0"/>
    <w:pPr>
      <w:numPr>
        <w:ilvl w:val="5"/>
        <w:numId w:val="32"/>
      </w:numPr>
      <w:outlineLvl w:val="6"/>
    </w:pPr>
  </w:style>
  <w:style w:type="paragraph" w:customStyle="1" w:styleId="211">
    <w:name w:val="数字编号列项（二级）"/>
    <w:qFormat/>
    <w:uiPriority w:val="0"/>
    <w:pPr>
      <w:numPr>
        <w:ilvl w:val="1"/>
        <w:numId w:val="33"/>
      </w:numPr>
      <w:tabs>
        <w:tab w:val="left" w:pos="840"/>
      </w:tabs>
      <w:jc w:val="both"/>
    </w:pPr>
    <w:rPr>
      <w:rFonts w:ascii="宋体" w:hAnsi="Times New Roman" w:eastAsia="宋体" w:cs="Times New Roman"/>
      <w:sz w:val="21"/>
      <w:lang w:val="en-US" w:eastAsia="zh-CN" w:bidi="ar-SA"/>
    </w:rPr>
  </w:style>
  <w:style w:type="paragraph" w:customStyle="1" w:styleId="212">
    <w:name w:val="注："/>
    <w:next w:val="20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13">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14">
    <w:name w:val="编号列项（三级）"/>
    <w:qFormat/>
    <w:uiPriority w:val="0"/>
    <w:pPr>
      <w:numPr>
        <w:ilvl w:val="2"/>
        <w:numId w:val="33"/>
      </w:numPr>
      <w:tabs>
        <w:tab w:val="left" w:pos="840"/>
      </w:tabs>
    </w:pPr>
    <w:rPr>
      <w:rFonts w:ascii="宋体" w:hAnsi="Times New Roman" w:eastAsia="宋体" w:cs="Times New Roman"/>
      <w:sz w:val="21"/>
      <w:lang w:val="en-US" w:eastAsia="zh-CN" w:bidi="ar-SA"/>
    </w:rPr>
  </w:style>
  <w:style w:type="paragraph" w:customStyle="1" w:styleId="215">
    <w:name w:val="正文表标题"/>
    <w:next w:val="20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16">
    <w:name w:val="附录标识"/>
    <w:basedOn w:val="1"/>
    <w:next w:val="203"/>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17">
    <w:name w:val="附录二级条标题"/>
    <w:basedOn w:val="1"/>
    <w:next w:val="203"/>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18">
    <w:name w:val="附录三级条标题"/>
    <w:basedOn w:val="217"/>
    <w:next w:val="203"/>
    <w:qFormat/>
    <w:uiPriority w:val="0"/>
    <w:pPr>
      <w:outlineLvl w:val="4"/>
    </w:pPr>
  </w:style>
  <w:style w:type="paragraph" w:customStyle="1" w:styleId="219">
    <w:name w:val="附录四级条标题"/>
    <w:basedOn w:val="218"/>
    <w:next w:val="203"/>
    <w:qFormat/>
    <w:uiPriority w:val="0"/>
    <w:pPr>
      <w:outlineLvl w:val="5"/>
    </w:pPr>
  </w:style>
  <w:style w:type="paragraph" w:customStyle="1" w:styleId="220">
    <w:name w:val="附录五级条标题"/>
    <w:basedOn w:val="219"/>
    <w:next w:val="203"/>
    <w:qFormat/>
    <w:uiPriority w:val="0"/>
    <w:pPr>
      <w:outlineLvl w:val="6"/>
    </w:pPr>
  </w:style>
  <w:style w:type="paragraph" w:customStyle="1" w:styleId="221">
    <w:name w:val="附录章标题"/>
    <w:next w:val="20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22">
    <w:name w:val="附录一级条标题"/>
    <w:basedOn w:val="221"/>
    <w:next w:val="203"/>
    <w:qFormat/>
    <w:uiPriority w:val="0"/>
    <w:pPr>
      <w:autoSpaceDN w:val="0"/>
      <w:spacing w:beforeLines="50" w:afterLines="50"/>
      <w:outlineLvl w:val="2"/>
    </w:pPr>
  </w:style>
  <w:style w:type="paragraph" w:customStyle="1" w:styleId="223">
    <w:name w:val="附录表标号"/>
    <w:basedOn w:val="1"/>
    <w:next w:val="203"/>
    <w:qFormat/>
    <w:uiPriority w:val="0"/>
    <w:pPr>
      <w:numPr>
        <w:ilvl w:val="0"/>
        <w:numId w:val="34"/>
      </w:numPr>
      <w:adjustRightInd/>
      <w:spacing w:line="14" w:lineRule="exact"/>
      <w:ind w:left="811" w:hanging="448"/>
      <w:jc w:val="center"/>
      <w:outlineLvl w:val="0"/>
    </w:pPr>
    <w:rPr>
      <w:rFonts w:ascii="Times New Roman" w:hAnsi="Times New Roman"/>
      <w:color w:val="FFFFFF"/>
      <w:szCs w:val="24"/>
    </w:rPr>
  </w:style>
  <w:style w:type="paragraph" w:customStyle="1" w:styleId="224">
    <w:name w:val="附录表标题"/>
    <w:basedOn w:val="1"/>
    <w:next w:val="203"/>
    <w:qFormat/>
    <w:uiPriority w:val="0"/>
    <w:pPr>
      <w:numPr>
        <w:ilvl w:val="1"/>
        <w:numId w:val="34"/>
      </w:numPr>
      <w:tabs>
        <w:tab w:val="left" w:pos="0"/>
        <w:tab w:val="left" w:pos="180"/>
      </w:tabs>
      <w:adjustRightInd/>
      <w:spacing w:beforeLines="50" w:afterLines="50" w:line="240" w:lineRule="auto"/>
      <w:ind w:left="0" w:firstLine="0"/>
      <w:jc w:val="center"/>
    </w:pPr>
    <w:rPr>
      <w:rFonts w:ascii="黑体" w:hAnsi="Times New Roman" w:eastAsia="黑体"/>
    </w:rPr>
  </w:style>
  <w:style w:type="paragraph" w:customStyle="1" w:styleId="225">
    <w:name w:val="注：（正文）"/>
    <w:basedOn w:val="212"/>
    <w:next w:val="203"/>
    <w:qFormat/>
    <w:uiPriority w:val="0"/>
    <w:pPr>
      <w:ind w:left="0" w:firstLine="0"/>
    </w:pPr>
  </w:style>
  <w:style w:type="paragraph" w:customStyle="1" w:styleId="226">
    <w:name w:val="附录图标号"/>
    <w:basedOn w:val="1"/>
    <w:qFormat/>
    <w:uiPriority w:val="0"/>
    <w:pPr>
      <w:keepNext/>
      <w:pageBreakBefore/>
      <w:widowControl/>
      <w:numPr>
        <w:ilvl w:val="0"/>
        <w:numId w:val="35"/>
      </w:numPr>
      <w:adjustRightInd/>
      <w:spacing w:line="14" w:lineRule="exact"/>
      <w:ind w:left="0" w:firstLine="363"/>
      <w:jc w:val="center"/>
      <w:outlineLvl w:val="0"/>
    </w:pPr>
    <w:rPr>
      <w:rFonts w:ascii="Times New Roman" w:hAnsi="Times New Roman"/>
      <w:color w:val="FFFFFF"/>
      <w:szCs w:val="24"/>
    </w:rPr>
  </w:style>
  <w:style w:type="paragraph" w:customStyle="1" w:styleId="227">
    <w:name w:val="附录图标题"/>
    <w:basedOn w:val="1"/>
    <w:next w:val="203"/>
    <w:qFormat/>
    <w:uiPriority w:val="0"/>
    <w:pPr>
      <w:numPr>
        <w:ilvl w:val="1"/>
        <w:numId w:val="35"/>
      </w:numPr>
      <w:tabs>
        <w:tab w:val="left" w:pos="363"/>
      </w:tabs>
      <w:adjustRightInd/>
      <w:spacing w:beforeLines="50" w:afterLines="50" w:line="240" w:lineRule="auto"/>
      <w:ind w:left="0" w:firstLine="0"/>
      <w:jc w:val="center"/>
    </w:pPr>
    <w:rPr>
      <w:rFonts w:ascii="黑体" w:hAnsi="Times New Roman" w:eastAsia="黑体"/>
    </w:rPr>
  </w:style>
  <w:style w:type="character" w:customStyle="1" w:styleId="228">
    <w:name w:val="标题 1 Char"/>
    <w:link w:val="2"/>
    <w:qFormat/>
    <w:uiPriority w:val="0"/>
    <w:rPr>
      <w:b/>
      <w:bCs/>
      <w:kern w:val="44"/>
      <w:sz w:val="44"/>
      <w:szCs w:val="44"/>
    </w:rPr>
  </w:style>
  <w:style w:type="character" w:customStyle="1" w:styleId="229">
    <w:name w:val="标题 2 Char"/>
    <w:link w:val="3"/>
    <w:qFormat/>
    <w:uiPriority w:val="0"/>
    <w:rPr>
      <w:rFonts w:ascii="Arial" w:hAnsi="Arial" w:eastAsia="黑体"/>
      <w:b/>
      <w:bCs/>
      <w:kern w:val="2"/>
      <w:sz w:val="32"/>
      <w:szCs w:val="32"/>
    </w:rPr>
  </w:style>
  <w:style w:type="character" w:customStyle="1" w:styleId="230">
    <w:name w:val="标题 3 Char"/>
    <w:link w:val="4"/>
    <w:qFormat/>
    <w:uiPriority w:val="0"/>
    <w:rPr>
      <w:b/>
      <w:bCs/>
      <w:kern w:val="2"/>
      <w:sz w:val="32"/>
      <w:szCs w:val="32"/>
    </w:rPr>
  </w:style>
  <w:style w:type="character" w:customStyle="1" w:styleId="231">
    <w:name w:val="标题 4 Char"/>
    <w:link w:val="5"/>
    <w:qFormat/>
    <w:uiPriority w:val="0"/>
    <w:rPr>
      <w:rFonts w:ascii="Arial" w:hAnsi="Arial" w:eastAsia="黑体"/>
      <w:b/>
      <w:bCs/>
      <w:kern w:val="2"/>
      <w:sz w:val="28"/>
      <w:szCs w:val="28"/>
    </w:rPr>
  </w:style>
  <w:style w:type="character" w:customStyle="1" w:styleId="232">
    <w:name w:val="标题 5 Char"/>
    <w:link w:val="6"/>
    <w:qFormat/>
    <w:uiPriority w:val="0"/>
    <w:rPr>
      <w:b/>
      <w:bCs/>
      <w:kern w:val="2"/>
      <w:sz w:val="28"/>
      <w:szCs w:val="28"/>
    </w:rPr>
  </w:style>
  <w:style w:type="character" w:customStyle="1" w:styleId="233">
    <w:name w:val="标题 6 Char"/>
    <w:link w:val="7"/>
    <w:qFormat/>
    <w:uiPriority w:val="0"/>
    <w:rPr>
      <w:rFonts w:ascii="Arial" w:hAnsi="Arial" w:eastAsia="黑体"/>
      <w:b/>
      <w:bCs/>
      <w:kern w:val="2"/>
      <w:sz w:val="24"/>
      <w:szCs w:val="24"/>
    </w:rPr>
  </w:style>
  <w:style w:type="character" w:customStyle="1" w:styleId="234">
    <w:name w:val="标题 7 Char"/>
    <w:link w:val="8"/>
    <w:qFormat/>
    <w:uiPriority w:val="0"/>
    <w:rPr>
      <w:b/>
      <w:bCs/>
      <w:kern w:val="2"/>
      <w:sz w:val="24"/>
      <w:szCs w:val="24"/>
    </w:rPr>
  </w:style>
  <w:style w:type="character" w:customStyle="1" w:styleId="235">
    <w:name w:val="标题 8 Char"/>
    <w:link w:val="9"/>
    <w:qFormat/>
    <w:uiPriority w:val="0"/>
    <w:rPr>
      <w:rFonts w:ascii="Arial" w:hAnsi="Arial" w:eastAsia="黑体"/>
      <w:kern w:val="2"/>
      <w:sz w:val="24"/>
      <w:szCs w:val="24"/>
    </w:rPr>
  </w:style>
  <w:style w:type="character" w:customStyle="1" w:styleId="236">
    <w:name w:val="标题 9 Char"/>
    <w:link w:val="10"/>
    <w:qFormat/>
    <w:uiPriority w:val="0"/>
    <w:rPr>
      <w:rFonts w:ascii="Arial" w:hAnsi="Arial" w:eastAsia="黑体"/>
      <w:kern w:val="2"/>
      <w:sz w:val="21"/>
      <w:szCs w:val="21"/>
    </w:rPr>
  </w:style>
  <w:style w:type="character" w:customStyle="1" w:styleId="237">
    <w:name w:val="页眉 Char"/>
    <w:link w:val="18"/>
    <w:qFormat/>
    <w:uiPriority w:val="99"/>
    <w:rPr>
      <w:kern w:val="2"/>
      <w:sz w:val="18"/>
      <w:szCs w:val="18"/>
    </w:rPr>
  </w:style>
  <w:style w:type="character" w:customStyle="1" w:styleId="238">
    <w:name w:val="页脚 Char"/>
    <w:link w:val="17"/>
    <w:qFormat/>
    <w:uiPriority w:val="99"/>
    <w:rPr>
      <w:rFonts w:ascii="宋体"/>
      <w:kern w:val="2"/>
      <w:sz w:val="18"/>
      <w:szCs w:val="18"/>
    </w:rPr>
  </w:style>
  <w:style w:type="character" w:customStyle="1" w:styleId="239">
    <w:name w:val="批注框文本 Char"/>
    <w:link w:val="16"/>
    <w:semiHidden/>
    <w:qFormat/>
    <w:uiPriority w:val="99"/>
    <w:rPr>
      <w:kern w:val="2"/>
      <w:sz w:val="18"/>
      <w:szCs w:val="18"/>
    </w:rPr>
  </w:style>
  <w:style w:type="character" w:customStyle="1" w:styleId="240">
    <w:name w:val="引用 字符"/>
    <w:link w:val="33"/>
    <w:qFormat/>
    <w:uiPriority w:val="29"/>
    <w:rPr>
      <w:i/>
      <w:iCs/>
      <w:color w:val="000000"/>
      <w:kern w:val="2"/>
      <w:sz w:val="21"/>
      <w:szCs w:val="21"/>
    </w:rPr>
  </w:style>
  <w:style w:type="character" w:customStyle="1" w:styleId="241">
    <w:name w:val="标题 Char"/>
    <w:link w:val="25"/>
    <w:qFormat/>
    <w:uiPriority w:val="0"/>
    <w:rPr>
      <w:rFonts w:ascii="Arial" w:hAnsi="Arial" w:cs="Arial"/>
      <w:b/>
      <w:bCs/>
      <w:kern w:val="2"/>
      <w:sz w:val="32"/>
      <w:szCs w:val="32"/>
    </w:rPr>
  </w:style>
  <w:style w:type="character" w:customStyle="1" w:styleId="242">
    <w:name w:val="标准文件_发布"/>
    <w:qFormat/>
    <w:uiPriority w:val="0"/>
    <w:rPr>
      <w:rFonts w:ascii="黑体" w:eastAsia="黑体"/>
      <w:spacing w:val="0"/>
      <w:w w:val="100"/>
      <w:position w:val="3"/>
      <w:sz w:val="28"/>
    </w:rPr>
  </w:style>
  <w:style w:type="character" w:customStyle="1" w:styleId="243">
    <w:name w:val="正文文本 Char"/>
    <w:link w:val="13"/>
    <w:qFormat/>
    <w:uiPriority w:val="0"/>
    <w:rPr>
      <w:kern w:val="2"/>
      <w:sz w:val="21"/>
      <w:szCs w:val="21"/>
    </w:rPr>
  </w:style>
  <w:style w:type="character" w:customStyle="1" w:styleId="244">
    <w:name w:val="不明显参考1"/>
    <w:qFormat/>
    <w:uiPriority w:val="31"/>
    <w:rPr>
      <w:smallCaps/>
      <w:color w:val="C0504D"/>
      <w:u w:val="single"/>
    </w:rPr>
  </w:style>
  <w:style w:type="character" w:customStyle="1" w:styleId="245">
    <w:name w:val="脚注文本 Char"/>
    <w:link w:val="21"/>
    <w:semiHidden/>
    <w:qFormat/>
    <w:uiPriority w:val="0"/>
    <w:rPr>
      <w:rFonts w:ascii="宋体"/>
      <w:kern w:val="2"/>
      <w:sz w:val="18"/>
      <w:szCs w:val="18"/>
    </w:rPr>
  </w:style>
  <w:style w:type="character" w:customStyle="1" w:styleId="246">
    <w:name w:val="标准文件_图表脚注内容"/>
    <w:qFormat/>
    <w:uiPriority w:val="0"/>
    <w:rPr>
      <w:rFonts w:ascii="宋体" w:hAnsi="宋体" w:eastAsia="宋体" w:cs="Times New Roman"/>
      <w:spacing w:val="0"/>
      <w:sz w:val="18"/>
      <w:vertAlign w:val="superscript"/>
    </w:rPr>
  </w:style>
  <w:style w:type="character" w:customStyle="1" w:styleId="247">
    <w:name w:val="个人答复风格"/>
    <w:qFormat/>
    <w:uiPriority w:val="0"/>
    <w:rPr>
      <w:rFonts w:ascii="Arial" w:hAnsi="Arial" w:eastAsia="宋体" w:cs="Arial"/>
      <w:color w:val="auto"/>
      <w:spacing w:val="0"/>
      <w:sz w:val="20"/>
    </w:rPr>
  </w:style>
  <w:style w:type="character" w:customStyle="1" w:styleId="248">
    <w:name w:val="个人撰写风格"/>
    <w:qFormat/>
    <w:uiPriority w:val="0"/>
    <w:rPr>
      <w:rFonts w:ascii="Arial" w:hAnsi="Arial" w:eastAsia="宋体" w:cs="Arial"/>
      <w:color w:val="auto"/>
      <w:spacing w:val="0"/>
      <w:sz w:val="20"/>
    </w:rPr>
  </w:style>
  <w:style w:type="character" w:customStyle="1" w:styleId="249">
    <w:name w:val="标准文件_段 Char"/>
    <w:link w:val="41"/>
    <w:uiPriority w:val="0"/>
    <w:rPr>
      <w:rFonts w:ascii="宋体" w:hAnsi="Times New Roman"/>
      <w:sz w:val="21"/>
    </w:rPr>
  </w:style>
  <w:style w:type="character" w:customStyle="1" w:styleId="250">
    <w:name w:val="占位符文本1"/>
    <w:basedOn w:val="27"/>
    <w:semiHidden/>
    <w:qFormat/>
    <w:uiPriority w:val="99"/>
    <w:rPr>
      <w:color w:val="808080"/>
    </w:rPr>
  </w:style>
  <w:style w:type="character" w:customStyle="1" w:styleId="251">
    <w:name w:val="标准文件_来源"/>
    <w:basedOn w:val="27"/>
    <w:qFormat/>
    <w:uiPriority w:val="1"/>
    <w:rPr>
      <w:rFonts w:eastAsia="宋体"/>
      <w:sz w:val="21"/>
    </w:rPr>
  </w:style>
  <w:style w:type="character" w:customStyle="1" w:styleId="252">
    <w:name w:val="标准文件_示例X后 字符"/>
    <w:basedOn w:val="249"/>
    <w:link w:val="183"/>
    <w:qFormat/>
    <w:uiPriority w:val="0"/>
    <w:rPr>
      <w:rFonts w:ascii="宋体" w:hAnsi="Times New Roman"/>
      <w:sz w:val="18"/>
    </w:rPr>
  </w:style>
  <w:style w:type="character" w:customStyle="1" w:styleId="253">
    <w:name w:val="发布"/>
    <w:basedOn w:val="27"/>
    <w:qFormat/>
    <w:uiPriority w:val="0"/>
    <w:rPr>
      <w:rFonts w:ascii="黑体" w:eastAsia="黑体"/>
      <w:spacing w:val="85"/>
      <w:w w:val="100"/>
      <w:position w:val="3"/>
      <w:sz w:val="28"/>
      <w:szCs w:val="28"/>
    </w:rPr>
  </w:style>
  <w:style w:type="character" w:customStyle="1" w:styleId="254">
    <w:name w:val="段 Char"/>
    <w:basedOn w:val="27"/>
    <w:link w:val="203"/>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2.xml"/><Relationship Id="rId69" Type="http://schemas.openxmlformats.org/officeDocument/2006/relationships/image" Target="media/image9.jpeg"/><Relationship Id="rId68" Type="http://schemas.openxmlformats.org/officeDocument/2006/relationships/image" Target="media/image8.wmf"/><Relationship Id="rId67" Type="http://schemas.openxmlformats.org/officeDocument/2006/relationships/oleObject" Target="embeddings/oleObject7.bin"/><Relationship Id="rId66" Type="http://schemas.openxmlformats.org/officeDocument/2006/relationships/image" Target="media/image7.jpeg"/><Relationship Id="rId65" Type="http://schemas.openxmlformats.org/officeDocument/2006/relationships/image" Target="media/image6.wmf"/><Relationship Id="rId64" Type="http://schemas.openxmlformats.org/officeDocument/2006/relationships/oleObject" Target="embeddings/oleObject6.bin"/><Relationship Id="rId63" Type="http://schemas.openxmlformats.org/officeDocument/2006/relationships/image" Target="media/image5.wmf"/><Relationship Id="rId62" Type="http://schemas.openxmlformats.org/officeDocument/2006/relationships/oleObject" Target="embeddings/oleObject5.bin"/><Relationship Id="rId61" Type="http://schemas.openxmlformats.org/officeDocument/2006/relationships/image" Target="media/image4.wmf"/><Relationship Id="rId60" Type="http://schemas.openxmlformats.org/officeDocument/2006/relationships/oleObject" Target="embeddings/oleObject4.bin"/><Relationship Id="rId6" Type="http://schemas.openxmlformats.org/officeDocument/2006/relationships/footer" Target="footer1.xml"/><Relationship Id="rId59" Type="http://schemas.openxmlformats.org/officeDocument/2006/relationships/image" Target="media/image3.wmf"/><Relationship Id="rId58" Type="http://schemas.openxmlformats.org/officeDocument/2006/relationships/oleObject" Target="embeddings/oleObject3.bin"/><Relationship Id="rId57" Type="http://schemas.openxmlformats.org/officeDocument/2006/relationships/image" Target="media/image2.wmf"/><Relationship Id="rId56" Type="http://schemas.openxmlformats.org/officeDocument/2006/relationships/oleObject" Target="embeddings/oleObject2.bin"/><Relationship Id="rId55" Type="http://schemas.openxmlformats.org/officeDocument/2006/relationships/image" Target="media/image1.wmf"/><Relationship Id="rId54" Type="http://schemas.openxmlformats.org/officeDocument/2006/relationships/oleObject" Target="embeddings/oleObject1.bin"/><Relationship Id="rId53" Type="http://schemas.openxmlformats.org/officeDocument/2006/relationships/theme" Target="theme/theme1.xml"/><Relationship Id="rId52" Type="http://schemas.openxmlformats.org/officeDocument/2006/relationships/footer" Target="footer25.xml"/><Relationship Id="rId51" Type="http://schemas.openxmlformats.org/officeDocument/2006/relationships/footer" Target="footer24.xml"/><Relationship Id="rId50" Type="http://schemas.openxmlformats.org/officeDocument/2006/relationships/header" Target="header25.xml"/><Relationship Id="rId5" Type="http://schemas.openxmlformats.org/officeDocument/2006/relationships/header" Target="header3.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header" Target="header23.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footer" Target="footer20.xml"/><Relationship Id="rId42" Type="http://schemas.openxmlformats.org/officeDocument/2006/relationships/header" Target="header21.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header" Target="header2.xml"/><Relationship Id="rId39" Type="http://schemas.openxmlformats.org/officeDocument/2006/relationships/footer" Target="footer18.xml"/><Relationship Id="rId38" Type="http://schemas.openxmlformats.org/officeDocument/2006/relationships/header" Target="header19.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38</Pages>
  <Words>3547</Words>
  <Characters>20221</Characters>
  <Lines>168</Lines>
  <Paragraphs>47</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2023-01-02T02:10:00Z</dcterms:created>
  <dc:creator>阿基里斯赵建明</dc:creator>
  <dc:description>&lt;config cover="true" show_menu="true" version="1.0.0" doctype="SDKXY"&gt;_x000d_
&lt;/config&gt;</dc:description>
  <cp:lastModifiedBy>北京老田</cp:lastModifiedBy>
  <cp:lastPrinted>2023-01-04T09:00:00Z</cp:lastPrinted>
  <dcterms:modified xsi:type="dcterms:W3CDTF">2024-03-03T04:44:56Z</dcterms:modified>
  <dc:title>团体标准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2052-11.1.0.10314</vt:lpwstr>
  </property>
</Properties>
</file>