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2240" w:firstLineChars="400"/>
        <w:rPr>
          <w:rFonts w:ascii="黑体" w:hAnsi="黑体" w:eastAsia="黑体" w:cs="黑体"/>
          <w:b/>
          <w:sz w:val="30"/>
          <w:szCs w:val="30"/>
        </w:rPr>
      </w:pPr>
      <w:r>
        <w:rPr>
          <w:rFonts w:hint="eastAsia"/>
          <w:spacing w:val="20"/>
          <w:sz w:val="52"/>
          <w:szCs w:val="52"/>
        </w:rPr>
        <w:t>内蒙古标准化协会</w:t>
      </w:r>
    </w:p>
    <w:p>
      <w:pPr>
        <w:spacing w:line="360" w:lineRule="auto"/>
        <w:ind w:firstLine="602" w:firstLineChars="200"/>
        <w:jc w:val="center"/>
        <w:rPr>
          <w:rFonts w:ascii="黑体" w:hAnsi="黑体" w:eastAsia="黑体" w:cs="黑体"/>
          <w:b/>
          <w:sz w:val="30"/>
          <w:szCs w:val="30"/>
        </w:rPr>
      </w:pPr>
    </w:p>
    <w:p>
      <w:pPr>
        <w:spacing w:line="360" w:lineRule="auto"/>
        <w:ind w:firstLine="602" w:firstLineChars="200"/>
        <w:jc w:val="center"/>
        <w:rPr>
          <w:rFonts w:ascii="黑体" w:hAnsi="黑体" w:eastAsia="黑体" w:cs="黑体"/>
          <w:b/>
          <w:sz w:val="30"/>
          <w:szCs w:val="30"/>
        </w:rPr>
      </w:pPr>
    </w:p>
    <w:p>
      <w:pPr>
        <w:spacing w:after="240"/>
        <w:jc w:val="center"/>
        <w:rPr>
          <w:rFonts w:ascii="黑体" w:hAnsi="黑体" w:eastAsia="黑体" w:cs="黑体"/>
          <w:bCs/>
          <w:color w:val="000000"/>
          <w:kern w:val="0"/>
          <w:sz w:val="40"/>
          <w:szCs w:val="40"/>
        </w:rPr>
      </w:pPr>
      <w:r>
        <w:rPr>
          <w:rFonts w:hint="eastAsia" w:ascii="黑体" w:hAnsi="黑体" w:eastAsia="黑体" w:cs="黑体"/>
          <w:color w:val="000000"/>
          <w:kern w:val="0"/>
          <w:sz w:val="40"/>
          <w:szCs w:val="40"/>
        </w:rPr>
        <w:t>《</w:t>
      </w:r>
      <w:r>
        <w:rPr>
          <w:rFonts w:hint="eastAsia" w:ascii="黑体" w:hAnsi="黑体" w:eastAsia="黑体" w:cs="黑体"/>
          <w:bCs/>
          <w:color w:val="000000"/>
          <w:kern w:val="0"/>
          <w:sz w:val="40"/>
          <w:szCs w:val="40"/>
        </w:rPr>
        <w:t>托县“灯笼红”辣椒露地覆膜栽培技术规程</w:t>
      </w:r>
      <w:r>
        <w:rPr>
          <w:rFonts w:hint="eastAsia" w:ascii="黑体" w:hAnsi="黑体" w:eastAsia="黑体" w:cs="黑体"/>
          <w:color w:val="000000"/>
          <w:kern w:val="0"/>
          <w:sz w:val="40"/>
          <w:szCs w:val="40"/>
        </w:rPr>
        <w:t>》</w:t>
      </w:r>
    </w:p>
    <w:p>
      <w:pPr>
        <w:spacing w:after="240" w:line="360" w:lineRule="auto"/>
        <w:ind w:firstLine="800" w:firstLineChars="200"/>
        <w:jc w:val="center"/>
        <w:rPr>
          <w:rFonts w:ascii="黑体" w:hAnsi="黑体" w:eastAsia="黑体" w:cs="黑体"/>
          <w:color w:val="000000"/>
          <w:kern w:val="0"/>
          <w:sz w:val="40"/>
          <w:szCs w:val="40"/>
        </w:rPr>
      </w:pPr>
      <w:r>
        <w:rPr>
          <w:rFonts w:hint="eastAsia" w:ascii="黑体" w:hAnsi="黑体" w:eastAsia="黑体" w:cs="黑体"/>
          <w:color w:val="000000"/>
          <w:kern w:val="0"/>
          <w:sz w:val="40"/>
          <w:szCs w:val="40"/>
        </w:rPr>
        <w:t>编制说明</w:t>
      </w:r>
    </w:p>
    <w:p>
      <w:pPr>
        <w:spacing w:line="360" w:lineRule="auto"/>
        <w:ind w:firstLine="800" w:firstLineChars="200"/>
        <w:jc w:val="center"/>
        <w:rPr>
          <w:rFonts w:ascii="黑体" w:hAnsi="黑体" w:eastAsia="黑体" w:cs="黑体"/>
          <w:color w:val="000000"/>
          <w:kern w:val="0"/>
          <w:sz w:val="40"/>
          <w:szCs w:val="40"/>
        </w:rPr>
      </w:pPr>
      <w:r>
        <w:rPr>
          <w:rFonts w:hint="eastAsia" w:ascii="黑体" w:hAnsi="黑体" w:eastAsia="黑体" w:cs="黑体"/>
          <w:color w:val="000000"/>
          <w:kern w:val="0"/>
          <w:sz w:val="40"/>
          <w:szCs w:val="40"/>
        </w:rPr>
        <w:t>（</w:t>
      </w:r>
      <w:r>
        <w:rPr>
          <w:rFonts w:hint="eastAsia" w:ascii="黑体" w:hAnsi="黑体" w:eastAsia="黑体" w:cs="黑体"/>
          <w:color w:val="000000"/>
          <w:kern w:val="0"/>
          <w:sz w:val="40"/>
          <w:szCs w:val="40"/>
          <w:lang w:val="en-US" w:eastAsia="zh-CN"/>
        </w:rPr>
        <w:t>征求意见稿</w:t>
      </w:r>
      <w:r>
        <w:rPr>
          <w:rFonts w:hint="eastAsia" w:ascii="黑体" w:hAnsi="黑体" w:eastAsia="黑体" w:cs="黑体"/>
          <w:color w:val="000000"/>
          <w:kern w:val="0"/>
          <w:sz w:val="40"/>
          <w:szCs w:val="40"/>
        </w:rPr>
        <w:t>）</w:t>
      </w:r>
    </w:p>
    <w:p>
      <w:pPr>
        <w:spacing w:line="360" w:lineRule="auto"/>
        <w:ind w:firstLine="602" w:firstLineChars="200"/>
        <w:jc w:val="center"/>
        <w:rPr>
          <w:rFonts w:ascii="黑体" w:hAnsi="黑体" w:eastAsia="黑体" w:cs="黑体"/>
          <w:b/>
          <w:sz w:val="30"/>
          <w:szCs w:val="30"/>
        </w:rPr>
      </w:pPr>
    </w:p>
    <w:p>
      <w:pPr>
        <w:spacing w:line="360" w:lineRule="auto"/>
        <w:ind w:firstLine="602" w:firstLineChars="200"/>
        <w:jc w:val="center"/>
        <w:rPr>
          <w:rFonts w:ascii="黑体" w:hAnsi="黑体" w:eastAsia="黑体" w:cs="黑体"/>
          <w:b/>
          <w:sz w:val="30"/>
          <w:szCs w:val="30"/>
        </w:rPr>
      </w:pPr>
    </w:p>
    <w:p>
      <w:pPr>
        <w:spacing w:line="360" w:lineRule="auto"/>
        <w:ind w:firstLine="602" w:firstLineChars="200"/>
        <w:jc w:val="center"/>
        <w:rPr>
          <w:rFonts w:ascii="黑体" w:hAnsi="黑体" w:eastAsia="黑体" w:cs="黑体"/>
          <w:b/>
          <w:sz w:val="30"/>
          <w:szCs w:val="30"/>
        </w:rPr>
      </w:pPr>
    </w:p>
    <w:p>
      <w:pPr>
        <w:spacing w:line="360" w:lineRule="auto"/>
        <w:ind w:firstLine="602" w:firstLineChars="200"/>
        <w:jc w:val="center"/>
        <w:rPr>
          <w:rFonts w:ascii="黑体" w:hAnsi="黑体" w:eastAsia="黑体" w:cs="黑体"/>
          <w:b/>
          <w:sz w:val="30"/>
          <w:szCs w:val="30"/>
        </w:rPr>
      </w:pPr>
    </w:p>
    <w:p>
      <w:pPr>
        <w:spacing w:line="360" w:lineRule="auto"/>
        <w:ind w:firstLine="602" w:firstLineChars="200"/>
        <w:jc w:val="center"/>
        <w:rPr>
          <w:rFonts w:ascii="黑体" w:hAnsi="黑体" w:eastAsia="黑体" w:cs="黑体"/>
          <w:b/>
          <w:sz w:val="30"/>
          <w:szCs w:val="30"/>
        </w:rPr>
      </w:pPr>
    </w:p>
    <w:p>
      <w:pPr>
        <w:spacing w:line="360" w:lineRule="auto"/>
        <w:ind w:firstLine="602" w:firstLineChars="200"/>
        <w:jc w:val="center"/>
        <w:rPr>
          <w:rFonts w:ascii="黑体" w:hAnsi="黑体" w:eastAsia="黑体" w:cs="黑体"/>
          <w:b/>
          <w:sz w:val="30"/>
          <w:szCs w:val="30"/>
        </w:rPr>
      </w:pPr>
    </w:p>
    <w:p>
      <w:pPr>
        <w:spacing w:line="360" w:lineRule="auto"/>
        <w:ind w:firstLine="602" w:firstLineChars="200"/>
        <w:jc w:val="center"/>
        <w:rPr>
          <w:rFonts w:ascii="黑体" w:hAnsi="黑体" w:eastAsia="黑体" w:cs="黑体"/>
          <w:b/>
          <w:sz w:val="30"/>
          <w:szCs w:val="30"/>
        </w:rPr>
      </w:pPr>
    </w:p>
    <w:p>
      <w:pPr>
        <w:spacing w:line="360" w:lineRule="auto"/>
        <w:ind w:firstLine="602" w:firstLineChars="200"/>
        <w:jc w:val="center"/>
        <w:rPr>
          <w:rFonts w:ascii="黑体" w:hAnsi="黑体" w:eastAsia="黑体" w:cs="黑体"/>
          <w:b/>
          <w:sz w:val="30"/>
          <w:szCs w:val="30"/>
        </w:rPr>
      </w:pPr>
    </w:p>
    <w:p>
      <w:pPr>
        <w:spacing w:line="360" w:lineRule="auto"/>
        <w:ind w:firstLine="602" w:firstLineChars="200"/>
        <w:jc w:val="center"/>
        <w:rPr>
          <w:rFonts w:ascii="黑体" w:hAnsi="黑体" w:eastAsia="黑体" w:cs="黑体"/>
          <w:b/>
          <w:sz w:val="30"/>
          <w:szCs w:val="30"/>
        </w:rPr>
      </w:pPr>
    </w:p>
    <w:p>
      <w:pPr>
        <w:spacing w:line="360" w:lineRule="auto"/>
        <w:ind w:firstLine="602" w:firstLineChars="200"/>
        <w:jc w:val="center"/>
        <w:rPr>
          <w:rFonts w:ascii="黑体" w:hAnsi="黑体" w:eastAsia="黑体" w:cs="黑体"/>
          <w:b/>
          <w:sz w:val="30"/>
          <w:szCs w:val="30"/>
        </w:rPr>
      </w:pPr>
    </w:p>
    <w:p>
      <w:pPr>
        <w:spacing w:line="360" w:lineRule="auto"/>
        <w:jc w:val="center"/>
        <w:rPr>
          <w:rFonts w:hint="eastAsia" w:ascii="黑体" w:hAnsi="黑体" w:eastAsia="黑体" w:cs="黑体"/>
          <w:b/>
          <w:sz w:val="32"/>
          <w:szCs w:val="32"/>
        </w:rPr>
      </w:pPr>
    </w:p>
    <w:p>
      <w:pPr>
        <w:spacing w:line="360" w:lineRule="auto"/>
        <w:jc w:val="center"/>
        <w:rPr>
          <w:rFonts w:ascii="黑体" w:hAnsi="黑体" w:eastAsia="黑体" w:cs="黑体"/>
          <w:b/>
          <w:sz w:val="32"/>
          <w:szCs w:val="32"/>
        </w:rPr>
      </w:pPr>
      <w:r>
        <w:rPr>
          <w:rFonts w:hint="eastAsia" w:ascii="黑体" w:hAnsi="黑体" w:eastAsia="黑体" w:cs="黑体"/>
          <w:b/>
          <w:sz w:val="32"/>
          <w:szCs w:val="32"/>
        </w:rPr>
        <w:t>《托县“灯笼红”辣椒露地覆膜栽培技术</w:t>
      </w:r>
      <w:r>
        <w:rPr>
          <w:rFonts w:hint="eastAsia" w:ascii="黑体" w:hAnsi="黑体" w:eastAsia="黑体" w:cs="黑体"/>
          <w:b/>
          <w:sz w:val="32"/>
          <w:szCs w:val="32"/>
          <w:lang w:eastAsia="zh-CN"/>
        </w:rPr>
        <w:t>规</w:t>
      </w:r>
      <w:r>
        <w:rPr>
          <w:rFonts w:hint="eastAsia" w:ascii="黑体" w:hAnsi="黑体" w:eastAsia="黑体" w:cs="黑体"/>
          <w:b/>
          <w:sz w:val="32"/>
          <w:szCs w:val="32"/>
        </w:rPr>
        <w:t>程》起草组</w:t>
      </w:r>
    </w:p>
    <w:p>
      <w:pPr>
        <w:spacing w:line="360" w:lineRule="auto"/>
        <w:ind w:firstLine="803" w:firstLineChars="200"/>
        <w:jc w:val="center"/>
        <w:rPr>
          <w:rFonts w:ascii="黑体" w:hAnsi="黑体" w:eastAsia="黑体" w:cs="黑体"/>
          <w:b/>
          <w:sz w:val="40"/>
          <w:szCs w:val="40"/>
        </w:rPr>
      </w:pPr>
      <w:r>
        <w:rPr>
          <w:rFonts w:hint="eastAsia" w:ascii="黑体" w:hAnsi="黑体" w:eastAsia="黑体" w:cs="黑体"/>
          <w:b/>
          <w:sz w:val="40"/>
          <w:szCs w:val="40"/>
        </w:rPr>
        <w:t>20</w:t>
      </w:r>
      <w:r>
        <w:rPr>
          <w:rFonts w:ascii="黑体" w:hAnsi="黑体" w:eastAsia="黑体" w:cs="黑体"/>
          <w:b/>
          <w:sz w:val="40"/>
          <w:szCs w:val="40"/>
        </w:rPr>
        <w:t>2</w:t>
      </w:r>
      <w:r>
        <w:rPr>
          <w:rFonts w:hint="eastAsia" w:ascii="黑体" w:hAnsi="黑体" w:eastAsia="黑体" w:cs="黑体"/>
          <w:b/>
          <w:sz w:val="40"/>
          <w:szCs w:val="40"/>
          <w:lang w:val="en-US" w:eastAsia="zh-CN"/>
        </w:rPr>
        <w:t>4</w:t>
      </w:r>
      <w:r>
        <w:rPr>
          <w:rFonts w:hint="eastAsia" w:ascii="黑体" w:hAnsi="黑体" w:eastAsia="黑体" w:cs="黑体"/>
          <w:b/>
          <w:sz w:val="40"/>
          <w:szCs w:val="40"/>
        </w:rPr>
        <w:t>年</w:t>
      </w:r>
      <w:r>
        <w:rPr>
          <w:rFonts w:hint="eastAsia" w:ascii="黑体" w:hAnsi="黑体" w:eastAsia="黑体" w:cs="黑体"/>
          <w:b/>
          <w:sz w:val="40"/>
          <w:szCs w:val="40"/>
          <w:lang w:val="en-US" w:eastAsia="zh-CN"/>
        </w:rPr>
        <w:t>2</w:t>
      </w:r>
      <w:r>
        <w:rPr>
          <w:rFonts w:hint="eastAsia" w:ascii="黑体" w:hAnsi="黑体" w:eastAsia="黑体" w:cs="黑体"/>
          <w:b/>
          <w:sz w:val="40"/>
          <w:szCs w:val="40"/>
        </w:rPr>
        <w:t>月</w:t>
      </w:r>
    </w:p>
    <w:p>
      <w:pPr>
        <w:spacing w:line="360" w:lineRule="auto"/>
        <w:ind w:firstLine="602" w:firstLineChars="200"/>
        <w:rPr>
          <w:rFonts w:ascii="黑体" w:hAnsi="黑体" w:eastAsia="黑体" w:cs="黑体"/>
          <w:b/>
          <w:sz w:val="30"/>
          <w:szCs w:val="30"/>
        </w:rPr>
      </w:pPr>
    </w:p>
    <w:p>
      <w:pPr>
        <w:jc w:val="center"/>
        <w:rPr>
          <w:rFonts w:asciiTheme="minorEastAsia" w:hAnsiTheme="minorEastAsia"/>
          <w:b/>
          <w:sz w:val="36"/>
          <w:szCs w:val="36"/>
        </w:rPr>
      </w:pPr>
    </w:p>
    <w:p>
      <w:pPr>
        <w:jc w:val="center"/>
        <w:rPr>
          <w:rFonts w:asciiTheme="minorEastAsia" w:hAnsiTheme="minorEastAsia"/>
          <w:b/>
          <w:sz w:val="36"/>
          <w:szCs w:val="36"/>
        </w:rPr>
      </w:pPr>
      <w:r>
        <w:rPr>
          <w:rFonts w:hint="eastAsia" w:asciiTheme="minorEastAsia" w:hAnsiTheme="minorEastAsia"/>
          <w:b/>
          <w:sz w:val="36"/>
          <w:szCs w:val="36"/>
        </w:rPr>
        <w:t>《托县“灯笼红”辣椒露地覆膜栽培技术规程》</w:t>
      </w:r>
    </w:p>
    <w:p>
      <w:pPr>
        <w:jc w:val="center"/>
        <w:rPr>
          <w:rFonts w:asciiTheme="minorEastAsia" w:hAnsiTheme="minorEastAsia"/>
          <w:b/>
          <w:sz w:val="36"/>
          <w:szCs w:val="36"/>
        </w:rPr>
      </w:pPr>
      <w:r>
        <w:rPr>
          <w:rFonts w:hint="eastAsia" w:asciiTheme="minorEastAsia" w:hAnsiTheme="minorEastAsia"/>
          <w:b/>
          <w:sz w:val="36"/>
          <w:szCs w:val="36"/>
        </w:rPr>
        <w:t>编制说明</w:t>
      </w:r>
    </w:p>
    <w:p>
      <w:pPr>
        <w:rPr>
          <w:rFonts w:ascii="仿宋" w:hAnsi="仿宋" w:eastAsia="仿宋"/>
          <w:b/>
          <w:sz w:val="30"/>
          <w:szCs w:val="30"/>
        </w:rPr>
      </w:pPr>
      <w:r>
        <w:rPr>
          <w:rFonts w:hint="eastAsia" w:ascii="仿宋" w:hAnsi="仿宋" w:eastAsia="仿宋"/>
          <w:b/>
          <w:sz w:val="30"/>
          <w:szCs w:val="30"/>
        </w:rPr>
        <w:t>一、工作简况</w:t>
      </w:r>
    </w:p>
    <w:p>
      <w:pPr>
        <w:rPr>
          <w:rFonts w:ascii="仿宋" w:hAnsi="仿宋" w:eastAsia="仿宋"/>
          <w:b/>
          <w:sz w:val="28"/>
          <w:szCs w:val="28"/>
        </w:rPr>
      </w:pPr>
      <w:r>
        <w:rPr>
          <w:rFonts w:hint="eastAsia" w:ascii="仿宋" w:hAnsi="仿宋" w:eastAsia="仿宋"/>
          <w:b/>
          <w:sz w:val="28"/>
          <w:szCs w:val="28"/>
        </w:rPr>
        <w:t>1、任务来源</w:t>
      </w:r>
    </w:p>
    <w:p>
      <w:pPr>
        <w:spacing w:line="480" w:lineRule="exact"/>
        <w:ind w:firstLine="560" w:firstLineChars="200"/>
        <w:rPr>
          <w:rFonts w:hint="eastAsia" w:ascii="仿宋" w:hAnsi="仿宋" w:eastAsia="仿宋"/>
          <w:sz w:val="28"/>
          <w:szCs w:val="28"/>
          <w:lang w:eastAsia="zh-CN"/>
        </w:rPr>
      </w:pPr>
      <w:r>
        <w:rPr>
          <w:rFonts w:hint="eastAsia" w:ascii="仿宋" w:hAnsi="仿宋" w:eastAsia="仿宋"/>
          <w:sz w:val="28"/>
          <w:szCs w:val="28"/>
          <w:lang w:val="en-US" w:eastAsia="zh-CN"/>
        </w:rPr>
        <w:t>2022年受内蒙古自治区农畜产品质量安全中心委</w:t>
      </w:r>
      <w:r>
        <w:rPr>
          <w:rFonts w:hint="eastAsia" w:ascii="仿宋" w:hAnsi="仿宋" w:eastAsia="仿宋"/>
          <w:sz w:val="28"/>
          <w:szCs w:val="28"/>
        </w:rPr>
        <w:t>托托克托县农畜产品质量安全中心开展的</w:t>
      </w:r>
      <w:r>
        <w:rPr>
          <w:rFonts w:hint="eastAsia" w:ascii="仿宋" w:hAnsi="仿宋" w:eastAsia="仿宋"/>
          <w:sz w:val="28"/>
          <w:szCs w:val="28"/>
          <w:lang w:eastAsia="zh-CN"/>
        </w:rPr>
        <w:t>托县“灯笼红”辣椒</w:t>
      </w:r>
      <w:r>
        <w:rPr>
          <w:rFonts w:hint="eastAsia" w:ascii="仿宋" w:hAnsi="仿宋" w:eastAsia="仿宋"/>
          <w:sz w:val="28"/>
          <w:szCs w:val="28"/>
        </w:rPr>
        <w:t>全程质量控制技术体系应用推广项目</w:t>
      </w:r>
      <w:r>
        <w:rPr>
          <w:rFonts w:hint="eastAsia" w:ascii="仿宋" w:hAnsi="仿宋" w:eastAsia="仿宋"/>
          <w:sz w:val="28"/>
          <w:szCs w:val="28"/>
          <w:lang w:eastAsia="zh-CN"/>
        </w:rPr>
        <w:t>，制定《托县“灯笼红”辣椒露地覆膜栽培技术规程》是项目里的一部分重要内容</w:t>
      </w:r>
      <w:r>
        <w:rPr>
          <w:rFonts w:hint="eastAsia" w:ascii="仿宋" w:hAnsi="仿宋" w:eastAsia="仿宋"/>
          <w:sz w:val="28"/>
          <w:szCs w:val="28"/>
        </w:rPr>
        <w:t>。</w:t>
      </w:r>
      <w:r>
        <w:rPr>
          <w:rFonts w:hint="eastAsia" w:ascii="仿宋" w:hAnsi="仿宋" w:eastAsia="仿宋"/>
          <w:sz w:val="28"/>
          <w:szCs w:val="28"/>
          <w:lang w:eastAsia="zh-CN"/>
        </w:rPr>
        <w:t>本规程由托克托县农畜产品质量安全中心提出。</w:t>
      </w:r>
    </w:p>
    <w:p>
      <w:pPr>
        <w:spacing w:line="480" w:lineRule="exact"/>
        <w:ind w:firstLine="560" w:firstLineChars="200"/>
        <w:rPr>
          <w:rFonts w:ascii="仿宋" w:hAnsi="仿宋" w:eastAsia="仿宋"/>
          <w:sz w:val="28"/>
          <w:szCs w:val="28"/>
        </w:rPr>
      </w:pPr>
      <w:r>
        <w:rPr>
          <w:rFonts w:hint="eastAsia" w:ascii="仿宋" w:hAnsi="仿宋" w:eastAsia="仿宋"/>
          <w:sz w:val="28"/>
          <w:szCs w:val="28"/>
          <w:lang w:eastAsia="zh-CN"/>
        </w:rPr>
        <w:t>规程归口单位为：托克托县农畜产品质量安全中心。</w:t>
      </w:r>
    </w:p>
    <w:p>
      <w:pPr>
        <w:rPr>
          <w:rFonts w:ascii="仿宋" w:hAnsi="仿宋" w:eastAsia="仿宋"/>
          <w:b/>
          <w:sz w:val="28"/>
          <w:szCs w:val="28"/>
        </w:rPr>
      </w:pPr>
      <w:r>
        <w:rPr>
          <w:rFonts w:hint="eastAsia" w:ascii="仿宋" w:hAnsi="仿宋" w:eastAsia="仿宋"/>
          <w:b/>
          <w:sz w:val="28"/>
          <w:szCs w:val="28"/>
        </w:rPr>
        <w:t>2、起草单位及协作单位</w:t>
      </w:r>
    </w:p>
    <w:p>
      <w:pPr>
        <w:spacing w:line="480" w:lineRule="exact"/>
        <w:ind w:firstLine="560" w:firstLineChars="200"/>
        <w:rPr>
          <w:rFonts w:hint="eastAsia" w:ascii="仿宋" w:hAnsi="仿宋" w:eastAsia="仿宋"/>
          <w:sz w:val="28"/>
          <w:szCs w:val="28"/>
          <w:lang w:val="en-US" w:eastAsia="zh-CN"/>
        </w:rPr>
      </w:pPr>
      <w:r>
        <w:rPr>
          <w:rFonts w:hint="eastAsia" w:ascii="仿宋" w:hAnsi="仿宋" w:eastAsia="仿宋"/>
          <w:sz w:val="28"/>
          <w:szCs w:val="28"/>
        </w:rPr>
        <w:t>起草单位：</w:t>
      </w:r>
      <w:r>
        <w:rPr>
          <w:rFonts w:hint="eastAsia" w:ascii="仿宋" w:hAnsi="仿宋" w:eastAsia="仿宋"/>
          <w:sz w:val="28"/>
          <w:szCs w:val="28"/>
          <w:lang w:eastAsia="zh-CN"/>
        </w:rPr>
        <w:t>托克托县农畜产品质量安全中心</w:t>
      </w:r>
    </w:p>
    <w:p>
      <w:pPr>
        <w:spacing w:line="480" w:lineRule="exact"/>
        <w:ind w:firstLine="560" w:firstLineChars="200"/>
        <w:rPr>
          <w:rFonts w:hint="eastAsia" w:ascii="仿宋" w:hAnsi="仿宋" w:eastAsia="仿宋"/>
          <w:sz w:val="28"/>
          <w:szCs w:val="28"/>
        </w:rPr>
      </w:pPr>
      <w:r>
        <w:rPr>
          <w:rFonts w:hint="eastAsia" w:ascii="仿宋" w:hAnsi="仿宋" w:eastAsia="仿宋"/>
          <w:sz w:val="28"/>
          <w:szCs w:val="28"/>
        </w:rPr>
        <w:t>协作单位：内蒙古自治区农牧业科学院</w:t>
      </w:r>
    </w:p>
    <w:p>
      <w:pPr>
        <w:spacing w:line="480" w:lineRule="exact"/>
        <w:ind w:firstLine="1960" w:firstLineChars="700"/>
        <w:rPr>
          <w:rFonts w:hint="eastAsia" w:ascii="仿宋" w:hAnsi="仿宋" w:eastAsia="仿宋"/>
          <w:sz w:val="28"/>
          <w:szCs w:val="28"/>
        </w:rPr>
      </w:pPr>
      <w:r>
        <w:rPr>
          <w:rFonts w:hint="eastAsia" w:ascii="仿宋" w:hAnsi="仿宋" w:eastAsia="仿宋"/>
          <w:sz w:val="28"/>
          <w:szCs w:val="28"/>
        </w:rPr>
        <w:t>托克托县一溜湾红辣椒专业合作社</w:t>
      </w:r>
    </w:p>
    <w:p>
      <w:pPr>
        <w:rPr>
          <w:rFonts w:ascii="仿宋" w:hAnsi="仿宋" w:eastAsia="仿宋"/>
          <w:b/>
          <w:sz w:val="28"/>
          <w:szCs w:val="28"/>
        </w:rPr>
      </w:pPr>
      <w:r>
        <w:rPr>
          <w:rFonts w:hint="eastAsia" w:ascii="仿宋" w:hAnsi="仿宋" w:eastAsia="仿宋"/>
          <w:b/>
          <w:sz w:val="28"/>
          <w:szCs w:val="28"/>
        </w:rPr>
        <w:t>3、主要起草人</w:t>
      </w:r>
    </w:p>
    <w:p>
      <w:pPr>
        <w:ind w:firstLine="560" w:firstLineChars="200"/>
        <w:rPr>
          <w:rFonts w:hint="eastAsia" w:ascii="仿宋" w:hAnsi="仿宋" w:eastAsia="仿宋"/>
          <w:sz w:val="28"/>
          <w:szCs w:val="28"/>
          <w:lang w:eastAsia="zh-CN"/>
        </w:rPr>
      </w:pPr>
      <w:r>
        <w:rPr>
          <w:rFonts w:hint="eastAsia" w:ascii="仿宋" w:hAnsi="仿宋" w:eastAsia="仿宋"/>
          <w:sz w:val="28"/>
          <w:szCs w:val="28"/>
        </w:rPr>
        <w:t>本标准主要起草人为：</w:t>
      </w:r>
      <w:r>
        <w:rPr>
          <w:rFonts w:hint="eastAsia" w:ascii="仿宋" w:hAnsi="仿宋" w:eastAsia="仿宋"/>
          <w:sz w:val="28"/>
          <w:szCs w:val="28"/>
          <w:lang w:eastAsia="zh-CN"/>
        </w:rPr>
        <w:t>田治国、杨凯、高新发、贾楠、周全利</w:t>
      </w:r>
    </w:p>
    <w:p>
      <w:pPr>
        <w:ind w:firstLine="560" w:firstLineChars="200"/>
        <w:jc w:val="center"/>
        <w:rPr>
          <w:rFonts w:ascii="仿宋" w:hAnsi="仿宋" w:eastAsia="仿宋"/>
          <w:sz w:val="28"/>
          <w:szCs w:val="28"/>
        </w:rPr>
      </w:pPr>
      <w:r>
        <w:rPr>
          <w:rFonts w:hint="eastAsia" w:ascii="仿宋" w:hAnsi="仿宋" w:eastAsia="仿宋"/>
          <w:sz w:val="28"/>
          <w:szCs w:val="28"/>
        </w:rPr>
        <w:t>表1标准参与编写人员及其所做的工作</w:t>
      </w:r>
    </w:p>
    <w:tbl>
      <w:tblPr>
        <w:tblStyle w:val="5"/>
        <w:tblW w:w="5000" w:type="pct"/>
        <w:tblInd w:w="0"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333"/>
        <w:gridCol w:w="2182"/>
        <w:gridCol w:w="1226"/>
        <w:gridCol w:w="3781"/>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vAlign w:val="center"/>
          </w:tcPr>
          <w:p>
            <w:pPr>
              <w:autoSpaceDE w:val="0"/>
              <w:autoSpaceDN w:val="0"/>
              <w:spacing w:after="0"/>
              <w:contextualSpacing/>
              <w:jc w:val="center"/>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姓名</w:t>
            </w:r>
          </w:p>
        </w:tc>
        <w:tc>
          <w:tcPr>
            <w:tcW w:w="1280" w:type="pct"/>
            <w:vAlign w:val="center"/>
          </w:tcPr>
          <w:p>
            <w:pPr>
              <w:autoSpaceDE w:val="0"/>
              <w:autoSpaceDN w:val="0"/>
              <w:spacing w:after="0"/>
              <w:contextualSpacing/>
              <w:jc w:val="center"/>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工作单位</w:t>
            </w:r>
          </w:p>
        </w:tc>
        <w:tc>
          <w:tcPr>
            <w:tcW w:w="719" w:type="pct"/>
            <w:vAlign w:val="center"/>
          </w:tcPr>
          <w:p>
            <w:pPr>
              <w:autoSpaceDE w:val="0"/>
              <w:autoSpaceDN w:val="0"/>
              <w:spacing w:after="0"/>
              <w:contextualSpacing/>
              <w:jc w:val="center"/>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职称</w:t>
            </w:r>
          </w:p>
        </w:tc>
        <w:tc>
          <w:tcPr>
            <w:tcW w:w="2217" w:type="pct"/>
            <w:vAlign w:val="center"/>
          </w:tcPr>
          <w:p>
            <w:pPr>
              <w:autoSpaceDE w:val="0"/>
              <w:autoSpaceDN w:val="0"/>
              <w:spacing w:after="0"/>
              <w:contextualSpacing/>
              <w:jc w:val="center"/>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主要工作内容</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vAlign w:val="center"/>
          </w:tcPr>
          <w:p>
            <w:pPr>
              <w:autoSpaceDE w:val="0"/>
              <w:autoSpaceDN w:val="0"/>
              <w:spacing w:after="0"/>
              <w:contextualSpacing/>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lang w:eastAsia="zh-CN"/>
                <w14:textFill>
                  <w14:solidFill>
                    <w14:schemeClr w14:val="tx1"/>
                  </w14:solidFill>
                </w14:textFill>
              </w:rPr>
              <w:t>高新发</w:t>
            </w:r>
          </w:p>
        </w:tc>
        <w:tc>
          <w:tcPr>
            <w:tcW w:w="1280" w:type="pct"/>
            <w:vAlign w:val="center"/>
          </w:tcPr>
          <w:p>
            <w:pPr>
              <w:autoSpaceDE w:val="0"/>
              <w:autoSpaceDN w:val="0"/>
              <w:spacing w:after="0"/>
              <w:contextualSpacing/>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lang w:eastAsia="zh-CN"/>
                <w14:textFill>
                  <w14:solidFill>
                    <w14:schemeClr w14:val="tx1"/>
                  </w14:solidFill>
                </w14:textFill>
              </w:rPr>
              <w:t>托克托县农畜产品质量安全中心</w:t>
            </w:r>
          </w:p>
        </w:tc>
        <w:tc>
          <w:tcPr>
            <w:tcW w:w="719" w:type="pct"/>
            <w:vAlign w:val="center"/>
          </w:tcPr>
          <w:p>
            <w:pPr>
              <w:autoSpaceDE w:val="0"/>
              <w:autoSpaceDN w:val="0"/>
              <w:spacing w:after="0"/>
              <w:contextualSpacing/>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lang w:eastAsia="zh-CN"/>
                <w14:textFill>
                  <w14:solidFill>
                    <w14:schemeClr w14:val="tx1"/>
                  </w14:solidFill>
                </w14:textFill>
              </w:rPr>
              <w:t>高级兽医师</w:t>
            </w:r>
          </w:p>
        </w:tc>
        <w:tc>
          <w:tcPr>
            <w:tcW w:w="2217" w:type="pct"/>
            <w:vAlign w:val="center"/>
          </w:tcPr>
          <w:p>
            <w:pPr>
              <w:autoSpaceDE w:val="0"/>
              <w:autoSpaceDN w:val="0"/>
              <w:spacing w:after="0"/>
              <w:contextualSpacing/>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项目主持人。</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vAlign w:val="center"/>
          </w:tcPr>
          <w:p>
            <w:pPr>
              <w:autoSpaceDE w:val="0"/>
              <w:autoSpaceDN w:val="0"/>
              <w:spacing w:after="0"/>
              <w:contextualSpacing/>
              <w:jc w:val="center"/>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杨凯</w:t>
            </w:r>
          </w:p>
        </w:tc>
        <w:tc>
          <w:tcPr>
            <w:tcW w:w="1280" w:type="pct"/>
            <w:vAlign w:val="center"/>
          </w:tcPr>
          <w:p>
            <w:pPr>
              <w:autoSpaceDE w:val="0"/>
              <w:autoSpaceDN w:val="0"/>
              <w:spacing w:after="0"/>
              <w:contextualSpacing/>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托克托县农畜产品质量安全</w:t>
            </w:r>
            <w:r>
              <w:rPr>
                <w:rFonts w:hint="eastAsia" w:ascii="仿宋" w:hAnsi="仿宋" w:eastAsia="仿宋" w:cs="仿宋"/>
                <w:color w:val="000000" w:themeColor="text1"/>
                <w:kern w:val="0"/>
                <w:sz w:val="28"/>
                <w:szCs w:val="28"/>
                <w:lang w:eastAsia="zh-CN"/>
                <w14:textFill>
                  <w14:solidFill>
                    <w14:schemeClr w14:val="tx1"/>
                  </w14:solidFill>
                </w14:textFill>
              </w:rPr>
              <w:t>中心</w:t>
            </w:r>
          </w:p>
        </w:tc>
        <w:tc>
          <w:tcPr>
            <w:tcW w:w="719" w:type="pct"/>
            <w:vAlign w:val="center"/>
          </w:tcPr>
          <w:p>
            <w:pPr>
              <w:autoSpaceDE w:val="0"/>
              <w:autoSpaceDN w:val="0"/>
              <w:spacing w:after="0"/>
              <w:contextualSpacing/>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lang w:eastAsia="zh-CN"/>
                <w14:textFill>
                  <w14:solidFill>
                    <w14:schemeClr w14:val="tx1"/>
                  </w14:solidFill>
                </w14:textFill>
              </w:rPr>
              <w:t>高级畜牧师</w:t>
            </w:r>
          </w:p>
        </w:tc>
        <w:tc>
          <w:tcPr>
            <w:tcW w:w="2217" w:type="pct"/>
            <w:vAlign w:val="center"/>
          </w:tcPr>
          <w:p>
            <w:pPr>
              <w:spacing w:after="0"/>
              <w:rPr>
                <w:rFonts w:hint="eastAsia" w:ascii="仿宋" w:hAnsi="仿宋" w:eastAsia="仿宋" w:cs="仿宋"/>
                <w:kern w:val="0"/>
                <w:sz w:val="28"/>
                <w:szCs w:val="28"/>
              </w:rPr>
            </w:pPr>
            <w:r>
              <w:rPr>
                <w:rFonts w:hint="eastAsia" w:ascii="仿宋" w:hAnsi="仿宋" w:eastAsia="仿宋" w:cs="仿宋"/>
                <w:color w:val="000000" w:themeColor="text1"/>
                <w:kern w:val="0"/>
                <w:sz w:val="28"/>
                <w:szCs w:val="28"/>
                <w14:textFill>
                  <w14:solidFill>
                    <w14:schemeClr w14:val="tx1"/>
                  </w14:solidFill>
                </w14:textFill>
              </w:rPr>
              <w:t>主要参加人，负责标准编写、验证和修订。</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vAlign w:val="center"/>
          </w:tcPr>
          <w:p>
            <w:pPr>
              <w:autoSpaceDE w:val="0"/>
              <w:autoSpaceDN w:val="0"/>
              <w:spacing w:after="0"/>
              <w:contextualSpacing/>
              <w:jc w:val="center"/>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田</w:t>
            </w:r>
            <w:r>
              <w:rPr>
                <w:rFonts w:hint="eastAsia" w:ascii="仿宋" w:hAnsi="仿宋" w:eastAsia="仿宋" w:cs="仿宋"/>
                <w:color w:val="000000" w:themeColor="text1"/>
                <w:kern w:val="0"/>
                <w:sz w:val="28"/>
                <w:szCs w:val="28"/>
                <w:lang w:eastAsia="zh-CN"/>
                <w14:textFill>
                  <w14:solidFill>
                    <w14:schemeClr w14:val="tx1"/>
                  </w14:solidFill>
                </w14:textFill>
              </w:rPr>
              <w:t>志</w:t>
            </w:r>
            <w:r>
              <w:rPr>
                <w:rFonts w:hint="eastAsia" w:ascii="仿宋" w:hAnsi="仿宋" w:eastAsia="仿宋" w:cs="仿宋"/>
                <w:color w:val="000000" w:themeColor="text1"/>
                <w:kern w:val="0"/>
                <w:sz w:val="28"/>
                <w:szCs w:val="28"/>
                <w14:textFill>
                  <w14:solidFill>
                    <w14:schemeClr w14:val="tx1"/>
                  </w14:solidFill>
                </w14:textFill>
              </w:rPr>
              <w:t>国</w:t>
            </w:r>
          </w:p>
        </w:tc>
        <w:tc>
          <w:tcPr>
            <w:tcW w:w="1280" w:type="pct"/>
            <w:vAlign w:val="center"/>
          </w:tcPr>
          <w:p>
            <w:pPr>
              <w:spacing w:after="0"/>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lang w:eastAsia="zh-CN"/>
                <w14:textFill>
                  <w14:solidFill>
                    <w14:schemeClr w14:val="tx1"/>
                  </w14:solidFill>
                </w14:textFill>
              </w:rPr>
              <w:t>呼和浩特市农畜产品质量安全中心</w:t>
            </w:r>
          </w:p>
        </w:tc>
        <w:tc>
          <w:tcPr>
            <w:tcW w:w="719" w:type="pct"/>
            <w:vAlign w:val="center"/>
          </w:tcPr>
          <w:p>
            <w:pPr>
              <w:spacing w:after="0"/>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lang w:eastAsia="zh-CN"/>
                <w14:textFill>
                  <w14:solidFill>
                    <w14:schemeClr w14:val="tx1"/>
                  </w14:solidFill>
                </w14:textFill>
              </w:rPr>
              <w:t>高级兽医师</w:t>
            </w:r>
          </w:p>
        </w:tc>
        <w:tc>
          <w:tcPr>
            <w:tcW w:w="2217" w:type="pct"/>
            <w:vAlign w:val="center"/>
          </w:tcPr>
          <w:p>
            <w:pPr>
              <w:spacing w:after="0"/>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主要参加人，负责标准编写、验证和修订。</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vAlign w:val="center"/>
          </w:tcPr>
          <w:p>
            <w:pPr>
              <w:autoSpaceDE w:val="0"/>
              <w:autoSpaceDN w:val="0"/>
              <w:spacing w:after="80"/>
              <w:contextualSpacing/>
              <w:jc w:val="center"/>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贾楠</w:t>
            </w:r>
          </w:p>
        </w:tc>
        <w:tc>
          <w:tcPr>
            <w:tcW w:w="1280" w:type="pct"/>
            <w:vAlign w:val="center"/>
          </w:tcPr>
          <w:p>
            <w:pPr>
              <w:autoSpaceDE w:val="0"/>
              <w:autoSpaceDN w:val="0"/>
              <w:spacing w:after="0"/>
              <w:contextualSpacing/>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托克托县农畜产品质量安全</w:t>
            </w:r>
            <w:r>
              <w:rPr>
                <w:rFonts w:hint="eastAsia" w:ascii="仿宋" w:hAnsi="仿宋" w:eastAsia="仿宋" w:cs="仿宋"/>
                <w:color w:val="000000" w:themeColor="text1"/>
                <w:kern w:val="0"/>
                <w:sz w:val="28"/>
                <w:szCs w:val="28"/>
                <w:lang w:eastAsia="zh-CN"/>
                <w14:textFill>
                  <w14:solidFill>
                    <w14:schemeClr w14:val="tx1"/>
                  </w14:solidFill>
                </w14:textFill>
              </w:rPr>
              <w:t>中心</w:t>
            </w:r>
          </w:p>
        </w:tc>
        <w:tc>
          <w:tcPr>
            <w:tcW w:w="719" w:type="pct"/>
            <w:vAlign w:val="center"/>
          </w:tcPr>
          <w:p>
            <w:pPr>
              <w:spacing w:after="80"/>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lang w:eastAsia="zh-CN"/>
                <w14:textFill>
                  <w14:solidFill>
                    <w14:schemeClr w14:val="tx1"/>
                  </w14:solidFill>
                </w14:textFill>
              </w:rPr>
              <w:t>兽医师</w:t>
            </w:r>
          </w:p>
        </w:tc>
        <w:tc>
          <w:tcPr>
            <w:tcW w:w="2217" w:type="pct"/>
            <w:vAlign w:val="center"/>
          </w:tcPr>
          <w:p>
            <w:pPr>
              <w:spacing w:after="0"/>
              <w:rPr>
                <w:rFonts w:hint="eastAsia" w:ascii="仿宋" w:hAnsi="仿宋" w:eastAsia="仿宋" w:cs="仿宋"/>
                <w:kern w:val="0"/>
                <w:sz w:val="28"/>
                <w:szCs w:val="28"/>
              </w:rPr>
            </w:pPr>
            <w:r>
              <w:rPr>
                <w:rFonts w:hint="eastAsia" w:ascii="仿宋" w:hAnsi="仿宋" w:eastAsia="仿宋" w:cs="仿宋"/>
                <w:color w:val="000000" w:themeColor="text1"/>
                <w:kern w:val="0"/>
                <w:sz w:val="28"/>
                <w:szCs w:val="28"/>
                <w14:textFill>
                  <w14:solidFill>
                    <w14:schemeClr w14:val="tx1"/>
                  </w14:solidFill>
                </w14:textFill>
              </w:rPr>
              <w:t>主要参加人，负责标准编写、验证和修订。</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vAlign w:val="center"/>
          </w:tcPr>
          <w:p>
            <w:pPr>
              <w:autoSpaceDE w:val="0"/>
              <w:autoSpaceDN w:val="0"/>
              <w:spacing w:after="80"/>
              <w:contextualSpacing/>
              <w:jc w:val="center"/>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周全利</w:t>
            </w:r>
          </w:p>
        </w:tc>
        <w:tc>
          <w:tcPr>
            <w:tcW w:w="1280" w:type="pct"/>
            <w:vAlign w:val="center"/>
          </w:tcPr>
          <w:p>
            <w:pPr>
              <w:spacing w:after="0"/>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托克托县农畜产品质量安全</w:t>
            </w:r>
            <w:r>
              <w:rPr>
                <w:rFonts w:hint="eastAsia" w:ascii="仿宋" w:hAnsi="仿宋" w:eastAsia="仿宋" w:cs="仿宋"/>
                <w:color w:val="000000" w:themeColor="text1"/>
                <w:kern w:val="0"/>
                <w:sz w:val="28"/>
                <w:szCs w:val="28"/>
                <w:lang w:eastAsia="zh-CN"/>
                <w14:textFill>
                  <w14:solidFill>
                    <w14:schemeClr w14:val="tx1"/>
                  </w14:solidFill>
                </w14:textFill>
              </w:rPr>
              <w:t>中心</w:t>
            </w:r>
          </w:p>
        </w:tc>
        <w:tc>
          <w:tcPr>
            <w:tcW w:w="719" w:type="pct"/>
            <w:vAlign w:val="center"/>
          </w:tcPr>
          <w:p>
            <w:pPr>
              <w:spacing w:after="80"/>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lang w:eastAsia="zh-CN"/>
                <w14:textFill>
                  <w14:solidFill>
                    <w14:schemeClr w14:val="tx1"/>
                  </w14:solidFill>
                </w14:textFill>
              </w:rPr>
              <w:t>农艺师</w:t>
            </w:r>
          </w:p>
        </w:tc>
        <w:tc>
          <w:tcPr>
            <w:tcW w:w="2217" w:type="pct"/>
            <w:vAlign w:val="center"/>
          </w:tcPr>
          <w:p>
            <w:pPr>
              <w:spacing w:after="0"/>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主要参加人，负责标准编写、验证和修订。</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vAlign w:val="center"/>
          </w:tcPr>
          <w:p>
            <w:pPr>
              <w:autoSpaceDE w:val="0"/>
              <w:autoSpaceDN w:val="0"/>
              <w:spacing w:after="80"/>
              <w:contextualSpacing/>
              <w:jc w:val="center"/>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闫瑞清</w:t>
            </w:r>
          </w:p>
        </w:tc>
        <w:tc>
          <w:tcPr>
            <w:tcW w:w="1280" w:type="pct"/>
            <w:vAlign w:val="center"/>
          </w:tcPr>
          <w:p>
            <w:pPr>
              <w:autoSpaceDE w:val="0"/>
              <w:autoSpaceDN w:val="0"/>
              <w:spacing w:after="0"/>
              <w:contextualSpacing/>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托克托县农畜产品质量安全</w:t>
            </w:r>
            <w:r>
              <w:rPr>
                <w:rFonts w:hint="eastAsia" w:ascii="仿宋" w:hAnsi="仿宋" w:eastAsia="仿宋" w:cs="仿宋"/>
                <w:color w:val="000000" w:themeColor="text1"/>
                <w:kern w:val="0"/>
                <w:sz w:val="28"/>
                <w:szCs w:val="28"/>
                <w:lang w:eastAsia="zh-CN"/>
                <w14:textFill>
                  <w14:solidFill>
                    <w14:schemeClr w14:val="tx1"/>
                  </w14:solidFill>
                </w14:textFill>
              </w:rPr>
              <w:t>中心</w:t>
            </w:r>
          </w:p>
        </w:tc>
        <w:tc>
          <w:tcPr>
            <w:tcW w:w="719" w:type="pct"/>
            <w:vAlign w:val="center"/>
          </w:tcPr>
          <w:p>
            <w:pPr>
              <w:spacing w:after="80"/>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lang w:eastAsia="zh-CN"/>
                <w14:textFill>
                  <w14:solidFill>
                    <w14:schemeClr w14:val="tx1"/>
                  </w14:solidFill>
                </w14:textFill>
              </w:rPr>
              <w:t>畜牧师</w:t>
            </w:r>
          </w:p>
        </w:tc>
        <w:tc>
          <w:tcPr>
            <w:tcW w:w="2217" w:type="pct"/>
            <w:vAlign w:val="center"/>
          </w:tcPr>
          <w:p>
            <w:pPr>
              <w:spacing w:after="0"/>
              <w:rPr>
                <w:rFonts w:hint="eastAsia" w:ascii="仿宋" w:hAnsi="仿宋" w:eastAsia="仿宋" w:cs="仿宋"/>
                <w:kern w:val="0"/>
                <w:sz w:val="28"/>
                <w:szCs w:val="28"/>
              </w:rPr>
            </w:pPr>
            <w:r>
              <w:rPr>
                <w:rFonts w:hint="eastAsia" w:ascii="仿宋" w:hAnsi="仿宋" w:eastAsia="仿宋" w:cs="仿宋"/>
                <w:color w:val="000000" w:themeColor="text1"/>
                <w:kern w:val="0"/>
                <w:sz w:val="28"/>
                <w:szCs w:val="28"/>
                <w14:textFill>
                  <w14:solidFill>
                    <w14:schemeClr w14:val="tx1"/>
                  </w14:solidFill>
                </w14:textFill>
              </w:rPr>
              <w:t>负责标准编写、</w:t>
            </w:r>
            <w:r>
              <w:rPr>
                <w:rFonts w:hint="eastAsia" w:ascii="仿宋" w:hAnsi="仿宋" w:eastAsia="仿宋" w:cs="仿宋"/>
                <w:color w:val="000000" w:themeColor="text1"/>
                <w:kern w:val="0"/>
                <w:sz w:val="28"/>
                <w:szCs w:val="28"/>
                <w:lang w:eastAsia="zh-CN"/>
                <w14:textFill>
                  <w14:solidFill>
                    <w14:schemeClr w14:val="tx1"/>
                  </w14:solidFill>
                </w14:textFill>
              </w:rPr>
              <w:t>资料整理</w:t>
            </w:r>
            <w:r>
              <w:rPr>
                <w:rFonts w:hint="eastAsia" w:ascii="仿宋" w:hAnsi="仿宋" w:eastAsia="仿宋" w:cs="仿宋"/>
                <w:color w:val="000000" w:themeColor="text1"/>
                <w:kern w:val="0"/>
                <w:sz w:val="28"/>
                <w:szCs w:val="28"/>
                <w14:textFill>
                  <w14:solidFill>
                    <w14:schemeClr w14:val="tx1"/>
                  </w14:solidFill>
                </w14:textFill>
              </w:rPr>
              <w:t>。</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vAlign w:val="center"/>
          </w:tcPr>
          <w:p>
            <w:pPr>
              <w:autoSpaceDE w:val="0"/>
              <w:autoSpaceDN w:val="0"/>
              <w:spacing w:after="80"/>
              <w:contextualSpacing/>
              <w:jc w:val="center"/>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张慧</w:t>
            </w:r>
          </w:p>
        </w:tc>
        <w:tc>
          <w:tcPr>
            <w:tcW w:w="1280" w:type="pct"/>
            <w:vAlign w:val="center"/>
          </w:tcPr>
          <w:p>
            <w:pPr>
              <w:spacing w:after="0"/>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托克托县农畜产品质量安全</w:t>
            </w:r>
            <w:r>
              <w:rPr>
                <w:rFonts w:hint="eastAsia" w:ascii="仿宋" w:hAnsi="仿宋" w:eastAsia="仿宋" w:cs="仿宋"/>
                <w:color w:val="000000" w:themeColor="text1"/>
                <w:kern w:val="0"/>
                <w:sz w:val="28"/>
                <w:szCs w:val="28"/>
                <w:lang w:eastAsia="zh-CN"/>
                <w14:textFill>
                  <w14:solidFill>
                    <w14:schemeClr w14:val="tx1"/>
                  </w14:solidFill>
                </w14:textFill>
              </w:rPr>
              <w:t>中心</w:t>
            </w:r>
          </w:p>
        </w:tc>
        <w:tc>
          <w:tcPr>
            <w:tcW w:w="719" w:type="pct"/>
            <w:vAlign w:val="center"/>
          </w:tcPr>
          <w:p>
            <w:pPr>
              <w:spacing w:after="80"/>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lang w:eastAsia="zh-CN"/>
                <w14:textFill>
                  <w14:solidFill>
                    <w14:schemeClr w14:val="tx1"/>
                  </w14:solidFill>
                </w14:textFill>
              </w:rPr>
              <w:t>助理农艺师</w:t>
            </w:r>
          </w:p>
        </w:tc>
        <w:tc>
          <w:tcPr>
            <w:tcW w:w="2217" w:type="pct"/>
            <w:vAlign w:val="center"/>
          </w:tcPr>
          <w:p>
            <w:pPr>
              <w:spacing w:after="0"/>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负责标准编写、</w:t>
            </w:r>
            <w:r>
              <w:rPr>
                <w:rFonts w:hint="eastAsia" w:ascii="仿宋" w:hAnsi="仿宋" w:eastAsia="仿宋" w:cs="仿宋"/>
                <w:color w:val="000000" w:themeColor="text1"/>
                <w:kern w:val="0"/>
                <w:sz w:val="28"/>
                <w:szCs w:val="28"/>
                <w:lang w:eastAsia="zh-CN"/>
                <w14:textFill>
                  <w14:solidFill>
                    <w14:schemeClr w14:val="tx1"/>
                  </w14:solidFill>
                </w14:textFill>
              </w:rPr>
              <w:t>资料整理</w:t>
            </w:r>
            <w:r>
              <w:rPr>
                <w:rFonts w:hint="eastAsia" w:ascii="仿宋" w:hAnsi="仿宋" w:eastAsia="仿宋" w:cs="仿宋"/>
                <w:color w:val="000000" w:themeColor="text1"/>
                <w:kern w:val="0"/>
                <w:sz w:val="28"/>
                <w:szCs w:val="28"/>
                <w14:textFill>
                  <w14:solidFill>
                    <w14:schemeClr w14:val="tx1"/>
                  </w14:solidFill>
                </w14:textFill>
              </w:rPr>
              <w:t>。</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vAlign w:val="center"/>
          </w:tcPr>
          <w:p>
            <w:pPr>
              <w:autoSpaceDE w:val="0"/>
              <w:autoSpaceDN w:val="0"/>
              <w:spacing w:after="80"/>
              <w:contextualSpacing/>
              <w:jc w:val="center"/>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乌恩萍</w:t>
            </w:r>
          </w:p>
        </w:tc>
        <w:tc>
          <w:tcPr>
            <w:tcW w:w="1280" w:type="pct"/>
            <w:vAlign w:val="center"/>
          </w:tcPr>
          <w:p>
            <w:pPr>
              <w:autoSpaceDE w:val="0"/>
              <w:autoSpaceDN w:val="0"/>
              <w:spacing w:after="0"/>
              <w:contextualSpacing/>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托克托县农畜产品质量安全</w:t>
            </w:r>
            <w:r>
              <w:rPr>
                <w:rFonts w:hint="eastAsia" w:ascii="仿宋" w:hAnsi="仿宋" w:eastAsia="仿宋" w:cs="仿宋"/>
                <w:color w:val="000000" w:themeColor="text1"/>
                <w:kern w:val="0"/>
                <w:sz w:val="28"/>
                <w:szCs w:val="28"/>
                <w:lang w:eastAsia="zh-CN"/>
                <w14:textFill>
                  <w14:solidFill>
                    <w14:schemeClr w14:val="tx1"/>
                  </w14:solidFill>
                </w14:textFill>
              </w:rPr>
              <w:t>中心</w:t>
            </w:r>
          </w:p>
        </w:tc>
        <w:tc>
          <w:tcPr>
            <w:tcW w:w="719" w:type="pct"/>
            <w:vAlign w:val="center"/>
          </w:tcPr>
          <w:p>
            <w:pPr>
              <w:spacing w:after="80"/>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lang w:eastAsia="zh-CN"/>
                <w14:textFill>
                  <w14:solidFill>
                    <w14:schemeClr w14:val="tx1"/>
                  </w14:solidFill>
                </w14:textFill>
              </w:rPr>
              <w:t>农艺师</w:t>
            </w:r>
          </w:p>
        </w:tc>
        <w:tc>
          <w:tcPr>
            <w:tcW w:w="2217" w:type="pct"/>
            <w:vAlign w:val="center"/>
          </w:tcPr>
          <w:p>
            <w:pPr>
              <w:spacing w:after="0"/>
              <w:rPr>
                <w:rFonts w:hint="eastAsia" w:ascii="仿宋" w:hAnsi="仿宋" w:eastAsia="仿宋" w:cs="仿宋"/>
                <w:kern w:val="0"/>
                <w:sz w:val="28"/>
                <w:szCs w:val="28"/>
              </w:rPr>
            </w:pPr>
            <w:r>
              <w:rPr>
                <w:rFonts w:hint="eastAsia" w:ascii="仿宋" w:hAnsi="仿宋" w:eastAsia="仿宋" w:cs="仿宋"/>
                <w:color w:val="000000" w:themeColor="text1"/>
                <w:kern w:val="0"/>
                <w:sz w:val="28"/>
                <w:szCs w:val="28"/>
                <w14:textFill>
                  <w14:solidFill>
                    <w14:schemeClr w14:val="tx1"/>
                  </w14:solidFill>
                </w14:textFill>
              </w:rPr>
              <w:t>负责</w:t>
            </w:r>
            <w:r>
              <w:rPr>
                <w:rFonts w:hint="eastAsia" w:ascii="仿宋" w:hAnsi="仿宋" w:eastAsia="仿宋" w:cs="仿宋"/>
                <w:color w:val="000000" w:themeColor="text1"/>
                <w:kern w:val="0"/>
                <w:sz w:val="28"/>
                <w:szCs w:val="28"/>
                <w:lang w:eastAsia="zh-CN"/>
                <w14:textFill>
                  <w14:solidFill>
                    <w14:schemeClr w14:val="tx1"/>
                  </w14:solidFill>
                </w14:textFill>
              </w:rPr>
              <w:t>资料整理与收集</w:t>
            </w:r>
            <w:r>
              <w:rPr>
                <w:rFonts w:hint="eastAsia" w:ascii="仿宋" w:hAnsi="仿宋" w:eastAsia="仿宋" w:cs="仿宋"/>
                <w:color w:val="000000" w:themeColor="text1"/>
                <w:kern w:val="0"/>
                <w:sz w:val="28"/>
                <w:szCs w:val="28"/>
                <w14:textFill>
                  <w14:solidFill>
                    <w14:schemeClr w14:val="tx1"/>
                  </w14:solidFill>
                </w14:textFill>
              </w:rPr>
              <w:t>。</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vAlign w:val="center"/>
          </w:tcPr>
          <w:p>
            <w:pPr>
              <w:autoSpaceDE w:val="0"/>
              <w:autoSpaceDN w:val="0"/>
              <w:spacing w:after="80"/>
              <w:contextualSpacing/>
              <w:jc w:val="center"/>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刘翠红</w:t>
            </w:r>
          </w:p>
        </w:tc>
        <w:tc>
          <w:tcPr>
            <w:tcW w:w="1280" w:type="pct"/>
            <w:vAlign w:val="center"/>
          </w:tcPr>
          <w:p>
            <w:pPr>
              <w:spacing w:after="0"/>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托克托县农畜产品质量安全</w:t>
            </w:r>
            <w:r>
              <w:rPr>
                <w:rFonts w:hint="eastAsia" w:ascii="仿宋" w:hAnsi="仿宋" w:eastAsia="仿宋" w:cs="仿宋"/>
                <w:color w:val="000000" w:themeColor="text1"/>
                <w:kern w:val="0"/>
                <w:sz w:val="28"/>
                <w:szCs w:val="28"/>
                <w:lang w:eastAsia="zh-CN"/>
                <w14:textFill>
                  <w14:solidFill>
                    <w14:schemeClr w14:val="tx1"/>
                  </w14:solidFill>
                </w14:textFill>
              </w:rPr>
              <w:t>中心</w:t>
            </w:r>
          </w:p>
        </w:tc>
        <w:tc>
          <w:tcPr>
            <w:tcW w:w="719" w:type="pct"/>
            <w:vAlign w:val="center"/>
          </w:tcPr>
          <w:p>
            <w:pPr>
              <w:spacing w:after="80"/>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lang w:eastAsia="zh-CN"/>
                <w14:textFill>
                  <w14:solidFill>
                    <w14:schemeClr w14:val="tx1"/>
                  </w14:solidFill>
                </w14:textFill>
              </w:rPr>
              <w:t>畜牧师</w:t>
            </w:r>
          </w:p>
        </w:tc>
        <w:tc>
          <w:tcPr>
            <w:tcW w:w="2217" w:type="pct"/>
            <w:vAlign w:val="center"/>
          </w:tcPr>
          <w:p>
            <w:pPr>
              <w:spacing w:after="0"/>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负责</w:t>
            </w:r>
            <w:r>
              <w:rPr>
                <w:rFonts w:hint="eastAsia" w:ascii="仿宋" w:hAnsi="仿宋" w:eastAsia="仿宋" w:cs="仿宋"/>
                <w:color w:val="000000" w:themeColor="text1"/>
                <w:kern w:val="0"/>
                <w:sz w:val="28"/>
                <w:szCs w:val="28"/>
                <w:lang w:eastAsia="zh-CN"/>
                <w14:textFill>
                  <w14:solidFill>
                    <w14:schemeClr w14:val="tx1"/>
                  </w14:solidFill>
                </w14:textFill>
              </w:rPr>
              <w:t>田间试验</w:t>
            </w:r>
            <w:r>
              <w:rPr>
                <w:rFonts w:hint="eastAsia" w:ascii="仿宋" w:hAnsi="仿宋" w:eastAsia="仿宋" w:cs="仿宋"/>
                <w:color w:val="000000" w:themeColor="text1"/>
                <w:kern w:val="0"/>
                <w:sz w:val="28"/>
                <w:szCs w:val="28"/>
                <w14:textFill>
                  <w14:solidFill>
                    <w14:schemeClr w14:val="tx1"/>
                  </w14:solidFill>
                </w14:textFill>
              </w:rPr>
              <w:t>。</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vAlign w:val="center"/>
          </w:tcPr>
          <w:p>
            <w:pPr>
              <w:autoSpaceDE w:val="0"/>
              <w:autoSpaceDN w:val="0"/>
              <w:spacing w:after="80"/>
              <w:contextualSpacing/>
              <w:jc w:val="center"/>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索俊义</w:t>
            </w:r>
          </w:p>
        </w:tc>
        <w:tc>
          <w:tcPr>
            <w:tcW w:w="1280" w:type="pct"/>
            <w:vAlign w:val="center"/>
          </w:tcPr>
          <w:p>
            <w:pPr>
              <w:autoSpaceDE w:val="0"/>
              <w:autoSpaceDN w:val="0"/>
              <w:spacing w:after="0"/>
              <w:contextualSpacing/>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托克托县农畜产品质量安全</w:t>
            </w:r>
            <w:r>
              <w:rPr>
                <w:rFonts w:hint="eastAsia" w:ascii="仿宋" w:hAnsi="仿宋" w:eastAsia="仿宋" w:cs="仿宋"/>
                <w:color w:val="000000" w:themeColor="text1"/>
                <w:kern w:val="0"/>
                <w:sz w:val="28"/>
                <w:szCs w:val="28"/>
                <w:lang w:eastAsia="zh-CN"/>
                <w14:textFill>
                  <w14:solidFill>
                    <w14:schemeClr w14:val="tx1"/>
                  </w14:solidFill>
                </w14:textFill>
              </w:rPr>
              <w:t>中心</w:t>
            </w:r>
          </w:p>
        </w:tc>
        <w:tc>
          <w:tcPr>
            <w:tcW w:w="719" w:type="pct"/>
            <w:vAlign w:val="center"/>
          </w:tcPr>
          <w:p>
            <w:pPr>
              <w:spacing w:after="80"/>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lang w:eastAsia="zh-CN"/>
                <w14:textFill>
                  <w14:solidFill>
                    <w14:schemeClr w14:val="tx1"/>
                  </w14:solidFill>
                </w14:textFill>
              </w:rPr>
              <w:t>农艺师</w:t>
            </w:r>
          </w:p>
        </w:tc>
        <w:tc>
          <w:tcPr>
            <w:tcW w:w="2217" w:type="pct"/>
            <w:vAlign w:val="center"/>
          </w:tcPr>
          <w:p>
            <w:pPr>
              <w:spacing w:after="0"/>
              <w:rPr>
                <w:rFonts w:hint="eastAsia" w:ascii="仿宋" w:hAnsi="仿宋" w:eastAsia="仿宋" w:cs="仿宋"/>
                <w:kern w:val="0"/>
                <w:sz w:val="28"/>
                <w:szCs w:val="28"/>
              </w:rPr>
            </w:pPr>
            <w:r>
              <w:rPr>
                <w:rFonts w:hint="eastAsia" w:ascii="仿宋" w:hAnsi="仿宋" w:eastAsia="仿宋" w:cs="仿宋"/>
                <w:color w:val="000000" w:themeColor="text1"/>
                <w:kern w:val="0"/>
                <w:sz w:val="28"/>
                <w:szCs w:val="28"/>
                <w14:textFill>
                  <w14:solidFill>
                    <w14:schemeClr w14:val="tx1"/>
                  </w14:solidFill>
                </w14:textFill>
              </w:rPr>
              <w:t>负责</w:t>
            </w:r>
            <w:r>
              <w:rPr>
                <w:rFonts w:hint="eastAsia" w:ascii="仿宋" w:hAnsi="仿宋" w:eastAsia="仿宋" w:cs="仿宋"/>
                <w:color w:val="000000" w:themeColor="text1"/>
                <w:kern w:val="0"/>
                <w:sz w:val="28"/>
                <w:szCs w:val="28"/>
                <w:lang w:eastAsia="zh-CN"/>
                <w14:textFill>
                  <w14:solidFill>
                    <w14:schemeClr w14:val="tx1"/>
                  </w14:solidFill>
                </w14:textFill>
              </w:rPr>
              <w:t>田间试验</w:t>
            </w:r>
            <w:r>
              <w:rPr>
                <w:rFonts w:hint="eastAsia" w:ascii="仿宋" w:hAnsi="仿宋" w:eastAsia="仿宋" w:cs="仿宋"/>
                <w:color w:val="000000" w:themeColor="text1"/>
                <w:kern w:val="0"/>
                <w:sz w:val="28"/>
                <w:szCs w:val="28"/>
                <w14:textFill>
                  <w14:solidFill>
                    <w14:schemeClr w14:val="tx1"/>
                  </w14:solidFill>
                </w14:textFill>
              </w:rPr>
              <w:t>。</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vAlign w:val="center"/>
          </w:tcPr>
          <w:p>
            <w:pPr>
              <w:autoSpaceDE w:val="0"/>
              <w:autoSpaceDN w:val="0"/>
              <w:spacing w:after="80"/>
              <w:contextualSpacing/>
              <w:jc w:val="center"/>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松杰</w:t>
            </w:r>
          </w:p>
        </w:tc>
        <w:tc>
          <w:tcPr>
            <w:tcW w:w="1280" w:type="pct"/>
            <w:vAlign w:val="center"/>
          </w:tcPr>
          <w:p>
            <w:pPr>
              <w:spacing w:after="0"/>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托克托县农畜产品质量安全</w:t>
            </w:r>
            <w:r>
              <w:rPr>
                <w:rFonts w:hint="eastAsia" w:ascii="仿宋" w:hAnsi="仿宋" w:eastAsia="仿宋" w:cs="仿宋"/>
                <w:color w:val="000000" w:themeColor="text1"/>
                <w:kern w:val="0"/>
                <w:sz w:val="28"/>
                <w:szCs w:val="28"/>
                <w:lang w:eastAsia="zh-CN"/>
                <w14:textFill>
                  <w14:solidFill>
                    <w14:schemeClr w14:val="tx1"/>
                  </w14:solidFill>
                </w14:textFill>
              </w:rPr>
              <w:t>中心</w:t>
            </w:r>
          </w:p>
        </w:tc>
        <w:tc>
          <w:tcPr>
            <w:tcW w:w="719" w:type="pct"/>
            <w:vAlign w:val="center"/>
          </w:tcPr>
          <w:p>
            <w:pPr>
              <w:spacing w:after="80"/>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lang w:eastAsia="zh-CN"/>
                <w14:textFill>
                  <w14:solidFill>
                    <w14:schemeClr w14:val="tx1"/>
                  </w14:solidFill>
                </w14:textFill>
              </w:rPr>
              <w:t>高级兽医师</w:t>
            </w:r>
          </w:p>
        </w:tc>
        <w:tc>
          <w:tcPr>
            <w:tcW w:w="2217" w:type="pct"/>
            <w:vAlign w:val="center"/>
          </w:tcPr>
          <w:p>
            <w:pPr>
              <w:spacing w:after="0"/>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负责标准编写、验证和修订。</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vAlign w:val="center"/>
          </w:tcPr>
          <w:p>
            <w:pPr>
              <w:autoSpaceDE w:val="0"/>
              <w:autoSpaceDN w:val="0"/>
              <w:spacing w:after="80"/>
              <w:contextualSpacing/>
              <w:jc w:val="center"/>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李彩霞</w:t>
            </w:r>
          </w:p>
        </w:tc>
        <w:tc>
          <w:tcPr>
            <w:tcW w:w="1280" w:type="pct"/>
            <w:vAlign w:val="center"/>
          </w:tcPr>
          <w:p>
            <w:pPr>
              <w:autoSpaceDE w:val="0"/>
              <w:autoSpaceDN w:val="0"/>
              <w:spacing w:after="0"/>
              <w:contextualSpacing/>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托克托县农畜产品质量安全</w:t>
            </w:r>
            <w:r>
              <w:rPr>
                <w:rFonts w:hint="eastAsia" w:ascii="仿宋" w:hAnsi="仿宋" w:eastAsia="仿宋" w:cs="仿宋"/>
                <w:color w:val="000000" w:themeColor="text1"/>
                <w:kern w:val="0"/>
                <w:sz w:val="28"/>
                <w:szCs w:val="28"/>
                <w:lang w:eastAsia="zh-CN"/>
                <w14:textFill>
                  <w14:solidFill>
                    <w14:schemeClr w14:val="tx1"/>
                  </w14:solidFill>
                </w14:textFill>
              </w:rPr>
              <w:t>中心</w:t>
            </w:r>
          </w:p>
        </w:tc>
        <w:tc>
          <w:tcPr>
            <w:tcW w:w="719" w:type="pct"/>
            <w:vAlign w:val="center"/>
          </w:tcPr>
          <w:p>
            <w:pPr>
              <w:spacing w:after="80"/>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lang w:eastAsia="zh-CN"/>
                <w14:textFill>
                  <w14:solidFill>
                    <w14:schemeClr w14:val="tx1"/>
                  </w14:solidFill>
                </w14:textFill>
              </w:rPr>
              <w:t>畜牧师</w:t>
            </w:r>
          </w:p>
        </w:tc>
        <w:tc>
          <w:tcPr>
            <w:tcW w:w="2217" w:type="pct"/>
            <w:vAlign w:val="center"/>
          </w:tcPr>
          <w:p>
            <w:pPr>
              <w:spacing w:after="0"/>
              <w:rPr>
                <w:rFonts w:hint="eastAsia" w:ascii="仿宋" w:hAnsi="仿宋" w:eastAsia="仿宋" w:cs="仿宋"/>
                <w:kern w:val="0"/>
                <w:sz w:val="28"/>
                <w:szCs w:val="28"/>
              </w:rPr>
            </w:pPr>
            <w:r>
              <w:rPr>
                <w:rFonts w:hint="eastAsia" w:ascii="仿宋" w:hAnsi="仿宋" w:eastAsia="仿宋" w:cs="仿宋"/>
                <w:color w:val="000000" w:themeColor="text1"/>
                <w:kern w:val="0"/>
                <w:sz w:val="28"/>
                <w:szCs w:val="28"/>
                <w14:textFill>
                  <w14:solidFill>
                    <w14:schemeClr w14:val="tx1"/>
                  </w14:solidFill>
                </w14:textFill>
              </w:rPr>
              <w:t>负责</w:t>
            </w:r>
            <w:r>
              <w:rPr>
                <w:rFonts w:hint="eastAsia" w:ascii="仿宋" w:hAnsi="仿宋" w:eastAsia="仿宋" w:cs="仿宋"/>
                <w:color w:val="000000" w:themeColor="text1"/>
                <w:kern w:val="0"/>
                <w:sz w:val="28"/>
                <w:szCs w:val="28"/>
                <w:lang w:eastAsia="zh-CN"/>
                <w14:textFill>
                  <w14:solidFill>
                    <w14:schemeClr w14:val="tx1"/>
                  </w14:solidFill>
                </w14:textFill>
              </w:rPr>
              <w:t>资料整理与收集</w:t>
            </w:r>
            <w:r>
              <w:rPr>
                <w:rFonts w:hint="eastAsia" w:ascii="仿宋" w:hAnsi="仿宋" w:eastAsia="仿宋" w:cs="仿宋"/>
                <w:color w:val="000000" w:themeColor="text1"/>
                <w:kern w:val="0"/>
                <w:sz w:val="28"/>
                <w:szCs w:val="28"/>
                <w14:textFill>
                  <w14:solidFill>
                    <w14:schemeClr w14:val="tx1"/>
                  </w14:solidFill>
                </w14:textFill>
              </w:rPr>
              <w:t>。</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vAlign w:val="center"/>
          </w:tcPr>
          <w:p>
            <w:pPr>
              <w:autoSpaceDE w:val="0"/>
              <w:autoSpaceDN w:val="0"/>
              <w:spacing w:after="80"/>
              <w:contextualSpacing/>
              <w:jc w:val="center"/>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石强</w:t>
            </w:r>
          </w:p>
        </w:tc>
        <w:tc>
          <w:tcPr>
            <w:tcW w:w="1280" w:type="pct"/>
            <w:vAlign w:val="center"/>
          </w:tcPr>
          <w:p>
            <w:pPr>
              <w:spacing w:after="0"/>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托克托县农畜产品质量安全</w:t>
            </w:r>
            <w:r>
              <w:rPr>
                <w:rFonts w:hint="eastAsia" w:ascii="仿宋" w:hAnsi="仿宋" w:eastAsia="仿宋" w:cs="仿宋"/>
                <w:color w:val="000000" w:themeColor="text1"/>
                <w:kern w:val="0"/>
                <w:sz w:val="28"/>
                <w:szCs w:val="28"/>
                <w:lang w:eastAsia="zh-CN"/>
                <w14:textFill>
                  <w14:solidFill>
                    <w14:schemeClr w14:val="tx1"/>
                  </w14:solidFill>
                </w14:textFill>
              </w:rPr>
              <w:t>中心</w:t>
            </w:r>
          </w:p>
        </w:tc>
        <w:tc>
          <w:tcPr>
            <w:tcW w:w="719" w:type="pct"/>
            <w:vAlign w:val="center"/>
          </w:tcPr>
          <w:p>
            <w:pPr>
              <w:spacing w:after="80"/>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lang w:eastAsia="zh-CN"/>
                <w14:textFill>
                  <w14:solidFill>
                    <w14:schemeClr w14:val="tx1"/>
                  </w14:solidFill>
                </w14:textFill>
              </w:rPr>
              <w:t>助理畜牧师</w:t>
            </w:r>
          </w:p>
        </w:tc>
        <w:tc>
          <w:tcPr>
            <w:tcW w:w="2217" w:type="pct"/>
            <w:vAlign w:val="center"/>
          </w:tcPr>
          <w:p>
            <w:pPr>
              <w:spacing w:after="0"/>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负责</w:t>
            </w:r>
            <w:r>
              <w:rPr>
                <w:rFonts w:hint="eastAsia" w:ascii="仿宋" w:hAnsi="仿宋" w:eastAsia="仿宋" w:cs="仿宋"/>
                <w:color w:val="000000" w:themeColor="text1"/>
                <w:kern w:val="0"/>
                <w:sz w:val="28"/>
                <w:szCs w:val="28"/>
                <w:lang w:eastAsia="zh-CN"/>
                <w14:textFill>
                  <w14:solidFill>
                    <w14:schemeClr w14:val="tx1"/>
                  </w14:solidFill>
                </w14:textFill>
              </w:rPr>
              <w:t>田间试验</w:t>
            </w:r>
            <w:r>
              <w:rPr>
                <w:rFonts w:hint="eastAsia" w:ascii="仿宋" w:hAnsi="仿宋" w:eastAsia="仿宋" w:cs="仿宋"/>
                <w:color w:val="000000" w:themeColor="text1"/>
                <w:kern w:val="0"/>
                <w:sz w:val="28"/>
                <w:szCs w:val="28"/>
                <w14:textFill>
                  <w14:solidFill>
                    <w14:schemeClr w14:val="tx1"/>
                  </w14:solidFill>
                </w14:textFill>
              </w:rPr>
              <w:t>。</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vAlign w:val="center"/>
          </w:tcPr>
          <w:p>
            <w:pPr>
              <w:autoSpaceDE w:val="0"/>
              <w:autoSpaceDN w:val="0"/>
              <w:spacing w:after="80"/>
              <w:contextualSpacing/>
              <w:jc w:val="center"/>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杨霖</w:t>
            </w:r>
          </w:p>
        </w:tc>
        <w:tc>
          <w:tcPr>
            <w:tcW w:w="1280" w:type="pct"/>
            <w:vAlign w:val="center"/>
          </w:tcPr>
          <w:p>
            <w:pPr>
              <w:spacing w:after="80"/>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lang w:eastAsia="zh-CN"/>
                <w14:textFill>
                  <w14:solidFill>
                    <w14:schemeClr w14:val="tx1"/>
                  </w14:solidFill>
                </w14:textFill>
              </w:rPr>
              <w:t>呼和浩特市回民区动物疫病检疫中心</w:t>
            </w:r>
          </w:p>
        </w:tc>
        <w:tc>
          <w:tcPr>
            <w:tcW w:w="719" w:type="pct"/>
            <w:vAlign w:val="center"/>
          </w:tcPr>
          <w:p>
            <w:pPr>
              <w:spacing w:after="80"/>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lang w:eastAsia="zh-CN"/>
                <w14:textFill>
                  <w14:solidFill>
                    <w14:schemeClr w14:val="tx1"/>
                  </w14:solidFill>
                </w14:textFill>
              </w:rPr>
              <w:t>高级兽医师</w:t>
            </w:r>
          </w:p>
        </w:tc>
        <w:tc>
          <w:tcPr>
            <w:tcW w:w="2217" w:type="pct"/>
            <w:vAlign w:val="center"/>
          </w:tcPr>
          <w:p>
            <w:pPr>
              <w:spacing w:after="0"/>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负责</w:t>
            </w:r>
            <w:r>
              <w:rPr>
                <w:rFonts w:hint="eastAsia" w:ascii="仿宋" w:hAnsi="仿宋" w:eastAsia="仿宋" w:cs="仿宋"/>
                <w:color w:val="000000" w:themeColor="text1"/>
                <w:kern w:val="0"/>
                <w:sz w:val="28"/>
                <w:szCs w:val="28"/>
                <w:lang w:eastAsia="zh-CN"/>
                <w14:textFill>
                  <w14:solidFill>
                    <w14:schemeClr w14:val="tx1"/>
                  </w14:solidFill>
                </w14:textFill>
              </w:rPr>
              <w:t>田间试验</w:t>
            </w:r>
            <w:r>
              <w:rPr>
                <w:rFonts w:hint="eastAsia" w:ascii="仿宋" w:hAnsi="仿宋" w:eastAsia="仿宋" w:cs="仿宋"/>
                <w:color w:val="000000" w:themeColor="text1"/>
                <w:kern w:val="0"/>
                <w:sz w:val="28"/>
                <w:szCs w:val="28"/>
                <w14:textFill>
                  <w14:solidFill>
                    <w14:schemeClr w14:val="tx1"/>
                  </w14:solidFill>
                </w14:textFill>
              </w:rPr>
              <w:t>。</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vAlign w:val="center"/>
          </w:tcPr>
          <w:p>
            <w:pPr>
              <w:autoSpaceDE w:val="0"/>
              <w:autoSpaceDN w:val="0"/>
              <w:spacing w:after="80"/>
              <w:contextualSpacing/>
              <w:jc w:val="center"/>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张勇</w:t>
            </w:r>
          </w:p>
        </w:tc>
        <w:tc>
          <w:tcPr>
            <w:tcW w:w="1280" w:type="pct"/>
            <w:vAlign w:val="center"/>
          </w:tcPr>
          <w:p>
            <w:pPr>
              <w:autoSpaceDE w:val="0"/>
              <w:autoSpaceDN w:val="0"/>
              <w:spacing w:after="0"/>
              <w:contextualSpacing/>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托克托县农畜产品质量安全</w:t>
            </w:r>
            <w:r>
              <w:rPr>
                <w:rFonts w:hint="eastAsia" w:ascii="仿宋" w:hAnsi="仿宋" w:eastAsia="仿宋" w:cs="仿宋"/>
                <w:color w:val="000000" w:themeColor="text1"/>
                <w:kern w:val="0"/>
                <w:sz w:val="28"/>
                <w:szCs w:val="28"/>
                <w:lang w:eastAsia="zh-CN"/>
                <w14:textFill>
                  <w14:solidFill>
                    <w14:schemeClr w14:val="tx1"/>
                  </w14:solidFill>
                </w14:textFill>
              </w:rPr>
              <w:t>中心</w:t>
            </w:r>
          </w:p>
        </w:tc>
        <w:tc>
          <w:tcPr>
            <w:tcW w:w="719" w:type="pct"/>
            <w:vAlign w:val="center"/>
          </w:tcPr>
          <w:p>
            <w:pPr>
              <w:spacing w:after="80"/>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lang w:eastAsia="zh-CN"/>
                <w14:textFill>
                  <w14:solidFill>
                    <w14:schemeClr w14:val="tx1"/>
                  </w14:solidFill>
                </w14:textFill>
              </w:rPr>
              <w:t>助理兽医师</w:t>
            </w:r>
          </w:p>
        </w:tc>
        <w:tc>
          <w:tcPr>
            <w:tcW w:w="2217" w:type="pct"/>
            <w:vAlign w:val="center"/>
          </w:tcPr>
          <w:p>
            <w:pPr>
              <w:spacing w:after="0"/>
              <w:rPr>
                <w:rFonts w:hint="eastAsia" w:ascii="仿宋" w:hAnsi="仿宋" w:eastAsia="仿宋" w:cs="仿宋"/>
                <w:kern w:val="0"/>
                <w:sz w:val="28"/>
                <w:szCs w:val="28"/>
              </w:rPr>
            </w:pPr>
            <w:r>
              <w:rPr>
                <w:rFonts w:hint="eastAsia" w:ascii="仿宋" w:hAnsi="仿宋" w:eastAsia="仿宋" w:cs="仿宋"/>
                <w:color w:val="000000" w:themeColor="text1"/>
                <w:kern w:val="0"/>
                <w:sz w:val="28"/>
                <w:szCs w:val="28"/>
                <w14:textFill>
                  <w14:solidFill>
                    <w14:schemeClr w14:val="tx1"/>
                  </w14:solidFill>
                </w14:textFill>
              </w:rPr>
              <w:t>负责</w:t>
            </w:r>
            <w:r>
              <w:rPr>
                <w:rFonts w:hint="eastAsia" w:ascii="仿宋" w:hAnsi="仿宋" w:eastAsia="仿宋" w:cs="仿宋"/>
                <w:color w:val="000000" w:themeColor="text1"/>
                <w:kern w:val="0"/>
                <w:sz w:val="28"/>
                <w:szCs w:val="28"/>
                <w:lang w:eastAsia="zh-CN"/>
                <w14:textFill>
                  <w14:solidFill>
                    <w14:schemeClr w14:val="tx1"/>
                  </w14:solidFill>
                </w14:textFill>
              </w:rPr>
              <w:t>田间试验</w:t>
            </w:r>
            <w:r>
              <w:rPr>
                <w:rFonts w:hint="eastAsia" w:ascii="仿宋" w:hAnsi="仿宋" w:eastAsia="仿宋" w:cs="仿宋"/>
                <w:color w:val="000000" w:themeColor="text1"/>
                <w:kern w:val="0"/>
                <w:sz w:val="28"/>
                <w:szCs w:val="28"/>
                <w14:textFill>
                  <w14:solidFill>
                    <w14:schemeClr w14:val="tx1"/>
                  </w14:solidFill>
                </w14:textFill>
              </w:rPr>
              <w:t>。</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vAlign w:val="center"/>
          </w:tcPr>
          <w:p>
            <w:pPr>
              <w:autoSpaceDE w:val="0"/>
              <w:autoSpaceDN w:val="0"/>
              <w:spacing w:after="80"/>
              <w:contextualSpacing/>
              <w:jc w:val="center"/>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赵冷利</w:t>
            </w:r>
          </w:p>
        </w:tc>
        <w:tc>
          <w:tcPr>
            <w:tcW w:w="1280" w:type="pct"/>
            <w:vAlign w:val="center"/>
          </w:tcPr>
          <w:p>
            <w:pPr>
              <w:spacing w:after="0"/>
              <w:jc w:val="center"/>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托克托县农畜产品质量安全</w:t>
            </w:r>
          </w:p>
        </w:tc>
        <w:tc>
          <w:tcPr>
            <w:tcW w:w="719" w:type="pct"/>
            <w:vAlign w:val="center"/>
          </w:tcPr>
          <w:p>
            <w:pPr>
              <w:spacing w:after="80"/>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lang w:eastAsia="zh-CN"/>
                <w14:textFill>
                  <w14:solidFill>
                    <w14:schemeClr w14:val="tx1"/>
                  </w14:solidFill>
                </w14:textFill>
              </w:rPr>
              <w:t>助理畜牧师</w:t>
            </w:r>
          </w:p>
        </w:tc>
        <w:tc>
          <w:tcPr>
            <w:tcW w:w="2217" w:type="pct"/>
            <w:vAlign w:val="center"/>
          </w:tcPr>
          <w:p>
            <w:pPr>
              <w:spacing w:after="0"/>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负责</w:t>
            </w:r>
            <w:r>
              <w:rPr>
                <w:rFonts w:hint="eastAsia" w:ascii="仿宋" w:hAnsi="仿宋" w:eastAsia="仿宋" w:cs="仿宋"/>
                <w:color w:val="000000" w:themeColor="text1"/>
                <w:kern w:val="0"/>
                <w:sz w:val="28"/>
                <w:szCs w:val="28"/>
                <w:lang w:eastAsia="zh-CN"/>
                <w14:textFill>
                  <w14:solidFill>
                    <w14:schemeClr w14:val="tx1"/>
                  </w14:solidFill>
                </w14:textFill>
              </w:rPr>
              <w:t>田间试验</w:t>
            </w:r>
            <w:r>
              <w:rPr>
                <w:rFonts w:hint="eastAsia" w:ascii="仿宋" w:hAnsi="仿宋" w:eastAsia="仿宋" w:cs="仿宋"/>
                <w:color w:val="000000" w:themeColor="text1"/>
                <w:kern w:val="0"/>
                <w:sz w:val="28"/>
                <w:szCs w:val="28"/>
                <w14:textFill>
                  <w14:solidFill>
                    <w14:schemeClr w14:val="tx1"/>
                  </w14:solidFill>
                </w14:textFill>
              </w:rPr>
              <w:t>。</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vAlign w:val="center"/>
          </w:tcPr>
          <w:p>
            <w:pPr>
              <w:autoSpaceDE w:val="0"/>
              <w:autoSpaceDN w:val="0"/>
              <w:spacing w:after="80"/>
              <w:contextualSpacing/>
              <w:jc w:val="center"/>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段佳</w:t>
            </w:r>
          </w:p>
        </w:tc>
        <w:tc>
          <w:tcPr>
            <w:tcW w:w="1280" w:type="pct"/>
            <w:vAlign w:val="center"/>
          </w:tcPr>
          <w:p>
            <w:pPr>
              <w:autoSpaceDE w:val="0"/>
              <w:autoSpaceDN w:val="0"/>
              <w:spacing w:after="0"/>
              <w:contextualSpacing/>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托克托县农畜产品质量安全</w:t>
            </w:r>
            <w:r>
              <w:rPr>
                <w:rFonts w:hint="eastAsia" w:ascii="仿宋" w:hAnsi="仿宋" w:eastAsia="仿宋" w:cs="仿宋"/>
                <w:color w:val="000000" w:themeColor="text1"/>
                <w:kern w:val="0"/>
                <w:sz w:val="28"/>
                <w:szCs w:val="28"/>
                <w:lang w:eastAsia="zh-CN"/>
                <w14:textFill>
                  <w14:solidFill>
                    <w14:schemeClr w14:val="tx1"/>
                  </w14:solidFill>
                </w14:textFill>
              </w:rPr>
              <w:t>中心</w:t>
            </w:r>
          </w:p>
        </w:tc>
        <w:tc>
          <w:tcPr>
            <w:tcW w:w="719" w:type="pct"/>
            <w:vAlign w:val="center"/>
          </w:tcPr>
          <w:p>
            <w:pPr>
              <w:spacing w:after="80"/>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lang w:eastAsia="zh-CN"/>
                <w14:textFill>
                  <w14:solidFill>
                    <w14:schemeClr w14:val="tx1"/>
                  </w14:solidFill>
                </w14:textFill>
              </w:rPr>
              <w:t>助理农艺师</w:t>
            </w:r>
          </w:p>
        </w:tc>
        <w:tc>
          <w:tcPr>
            <w:tcW w:w="2217" w:type="pct"/>
            <w:vAlign w:val="center"/>
          </w:tcPr>
          <w:p>
            <w:pPr>
              <w:spacing w:after="0"/>
              <w:rPr>
                <w:rFonts w:hint="eastAsia" w:ascii="仿宋" w:hAnsi="仿宋" w:eastAsia="仿宋" w:cs="仿宋"/>
                <w:kern w:val="0"/>
                <w:sz w:val="28"/>
                <w:szCs w:val="28"/>
              </w:rPr>
            </w:pPr>
            <w:r>
              <w:rPr>
                <w:rFonts w:hint="eastAsia" w:ascii="仿宋" w:hAnsi="仿宋" w:eastAsia="仿宋" w:cs="仿宋"/>
                <w:color w:val="000000" w:themeColor="text1"/>
                <w:kern w:val="0"/>
                <w:sz w:val="28"/>
                <w:szCs w:val="28"/>
                <w14:textFill>
                  <w14:solidFill>
                    <w14:schemeClr w14:val="tx1"/>
                  </w14:solidFill>
                </w14:textFill>
              </w:rPr>
              <w:t>负责</w:t>
            </w:r>
            <w:r>
              <w:rPr>
                <w:rFonts w:hint="eastAsia" w:ascii="仿宋" w:hAnsi="仿宋" w:eastAsia="仿宋" w:cs="仿宋"/>
                <w:color w:val="000000" w:themeColor="text1"/>
                <w:kern w:val="0"/>
                <w:sz w:val="28"/>
                <w:szCs w:val="28"/>
                <w:lang w:eastAsia="zh-CN"/>
                <w14:textFill>
                  <w14:solidFill>
                    <w14:schemeClr w14:val="tx1"/>
                  </w14:solidFill>
                </w14:textFill>
              </w:rPr>
              <w:t>资料整理</w:t>
            </w:r>
            <w:r>
              <w:rPr>
                <w:rFonts w:hint="eastAsia" w:ascii="仿宋" w:hAnsi="仿宋" w:eastAsia="仿宋" w:cs="仿宋"/>
                <w:color w:val="000000" w:themeColor="text1"/>
                <w:kern w:val="0"/>
                <w:sz w:val="28"/>
                <w:szCs w:val="28"/>
                <w14:textFill>
                  <w14:solidFill>
                    <w14:schemeClr w14:val="tx1"/>
                  </w14:solidFill>
                </w14:textFill>
              </w:rPr>
              <w:t>。</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vAlign w:val="center"/>
          </w:tcPr>
          <w:p>
            <w:pPr>
              <w:autoSpaceDE w:val="0"/>
              <w:autoSpaceDN w:val="0"/>
              <w:spacing w:after="80"/>
              <w:contextualSpacing/>
              <w:jc w:val="center"/>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张明亮</w:t>
            </w:r>
          </w:p>
        </w:tc>
        <w:tc>
          <w:tcPr>
            <w:tcW w:w="1280" w:type="pct"/>
            <w:vAlign w:val="center"/>
          </w:tcPr>
          <w:p>
            <w:pPr>
              <w:spacing w:after="0"/>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lang w:eastAsia="zh-CN"/>
                <w14:textFill>
                  <w14:solidFill>
                    <w14:schemeClr w14:val="tx1"/>
                  </w14:solidFill>
                </w14:textFill>
              </w:rPr>
              <w:t>托克托县新营子镇</w:t>
            </w:r>
          </w:p>
        </w:tc>
        <w:tc>
          <w:tcPr>
            <w:tcW w:w="719" w:type="pct"/>
            <w:vAlign w:val="center"/>
          </w:tcPr>
          <w:p>
            <w:pPr>
              <w:spacing w:after="80"/>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lang w:eastAsia="zh-CN"/>
                <w14:textFill>
                  <w14:solidFill>
                    <w14:schemeClr w14:val="tx1"/>
                  </w14:solidFill>
                </w14:textFill>
              </w:rPr>
              <w:t>高级畜牧师</w:t>
            </w:r>
          </w:p>
        </w:tc>
        <w:tc>
          <w:tcPr>
            <w:tcW w:w="2217" w:type="pct"/>
            <w:vAlign w:val="center"/>
          </w:tcPr>
          <w:p>
            <w:pPr>
              <w:spacing w:after="0"/>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负责</w:t>
            </w:r>
            <w:r>
              <w:rPr>
                <w:rFonts w:hint="eastAsia" w:ascii="仿宋" w:hAnsi="仿宋" w:eastAsia="仿宋" w:cs="仿宋"/>
                <w:color w:val="000000" w:themeColor="text1"/>
                <w:kern w:val="0"/>
                <w:sz w:val="28"/>
                <w:szCs w:val="28"/>
                <w:lang w:eastAsia="zh-CN"/>
                <w14:textFill>
                  <w14:solidFill>
                    <w14:schemeClr w14:val="tx1"/>
                  </w14:solidFill>
                </w14:textFill>
              </w:rPr>
              <w:t>田间试验</w:t>
            </w:r>
            <w:r>
              <w:rPr>
                <w:rFonts w:hint="eastAsia" w:ascii="仿宋" w:hAnsi="仿宋" w:eastAsia="仿宋" w:cs="仿宋"/>
                <w:color w:val="000000" w:themeColor="text1"/>
                <w:kern w:val="0"/>
                <w:sz w:val="28"/>
                <w:szCs w:val="28"/>
                <w14:textFill>
                  <w14:solidFill>
                    <w14:schemeClr w14:val="tx1"/>
                  </w14:solidFill>
                </w14:textFill>
              </w:rPr>
              <w:t>。</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vAlign w:val="center"/>
          </w:tcPr>
          <w:p>
            <w:pPr>
              <w:autoSpaceDE w:val="0"/>
              <w:autoSpaceDN w:val="0"/>
              <w:spacing w:after="80"/>
              <w:contextualSpacing/>
              <w:jc w:val="center"/>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范永军</w:t>
            </w:r>
          </w:p>
        </w:tc>
        <w:tc>
          <w:tcPr>
            <w:tcW w:w="1280" w:type="pct"/>
            <w:vAlign w:val="center"/>
          </w:tcPr>
          <w:p>
            <w:pPr>
              <w:spacing w:after="80"/>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lang w:eastAsia="zh-CN"/>
                <w14:textFill>
                  <w14:solidFill>
                    <w14:schemeClr w14:val="tx1"/>
                  </w14:solidFill>
                </w14:textFill>
              </w:rPr>
              <w:t>托克托县新营子镇</w:t>
            </w:r>
          </w:p>
        </w:tc>
        <w:tc>
          <w:tcPr>
            <w:tcW w:w="719" w:type="pct"/>
            <w:vAlign w:val="center"/>
          </w:tcPr>
          <w:p>
            <w:pPr>
              <w:spacing w:after="80"/>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lang w:eastAsia="zh-CN"/>
                <w14:textFill>
                  <w14:solidFill>
                    <w14:schemeClr w14:val="tx1"/>
                  </w14:solidFill>
                </w14:textFill>
              </w:rPr>
              <w:t>高级兽医师</w:t>
            </w:r>
          </w:p>
        </w:tc>
        <w:tc>
          <w:tcPr>
            <w:tcW w:w="2217" w:type="pct"/>
            <w:vAlign w:val="center"/>
          </w:tcPr>
          <w:p>
            <w:pPr>
              <w:spacing w:after="0"/>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负责</w:t>
            </w:r>
            <w:r>
              <w:rPr>
                <w:rFonts w:hint="eastAsia" w:ascii="仿宋" w:hAnsi="仿宋" w:eastAsia="仿宋" w:cs="仿宋"/>
                <w:color w:val="000000" w:themeColor="text1"/>
                <w:kern w:val="0"/>
                <w:sz w:val="28"/>
                <w:szCs w:val="28"/>
                <w:lang w:eastAsia="zh-CN"/>
                <w14:textFill>
                  <w14:solidFill>
                    <w14:schemeClr w14:val="tx1"/>
                  </w14:solidFill>
                </w14:textFill>
              </w:rPr>
              <w:t>田间试验</w:t>
            </w:r>
            <w:r>
              <w:rPr>
                <w:rFonts w:hint="eastAsia" w:ascii="仿宋" w:hAnsi="仿宋" w:eastAsia="仿宋" w:cs="仿宋"/>
                <w:color w:val="000000" w:themeColor="text1"/>
                <w:kern w:val="0"/>
                <w:sz w:val="28"/>
                <w:szCs w:val="28"/>
                <w14:textFill>
                  <w14:solidFill>
                    <w14:schemeClr w14:val="tx1"/>
                  </w14:solidFill>
                </w14:textFill>
              </w:rPr>
              <w:t>。</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vAlign w:val="center"/>
          </w:tcPr>
          <w:p>
            <w:pPr>
              <w:autoSpaceDE w:val="0"/>
              <w:autoSpaceDN w:val="0"/>
              <w:spacing w:after="80"/>
              <w:contextualSpacing/>
              <w:jc w:val="center"/>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巴特</w:t>
            </w:r>
          </w:p>
        </w:tc>
        <w:tc>
          <w:tcPr>
            <w:tcW w:w="1280" w:type="pct"/>
            <w:vAlign w:val="center"/>
          </w:tcPr>
          <w:p>
            <w:pPr>
              <w:spacing w:after="80"/>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lang w:eastAsia="zh-CN"/>
                <w14:textFill>
                  <w14:solidFill>
                    <w14:schemeClr w14:val="tx1"/>
                  </w14:solidFill>
                </w14:textFill>
              </w:rPr>
              <w:t>土默特左旗农牧业综合服务保障中心</w:t>
            </w:r>
          </w:p>
        </w:tc>
        <w:tc>
          <w:tcPr>
            <w:tcW w:w="719" w:type="pct"/>
            <w:vAlign w:val="center"/>
          </w:tcPr>
          <w:p>
            <w:pPr>
              <w:spacing w:after="80"/>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lang w:eastAsia="zh-CN"/>
                <w14:textFill>
                  <w14:solidFill>
                    <w14:schemeClr w14:val="tx1"/>
                  </w14:solidFill>
                </w14:textFill>
              </w:rPr>
              <w:t>农艺师</w:t>
            </w:r>
          </w:p>
        </w:tc>
        <w:tc>
          <w:tcPr>
            <w:tcW w:w="2217" w:type="pct"/>
            <w:vAlign w:val="center"/>
          </w:tcPr>
          <w:p>
            <w:pPr>
              <w:spacing w:after="0"/>
              <w:rPr>
                <w:rFonts w:hint="eastAsia" w:ascii="仿宋" w:hAnsi="仿宋" w:eastAsia="仿宋" w:cs="仿宋"/>
                <w:kern w:val="0"/>
                <w:sz w:val="28"/>
                <w:szCs w:val="28"/>
              </w:rPr>
            </w:pPr>
            <w:r>
              <w:rPr>
                <w:rFonts w:hint="eastAsia" w:ascii="仿宋" w:hAnsi="仿宋" w:eastAsia="仿宋" w:cs="仿宋"/>
                <w:color w:val="000000" w:themeColor="text1"/>
                <w:kern w:val="0"/>
                <w:sz w:val="28"/>
                <w:szCs w:val="28"/>
                <w14:textFill>
                  <w14:solidFill>
                    <w14:schemeClr w14:val="tx1"/>
                  </w14:solidFill>
                </w14:textFill>
              </w:rPr>
              <w:t>负责</w:t>
            </w:r>
            <w:r>
              <w:rPr>
                <w:rFonts w:hint="eastAsia" w:ascii="仿宋" w:hAnsi="仿宋" w:eastAsia="仿宋" w:cs="仿宋"/>
                <w:color w:val="000000" w:themeColor="text1"/>
                <w:kern w:val="0"/>
                <w:sz w:val="28"/>
                <w:szCs w:val="28"/>
                <w:lang w:eastAsia="zh-CN"/>
                <w14:textFill>
                  <w14:solidFill>
                    <w14:schemeClr w14:val="tx1"/>
                  </w14:solidFill>
                </w14:textFill>
              </w:rPr>
              <w:t>田间试验</w:t>
            </w:r>
            <w:r>
              <w:rPr>
                <w:rFonts w:hint="eastAsia" w:ascii="仿宋" w:hAnsi="仿宋" w:eastAsia="仿宋" w:cs="仿宋"/>
                <w:color w:val="000000" w:themeColor="text1"/>
                <w:kern w:val="0"/>
                <w:sz w:val="28"/>
                <w:szCs w:val="28"/>
                <w14:textFill>
                  <w14:solidFill>
                    <w14:schemeClr w14:val="tx1"/>
                  </w14:solidFill>
                </w14:textFill>
              </w:rPr>
              <w:t>。</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vAlign w:val="center"/>
          </w:tcPr>
          <w:p>
            <w:pPr>
              <w:autoSpaceDE w:val="0"/>
              <w:autoSpaceDN w:val="0"/>
              <w:spacing w:after="80"/>
              <w:contextualSpacing/>
              <w:jc w:val="center"/>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云赛恒</w:t>
            </w:r>
          </w:p>
        </w:tc>
        <w:tc>
          <w:tcPr>
            <w:tcW w:w="1280" w:type="pct"/>
            <w:vAlign w:val="center"/>
          </w:tcPr>
          <w:p>
            <w:pPr>
              <w:spacing w:after="80"/>
              <w:jc w:val="center"/>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lang w:eastAsia="zh-CN"/>
                <w14:textFill>
                  <w14:solidFill>
                    <w14:schemeClr w14:val="tx1"/>
                  </w14:solidFill>
                </w14:textFill>
              </w:rPr>
              <w:t>土默特左旗农牧业综合服务保障中心</w:t>
            </w:r>
          </w:p>
        </w:tc>
        <w:tc>
          <w:tcPr>
            <w:tcW w:w="719" w:type="pct"/>
            <w:vAlign w:val="center"/>
          </w:tcPr>
          <w:p>
            <w:pPr>
              <w:spacing w:after="80"/>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lang w:eastAsia="zh-CN"/>
                <w14:textFill>
                  <w14:solidFill>
                    <w14:schemeClr w14:val="tx1"/>
                  </w14:solidFill>
                </w14:textFill>
              </w:rPr>
              <w:t>农艺师</w:t>
            </w:r>
          </w:p>
        </w:tc>
        <w:tc>
          <w:tcPr>
            <w:tcW w:w="2217" w:type="pct"/>
            <w:vAlign w:val="center"/>
          </w:tcPr>
          <w:p>
            <w:pPr>
              <w:spacing w:after="0"/>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负责</w:t>
            </w:r>
            <w:r>
              <w:rPr>
                <w:rFonts w:hint="eastAsia" w:ascii="仿宋" w:hAnsi="仿宋" w:eastAsia="仿宋" w:cs="仿宋"/>
                <w:color w:val="000000" w:themeColor="text1"/>
                <w:kern w:val="0"/>
                <w:sz w:val="28"/>
                <w:szCs w:val="28"/>
                <w:lang w:eastAsia="zh-CN"/>
                <w14:textFill>
                  <w14:solidFill>
                    <w14:schemeClr w14:val="tx1"/>
                  </w14:solidFill>
                </w14:textFill>
              </w:rPr>
              <w:t>资料整理与收集</w:t>
            </w:r>
            <w:r>
              <w:rPr>
                <w:rFonts w:hint="eastAsia" w:ascii="仿宋" w:hAnsi="仿宋" w:eastAsia="仿宋" w:cs="仿宋"/>
                <w:color w:val="000000" w:themeColor="text1"/>
                <w:kern w:val="0"/>
                <w:sz w:val="28"/>
                <w:szCs w:val="28"/>
                <w14:textFill>
                  <w14:solidFill>
                    <w14:schemeClr w14:val="tx1"/>
                  </w14:solidFill>
                </w14:textFill>
              </w:rPr>
              <w:t>。</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vAlign w:val="center"/>
          </w:tcPr>
          <w:p>
            <w:pPr>
              <w:autoSpaceDE w:val="0"/>
              <w:autoSpaceDN w:val="0"/>
              <w:spacing w:after="80"/>
              <w:contextualSpacing/>
              <w:jc w:val="center"/>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王芳</w:t>
            </w:r>
          </w:p>
        </w:tc>
        <w:tc>
          <w:tcPr>
            <w:tcW w:w="1280" w:type="pct"/>
            <w:vAlign w:val="center"/>
          </w:tcPr>
          <w:p>
            <w:pPr>
              <w:spacing w:after="80"/>
              <w:jc w:val="center"/>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lang w:eastAsia="zh-CN"/>
                <w14:textFill>
                  <w14:solidFill>
                    <w14:schemeClr w14:val="tx1"/>
                  </w14:solidFill>
                </w14:textFill>
              </w:rPr>
              <w:t>土默特左旗农牧业综合服务保障中心</w:t>
            </w:r>
          </w:p>
        </w:tc>
        <w:tc>
          <w:tcPr>
            <w:tcW w:w="719" w:type="pct"/>
            <w:vAlign w:val="center"/>
          </w:tcPr>
          <w:p>
            <w:pPr>
              <w:spacing w:after="80"/>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lang w:eastAsia="zh-CN"/>
                <w14:textFill>
                  <w14:solidFill>
                    <w14:schemeClr w14:val="tx1"/>
                  </w14:solidFill>
                </w14:textFill>
              </w:rPr>
              <w:t>农艺师</w:t>
            </w:r>
          </w:p>
        </w:tc>
        <w:tc>
          <w:tcPr>
            <w:tcW w:w="2217" w:type="pct"/>
            <w:vAlign w:val="center"/>
          </w:tcPr>
          <w:p>
            <w:pPr>
              <w:spacing w:after="0"/>
              <w:rPr>
                <w:rFonts w:hint="eastAsia" w:ascii="仿宋" w:hAnsi="仿宋" w:eastAsia="仿宋" w:cs="仿宋"/>
                <w:kern w:val="0"/>
                <w:sz w:val="28"/>
                <w:szCs w:val="28"/>
              </w:rPr>
            </w:pPr>
            <w:r>
              <w:rPr>
                <w:rFonts w:hint="eastAsia" w:ascii="仿宋" w:hAnsi="仿宋" w:eastAsia="仿宋" w:cs="仿宋"/>
                <w:color w:val="000000" w:themeColor="text1"/>
                <w:kern w:val="0"/>
                <w:sz w:val="28"/>
                <w:szCs w:val="28"/>
                <w14:textFill>
                  <w14:solidFill>
                    <w14:schemeClr w14:val="tx1"/>
                  </w14:solidFill>
                </w14:textFill>
              </w:rPr>
              <w:t>负责</w:t>
            </w:r>
            <w:r>
              <w:rPr>
                <w:rFonts w:hint="eastAsia" w:ascii="仿宋" w:hAnsi="仿宋" w:eastAsia="仿宋" w:cs="仿宋"/>
                <w:color w:val="000000" w:themeColor="text1"/>
                <w:kern w:val="0"/>
                <w:sz w:val="28"/>
                <w:szCs w:val="28"/>
                <w:lang w:eastAsia="zh-CN"/>
                <w14:textFill>
                  <w14:solidFill>
                    <w14:schemeClr w14:val="tx1"/>
                  </w14:solidFill>
                </w14:textFill>
              </w:rPr>
              <w:t>田间试验</w:t>
            </w:r>
            <w:r>
              <w:rPr>
                <w:rFonts w:hint="eastAsia" w:ascii="仿宋" w:hAnsi="仿宋" w:eastAsia="仿宋" w:cs="仿宋"/>
                <w:color w:val="000000" w:themeColor="text1"/>
                <w:kern w:val="0"/>
                <w:sz w:val="28"/>
                <w:szCs w:val="28"/>
                <w14:textFill>
                  <w14:solidFill>
                    <w14:schemeClr w14:val="tx1"/>
                  </w14:solidFill>
                </w14:textFill>
              </w:rPr>
              <w:t>。</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vAlign w:val="center"/>
          </w:tcPr>
          <w:p>
            <w:pPr>
              <w:autoSpaceDE w:val="0"/>
              <w:autoSpaceDN w:val="0"/>
              <w:spacing w:after="80"/>
              <w:contextualSpacing/>
              <w:jc w:val="center"/>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王慧峰</w:t>
            </w:r>
          </w:p>
        </w:tc>
        <w:tc>
          <w:tcPr>
            <w:tcW w:w="1280" w:type="pct"/>
            <w:vAlign w:val="center"/>
          </w:tcPr>
          <w:p>
            <w:pPr>
              <w:spacing w:after="80"/>
              <w:jc w:val="center"/>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lang w:eastAsia="zh-CN"/>
                <w14:textFill>
                  <w14:solidFill>
                    <w14:schemeClr w14:val="tx1"/>
                  </w14:solidFill>
                </w14:textFill>
              </w:rPr>
              <w:t>土默特左旗农牧业综合服务保障中心</w:t>
            </w:r>
          </w:p>
        </w:tc>
        <w:tc>
          <w:tcPr>
            <w:tcW w:w="719" w:type="pct"/>
            <w:vAlign w:val="center"/>
          </w:tcPr>
          <w:p>
            <w:pPr>
              <w:spacing w:after="80"/>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lang w:eastAsia="zh-CN"/>
                <w14:textFill>
                  <w14:solidFill>
                    <w14:schemeClr w14:val="tx1"/>
                  </w14:solidFill>
                </w14:textFill>
              </w:rPr>
              <w:t>农艺师</w:t>
            </w:r>
          </w:p>
        </w:tc>
        <w:tc>
          <w:tcPr>
            <w:tcW w:w="2217" w:type="pct"/>
            <w:vAlign w:val="center"/>
          </w:tcPr>
          <w:p>
            <w:pPr>
              <w:spacing w:after="0"/>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负责</w:t>
            </w:r>
            <w:r>
              <w:rPr>
                <w:rFonts w:hint="eastAsia" w:ascii="仿宋" w:hAnsi="仿宋" w:eastAsia="仿宋" w:cs="仿宋"/>
                <w:color w:val="000000" w:themeColor="text1"/>
                <w:kern w:val="0"/>
                <w:sz w:val="28"/>
                <w:szCs w:val="28"/>
                <w:lang w:eastAsia="zh-CN"/>
                <w14:textFill>
                  <w14:solidFill>
                    <w14:schemeClr w14:val="tx1"/>
                  </w14:solidFill>
                </w14:textFill>
              </w:rPr>
              <w:t>田间试验</w:t>
            </w:r>
            <w:r>
              <w:rPr>
                <w:rFonts w:hint="eastAsia" w:ascii="仿宋" w:hAnsi="仿宋" w:eastAsia="仿宋" w:cs="仿宋"/>
                <w:color w:val="000000" w:themeColor="text1"/>
                <w:kern w:val="0"/>
                <w:sz w:val="28"/>
                <w:szCs w:val="28"/>
                <w14:textFill>
                  <w14:solidFill>
                    <w14:schemeClr w14:val="tx1"/>
                  </w14:solidFill>
                </w14:textFill>
              </w:rPr>
              <w:t>。</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vAlign w:val="center"/>
          </w:tcPr>
          <w:p>
            <w:pPr>
              <w:autoSpaceDE w:val="0"/>
              <w:autoSpaceDN w:val="0"/>
              <w:spacing w:after="80"/>
              <w:contextualSpacing/>
              <w:jc w:val="center"/>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吕美叶</w:t>
            </w:r>
          </w:p>
        </w:tc>
        <w:tc>
          <w:tcPr>
            <w:tcW w:w="1280" w:type="pct"/>
            <w:vAlign w:val="center"/>
          </w:tcPr>
          <w:p>
            <w:pPr>
              <w:spacing w:after="80"/>
              <w:jc w:val="center"/>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lang w:eastAsia="zh-CN"/>
                <w14:textFill>
                  <w14:solidFill>
                    <w14:schemeClr w14:val="tx1"/>
                  </w14:solidFill>
                </w14:textFill>
              </w:rPr>
              <w:t>土默特左旗乡村振兴统筹发展中心</w:t>
            </w:r>
          </w:p>
        </w:tc>
        <w:tc>
          <w:tcPr>
            <w:tcW w:w="719" w:type="pct"/>
            <w:vAlign w:val="center"/>
          </w:tcPr>
          <w:p>
            <w:pPr>
              <w:spacing w:after="80"/>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lang w:eastAsia="zh-CN"/>
                <w14:textFill>
                  <w14:solidFill>
                    <w14:schemeClr w14:val="tx1"/>
                  </w14:solidFill>
                </w14:textFill>
              </w:rPr>
              <w:t>高级农艺师</w:t>
            </w:r>
          </w:p>
        </w:tc>
        <w:tc>
          <w:tcPr>
            <w:tcW w:w="2217" w:type="pct"/>
            <w:vAlign w:val="center"/>
          </w:tcPr>
          <w:p>
            <w:pPr>
              <w:spacing w:after="0"/>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负责</w:t>
            </w:r>
            <w:r>
              <w:rPr>
                <w:rFonts w:hint="eastAsia" w:ascii="仿宋" w:hAnsi="仿宋" w:eastAsia="仿宋" w:cs="仿宋"/>
                <w:color w:val="000000" w:themeColor="text1"/>
                <w:kern w:val="0"/>
                <w:sz w:val="28"/>
                <w:szCs w:val="28"/>
                <w:lang w:eastAsia="zh-CN"/>
                <w14:textFill>
                  <w14:solidFill>
                    <w14:schemeClr w14:val="tx1"/>
                  </w14:solidFill>
                </w14:textFill>
              </w:rPr>
              <w:t>田间试验</w:t>
            </w:r>
            <w:r>
              <w:rPr>
                <w:rFonts w:hint="eastAsia" w:ascii="仿宋" w:hAnsi="仿宋" w:eastAsia="仿宋" w:cs="仿宋"/>
                <w:color w:val="000000" w:themeColor="text1"/>
                <w:kern w:val="0"/>
                <w:sz w:val="28"/>
                <w:szCs w:val="28"/>
                <w14:textFill>
                  <w14:solidFill>
                    <w14:schemeClr w14:val="tx1"/>
                  </w14:solidFill>
                </w14:textFill>
              </w:rPr>
              <w:t>。</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vAlign w:val="center"/>
          </w:tcPr>
          <w:p>
            <w:pPr>
              <w:autoSpaceDE w:val="0"/>
              <w:autoSpaceDN w:val="0"/>
              <w:spacing w:after="80"/>
              <w:contextualSpacing/>
              <w:jc w:val="center"/>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崔利军</w:t>
            </w:r>
          </w:p>
        </w:tc>
        <w:tc>
          <w:tcPr>
            <w:tcW w:w="1280" w:type="pct"/>
            <w:vAlign w:val="center"/>
          </w:tcPr>
          <w:p>
            <w:pPr>
              <w:spacing w:after="80"/>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lang w:eastAsia="zh-CN"/>
                <w14:textFill>
                  <w14:solidFill>
                    <w14:schemeClr w14:val="tx1"/>
                  </w14:solidFill>
                </w14:textFill>
              </w:rPr>
              <w:t>托克托县一溜湾红辣椒专业合作社</w:t>
            </w:r>
          </w:p>
        </w:tc>
        <w:tc>
          <w:tcPr>
            <w:tcW w:w="719" w:type="pct"/>
            <w:vAlign w:val="center"/>
          </w:tcPr>
          <w:p>
            <w:pPr>
              <w:spacing w:after="80"/>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lang w:eastAsia="zh-CN"/>
                <w14:textFill>
                  <w14:solidFill>
                    <w14:schemeClr w14:val="tx1"/>
                  </w14:solidFill>
                </w14:textFill>
              </w:rPr>
              <w:t>农艺师</w:t>
            </w:r>
          </w:p>
        </w:tc>
        <w:tc>
          <w:tcPr>
            <w:tcW w:w="2217" w:type="pct"/>
            <w:vAlign w:val="center"/>
          </w:tcPr>
          <w:p>
            <w:pPr>
              <w:spacing w:after="0"/>
              <w:rPr>
                <w:rFonts w:hint="eastAsia" w:ascii="仿宋" w:hAnsi="仿宋" w:eastAsia="仿宋" w:cs="仿宋"/>
                <w:kern w:val="0"/>
                <w:sz w:val="28"/>
                <w:szCs w:val="28"/>
              </w:rPr>
            </w:pPr>
            <w:r>
              <w:rPr>
                <w:rFonts w:hint="eastAsia" w:ascii="仿宋" w:hAnsi="仿宋" w:eastAsia="仿宋" w:cs="仿宋"/>
                <w:color w:val="000000" w:themeColor="text1"/>
                <w:kern w:val="0"/>
                <w:sz w:val="28"/>
                <w:szCs w:val="28"/>
                <w14:textFill>
                  <w14:solidFill>
                    <w14:schemeClr w14:val="tx1"/>
                  </w14:solidFill>
                </w14:textFill>
              </w:rPr>
              <w:t>负责数据提供。</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vAlign w:val="center"/>
          </w:tcPr>
          <w:p>
            <w:pPr>
              <w:autoSpaceDE w:val="0"/>
              <w:autoSpaceDN w:val="0"/>
              <w:spacing w:after="80"/>
              <w:contextualSpacing/>
              <w:jc w:val="center"/>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王丽芳</w:t>
            </w:r>
          </w:p>
        </w:tc>
        <w:tc>
          <w:tcPr>
            <w:tcW w:w="1280" w:type="pct"/>
            <w:vAlign w:val="center"/>
          </w:tcPr>
          <w:p>
            <w:pPr>
              <w:spacing w:after="80"/>
              <w:jc w:val="center"/>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内蒙古自治区农牧业科学院</w:t>
            </w:r>
          </w:p>
        </w:tc>
        <w:tc>
          <w:tcPr>
            <w:tcW w:w="719" w:type="pct"/>
            <w:vAlign w:val="center"/>
          </w:tcPr>
          <w:p>
            <w:pPr>
              <w:spacing w:after="80"/>
              <w:jc w:val="center"/>
              <w:rPr>
                <w:rFonts w:hint="eastAsia" w:ascii="仿宋" w:hAnsi="仿宋" w:eastAsia="仿宋" w:cs="仿宋"/>
                <w:color w:val="000000" w:themeColor="text1"/>
                <w:kern w:val="0"/>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lang w:eastAsia="zh-CN"/>
                <w14:textFill>
                  <w14:solidFill>
                    <w14:schemeClr w14:val="tx1"/>
                  </w14:solidFill>
                </w14:textFill>
              </w:rPr>
              <w:t>高级畜牧师</w:t>
            </w:r>
          </w:p>
        </w:tc>
        <w:tc>
          <w:tcPr>
            <w:tcW w:w="2217" w:type="pct"/>
            <w:vAlign w:val="center"/>
          </w:tcPr>
          <w:p>
            <w:pPr>
              <w:spacing w:after="0"/>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负责标准验证和修订。</w:t>
            </w:r>
          </w:p>
        </w:tc>
      </w:tr>
    </w:tbl>
    <w:p>
      <w:pPr>
        <w:rPr>
          <w:rFonts w:ascii="仿宋" w:hAnsi="仿宋" w:eastAsia="仿宋"/>
          <w:sz w:val="28"/>
          <w:szCs w:val="28"/>
        </w:rPr>
      </w:pPr>
    </w:p>
    <w:p>
      <w:pPr>
        <w:rPr>
          <w:rFonts w:ascii="仿宋" w:hAnsi="仿宋" w:eastAsia="仿宋"/>
          <w:b/>
          <w:sz w:val="28"/>
          <w:szCs w:val="28"/>
        </w:rPr>
      </w:pPr>
      <w:r>
        <w:rPr>
          <w:rFonts w:hint="eastAsia" w:ascii="仿宋" w:hAnsi="仿宋" w:eastAsia="仿宋"/>
          <w:b/>
          <w:sz w:val="28"/>
          <w:szCs w:val="28"/>
        </w:rPr>
        <w:t>二、制定标准的必要性和意义</w:t>
      </w:r>
    </w:p>
    <w:p>
      <w:pPr>
        <w:ind w:firstLine="560" w:firstLineChars="200"/>
        <w:rPr>
          <w:rFonts w:hint="eastAsia" w:ascii="仿宋" w:hAnsi="仿宋" w:eastAsia="仿宋"/>
          <w:sz w:val="28"/>
          <w:szCs w:val="28"/>
        </w:rPr>
      </w:pPr>
      <w:r>
        <w:rPr>
          <w:rFonts w:hint="eastAsia" w:ascii="仿宋" w:hAnsi="仿宋" w:eastAsia="仿宋"/>
          <w:sz w:val="28"/>
          <w:szCs w:val="28"/>
        </w:rPr>
        <w:t>实施农产品绿色食品“灯笼红”辣椒全程质量控制技术体系应用推广项目，是自治区农畜产品质量安全中心委托托克托县农畜产品质量安全中心开展的农业部门种植业项目。该项目既是保障“灯笼红”辣椒质量安全的通行做法，也是高品质“灯笼红”辣椒生产的重要实现路径，更是提振公众农产品消费信心的重要方面。实施“灯笼红”辣椒全程质量控制技术体系，是科学指导农产品规范化生产和正确引导“灯笼红”辣椒健康消费新举措，是推进质量兴</w:t>
      </w:r>
      <w:r>
        <w:rPr>
          <w:rFonts w:hint="eastAsia" w:ascii="仿宋" w:hAnsi="仿宋" w:eastAsia="仿宋"/>
          <w:sz w:val="28"/>
          <w:szCs w:val="28"/>
          <w:lang w:eastAsia="zh-CN"/>
        </w:rPr>
        <w:t>农</w:t>
      </w:r>
      <w:r>
        <w:rPr>
          <w:rFonts w:hint="eastAsia" w:ascii="仿宋" w:hAnsi="仿宋" w:eastAsia="仿宋"/>
          <w:sz w:val="28"/>
          <w:szCs w:val="28"/>
        </w:rPr>
        <w:t>、绿色兴农和品牌强农的新路径，是推动绿色食品有机农产品和农产品地理标志全程质量安全控制水平的有效抓手。通过“灯笼红”辣椒全程质量控制技术体系（CAQS﹣GAP）试点，可以有效地推动农产品质量安全全程管理和实时展示农产品良好生产经营行为，根据国家乡村振兴战略和《国家质量兴农战略规划（2018-2022年）》相关要求，农业农村部农产品质量安全中心在引进转化的农产品全程质量控制技术体系和首批试点的基础上，结合国家良好农业规范GAP认证技术模式，在全面推进规模化“灯笼红”辣椒生产经营主体开展农产品全程质量控制技术体系推广。具体来说就是指为了有关社会各方面的利益，对农业经济、技术、科学、管理活动中需要统一、协调的各类对象，制订并实施标准，使之实现必要而合理的统一的活动。目的就是要将农业的科技成果和多年的生产实践相结合，制订成"文字简明、通俗易懂、逻辑严谨、便于操作"的技术标准和管理标准向农民推广，最终生产出质优、量多的农产品供应市场，不但能使农民增收，同时还能很好地保护生态环境。另外通用的规程是现代农业的一个显著标志，也是经济全球化的一种必然趋势。农业规程是实现农业现代化的一项综合性技术基础工作，制定和实施“灯笼红”辣椒露地覆膜栽培技术规程的最终目的是解决“市场准入”问题，没有规程就没有市场化。用一句概括的话讲，你的产品要想进入或打入哪类市场，那么你就要在农产品的生产、加工、销售过程中执行达到该市场要求相对应的标准。制定“灯笼红”辣椒露地覆膜栽培技术生产技术规程，也是促进绿色、有机农产品认证工作的必要条件。真正拓宽了农民的增收渠道。</w:t>
      </w:r>
    </w:p>
    <w:p>
      <w:pPr>
        <w:ind w:firstLine="560" w:firstLineChars="200"/>
        <w:rPr>
          <w:rFonts w:ascii="仿宋" w:hAnsi="仿宋" w:eastAsia="仿宋"/>
          <w:sz w:val="28"/>
          <w:szCs w:val="28"/>
        </w:rPr>
      </w:pPr>
      <w:r>
        <w:rPr>
          <w:rFonts w:hint="eastAsia" w:ascii="仿宋" w:hAnsi="仿宋" w:eastAsia="仿宋"/>
          <w:sz w:val="28"/>
          <w:szCs w:val="28"/>
          <w:lang w:eastAsia="zh-CN"/>
        </w:rPr>
        <w:t>存在的问题：</w:t>
      </w:r>
      <w:r>
        <w:rPr>
          <w:rFonts w:hint="eastAsia" w:ascii="仿宋" w:hAnsi="仿宋" w:eastAsia="仿宋"/>
          <w:sz w:val="28"/>
          <w:szCs w:val="28"/>
        </w:rPr>
        <w:t>托县辣椒历史悠久，其品质美名远扬。</w:t>
      </w:r>
      <w:r>
        <w:rPr>
          <w:rFonts w:hint="eastAsia" w:ascii="仿宋" w:hAnsi="仿宋" w:eastAsia="仿宋"/>
          <w:sz w:val="28"/>
          <w:szCs w:val="28"/>
          <w:lang w:eastAsia="zh-CN"/>
        </w:rPr>
        <w:t>但是由于种植方法不一样，导致托县“灯笼红”辣椒的品质和风味也有所不同，从而形成</w:t>
      </w:r>
      <w:r>
        <w:rPr>
          <w:rFonts w:hint="eastAsia" w:ascii="仿宋" w:hAnsi="仿宋" w:eastAsia="仿宋"/>
          <w:sz w:val="28"/>
          <w:szCs w:val="28"/>
        </w:rPr>
        <w:t>现在流通市场中托县</w:t>
      </w:r>
      <w:r>
        <w:rPr>
          <w:rFonts w:hint="eastAsia" w:ascii="仿宋" w:hAnsi="仿宋" w:eastAsia="仿宋"/>
          <w:sz w:val="28"/>
          <w:szCs w:val="28"/>
          <w:lang w:eastAsia="zh-CN"/>
        </w:rPr>
        <w:t>灯笼红</w:t>
      </w:r>
      <w:r>
        <w:rPr>
          <w:rFonts w:hint="eastAsia" w:ascii="仿宋" w:hAnsi="仿宋" w:eastAsia="仿宋"/>
          <w:sz w:val="28"/>
          <w:szCs w:val="28"/>
        </w:rPr>
        <w:t>辣椒鱼龙混杂、假冒伪劣产品层出不穷，严重损害了托县辣椒的口碑与信誉度，致使当地辣椒种植的农民收入深受</w:t>
      </w:r>
      <w:r>
        <w:rPr>
          <w:rFonts w:hint="eastAsia" w:ascii="仿宋" w:hAnsi="仿宋" w:eastAsia="仿宋"/>
          <w:sz w:val="28"/>
          <w:szCs w:val="28"/>
          <w:lang w:eastAsia="zh-CN"/>
        </w:rPr>
        <w:t>不同程度的</w:t>
      </w:r>
      <w:r>
        <w:rPr>
          <w:rFonts w:hint="eastAsia" w:ascii="仿宋" w:hAnsi="仿宋" w:eastAsia="仿宋"/>
          <w:sz w:val="28"/>
          <w:szCs w:val="28"/>
        </w:rPr>
        <w:t>影响。</w:t>
      </w:r>
    </w:p>
    <w:p>
      <w:pPr>
        <w:rPr>
          <w:rFonts w:ascii="仿宋" w:hAnsi="仿宋" w:eastAsia="仿宋"/>
          <w:b/>
          <w:sz w:val="28"/>
          <w:szCs w:val="28"/>
        </w:rPr>
      </w:pPr>
      <w:r>
        <w:rPr>
          <w:rFonts w:hint="eastAsia" w:ascii="仿宋" w:hAnsi="仿宋" w:eastAsia="仿宋"/>
          <w:b/>
          <w:sz w:val="28"/>
          <w:szCs w:val="28"/>
        </w:rPr>
        <w:t>三、主要起草过程</w:t>
      </w:r>
    </w:p>
    <w:p>
      <w:pPr>
        <w:rPr>
          <w:rFonts w:ascii="仿宋" w:hAnsi="仿宋" w:eastAsia="仿宋"/>
          <w:b/>
          <w:sz w:val="28"/>
          <w:szCs w:val="28"/>
        </w:rPr>
      </w:pPr>
      <w:r>
        <w:rPr>
          <w:rFonts w:hint="eastAsia" w:ascii="仿宋" w:hAnsi="仿宋" w:eastAsia="仿宋"/>
          <w:b/>
          <w:sz w:val="28"/>
          <w:szCs w:val="28"/>
        </w:rPr>
        <w:t>1、前期准备</w:t>
      </w:r>
    </w:p>
    <w:p>
      <w:pPr>
        <w:ind w:firstLine="560" w:firstLineChars="200"/>
        <w:rPr>
          <w:rFonts w:ascii="仿宋" w:hAnsi="仿宋" w:eastAsia="仿宋"/>
          <w:sz w:val="28"/>
          <w:szCs w:val="28"/>
        </w:rPr>
      </w:pPr>
      <w:r>
        <w:rPr>
          <w:rFonts w:hint="eastAsia" w:ascii="仿宋" w:hAnsi="仿宋" w:eastAsia="仿宋"/>
          <w:sz w:val="28"/>
          <w:szCs w:val="28"/>
        </w:rPr>
        <w:t>托克托县农畜产品质量安全中心参与《</w:t>
      </w:r>
      <w:r>
        <w:rPr>
          <w:rFonts w:hint="eastAsia" w:ascii="仿宋" w:hAnsi="仿宋" w:eastAsia="仿宋"/>
          <w:bCs/>
          <w:sz w:val="28"/>
          <w:szCs w:val="28"/>
        </w:rPr>
        <w:t>托县“灯笼红”辣椒露地覆膜栽培技术规程</w:t>
      </w:r>
      <w:r>
        <w:rPr>
          <w:rFonts w:hint="eastAsia" w:ascii="仿宋" w:hAnsi="仿宋" w:eastAsia="仿宋"/>
          <w:sz w:val="28"/>
          <w:szCs w:val="28"/>
        </w:rPr>
        <w:t>》</w:t>
      </w:r>
      <w:r>
        <w:rPr>
          <w:rFonts w:hint="eastAsia" w:ascii="仿宋" w:hAnsi="仿宋" w:eastAsia="仿宋"/>
          <w:sz w:val="28"/>
          <w:szCs w:val="28"/>
          <w:lang w:eastAsia="zh-CN"/>
        </w:rPr>
        <w:t>制定</w:t>
      </w:r>
      <w:r>
        <w:rPr>
          <w:rFonts w:hint="eastAsia" w:ascii="仿宋" w:hAnsi="仿宋" w:eastAsia="仿宋"/>
          <w:sz w:val="28"/>
          <w:szCs w:val="28"/>
        </w:rPr>
        <w:t>的工作人员和内蒙古自治区农牧业科学院及托克托县一溜湾红辣椒专业合作社的相关工作人员，查阅大量相关文献资料、走访当地</w:t>
      </w:r>
      <w:r>
        <w:rPr>
          <w:rFonts w:hint="eastAsia" w:ascii="仿宋" w:hAnsi="仿宋" w:eastAsia="仿宋"/>
          <w:sz w:val="28"/>
          <w:szCs w:val="28"/>
          <w:lang w:eastAsia="zh-CN"/>
        </w:rPr>
        <w:t>多年从事灯笼红辣椒种植</w:t>
      </w:r>
      <w:r>
        <w:rPr>
          <w:rFonts w:hint="eastAsia" w:ascii="仿宋" w:hAnsi="仿宋" w:eastAsia="仿宋"/>
          <w:sz w:val="28"/>
          <w:szCs w:val="28"/>
        </w:rPr>
        <w:t>者，</w:t>
      </w:r>
      <w:r>
        <w:rPr>
          <w:rFonts w:hint="eastAsia" w:ascii="仿宋" w:hAnsi="仿宋" w:eastAsia="仿宋"/>
          <w:color w:val="auto"/>
          <w:sz w:val="28"/>
          <w:szCs w:val="28"/>
          <w:highlight w:val="none"/>
          <w:lang w:eastAsia="zh-CN"/>
        </w:rPr>
        <w:t>通过</w:t>
      </w:r>
      <w:r>
        <w:rPr>
          <w:rFonts w:hint="eastAsia" w:ascii="仿宋" w:hAnsi="仿宋" w:eastAsia="仿宋"/>
          <w:color w:val="auto"/>
          <w:sz w:val="28"/>
          <w:szCs w:val="28"/>
          <w:highlight w:val="none"/>
        </w:rPr>
        <w:t>3年跟踪观察、对比、研究</w:t>
      </w:r>
      <w:r>
        <w:rPr>
          <w:rFonts w:hint="eastAsia" w:ascii="仿宋" w:hAnsi="仿宋" w:eastAsia="仿宋"/>
          <w:color w:val="auto"/>
          <w:sz w:val="28"/>
          <w:szCs w:val="28"/>
          <w:highlight w:val="none"/>
          <w:lang w:eastAsia="zh-CN"/>
        </w:rPr>
        <w:t>和测产，最后</w:t>
      </w:r>
      <w:r>
        <w:rPr>
          <w:rFonts w:hint="eastAsia" w:ascii="仿宋" w:hAnsi="仿宋" w:eastAsia="仿宋"/>
          <w:color w:val="auto"/>
          <w:sz w:val="28"/>
          <w:szCs w:val="28"/>
          <w:highlight w:val="none"/>
        </w:rPr>
        <w:t>总结</w:t>
      </w:r>
      <w:r>
        <w:rPr>
          <w:rFonts w:hint="eastAsia" w:ascii="仿宋" w:hAnsi="仿宋" w:eastAsia="仿宋"/>
          <w:color w:val="auto"/>
          <w:sz w:val="28"/>
          <w:szCs w:val="28"/>
          <w:highlight w:val="none"/>
          <w:lang w:eastAsia="zh-CN"/>
        </w:rPr>
        <w:t>出</w:t>
      </w:r>
      <w:r>
        <w:rPr>
          <w:rFonts w:hint="eastAsia" w:ascii="仿宋" w:hAnsi="仿宋" w:eastAsia="仿宋"/>
          <w:color w:val="auto"/>
          <w:sz w:val="28"/>
          <w:szCs w:val="28"/>
          <w:highlight w:val="none"/>
        </w:rPr>
        <w:t>生长环境、外在条件等因素对生长于托县地区的</w:t>
      </w:r>
      <w:r>
        <w:rPr>
          <w:rFonts w:hint="eastAsia" w:ascii="仿宋" w:hAnsi="仿宋" w:eastAsia="仿宋"/>
          <w:color w:val="auto"/>
          <w:sz w:val="28"/>
          <w:szCs w:val="28"/>
          <w:highlight w:val="none"/>
          <w:lang w:eastAsia="zh-CN"/>
        </w:rPr>
        <w:t>灯笼红</w:t>
      </w:r>
      <w:r>
        <w:rPr>
          <w:rFonts w:hint="eastAsia" w:ascii="仿宋" w:hAnsi="仿宋" w:eastAsia="仿宋"/>
          <w:color w:val="auto"/>
          <w:sz w:val="28"/>
          <w:szCs w:val="28"/>
          <w:highlight w:val="none"/>
        </w:rPr>
        <w:t>辣椒</w:t>
      </w:r>
      <w:r>
        <w:rPr>
          <w:rFonts w:hint="eastAsia" w:ascii="仿宋" w:hAnsi="仿宋" w:eastAsia="仿宋"/>
          <w:color w:val="auto"/>
          <w:sz w:val="28"/>
          <w:szCs w:val="28"/>
          <w:highlight w:val="none"/>
          <w:lang w:eastAsia="zh-CN"/>
        </w:rPr>
        <w:t>的影响。</w:t>
      </w:r>
      <w:r>
        <w:rPr>
          <w:rFonts w:hint="eastAsia" w:ascii="仿宋" w:hAnsi="仿宋" w:eastAsia="仿宋"/>
          <w:sz w:val="28"/>
          <w:szCs w:val="28"/>
        </w:rPr>
        <w:t>最大限度的</w:t>
      </w:r>
      <w:r>
        <w:rPr>
          <w:rFonts w:hint="eastAsia" w:ascii="仿宋" w:hAnsi="仿宋" w:eastAsia="仿宋"/>
          <w:sz w:val="28"/>
          <w:szCs w:val="28"/>
          <w:lang w:eastAsia="zh-CN"/>
        </w:rPr>
        <w:t>保持</w:t>
      </w:r>
      <w:r>
        <w:rPr>
          <w:rFonts w:hint="eastAsia" w:ascii="仿宋" w:hAnsi="仿宋" w:eastAsia="仿宋"/>
          <w:sz w:val="28"/>
          <w:szCs w:val="28"/>
        </w:rPr>
        <w:t>托县辣椒</w:t>
      </w:r>
      <w:r>
        <w:rPr>
          <w:rFonts w:hint="eastAsia" w:ascii="仿宋" w:hAnsi="仿宋" w:eastAsia="仿宋"/>
          <w:sz w:val="28"/>
          <w:szCs w:val="28"/>
          <w:lang w:eastAsia="zh-CN"/>
        </w:rPr>
        <w:t>特有</w:t>
      </w:r>
      <w:r>
        <w:rPr>
          <w:rFonts w:hint="eastAsia" w:ascii="仿宋" w:hAnsi="仿宋" w:eastAsia="仿宋"/>
          <w:sz w:val="28"/>
          <w:szCs w:val="28"/>
        </w:rPr>
        <w:t>的优异品质及口感。</w:t>
      </w:r>
    </w:p>
    <w:p>
      <w:pPr>
        <w:rPr>
          <w:rFonts w:ascii="仿宋" w:hAnsi="仿宋" w:eastAsia="仿宋"/>
          <w:b/>
          <w:sz w:val="28"/>
          <w:szCs w:val="28"/>
        </w:rPr>
      </w:pPr>
      <w:r>
        <w:rPr>
          <w:rFonts w:hint="eastAsia" w:ascii="仿宋" w:hAnsi="仿宋" w:eastAsia="仿宋"/>
          <w:b/>
          <w:sz w:val="28"/>
          <w:szCs w:val="28"/>
        </w:rPr>
        <w:t>2、组成标准起草组，制定工作方案</w:t>
      </w:r>
    </w:p>
    <w:p>
      <w:pPr>
        <w:ind w:firstLine="560" w:firstLineChars="200"/>
        <w:rPr>
          <w:rFonts w:hint="eastAsia" w:ascii="仿宋" w:hAnsi="仿宋" w:eastAsia="仿宋"/>
          <w:b w:val="0"/>
          <w:bCs/>
          <w:sz w:val="28"/>
          <w:szCs w:val="28"/>
          <w:lang w:eastAsia="zh-CN"/>
        </w:rPr>
      </w:pPr>
      <w:r>
        <w:rPr>
          <w:rFonts w:hint="eastAsia" w:ascii="仿宋" w:hAnsi="仿宋" w:eastAsia="仿宋"/>
          <w:b w:val="0"/>
          <w:bCs/>
          <w:sz w:val="28"/>
          <w:szCs w:val="28"/>
          <w:lang w:eastAsia="zh-CN"/>
        </w:rPr>
        <w:t>20</w:t>
      </w:r>
      <w:r>
        <w:rPr>
          <w:rFonts w:hint="eastAsia" w:ascii="仿宋" w:hAnsi="仿宋" w:eastAsia="仿宋"/>
          <w:b w:val="0"/>
          <w:bCs/>
          <w:sz w:val="28"/>
          <w:szCs w:val="28"/>
          <w:lang w:val="en-US" w:eastAsia="zh-CN"/>
        </w:rPr>
        <w:t>23</w:t>
      </w:r>
      <w:r>
        <w:rPr>
          <w:rFonts w:hint="eastAsia" w:ascii="仿宋" w:hAnsi="仿宋" w:eastAsia="仿宋"/>
          <w:b w:val="0"/>
          <w:bCs/>
          <w:sz w:val="28"/>
          <w:szCs w:val="28"/>
          <w:lang w:eastAsia="zh-CN"/>
        </w:rPr>
        <w:t>年</w:t>
      </w:r>
      <w:r>
        <w:rPr>
          <w:rFonts w:hint="eastAsia" w:ascii="仿宋" w:hAnsi="仿宋" w:eastAsia="仿宋"/>
          <w:b w:val="0"/>
          <w:bCs/>
          <w:sz w:val="28"/>
          <w:szCs w:val="28"/>
          <w:lang w:val="en-US" w:eastAsia="zh-CN"/>
        </w:rPr>
        <w:t>8</w:t>
      </w:r>
      <w:r>
        <w:rPr>
          <w:rFonts w:hint="eastAsia" w:ascii="仿宋" w:hAnsi="仿宋" w:eastAsia="仿宋"/>
          <w:b w:val="0"/>
          <w:bCs/>
          <w:sz w:val="28"/>
          <w:szCs w:val="28"/>
          <w:lang w:eastAsia="zh-CN"/>
        </w:rPr>
        <w:t>月中旬，由托克托县农畜产品质量安全中心组织召开专题会议，安排部署托县“灯笼红”辣椒露地覆膜栽培技术规程的制订任务。根据安排，由高级兽医师高新发</w:t>
      </w:r>
      <w:r>
        <w:rPr>
          <w:rFonts w:hint="eastAsia" w:ascii="仿宋" w:hAnsi="仿宋" w:eastAsia="仿宋"/>
          <w:b w:val="0"/>
          <w:bCs/>
          <w:color w:val="000000" w:themeColor="text1"/>
          <w:sz w:val="28"/>
          <w:szCs w:val="28"/>
          <w:lang w:eastAsia="zh-CN"/>
          <w14:textFill>
            <w14:solidFill>
              <w14:schemeClr w14:val="tx1"/>
            </w14:solidFill>
          </w14:textFill>
        </w:rPr>
        <w:t>、</w:t>
      </w:r>
      <w:r>
        <w:rPr>
          <w:rFonts w:hint="eastAsia" w:ascii="仿宋" w:hAnsi="仿宋" w:eastAsia="仿宋"/>
          <w:b w:val="0"/>
          <w:bCs/>
          <w:sz w:val="28"/>
          <w:szCs w:val="28"/>
          <w:lang w:eastAsia="zh-CN"/>
        </w:rPr>
        <w:t>高级</w:t>
      </w:r>
      <w:r>
        <w:rPr>
          <w:rFonts w:hint="eastAsia" w:ascii="仿宋" w:hAnsi="仿宋" w:eastAsia="仿宋"/>
          <w:b w:val="0"/>
          <w:bCs/>
          <w:color w:val="000000" w:themeColor="text1"/>
          <w:sz w:val="28"/>
          <w:szCs w:val="28"/>
          <w:lang w:eastAsia="zh-CN"/>
          <w14:textFill>
            <w14:solidFill>
              <w14:schemeClr w14:val="tx1"/>
            </w14:solidFill>
          </w14:textFill>
        </w:rPr>
        <w:t>畜牧师</w:t>
      </w:r>
      <w:r>
        <w:rPr>
          <w:rFonts w:hint="eastAsia" w:ascii="仿宋" w:hAnsi="仿宋" w:eastAsia="仿宋"/>
          <w:b w:val="0"/>
          <w:bCs/>
          <w:sz w:val="28"/>
          <w:szCs w:val="28"/>
          <w:lang w:eastAsia="zh-CN"/>
        </w:rPr>
        <w:t>杨凯、高级兽医师</w:t>
      </w:r>
      <w:r>
        <w:rPr>
          <w:rFonts w:hint="eastAsia" w:ascii="仿宋" w:hAnsi="仿宋" w:eastAsia="仿宋"/>
          <w:b w:val="0"/>
          <w:bCs/>
          <w:color w:val="000000" w:themeColor="text1"/>
          <w:sz w:val="28"/>
          <w:szCs w:val="28"/>
          <w:lang w:eastAsia="zh-CN"/>
          <w14:textFill>
            <w14:solidFill>
              <w14:schemeClr w14:val="tx1"/>
            </w14:solidFill>
          </w14:textFill>
        </w:rPr>
        <w:t>田志国</w:t>
      </w:r>
      <w:r>
        <w:rPr>
          <w:rFonts w:hint="eastAsia" w:ascii="仿宋" w:hAnsi="仿宋" w:eastAsia="仿宋"/>
          <w:b w:val="0"/>
          <w:bCs/>
          <w:sz w:val="28"/>
          <w:szCs w:val="28"/>
          <w:lang w:eastAsia="zh-CN"/>
        </w:rPr>
        <w:t>等</w:t>
      </w:r>
      <w:r>
        <w:rPr>
          <w:rFonts w:hint="eastAsia" w:ascii="仿宋" w:hAnsi="仿宋" w:eastAsia="仿宋"/>
          <w:b w:val="0"/>
          <w:bCs/>
          <w:sz w:val="28"/>
          <w:szCs w:val="28"/>
          <w:lang w:val="en-US" w:eastAsia="zh-CN"/>
        </w:rPr>
        <w:t>24</w:t>
      </w:r>
      <w:r>
        <w:rPr>
          <w:rFonts w:hint="eastAsia" w:ascii="仿宋" w:hAnsi="仿宋" w:eastAsia="仿宋"/>
          <w:b w:val="0"/>
          <w:bCs/>
          <w:sz w:val="28"/>
          <w:szCs w:val="28"/>
          <w:lang w:eastAsia="zh-CN"/>
        </w:rPr>
        <w:t>名同志协同内蒙古自治区农牧业科学院、托克托县一溜湾红辣椒专业合作社为成员组成托县“灯笼红”辣椒露地覆膜栽培技术规程修订小组。修订小组经过大量的走访农户、规模化生产基地的单位负责人，深入黄河流域灯笼红辣椒加工厂，特别是绿色食品生产主体单位和龙头企业，采用与技术骨干座谈、生产现场调查等方式对托县“灯笼红”辣椒露地覆膜栽培技术规程制定的必要性和可行性进行实地调研论证，形成《托县“灯笼红”辣椒露地覆膜栽培技术规程》初稿，并与县市场监管局的相关工作人员取得联系，主动听取他们对初稿的意见和建议。规程制订小组，在广泛吸收和大量总结各级专家和技术人员的意见建议的基础上，20</w:t>
      </w:r>
      <w:r>
        <w:rPr>
          <w:rFonts w:hint="eastAsia" w:ascii="仿宋" w:hAnsi="仿宋" w:eastAsia="仿宋"/>
          <w:b w:val="0"/>
          <w:bCs/>
          <w:sz w:val="28"/>
          <w:szCs w:val="28"/>
          <w:lang w:val="en-US" w:eastAsia="zh-CN"/>
        </w:rPr>
        <w:t>23</w:t>
      </w:r>
      <w:r>
        <w:rPr>
          <w:rFonts w:hint="eastAsia" w:ascii="仿宋" w:hAnsi="仿宋" w:eastAsia="仿宋"/>
          <w:b w:val="0"/>
          <w:bCs/>
          <w:sz w:val="28"/>
          <w:szCs w:val="28"/>
          <w:lang w:eastAsia="zh-CN"/>
        </w:rPr>
        <w:t>年1</w:t>
      </w:r>
      <w:r>
        <w:rPr>
          <w:rFonts w:hint="eastAsia" w:ascii="仿宋" w:hAnsi="仿宋" w:eastAsia="仿宋"/>
          <w:b w:val="0"/>
          <w:bCs/>
          <w:sz w:val="28"/>
          <w:szCs w:val="28"/>
          <w:lang w:val="en-US" w:eastAsia="zh-CN"/>
        </w:rPr>
        <w:t>0</w:t>
      </w:r>
      <w:r>
        <w:rPr>
          <w:rFonts w:hint="eastAsia" w:ascii="仿宋" w:hAnsi="仿宋" w:eastAsia="仿宋"/>
          <w:b w:val="0"/>
          <w:bCs/>
          <w:sz w:val="28"/>
          <w:szCs w:val="28"/>
          <w:lang w:eastAsia="zh-CN"/>
        </w:rPr>
        <w:t>月正式确定了制订成型的《托县“灯笼红”辣椒露地覆膜栽培技术规程》送审稿。</w:t>
      </w:r>
    </w:p>
    <w:p>
      <w:pPr>
        <w:numPr>
          <w:ilvl w:val="0"/>
          <w:numId w:val="3"/>
        </w:numPr>
        <w:rPr>
          <w:rFonts w:hint="eastAsia" w:ascii="仿宋" w:hAnsi="仿宋" w:eastAsia="仿宋"/>
          <w:b w:val="0"/>
          <w:bCs/>
          <w:sz w:val="28"/>
          <w:szCs w:val="28"/>
        </w:rPr>
      </w:pPr>
      <w:r>
        <w:rPr>
          <w:rFonts w:hint="eastAsia" w:ascii="仿宋" w:hAnsi="仿宋" w:eastAsia="仿宋"/>
          <w:b w:val="0"/>
          <w:bCs/>
          <w:sz w:val="28"/>
          <w:szCs w:val="28"/>
        </w:rPr>
        <w:t>完善标准内容，形成标准征求意见稿</w:t>
      </w:r>
    </w:p>
    <w:p>
      <w:pPr>
        <w:numPr>
          <w:ilvl w:val="0"/>
          <w:numId w:val="0"/>
        </w:numPr>
        <w:ind w:firstLine="560" w:firstLineChars="200"/>
        <w:rPr>
          <w:rFonts w:hint="eastAsia" w:ascii="仿宋" w:hAnsi="仿宋" w:eastAsia="仿宋"/>
          <w:b w:val="0"/>
          <w:bCs/>
          <w:sz w:val="28"/>
          <w:szCs w:val="28"/>
          <w:lang w:val="en-US" w:eastAsia="zh-CN"/>
        </w:rPr>
      </w:pPr>
      <w:r>
        <w:rPr>
          <w:rFonts w:hint="eastAsia" w:ascii="仿宋" w:hAnsi="仿宋" w:eastAsia="仿宋"/>
          <w:b w:val="0"/>
          <w:bCs/>
          <w:sz w:val="28"/>
          <w:szCs w:val="28"/>
        </w:rPr>
        <w:t>为</w:t>
      </w:r>
      <w:r>
        <w:rPr>
          <w:rFonts w:hint="eastAsia" w:ascii="仿宋" w:hAnsi="仿宋" w:eastAsia="仿宋"/>
          <w:b w:val="0"/>
          <w:bCs/>
          <w:sz w:val="28"/>
          <w:szCs w:val="28"/>
          <w:lang w:eastAsia="zh-CN"/>
        </w:rPr>
        <w:t>了让</w:t>
      </w:r>
      <w:r>
        <w:rPr>
          <w:rFonts w:hint="eastAsia" w:ascii="仿宋" w:hAnsi="仿宋" w:eastAsia="仿宋"/>
          <w:b w:val="0"/>
          <w:bCs/>
          <w:sz w:val="28"/>
          <w:szCs w:val="28"/>
        </w:rPr>
        <w:t>《</w:t>
      </w:r>
      <w:r>
        <w:rPr>
          <w:rFonts w:hint="eastAsia" w:ascii="仿宋" w:hAnsi="仿宋" w:eastAsia="仿宋"/>
          <w:b w:val="0"/>
          <w:bCs/>
          <w:sz w:val="28"/>
          <w:szCs w:val="28"/>
          <w:lang w:eastAsia="zh-CN"/>
        </w:rPr>
        <w:t>托县“灯笼红”辣椒露地覆膜栽培技术规程</w:t>
      </w:r>
      <w:r>
        <w:rPr>
          <w:rFonts w:hint="eastAsia" w:ascii="仿宋" w:hAnsi="仿宋" w:eastAsia="仿宋"/>
          <w:b w:val="0"/>
          <w:bCs/>
          <w:sz w:val="28"/>
          <w:szCs w:val="28"/>
        </w:rPr>
        <w:t>》团体标准</w:t>
      </w:r>
      <w:r>
        <w:rPr>
          <w:rFonts w:hint="eastAsia" w:ascii="仿宋" w:hAnsi="仿宋" w:eastAsia="仿宋"/>
          <w:b w:val="0"/>
          <w:bCs/>
          <w:sz w:val="28"/>
          <w:szCs w:val="28"/>
          <w:lang w:eastAsia="zh-CN"/>
        </w:rPr>
        <w:t>更具</w:t>
      </w:r>
      <w:r>
        <w:rPr>
          <w:rFonts w:hint="eastAsia" w:ascii="仿宋" w:hAnsi="仿宋" w:eastAsia="仿宋"/>
          <w:b w:val="0"/>
          <w:bCs/>
          <w:sz w:val="28"/>
          <w:szCs w:val="28"/>
        </w:rPr>
        <w:t>科学性、适用性、创新性,提高先进标准的有效供给，</w:t>
      </w:r>
      <w:r>
        <w:rPr>
          <w:rFonts w:hint="eastAsia" w:ascii="仿宋" w:hAnsi="仿宋" w:eastAsia="仿宋"/>
          <w:b w:val="0"/>
          <w:bCs/>
          <w:sz w:val="28"/>
          <w:szCs w:val="28"/>
          <w:lang w:eastAsia="zh-CN"/>
        </w:rPr>
        <w:t>于</w:t>
      </w:r>
      <w:r>
        <w:rPr>
          <w:rFonts w:hint="eastAsia" w:ascii="仿宋" w:hAnsi="仿宋" w:eastAsia="仿宋"/>
          <w:b w:val="0"/>
          <w:bCs/>
          <w:sz w:val="28"/>
          <w:szCs w:val="28"/>
        </w:rPr>
        <w:t>2月5日</w:t>
      </w:r>
      <w:r>
        <w:rPr>
          <w:rFonts w:hint="eastAsia" w:ascii="仿宋" w:hAnsi="仿宋" w:eastAsia="仿宋"/>
          <w:b w:val="0"/>
          <w:bCs/>
          <w:sz w:val="28"/>
          <w:szCs w:val="28"/>
          <w:lang w:eastAsia="zh-CN"/>
        </w:rPr>
        <w:t>托克托县农畜产品质量安全中心派规程标准编写人员参加由</w:t>
      </w:r>
      <w:r>
        <w:rPr>
          <w:rFonts w:hint="eastAsia" w:ascii="仿宋" w:hAnsi="仿宋" w:eastAsia="仿宋"/>
          <w:b w:val="0"/>
          <w:bCs/>
          <w:sz w:val="28"/>
          <w:szCs w:val="28"/>
        </w:rPr>
        <w:t>内蒙古标准化协会</w:t>
      </w:r>
      <w:r>
        <w:rPr>
          <w:rFonts w:hint="eastAsia" w:ascii="仿宋" w:hAnsi="仿宋" w:eastAsia="仿宋"/>
          <w:b w:val="0"/>
          <w:bCs/>
          <w:sz w:val="28"/>
          <w:szCs w:val="28"/>
          <w:lang w:eastAsia="zh-CN"/>
        </w:rPr>
        <w:t>组织</w:t>
      </w:r>
      <w:r>
        <w:rPr>
          <w:rFonts w:hint="eastAsia" w:ascii="仿宋" w:hAnsi="仿宋" w:eastAsia="仿宋"/>
          <w:b w:val="0"/>
          <w:bCs/>
          <w:sz w:val="28"/>
          <w:szCs w:val="28"/>
        </w:rPr>
        <w:t>召开</w:t>
      </w:r>
      <w:r>
        <w:rPr>
          <w:rFonts w:hint="eastAsia" w:ascii="仿宋" w:hAnsi="仿宋" w:eastAsia="仿宋"/>
          <w:b w:val="0"/>
          <w:bCs/>
          <w:sz w:val="28"/>
          <w:szCs w:val="28"/>
          <w:lang w:eastAsia="zh-CN"/>
        </w:rPr>
        <w:t>的</w:t>
      </w:r>
      <w:r>
        <w:rPr>
          <w:rFonts w:hint="eastAsia" w:ascii="仿宋" w:hAnsi="仿宋" w:eastAsia="仿宋"/>
          <w:b w:val="0"/>
          <w:bCs/>
          <w:sz w:val="28"/>
          <w:szCs w:val="28"/>
        </w:rPr>
        <w:t>2项团体标准立项评审会，</w:t>
      </w:r>
      <w:r>
        <w:rPr>
          <w:rFonts w:hint="eastAsia" w:ascii="仿宋" w:hAnsi="仿宋" w:eastAsia="仿宋"/>
          <w:b w:val="0"/>
          <w:bCs/>
          <w:sz w:val="28"/>
          <w:szCs w:val="28"/>
          <w:lang w:val="en-US" w:eastAsia="zh-CN"/>
        </w:rPr>
        <w:t>会上专家组对初稿提出了一些很好的意见和建议。</w:t>
      </w:r>
      <w:r>
        <w:rPr>
          <w:rFonts w:hint="eastAsia" w:ascii="仿宋" w:hAnsi="仿宋" w:eastAsia="仿宋"/>
          <w:b w:val="0"/>
          <w:bCs/>
          <w:sz w:val="28"/>
          <w:szCs w:val="28"/>
          <w:lang w:eastAsia="zh-CN"/>
        </w:rPr>
        <w:t>编写人员认证听取专家意见，对初稿进行了积极改进，并形成最终定稿。</w:t>
      </w:r>
    </w:p>
    <w:p>
      <w:pPr>
        <w:rPr>
          <w:rFonts w:ascii="仿宋" w:hAnsi="仿宋" w:eastAsia="仿宋"/>
          <w:b/>
          <w:sz w:val="28"/>
          <w:szCs w:val="28"/>
        </w:rPr>
      </w:pPr>
      <w:r>
        <w:rPr>
          <w:rFonts w:hint="eastAsia" w:ascii="仿宋" w:hAnsi="仿宋" w:eastAsia="仿宋"/>
          <w:b/>
          <w:sz w:val="28"/>
          <w:szCs w:val="28"/>
        </w:rPr>
        <w:t>四、制定标准的原则和依据，与现行法律、法规、标准的关系</w:t>
      </w:r>
    </w:p>
    <w:p>
      <w:pPr>
        <w:spacing w:line="360" w:lineRule="auto"/>
        <w:jc w:val="left"/>
        <w:rPr>
          <w:rFonts w:ascii="仿宋" w:hAnsi="仿宋" w:eastAsia="仿宋" w:cs="仿宋"/>
          <w:b/>
          <w:sz w:val="28"/>
          <w:szCs w:val="28"/>
        </w:rPr>
      </w:pPr>
      <w:r>
        <w:rPr>
          <w:rFonts w:hint="eastAsia" w:ascii="仿宋" w:hAnsi="仿宋" w:eastAsia="仿宋" w:cs="仿宋"/>
          <w:b/>
          <w:color w:val="000000"/>
          <w:sz w:val="28"/>
          <w:szCs w:val="28"/>
        </w:rPr>
        <w:t>1、编制</w:t>
      </w:r>
      <w:r>
        <w:rPr>
          <w:rFonts w:hint="eastAsia" w:ascii="仿宋" w:hAnsi="仿宋" w:eastAsia="仿宋" w:cs="仿宋"/>
          <w:b/>
          <w:sz w:val="28"/>
          <w:szCs w:val="28"/>
        </w:rPr>
        <w:t>原则</w:t>
      </w:r>
    </w:p>
    <w:p>
      <w:pPr>
        <w:ind w:firstLine="560" w:firstLineChars="200"/>
        <w:rPr>
          <w:rFonts w:hint="eastAsia" w:ascii="仿宋" w:hAnsi="仿宋" w:eastAsia="仿宋"/>
          <w:sz w:val="28"/>
          <w:szCs w:val="28"/>
        </w:rPr>
      </w:pPr>
      <w:r>
        <w:rPr>
          <w:rFonts w:hint="eastAsia" w:ascii="仿宋" w:hAnsi="仿宋" w:eastAsia="仿宋"/>
          <w:sz w:val="28"/>
          <w:szCs w:val="28"/>
        </w:rPr>
        <w:t>为了保障</w:t>
      </w:r>
      <w:r>
        <w:rPr>
          <w:rFonts w:hint="eastAsia" w:ascii="仿宋" w:hAnsi="仿宋" w:eastAsia="仿宋"/>
          <w:sz w:val="28"/>
          <w:szCs w:val="28"/>
          <w:lang w:eastAsia="zh-CN"/>
        </w:rPr>
        <w:t>灯笼红</w:t>
      </w:r>
      <w:r>
        <w:rPr>
          <w:rFonts w:hint="eastAsia" w:ascii="仿宋" w:hAnsi="仿宋" w:eastAsia="仿宋"/>
          <w:sz w:val="28"/>
          <w:szCs w:val="28"/>
        </w:rPr>
        <w:t>辣椒的质量安全，提升品质，提</w:t>
      </w:r>
      <w:r>
        <w:rPr>
          <w:rFonts w:hint="eastAsia" w:ascii="仿宋" w:hAnsi="仿宋" w:eastAsia="仿宋"/>
          <w:sz w:val="28"/>
          <w:szCs w:val="28"/>
          <w:lang w:eastAsia="zh-CN"/>
        </w:rPr>
        <w:t>升</w:t>
      </w:r>
      <w:r>
        <w:rPr>
          <w:rFonts w:hint="eastAsia" w:ascii="仿宋" w:hAnsi="仿宋" w:eastAsia="仿宋"/>
          <w:sz w:val="28"/>
          <w:szCs w:val="28"/>
        </w:rPr>
        <w:t>公众对农产品的消费信心</w:t>
      </w:r>
      <w:r>
        <w:rPr>
          <w:rFonts w:hint="eastAsia" w:ascii="仿宋" w:hAnsi="仿宋" w:eastAsia="仿宋"/>
          <w:sz w:val="28"/>
          <w:szCs w:val="28"/>
          <w:lang w:eastAsia="zh-CN"/>
        </w:rPr>
        <w:t>，</w:t>
      </w:r>
      <w:r>
        <w:rPr>
          <w:rFonts w:hint="eastAsia" w:ascii="仿宋" w:hAnsi="仿宋" w:eastAsia="仿宋"/>
          <w:sz w:val="28"/>
          <w:szCs w:val="28"/>
        </w:rPr>
        <w:t>保护托县“灯笼红”辣椒</w:t>
      </w:r>
      <w:r>
        <w:rPr>
          <w:rFonts w:hint="eastAsia" w:ascii="仿宋" w:hAnsi="仿宋" w:eastAsia="仿宋"/>
          <w:sz w:val="28"/>
          <w:szCs w:val="28"/>
          <w:lang w:eastAsia="zh-CN"/>
        </w:rPr>
        <w:t>特色品质</w:t>
      </w:r>
      <w:r>
        <w:rPr>
          <w:rFonts w:hint="eastAsia" w:ascii="仿宋" w:hAnsi="仿宋" w:eastAsia="仿宋"/>
          <w:sz w:val="28"/>
          <w:szCs w:val="28"/>
        </w:rPr>
        <w:t>。</w:t>
      </w:r>
    </w:p>
    <w:p>
      <w:pPr>
        <w:ind w:firstLine="560" w:firstLineChars="200"/>
        <w:rPr>
          <w:rFonts w:hint="eastAsia" w:ascii="仿宋" w:hAnsi="仿宋" w:eastAsia="仿宋"/>
          <w:sz w:val="28"/>
          <w:szCs w:val="28"/>
        </w:rPr>
      </w:pPr>
      <w:r>
        <w:rPr>
          <w:rFonts w:hint="eastAsia" w:ascii="仿宋" w:hAnsi="仿宋" w:eastAsia="仿宋"/>
          <w:sz w:val="28"/>
          <w:szCs w:val="28"/>
        </w:rPr>
        <w:t>(1)生产优质、</w:t>
      </w:r>
      <w:r>
        <w:rPr>
          <w:rFonts w:hint="eastAsia" w:ascii="仿宋" w:hAnsi="仿宋" w:eastAsia="仿宋"/>
          <w:sz w:val="28"/>
          <w:szCs w:val="28"/>
          <w:lang w:eastAsia="zh-CN"/>
        </w:rPr>
        <w:t>、绿色、</w:t>
      </w:r>
      <w:r>
        <w:rPr>
          <w:rFonts w:hint="eastAsia" w:ascii="仿宋" w:hAnsi="仿宋" w:eastAsia="仿宋"/>
          <w:sz w:val="28"/>
          <w:szCs w:val="28"/>
        </w:rPr>
        <w:t>营养、对人体安全的绿色</w:t>
      </w:r>
      <w:r>
        <w:rPr>
          <w:rFonts w:hint="eastAsia" w:ascii="仿宋" w:hAnsi="仿宋" w:eastAsia="仿宋"/>
          <w:sz w:val="28"/>
          <w:szCs w:val="28"/>
          <w:lang w:eastAsia="zh-CN"/>
        </w:rPr>
        <w:t>灯笼红</w:t>
      </w:r>
      <w:r>
        <w:rPr>
          <w:rFonts w:hint="eastAsia" w:ascii="仿宋" w:hAnsi="仿宋" w:eastAsia="仿宋"/>
          <w:sz w:val="28"/>
          <w:szCs w:val="28"/>
        </w:rPr>
        <w:t>辣椒食品，确保生产者获得一定的经济效益，兼顾生产者和消费者双方的利益。</w:t>
      </w:r>
    </w:p>
    <w:p>
      <w:pPr>
        <w:ind w:firstLine="560" w:firstLineChars="200"/>
        <w:rPr>
          <w:rFonts w:hint="eastAsia" w:ascii="仿宋" w:hAnsi="仿宋" w:eastAsia="仿宋"/>
          <w:sz w:val="28"/>
          <w:szCs w:val="28"/>
        </w:rPr>
      </w:pPr>
      <w:r>
        <w:rPr>
          <w:rFonts w:hint="eastAsia" w:ascii="仿宋" w:hAnsi="仿宋" w:eastAsia="仿宋"/>
          <w:sz w:val="28"/>
          <w:szCs w:val="28"/>
        </w:rPr>
        <w:t>(2)在国家政策的范围内，保证绿色食品</w:t>
      </w:r>
      <w:r>
        <w:rPr>
          <w:rFonts w:hint="eastAsia" w:ascii="仿宋" w:hAnsi="仿宋" w:eastAsia="仿宋"/>
          <w:sz w:val="28"/>
          <w:szCs w:val="28"/>
          <w:lang w:eastAsia="zh-CN"/>
        </w:rPr>
        <w:t>灯笼红</w:t>
      </w:r>
      <w:r>
        <w:rPr>
          <w:rFonts w:hint="eastAsia" w:ascii="仿宋" w:hAnsi="仿宋" w:eastAsia="仿宋"/>
          <w:sz w:val="28"/>
          <w:szCs w:val="28"/>
        </w:rPr>
        <w:t>辣椒生产地域内环境质量的保护并有效推进，重点是保持土壤结构的稳定和无污染，并有利于区域生态环境的保护，稳定实现区域生物循环和生物多样性的保护以及可持续发展。</w:t>
      </w:r>
    </w:p>
    <w:p>
      <w:pPr>
        <w:ind w:firstLine="560" w:firstLineChars="200"/>
        <w:rPr>
          <w:rFonts w:hint="eastAsia" w:ascii="仿宋" w:hAnsi="仿宋" w:eastAsia="仿宋"/>
          <w:sz w:val="28"/>
          <w:szCs w:val="28"/>
        </w:rPr>
      </w:pPr>
      <w:r>
        <w:rPr>
          <w:rFonts w:hint="eastAsia" w:ascii="仿宋" w:hAnsi="仿宋" w:eastAsia="仿宋"/>
          <w:sz w:val="28"/>
          <w:szCs w:val="28"/>
          <w:lang w:eastAsia="zh-CN"/>
        </w:rPr>
        <w:t>（</w:t>
      </w:r>
      <w:r>
        <w:rPr>
          <w:rFonts w:hint="eastAsia" w:ascii="仿宋" w:hAnsi="仿宋" w:eastAsia="仿宋"/>
          <w:sz w:val="28"/>
          <w:szCs w:val="28"/>
          <w:lang w:val="en-US" w:eastAsia="zh-CN"/>
        </w:rPr>
        <w:t>3</w:t>
      </w:r>
      <w:r>
        <w:rPr>
          <w:rFonts w:hint="eastAsia" w:ascii="仿宋" w:hAnsi="仿宋" w:eastAsia="仿宋"/>
          <w:sz w:val="28"/>
          <w:szCs w:val="28"/>
          <w:lang w:eastAsia="zh-CN"/>
        </w:rPr>
        <w:t>）</w:t>
      </w:r>
      <w:r>
        <w:rPr>
          <w:rFonts w:hint="eastAsia" w:ascii="仿宋" w:hAnsi="仿宋" w:eastAsia="仿宋"/>
          <w:sz w:val="28"/>
          <w:szCs w:val="28"/>
        </w:rPr>
        <w:t>有利于推广先进的科学技术，确保用信息时代的最新大数据科技成果为</w:t>
      </w:r>
      <w:r>
        <w:rPr>
          <w:rFonts w:hint="eastAsia" w:ascii="仿宋" w:hAnsi="仿宋" w:eastAsia="仿宋"/>
          <w:sz w:val="28"/>
          <w:szCs w:val="28"/>
          <w:lang w:eastAsia="zh-CN"/>
        </w:rPr>
        <w:t>灯笼红</w:t>
      </w:r>
      <w:r>
        <w:rPr>
          <w:rFonts w:hint="eastAsia" w:ascii="仿宋" w:hAnsi="仿宋" w:eastAsia="仿宋"/>
          <w:sz w:val="28"/>
          <w:szCs w:val="28"/>
        </w:rPr>
        <w:t>辣椒食品生产服务。</w:t>
      </w:r>
    </w:p>
    <w:p>
      <w:pPr>
        <w:ind w:firstLine="560" w:firstLineChars="200"/>
        <w:rPr>
          <w:rFonts w:hint="eastAsia" w:ascii="仿宋" w:hAnsi="仿宋" w:eastAsia="仿宋"/>
          <w:sz w:val="28"/>
          <w:szCs w:val="28"/>
        </w:rPr>
      </w:pPr>
      <w:r>
        <w:rPr>
          <w:rFonts w:hint="eastAsia" w:ascii="仿宋" w:hAnsi="仿宋" w:eastAsia="仿宋"/>
          <w:sz w:val="28"/>
          <w:szCs w:val="28"/>
        </w:rPr>
        <w:t>(</w:t>
      </w:r>
      <w:r>
        <w:rPr>
          <w:rFonts w:hint="eastAsia" w:ascii="仿宋" w:hAnsi="仿宋" w:eastAsia="仿宋"/>
          <w:sz w:val="28"/>
          <w:szCs w:val="28"/>
          <w:lang w:val="en-US" w:eastAsia="zh-CN"/>
        </w:rPr>
        <w:t>4</w:t>
      </w:r>
      <w:r>
        <w:rPr>
          <w:rFonts w:hint="eastAsia" w:ascii="仿宋" w:hAnsi="仿宋" w:eastAsia="仿宋"/>
          <w:sz w:val="28"/>
          <w:szCs w:val="28"/>
        </w:rPr>
        <w:t>)规范性应用文件必须是国家标准、行业标准和已经发布实施得到地方标准。</w:t>
      </w:r>
    </w:p>
    <w:p>
      <w:pPr>
        <w:ind w:firstLine="560" w:firstLineChars="200"/>
        <w:rPr>
          <w:rFonts w:hint="eastAsia" w:ascii="仿宋" w:hAnsi="仿宋" w:eastAsia="仿宋"/>
          <w:sz w:val="28"/>
          <w:szCs w:val="28"/>
        </w:rPr>
      </w:pPr>
      <w:r>
        <w:rPr>
          <w:rFonts w:hint="eastAsia" w:ascii="仿宋" w:hAnsi="仿宋" w:eastAsia="仿宋"/>
          <w:sz w:val="28"/>
          <w:szCs w:val="28"/>
        </w:rPr>
        <w:t>(</w:t>
      </w:r>
      <w:r>
        <w:rPr>
          <w:rFonts w:hint="eastAsia" w:ascii="仿宋" w:hAnsi="仿宋" w:eastAsia="仿宋"/>
          <w:sz w:val="28"/>
          <w:szCs w:val="28"/>
          <w:lang w:val="en-US" w:eastAsia="zh-CN"/>
        </w:rPr>
        <w:t>5</w:t>
      </w:r>
      <w:r>
        <w:rPr>
          <w:rFonts w:hint="eastAsia" w:ascii="仿宋" w:hAnsi="仿宋" w:eastAsia="仿宋"/>
          <w:sz w:val="28"/>
          <w:szCs w:val="28"/>
        </w:rPr>
        <w:t>)</w:t>
      </w:r>
      <w:r>
        <w:rPr>
          <w:rFonts w:hint="eastAsia" w:ascii="仿宋" w:hAnsi="仿宋" w:eastAsia="仿宋"/>
          <w:sz w:val="28"/>
          <w:szCs w:val="28"/>
          <w:lang w:eastAsia="zh-CN"/>
        </w:rPr>
        <w:t>制</w:t>
      </w:r>
      <w:r>
        <w:rPr>
          <w:rFonts w:hint="eastAsia" w:ascii="仿宋" w:hAnsi="仿宋" w:eastAsia="仿宋"/>
          <w:sz w:val="28"/>
          <w:szCs w:val="28"/>
        </w:rPr>
        <w:t>订的</w:t>
      </w:r>
      <w:r>
        <w:rPr>
          <w:rFonts w:hint="eastAsia" w:ascii="仿宋" w:hAnsi="仿宋" w:eastAsia="仿宋"/>
          <w:sz w:val="28"/>
          <w:szCs w:val="28"/>
          <w:lang w:eastAsia="zh-CN"/>
        </w:rPr>
        <w:t>托县“灯笼红”辣椒露地覆膜栽培技术规程具有传统性、可操作性，易于生产者接受和在生产中广泛推广。</w:t>
      </w:r>
    </w:p>
    <w:p>
      <w:pPr>
        <w:spacing w:line="360" w:lineRule="auto"/>
        <w:rPr>
          <w:rFonts w:hint="eastAsia" w:ascii="仿宋" w:hAnsi="仿宋" w:eastAsia="仿宋"/>
          <w:color w:val="FF0000"/>
          <w:sz w:val="28"/>
          <w:szCs w:val="28"/>
        </w:rPr>
      </w:pPr>
      <w:r>
        <w:rPr>
          <w:rFonts w:hint="eastAsia" w:ascii="仿宋" w:hAnsi="仿宋" w:eastAsia="仿宋" w:cs="仿宋"/>
          <w:b/>
          <w:sz w:val="28"/>
          <w:szCs w:val="28"/>
        </w:rPr>
        <w:t>2、编制依据</w:t>
      </w:r>
    </w:p>
    <w:p>
      <w:pPr>
        <w:spacing w:line="360" w:lineRule="auto"/>
        <w:ind w:firstLine="560" w:firstLineChars="200"/>
        <w:rPr>
          <w:rFonts w:hint="eastAsia"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规程内容涵盖了从选地、</w:t>
      </w:r>
      <w:r>
        <w:rPr>
          <w:rFonts w:hint="eastAsia" w:ascii="仿宋" w:hAnsi="仿宋" w:eastAsia="仿宋"/>
          <w:color w:val="000000" w:themeColor="text1"/>
          <w:sz w:val="28"/>
          <w:szCs w:val="28"/>
          <w:lang w:eastAsia="zh-CN"/>
          <w14:textFill>
            <w14:solidFill>
              <w14:schemeClr w14:val="tx1"/>
            </w14:solidFill>
          </w14:textFill>
        </w:rPr>
        <w:t>、选种、</w:t>
      </w:r>
      <w:r>
        <w:rPr>
          <w:rFonts w:hint="eastAsia" w:ascii="仿宋" w:hAnsi="仿宋" w:eastAsia="仿宋"/>
          <w:color w:val="000000" w:themeColor="text1"/>
          <w:sz w:val="28"/>
          <w:szCs w:val="28"/>
          <w14:textFill>
            <w14:solidFill>
              <w14:schemeClr w14:val="tx1"/>
            </w14:solidFill>
          </w14:textFill>
        </w:rPr>
        <w:t>播种到收获的全过程，主要包括:范围，规范性引用文件，产地环境，生产技术，</w:t>
      </w:r>
      <w:r>
        <w:rPr>
          <w:rFonts w:hint="eastAsia" w:ascii="仿宋" w:hAnsi="仿宋" w:eastAsia="仿宋"/>
          <w:color w:val="000000" w:themeColor="text1"/>
          <w:sz w:val="28"/>
          <w:szCs w:val="28"/>
          <w:lang w:eastAsia="zh-CN"/>
          <w14:textFill>
            <w14:solidFill>
              <w14:schemeClr w14:val="tx1"/>
            </w14:solidFill>
          </w14:textFill>
        </w:rPr>
        <w:t>田间</w:t>
      </w:r>
      <w:r>
        <w:rPr>
          <w:rFonts w:hint="eastAsia" w:ascii="仿宋" w:hAnsi="仿宋" w:eastAsia="仿宋"/>
          <w:color w:val="000000" w:themeColor="text1"/>
          <w:sz w:val="28"/>
          <w:szCs w:val="28"/>
          <w14:textFill>
            <w14:solidFill>
              <w14:schemeClr w14:val="tx1"/>
            </w14:solidFill>
          </w14:textFill>
        </w:rPr>
        <w:t>管</w:t>
      </w:r>
      <w:r>
        <w:rPr>
          <w:rFonts w:hint="eastAsia" w:ascii="仿宋" w:hAnsi="仿宋" w:eastAsia="仿宋"/>
          <w:color w:val="000000" w:themeColor="text1"/>
          <w:sz w:val="28"/>
          <w:szCs w:val="28"/>
          <w:lang w:eastAsia="zh-CN"/>
          <w14:textFill>
            <w14:solidFill>
              <w14:schemeClr w14:val="tx1"/>
            </w14:solidFill>
          </w14:textFill>
        </w:rPr>
        <w:t>理</w:t>
      </w:r>
      <w:r>
        <w:rPr>
          <w:rFonts w:hint="eastAsia" w:ascii="仿宋" w:hAnsi="仿宋" w:eastAsia="仿宋"/>
          <w:color w:val="000000" w:themeColor="text1"/>
          <w:sz w:val="28"/>
          <w:szCs w:val="28"/>
          <w14:textFill>
            <w14:solidFill>
              <w14:schemeClr w14:val="tx1"/>
            </w14:solidFill>
          </w14:textFill>
        </w:rPr>
        <w:t>，采收，产品质量检测</w:t>
      </w:r>
      <w:r>
        <w:rPr>
          <w:rFonts w:hint="eastAsia" w:ascii="仿宋" w:hAnsi="仿宋" w:eastAsia="仿宋"/>
          <w:color w:val="000000" w:themeColor="text1"/>
          <w:sz w:val="28"/>
          <w:szCs w:val="28"/>
          <w:lang w:eastAsia="zh-CN"/>
          <w14:textFill>
            <w14:solidFill>
              <w14:schemeClr w14:val="tx1"/>
            </w14:solidFill>
          </w14:textFill>
        </w:rPr>
        <w:t>，档案管理</w:t>
      </w:r>
      <w:r>
        <w:rPr>
          <w:rFonts w:hint="eastAsia" w:ascii="仿宋" w:hAnsi="仿宋" w:eastAsia="仿宋"/>
          <w:color w:val="000000" w:themeColor="text1"/>
          <w:sz w:val="28"/>
          <w:szCs w:val="28"/>
          <w14:textFill>
            <w14:solidFill>
              <w14:schemeClr w14:val="tx1"/>
            </w14:solidFill>
          </w14:textFill>
        </w:rPr>
        <w:t>。</w:t>
      </w:r>
    </w:p>
    <w:p>
      <w:pPr>
        <w:spacing w:line="360" w:lineRule="auto"/>
        <w:ind w:firstLine="560" w:firstLineChars="200"/>
        <w:rPr>
          <w:rFonts w:hint="eastAsia"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GB 16715.3 瓜菜作物种子 第3部分：茄果类</w:t>
      </w:r>
    </w:p>
    <w:p>
      <w:pPr>
        <w:spacing w:line="360" w:lineRule="auto"/>
        <w:ind w:firstLine="560" w:firstLineChars="200"/>
        <w:rPr>
          <w:rFonts w:hint="eastAsia"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GB 4789.3  食品安全国家标准 食品微生物学检验  大肠菌群计数</w:t>
      </w:r>
    </w:p>
    <w:p>
      <w:pPr>
        <w:spacing w:line="360" w:lineRule="auto"/>
        <w:ind w:firstLine="560" w:firstLineChars="200"/>
        <w:rPr>
          <w:rFonts w:hint="eastAsia"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GB 5009.3  食品安全国家标准  食品中水分的测定</w:t>
      </w:r>
    </w:p>
    <w:p>
      <w:pPr>
        <w:spacing w:line="360" w:lineRule="auto"/>
        <w:ind w:firstLine="560" w:firstLineChars="200"/>
        <w:rPr>
          <w:rFonts w:hint="eastAsia"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GB 5009.4  食品安全国家标准  食品中灰分的测定</w:t>
      </w:r>
    </w:p>
    <w:p>
      <w:pPr>
        <w:spacing w:line="360" w:lineRule="auto"/>
        <w:ind w:firstLine="560" w:firstLineChars="200"/>
        <w:rPr>
          <w:rFonts w:hint="eastAsia"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NY/T 391  绿色食品 产地环境质量</w:t>
      </w:r>
    </w:p>
    <w:p>
      <w:pPr>
        <w:spacing w:line="360" w:lineRule="auto"/>
        <w:ind w:firstLine="560" w:firstLineChars="200"/>
        <w:rPr>
          <w:rFonts w:hint="eastAsia"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NY/T 393  绿色食品 农药使用准则</w:t>
      </w:r>
    </w:p>
    <w:p>
      <w:pPr>
        <w:spacing w:line="360" w:lineRule="auto"/>
        <w:ind w:firstLine="560" w:firstLineChars="200"/>
        <w:rPr>
          <w:rFonts w:hint="eastAsia"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NY/T 394  绿色食品 肥料使用准则</w:t>
      </w:r>
    </w:p>
    <w:p>
      <w:pPr>
        <w:spacing w:line="360" w:lineRule="auto"/>
        <w:ind w:firstLine="560" w:firstLineChars="200"/>
        <w:rPr>
          <w:rFonts w:hint="eastAsia"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NY/T 1056 绿色食品 贮藏运输准则</w:t>
      </w:r>
      <w:r>
        <w:rPr>
          <w:rFonts w:hint="eastAsia" w:ascii="仿宋" w:hAnsi="仿宋" w:eastAsia="仿宋"/>
          <w:color w:val="000000" w:themeColor="text1"/>
          <w:sz w:val="28"/>
          <w:szCs w:val="28"/>
          <w14:textFill>
            <w14:solidFill>
              <w14:schemeClr w14:val="tx1"/>
            </w14:solidFill>
          </w14:textFill>
        </w:rPr>
        <w:tab/>
      </w:r>
    </w:p>
    <w:p>
      <w:pPr>
        <w:spacing w:line="440" w:lineRule="exact"/>
        <w:rPr>
          <w:rFonts w:hint="eastAsia" w:ascii="仿宋" w:hAnsi="仿宋" w:eastAsia="仿宋" w:cs="仿宋"/>
          <w:b/>
          <w:sz w:val="28"/>
          <w:szCs w:val="28"/>
        </w:rPr>
      </w:pPr>
      <w:r>
        <w:rPr>
          <w:rFonts w:hint="eastAsia" w:ascii="仿宋" w:hAnsi="仿宋" w:eastAsia="仿宋" w:cs="仿宋"/>
          <w:b/>
          <w:sz w:val="28"/>
          <w:szCs w:val="28"/>
        </w:rPr>
        <w:t>3、与现行法律、法规、标准的关系</w:t>
      </w:r>
    </w:p>
    <w:p>
      <w:pPr>
        <w:spacing w:line="440" w:lineRule="exact"/>
        <w:ind w:firstLine="560"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本标准在编制过程中，没有出现与现行有关法律、法规和国家、行业、地方标准相违背的情况。</w:t>
      </w:r>
    </w:p>
    <w:p>
      <w:pPr>
        <w:spacing w:line="440" w:lineRule="exact"/>
        <w:rPr>
          <w:rFonts w:hint="eastAsia" w:ascii="仿宋" w:hAnsi="仿宋" w:eastAsia="仿宋" w:cs="仿宋"/>
          <w:b/>
          <w:sz w:val="28"/>
          <w:szCs w:val="28"/>
        </w:rPr>
      </w:pPr>
      <w:r>
        <w:rPr>
          <w:rFonts w:hint="eastAsia" w:ascii="仿宋" w:hAnsi="仿宋" w:eastAsia="仿宋" w:cs="仿宋"/>
          <w:b/>
          <w:sz w:val="28"/>
          <w:szCs w:val="28"/>
        </w:rPr>
        <w:t>4、与现行相关标准的联系</w:t>
      </w:r>
    </w:p>
    <w:p>
      <w:pPr>
        <w:spacing w:line="440" w:lineRule="exact"/>
        <w:ind w:firstLine="560" w:firstLineChars="200"/>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目前与本标准相关的国际、国家、行业、地方、团体标准有</w:t>
      </w:r>
      <w:r>
        <w:rPr>
          <w:rFonts w:hint="eastAsia" w:ascii="仿宋" w:hAnsi="仿宋" w:eastAsia="仿宋" w:cs="仿宋"/>
          <w:color w:val="000000" w:themeColor="text1"/>
          <w:sz w:val="28"/>
          <w:szCs w:val="28"/>
          <w:lang w:eastAsia="zh-CN"/>
          <w14:textFill>
            <w14:solidFill>
              <w14:schemeClr w14:val="tx1"/>
            </w14:solidFill>
          </w14:textFill>
        </w:rPr>
        <w:t>《绿色食品线辣椒生产技术规程》、《开鲁红干辣椒优质高效栽培技术规程》、《贵州红辣椒种植规程》等。</w:t>
      </w:r>
    </w:p>
    <w:p>
      <w:pPr>
        <w:spacing w:line="440" w:lineRule="exact"/>
        <w:ind w:firstLine="560" w:firstLineChars="200"/>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本标准与现行相关标准的制定区别</w:t>
      </w:r>
      <w:r>
        <w:rPr>
          <w:rFonts w:hint="eastAsia" w:ascii="仿宋" w:hAnsi="仿宋" w:eastAsia="仿宋" w:cs="仿宋"/>
          <w:color w:val="000000" w:themeColor="text1"/>
          <w:sz w:val="28"/>
          <w:szCs w:val="28"/>
          <w:lang w:eastAsia="zh-CN"/>
          <w14:textFill>
            <w14:solidFill>
              <w14:schemeClr w14:val="tx1"/>
            </w14:solidFill>
          </w14:textFill>
        </w:rPr>
        <w:t>在于：</w:t>
      </w:r>
    </w:p>
    <w:p>
      <w:pPr>
        <w:numPr>
          <w:ilvl w:val="0"/>
          <w:numId w:val="4"/>
        </w:numPr>
        <w:spacing w:line="440" w:lineRule="exact"/>
        <w:ind w:firstLine="560" w:firstLineChars="200"/>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品种选择不一样，本规程规定的是托克托县特有品种“灯笼红”辣椒；</w:t>
      </w:r>
    </w:p>
    <w:p>
      <w:pPr>
        <w:numPr>
          <w:ilvl w:val="0"/>
          <w:numId w:val="0"/>
        </w:numPr>
        <w:spacing w:line="440" w:lineRule="exact"/>
        <w:ind w:firstLine="560"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w:t>
      </w:r>
      <w:r>
        <w:rPr>
          <w:rFonts w:hint="eastAsia" w:ascii="仿宋" w:hAnsi="仿宋" w:eastAsia="仿宋" w:cs="仿宋"/>
          <w:color w:val="000000" w:themeColor="text1"/>
          <w:sz w:val="28"/>
          <w:szCs w:val="28"/>
          <w:lang w:val="en-US" w:eastAsia="zh-CN"/>
          <w14:textFill>
            <w14:solidFill>
              <w14:schemeClr w14:val="tx1"/>
            </w14:solidFill>
          </w14:textFill>
        </w:rPr>
        <w:t>2</w:t>
      </w:r>
      <w:r>
        <w:rPr>
          <w:rFonts w:hint="eastAsia" w:ascii="仿宋" w:hAnsi="仿宋" w:eastAsia="仿宋" w:cs="仿宋"/>
          <w:color w:val="000000" w:themeColor="text1"/>
          <w:sz w:val="28"/>
          <w:szCs w:val="28"/>
          <w:lang w:eastAsia="zh-CN"/>
          <w14:textFill>
            <w14:solidFill>
              <w14:schemeClr w14:val="tx1"/>
            </w14:solidFill>
          </w14:textFill>
        </w:rPr>
        <w:t>）规程内容有所不同：本规程田间管理的特点是中耕。</w:t>
      </w:r>
    </w:p>
    <w:p>
      <w:pPr>
        <w:rPr>
          <w:rFonts w:hint="eastAsia" w:ascii="仿宋" w:hAnsi="仿宋" w:eastAsia="仿宋" w:cs="仿宋"/>
          <w:b/>
          <w:sz w:val="28"/>
          <w:szCs w:val="28"/>
        </w:rPr>
      </w:pPr>
      <w:r>
        <w:rPr>
          <w:rFonts w:hint="eastAsia" w:ascii="仿宋" w:hAnsi="仿宋" w:eastAsia="仿宋" w:cs="仿宋"/>
          <w:b/>
          <w:sz w:val="28"/>
          <w:szCs w:val="28"/>
        </w:rPr>
        <w:t>五、主要条款的说明，主要技术指标、参数、试验验证的论述</w:t>
      </w:r>
    </w:p>
    <w:p>
      <w:pPr>
        <w:spacing w:line="440" w:lineRule="exact"/>
        <w:rPr>
          <w:rFonts w:hint="eastAsia" w:ascii="仿宋" w:hAnsi="仿宋" w:eastAsia="仿宋" w:cs="仿宋"/>
          <w:b/>
          <w:sz w:val="28"/>
          <w:szCs w:val="28"/>
        </w:rPr>
      </w:pPr>
      <w:r>
        <w:rPr>
          <w:rFonts w:hint="eastAsia" w:ascii="仿宋" w:hAnsi="仿宋" w:eastAsia="仿宋" w:cs="仿宋"/>
          <w:b/>
          <w:sz w:val="28"/>
          <w:szCs w:val="28"/>
        </w:rPr>
        <w:t>1、主要条款说明</w:t>
      </w:r>
    </w:p>
    <w:p>
      <w:pPr>
        <w:spacing w:line="440" w:lineRule="exact"/>
        <w:ind w:firstLine="560" w:firstLineChars="200"/>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本标准规定了托县“灯笼红”辣椒</w:t>
      </w:r>
      <w:r>
        <w:rPr>
          <w:rFonts w:hint="eastAsia" w:ascii="仿宋" w:hAnsi="仿宋" w:eastAsia="仿宋" w:cs="仿宋"/>
          <w:color w:val="000000" w:themeColor="text1"/>
          <w:sz w:val="28"/>
          <w:szCs w:val="28"/>
          <w:lang w:eastAsia="zh-CN"/>
          <w14:textFill>
            <w14:solidFill>
              <w14:schemeClr w14:val="tx1"/>
            </w14:solidFill>
          </w14:textFill>
        </w:rPr>
        <w:t>从产地环境、</w:t>
      </w:r>
      <w:r>
        <w:rPr>
          <w:rFonts w:hint="eastAsia" w:ascii="仿宋" w:hAnsi="仿宋" w:eastAsia="仿宋" w:cs="仿宋"/>
          <w:color w:val="000000" w:themeColor="text1"/>
          <w:sz w:val="28"/>
          <w:szCs w:val="28"/>
          <w14:textFill>
            <w14:solidFill>
              <w14:schemeClr w14:val="tx1"/>
            </w14:solidFill>
          </w14:textFill>
        </w:rPr>
        <w:t>品种选择、播种、田间管理、浇水、病虫害防治和采收、生产废弃物的处理的全程</w:t>
      </w:r>
      <w:r>
        <w:rPr>
          <w:rFonts w:hint="eastAsia" w:ascii="仿宋" w:hAnsi="仿宋" w:eastAsia="仿宋" w:cs="仿宋"/>
          <w:color w:val="000000" w:themeColor="text1"/>
          <w:sz w:val="28"/>
          <w:szCs w:val="28"/>
          <w:lang w:eastAsia="zh-CN"/>
          <w14:textFill>
            <w14:solidFill>
              <w14:schemeClr w14:val="tx1"/>
            </w14:solidFill>
          </w14:textFill>
        </w:rPr>
        <w:t>质量</w:t>
      </w:r>
      <w:r>
        <w:rPr>
          <w:rFonts w:hint="eastAsia" w:ascii="仿宋" w:hAnsi="仿宋" w:eastAsia="仿宋" w:cs="仿宋"/>
          <w:color w:val="000000" w:themeColor="text1"/>
          <w:sz w:val="28"/>
          <w:szCs w:val="28"/>
          <w14:textFill>
            <w14:solidFill>
              <w14:schemeClr w14:val="tx1"/>
            </w14:solidFill>
          </w14:textFill>
        </w:rPr>
        <w:t>控制以及生产档案管理。</w:t>
      </w:r>
    </w:p>
    <w:p>
      <w:pPr>
        <w:spacing w:line="440" w:lineRule="exact"/>
        <w:rPr>
          <w:rFonts w:hint="eastAsia" w:ascii="仿宋" w:hAnsi="仿宋" w:eastAsia="仿宋" w:cs="仿宋"/>
          <w:sz w:val="28"/>
          <w:szCs w:val="28"/>
        </w:rPr>
      </w:pPr>
      <w:r>
        <w:rPr>
          <w:rFonts w:hint="eastAsia" w:ascii="仿宋" w:hAnsi="仿宋" w:eastAsia="仿宋" w:cs="仿宋"/>
          <w:b/>
          <w:sz w:val="28"/>
          <w:szCs w:val="28"/>
        </w:rPr>
        <w:t>2、主要技术指标、参数、试验论证的论述</w:t>
      </w:r>
    </w:p>
    <w:p>
      <w:pPr>
        <w:pStyle w:val="19"/>
        <w:numPr>
          <w:ilvl w:val="0"/>
          <w:numId w:val="0"/>
        </w:numPr>
        <w:ind w:firstLine="281" w:firstLineChars="100"/>
        <w:rPr>
          <w:rFonts w:hint="eastAsia" w:ascii="仿宋" w:hAnsi="仿宋" w:eastAsia="仿宋" w:cs="仿宋"/>
          <w:sz w:val="28"/>
          <w:szCs w:val="28"/>
          <w:highlight w:val="yellow"/>
          <w:lang w:val="en-US" w:eastAsia="zh-CN"/>
        </w:rPr>
      </w:pPr>
      <w:r>
        <w:rPr>
          <w:rFonts w:hint="eastAsia" w:ascii="仿宋" w:hAnsi="仿宋" w:eastAsia="仿宋" w:cs="仿宋"/>
          <w:b/>
          <w:sz w:val="28"/>
          <w:szCs w:val="28"/>
        </w:rPr>
        <w:t>主要技术指标、参数</w:t>
      </w:r>
      <w:r>
        <w:rPr>
          <w:rFonts w:hint="eastAsia" w:ascii="仿宋" w:hAnsi="仿宋" w:eastAsia="仿宋" w:cs="仿宋"/>
          <w:b/>
          <w:sz w:val="28"/>
          <w:szCs w:val="28"/>
          <w:lang w:val="en-US" w:eastAsia="zh-CN"/>
        </w:rPr>
        <w:t>:</w:t>
      </w:r>
    </w:p>
    <w:p>
      <w:pPr>
        <w:pStyle w:val="19"/>
        <w:numPr>
          <w:ilvl w:val="0"/>
          <w:numId w:val="0"/>
        </w:numPr>
        <w:ind w:firstLine="560" w:firstLineChars="200"/>
        <w:rPr>
          <w:rFonts w:hint="eastAsia" w:ascii="仿宋" w:hAnsi="仿宋" w:eastAsia="仿宋" w:cs="仿宋"/>
          <w:sz w:val="28"/>
          <w:szCs w:val="28"/>
        </w:rPr>
      </w:pPr>
      <w:r>
        <w:rPr>
          <w:rFonts w:hint="eastAsia" w:ascii="仿宋" w:hAnsi="仿宋" w:eastAsia="仿宋" w:cs="仿宋"/>
          <w:sz w:val="28"/>
          <w:szCs w:val="28"/>
        </w:rPr>
        <w:t>品种选择</w:t>
      </w:r>
      <w:r>
        <w:rPr>
          <w:rFonts w:hint="eastAsia" w:ascii="仿宋" w:hAnsi="仿宋" w:eastAsia="仿宋" w:cs="仿宋"/>
          <w:sz w:val="28"/>
          <w:szCs w:val="28"/>
          <w:lang w:val="en-US" w:eastAsia="zh-CN"/>
        </w:rPr>
        <w:t>:</w:t>
      </w:r>
      <w:r>
        <w:rPr>
          <w:rFonts w:hint="eastAsia" w:ascii="仿宋" w:hAnsi="仿宋" w:eastAsia="仿宋" w:cs="仿宋"/>
          <w:sz w:val="28"/>
          <w:szCs w:val="28"/>
        </w:rPr>
        <w:t>目前种植的品种有“灯笼红辣椒二号”、“灯笼红辣椒一号”、“灯笼红老品种”。</w:t>
      </w:r>
    </w:p>
    <w:p>
      <w:pPr>
        <w:pStyle w:val="19"/>
        <w:numPr>
          <w:ilvl w:val="0"/>
          <w:numId w:val="0"/>
        </w:numPr>
        <w:ind w:firstLine="560" w:firstLineChars="200"/>
        <w:rPr>
          <w:rFonts w:hint="eastAsia" w:ascii="仿宋" w:hAnsi="仿宋" w:eastAsia="仿宋" w:cs="仿宋"/>
          <w:sz w:val="28"/>
          <w:szCs w:val="28"/>
        </w:rPr>
      </w:pPr>
      <w:bookmarkStart w:id="0" w:name="_Toc446337373"/>
      <w:bookmarkStart w:id="1" w:name="_Toc68594153"/>
      <w:r>
        <w:rPr>
          <w:rFonts w:hint="eastAsia" w:ascii="仿宋" w:hAnsi="仿宋" w:eastAsia="仿宋" w:cs="仿宋"/>
          <w:sz w:val="28"/>
          <w:szCs w:val="28"/>
        </w:rPr>
        <w:t>种子播前处理</w:t>
      </w:r>
      <w:bookmarkEnd w:id="0"/>
      <w:bookmarkEnd w:id="1"/>
      <w:r>
        <w:rPr>
          <w:rFonts w:hint="eastAsia" w:ascii="仿宋" w:hAnsi="仿宋" w:eastAsia="仿宋" w:cs="仿宋"/>
          <w:sz w:val="28"/>
          <w:szCs w:val="28"/>
          <w:lang w:val="en-US" w:eastAsia="zh-CN"/>
        </w:rPr>
        <w:t>:</w:t>
      </w:r>
      <w:r>
        <w:rPr>
          <w:rFonts w:hint="eastAsia" w:ascii="仿宋" w:hAnsi="仿宋" w:eastAsia="仿宋" w:cs="仿宋"/>
          <w:sz w:val="28"/>
          <w:szCs w:val="28"/>
        </w:rPr>
        <w:t>将种子在55 ℃～60 ℃的温水中浸种15 min～20 min，不停地搅拌，然后在自然水温条件下，继续浸种6 h～8 h。</w:t>
      </w:r>
    </w:p>
    <w:p>
      <w:pPr>
        <w:pStyle w:val="19"/>
        <w:numPr>
          <w:ilvl w:val="0"/>
          <w:numId w:val="0"/>
        </w:numPr>
        <w:ind w:firstLine="560" w:firstLineChars="200"/>
        <w:rPr>
          <w:rFonts w:hint="eastAsia" w:ascii="仿宋" w:hAnsi="仿宋" w:eastAsia="仿宋" w:cs="仿宋"/>
          <w:sz w:val="28"/>
          <w:szCs w:val="28"/>
        </w:rPr>
      </w:pPr>
      <w:bookmarkStart w:id="2" w:name="_Toc446337378"/>
      <w:bookmarkStart w:id="3" w:name="_Toc68594158"/>
      <w:r>
        <w:rPr>
          <w:rFonts w:hint="eastAsia" w:ascii="仿宋" w:hAnsi="仿宋" w:eastAsia="仿宋" w:cs="仿宋"/>
          <w:sz w:val="28"/>
          <w:szCs w:val="28"/>
        </w:rPr>
        <w:t>播种</w:t>
      </w:r>
      <w:bookmarkEnd w:id="2"/>
      <w:bookmarkEnd w:id="3"/>
      <w:r>
        <w:rPr>
          <w:rFonts w:hint="eastAsia" w:ascii="仿宋" w:hAnsi="仿宋" w:eastAsia="仿宋" w:cs="仿宋"/>
          <w:sz w:val="28"/>
          <w:szCs w:val="28"/>
          <w:lang w:val="en-US" w:eastAsia="zh-CN"/>
        </w:rPr>
        <w:t>:</w:t>
      </w:r>
      <w:r>
        <w:rPr>
          <w:rFonts w:hint="eastAsia" w:ascii="仿宋" w:hAnsi="仿宋" w:eastAsia="仿宋" w:cs="仿宋"/>
          <w:sz w:val="28"/>
          <w:szCs w:val="28"/>
        </w:rPr>
        <w:t>3月上中旬播种为宜，苗龄55 d。每667m2用种40 g～50 g。</w:t>
      </w:r>
    </w:p>
    <w:p>
      <w:pPr>
        <w:pStyle w:val="19"/>
        <w:numPr>
          <w:ilvl w:val="0"/>
          <w:numId w:val="0"/>
        </w:numPr>
        <w:ind w:firstLine="560" w:firstLineChars="200"/>
        <w:rPr>
          <w:rFonts w:hint="eastAsia" w:ascii="仿宋" w:hAnsi="仿宋" w:eastAsia="仿宋" w:cs="仿宋"/>
          <w:sz w:val="28"/>
          <w:szCs w:val="28"/>
        </w:rPr>
      </w:pPr>
      <w:bookmarkStart w:id="4" w:name="_Toc68256858"/>
      <w:bookmarkStart w:id="5" w:name="_Toc446337381"/>
      <w:bookmarkStart w:id="6" w:name="_Toc68594162"/>
      <w:r>
        <w:rPr>
          <w:rFonts w:hint="eastAsia" w:ascii="仿宋" w:hAnsi="仿宋" w:eastAsia="仿宋" w:cs="仿宋"/>
          <w:sz w:val="28"/>
          <w:szCs w:val="28"/>
        </w:rPr>
        <w:t>播种方法</w:t>
      </w:r>
      <w:bookmarkEnd w:id="4"/>
      <w:bookmarkEnd w:id="5"/>
      <w:bookmarkEnd w:id="6"/>
      <w:r>
        <w:rPr>
          <w:rFonts w:hint="eastAsia" w:ascii="仿宋" w:hAnsi="仿宋" w:eastAsia="仿宋" w:cs="仿宋"/>
          <w:sz w:val="28"/>
          <w:szCs w:val="28"/>
          <w:lang w:val="en-US" w:eastAsia="zh-CN"/>
        </w:rPr>
        <w:t>:</w:t>
      </w:r>
      <w:r>
        <w:rPr>
          <w:rFonts w:hint="eastAsia" w:ascii="仿宋" w:hAnsi="仿宋" w:eastAsia="仿宋" w:cs="仿宋"/>
          <w:sz w:val="28"/>
          <w:szCs w:val="28"/>
        </w:rPr>
        <w:t>采用穴盘基质育苗</w:t>
      </w:r>
      <w:r>
        <w:rPr>
          <w:rFonts w:hint="eastAsia" w:ascii="仿宋" w:hAnsi="仿宋" w:eastAsia="仿宋" w:cs="仿宋"/>
          <w:sz w:val="28"/>
          <w:szCs w:val="28"/>
          <w:lang w:eastAsia="zh-CN"/>
        </w:rPr>
        <w:t>，</w:t>
      </w:r>
      <w:r>
        <w:rPr>
          <w:rFonts w:hint="eastAsia" w:ascii="仿宋" w:hAnsi="仿宋" w:eastAsia="仿宋" w:cs="仿宋"/>
          <w:sz w:val="28"/>
          <w:szCs w:val="28"/>
        </w:rPr>
        <w:t>每穴播种一粒。播完后将穴盘依次平放在穴盘架上，将穴盘基质喷透水。</w:t>
      </w:r>
    </w:p>
    <w:p>
      <w:pPr>
        <w:pStyle w:val="19"/>
        <w:numPr>
          <w:ilvl w:val="0"/>
          <w:numId w:val="0"/>
        </w:numPr>
        <w:ind w:firstLine="560" w:firstLineChars="200"/>
        <w:rPr>
          <w:rFonts w:hint="eastAsia" w:ascii="仿宋" w:hAnsi="仿宋" w:eastAsia="仿宋" w:cs="仿宋"/>
          <w:sz w:val="28"/>
          <w:szCs w:val="28"/>
        </w:rPr>
      </w:pPr>
      <w:bookmarkStart w:id="7" w:name="_Toc68594163"/>
      <w:r>
        <w:rPr>
          <w:rFonts w:hint="eastAsia" w:ascii="仿宋" w:hAnsi="仿宋" w:eastAsia="仿宋" w:cs="仿宋"/>
          <w:sz w:val="28"/>
          <w:szCs w:val="28"/>
        </w:rPr>
        <w:t>苗期管理</w:t>
      </w:r>
      <w:bookmarkEnd w:id="7"/>
      <w:r>
        <w:rPr>
          <w:rFonts w:hint="eastAsia" w:ascii="仿宋" w:hAnsi="仿宋" w:eastAsia="仿宋" w:cs="仿宋"/>
          <w:sz w:val="28"/>
          <w:szCs w:val="28"/>
          <w:lang w:val="en-US" w:eastAsia="zh-CN"/>
        </w:rPr>
        <w:t>:</w:t>
      </w:r>
      <w:r>
        <w:rPr>
          <w:rFonts w:hint="eastAsia" w:ascii="仿宋" w:hAnsi="仿宋" w:eastAsia="仿宋" w:cs="仿宋"/>
          <w:sz w:val="28"/>
          <w:szCs w:val="28"/>
        </w:rPr>
        <w:t>出苗之前，温室内温度白天保持25 ℃～30 ℃，夜间保持18 ℃～20 ℃；苗出齐后，白天20 ℃～25 ℃，夜间最低保持12 ℃～15 ℃。</w:t>
      </w:r>
    </w:p>
    <w:p>
      <w:pPr>
        <w:pStyle w:val="19"/>
        <w:numPr>
          <w:ilvl w:val="0"/>
          <w:numId w:val="0"/>
        </w:numPr>
        <w:ind w:firstLine="560" w:firstLineChars="200"/>
        <w:rPr>
          <w:rFonts w:hint="eastAsia" w:ascii="仿宋" w:hAnsi="仿宋" w:eastAsia="仿宋" w:cs="仿宋"/>
          <w:sz w:val="28"/>
          <w:szCs w:val="28"/>
        </w:rPr>
      </w:pPr>
      <w:bookmarkStart w:id="8" w:name="_Toc446337391"/>
      <w:bookmarkStart w:id="9" w:name="_Toc68594172"/>
      <w:r>
        <w:rPr>
          <w:rFonts w:hint="eastAsia" w:ascii="仿宋" w:hAnsi="仿宋" w:eastAsia="仿宋" w:cs="仿宋"/>
          <w:sz w:val="28"/>
          <w:szCs w:val="28"/>
        </w:rPr>
        <w:t>炼苗</w:t>
      </w:r>
      <w:bookmarkEnd w:id="8"/>
      <w:bookmarkEnd w:id="9"/>
      <w:r>
        <w:rPr>
          <w:rFonts w:hint="eastAsia" w:ascii="仿宋" w:hAnsi="仿宋" w:eastAsia="仿宋" w:cs="仿宋"/>
          <w:sz w:val="28"/>
          <w:szCs w:val="28"/>
          <w:lang w:val="en-US" w:eastAsia="zh-CN"/>
        </w:rPr>
        <w:t>:</w:t>
      </w:r>
      <w:r>
        <w:rPr>
          <w:rFonts w:hint="eastAsia" w:ascii="仿宋" w:hAnsi="仿宋" w:eastAsia="仿宋" w:cs="仿宋"/>
          <w:sz w:val="28"/>
          <w:szCs w:val="28"/>
        </w:rPr>
        <w:t>定植前7 d～8 d，减少浇水，苗床温度白天控制在18 ℃～25 ℃，夜温控制在10 ℃～12 ℃，加强通风。</w:t>
      </w:r>
    </w:p>
    <w:p>
      <w:pPr>
        <w:pStyle w:val="19"/>
        <w:numPr>
          <w:ilvl w:val="0"/>
          <w:numId w:val="0"/>
        </w:numPr>
        <w:ind w:firstLine="560" w:firstLineChars="200"/>
        <w:rPr>
          <w:rFonts w:hint="eastAsia" w:ascii="仿宋" w:hAnsi="仿宋" w:eastAsia="仿宋" w:cs="仿宋"/>
          <w:sz w:val="28"/>
          <w:szCs w:val="28"/>
        </w:rPr>
      </w:pPr>
      <w:bookmarkStart w:id="10" w:name="_Toc446337393"/>
      <w:bookmarkStart w:id="11" w:name="_Toc68594174"/>
      <w:r>
        <w:rPr>
          <w:rFonts w:hint="eastAsia" w:ascii="仿宋" w:hAnsi="仿宋" w:eastAsia="仿宋" w:cs="仿宋"/>
          <w:sz w:val="28"/>
          <w:szCs w:val="28"/>
        </w:rPr>
        <w:t>壮苗指标</w:t>
      </w:r>
      <w:bookmarkEnd w:id="10"/>
      <w:bookmarkEnd w:id="11"/>
      <w:r>
        <w:rPr>
          <w:rFonts w:hint="eastAsia" w:ascii="仿宋" w:hAnsi="仿宋" w:eastAsia="仿宋" w:cs="仿宋"/>
          <w:sz w:val="28"/>
          <w:szCs w:val="28"/>
          <w:lang w:val="en-US" w:eastAsia="zh-CN"/>
        </w:rPr>
        <w:t>:</w:t>
      </w:r>
      <w:r>
        <w:rPr>
          <w:rFonts w:hint="eastAsia" w:ascii="仿宋" w:hAnsi="仿宋" w:eastAsia="仿宋" w:cs="仿宋"/>
          <w:sz w:val="28"/>
          <w:szCs w:val="28"/>
        </w:rPr>
        <w:t>株高18 cm～20 cm，茎粗0.4 cm以上，有8片真叶以上，节间短，叶色浓绿，叶片厚，根系发达，无病虫。</w:t>
      </w:r>
    </w:p>
    <w:p>
      <w:pPr>
        <w:pStyle w:val="19"/>
        <w:numPr>
          <w:ilvl w:val="0"/>
          <w:numId w:val="0"/>
        </w:numPr>
        <w:ind w:firstLine="560" w:firstLineChars="200"/>
        <w:rPr>
          <w:rFonts w:hint="eastAsia" w:ascii="仿宋" w:hAnsi="仿宋" w:eastAsia="仿宋" w:cs="仿宋"/>
          <w:sz w:val="28"/>
          <w:szCs w:val="28"/>
        </w:rPr>
      </w:pPr>
      <w:bookmarkStart w:id="12" w:name="_Toc446337395"/>
      <w:bookmarkStart w:id="13" w:name="_Toc381603882"/>
      <w:bookmarkStart w:id="14" w:name="_Toc68594176"/>
      <w:bookmarkStart w:id="15" w:name="_Toc68256865"/>
      <w:r>
        <w:rPr>
          <w:rFonts w:hint="eastAsia" w:ascii="仿宋" w:hAnsi="仿宋" w:eastAsia="仿宋" w:cs="仿宋"/>
          <w:sz w:val="28"/>
          <w:szCs w:val="28"/>
        </w:rPr>
        <w:t>定植</w:t>
      </w:r>
      <w:bookmarkEnd w:id="12"/>
      <w:bookmarkEnd w:id="13"/>
      <w:bookmarkEnd w:id="14"/>
      <w:bookmarkEnd w:id="15"/>
      <w:r>
        <w:rPr>
          <w:rFonts w:hint="eastAsia" w:ascii="仿宋" w:hAnsi="仿宋" w:eastAsia="仿宋" w:cs="仿宋"/>
          <w:sz w:val="28"/>
          <w:szCs w:val="28"/>
          <w:lang w:val="en-US" w:eastAsia="zh-CN"/>
        </w:rPr>
        <w:t>:</w:t>
      </w:r>
      <w:r>
        <w:rPr>
          <w:rFonts w:hint="eastAsia" w:ascii="仿宋" w:hAnsi="仿宋" w:eastAsia="仿宋" w:cs="仿宋"/>
          <w:sz w:val="28"/>
          <w:szCs w:val="28"/>
        </w:rPr>
        <w:t>整地，再翻耕整平、开沟起垄，垄宽40 cm，垄高20 cm，沟宽80 cm，垄距100 cm～120 cm，采用宽窄行。起好垄覆膜，膜宽90 cm。定植大行距60 cm，小行距40 cm，每穴单株定植，株距定为25 cm，亩保苗5500～6000株。或一穴双株，大行距80 cm，小行距40 cm，株距30 cm。</w:t>
      </w:r>
    </w:p>
    <w:p>
      <w:pPr>
        <w:pStyle w:val="19"/>
        <w:numPr>
          <w:ilvl w:val="0"/>
          <w:numId w:val="0"/>
        </w:numPr>
        <w:ind w:firstLine="560" w:firstLineChars="200"/>
        <w:rPr>
          <w:rFonts w:hint="eastAsia" w:ascii="仿宋" w:hAnsi="仿宋" w:eastAsia="仿宋" w:cs="仿宋"/>
          <w:sz w:val="28"/>
          <w:szCs w:val="28"/>
        </w:rPr>
      </w:pPr>
      <w:bookmarkStart w:id="16" w:name="_Toc381603886"/>
      <w:bookmarkStart w:id="17" w:name="_Toc68594181"/>
      <w:bookmarkStart w:id="18" w:name="_Toc446337401"/>
      <w:bookmarkStart w:id="19" w:name="_Toc68256867"/>
      <w:r>
        <w:rPr>
          <w:rFonts w:hint="eastAsia" w:ascii="仿宋" w:hAnsi="仿宋" w:eastAsia="仿宋" w:cs="仿宋"/>
          <w:sz w:val="28"/>
          <w:szCs w:val="28"/>
        </w:rPr>
        <w:t>田间管理</w:t>
      </w:r>
      <w:bookmarkEnd w:id="16"/>
      <w:bookmarkEnd w:id="17"/>
      <w:bookmarkEnd w:id="18"/>
      <w:bookmarkEnd w:id="19"/>
      <w:bookmarkStart w:id="20" w:name="_Toc381603887"/>
      <w:r>
        <w:rPr>
          <w:rFonts w:hint="eastAsia" w:ascii="仿宋" w:hAnsi="仿宋" w:eastAsia="仿宋" w:cs="仿宋"/>
          <w:sz w:val="28"/>
          <w:szCs w:val="28"/>
          <w:lang w:val="en-US" w:eastAsia="zh-CN"/>
        </w:rPr>
        <w:t>:</w:t>
      </w:r>
      <w:r>
        <w:rPr>
          <w:rFonts w:hint="eastAsia" w:ascii="仿宋" w:hAnsi="仿宋" w:eastAsia="仿宋" w:cs="仿宋"/>
          <w:sz w:val="28"/>
          <w:szCs w:val="28"/>
        </w:rPr>
        <w:t>用腐熟羊粪2000 kg/667m2，作为基肥。定植后立即浇一次透水，5 d后再轻浇一次缓苗水。</w:t>
      </w:r>
      <w:bookmarkEnd w:id="20"/>
      <w:bookmarkStart w:id="21" w:name="_Toc68594184"/>
      <w:bookmarkStart w:id="22" w:name="_Toc446337403"/>
    </w:p>
    <w:p>
      <w:pPr>
        <w:pStyle w:val="19"/>
        <w:numPr>
          <w:ilvl w:val="0"/>
          <w:numId w:val="0"/>
        </w:numPr>
        <w:ind w:firstLine="560" w:firstLineChars="200"/>
        <w:rPr>
          <w:rFonts w:hint="eastAsia" w:ascii="仿宋" w:hAnsi="仿宋" w:eastAsia="仿宋" w:cs="仿宋"/>
          <w:sz w:val="28"/>
          <w:szCs w:val="28"/>
        </w:rPr>
      </w:pPr>
      <w:r>
        <w:rPr>
          <w:rFonts w:hint="eastAsia" w:ascii="仿宋" w:hAnsi="仿宋" w:eastAsia="仿宋" w:cs="仿宋"/>
          <w:sz w:val="28"/>
          <w:szCs w:val="28"/>
        </w:rPr>
        <w:t>中耕培土</w:t>
      </w:r>
      <w:bookmarkEnd w:id="21"/>
      <w:bookmarkEnd w:id="22"/>
      <w:r>
        <w:rPr>
          <w:rFonts w:hint="eastAsia" w:ascii="仿宋" w:hAnsi="仿宋" w:eastAsia="仿宋" w:cs="仿宋"/>
          <w:sz w:val="28"/>
          <w:szCs w:val="28"/>
          <w:lang w:val="en-US" w:eastAsia="zh-CN"/>
        </w:rPr>
        <w:t>:</w:t>
      </w:r>
      <w:r>
        <w:rPr>
          <w:rFonts w:hint="eastAsia" w:ascii="仿宋" w:hAnsi="仿宋" w:eastAsia="仿宋" w:cs="仿宋"/>
          <w:sz w:val="28"/>
          <w:szCs w:val="28"/>
        </w:rPr>
        <w:t>缓苗后，沟需中耕2～3次，中耕深度和范围以不损伤根系为准。在结果初期封垄前，结合中耕，进行培土，培土达到沟深30 cm。</w:t>
      </w:r>
    </w:p>
    <w:p>
      <w:pPr>
        <w:pStyle w:val="19"/>
        <w:numPr>
          <w:ilvl w:val="0"/>
          <w:numId w:val="0"/>
        </w:numPr>
        <w:ind w:firstLine="560" w:firstLineChars="200"/>
        <w:rPr>
          <w:rFonts w:hint="eastAsia" w:ascii="仿宋" w:hAnsi="仿宋" w:eastAsia="仿宋" w:cs="仿宋"/>
          <w:sz w:val="28"/>
          <w:szCs w:val="28"/>
        </w:rPr>
      </w:pPr>
      <w:bookmarkStart w:id="23" w:name="_Toc68594185"/>
      <w:r>
        <w:rPr>
          <w:rFonts w:hint="eastAsia" w:ascii="仿宋" w:hAnsi="仿宋" w:eastAsia="仿宋" w:cs="仿宋"/>
          <w:sz w:val="28"/>
          <w:szCs w:val="28"/>
        </w:rPr>
        <w:t>植株调整</w:t>
      </w:r>
      <w:bookmarkEnd w:id="23"/>
      <w:r>
        <w:rPr>
          <w:rFonts w:hint="eastAsia" w:ascii="仿宋" w:hAnsi="仿宋" w:eastAsia="仿宋" w:cs="仿宋"/>
          <w:sz w:val="28"/>
          <w:szCs w:val="28"/>
          <w:lang w:val="en-US" w:eastAsia="zh-CN"/>
        </w:rPr>
        <w:t>:</w:t>
      </w:r>
      <w:r>
        <w:rPr>
          <w:rFonts w:hint="eastAsia" w:ascii="仿宋" w:hAnsi="仿宋" w:eastAsia="仿宋" w:cs="仿宋"/>
          <w:sz w:val="28"/>
          <w:szCs w:val="28"/>
        </w:rPr>
        <w:t>当第一分枝形成后，把第一分枝以下的叶腋处形成的侧分枝,枝杈约长出5 cm以上时去掉。结果后期及时清除其下部的老黄叶、病叶、残叶，带出田间，集中深埋。早霜前30 d，应及时把各分枝顶部的无效花蕾、幼果全部打掉，保留功能叶片，促进有效果实的更好成熟。</w:t>
      </w:r>
    </w:p>
    <w:p>
      <w:pPr>
        <w:pStyle w:val="19"/>
        <w:numPr>
          <w:ilvl w:val="0"/>
          <w:numId w:val="0"/>
        </w:numPr>
        <w:ind w:firstLine="560" w:firstLineChars="200"/>
        <w:rPr>
          <w:rFonts w:hint="eastAsia" w:ascii="仿宋" w:hAnsi="仿宋" w:eastAsia="仿宋" w:cs="仿宋"/>
          <w:sz w:val="28"/>
          <w:szCs w:val="28"/>
        </w:rPr>
      </w:pPr>
      <w:bookmarkStart w:id="24" w:name="_Toc68594186"/>
      <w:bookmarkStart w:id="25" w:name="_Toc68256868"/>
      <w:bookmarkStart w:id="26" w:name="_Toc446337405"/>
      <w:r>
        <w:rPr>
          <w:rFonts w:hint="eastAsia" w:ascii="仿宋" w:hAnsi="仿宋" w:eastAsia="仿宋" w:cs="仿宋"/>
          <w:sz w:val="28"/>
          <w:szCs w:val="28"/>
        </w:rPr>
        <w:t>病虫害防治</w:t>
      </w:r>
      <w:bookmarkEnd w:id="24"/>
      <w:bookmarkEnd w:id="25"/>
      <w:bookmarkEnd w:id="26"/>
      <w:r>
        <w:rPr>
          <w:rFonts w:hint="eastAsia" w:ascii="仿宋" w:hAnsi="仿宋" w:eastAsia="仿宋" w:cs="仿宋"/>
          <w:sz w:val="28"/>
          <w:szCs w:val="28"/>
          <w:lang w:val="en-US" w:eastAsia="zh-CN"/>
        </w:rPr>
        <w:t>:</w:t>
      </w:r>
      <w:r>
        <w:rPr>
          <w:rFonts w:hint="eastAsia" w:ascii="仿宋" w:hAnsi="仿宋" w:eastAsia="仿宋" w:cs="仿宋"/>
          <w:sz w:val="28"/>
          <w:szCs w:val="28"/>
        </w:rPr>
        <w:t>根据病虫害的预测预报，及时掌握病虫害的发生动态，严格按照NY/T 393农药使用准则，选用高效、低毒、低残留、与环境相容性好的农药，且不同农药应交替使用。</w:t>
      </w:r>
    </w:p>
    <w:p>
      <w:pPr>
        <w:pStyle w:val="19"/>
        <w:numPr>
          <w:ilvl w:val="0"/>
          <w:numId w:val="0"/>
        </w:numPr>
        <w:ind w:firstLine="560" w:firstLineChars="200"/>
        <w:rPr>
          <w:rFonts w:hint="eastAsia" w:ascii="仿宋" w:hAnsi="仿宋" w:eastAsia="仿宋" w:cs="仿宋"/>
          <w:sz w:val="28"/>
          <w:szCs w:val="28"/>
        </w:rPr>
      </w:pPr>
      <w:bookmarkStart w:id="27" w:name="_Toc68256869"/>
      <w:bookmarkStart w:id="28" w:name="_Toc68594187"/>
      <w:r>
        <w:rPr>
          <w:rFonts w:hint="eastAsia" w:ascii="仿宋" w:hAnsi="仿宋" w:eastAsia="仿宋" w:cs="仿宋"/>
          <w:sz w:val="28"/>
          <w:szCs w:val="28"/>
        </w:rPr>
        <w:t>收获</w:t>
      </w:r>
      <w:bookmarkEnd w:id="27"/>
      <w:bookmarkEnd w:id="28"/>
      <w:r>
        <w:rPr>
          <w:rFonts w:hint="eastAsia" w:ascii="仿宋" w:hAnsi="仿宋" w:eastAsia="仿宋" w:cs="仿宋"/>
          <w:sz w:val="28"/>
          <w:szCs w:val="28"/>
          <w:lang w:eastAsia="zh-CN"/>
        </w:rPr>
        <w:t>：</w:t>
      </w:r>
      <w:r>
        <w:rPr>
          <w:rFonts w:hint="eastAsia" w:ascii="仿宋" w:hAnsi="仿宋" w:eastAsia="仿宋" w:cs="仿宋"/>
          <w:sz w:val="28"/>
          <w:szCs w:val="28"/>
        </w:rPr>
        <w:t>在8月中下旬～9月底开始成熟，成熟的果实颜色鲜红。果实成熟后，分2次采摘，根据市场需求和价格因素9月初人工采摘头茬红熟辣椒果实，10月初人工采摘二茬红熟辣椒果实。一个半月辣椒全部采摘完成。因头茬辣椒较二茬辣椒果实大而且肉厚，多数为优等品。</w:t>
      </w:r>
    </w:p>
    <w:p>
      <w:pPr>
        <w:pStyle w:val="19"/>
        <w:numPr>
          <w:ilvl w:val="0"/>
          <w:numId w:val="0"/>
        </w:numPr>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rPr>
        <w:t>入库</w:t>
      </w:r>
      <w:r>
        <w:rPr>
          <w:rFonts w:hint="eastAsia" w:ascii="仿宋" w:hAnsi="仿宋" w:eastAsia="仿宋" w:cs="仿宋"/>
          <w:sz w:val="28"/>
          <w:szCs w:val="28"/>
          <w:lang w:eastAsia="zh-CN"/>
        </w:rPr>
        <w:t>：</w:t>
      </w:r>
      <w:r>
        <w:rPr>
          <w:rFonts w:hint="eastAsia" w:ascii="仿宋" w:hAnsi="仿宋" w:eastAsia="仿宋" w:cs="仿宋"/>
          <w:sz w:val="28"/>
          <w:szCs w:val="28"/>
        </w:rPr>
        <w:t xml:space="preserve">严格按照GB5009.3、GB5009.4、GB </w:t>
      </w:r>
      <w:r>
        <w:rPr>
          <w:rFonts w:hint="eastAsia" w:ascii="仿宋" w:hAnsi="仿宋" w:eastAsia="仿宋" w:cs="仿宋"/>
          <w:sz w:val="28"/>
          <w:szCs w:val="28"/>
          <w:lang w:val="en-US" w:eastAsia="zh-CN"/>
        </w:rPr>
        <w:t>4789.3</w:t>
      </w:r>
      <w:r>
        <w:rPr>
          <w:rFonts w:hint="eastAsia" w:ascii="仿宋" w:hAnsi="仿宋" w:eastAsia="仿宋" w:cs="仿宋"/>
          <w:sz w:val="28"/>
          <w:szCs w:val="28"/>
        </w:rPr>
        <w:t>检测方法进行理化指标检测，具体理化检测指标、检测结果及检测方法见表</w:t>
      </w:r>
      <w:r>
        <w:rPr>
          <w:rFonts w:hint="eastAsia" w:ascii="仿宋" w:hAnsi="仿宋" w:eastAsia="仿宋" w:cs="仿宋"/>
          <w:sz w:val="28"/>
          <w:szCs w:val="28"/>
          <w:lang w:val="en-US" w:eastAsia="zh-CN"/>
        </w:rPr>
        <w:t>1</w:t>
      </w:r>
      <w:r>
        <w:rPr>
          <w:rFonts w:hint="eastAsia" w:ascii="仿宋" w:hAnsi="仿宋" w:eastAsia="仿宋" w:cs="仿宋"/>
          <w:sz w:val="28"/>
          <w:szCs w:val="28"/>
        </w:rPr>
        <w:t>。</w:t>
      </w:r>
    </w:p>
    <w:p>
      <w:pPr>
        <w:pStyle w:val="20"/>
        <w:spacing w:before="156" w:after="156"/>
        <w:rPr>
          <w:rFonts w:hint="eastAsia" w:ascii="仿宋" w:hAnsi="仿宋" w:eastAsia="仿宋" w:cs="仿宋"/>
          <w:sz w:val="28"/>
          <w:szCs w:val="28"/>
        </w:rPr>
      </w:pPr>
      <w:r>
        <w:rPr>
          <w:rFonts w:hint="eastAsia" w:ascii="仿宋" w:hAnsi="仿宋" w:eastAsia="仿宋" w:cs="仿宋"/>
          <w:sz w:val="28"/>
          <w:szCs w:val="28"/>
        </w:rPr>
        <w:t>灯笼红辣椒理化指标、检测方法及检测结果</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2"/>
        <w:gridCol w:w="1890"/>
        <w:gridCol w:w="3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2" w:type="dxa"/>
          </w:tcPr>
          <w:p>
            <w:pPr>
              <w:pStyle w:val="12"/>
              <w:spacing w:after="80"/>
              <w:ind w:firstLine="420"/>
              <w:jc w:val="center"/>
              <w:rPr>
                <w:rFonts w:hint="eastAsia" w:ascii="仿宋" w:hAnsi="仿宋" w:eastAsia="仿宋" w:cs="仿宋"/>
                <w:kern w:val="0"/>
                <w:sz w:val="28"/>
                <w:szCs w:val="28"/>
              </w:rPr>
            </w:pPr>
            <w:r>
              <w:rPr>
                <w:rFonts w:hint="eastAsia" w:ascii="仿宋" w:hAnsi="仿宋" w:eastAsia="仿宋" w:cs="仿宋"/>
                <w:kern w:val="0"/>
                <w:sz w:val="28"/>
                <w:szCs w:val="28"/>
              </w:rPr>
              <w:t>项目</w:t>
            </w:r>
          </w:p>
        </w:tc>
        <w:tc>
          <w:tcPr>
            <w:tcW w:w="1890" w:type="dxa"/>
          </w:tcPr>
          <w:p>
            <w:pPr>
              <w:pStyle w:val="12"/>
              <w:spacing w:after="80"/>
              <w:ind w:firstLine="420"/>
              <w:jc w:val="center"/>
              <w:rPr>
                <w:rFonts w:hint="eastAsia" w:ascii="仿宋" w:hAnsi="仿宋" w:eastAsia="仿宋" w:cs="仿宋"/>
                <w:kern w:val="0"/>
                <w:sz w:val="28"/>
                <w:szCs w:val="28"/>
              </w:rPr>
            </w:pPr>
            <w:r>
              <w:rPr>
                <w:rFonts w:hint="eastAsia" w:ascii="仿宋" w:hAnsi="仿宋" w:eastAsia="仿宋" w:cs="仿宋"/>
                <w:kern w:val="0"/>
                <w:sz w:val="28"/>
                <w:szCs w:val="28"/>
              </w:rPr>
              <w:t>指标</w:t>
            </w:r>
          </w:p>
        </w:tc>
        <w:tc>
          <w:tcPr>
            <w:tcW w:w="3525" w:type="dxa"/>
          </w:tcPr>
          <w:p>
            <w:pPr>
              <w:pStyle w:val="12"/>
              <w:spacing w:after="80"/>
              <w:ind w:firstLine="420"/>
              <w:jc w:val="center"/>
              <w:rPr>
                <w:rFonts w:hint="eastAsia" w:ascii="仿宋" w:hAnsi="仿宋" w:eastAsia="仿宋" w:cs="仿宋"/>
                <w:kern w:val="0"/>
                <w:sz w:val="28"/>
                <w:szCs w:val="28"/>
              </w:rPr>
            </w:pPr>
            <w:r>
              <w:rPr>
                <w:rFonts w:hint="eastAsia" w:ascii="仿宋" w:hAnsi="仿宋" w:eastAsia="仿宋" w:cs="仿宋"/>
                <w:kern w:val="0"/>
                <w:sz w:val="28"/>
                <w:szCs w:val="28"/>
              </w:rPr>
              <w:t>检验检测方法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2" w:type="dxa"/>
            <w:vAlign w:val="center"/>
          </w:tcPr>
          <w:p>
            <w:pPr>
              <w:spacing w:after="80"/>
              <w:jc w:val="center"/>
              <w:rPr>
                <w:rFonts w:hint="eastAsia" w:ascii="仿宋" w:hAnsi="仿宋" w:eastAsia="仿宋" w:cs="仿宋"/>
                <w:sz w:val="28"/>
                <w:szCs w:val="28"/>
              </w:rPr>
            </w:pPr>
            <w:r>
              <w:rPr>
                <w:rFonts w:hint="eastAsia" w:ascii="仿宋" w:hAnsi="仿宋" w:eastAsia="仿宋" w:cs="仿宋"/>
                <w:sz w:val="28"/>
                <w:szCs w:val="28"/>
              </w:rPr>
              <w:t>水分g/100g</w:t>
            </w:r>
          </w:p>
        </w:tc>
        <w:tc>
          <w:tcPr>
            <w:tcW w:w="1890" w:type="dxa"/>
            <w:vAlign w:val="center"/>
          </w:tcPr>
          <w:p>
            <w:pPr>
              <w:spacing w:after="80"/>
              <w:jc w:val="center"/>
              <w:rPr>
                <w:rFonts w:hint="eastAsia" w:ascii="仿宋" w:hAnsi="仿宋" w:eastAsia="仿宋" w:cs="仿宋"/>
                <w:sz w:val="28"/>
                <w:szCs w:val="28"/>
              </w:rPr>
            </w:pPr>
            <w:r>
              <w:rPr>
                <w:rFonts w:hint="eastAsia" w:ascii="仿宋" w:hAnsi="仿宋" w:eastAsia="仿宋" w:cs="仿宋"/>
                <w:sz w:val="28"/>
                <w:szCs w:val="28"/>
              </w:rPr>
              <w:t>7.18</w:t>
            </w:r>
          </w:p>
        </w:tc>
        <w:tc>
          <w:tcPr>
            <w:tcW w:w="3525" w:type="dxa"/>
            <w:vAlign w:val="center"/>
          </w:tcPr>
          <w:p>
            <w:pPr>
              <w:spacing w:after="80"/>
              <w:jc w:val="center"/>
              <w:rPr>
                <w:rFonts w:hint="eastAsia" w:ascii="仿宋" w:hAnsi="仿宋" w:eastAsia="仿宋" w:cs="仿宋"/>
                <w:sz w:val="28"/>
                <w:szCs w:val="28"/>
              </w:rPr>
            </w:pPr>
            <w:r>
              <w:rPr>
                <w:rFonts w:hint="eastAsia" w:ascii="仿宋" w:hAnsi="仿宋" w:eastAsia="仿宋" w:cs="仿宋"/>
                <w:sz w:val="28"/>
                <w:szCs w:val="28"/>
              </w:rPr>
              <w:t>GB5009.3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2" w:type="dxa"/>
            <w:vAlign w:val="center"/>
          </w:tcPr>
          <w:p>
            <w:pPr>
              <w:spacing w:after="80"/>
              <w:jc w:val="center"/>
              <w:rPr>
                <w:rFonts w:hint="eastAsia" w:ascii="仿宋" w:hAnsi="仿宋" w:eastAsia="仿宋" w:cs="仿宋"/>
                <w:sz w:val="28"/>
                <w:szCs w:val="28"/>
              </w:rPr>
            </w:pPr>
            <w:r>
              <w:rPr>
                <w:rFonts w:hint="eastAsia" w:ascii="仿宋" w:hAnsi="仿宋" w:eastAsia="仿宋" w:cs="仿宋"/>
                <w:sz w:val="28"/>
                <w:szCs w:val="28"/>
              </w:rPr>
              <w:t>总灰分g/100g</w:t>
            </w:r>
          </w:p>
        </w:tc>
        <w:tc>
          <w:tcPr>
            <w:tcW w:w="1890" w:type="dxa"/>
            <w:vAlign w:val="center"/>
          </w:tcPr>
          <w:p>
            <w:pPr>
              <w:spacing w:after="80"/>
              <w:jc w:val="center"/>
              <w:rPr>
                <w:rFonts w:hint="eastAsia" w:ascii="仿宋" w:hAnsi="仿宋" w:eastAsia="仿宋" w:cs="仿宋"/>
                <w:sz w:val="28"/>
                <w:szCs w:val="28"/>
              </w:rPr>
            </w:pPr>
            <w:r>
              <w:rPr>
                <w:rFonts w:hint="eastAsia" w:ascii="仿宋" w:hAnsi="仿宋" w:eastAsia="仿宋" w:cs="仿宋"/>
                <w:sz w:val="28"/>
                <w:szCs w:val="28"/>
              </w:rPr>
              <w:t>6.3</w:t>
            </w:r>
          </w:p>
        </w:tc>
        <w:tc>
          <w:tcPr>
            <w:tcW w:w="3525" w:type="dxa"/>
            <w:vAlign w:val="center"/>
          </w:tcPr>
          <w:p>
            <w:pPr>
              <w:spacing w:after="80"/>
              <w:jc w:val="center"/>
              <w:rPr>
                <w:rFonts w:hint="eastAsia" w:ascii="仿宋" w:hAnsi="仿宋" w:eastAsia="仿宋" w:cs="仿宋"/>
                <w:sz w:val="28"/>
                <w:szCs w:val="28"/>
              </w:rPr>
            </w:pPr>
            <w:r>
              <w:rPr>
                <w:rFonts w:hint="eastAsia" w:ascii="仿宋" w:hAnsi="仿宋" w:eastAsia="仿宋" w:cs="仿宋"/>
                <w:sz w:val="28"/>
                <w:szCs w:val="28"/>
              </w:rPr>
              <w:t>GB5009.4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2" w:type="dxa"/>
            <w:vAlign w:val="center"/>
          </w:tcPr>
          <w:p>
            <w:pPr>
              <w:spacing w:after="80"/>
              <w:jc w:val="center"/>
              <w:rPr>
                <w:rFonts w:hint="eastAsia" w:ascii="仿宋" w:hAnsi="仿宋" w:eastAsia="仿宋" w:cs="仿宋"/>
                <w:sz w:val="28"/>
                <w:szCs w:val="28"/>
              </w:rPr>
            </w:pPr>
            <w:r>
              <w:rPr>
                <w:rFonts w:hint="eastAsia" w:ascii="仿宋" w:hAnsi="仿宋" w:eastAsia="仿宋" w:cs="仿宋"/>
                <w:sz w:val="28"/>
                <w:szCs w:val="28"/>
              </w:rPr>
              <w:t>蛋白质(g/100)</w:t>
            </w:r>
          </w:p>
        </w:tc>
        <w:tc>
          <w:tcPr>
            <w:tcW w:w="1890" w:type="dxa"/>
            <w:vAlign w:val="center"/>
          </w:tcPr>
          <w:p>
            <w:pPr>
              <w:spacing w:after="80"/>
              <w:jc w:val="center"/>
              <w:rPr>
                <w:rFonts w:hint="eastAsia" w:ascii="仿宋" w:hAnsi="仿宋" w:eastAsia="仿宋" w:cs="仿宋"/>
                <w:sz w:val="28"/>
                <w:szCs w:val="28"/>
              </w:rPr>
            </w:pPr>
            <w:r>
              <w:rPr>
                <w:rFonts w:hint="eastAsia" w:ascii="仿宋" w:hAnsi="仿宋" w:eastAsia="仿宋" w:cs="仿宋"/>
                <w:sz w:val="28"/>
                <w:szCs w:val="28"/>
              </w:rPr>
              <w:t>13.0</w:t>
            </w:r>
          </w:p>
        </w:tc>
        <w:tc>
          <w:tcPr>
            <w:tcW w:w="3525" w:type="dxa"/>
            <w:vAlign w:val="center"/>
          </w:tcPr>
          <w:p>
            <w:pPr>
              <w:spacing w:after="80"/>
              <w:jc w:val="center"/>
              <w:rPr>
                <w:rFonts w:hint="eastAsia" w:ascii="仿宋" w:hAnsi="仿宋" w:eastAsia="仿宋" w:cs="仿宋"/>
                <w:sz w:val="28"/>
                <w:szCs w:val="28"/>
              </w:rPr>
            </w:pPr>
            <w:r>
              <w:rPr>
                <w:rFonts w:hint="eastAsia" w:ascii="仿宋" w:hAnsi="仿宋" w:eastAsia="仿宋" w:cs="仿宋"/>
                <w:sz w:val="28"/>
                <w:szCs w:val="28"/>
              </w:rPr>
              <w:t>GB 5009.5和GB 28050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2" w:type="dxa"/>
            <w:vAlign w:val="center"/>
          </w:tcPr>
          <w:p>
            <w:pPr>
              <w:spacing w:after="80"/>
              <w:jc w:val="center"/>
              <w:rPr>
                <w:rFonts w:hint="eastAsia" w:ascii="仿宋" w:hAnsi="仿宋" w:eastAsia="仿宋" w:cs="仿宋"/>
                <w:sz w:val="28"/>
                <w:szCs w:val="28"/>
              </w:rPr>
            </w:pPr>
            <w:r>
              <w:rPr>
                <w:rFonts w:hint="eastAsia" w:ascii="仿宋" w:hAnsi="仿宋" w:eastAsia="仿宋" w:cs="仿宋"/>
                <w:sz w:val="28"/>
                <w:szCs w:val="28"/>
              </w:rPr>
              <w:t>大肠杆菌MPN/g</w:t>
            </w:r>
          </w:p>
        </w:tc>
        <w:tc>
          <w:tcPr>
            <w:tcW w:w="1890" w:type="dxa"/>
            <w:vAlign w:val="center"/>
          </w:tcPr>
          <w:p>
            <w:pPr>
              <w:spacing w:after="80"/>
              <w:jc w:val="center"/>
              <w:rPr>
                <w:rFonts w:hint="eastAsia" w:ascii="仿宋" w:hAnsi="仿宋" w:eastAsia="仿宋" w:cs="仿宋"/>
                <w:sz w:val="28"/>
                <w:szCs w:val="28"/>
              </w:rPr>
            </w:pPr>
            <w:r>
              <w:rPr>
                <w:rFonts w:hint="eastAsia" w:ascii="仿宋" w:hAnsi="仿宋" w:eastAsia="仿宋" w:cs="仿宋"/>
                <w:sz w:val="28"/>
                <w:szCs w:val="28"/>
              </w:rPr>
              <w:t>＜0.3</w:t>
            </w:r>
          </w:p>
        </w:tc>
        <w:tc>
          <w:tcPr>
            <w:tcW w:w="3525" w:type="dxa"/>
            <w:vAlign w:val="center"/>
          </w:tcPr>
          <w:p>
            <w:pPr>
              <w:spacing w:after="80"/>
              <w:jc w:val="center"/>
              <w:rPr>
                <w:rFonts w:hint="eastAsia" w:ascii="仿宋" w:hAnsi="仿宋" w:eastAsia="仿宋" w:cs="仿宋"/>
                <w:sz w:val="28"/>
                <w:szCs w:val="28"/>
              </w:rPr>
            </w:pPr>
            <w:r>
              <w:rPr>
                <w:rFonts w:hint="eastAsia" w:ascii="仿宋" w:hAnsi="仿宋" w:eastAsia="仿宋" w:cs="仿宋"/>
                <w:sz w:val="28"/>
                <w:szCs w:val="28"/>
              </w:rPr>
              <w:t xml:space="preserve">GB </w:t>
            </w:r>
            <w:r>
              <w:rPr>
                <w:rFonts w:hint="eastAsia" w:ascii="仿宋" w:hAnsi="仿宋" w:eastAsia="仿宋" w:cs="仿宋"/>
                <w:sz w:val="28"/>
                <w:szCs w:val="28"/>
                <w:lang w:val="en-US" w:eastAsia="zh-CN"/>
              </w:rPr>
              <w:t>4789.3</w:t>
            </w:r>
          </w:p>
        </w:tc>
      </w:tr>
    </w:tbl>
    <w:p>
      <w:pPr>
        <w:spacing w:line="440" w:lineRule="exact"/>
        <w:ind w:firstLine="562" w:firstLineChars="200"/>
        <w:rPr>
          <w:rFonts w:hint="eastAsia" w:ascii="仿宋" w:hAnsi="仿宋" w:eastAsia="仿宋" w:cs="仿宋"/>
          <w:color w:val="FF0000"/>
          <w:sz w:val="28"/>
          <w:szCs w:val="28"/>
          <w:lang w:val="en-US" w:eastAsia="zh-CN"/>
        </w:rPr>
      </w:pPr>
      <w:r>
        <w:rPr>
          <w:rFonts w:hint="eastAsia" w:ascii="仿宋" w:hAnsi="仿宋" w:eastAsia="仿宋" w:cs="仿宋"/>
          <w:b/>
          <w:sz w:val="28"/>
          <w:szCs w:val="28"/>
        </w:rPr>
        <w:t>试验论证</w:t>
      </w:r>
      <w:r>
        <w:rPr>
          <w:rFonts w:hint="eastAsia" w:ascii="仿宋" w:hAnsi="仿宋" w:eastAsia="仿宋" w:cs="仿宋"/>
          <w:b/>
          <w:sz w:val="28"/>
          <w:szCs w:val="28"/>
          <w:lang w:val="en-US" w:eastAsia="zh-CN"/>
        </w:rPr>
        <w:t>:</w:t>
      </w:r>
    </w:p>
    <w:p>
      <w:pPr>
        <w:spacing w:line="440" w:lineRule="exact"/>
        <w:ind w:firstLine="560" w:firstLineChars="200"/>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本标准</w:t>
      </w:r>
      <w:r>
        <w:rPr>
          <w:rFonts w:hint="eastAsia" w:ascii="仿宋" w:hAnsi="仿宋" w:eastAsia="仿宋" w:cs="仿宋"/>
          <w:color w:val="000000" w:themeColor="text1"/>
          <w:sz w:val="28"/>
          <w:szCs w:val="28"/>
          <w:lang w:eastAsia="zh-CN"/>
          <w14:textFill>
            <w14:solidFill>
              <w14:schemeClr w14:val="tx1"/>
            </w14:solidFill>
          </w14:textFill>
        </w:rPr>
        <w:t>制定单位选择了绿色食品生产单位一个基地。按标准进行种植试验，试验结果表面采用本标准的主要技术条款，产量和效益显著增加。因此，本标准规定的主要技术指标和参数，符合灯笼红辣椒生长发育的生理特性，其科学性实用性强，适合推广。</w:t>
      </w:r>
    </w:p>
    <w:p>
      <w:pPr>
        <w:spacing w:line="440" w:lineRule="exact"/>
        <w:ind w:firstLine="280" w:firstLineChars="100"/>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drawing>
          <wp:anchor distT="0" distB="0" distL="114300" distR="114300" simplePos="0" relativeHeight="251659264" behindDoc="0" locked="0" layoutInCell="1" allowOverlap="1">
            <wp:simplePos x="0" y="0"/>
            <wp:positionH relativeFrom="column">
              <wp:posOffset>44450</wp:posOffset>
            </wp:positionH>
            <wp:positionV relativeFrom="paragraph">
              <wp:posOffset>142875</wp:posOffset>
            </wp:positionV>
            <wp:extent cx="5274310" cy="3997325"/>
            <wp:effectExtent l="0" t="0" r="2540" b="3175"/>
            <wp:wrapSquare wrapText="bothSides"/>
            <wp:docPr id="1" name="图片 1" descr="辣椒种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辣椒种植2"/>
                    <pic:cNvPicPr>
                      <a:picLocks noChangeAspect="1"/>
                    </pic:cNvPicPr>
                  </pic:nvPicPr>
                  <pic:blipFill>
                    <a:blip r:embed="rId4"/>
                    <a:stretch>
                      <a:fillRect/>
                    </a:stretch>
                  </pic:blipFill>
                  <pic:spPr>
                    <a:xfrm>
                      <a:off x="0" y="0"/>
                      <a:ext cx="5274310" cy="3997325"/>
                    </a:xfrm>
                    <a:prstGeom prst="rect">
                      <a:avLst/>
                    </a:prstGeom>
                  </pic:spPr>
                </pic:pic>
              </a:graphicData>
            </a:graphic>
          </wp:anchor>
        </w:drawing>
      </w:r>
    </w:p>
    <w:p>
      <w:pPr>
        <w:spacing w:line="440" w:lineRule="exact"/>
        <w:ind w:firstLine="280" w:firstLineChars="100"/>
        <w:jc w:val="center"/>
        <w:rPr>
          <w:rFonts w:hint="eastAsia" w:ascii="仿宋" w:hAnsi="仿宋" w:eastAsia="仿宋" w:cs="仿宋"/>
          <w:sz w:val="28"/>
          <w:szCs w:val="28"/>
          <w:lang w:val="en-US" w:eastAsia="zh-CN"/>
        </w:rPr>
      </w:pPr>
      <w:r>
        <w:rPr>
          <w:rFonts w:hint="eastAsia" w:ascii="仿宋" w:hAnsi="仿宋" w:eastAsia="仿宋" w:cs="仿宋"/>
          <w:sz w:val="28"/>
          <w:szCs w:val="28"/>
          <w:lang w:eastAsia="zh-CN"/>
        </w:rPr>
        <w:t>图</w:t>
      </w:r>
      <w:r>
        <w:rPr>
          <w:rFonts w:hint="eastAsia" w:ascii="仿宋" w:hAnsi="仿宋" w:eastAsia="仿宋" w:cs="仿宋"/>
          <w:sz w:val="28"/>
          <w:szCs w:val="28"/>
          <w:lang w:val="en-US" w:eastAsia="zh-CN"/>
        </w:rPr>
        <w:t>1 灯笼红辣椒定植照片</w:t>
      </w:r>
    </w:p>
    <w:p>
      <w:pPr>
        <w:spacing w:line="440" w:lineRule="exact"/>
        <w:ind w:firstLine="280" w:firstLineChars="100"/>
        <w:rPr>
          <w:rFonts w:hint="eastAsia" w:ascii="仿宋" w:hAnsi="仿宋" w:eastAsia="仿宋" w:cs="仿宋"/>
          <w:color w:val="000000" w:themeColor="text1"/>
          <w:sz w:val="28"/>
          <w:szCs w:val="28"/>
          <w:lang w:eastAsia="zh-CN"/>
          <w14:textFill>
            <w14:solidFill>
              <w14:schemeClr w14:val="tx1"/>
            </w14:solidFill>
          </w14:textFill>
        </w:rPr>
      </w:pPr>
      <w:r>
        <w:rPr>
          <w:rFonts w:hint="default" w:ascii="仿宋" w:hAnsi="仿宋" w:eastAsia="仿宋" w:cs="仿宋"/>
          <w:sz w:val="28"/>
          <w:szCs w:val="28"/>
          <w:lang w:val="en-US" w:eastAsia="zh-CN"/>
        </w:rPr>
        <w:drawing>
          <wp:anchor distT="0" distB="0" distL="114300" distR="114300" simplePos="0" relativeHeight="251660288" behindDoc="0" locked="0" layoutInCell="1" allowOverlap="1">
            <wp:simplePos x="0" y="0"/>
            <wp:positionH relativeFrom="column">
              <wp:posOffset>44450</wp:posOffset>
            </wp:positionH>
            <wp:positionV relativeFrom="paragraph">
              <wp:posOffset>33020</wp:posOffset>
            </wp:positionV>
            <wp:extent cx="5266690" cy="3712210"/>
            <wp:effectExtent l="0" t="0" r="10160" b="2540"/>
            <wp:wrapSquare wrapText="bothSides"/>
            <wp:docPr id="2" name="图片 2" descr="专家指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专家指导"/>
                    <pic:cNvPicPr>
                      <a:picLocks noChangeAspect="1"/>
                    </pic:cNvPicPr>
                  </pic:nvPicPr>
                  <pic:blipFill>
                    <a:blip r:embed="rId5"/>
                    <a:stretch>
                      <a:fillRect/>
                    </a:stretch>
                  </pic:blipFill>
                  <pic:spPr>
                    <a:xfrm>
                      <a:off x="0" y="0"/>
                      <a:ext cx="5266690" cy="3712210"/>
                    </a:xfrm>
                    <a:prstGeom prst="rect">
                      <a:avLst/>
                    </a:prstGeom>
                  </pic:spPr>
                </pic:pic>
              </a:graphicData>
            </a:graphic>
          </wp:anchor>
        </w:drawing>
      </w:r>
    </w:p>
    <w:p>
      <w:pPr>
        <w:pStyle w:val="19"/>
        <w:numPr>
          <w:ilvl w:val="0"/>
          <w:numId w:val="0"/>
        </w:numPr>
        <w:ind w:firstLine="280" w:firstLineChars="100"/>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图2为现场指导田间管理</w:t>
      </w:r>
    </w:p>
    <w:p>
      <w:pPr>
        <w:spacing w:line="440" w:lineRule="exact"/>
        <w:ind w:firstLine="280" w:firstLineChars="100"/>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drawing>
          <wp:anchor distT="0" distB="0" distL="114300" distR="114300" simplePos="0" relativeHeight="251661312" behindDoc="0" locked="0" layoutInCell="1" allowOverlap="1">
            <wp:simplePos x="0" y="0"/>
            <wp:positionH relativeFrom="column">
              <wp:posOffset>50800</wp:posOffset>
            </wp:positionH>
            <wp:positionV relativeFrom="paragraph">
              <wp:posOffset>27305</wp:posOffset>
            </wp:positionV>
            <wp:extent cx="5266690" cy="3291840"/>
            <wp:effectExtent l="0" t="0" r="10160" b="3810"/>
            <wp:wrapSquare wrapText="bothSides"/>
            <wp:docPr id="5" name="图片 5" descr="测产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测产照片"/>
                    <pic:cNvPicPr>
                      <a:picLocks noChangeAspect="1"/>
                    </pic:cNvPicPr>
                  </pic:nvPicPr>
                  <pic:blipFill>
                    <a:blip r:embed="rId6"/>
                    <a:stretch>
                      <a:fillRect/>
                    </a:stretch>
                  </pic:blipFill>
                  <pic:spPr>
                    <a:xfrm>
                      <a:off x="0" y="0"/>
                      <a:ext cx="5266690" cy="3291840"/>
                    </a:xfrm>
                    <a:prstGeom prst="rect">
                      <a:avLst/>
                    </a:prstGeom>
                  </pic:spPr>
                </pic:pic>
              </a:graphicData>
            </a:graphic>
          </wp:anchor>
        </w:drawing>
      </w:r>
    </w:p>
    <w:p>
      <w:pPr>
        <w:spacing w:line="440" w:lineRule="exact"/>
        <w:ind w:firstLine="280" w:firstLineChars="100"/>
        <w:jc w:val="center"/>
        <w:rPr>
          <w:rFonts w:hint="default"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图</w:t>
      </w:r>
      <w:r>
        <w:rPr>
          <w:rFonts w:hint="eastAsia" w:ascii="仿宋" w:hAnsi="仿宋" w:eastAsia="仿宋" w:cs="仿宋"/>
          <w:color w:val="000000" w:themeColor="text1"/>
          <w:sz w:val="28"/>
          <w:szCs w:val="28"/>
          <w:lang w:val="en-US" w:eastAsia="zh-CN"/>
          <w14:textFill>
            <w14:solidFill>
              <w14:schemeClr w14:val="tx1"/>
            </w14:solidFill>
          </w14:textFill>
        </w:rPr>
        <w:t>3 灯笼红辣椒测产照片</w:t>
      </w:r>
    </w:p>
    <w:p>
      <w:pPr>
        <w:spacing w:line="440" w:lineRule="exact"/>
        <w:ind w:firstLine="280" w:firstLineChars="100"/>
        <w:rPr>
          <w:rFonts w:hint="eastAsia" w:ascii="仿宋" w:hAnsi="仿宋" w:eastAsia="仿宋" w:cs="仿宋"/>
          <w:color w:val="000000" w:themeColor="text1"/>
          <w:sz w:val="28"/>
          <w:szCs w:val="28"/>
          <w:lang w:eastAsia="zh-CN"/>
          <w14:textFill>
            <w14:solidFill>
              <w14:schemeClr w14:val="tx1"/>
            </w14:solidFill>
          </w14:textFill>
        </w:rPr>
      </w:pPr>
    </w:p>
    <w:p>
      <w:pPr>
        <w:spacing w:line="440" w:lineRule="exact"/>
        <w:ind w:firstLine="280" w:firstLineChars="100"/>
        <w:rPr>
          <w:rFonts w:hint="eastAsia" w:ascii="仿宋" w:hAnsi="仿宋" w:eastAsia="仿宋" w:cs="仿宋"/>
          <w:color w:val="000000" w:themeColor="text1"/>
          <w:sz w:val="28"/>
          <w:szCs w:val="28"/>
          <w:lang w:eastAsia="zh-CN"/>
          <w14:textFill>
            <w14:solidFill>
              <w14:schemeClr w14:val="tx1"/>
            </w14:solidFill>
          </w14:textFill>
        </w:rPr>
      </w:pPr>
      <w:r>
        <w:rPr>
          <w:rFonts w:hint="default" w:ascii="仿宋" w:hAnsi="仿宋" w:eastAsia="仿宋" w:cs="仿宋"/>
          <w:color w:val="000000" w:themeColor="text1"/>
          <w:sz w:val="28"/>
          <w:szCs w:val="28"/>
          <w:lang w:val="en-US" w:eastAsia="zh-CN"/>
          <w14:textFill>
            <w14:solidFill>
              <w14:schemeClr w14:val="tx1"/>
            </w14:solidFill>
          </w14:textFill>
        </w:rPr>
        <w:drawing>
          <wp:anchor distT="0" distB="0" distL="114300" distR="114300" simplePos="0" relativeHeight="251662336" behindDoc="0" locked="0" layoutInCell="1" allowOverlap="1">
            <wp:simplePos x="0" y="0"/>
            <wp:positionH relativeFrom="column">
              <wp:posOffset>73025</wp:posOffset>
            </wp:positionH>
            <wp:positionV relativeFrom="paragraph">
              <wp:posOffset>219075</wp:posOffset>
            </wp:positionV>
            <wp:extent cx="5266690" cy="7439660"/>
            <wp:effectExtent l="0" t="0" r="10160" b="8890"/>
            <wp:wrapSquare wrapText="bothSides"/>
            <wp:docPr id="4" name="图片 4" descr="测产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测产表"/>
                    <pic:cNvPicPr>
                      <a:picLocks noChangeAspect="1"/>
                    </pic:cNvPicPr>
                  </pic:nvPicPr>
                  <pic:blipFill>
                    <a:blip r:embed="rId7"/>
                    <a:stretch>
                      <a:fillRect/>
                    </a:stretch>
                  </pic:blipFill>
                  <pic:spPr>
                    <a:xfrm>
                      <a:off x="0" y="0"/>
                      <a:ext cx="5266690" cy="7439660"/>
                    </a:xfrm>
                    <a:prstGeom prst="rect">
                      <a:avLst/>
                    </a:prstGeom>
                  </pic:spPr>
                </pic:pic>
              </a:graphicData>
            </a:graphic>
          </wp:anchor>
        </w:drawing>
      </w:r>
    </w:p>
    <w:p>
      <w:pPr>
        <w:spacing w:line="440" w:lineRule="exact"/>
        <w:ind w:firstLine="560" w:firstLineChars="200"/>
        <w:jc w:val="center"/>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图</w:t>
      </w:r>
      <w:r>
        <w:rPr>
          <w:rFonts w:hint="eastAsia" w:ascii="仿宋" w:hAnsi="仿宋" w:eastAsia="仿宋" w:cs="仿宋"/>
          <w:color w:val="000000" w:themeColor="text1"/>
          <w:sz w:val="28"/>
          <w:szCs w:val="28"/>
          <w:lang w:val="en-US" w:eastAsia="zh-CN"/>
          <w14:textFill>
            <w14:solidFill>
              <w14:schemeClr w14:val="tx1"/>
            </w14:solidFill>
          </w14:textFill>
        </w:rPr>
        <w:t>4 专家测产结果</w:t>
      </w:r>
    </w:p>
    <w:p>
      <w:pPr>
        <w:spacing w:line="440" w:lineRule="exact"/>
        <w:ind w:firstLine="280" w:firstLineChars="100"/>
        <w:rPr>
          <w:rFonts w:hint="eastAsia" w:ascii="仿宋" w:hAnsi="仿宋" w:eastAsia="仿宋" w:cs="仿宋"/>
          <w:color w:val="000000" w:themeColor="text1"/>
          <w:sz w:val="28"/>
          <w:szCs w:val="28"/>
          <w:lang w:eastAsia="zh-CN"/>
          <w14:textFill>
            <w14:solidFill>
              <w14:schemeClr w14:val="tx1"/>
            </w14:solidFill>
          </w14:textFill>
        </w:rPr>
      </w:pPr>
    </w:p>
    <w:p>
      <w:pPr>
        <w:spacing w:line="440" w:lineRule="exact"/>
        <w:ind w:firstLine="280" w:firstLineChars="100"/>
        <w:rPr>
          <w:rFonts w:hint="eastAsia" w:ascii="仿宋" w:hAnsi="仿宋" w:eastAsia="仿宋" w:cs="仿宋"/>
          <w:color w:val="000000" w:themeColor="text1"/>
          <w:sz w:val="28"/>
          <w:szCs w:val="28"/>
          <w:lang w:eastAsia="zh-CN"/>
          <w14:textFill>
            <w14:solidFill>
              <w14:schemeClr w14:val="tx1"/>
            </w14:solidFill>
          </w14:textFill>
        </w:rPr>
      </w:pPr>
    </w:p>
    <w:p>
      <w:pPr>
        <w:rPr>
          <w:rFonts w:hint="eastAsia" w:ascii="仿宋" w:hAnsi="仿宋" w:eastAsia="仿宋" w:cs="仿宋"/>
          <w:b/>
          <w:sz w:val="28"/>
          <w:szCs w:val="28"/>
        </w:rPr>
      </w:pPr>
      <w:r>
        <w:rPr>
          <w:rFonts w:hint="eastAsia" w:ascii="仿宋" w:hAnsi="仿宋" w:eastAsia="仿宋" w:cs="仿宋"/>
          <w:b/>
          <w:sz w:val="28"/>
          <w:szCs w:val="28"/>
        </w:rPr>
        <w:t>六、重大意见分歧的处理依据和结果</w:t>
      </w:r>
    </w:p>
    <w:p>
      <w:pPr>
        <w:spacing w:line="48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本文件在编写过程中没有重大意见分歧。</w:t>
      </w:r>
    </w:p>
    <w:p>
      <w:pPr>
        <w:rPr>
          <w:rFonts w:hint="eastAsia" w:ascii="仿宋" w:hAnsi="仿宋" w:eastAsia="仿宋" w:cs="仿宋"/>
          <w:b/>
          <w:sz w:val="28"/>
          <w:szCs w:val="28"/>
        </w:rPr>
      </w:pPr>
      <w:r>
        <w:rPr>
          <w:rFonts w:hint="eastAsia" w:ascii="仿宋" w:hAnsi="仿宋" w:eastAsia="仿宋" w:cs="仿宋"/>
          <w:b/>
          <w:sz w:val="28"/>
          <w:szCs w:val="28"/>
        </w:rPr>
        <w:t>七、采用国际标准或国外先进标准的，说明采标程度，以及国内外同类标准水平的对比情况</w:t>
      </w:r>
    </w:p>
    <w:p>
      <w:pPr>
        <w:spacing w:line="48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本文件未采用国际标准或国外先进标准。</w:t>
      </w:r>
    </w:p>
    <w:p>
      <w:pPr>
        <w:rPr>
          <w:rFonts w:hint="eastAsia" w:ascii="仿宋" w:hAnsi="仿宋" w:eastAsia="仿宋" w:cs="仿宋"/>
          <w:b/>
          <w:sz w:val="28"/>
          <w:szCs w:val="28"/>
        </w:rPr>
      </w:pPr>
      <w:r>
        <w:rPr>
          <w:rFonts w:hint="eastAsia" w:ascii="仿宋" w:hAnsi="仿宋" w:eastAsia="仿宋" w:cs="仿宋"/>
          <w:b/>
          <w:sz w:val="28"/>
          <w:szCs w:val="28"/>
        </w:rPr>
        <w:t>八、其他应说明的事项</w:t>
      </w:r>
    </w:p>
    <w:p>
      <w:pPr>
        <w:spacing w:line="48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无 。</w:t>
      </w:r>
    </w:p>
    <w:p>
      <w:pPr>
        <w:rPr>
          <w:rFonts w:hint="eastAsia" w:ascii="仿宋" w:hAnsi="仿宋" w:eastAsia="仿宋" w:cs="仿宋"/>
          <w:b/>
          <w:sz w:val="28"/>
          <w:szCs w:val="28"/>
        </w:rPr>
      </w:pPr>
      <w:r>
        <w:rPr>
          <w:rFonts w:hint="eastAsia" w:ascii="仿宋" w:hAnsi="仿宋" w:eastAsia="仿宋" w:cs="仿宋"/>
          <w:b/>
          <w:sz w:val="28"/>
          <w:szCs w:val="28"/>
        </w:rPr>
        <w:t>九、征求意见说明</w:t>
      </w:r>
    </w:p>
    <w:p>
      <w:pPr>
        <w:jc w:val="center"/>
        <w:rPr>
          <w:rFonts w:hint="eastAsia" w:ascii="仿宋" w:hAnsi="仿宋" w:eastAsia="仿宋" w:cs="仿宋"/>
          <w:bCs/>
          <w:sz w:val="28"/>
          <w:szCs w:val="28"/>
        </w:rPr>
      </w:pPr>
      <w:r>
        <w:rPr>
          <w:rFonts w:hint="eastAsia" w:ascii="仿宋" w:hAnsi="仿宋" w:eastAsia="仿宋" w:cs="仿宋"/>
          <w:bCs/>
          <w:sz w:val="28"/>
          <w:szCs w:val="28"/>
        </w:rPr>
        <w:t>《</w:t>
      </w:r>
      <w:r>
        <w:rPr>
          <w:rFonts w:hint="eastAsia" w:ascii="仿宋" w:hAnsi="仿宋" w:eastAsia="仿宋" w:cs="仿宋"/>
          <w:bCs/>
          <w:sz w:val="28"/>
          <w:szCs w:val="28"/>
          <w:lang w:eastAsia="zh-CN"/>
        </w:rPr>
        <w:t>托县“灯笼红”辣椒露地覆膜栽培技术规程</w:t>
      </w:r>
      <w:r>
        <w:rPr>
          <w:rFonts w:hint="eastAsia" w:ascii="仿宋" w:hAnsi="仿宋" w:eastAsia="仿宋" w:cs="仿宋"/>
          <w:bCs/>
          <w:sz w:val="28"/>
          <w:szCs w:val="28"/>
        </w:rPr>
        <w:t>》征求意见汇总表</w:t>
      </w:r>
    </w:p>
    <w:p>
      <w:pPr>
        <w:jc w:val="left"/>
        <w:rPr>
          <w:rFonts w:hint="eastAsia" w:ascii="仿宋" w:hAnsi="仿宋" w:eastAsia="仿宋" w:cs="仿宋"/>
          <w:sz w:val="28"/>
          <w:szCs w:val="28"/>
          <w:lang w:eastAsia="zh-CN"/>
        </w:rPr>
      </w:pPr>
      <w:r>
        <w:rPr>
          <w:rFonts w:hint="eastAsia" w:ascii="仿宋" w:hAnsi="仿宋" w:eastAsia="仿宋" w:cs="仿宋"/>
          <w:sz w:val="28"/>
          <w:szCs w:val="28"/>
        </w:rPr>
        <w:t>起草单位：</w:t>
      </w:r>
      <w:r>
        <w:rPr>
          <w:rFonts w:hint="eastAsia" w:ascii="仿宋" w:hAnsi="仿宋" w:eastAsia="仿宋" w:cs="仿宋"/>
          <w:sz w:val="28"/>
          <w:szCs w:val="28"/>
          <w:lang w:eastAsia="zh-CN"/>
        </w:rPr>
        <w:t>托克托县农畜产品质量安全中心</w:t>
      </w:r>
    </w:p>
    <w:p>
      <w:pPr>
        <w:spacing w:line="360" w:lineRule="exact"/>
        <w:jc w:val="left"/>
        <w:rPr>
          <w:rFonts w:hint="eastAsia" w:ascii="仿宋" w:hAnsi="仿宋" w:eastAsia="仿宋" w:cs="仿宋"/>
          <w:sz w:val="28"/>
          <w:szCs w:val="28"/>
          <w:lang w:eastAsia="zh-CN"/>
        </w:rPr>
      </w:pPr>
      <w:r>
        <w:rPr>
          <w:rFonts w:hint="eastAsia" w:ascii="仿宋" w:hAnsi="仿宋" w:eastAsia="仿宋" w:cs="仿宋"/>
          <w:sz w:val="28"/>
          <w:szCs w:val="28"/>
        </w:rPr>
        <w:t>联 系 人：</w:t>
      </w:r>
      <w:r>
        <w:rPr>
          <w:rFonts w:hint="eastAsia" w:ascii="仿宋" w:hAnsi="仿宋" w:eastAsia="仿宋" w:cs="仿宋"/>
          <w:sz w:val="28"/>
          <w:szCs w:val="28"/>
          <w:lang w:eastAsia="zh-CN"/>
        </w:rPr>
        <w:t>高新发</w:t>
      </w:r>
    </w:p>
    <w:p>
      <w:pPr>
        <w:spacing w:line="360" w:lineRule="exact"/>
        <w:jc w:val="left"/>
        <w:rPr>
          <w:rFonts w:hint="eastAsia" w:ascii="仿宋" w:hAnsi="仿宋" w:eastAsia="仿宋" w:cs="仿宋"/>
          <w:sz w:val="28"/>
          <w:szCs w:val="28"/>
          <w:lang w:val="en-US" w:eastAsia="zh-CN"/>
        </w:rPr>
      </w:pPr>
      <w:r>
        <w:rPr>
          <w:rFonts w:hint="eastAsia" w:ascii="仿宋" w:hAnsi="仿宋" w:eastAsia="仿宋" w:cs="仿宋"/>
          <w:sz w:val="28"/>
          <w:szCs w:val="28"/>
        </w:rPr>
        <w:t xml:space="preserve">联系电话： </w:t>
      </w:r>
      <w:r>
        <w:rPr>
          <w:rFonts w:hint="eastAsia" w:ascii="仿宋" w:hAnsi="仿宋" w:eastAsia="仿宋" w:cs="仿宋"/>
          <w:sz w:val="28"/>
          <w:szCs w:val="28"/>
          <w:lang w:val="en-US" w:eastAsia="zh-CN"/>
        </w:rPr>
        <w:t>13948812187</w:t>
      </w:r>
    </w:p>
    <w:tbl>
      <w:tblPr>
        <w:tblStyle w:val="4"/>
        <w:tblW w:w="9028" w:type="dxa"/>
        <w:tblInd w:w="-3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1417"/>
        <w:gridCol w:w="1843"/>
        <w:gridCol w:w="1843"/>
        <w:gridCol w:w="1275"/>
        <w:gridCol w:w="1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896" w:type="dxa"/>
            <w:vAlign w:val="center"/>
          </w:tcPr>
          <w:p>
            <w:pPr>
              <w:spacing w:line="400" w:lineRule="exact"/>
              <w:jc w:val="center"/>
              <w:rPr>
                <w:rFonts w:hint="eastAsia" w:ascii="仿宋" w:hAnsi="仿宋" w:eastAsia="仿宋" w:cs="仿宋"/>
                <w:b/>
                <w:bCs/>
                <w:sz w:val="28"/>
                <w:szCs w:val="28"/>
              </w:rPr>
            </w:pPr>
            <w:r>
              <w:rPr>
                <w:rFonts w:hint="eastAsia" w:ascii="仿宋" w:hAnsi="仿宋" w:eastAsia="仿宋" w:cs="仿宋"/>
                <w:b/>
                <w:bCs/>
                <w:sz w:val="28"/>
                <w:szCs w:val="28"/>
              </w:rPr>
              <w:t>序号</w:t>
            </w:r>
          </w:p>
        </w:tc>
        <w:tc>
          <w:tcPr>
            <w:tcW w:w="1417" w:type="dxa"/>
            <w:vAlign w:val="center"/>
          </w:tcPr>
          <w:p>
            <w:pPr>
              <w:spacing w:line="400" w:lineRule="exact"/>
              <w:jc w:val="center"/>
              <w:rPr>
                <w:rFonts w:hint="eastAsia" w:ascii="仿宋" w:hAnsi="仿宋" w:eastAsia="仿宋" w:cs="仿宋"/>
                <w:b/>
                <w:bCs/>
                <w:sz w:val="28"/>
                <w:szCs w:val="28"/>
              </w:rPr>
            </w:pPr>
            <w:r>
              <w:rPr>
                <w:rFonts w:hint="eastAsia" w:ascii="仿宋" w:hAnsi="仿宋" w:eastAsia="仿宋" w:cs="仿宋"/>
                <w:b/>
                <w:bCs/>
                <w:sz w:val="28"/>
                <w:szCs w:val="28"/>
              </w:rPr>
              <w:t>章节编号</w:t>
            </w:r>
          </w:p>
        </w:tc>
        <w:tc>
          <w:tcPr>
            <w:tcW w:w="1843" w:type="dxa"/>
            <w:vAlign w:val="center"/>
          </w:tcPr>
          <w:p>
            <w:pPr>
              <w:spacing w:line="400" w:lineRule="exact"/>
              <w:jc w:val="center"/>
              <w:rPr>
                <w:rFonts w:hint="eastAsia" w:ascii="仿宋" w:hAnsi="仿宋" w:eastAsia="仿宋" w:cs="仿宋"/>
                <w:b/>
                <w:bCs/>
                <w:sz w:val="28"/>
                <w:szCs w:val="28"/>
              </w:rPr>
            </w:pPr>
            <w:r>
              <w:rPr>
                <w:rFonts w:hint="eastAsia" w:ascii="仿宋" w:hAnsi="仿宋" w:eastAsia="仿宋" w:cs="仿宋"/>
                <w:b/>
                <w:bCs/>
                <w:sz w:val="28"/>
                <w:szCs w:val="28"/>
              </w:rPr>
              <w:t>意见</w:t>
            </w:r>
          </w:p>
        </w:tc>
        <w:tc>
          <w:tcPr>
            <w:tcW w:w="1843" w:type="dxa"/>
            <w:vAlign w:val="center"/>
          </w:tcPr>
          <w:p>
            <w:pPr>
              <w:spacing w:line="400" w:lineRule="exact"/>
              <w:jc w:val="center"/>
              <w:rPr>
                <w:rFonts w:hint="eastAsia" w:ascii="仿宋" w:hAnsi="仿宋" w:eastAsia="仿宋" w:cs="仿宋"/>
                <w:b/>
                <w:bCs/>
                <w:sz w:val="28"/>
                <w:szCs w:val="28"/>
              </w:rPr>
            </w:pPr>
            <w:r>
              <w:rPr>
                <w:rFonts w:hint="eastAsia" w:ascii="仿宋" w:hAnsi="仿宋" w:eastAsia="仿宋" w:cs="仿宋"/>
                <w:b/>
                <w:bCs/>
                <w:sz w:val="28"/>
                <w:szCs w:val="28"/>
              </w:rPr>
              <w:t>提出单位/专家</w:t>
            </w:r>
          </w:p>
        </w:tc>
        <w:tc>
          <w:tcPr>
            <w:tcW w:w="1275" w:type="dxa"/>
            <w:vAlign w:val="center"/>
          </w:tcPr>
          <w:p>
            <w:pPr>
              <w:spacing w:line="400" w:lineRule="exact"/>
              <w:jc w:val="center"/>
              <w:rPr>
                <w:rFonts w:hint="eastAsia" w:ascii="仿宋" w:hAnsi="仿宋" w:eastAsia="仿宋" w:cs="仿宋"/>
                <w:b/>
                <w:bCs/>
                <w:sz w:val="28"/>
                <w:szCs w:val="28"/>
              </w:rPr>
            </w:pPr>
            <w:r>
              <w:rPr>
                <w:rFonts w:hint="eastAsia" w:ascii="仿宋" w:hAnsi="仿宋" w:eastAsia="仿宋" w:cs="仿宋"/>
                <w:b/>
                <w:bCs/>
                <w:sz w:val="28"/>
                <w:szCs w:val="28"/>
              </w:rPr>
              <w:t>是否采纳</w:t>
            </w:r>
          </w:p>
        </w:tc>
        <w:tc>
          <w:tcPr>
            <w:tcW w:w="1754" w:type="dxa"/>
            <w:vAlign w:val="center"/>
          </w:tcPr>
          <w:p>
            <w:pPr>
              <w:spacing w:line="400" w:lineRule="exact"/>
              <w:jc w:val="center"/>
              <w:rPr>
                <w:rFonts w:hint="eastAsia" w:ascii="仿宋" w:hAnsi="仿宋" w:eastAsia="仿宋" w:cs="仿宋"/>
                <w:b/>
                <w:bCs/>
                <w:sz w:val="28"/>
                <w:szCs w:val="28"/>
              </w:rPr>
            </w:pPr>
            <w:r>
              <w:rPr>
                <w:rFonts w:hint="eastAsia" w:ascii="仿宋" w:hAnsi="仿宋" w:eastAsia="仿宋" w:cs="仿宋"/>
                <w:b/>
                <w:bCs/>
                <w:sz w:val="28"/>
                <w:szCs w:val="28"/>
              </w:rPr>
              <w:t>不采纳</w:t>
            </w:r>
          </w:p>
          <w:p>
            <w:pPr>
              <w:spacing w:line="400" w:lineRule="exact"/>
              <w:jc w:val="center"/>
              <w:rPr>
                <w:rFonts w:hint="eastAsia" w:ascii="仿宋" w:hAnsi="仿宋" w:eastAsia="仿宋" w:cs="仿宋"/>
                <w:b/>
                <w:bCs/>
                <w:sz w:val="28"/>
                <w:szCs w:val="28"/>
              </w:rPr>
            </w:pPr>
            <w:r>
              <w:rPr>
                <w:rFonts w:hint="eastAsia" w:ascii="仿宋" w:hAnsi="仿宋" w:eastAsia="仿宋" w:cs="仿宋"/>
                <w:b/>
                <w:bCs/>
                <w:sz w:val="28"/>
                <w:szCs w:val="28"/>
              </w:rPr>
              <w:t>（说明原因）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96" w:type="dxa"/>
            <w:vAlign w:val="center"/>
          </w:tcPr>
          <w:p>
            <w:pPr>
              <w:spacing w:line="400" w:lineRule="exact"/>
              <w:jc w:val="center"/>
              <w:rPr>
                <w:rFonts w:hint="eastAsia" w:ascii="仿宋" w:hAnsi="仿宋" w:eastAsia="仿宋" w:cs="仿宋"/>
                <w:sz w:val="28"/>
                <w:szCs w:val="28"/>
              </w:rPr>
            </w:pPr>
            <w:r>
              <w:rPr>
                <w:rFonts w:hint="eastAsia" w:ascii="仿宋" w:hAnsi="仿宋" w:eastAsia="仿宋" w:cs="仿宋"/>
                <w:sz w:val="28"/>
                <w:szCs w:val="28"/>
              </w:rPr>
              <w:t>1</w:t>
            </w:r>
          </w:p>
        </w:tc>
        <w:tc>
          <w:tcPr>
            <w:tcW w:w="1417" w:type="dxa"/>
            <w:vAlign w:val="center"/>
          </w:tcPr>
          <w:p>
            <w:pPr>
              <w:spacing w:line="400" w:lineRule="exact"/>
              <w:jc w:val="left"/>
              <w:rPr>
                <w:rFonts w:hint="eastAsia" w:ascii="仿宋" w:hAnsi="仿宋" w:eastAsia="仿宋" w:cs="仿宋"/>
                <w:sz w:val="28"/>
                <w:szCs w:val="28"/>
                <w:lang w:val="en-US" w:eastAsia="zh-CN"/>
              </w:rPr>
            </w:pPr>
          </w:p>
        </w:tc>
        <w:tc>
          <w:tcPr>
            <w:tcW w:w="1843" w:type="dxa"/>
            <w:vAlign w:val="center"/>
          </w:tcPr>
          <w:p>
            <w:pPr>
              <w:spacing w:line="400" w:lineRule="exact"/>
              <w:jc w:val="center"/>
              <w:rPr>
                <w:rFonts w:hint="eastAsia" w:ascii="仿宋" w:hAnsi="仿宋" w:eastAsia="仿宋" w:cs="仿宋"/>
                <w:sz w:val="28"/>
                <w:szCs w:val="28"/>
                <w:lang w:eastAsia="zh-CN"/>
              </w:rPr>
            </w:pPr>
          </w:p>
        </w:tc>
        <w:tc>
          <w:tcPr>
            <w:tcW w:w="1843" w:type="dxa"/>
            <w:vAlign w:val="center"/>
          </w:tcPr>
          <w:p>
            <w:pPr>
              <w:spacing w:line="400" w:lineRule="exact"/>
              <w:jc w:val="left"/>
              <w:rPr>
                <w:rFonts w:hint="eastAsia" w:ascii="仿宋" w:hAnsi="仿宋" w:eastAsia="仿宋" w:cs="仿宋"/>
                <w:sz w:val="28"/>
                <w:szCs w:val="28"/>
                <w:lang w:eastAsia="zh-CN"/>
              </w:rPr>
            </w:pPr>
          </w:p>
        </w:tc>
        <w:tc>
          <w:tcPr>
            <w:tcW w:w="1275" w:type="dxa"/>
            <w:vAlign w:val="center"/>
          </w:tcPr>
          <w:p>
            <w:pPr>
              <w:spacing w:line="400" w:lineRule="exact"/>
              <w:jc w:val="left"/>
              <w:rPr>
                <w:rFonts w:hint="eastAsia" w:ascii="仿宋" w:hAnsi="仿宋" w:eastAsia="仿宋" w:cs="仿宋"/>
                <w:sz w:val="28"/>
                <w:szCs w:val="28"/>
                <w:lang w:eastAsia="zh-CN"/>
              </w:rPr>
            </w:pPr>
          </w:p>
        </w:tc>
        <w:tc>
          <w:tcPr>
            <w:tcW w:w="1754" w:type="dxa"/>
            <w:vAlign w:val="center"/>
          </w:tcPr>
          <w:p>
            <w:pPr>
              <w:spacing w:line="400" w:lineRule="exact"/>
              <w:jc w:val="left"/>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896" w:type="dxa"/>
            <w:vAlign w:val="center"/>
          </w:tcPr>
          <w:p>
            <w:pPr>
              <w:spacing w:line="400" w:lineRule="exact"/>
              <w:jc w:val="center"/>
              <w:rPr>
                <w:rFonts w:hint="eastAsia" w:ascii="仿宋" w:hAnsi="仿宋" w:eastAsia="仿宋" w:cs="仿宋"/>
                <w:sz w:val="28"/>
                <w:szCs w:val="28"/>
              </w:rPr>
            </w:pPr>
            <w:r>
              <w:rPr>
                <w:rFonts w:hint="eastAsia" w:ascii="仿宋" w:hAnsi="仿宋" w:eastAsia="仿宋" w:cs="仿宋"/>
                <w:sz w:val="28"/>
                <w:szCs w:val="28"/>
              </w:rPr>
              <w:t>2</w:t>
            </w:r>
          </w:p>
        </w:tc>
        <w:tc>
          <w:tcPr>
            <w:tcW w:w="1417" w:type="dxa"/>
            <w:vAlign w:val="center"/>
          </w:tcPr>
          <w:p>
            <w:pPr>
              <w:spacing w:line="400" w:lineRule="exact"/>
              <w:jc w:val="left"/>
              <w:rPr>
                <w:rFonts w:hint="eastAsia" w:ascii="仿宋" w:hAnsi="仿宋" w:eastAsia="仿宋" w:cs="仿宋"/>
                <w:sz w:val="28"/>
                <w:szCs w:val="28"/>
                <w:lang w:val="en-US" w:eastAsia="zh-CN"/>
              </w:rPr>
            </w:pPr>
          </w:p>
        </w:tc>
        <w:tc>
          <w:tcPr>
            <w:tcW w:w="1843" w:type="dxa"/>
            <w:vAlign w:val="center"/>
          </w:tcPr>
          <w:p>
            <w:pPr>
              <w:spacing w:line="400" w:lineRule="exact"/>
              <w:jc w:val="left"/>
              <w:rPr>
                <w:rFonts w:hint="eastAsia" w:ascii="仿宋" w:hAnsi="仿宋" w:eastAsia="仿宋" w:cs="仿宋"/>
                <w:sz w:val="28"/>
                <w:szCs w:val="28"/>
                <w:lang w:eastAsia="zh-CN"/>
              </w:rPr>
            </w:pPr>
          </w:p>
        </w:tc>
        <w:tc>
          <w:tcPr>
            <w:tcW w:w="1843" w:type="dxa"/>
            <w:vAlign w:val="center"/>
          </w:tcPr>
          <w:p>
            <w:pPr>
              <w:spacing w:line="400" w:lineRule="exact"/>
              <w:jc w:val="left"/>
              <w:rPr>
                <w:rFonts w:hint="eastAsia" w:ascii="仿宋" w:hAnsi="仿宋" w:eastAsia="仿宋" w:cs="仿宋"/>
                <w:sz w:val="28"/>
                <w:szCs w:val="28"/>
                <w:lang w:eastAsia="zh-CN"/>
              </w:rPr>
            </w:pPr>
          </w:p>
        </w:tc>
        <w:tc>
          <w:tcPr>
            <w:tcW w:w="1275" w:type="dxa"/>
            <w:vAlign w:val="center"/>
          </w:tcPr>
          <w:p>
            <w:pPr>
              <w:spacing w:line="400" w:lineRule="exact"/>
              <w:jc w:val="left"/>
              <w:rPr>
                <w:rFonts w:hint="eastAsia" w:ascii="仿宋" w:hAnsi="仿宋" w:eastAsia="仿宋" w:cs="仿宋"/>
                <w:sz w:val="28"/>
                <w:szCs w:val="28"/>
                <w:lang w:eastAsia="zh-CN"/>
              </w:rPr>
            </w:pPr>
          </w:p>
        </w:tc>
        <w:tc>
          <w:tcPr>
            <w:tcW w:w="1754" w:type="dxa"/>
            <w:vAlign w:val="center"/>
          </w:tcPr>
          <w:p>
            <w:pPr>
              <w:spacing w:line="400" w:lineRule="exact"/>
              <w:jc w:val="left"/>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896" w:type="dxa"/>
            <w:vAlign w:val="center"/>
          </w:tcPr>
          <w:p>
            <w:pPr>
              <w:spacing w:line="400" w:lineRule="exact"/>
              <w:jc w:val="center"/>
              <w:rPr>
                <w:rFonts w:hint="eastAsia" w:ascii="仿宋" w:hAnsi="仿宋" w:eastAsia="仿宋" w:cs="仿宋"/>
                <w:sz w:val="28"/>
                <w:szCs w:val="28"/>
              </w:rPr>
            </w:pPr>
            <w:r>
              <w:rPr>
                <w:rFonts w:hint="eastAsia" w:ascii="仿宋" w:hAnsi="仿宋" w:eastAsia="仿宋" w:cs="仿宋"/>
                <w:sz w:val="28"/>
                <w:szCs w:val="28"/>
              </w:rPr>
              <w:t>3</w:t>
            </w:r>
          </w:p>
        </w:tc>
        <w:tc>
          <w:tcPr>
            <w:tcW w:w="1417" w:type="dxa"/>
            <w:vAlign w:val="center"/>
          </w:tcPr>
          <w:p>
            <w:pPr>
              <w:spacing w:line="400" w:lineRule="exact"/>
              <w:rPr>
                <w:rFonts w:hint="eastAsia" w:ascii="仿宋" w:hAnsi="仿宋" w:eastAsia="仿宋" w:cs="仿宋"/>
                <w:sz w:val="28"/>
                <w:szCs w:val="28"/>
                <w:lang w:val="en-US" w:eastAsia="zh-CN"/>
              </w:rPr>
            </w:pPr>
          </w:p>
        </w:tc>
        <w:tc>
          <w:tcPr>
            <w:tcW w:w="1843" w:type="dxa"/>
            <w:vAlign w:val="center"/>
          </w:tcPr>
          <w:p>
            <w:pPr>
              <w:spacing w:line="400" w:lineRule="exact"/>
              <w:jc w:val="left"/>
              <w:rPr>
                <w:rFonts w:hint="eastAsia" w:ascii="仿宋" w:hAnsi="仿宋" w:eastAsia="仿宋" w:cs="仿宋"/>
                <w:sz w:val="28"/>
                <w:szCs w:val="28"/>
                <w:lang w:eastAsia="zh-CN"/>
              </w:rPr>
            </w:pPr>
          </w:p>
        </w:tc>
        <w:tc>
          <w:tcPr>
            <w:tcW w:w="1843" w:type="dxa"/>
            <w:vAlign w:val="center"/>
          </w:tcPr>
          <w:p>
            <w:pPr>
              <w:spacing w:line="400" w:lineRule="exact"/>
              <w:jc w:val="left"/>
              <w:rPr>
                <w:rFonts w:hint="eastAsia" w:ascii="仿宋" w:hAnsi="仿宋" w:eastAsia="仿宋" w:cs="仿宋"/>
                <w:sz w:val="28"/>
                <w:szCs w:val="28"/>
                <w:lang w:eastAsia="zh-CN"/>
              </w:rPr>
            </w:pPr>
          </w:p>
        </w:tc>
        <w:tc>
          <w:tcPr>
            <w:tcW w:w="1275" w:type="dxa"/>
            <w:vAlign w:val="center"/>
          </w:tcPr>
          <w:p>
            <w:pPr>
              <w:spacing w:line="400" w:lineRule="exact"/>
              <w:jc w:val="left"/>
              <w:rPr>
                <w:rFonts w:hint="eastAsia" w:ascii="仿宋" w:hAnsi="仿宋" w:eastAsia="仿宋" w:cs="仿宋"/>
                <w:sz w:val="28"/>
                <w:szCs w:val="28"/>
                <w:lang w:eastAsia="zh-CN"/>
              </w:rPr>
            </w:pPr>
          </w:p>
        </w:tc>
        <w:tc>
          <w:tcPr>
            <w:tcW w:w="1754" w:type="dxa"/>
            <w:vAlign w:val="center"/>
          </w:tcPr>
          <w:p>
            <w:pPr>
              <w:spacing w:line="400" w:lineRule="exact"/>
              <w:jc w:val="left"/>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896" w:type="dxa"/>
            <w:vAlign w:val="center"/>
          </w:tcPr>
          <w:p>
            <w:pPr>
              <w:spacing w:line="400" w:lineRule="exact"/>
              <w:jc w:val="center"/>
              <w:rPr>
                <w:rFonts w:hint="eastAsia" w:ascii="仿宋" w:hAnsi="仿宋" w:eastAsia="仿宋" w:cs="仿宋"/>
                <w:sz w:val="28"/>
                <w:szCs w:val="28"/>
              </w:rPr>
            </w:pPr>
            <w:r>
              <w:rPr>
                <w:rFonts w:hint="eastAsia" w:ascii="仿宋" w:hAnsi="仿宋" w:eastAsia="仿宋" w:cs="仿宋"/>
                <w:sz w:val="28"/>
                <w:szCs w:val="28"/>
              </w:rPr>
              <w:t>4</w:t>
            </w:r>
          </w:p>
        </w:tc>
        <w:tc>
          <w:tcPr>
            <w:tcW w:w="1417" w:type="dxa"/>
            <w:vAlign w:val="center"/>
          </w:tcPr>
          <w:p>
            <w:pPr>
              <w:spacing w:line="400" w:lineRule="exact"/>
              <w:rPr>
                <w:rFonts w:hint="eastAsia" w:ascii="仿宋" w:hAnsi="仿宋" w:eastAsia="仿宋" w:cs="仿宋"/>
                <w:sz w:val="28"/>
                <w:szCs w:val="28"/>
                <w:lang w:val="en-US" w:eastAsia="zh-CN"/>
              </w:rPr>
            </w:pPr>
          </w:p>
        </w:tc>
        <w:tc>
          <w:tcPr>
            <w:tcW w:w="1843" w:type="dxa"/>
            <w:vAlign w:val="center"/>
          </w:tcPr>
          <w:p>
            <w:pPr>
              <w:spacing w:line="400" w:lineRule="exact"/>
              <w:jc w:val="left"/>
              <w:rPr>
                <w:rFonts w:hint="eastAsia" w:ascii="仿宋" w:hAnsi="仿宋" w:eastAsia="仿宋" w:cs="仿宋"/>
                <w:sz w:val="28"/>
                <w:szCs w:val="28"/>
                <w:lang w:eastAsia="zh-CN"/>
              </w:rPr>
            </w:pPr>
          </w:p>
        </w:tc>
        <w:tc>
          <w:tcPr>
            <w:tcW w:w="1843" w:type="dxa"/>
            <w:vAlign w:val="center"/>
          </w:tcPr>
          <w:p>
            <w:pPr>
              <w:spacing w:line="400" w:lineRule="exact"/>
              <w:jc w:val="left"/>
              <w:rPr>
                <w:rFonts w:hint="eastAsia" w:ascii="仿宋" w:hAnsi="仿宋" w:eastAsia="仿宋" w:cs="仿宋"/>
                <w:sz w:val="28"/>
                <w:szCs w:val="28"/>
                <w:lang w:eastAsia="zh-CN"/>
              </w:rPr>
            </w:pPr>
          </w:p>
        </w:tc>
        <w:tc>
          <w:tcPr>
            <w:tcW w:w="1275" w:type="dxa"/>
            <w:vAlign w:val="center"/>
          </w:tcPr>
          <w:p>
            <w:pPr>
              <w:spacing w:line="400" w:lineRule="exact"/>
              <w:jc w:val="left"/>
              <w:rPr>
                <w:rFonts w:hint="eastAsia" w:ascii="仿宋" w:hAnsi="仿宋" w:eastAsia="仿宋" w:cs="仿宋"/>
                <w:sz w:val="28"/>
                <w:szCs w:val="28"/>
                <w:lang w:eastAsia="zh-CN"/>
              </w:rPr>
            </w:pPr>
          </w:p>
        </w:tc>
        <w:tc>
          <w:tcPr>
            <w:tcW w:w="1754" w:type="dxa"/>
            <w:vAlign w:val="center"/>
          </w:tcPr>
          <w:p>
            <w:pPr>
              <w:spacing w:line="400" w:lineRule="exact"/>
              <w:jc w:val="left"/>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896" w:type="dxa"/>
            <w:vAlign w:val="center"/>
          </w:tcPr>
          <w:p>
            <w:pPr>
              <w:spacing w:line="400" w:lineRule="exact"/>
              <w:jc w:val="center"/>
              <w:rPr>
                <w:rFonts w:hint="eastAsia" w:ascii="仿宋" w:hAnsi="仿宋" w:eastAsia="仿宋" w:cs="仿宋"/>
                <w:sz w:val="28"/>
                <w:szCs w:val="28"/>
              </w:rPr>
            </w:pPr>
            <w:r>
              <w:rPr>
                <w:rFonts w:hint="eastAsia" w:ascii="仿宋" w:hAnsi="仿宋" w:eastAsia="仿宋" w:cs="仿宋"/>
                <w:sz w:val="28"/>
                <w:szCs w:val="28"/>
              </w:rPr>
              <w:t>5</w:t>
            </w:r>
          </w:p>
        </w:tc>
        <w:tc>
          <w:tcPr>
            <w:tcW w:w="1417" w:type="dxa"/>
            <w:vAlign w:val="center"/>
          </w:tcPr>
          <w:p>
            <w:pPr>
              <w:spacing w:line="400" w:lineRule="exact"/>
              <w:rPr>
                <w:rFonts w:hint="eastAsia" w:ascii="仿宋" w:hAnsi="仿宋" w:eastAsia="仿宋" w:cs="仿宋"/>
                <w:kern w:val="2"/>
                <w:sz w:val="28"/>
                <w:szCs w:val="28"/>
                <w:lang w:val="en-US" w:eastAsia="zh-CN" w:bidi="ar-SA"/>
              </w:rPr>
            </w:pPr>
          </w:p>
        </w:tc>
        <w:tc>
          <w:tcPr>
            <w:tcW w:w="1843" w:type="dxa"/>
            <w:vAlign w:val="center"/>
          </w:tcPr>
          <w:p>
            <w:pPr>
              <w:spacing w:line="400" w:lineRule="exact"/>
              <w:jc w:val="left"/>
              <w:rPr>
                <w:rFonts w:hint="eastAsia" w:ascii="仿宋" w:hAnsi="仿宋" w:eastAsia="仿宋" w:cs="仿宋"/>
                <w:kern w:val="2"/>
                <w:sz w:val="28"/>
                <w:szCs w:val="28"/>
                <w:lang w:val="en-US" w:eastAsia="zh-CN" w:bidi="ar-SA"/>
              </w:rPr>
            </w:pPr>
          </w:p>
        </w:tc>
        <w:tc>
          <w:tcPr>
            <w:tcW w:w="1843" w:type="dxa"/>
            <w:vAlign w:val="center"/>
          </w:tcPr>
          <w:p>
            <w:pPr>
              <w:spacing w:line="400" w:lineRule="exact"/>
              <w:jc w:val="left"/>
              <w:rPr>
                <w:rFonts w:hint="eastAsia" w:ascii="仿宋" w:hAnsi="仿宋" w:eastAsia="仿宋" w:cs="仿宋"/>
                <w:kern w:val="2"/>
                <w:sz w:val="28"/>
                <w:szCs w:val="28"/>
                <w:lang w:val="en-US" w:eastAsia="zh-CN" w:bidi="ar-SA"/>
              </w:rPr>
            </w:pPr>
          </w:p>
        </w:tc>
        <w:tc>
          <w:tcPr>
            <w:tcW w:w="1275" w:type="dxa"/>
            <w:vAlign w:val="center"/>
          </w:tcPr>
          <w:p>
            <w:pPr>
              <w:spacing w:line="400" w:lineRule="exact"/>
              <w:jc w:val="left"/>
              <w:rPr>
                <w:rFonts w:hint="eastAsia" w:ascii="仿宋" w:hAnsi="仿宋" w:eastAsia="仿宋" w:cs="仿宋"/>
                <w:kern w:val="2"/>
                <w:sz w:val="28"/>
                <w:szCs w:val="28"/>
                <w:lang w:val="en-US" w:eastAsia="zh-CN" w:bidi="ar-SA"/>
              </w:rPr>
            </w:pPr>
          </w:p>
        </w:tc>
        <w:tc>
          <w:tcPr>
            <w:tcW w:w="1754" w:type="dxa"/>
            <w:vAlign w:val="center"/>
          </w:tcPr>
          <w:p>
            <w:pPr>
              <w:spacing w:line="400" w:lineRule="exact"/>
              <w:jc w:val="left"/>
              <w:rPr>
                <w:rFonts w:hint="eastAsia" w:ascii="仿宋" w:hAnsi="仿宋" w:eastAsia="仿宋" w:cs="仿宋"/>
                <w:sz w:val="28"/>
                <w:szCs w:val="28"/>
              </w:rPr>
            </w:pPr>
          </w:p>
        </w:tc>
      </w:tr>
    </w:tbl>
    <w:p>
      <w:pPr>
        <w:wordWrap w:val="0"/>
        <w:spacing w:line="360" w:lineRule="auto"/>
        <w:ind w:firstLine="562" w:firstLineChars="200"/>
        <w:jc w:val="right"/>
        <w:rPr>
          <w:rFonts w:ascii="Times New Roman" w:hAnsi="Times New Roman" w:eastAsia="仿宋"/>
          <w:b/>
          <w:sz w:val="28"/>
          <w:szCs w:val="28"/>
        </w:rPr>
      </w:pPr>
      <w:bookmarkStart w:id="29" w:name="_GoBack"/>
      <w:bookmarkEnd w:id="29"/>
      <w:r>
        <w:rPr>
          <w:rFonts w:ascii="Times New Roman" w:hAnsi="仿宋" w:eastAsia="仿宋"/>
          <w:b/>
          <w:sz w:val="28"/>
          <w:szCs w:val="28"/>
        </w:rPr>
        <w:t>《</w:t>
      </w:r>
      <w:r>
        <w:rPr>
          <w:rFonts w:hint="eastAsia" w:ascii="仿宋" w:hAnsi="仿宋" w:eastAsia="仿宋"/>
          <w:b/>
          <w:sz w:val="28"/>
          <w:szCs w:val="28"/>
          <w:lang w:eastAsia="zh-CN"/>
        </w:rPr>
        <w:t>托县“灯笼红”辣椒露地覆膜栽培技术规程</w:t>
      </w:r>
      <w:r>
        <w:rPr>
          <w:rFonts w:ascii="Times New Roman" w:hAnsi="仿宋" w:eastAsia="仿宋"/>
          <w:b/>
          <w:sz w:val="28"/>
          <w:szCs w:val="28"/>
        </w:rPr>
        <w:t>》起草组</w:t>
      </w:r>
    </w:p>
    <w:p>
      <w:pPr>
        <w:ind w:firstLine="4779" w:firstLineChars="1700"/>
        <w:rPr>
          <w:rFonts w:ascii="仿宋" w:hAnsi="仿宋" w:eastAsia="仿宋"/>
          <w:sz w:val="28"/>
          <w:szCs w:val="28"/>
        </w:rPr>
      </w:pPr>
      <w:r>
        <w:rPr>
          <w:rFonts w:hint="eastAsia" w:ascii="Times New Roman" w:hAnsi="仿宋" w:eastAsia="仿宋"/>
          <w:b/>
          <w:sz w:val="28"/>
          <w:szCs w:val="28"/>
          <w:lang w:val="en-US" w:eastAsia="zh-CN"/>
        </w:rPr>
        <w:t>2024</w:t>
      </w:r>
      <w:r>
        <w:rPr>
          <w:rFonts w:ascii="Times New Roman" w:hAnsi="仿宋" w:eastAsia="仿宋"/>
          <w:b/>
          <w:sz w:val="28"/>
          <w:szCs w:val="28"/>
        </w:rPr>
        <w:t>年</w:t>
      </w:r>
      <w:r>
        <w:rPr>
          <w:rFonts w:hint="eastAsia" w:ascii="Times New Roman" w:hAnsi="仿宋" w:eastAsia="仿宋"/>
          <w:b/>
          <w:sz w:val="28"/>
          <w:szCs w:val="28"/>
          <w:lang w:val="en-US" w:eastAsia="zh-CN"/>
        </w:rPr>
        <w:t>2</w:t>
      </w:r>
      <w:r>
        <w:rPr>
          <w:rFonts w:ascii="Times New Roman" w:hAnsi="仿宋" w:eastAsia="仿宋"/>
          <w:b/>
          <w:sz w:val="28"/>
          <w:szCs w:val="28"/>
        </w:rPr>
        <w:t>月</w:t>
      </w:r>
      <w:r>
        <w:rPr>
          <w:rFonts w:hint="eastAsia" w:ascii="Times New Roman" w:hAnsi="仿宋" w:eastAsia="仿宋"/>
          <w:b/>
          <w:sz w:val="28"/>
          <w:szCs w:val="28"/>
          <w:lang w:val="en-US" w:eastAsia="zh-CN"/>
        </w:rPr>
        <w:t>22</w:t>
      </w:r>
      <w:r>
        <w:rPr>
          <w:rFonts w:ascii="Times New Roman" w:hAnsi="仿宋" w:eastAsia="仿宋"/>
          <w:b/>
          <w:sz w:val="28"/>
          <w:szCs w:val="28"/>
        </w:rPr>
        <w:t>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2E16DC"/>
    <w:multiLevelType w:val="singleLevel"/>
    <w:tmpl w:val="2A2E16DC"/>
    <w:lvl w:ilvl="0" w:tentative="0">
      <w:start w:val="1"/>
      <w:numFmt w:val="decimal"/>
      <w:suff w:val="nothing"/>
      <w:lvlText w:val="（%1）"/>
      <w:lvlJc w:val="left"/>
    </w:lvl>
  </w:abstractNum>
  <w:abstractNum w:abstractNumId="1">
    <w:nsid w:val="646260FA"/>
    <w:multiLevelType w:val="multilevel"/>
    <w:tmpl w:val="646260FA"/>
    <w:lvl w:ilvl="0" w:tentative="0">
      <w:start w:val="1"/>
      <w:numFmt w:val="decimal"/>
      <w:pStyle w:val="20"/>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6CEA2025"/>
    <w:multiLevelType w:val="multilevel"/>
    <w:tmpl w:val="6CEA2025"/>
    <w:lvl w:ilvl="0" w:tentative="0">
      <w:start w:val="1"/>
      <w:numFmt w:val="none"/>
      <w:pStyle w:val="18"/>
      <w:suff w:val="nothing"/>
      <w:lvlText w:val="%1"/>
      <w:lvlJc w:val="left"/>
      <w:pPr>
        <w:ind w:left="0" w:firstLine="0"/>
      </w:pPr>
      <w:rPr>
        <w:rFonts w:hint="eastAsia"/>
      </w:rPr>
    </w:lvl>
    <w:lvl w:ilvl="1" w:tentative="0">
      <w:start w:val="1"/>
      <w:numFmt w:val="decimal"/>
      <w:pStyle w:val="16"/>
      <w:suff w:val="nothing"/>
      <w:lvlText w:val="%1%2　"/>
      <w:lvlJc w:val="left"/>
      <w:pPr>
        <w:ind w:left="0" w:firstLine="0"/>
      </w:pPr>
      <w:rPr>
        <w:rFonts w:hint="eastAsia" w:ascii="黑体" w:eastAsia="黑体"/>
        <w:b w:val="0"/>
        <w:i w:val="0"/>
        <w:sz w:val="21"/>
      </w:rPr>
    </w:lvl>
    <w:lvl w:ilvl="2" w:tentative="0">
      <w:start w:val="1"/>
      <w:numFmt w:val="decimal"/>
      <w:pStyle w:val="17"/>
      <w:suff w:val="nothing"/>
      <w:lvlText w:val="%1%2.%3　"/>
      <w:lvlJc w:val="left"/>
      <w:pPr>
        <w:ind w:left="567"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rPr>
    </w:lvl>
    <w:lvl w:ilvl="3" w:tentative="0">
      <w:start w:val="1"/>
      <w:numFmt w:val="decimal"/>
      <w:pStyle w:val="11"/>
      <w:suff w:val="nothing"/>
      <w:lvlText w:val="%1%2.%3.%4　"/>
      <w:lvlJc w:val="left"/>
      <w:pPr>
        <w:ind w:left="0" w:firstLine="0"/>
      </w:pPr>
      <w:rPr>
        <w:rFonts w:hint="eastAsia" w:ascii="黑体" w:eastAsia="黑体"/>
        <w:b w:val="0"/>
        <w:i w:val="0"/>
        <w:sz w:val="21"/>
      </w:rPr>
    </w:lvl>
    <w:lvl w:ilvl="4" w:tentative="0">
      <w:start w:val="1"/>
      <w:numFmt w:val="decimal"/>
      <w:pStyle w:val="13"/>
      <w:suff w:val="nothing"/>
      <w:lvlText w:val="%1%2.%3.%4.%5　"/>
      <w:lvlJc w:val="left"/>
      <w:pPr>
        <w:ind w:left="0" w:firstLine="0"/>
      </w:pPr>
      <w:rPr>
        <w:rFonts w:hint="eastAsia" w:ascii="黑体" w:eastAsia="黑体"/>
        <w:b w:val="0"/>
        <w:i w:val="0"/>
        <w:sz w:val="21"/>
      </w:rPr>
    </w:lvl>
    <w:lvl w:ilvl="5" w:tentative="0">
      <w:start w:val="1"/>
      <w:numFmt w:val="decimal"/>
      <w:pStyle w:val="14"/>
      <w:suff w:val="nothing"/>
      <w:lvlText w:val="%1%2.%3.%4.%5.%6　"/>
      <w:lvlJc w:val="left"/>
      <w:pPr>
        <w:ind w:left="0" w:firstLine="0"/>
      </w:pPr>
      <w:rPr>
        <w:rFonts w:hint="eastAsia" w:ascii="黑体" w:eastAsia="黑体"/>
        <w:b w:val="0"/>
        <w:i w:val="0"/>
        <w:sz w:val="21"/>
      </w:rPr>
    </w:lvl>
    <w:lvl w:ilvl="6" w:tentative="0">
      <w:start w:val="1"/>
      <w:numFmt w:val="decimal"/>
      <w:pStyle w:val="15"/>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
    <w:nsid w:val="767D5253"/>
    <w:multiLevelType w:val="singleLevel"/>
    <w:tmpl w:val="767D5253"/>
    <w:lvl w:ilvl="0" w:tentative="0">
      <w:start w:val="3"/>
      <w:numFmt w:val="decimal"/>
      <w:suff w:val="nothing"/>
      <w:lvlText w:val="%1、"/>
      <w:lvlJc w:val="left"/>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U2NGEwYzMwM2ZjMDI1MTZhOTIzYzczNWZlYWU1Y2IifQ=="/>
  </w:docVars>
  <w:rsids>
    <w:rsidRoot w:val="000B67F0"/>
    <w:rsid w:val="0000005D"/>
    <w:rsid w:val="00001A87"/>
    <w:rsid w:val="000040D0"/>
    <w:rsid w:val="00005414"/>
    <w:rsid w:val="0000562B"/>
    <w:rsid w:val="00006B78"/>
    <w:rsid w:val="000071A6"/>
    <w:rsid w:val="0000721A"/>
    <w:rsid w:val="00012121"/>
    <w:rsid w:val="0001753B"/>
    <w:rsid w:val="000210DD"/>
    <w:rsid w:val="000223B0"/>
    <w:rsid w:val="0002293A"/>
    <w:rsid w:val="000308D8"/>
    <w:rsid w:val="00031544"/>
    <w:rsid w:val="00032DC9"/>
    <w:rsid w:val="00033218"/>
    <w:rsid w:val="0003323D"/>
    <w:rsid w:val="0003329D"/>
    <w:rsid w:val="000411CB"/>
    <w:rsid w:val="0004120B"/>
    <w:rsid w:val="00044938"/>
    <w:rsid w:val="00045AEF"/>
    <w:rsid w:val="00045CB9"/>
    <w:rsid w:val="000500FC"/>
    <w:rsid w:val="00050A84"/>
    <w:rsid w:val="00052FA7"/>
    <w:rsid w:val="000556AC"/>
    <w:rsid w:val="00055D9D"/>
    <w:rsid w:val="00056D20"/>
    <w:rsid w:val="00057EA5"/>
    <w:rsid w:val="0006044B"/>
    <w:rsid w:val="00060623"/>
    <w:rsid w:val="00060BB1"/>
    <w:rsid w:val="0006174A"/>
    <w:rsid w:val="00063360"/>
    <w:rsid w:val="00072911"/>
    <w:rsid w:val="00072C4D"/>
    <w:rsid w:val="0007379E"/>
    <w:rsid w:val="00073AEB"/>
    <w:rsid w:val="000745DC"/>
    <w:rsid w:val="00076C3F"/>
    <w:rsid w:val="00077914"/>
    <w:rsid w:val="00080D5B"/>
    <w:rsid w:val="00083FEF"/>
    <w:rsid w:val="00086FE3"/>
    <w:rsid w:val="00092DB8"/>
    <w:rsid w:val="00095602"/>
    <w:rsid w:val="00096223"/>
    <w:rsid w:val="000A1E07"/>
    <w:rsid w:val="000A2AD4"/>
    <w:rsid w:val="000A5629"/>
    <w:rsid w:val="000A5C8C"/>
    <w:rsid w:val="000A6F89"/>
    <w:rsid w:val="000A7420"/>
    <w:rsid w:val="000B03C8"/>
    <w:rsid w:val="000B1C90"/>
    <w:rsid w:val="000B1FC0"/>
    <w:rsid w:val="000B2531"/>
    <w:rsid w:val="000B28C1"/>
    <w:rsid w:val="000B4A7F"/>
    <w:rsid w:val="000B52D6"/>
    <w:rsid w:val="000B65E3"/>
    <w:rsid w:val="000B67F0"/>
    <w:rsid w:val="000B72F3"/>
    <w:rsid w:val="000C0D9C"/>
    <w:rsid w:val="000C188C"/>
    <w:rsid w:val="000C576A"/>
    <w:rsid w:val="000C5C97"/>
    <w:rsid w:val="000C5E00"/>
    <w:rsid w:val="000C6DF6"/>
    <w:rsid w:val="000D0577"/>
    <w:rsid w:val="000D2987"/>
    <w:rsid w:val="000D3ADB"/>
    <w:rsid w:val="000D470C"/>
    <w:rsid w:val="000D471A"/>
    <w:rsid w:val="000D5EA8"/>
    <w:rsid w:val="000D6BC2"/>
    <w:rsid w:val="000D717B"/>
    <w:rsid w:val="000E0072"/>
    <w:rsid w:val="000E3902"/>
    <w:rsid w:val="000E5419"/>
    <w:rsid w:val="000E6BF8"/>
    <w:rsid w:val="000E77E7"/>
    <w:rsid w:val="000F0167"/>
    <w:rsid w:val="000F0E29"/>
    <w:rsid w:val="000F0EE0"/>
    <w:rsid w:val="000F28EC"/>
    <w:rsid w:val="000F322B"/>
    <w:rsid w:val="000F6698"/>
    <w:rsid w:val="00100B55"/>
    <w:rsid w:val="00104873"/>
    <w:rsid w:val="00106C55"/>
    <w:rsid w:val="00107F18"/>
    <w:rsid w:val="00110990"/>
    <w:rsid w:val="00110FDE"/>
    <w:rsid w:val="0011250C"/>
    <w:rsid w:val="00115553"/>
    <w:rsid w:val="00117E52"/>
    <w:rsid w:val="0012117B"/>
    <w:rsid w:val="0012294F"/>
    <w:rsid w:val="0013511E"/>
    <w:rsid w:val="00141D2E"/>
    <w:rsid w:val="00142C07"/>
    <w:rsid w:val="001430A5"/>
    <w:rsid w:val="00143B5D"/>
    <w:rsid w:val="001454A6"/>
    <w:rsid w:val="0014630A"/>
    <w:rsid w:val="00147642"/>
    <w:rsid w:val="00147EC0"/>
    <w:rsid w:val="00152E30"/>
    <w:rsid w:val="0015382B"/>
    <w:rsid w:val="00155715"/>
    <w:rsid w:val="001578E0"/>
    <w:rsid w:val="00163D50"/>
    <w:rsid w:val="0016428A"/>
    <w:rsid w:val="00172151"/>
    <w:rsid w:val="00172266"/>
    <w:rsid w:val="00173D61"/>
    <w:rsid w:val="00176AEF"/>
    <w:rsid w:val="00177726"/>
    <w:rsid w:val="00177DFA"/>
    <w:rsid w:val="001816D0"/>
    <w:rsid w:val="0018194A"/>
    <w:rsid w:val="00182A15"/>
    <w:rsid w:val="001906BE"/>
    <w:rsid w:val="00193609"/>
    <w:rsid w:val="0019389E"/>
    <w:rsid w:val="001940C1"/>
    <w:rsid w:val="001955EF"/>
    <w:rsid w:val="001A04FB"/>
    <w:rsid w:val="001A1B42"/>
    <w:rsid w:val="001A3810"/>
    <w:rsid w:val="001A3C19"/>
    <w:rsid w:val="001A4D20"/>
    <w:rsid w:val="001B1E1E"/>
    <w:rsid w:val="001B33FD"/>
    <w:rsid w:val="001B3A96"/>
    <w:rsid w:val="001C2F48"/>
    <w:rsid w:val="001C627D"/>
    <w:rsid w:val="001D44CE"/>
    <w:rsid w:val="001D7E9D"/>
    <w:rsid w:val="001E44CB"/>
    <w:rsid w:val="001E4E59"/>
    <w:rsid w:val="001E4F13"/>
    <w:rsid w:val="001E5BB8"/>
    <w:rsid w:val="001E7264"/>
    <w:rsid w:val="001E748C"/>
    <w:rsid w:val="001E77A7"/>
    <w:rsid w:val="001F2820"/>
    <w:rsid w:val="001F2CBD"/>
    <w:rsid w:val="001F32F1"/>
    <w:rsid w:val="001F6CBD"/>
    <w:rsid w:val="00203D68"/>
    <w:rsid w:val="002047DA"/>
    <w:rsid w:val="0020499C"/>
    <w:rsid w:val="0020517C"/>
    <w:rsid w:val="00205AA6"/>
    <w:rsid w:val="00205C0C"/>
    <w:rsid w:val="00206E20"/>
    <w:rsid w:val="00212CE0"/>
    <w:rsid w:val="0021388A"/>
    <w:rsid w:val="00213D26"/>
    <w:rsid w:val="00223320"/>
    <w:rsid w:val="00224115"/>
    <w:rsid w:val="002278A4"/>
    <w:rsid w:val="0023077F"/>
    <w:rsid w:val="0023177F"/>
    <w:rsid w:val="002357AA"/>
    <w:rsid w:val="0024066C"/>
    <w:rsid w:val="0024102B"/>
    <w:rsid w:val="002422DC"/>
    <w:rsid w:val="00242C90"/>
    <w:rsid w:val="00243443"/>
    <w:rsid w:val="002479E6"/>
    <w:rsid w:val="00247D50"/>
    <w:rsid w:val="002533B7"/>
    <w:rsid w:val="00253BD1"/>
    <w:rsid w:val="00253FC7"/>
    <w:rsid w:val="0025487C"/>
    <w:rsid w:val="002560D4"/>
    <w:rsid w:val="00256C72"/>
    <w:rsid w:val="0026318B"/>
    <w:rsid w:val="0026362D"/>
    <w:rsid w:val="00270008"/>
    <w:rsid w:val="002729E6"/>
    <w:rsid w:val="00275B3D"/>
    <w:rsid w:val="00277A36"/>
    <w:rsid w:val="002808AF"/>
    <w:rsid w:val="002812C0"/>
    <w:rsid w:val="0028357F"/>
    <w:rsid w:val="00283CF2"/>
    <w:rsid w:val="00286CF7"/>
    <w:rsid w:val="0029058F"/>
    <w:rsid w:val="002922BC"/>
    <w:rsid w:val="00292DF2"/>
    <w:rsid w:val="00293124"/>
    <w:rsid w:val="00294F39"/>
    <w:rsid w:val="0029614D"/>
    <w:rsid w:val="002971FE"/>
    <w:rsid w:val="002A0F8E"/>
    <w:rsid w:val="002A2A57"/>
    <w:rsid w:val="002A5F31"/>
    <w:rsid w:val="002A686E"/>
    <w:rsid w:val="002A75BE"/>
    <w:rsid w:val="002B442F"/>
    <w:rsid w:val="002B524C"/>
    <w:rsid w:val="002B5626"/>
    <w:rsid w:val="002B62DD"/>
    <w:rsid w:val="002C2397"/>
    <w:rsid w:val="002C2C08"/>
    <w:rsid w:val="002C420E"/>
    <w:rsid w:val="002C4279"/>
    <w:rsid w:val="002C7614"/>
    <w:rsid w:val="002C7B0B"/>
    <w:rsid w:val="002D0F20"/>
    <w:rsid w:val="002D1783"/>
    <w:rsid w:val="002D1DC3"/>
    <w:rsid w:val="002D2AE8"/>
    <w:rsid w:val="002D3471"/>
    <w:rsid w:val="002D5BC2"/>
    <w:rsid w:val="002D6FC7"/>
    <w:rsid w:val="002E0636"/>
    <w:rsid w:val="002E34EF"/>
    <w:rsid w:val="002E41E8"/>
    <w:rsid w:val="002E7093"/>
    <w:rsid w:val="002F2563"/>
    <w:rsid w:val="002F2687"/>
    <w:rsid w:val="002F3B71"/>
    <w:rsid w:val="002F49BE"/>
    <w:rsid w:val="002F6B5A"/>
    <w:rsid w:val="002F73C5"/>
    <w:rsid w:val="00300841"/>
    <w:rsid w:val="00302950"/>
    <w:rsid w:val="00303C1B"/>
    <w:rsid w:val="00303FC7"/>
    <w:rsid w:val="00313C01"/>
    <w:rsid w:val="00315D64"/>
    <w:rsid w:val="0031707A"/>
    <w:rsid w:val="003204B2"/>
    <w:rsid w:val="003218D0"/>
    <w:rsid w:val="0032281C"/>
    <w:rsid w:val="003265D9"/>
    <w:rsid w:val="00332833"/>
    <w:rsid w:val="00335066"/>
    <w:rsid w:val="00335363"/>
    <w:rsid w:val="0033551B"/>
    <w:rsid w:val="00335959"/>
    <w:rsid w:val="00337589"/>
    <w:rsid w:val="00343196"/>
    <w:rsid w:val="00343CDF"/>
    <w:rsid w:val="00346893"/>
    <w:rsid w:val="00347507"/>
    <w:rsid w:val="00352C5D"/>
    <w:rsid w:val="0035750A"/>
    <w:rsid w:val="00357601"/>
    <w:rsid w:val="00361E07"/>
    <w:rsid w:val="00363155"/>
    <w:rsid w:val="00363D33"/>
    <w:rsid w:val="00364257"/>
    <w:rsid w:val="00364A96"/>
    <w:rsid w:val="00366512"/>
    <w:rsid w:val="003675E1"/>
    <w:rsid w:val="003713E4"/>
    <w:rsid w:val="003779C7"/>
    <w:rsid w:val="00380D7E"/>
    <w:rsid w:val="00380D99"/>
    <w:rsid w:val="00381C37"/>
    <w:rsid w:val="0038386B"/>
    <w:rsid w:val="00383C24"/>
    <w:rsid w:val="00385315"/>
    <w:rsid w:val="0038563A"/>
    <w:rsid w:val="00385C70"/>
    <w:rsid w:val="00386ABB"/>
    <w:rsid w:val="00386D3D"/>
    <w:rsid w:val="00390B63"/>
    <w:rsid w:val="0039195E"/>
    <w:rsid w:val="0039331E"/>
    <w:rsid w:val="00393FA8"/>
    <w:rsid w:val="00397D4C"/>
    <w:rsid w:val="003A11DF"/>
    <w:rsid w:val="003A1812"/>
    <w:rsid w:val="003A22D4"/>
    <w:rsid w:val="003A2A1A"/>
    <w:rsid w:val="003A4F50"/>
    <w:rsid w:val="003A59AD"/>
    <w:rsid w:val="003A780F"/>
    <w:rsid w:val="003A7835"/>
    <w:rsid w:val="003B5B7D"/>
    <w:rsid w:val="003B6BFB"/>
    <w:rsid w:val="003B6DDD"/>
    <w:rsid w:val="003C0C0E"/>
    <w:rsid w:val="003C1F11"/>
    <w:rsid w:val="003C1FA5"/>
    <w:rsid w:val="003C489E"/>
    <w:rsid w:val="003C49C2"/>
    <w:rsid w:val="003C4F6B"/>
    <w:rsid w:val="003D1A21"/>
    <w:rsid w:val="003D2A6F"/>
    <w:rsid w:val="003D2E23"/>
    <w:rsid w:val="003D4228"/>
    <w:rsid w:val="003D56EC"/>
    <w:rsid w:val="003D7759"/>
    <w:rsid w:val="003E21C6"/>
    <w:rsid w:val="003E2578"/>
    <w:rsid w:val="003E2886"/>
    <w:rsid w:val="003E2C45"/>
    <w:rsid w:val="003E3A62"/>
    <w:rsid w:val="003E55A3"/>
    <w:rsid w:val="003E62EC"/>
    <w:rsid w:val="003E78B8"/>
    <w:rsid w:val="003F0B72"/>
    <w:rsid w:val="003F205D"/>
    <w:rsid w:val="003F243E"/>
    <w:rsid w:val="003F2D86"/>
    <w:rsid w:val="003F3143"/>
    <w:rsid w:val="003F394B"/>
    <w:rsid w:val="0040026D"/>
    <w:rsid w:val="004029A1"/>
    <w:rsid w:val="00405606"/>
    <w:rsid w:val="004058DD"/>
    <w:rsid w:val="00410738"/>
    <w:rsid w:val="00412DA0"/>
    <w:rsid w:val="00414890"/>
    <w:rsid w:val="00414A63"/>
    <w:rsid w:val="00414A8F"/>
    <w:rsid w:val="00416D47"/>
    <w:rsid w:val="00416DC5"/>
    <w:rsid w:val="004171C3"/>
    <w:rsid w:val="00423C28"/>
    <w:rsid w:val="00427ECD"/>
    <w:rsid w:val="004327E0"/>
    <w:rsid w:val="004335C0"/>
    <w:rsid w:val="004343DA"/>
    <w:rsid w:val="00435C80"/>
    <w:rsid w:val="004364AD"/>
    <w:rsid w:val="00436A9E"/>
    <w:rsid w:val="00436ADD"/>
    <w:rsid w:val="00436CFD"/>
    <w:rsid w:val="00437D14"/>
    <w:rsid w:val="00441EE8"/>
    <w:rsid w:val="0044251A"/>
    <w:rsid w:val="00446A0A"/>
    <w:rsid w:val="00446D76"/>
    <w:rsid w:val="00446DBB"/>
    <w:rsid w:val="00450963"/>
    <w:rsid w:val="00450B2A"/>
    <w:rsid w:val="00450F24"/>
    <w:rsid w:val="00452440"/>
    <w:rsid w:val="004540DF"/>
    <w:rsid w:val="00454197"/>
    <w:rsid w:val="00461641"/>
    <w:rsid w:val="0046284F"/>
    <w:rsid w:val="00463AC4"/>
    <w:rsid w:val="00464EBD"/>
    <w:rsid w:val="00465786"/>
    <w:rsid w:val="0046607C"/>
    <w:rsid w:val="00467A57"/>
    <w:rsid w:val="00470D85"/>
    <w:rsid w:val="004725D1"/>
    <w:rsid w:val="00473133"/>
    <w:rsid w:val="0047584E"/>
    <w:rsid w:val="00475974"/>
    <w:rsid w:val="00477700"/>
    <w:rsid w:val="00480E2C"/>
    <w:rsid w:val="00481E9F"/>
    <w:rsid w:val="00483D46"/>
    <w:rsid w:val="004878B4"/>
    <w:rsid w:val="00490F87"/>
    <w:rsid w:val="004926FF"/>
    <w:rsid w:val="00492B46"/>
    <w:rsid w:val="004934E1"/>
    <w:rsid w:val="00493AE5"/>
    <w:rsid w:val="00493CC3"/>
    <w:rsid w:val="00493CDA"/>
    <w:rsid w:val="004A0746"/>
    <w:rsid w:val="004A2516"/>
    <w:rsid w:val="004A4BAB"/>
    <w:rsid w:val="004A585F"/>
    <w:rsid w:val="004A74E2"/>
    <w:rsid w:val="004B4B78"/>
    <w:rsid w:val="004B7467"/>
    <w:rsid w:val="004B7EA8"/>
    <w:rsid w:val="004C0344"/>
    <w:rsid w:val="004C3006"/>
    <w:rsid w:val="004C5241"/>
    <w:rsid w:val="004C7778"/>
    <w:rsid w:val="004C7EF0"/>
    <w:rsid w:val="004D1C5F"/>
    <w:rsid w:val="004D4F6C"/>
    <w:rsid w:val="004E0BCE"/>
    <w:rsid w:val="004E2ACA"/>
    <w:rsid w:val="004E5D40"/>
    <w:rsid w:val="004E6C65"/>
    <w:rsid w:val="004E6DE7"/>
    <w:rsid w:val="004F44AD"/>
    <w:rsid w:val="004F474D"/>
    <w:rsid w:val="00501BC9"/>
    <w:rsid w:val="00503729"/>
    <w:rsid w:val="00504384"/>
    <w:rsid w:val="0050485C"/>
    <w:rsid w:val="00505D91"/>
    <w:rsid w:val="00505EB0"/>
    <w:rsid w:val="00510345"/>
    <w:rsid w:val="00513A30"/>
    <w:rsid w:val="00515529"/>
    <w:rsid w:val="00516539"/>
    <w:rsid w:val="00516AD4"/>
    <w:rsid w:val="00517BB8"/>
    <w:rsid w:val="0052084A"/>
    <w:rsid w:val="00521501"/>
    <w:rsid w:val="00522EC8"/>
    <w:rsid w:val="0052563E"/>
    <w:rsid w:val="005258D2"/>
    <w:rsid w:val="00534925"/>
    <w:rsid w:val="00534FC4"/>
    <w:rsid w:val="00536636"/>
    <w:rsid w:val="00542C8B"/>
    <w:rsid w:val="00544BC5"/>
    <w:rsid w:val="0054546F"/>
    <w:rsid w:val="0054642E"/>
    <w:rsid w:val="00546C87"/>
    <w:rsid w:val="005518FC"/>
    <w:rsid w:val="00553180"/>
    <w:rsid w:val="00555570"/>
    <w:rsid w:val="00555CBA"/>
    <w:rsid w:val="00566AC4"/>
    <w:rsid w:val="005742C3"/>
    <w:rsid w:val="00576E7E"/>
    <w:rsid w:val="00581446"/>
    <w:rsid w:val="005835CF"/>
    <w:rsid w:val="00585EE5"/>
    <w:rsid w:val="00590A53"/>
    <w:rsid w:val="00595500"/>
    <w:rsid w:val="005955E8"/>
    <w:rsid w:val="005963BE"/>
    <w:rsid w:val="005966BB"/>
    <w:rsid w:val="005967AC"/>
    <w:rsid w:val="005A1818"/>
    <w:rsid w:val="005A1A4F"/>
    <w:rsid w:val="005A2222"/>
    <w:rsid w:val="005A3094"/>
    <w:rsid w:val="005A3D75"/>
    <w:rsid w:val="005A4FE5"/>
    <w:rsid w:val="005A5C3F"/>
    <w:rsid w:val="005A7FCA"/>
    <w:rsid w:val="005B11A9"/>
    <w:rsid w:val="005B2950"/>
    <w:rsid w:val="005C0D05"/>
    <w:rsid w:val="005C6D41"/>
    <w:rsid w:val="005D02A4"/>
    <w:rsid w:val="005D31FC"/>
    <w:rsid w:val="005D4362"/>
    <w:rsid w:val="005D5A4D"/>
    <w:rsid w:val="005E0CF8"/>
    <w:rsid w:val="005E1961"/>
    <w:rsid w:val="005E2A91"/>
    <w:rsid w:val="005E3905"/>
    <w:rsid w:val="005E449A"/>
    <w:rsid w:val="005E4E05"/>
    <w:rsid w:val="005E5452"/>
    <w:rsid w:val="005E7C73"/>
    <w:rsid w:val="005E7E72"/>
    <w:rsid w:val="005F1146"/>
    <w:rsid w:val="005F6525"/>
    <w:rsid w:val="005F7647"/>
    <w:rsid w:val="005F7E62"/>
    <w:rsid w:val="00600EF3"/>
    <w:rsid w:val="006019C0"/>
    <w:rsid w:val="00601EC1"/>
    <w:rsid w:val="00601F41"/>
    <w:rsid w:val="006053CB"/>
    <w:rsid w:val="0060554C"/>
    <w:rsid w:val="00605D29"/>
    <w:rsid w:val="00606621"/>
    <w:rsid w:val="00606F54"/>
    <w:rsid w:val="00607E40"/>
    <w:rsid w:val="00611FBE"/>
    <w:rsid w:val="00613C85"/>
    <w:rsid w:val="00614AC8"/>
    <w:rsid w:val="00616535"/>
    <w:rsid w:val="006200E3"/>
    <w:rsid w:val="00623618"/>
    <w:rsid w:val="00624855"/>
    <w:rsid w:val="0062488E"/>
    <w:rsid w:val="006263E1"/>
    <w:rsid w:val="00626934"/>
    <w:rsid w:val="00627475"/>
    <w:rsid w:val="0063798B"/>
    <w:rsid w:val="00637C4A"/>
    <w:rsid w:val="0064172A"/>
    <w:rsid w:val="00641B20"/>
    <w:rsid w:val="00644DD1"/>
    <w:rsid w:val="0064535C"/>
    <w:rsid w:val="00647BFC"/>
    <w:rsid w:val="006536D7"/>
    <w:rsid w:val="006546A3"/>
    <w:rsid w:val="00656119"/>
    <w:rsid w:val="00660433"/>
    <w:rsid w:val="00661013"/>
    <w:rsid w:val="00662DA7"/>
    <w:rsid w:val="00662E22"/>
    <w:rsid w:val="00664695"/>
    <w:rsid w:val="00665CD1"/>
    <w:rsid w:val="00667166"/>
    <w:rsid w:val="00670D09"/>
    <w:rsid w:val="00672626"/>
    <w:rsid w:val="00672F4D"/>
    <w:rsid w:val="0067389F"/>
    <w:rsid w:val="006749E0"/>
    <w:rsid w:val="006749E8"/>
    <w:rsid w:val="00677756"/>
    <w:rsid w:val="00681829"/>
    <w:rsid w:val="00682126"/>
    <w:rsid w:val="006850F4"/>
    <w:rsid w:val="00685C8A"/>
    <w:rsid w:val="0069014D"/>
    <w:rsid w:val="00693C26"/>
    <w:rsid w:val="006A04D4"/>
    <w:rsid w:val="006A32BF"/>
    <w:rsid w:val="006A39F1"/>
    <w:rsid w:val="006A472D"/>
    <w:rsid w:val="006A4B9D"/>
    <w:rsid w:val="006A5155"/>
    <w:rsid w:val="006A607D"/>
    <w:rsid w:val="006A67A3"/>
    <w:rsid w:val="006B07B9"/>
    <w:rsid w:val="006B0FCA"/>
    <w:rsid w:val="006B10CE"/>
    <w:rsid w:val="006B395B"/>
    <w:rsid w:val="006B3EA8"/>
    <w:rsid w:val="006B446C"/>
    <w:rsid w:val="006B4BFC"/>
    <w:rsid w:val="006C4315"/>
    <w:rsid w:val="006C5FCF"/>
    <w:rsid w:val="006C6279"/>
    <w:rsid w:val="006D27EA"/>
    <w:rsid w:val="006D45E2"/>
    <w:rsid w:val="006D59E3"/>
    <w:rsid w:val="006D5BCC"/>
    <w:rsid w:val="006D5DCB"/>
    <w:rsid w:val="006E1B46"/>
    <w:rsid w:val="006E3368"/>
    <w:rsid w:val="006E3AA9"/>
    <w:rsid w:val="006E4CEA"/>
    <w:rsid w:val="006E52E9"/>
    <w:rsid w:val="006E6E1E"/>
    <w:rsid w:val="006F05AB"/>
    <w:rsid w:val="006F2F92"/>
    <w:rsid w:val="006F5454"/>
    <w:rsid w:val="006F7373"/>
    <w:rsid w:val="007010A4"/>
    <w:rsid w:val="00701ED3"/>
    <w:rsid w:val="00703B44"/>
    <w:rsid w:val="00703EF4"/>
    <w:rsid w:val="00706CA0"/>
    <w:rsid w:val="0071139C"/>
    <w:rsid w:val="00713213"/>
    <w:rsid w:val="0071691B"/>
    <w:rsid w:val="00716C35"/>
    <w:rsid w:val="00721360"/>
    <w:rsid w:val="007266F5"/>
    <w:rsid w:val="007278B3"/>
    <w:rsid w:val="00727C34"/>
    <w:rsid w:val="00733371"/>
    <w:rsid w:val="00733E90"/>
    <w:rsid w:val="00735172"/>
    <w:rsid w:val="00735F14"/>
    <w:rsid w:val="00736AFE"/>
    <w:rsid w:val="00737618"/>
    <w:rsid w:val="00737DC2"/>
    <w:rsid w:val="0074056A"/>
    <w:rsid w:val="007418F2"/>
    <w:rsid w:val="00741B3C"/>
    <w:rsid w:val="00742C8A"/>
    <w:rsid w:val="007435CA"/>
    <w:rsid w:val="00751CB9"/>
    <w:rsid w:val="007522DB"/>
    <w:rsid w:val="00752B16"/>
    <w:rsid w:val="007530E9"/>
    <w:rsid w:val="00756C7A"/>
    <w:rsid w:val="00757A00"/>
    <w:rsid w:val="00757B2F"/>
    <w:rsid w:val="00762BF1"/>
    <w:rsid w:val="0076409E"/>
    <w:rsid w:val="00764612"/>
    <w:rsid w:val="0076542F"/>
    <w:rsid w:val="00765CC7"/>
    <w:rsid w:val="00765F0F"/>
    <w:rsid w:val="00771728"/>
    <w:rsid w:val="007723DA"/>
    <w:rsid w:val="007776F7"/>
    <w:rsid w:val="00780382"/>
    <w:rsid w:val="0078087E"/>
    <w:rsid w:val="00782E42"/>
    <w:rsid w:val="0078423C"/>
    <w:rsid w:val="00786BF5"/>
    <w:rsid w:val="007903C8"/>
    <w:rsid w:val="007908A7"/>
    <w:rsid w:val="007916C2"/>
    <w:rsid w:val="007937D0"/>
    <w:rsid w:val="00794AB9"/>
    <w:rsid w:val="00795E68"/>
    <w:rsid w:val="007A09FD"/>
    <w:rsid w:val="007A15FF"/>
    <w:rsid w:val="007A25CE"/>
    <w:rsid w:val="007A5E8B"/>
    <w:rsid w:val="007B4B97"/>
    <w:rsid w:val="007B68EC"/>
    <w:rsid w:val="007B701A"/>
    <w:rsid w:val="007B76C9"/>
    <w:rsid w:val="007C16DE"/>
    <w:rsid w:val="007C349A"/>
    <w:rsid w:val="007C4FA2"/>
    <w:rsid w:val="007C744B"/>
    <w:rsid w:val="007C7854"/>
    <w:rsid w:val="007C7E2F"/>
    <w:rsid w:val="007C7F8C"/>
    <w:rsid w:val="007D2D20"/>
    <w:rsid w:val="007D54A6"/>
    <w:rsid w:val="007E00D7"/>
    <w:rsid w:val="007E0587"/>
    <w:rsid w:val="007E0F66"/>
    <w:rsid w:val="007E2004"/>
    <w:rsid w:val="007E24E2"/>
    <w:rsid w:val="007E3935"/>
    <w:rsid w:val="007E6E52"/>
    <w:rsid w:val="007F5634"/>
    <w:rsid w:val="007F67B0"/>
    <w:rsid w:val="007F77ED"/>
    <w:rsid w:val="00803816"/>
    <w:rsid w:val="00804900"/>
    <w:rsid w:val="00804D2D"/>
    <w:rsid w:val="00806418"/>
    <w:rsid w:val="008067B8"/>
    <w:rsid w:val="00807AB0"/>
    <w:rsid w:val="00810EF9"/>
    <w:rsid w:val="00812056"/>
    <w:rsid w:val="00816C68"/>
    <w:rsid w:val="00823FE7"/>
    <w:rsid w:val="00826EC8"/>
    <w:rsid w:val="0083691C"/>
    <w:rsid w:val="00836BC0"/>
    <w:rsid w:val="00837E21"/>
    <w:rsid w:val="00841AA5"/>
    <w:rsid w:val="00846560"/>
    <w:rsid w:val="0084699D"/>
    <w:rsid w:val="00850575"/>
    <w:rsid w:val="008506E9"/>
    <w:rsid w:val="00851F34"/>
    <w:rsid w:val="0086160D"/>
    <w:rsid w:val="00865324"/>
    <w:rsid w:val="008656A2"/>
    <w:rsid w:val="00865A5E"/>
    <w:rsid w:val="00870BEA"/>
    <w:rsid w:val="00871B98"/>
    <w:rsid w:val="008739C2"/>
    <w:rsid w:val="00876C10"/>
    <w:rsid w:val="0088015C"/>
    <w:rsid w:val="008845BC"/>
    <w:rsid w:val="00886EB5"/>
    <w:rsid w:val="00887A23"/>
    <w:rsid w:val="0089031D"/>
    <w:rsid w:val="008918D8"/>
    <w:rsid w:val="008A25B4"/>
    <w:rsid w:val="008A7359"/>
    <w:rsid w:val="008B13CB"/>
    <w:rsid w:val="008B3D32"/>
    <w:rsid w:val="008B4163"/>
    <w:rsid w:val="008B4F4C"/>
    <w:rsid w:val="008B5DBE"/>
    <w:rsid w:val="008B640D"/>
    <w:rsid w:val="008C01B8"/>
    <w:rsid w:val="008C1547"/>
    <w:rsid w:val="008C2BEA"/>
    <w:rsid w:val="008C417F"/>
    <w:rsid w:val="008C5756"/>
    <w:rsid w:val="008D038F"/>
    <w:rsid w:val="008D2F2C"/>
    <w:rsid w:val="008D467D"/>
    <w:rsid w:val="008D7BA5"/>
    <w:rsid w:val="008E0D10"/>
    <w:rsid w:val="008E25C2"/>
    <w:rsid w:val="008E2C37"/>
    <w:rsid w:val="008E391E"/>
    <w:rsid w:val="008E4602"/>
    <w:rsid w:val="008E66D3"/>
    <w:rsid w:val="008F1C33"/>
    <w:rsid w:val="008F21AB"/>
    <w:rsid w:val="008F491B"/>
    <w:rsid w:val="008F7471"/>
    <w:rsid w:val="00900C25"/>
    <w:rsid w:val="00906656"/>
    <w:rsid w:val="00913BB4"/>
    <w:rsid w:val="00916AB1"/>
    <w:rsid w:val="00916B4A"/>
    <w:rsid w:val="00916CAD"/>
    <w:rsid w:val="00923A17"/>
    <w:rsid w:val="00925E63"/>
    <w:rsid w:val="00930826"/>
    <w:rsid w:val="00931196"/>
    <w:rsid w:val="00932CA5"/>
    <w:rsid w:val="00933445"/>
    <w:rsid w:val="0093599A"/>
    <w:rsid w:val="00940FCB"/>
    <w:rsid w:val="00941C82"/>
    <w:rsid w:val="00941DDF"/>
    <w:rsid w:val="0094341F"/>
    <w:rsid w:val="009437B3"/>
    <w:rsid w:val="00943CB4"/>
    <w:rsid w:val="009443FB"/>
    <w:rsid w:val="00945645"/>
    <w:rsid w:val="00945C95"/>
    <w:rsid w:val="00950300"/>
    <w:rsid w:val="0095161D"/>
    <w:rsid w:val="00951BD6"/>
    <w:rsid w:val="00951EC8"/>
    <w:rsid w:val="00953879"/>
    <w:rsid w:val="0095480E"/>
    <w:rsid w:val="00956D31"/>
    <w:rsid w:val="00960A2F"/>
    <w:rsid w:val="0096254F"/>
    <w:rsid w:val="009669D2"/>
    <w:rsid w:val="00971D2D"/>
    <w:rsid w:val="00974DBD"/>
    <w:rsid w:val="00975210"/>
    <w:rsid w:val="0097636B"/>
    <w:rsid w:val="00980AEB"/>
    <w:rsid w:val="00982FEC"/>
    <w:rsid w:val="00984F93"/>
    <w:rsid w:val="00985E9A"/>
    <w:rsid w:val="00986360"/>
    <w:rsid w:val="009865D9"/>
    <w:rsid w:val="00986C25"/>
    <w:rsid w:val="00990EAE"/>
    <w:rsid w:val="009913CC"/>
    <w:rsid w:val="00991951"/>
    <w:rsid w:val="00992228"/>
    <w:rsid w:val="009966D8"/>
    <w:rsid w:val="00997582"/>
    <w:rsid w:val="009A5703"/>
    <w:rsid w:val="009A7A10"/>
    <w:rsid w:val="009B06B7"/>
    <w:rsid w:val="009B0A47"/>
    <w:rsid w:val="009B2125"/>
    <w:rsid w:val="009B2365"/>
    <w:rsid w:val="009B2369"/>
    <w:rsid w:val="009B3085"/>
    <w:rsid w:val="009B39DE"/>
    <w:rsid w:val="009B6940"/>
    <w:rsid w:val="009C1748"/>
    <w:rsid w:val="009C6697"/>
    <w:rsid w:val="009C7A7C"/>
    <w:rsid w:val="009D00A8"/>
    <w:rsid w:val="009D08FE"/>
    <w:rsid w:val="009D1BB1"/>
    <w:rsid w:val="009D2101"/>
    <w:rsid w:val="009D26FE"/>
    <w:rsid w:val="009D2F3E"/>
    <w:rsid w:val="009D312F"/>
    <w:rsid w:val="009D3F95"/>
    <w:rsid w:val="009E0F30"/>
    <w:rsid w:val="009E5395"/>
    <w:rsid w:val="009F067A"/>
    <w:rsid w:val="009F1949"/>
    <w:rsid w:val="009F5E53"/>
    <w:rsid w:val="009F7104"/>
    <w:rsid w:val="009F7D3A"/>
    <w:rsid w:val="00A00522"/>
    <w:rsid w:val="00A04957"/>
    <w:rsid w:val="00A04BDF"/>
    <w:rsid w:val="00A06BA6"/>
    <w:rsid w:val="00A06E89"/>
    <w:rsid w:val="00A11059"/>
    <w:rsid w:val="00A1391D"/>
    <w:rsid w:val="00A1569B"/>
    <w:rsid w:val="00A15926"/>
    <w:rsid w:val="00A1759A"/>
    <w:rsid w:val="00A219E6"/>
    <w:rsid w:val="00A21E48"/>
    <w:rsid w:val="00A24AE7"/>
    <w:rsid w:val="00A32C60"/>
    <w:rsid w:val="00A34D08"/>
    <w:rsid w:val="00A40B80"/>
    <w:rsid w:val="00A42B82"/>
    <w:rsid w:val="00A43687"/>
    <w:rsid w:val="00A4623D"/>
    <w:rsid w:val="00A50409"/>
    <w:rsid w:val="00A506C6"/>
    <w:rsid w:val="00A516C1"/>
    <w:rsid w:val="00A5194B"/>
    <w:rsid w:val="00A53592"/>
    <w:rsid w:val="00A53716"/>
    <w:rsid w:val="00A5546A"/>
    <w:rsid w:val="00A564F9"/>
    <w:rsid w:val="00A57B70"/>
    <w:rsid w:val="00A61C3B"/>
    <w:rsid w:val="00A62FDC"/>
    <w:rsid w:val="00A64A4C"/>
    <w:rsid w:val="00A7018C"/>
    <w:rsid w:val="00A71190"/>
    <w:rsid w:val="00A73917"/>
    <w:rsid w:val="00A7449B"/>
    <w:rsid w:val="00A77BC2"/>
    <w:rsid w:val="00A81971"/>
    <w:rsid w:val="00A81E76"/>
    <w:rsid w:val="00A81F1E"/>
    <w:rsid w:val="00A8348A"/>
    <w:rsid w:val="00A8402C"/>
    <w:rsid w:val="00A85C2F"/>
    <w:rsid w:val="00A87328"/>
    <w:rsid w:val="00A90234"/>
    <w:rsid w:val="00A9358D"/>
    <w:rsid w:val="00A95BCD"/>
    <w:rsid w:val="00A96DC3"/>
    <w:rsid w:val="00A97431"/>
    <w:rsid w:val="00AA53FD"/>
    <w:rsid w:val="00AA607F"/>
    <w:rsid w:val="00AA680C"/>
    <w:rsid w:val="00AB2F16"/>
    <w:rsid w:val="00AB5CE4"/>
    <w:rsid w:val="00AC0E15"/>
    <w:rsid w:val="00AC3677"/>
    <w:rsid w:val="00AC5F83"/>
    <w:rsid w:val="00AC643D"/>
    <w:rsid w:val="00AC6E59"/>
    <w:rsid w:val="00AC794A"/>
    <w:rsid w:val="00AD0B8B"/>
    <w:rsid w:val="00AD25D6"/>
    <w:rsid w:val="00AD2616"/>
    <w:rsid w:val="00AD4C61"/>
    <w:rsid w:val="00AD6048"/>
    <w:rsid w:val="00AD6C99"/>
    <w:rsid w:val="00AD7BE4"/>
    <w:rsid w:val="00AE0B38"/>
    <w:rsid w:val="00AE150A"/>
    <w:rsid w:val="00AE20FD"/>
    <w:rsid w:val="00AE6650"/>
    <w:rsid w:val="00AE6AEA"/>
    <w:rsid w:val="00AE7B7D"/>
    <w:rsid w:val="00AE7EA8"/>
    <w:rsid w:val="00AF14DA"/>
    <w:rsid w:val="00AF42F4"/>
    <w:rsid w:val="00AF5ADF"/>
    <w:rsid w:val="00AF77CD"/>
    <w:rsid w:val="00AF7E7C"/>
    <w:rsid w:val="00B003CE"/>
    <w:rsid w:val="00B00D3E"/>
    <w:rsid w:val="00B01ADD"/>
    <w:rsid w:val="00B02FE9"/>
    <w:rsid w:val="00B0348E"/>
    <w:rsid w:val="00B03DBF"/>
    <w:rsid w:val="00B076E3"/>
    <w:rsid w:val="00B07C24"/>
    <w:rsid w:val="00B10FA2"/>
    <w:rsid w:val="00B1141B"/>
    <w:rsid w:val="00B1235B"/>
    <w:rsid w:val="00B1411F"/>
    <w:rsid w:val="00B148C8"/>
    <w:rsid w:val="00B1701B"/>
    <w:rsid w:val="00B20323"/>
    <w:rsid w:val="00B2061D"/>
    <w:rsid w:val="00B220DB"/>
    <w:rsid w:val="00B226A3"/>
    <w:rsid w:val="00B22756"/>
    <w:rsid w:val="00B24D49"/>
    <w:rsid w:val="00B2748B"/>
    <w:rsid w:val="00B27F6D"/>
    <w:rsid w:val="00B3050D"/>
    <w:rsid w:val="00B30941"/>
    <w:rsid w:val="00B33722"/>
    <w:rsid w:val="00B33D6E"/>
    <w:rsid w:val="00B34851"/>
    <w:rsid w:val="00B36AB9"/>
    <w:rsid w:val="00B37DAC"/>
    <w:rsid w:val="00B37F3D"/>
    <w:rsid w:val="00B41D8A"/>
    <w:rsid w:val="00B42709"/>
    <w:rsid w:val="00B440A8"/>
    <w:rsid w:val="00B454F7"/>
    <w:rsid w:val="00B5099F"/>
    <w:rsid w:val="00B50A34"/>
    <w:rsid w:val="00B53906"/>
    <w:rsid w:val="00B55B93"/>
    <w:rsid w:val="00B57872"/>
    <w:rsid w:val="00B6004B"/>
    <w:rsid w:val="00B6066D"/>
    <w:rsid w:val="00B62222"/>
    <w:rsid w:val="00B64CDF"/>
    <w:rsid w:val="00B66B14"/>
    <w:rsid w:val="00B7198A"/>
    <w:rsid w:val="00B71DB4"/>
    <w:rsid w:val="00B7320B"/>
    <w:rsid w:val="00B74C21"/>
    <w:rsid w:val="00B75DD6"/>
    <w:rsid w:val="00B75E50"/>
    <w:rsid w:val="00B7671E"/>
    <w:rsid w:val="00B77DB2"/>
    <w:rsid w:val="00B800AF"/>
    <w:rsid w:val="00B805D0"/>
    <w:rsid w:val="00B80A46"/>
    <w:rsid w:val="00B86636"/>
    <w:rsid w:val="00B92154"/>
    <w:rsid w:val="00B929E8"/>
    <w:rsid w:val="00B92E61"/>
    <w:rsid w:val="00B975B9"/>
    <w:rsid w:val="00B97699"/>
    <w:rsid w:val="00B97A08"/>
    <w:rsid w:val="00BA11E3"/>
    <w:rsid w:val="00BA6E03"/>
    <w:rsid w:val="00BA710D"/>
    <w:rsid w:val="00BA7A55"/>
    <w:rsid w:val="00BB229D"/>
    <w:rsid w:val="00BB4AF3"/>
    <w:rsid w:val="00BB5754"/>
    <w:rsid w:val="00BB6679"/>
    <w:rsid w:val="00BC0393"/>
    <w:rsid w:val="00BC1FDD"/>
    <w:rsid w:val="00BC2BF2"/>
    <w:rsid w:val="00BC328B"/>
    <w:rsid w:val="00BC3935"/>
    <w:rsid w:val="00BC418E"/>
    <w:rsid w:val="00BC454F"/>
    <w:rsid w:val="00BC4B89"/>
    <w:rsid w:val="00BC570E"/>
    <w:rsid w:val="00BC57AF"/>
    <w:rsid w:val="00BD0EA1"/>
    <w:rsid w:val="00BD4CBF"/>
    <w:rsid w:val="00BD783F"/>
    <w:rsid w:val="00BE29CD"/>
    <w:rsid w:val="00BE3CA9"/>
    <w:rsid w:val="00BE4257"/>
    <w:rsid w:val="00BE5453"/>
    <w:rsid w:val="00BE62D4"/>
    <w:rsid w:val="00BE7070"/>
    <w:rsid w:val="00BF01B8"/>
    <w:rsid w:val="00BF24A2"/>
    <w:rsid w:val="00BF2699"/>
    <w:rsid w:val="00BF7F58"/>
    <w:rsid w:val="00C00B1E"/>
    <w:rsid w:val="00C016A5"/>
    <w:rsid w:val="00C021DD"/>
    <w:rsid w:val="00C033AA"/>
    <w:rsid w:val="00C078C6"/>
    <w:rsid w:val="00C07C80"/>
    <w:rsid w:val="00C10F4F"/>
    <w:rsid w:val="00C12B25"/>
    <w:rsid w:val="00C134F3"/>
    <w:rsid w:val="00C144B6"/>
    <w:rsid w:val="00C14636"/>
    <w:rsid w:val="00C201F4"/>
    <w:rsid w:val="00C206A7"/>
    <w:rsid w:val="00C21AD5"/>
    <w:rsid w:val="00C21D09"/>
    <w:rsid w:val="00C23D50"/>
    <w:rsid w:val="00C244FD"/>
    <w:rsid w:val="00C24AB5"/>
    <w:rsid w:val="00C255D6"/>
    <w:rsid w:val="00C25A4A"/>
    <w:rsid w:val="00C261BB"/>
    <w:rsid w:val="00C268F5"/>
    <w:rsid w:val="00C2696A"/>
    <w:rsid w:val="00C2760F"/>
    <w:rsid w:val="00C32C3F"/>
    <w:rsid w:val="00C343CA"/>
    <w:rsid w:val="00C357CC"/>
    <w:rsid w:val="00C35978"/>
    <w:rsid w:val="00C35FD5"/>
    <w:rsid w:val="00C3750A"/>
    <w:rsid w:val="00C40945"/>
    <w:rsid w:val="00C409BE"/>
    <w:rsid w:val="00C43471"/>
    <w:rsid w:val="00C4420B"/>
    <w:rsid w:val="00C447DC"/>
    <w:rsid w:val="00C457A8"/>
    <w:rsid w:val="00C458ED"/>
    <w:rsid w:val="00C46139"/>
    <w:rsid w:val="00C512FD"/>
    <w:rsid w:val="00C514A4"/>
    <w:rsid w:val="00C565A2"/>
    <w:rsid w:val="00C56F2D"/>
    <w:rsid w:val="00C5770F"/>
    <w:rsid w:val="00C60DAC"/>
    <w:rsid w:val="00C65BC4"/>
    <w:rsid w:val="00C72460"/>
    <w:rsid w:val="00C72585"/>
    <w:rsid w:val="00C74094"/>
    <w:rsid w:val="00C77A74"/>
    <w:rsid w:val="00C77B7B"/>
    <w:rsid w:val="00C81F3D"/>
    <w:rsid w:val="00C87492"/>
    <w:rsid w:val="00C92499"/>
    <w:rsid w:val="00C94A2D"/>
    <w:rsid w:val="00C958AC"/>
    <w:rsid w:val="00C96167"/>
    <w:rsid w:val="00C979E8"/>
    <w:rsid w:val="00C97C99"/>
    <w:rsid w:val="00CA04CF"/>
    <w:rsid w:val="00CA07FA"/>
    <w:rsid w:val="00CA2BFA"/>
    <w:rsid w:val="00CA35F5"/>
    <w:rsid w:val="00CB0ADD"/>
    <w:rsid w:val="00CB2359"/>
    <w:rsid w:val="00CB5684"/>
    <w:rsid w:val="00CB6600"/>
    <w:rsid w:val="00CB72BC"/>
    <w:rsid w:val="00CC1B74"/>
    <w:rsid w:val="00CC5256"/>
    <w:rsid w:val="00CC64A1"/>
    <w:rsid w:val="00CC6D23"/>
    <w:rsid w:val="00CD154E"/>
    <w:rsid w:val="00CD1CF3"/>
    <w:rsid w:val="00CD2AA4"/>
    <w:rsid w:val="00CD2C42"/>
    <w:rsid w:val="00CD6EF0"/>
    <w:rsid w:val="00CD70D6"/>
    <w:rsid w:val="00CE19E0"/>
    <w:rsid w:val="00CE502A"/>
    <w:rsid w:val="00CE751F"/>
    <w:rsid w:val="00CE76E4"/>
    <w:rsid w:val="00CF446A"/>
    <w:rsid w:val="00CF72BC"/>
    <w:rsid w:val="00D00C19"/>
    <w:rsid w:val="00D024B3"/>
    <w:rsid w:val="00D02B5F"/>
    <w:rsid w:val="00D0402D"/>
    <w:rsid w:val="00D0614B"/>
    <w:rsid w:val="00D07071"/>
    <w:rsid w:val="00D10D7A"/>
    <w:rsid w:val="00D1435F"/>
    <w:rsid w:val="00D22BBC"/>
    <w:rsid w:val="00D23BFA"/>
    <w:rsid w:val="00D2558C"/>
    <w:rsid w:val="00D34EC9"/>
    <w:rsid w:val="00D34F65"/>
    <w:rsid w:val="00D43E4E"/>
    <w:rsid w:val="00D45339"/>
    <w:rsid w:val="00D46CDF"/>
    <w:rsid w:val="00D47973"/>
    <w:rsid w:val="00D47BBD"/>
    <w:rsid w:val="00D5015A"/>
    <w:rsid w:val="00D51A0D"/>
    <w:rsid w:val="00D52494"/>
    <w:rsid w:val="00D557CE"/>
    <w:rsid w:val="00D55DD3"/>
    <w:rsid w:val="00D5642F"/>
    <w:rsid w:val="00D56C42"/>
    <w:rsid w:val="00D621E0"/>
    <w:rsid w:val="00D642D8"/>
    <w:rsid w:val="00D67814"/>
    <w:rsid w:val="00D67CFF"/>
    <w:rsid w:val="00D70520"/>
    <w:rsid w:val="00D71A14"/>
    <w:rsid w:val="00D71ED4"/>
    <w:rsid w:val="00D7202D"/>
    <w:rsid w:val="00D82762"/>
    <w:rsid w:val="00D831D6"/>
    <w:rsid w:val="00D91B2A"/>
    <w:rsid w:val="00D91BD0"/>
    <w:rsid w:val="00D92AD9"/>
    <w:rsid w:val="00D92F36"/>
    <w:rsid w:val="00D93A87"/>
    <w:rsid w:val="00D94003"/>
    <w:rsid w:val="00D96660"/>
    <w:rsid w:val="00D96B88"/>
    <w:rsid w:val="00D9706A"/>
    <w:rsid w:val="00D97B66"/>
    <w:rsid w:val="00DA0591"/>
    <w:rsid w:val="00DA095A"/>
    <w:rsid w:val="00DA2460"/>
    <w:rsid w:val="00DA35B4"/>
    <w:rsid w:val="00DA43E2"/>
    <w:rsid w:val="00DA6616"/>
    <w:rsid w:val="00DA6BC8"/>
    <w:rsid w:val="00DB1A4B"/>
    <w:rsid w:val="00DB27C1"/>
    <w:rsid w:val="00DB3C9D"/>
    <w:rsid w:val="00DB49C3"/>
    <w:rsid w:val="00DB541C"/>
    <w:rsid w:val="00DB651C"/>
    <w:rsid w:val="00DB718D"/>
    <w:rsid w:val="00DC05EB"/>
    <w:rsid w:val="00DC138B"/>
    <w:rsid w:val="00DC74A6"/>
    <w:rsid w:val="00DC7F5E"/>
    <w:rsid w:val="00DD1F33"/>
    <w:rsid w:val="00DD3661"/>
    <w:rsid w:val="00DD43A8"/>
    <w:rsid w:val="00DD64BF"/>
    <w:rsid w:val="00DD6C08"/>
    <w:rsid w:val="00DE183E"/>
    <w:rsid w:val="00DE1BFD"/>
    <w:rsid w:val="00DE2D05"/>
    <w:rsid w:val="00DE55EE"/>
    <w:rsid w:val="00DE6FB8"/>
    <w:rsid w:val="00DF13AF"/>
    <w:rsid w:val="00DF2E8F"/>
    <w:rsid w:val="00DF6BED"/>
    <w:rsid w:val="00DF7A56"/>
    <w:rsid w:val="00E0036A"/>
    <w:rsid w:val="00E02E57"/>
    <w:rsid w:val="00E02E5D"/>
    <w:rsid w:val="00E04343"/>
    <w:rsid w:val="00E05F2A"/>
    <w:rsid w:val="00E06A58"/>
    <w:rsid w:val="00E07B67"/>
    <w:rsid w:val="00E11263"/>
    <w:rsid w:val="00E12BB6"/>
    <w:rsid w:val="00E1632D"/>
    <w:rsid w:val="00E168D3"/>
    <w:rsid w:val="00E20247"/>
    <w:rsid w:val="00E20D70"/>
    <w:rsid w:val="00E21A27"/>
    <w:rsid w:val="00E23718"/>
    <w:rsid w:val="00E23962"/>
    <w:rsid w:val="00E270B8"/>
    <w:rsid w:val="00E3060E"/>
    <w:rsid w:val="00E31165"/>
    <w:rsid w:val="00E34E26"/>
    <w:rsid w:val="00E352D3"/>
    <w:rsid w:val="00E36EE7"/>
    <w:rsid w:val="00E376D3"/>
    <w:rsid w:val="00E438B0"/>
    <w:rsid w:val="00E45EA5"/>
    <w:rsid w:val="00E517E2"/>
    <w:rsid w:val="00E51DE0"/>
    <w:rsid w:val="00E55C3D"/>
    <w:rsid w:val="00E60DAB"/>
    <w:rsid w:val="00E63382"/>
    <w:rsid w:val="00E64092"/>
    <w:rsid w:val="00E66174"/>
    <w:rsid w:val="00E7003A"/>
    <w:rsid w:val="00E70AE6"/>
    <w:rsid w:val="00E70BC3"/>
    <w:rsid w:val="00E70FC6"/>
    <w:rsid w:val="00E725DF"/>
    <w:rsid w:val="00E73E6C"/>
    <w:rsid w:val="00E844CF"/>
    <w:rsid w:val="00E84AB8"/>
    <w:rsid w:val="00E8530C"/>
    <w:rsid w:val="00E931BD"/>
    <w:rsid w:val="00E9466F"/>
    <w:rsid w:val="00E9519E"/>
    <w:rsid w:val="00EA0CCE"/>
    <w:rsid w:val="00EA1E39"/>
    <w:rsid w:val="00EA28CE"/>
    <w:rsid w:val="00EA3114"/>
    <w:rsid w:val="00EA41AA"/>
    <w:rsid w:val="00EA4A8F"/>
    <w:rsid w:val="00EA4BD0"/>
    <w:rsid w:val="00EA7925"/>
    <w:rsid w:val="00EB027B"/>
    <w:rsid w:val="00EB1234"/>
    <w:rsid w:val="00EB33B0"/>
    <w:rsid w:val="00EC33FF"/>
    <w:rsid w:val="00EC4F1B"/>
    <w:rsid w:val="00ED028F"/>
    <w:rsid w:val="00ED0334"/>
    <w:rsid w:val="00ED0CB8"/>
    <w:rsid w:val="00ED72E9"/>
    <w:rsid w:val="00ED72EC"/>
    <w:rsid w:val="00EE43E6"/>
    <w:rsid w:val="00EE675D"/>
    <w:rsid w:val="00EF0F27"/>
    <w:rsid w:val="00EF4A6F"/>
    <w:rsid w:val="00EF6D41"/>
    <w:rsid w:val="00F03428"/>
    <w:rsid w:val="00F037D5"/>
    <w:rsid w:val="00F03862"/>
    <w:rsid w:val="00F0564B"/>
    <w:rsid w:val="00F11829"/>
    <w:rsid w:val="00F164A9"/>
    <w:rsid w:val="00F17AAA"/>
    <w:rsid w:val="00F2085B"/>
    <w:rsid w:val="00F21949"/>
    <w:rsid w:val="00F24987"/>
    <w:rsid w:val="00F278C3"/>
    <w:rsid w:val="00F3745B"/>
    <w:rsid w:val="00F37D5E"/>
    <w:rsid w:val="00F37F6C"/>
    <w:rsid w:val="00F40CC9"/>
    <w:rsid w:val="00F44054"/>
    <w:rsid w:val="00F443BF"/>
    <w:rsid w:val="00F463EE"/>
    <w:rsid w:val="00F50173"/>
    <w:rsid w:val="00F56C67"/>
    <w:rsid w:val="00F61E67"/>
    <w:rsid w:val="00F6457E"/>
    <w:rsid w:val="00F646B2"/>
    <w:rsid w:val="00F656AA"/>
    <w:rsid w:val="00F657DF"/>
    <w:rsid w:val="00F65909"/>
    <w:rsid w:val="00F67775"/>
    <w:rsid w:val="00F7191F"/>
    <w:rsid w:val="00F721BA"/>
    <w:rsid w:val="00F72A90"/>
    <w:rsid w:val="00F73EE8"/>
    <w:rsid w:val="00F77E1E"/>
    <w:rsid w:val="00F80A65"/>
    <w:rsid w:val="00F825D8"/>
    <w:rsid w:val="00F82B9A"/>
    <w:rsid w:val="00F907B6"/>
    <w:rsid w:val="00F9133E"/>
    <w:rsid w:val="00F9134E"/>
    <w:rsid w:val="00F93C45"/>
    <w:rsid w:val="00F94F7E"/>
    <w:rsid w:val="00F96D96"/>
    <w:rsid w:val="00F974CF"/>
    <w:rsid w:val="00FA08C1"/>
    <w:rsid w:val="00FA0CAE"/>
    <w:rsid w:val="00FA2417"/>
    <w:rsid w:val="00FA3330"/>
    <w:rsid w:val="00FA34FB"/>
    <w:rsid w:val="00FA44F3"/>
    <w:rsid w:val="00FB0D3A"/>
    <w:rsid w:val="00FB153F"/>
    <w:rsid w:val="00FB1768"/>
    <w:rsid w:val="00FB1AF0"/>
    <w:rsid w:val="00FB2487"/>
    <w:rsid w:val="00FB29C4"/>
    <w:rsid w:val="00FB7ED5"/>
    <w:rsid w:val="00FC1F23"/>
    <w:rsid w:val="00FC3A25"/>
    <w:rsid w:val="00FC3FF8"/>
    <w:rsid w:val="00FC7199"/>
    <w:rsid w:val="00FD3336"/>
    <w:rsid w:val="00FD6C5D"/>
    <w:rsid w:val="00FD732A"/>
    <w:rsid w:val="00FD77C0"/>
    <w:rsid w:val="00FE336E"/>
    <w:rsid w:val="00FE3C91"/>
    <w:rsid w:val="00FE48B5"/>
    <w:rsid w:val="00FE5DA4"/>
    <w:rsid w:val="00FE7396"/>
    <w:rsid w:val="00FF0B66"/>
    <w:rsid w:val="00FF390B"/>
    <w:rsid w:val="00FF6BA2"/>
    <w:rsid w:val="1020015E"/>
    <w:rsid w:val="144F07E4"/>
    <w:rsid w:val="14AC266C"/>
    <w:rsid w:val="19A742DF"/>
    <w:rsid w:val="1D7A13EE"/>
    <w:rsid w:val="1DD603FF"/>
    <w:rsid w:val="30514F98"/>
    <w:rsid w:val="313920D4"/>
    <w:rsid w:val="34CC63F9"/>
    <w:rsid w:val="44D1519E"/>
    <w:rsid w:val="44FF63C9"/>
    <w:rsid w:val="4E6309A9"/>
    <w:rsid w:val="536E2828"/>
    <w:rsid w:val="54B24BD6"/>
    <w:rsid w:val="55A7035D"/>
    <w:rsid w:val="637F54DD"/>
    <w:rsid w:val="6E1B56C3"/>
    <w:rsid w:val="79B62003"/>
    <w:rsid w:val="7C2238EE"/>
    <w:rsid w:val="7C6A08D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autoRedefine/>
    <w:unhideWhenUsed/>
    <w:qFormat/>
    <w:uiPriority w:val="1"/>
  </w:style>
  <w:style w:type="table" w:default="1" w:styleId="4">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8"/>
    <w:autoRedefine/>
    <w:unhideWhenUsed/>
    <w:qFormat/>
    <w:uiPriority w:val="99"/>
    <w:pPr>
      <w:tabs>
        <w:tab w:val="center" w:pos="4153"/>
        <w:tab w:val="right" w:pos="8306"/>
      </w:tabs>
      <w:snapToGrid w:val="0"/>
      <w:jc w:val="left"/>
    </w:pPr>
    <w:rPr>
      <w:sz w:val="18"/>
      <w:szCs w:val="18"/>
    </w:rPr>
  </w:style>
  <w:style w:type="paragraph" w:styleId="3">
    <w:name w:val="header"/>
    <w:basedOn w:val="1"/>
    <w:link w:val="7"/>
    <w:autoRedefine/>
    <w:unhideWhenUsed/>
    <w:qFormat/>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autoRedefine/>
    <w:qFormat/>
    <w:uiPriority w:val="39"/>
    <w:pPr>
      <w:spacing w:after="80"/>
      <w:jc w:val="both"/>
    </w:pPr>
    <w:rPr>
      <w:kern w:val="0"/>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7">
    <w:name w:val="页眉 Char"/>
    <w:basedOn w:val="6"/>
    <w:link w:val="3"/>
    <w:autoRedefine/>
    <w:qFormat/>
    <w:uiPriority w:val="99"/>
    <w:rPr>
      <w:sz w:val="18"/>
      <w:szCs w:val="18"/>
    </w:rPr>
  </w:style>
  <w:style w:type="character" w:customStyle="1" w:styleId="8">
    <w:name w:val="页脚 Char"/>
    <w:basedOn w:val="6"/>
    <w:link w:val="2"/>
    <w:autoRedefine/>
    <w:qFormat/>
    <w:uiPriority w:val="99"/>
    <w:rPr>
      <w:sz w:val="18"/>
      <w:szCs w:val="18"/>
    </w:rPr>
  </w:style>
  <w:style w:type="paragraph" w:customStyle="1" w:styleId="9">
    <w:name w:val="段"/>
    <w:link w:val="10"/>
    <w:autoRedefine/>
    <w:qFormat/>
    <w:uiPriority w:val="0"/>
    <w:pPr>
      <w:tabs>
        <w:tab w:val="center" w:pos="4201"/>
        <w:tab w:val="right" w:leader="dot" w:pos="9298"/>
      </w:tabs>
      <w:autoSpaceDE w:val="0"/>
      <w:autoSpaceDN w:val="0"/>
      <w:ind w:firstLine="420" w:firstLineChars="200"/>
      <w:jc w:val="both"/>
    </w:pPr>
    <w:rPr>
      <w:rFonts w:ascii="宋体" w:hAnsi="Calibri" w:eastAsia="宋体" w:cs="Times New Roman"/>
      <w:kern w:val="0"/>
      <w:sz w:val="21"/>
      <w:szCs w:val="20"/>
      <w:lang w:val="en-US" w:eastAsia="zh-CN" w:bidi="ar-SA"/>
    </w:rPr>
  </w:style>
  <w:style w:type="character" w:customStyle="1" w:styleId="10">
    <w:name w:val="段 Char"/>
    <w:link w:val="9"/>
    <w:autoRedefine/>
    <w:qFormat/>
    <w:uiPriority w:val="0"/>
    <w:rPr>
      <w:rFonts w:ascii="宋体" w:hAnsi="Calibri" w:eastAsia="宋体" w:cs="Times New Roman"/>
      <w:kern w:val="0"/>
      <w:szCs w:val="20"/>
    </w:rPr>
  </w:style>
  <w:style w:type="paragraph" w:customStyle="1" w:styleId="11">
    <w:name w:val="标准文件_二级条标题"/>
    <w:next w:val="12"/>
    <w:autoRedefine/>
    <w:qFormat/>
    <w:uiPriority w:val="0"/>
    <w:pPr>
      <w:widowControl w:val="0"/>
      <w:numPr>
        <w:ilvl w:val="3"/>
        <w:numId w:val="1"/>
      </w:numPr>
      <w:spacing w:beforeLines="50" w:afterLines="50"/>
      <w:jc w:val="both"/>
      <w:outlineLvl w:val="2"/>
    </w:pPr>
    <w:rPr>
      <w:rFonts w:ascii="黑体" w:hAnsi="Times New Roman" w:eastAsia="黑体" w:cs="Times New Roman"/>
      <w:kern w:val="0"/>
      <w:sz w:val="21"/>
      <w:szCs w:val="20"/>
      <w:lang w:val="en-US" w:eastAsia="zh-CN" w:bidi="ar-SA"/>
    </w:rPr>
  </w:style>
  <w:style w:type="paragraph" w:customStyle="1" w:styleId="12">
    <w:name w:val="标准文件_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3">
    <w:name w:val="标准文件_三级条标题"/>
    <w:basedOn w:val="11"/>
    <w:next w:val="12"/>
    <w:autoRedefine/>
    <w:qFormat/>
    <w:uiPriority w:val="0"/>
    <w:pPr>
      <w:widowControl/>
      <w:numPr>
        <w:ilvl w:val="4"/>
      </w:numPr>
      <w:outlineLvl w:val="3"/>
    </w:pPr>
  </w:style>
  <w:style w:type="paragraph" w:customStyle="1" w:styleId="14">
    <w:name w:val="标准文件_四级条标题"/>
    <w:next w:val="1"/>
    <w:autoRedefine/>
    <w:qFormat/>
    <w:uiPriority w:val="0"/>
    <w:pPr>
      <w:widowControl w:val="0"/>
      <w:numPr>
        <w:ilvl w:val="5"/>
        <w:numId w:val="1"/>
      </w:numPr>
      <w:spacing w:beforeLines="50" w:afterLines="50"/>
      <w:jc w:val="both"/>
      <w:outlineLvl w:val="4"/>
    </w:pPr>
    <w:rPr>
      <w:rFonts w:ascii="黑体" w:hAnsi="Times New Roman" w:eastAsia="黑体" w:cs="Times New Roman"/>
      <w:kern w:val="0"/>
      <w:sz w:val="21"/>
      <w:szCs w:val="20"/>
      <w:lang w:val="en-US" w:eastAsia="zh-CN" w:bidi="ar-SA"/>
    </w:rPr>
  </w:style>
  <w:style w:type="paragraph" w:customStyle="1" w:styleId="15">
    <w:name w:val="标准文件_五级条标题"/>
    <w:next w:val="1"/>
    <w:autoRedefine/>
    <w:qFormat/>
    <w:uiPriority w:val="0"/>
    <w:pPr>
      <w:widowControl w:val="0"/>
      <w:numPr>
        <w:ilvl w:val="6"/>
        <w:numId w:val="1"/>
      </w:numPr>
      <w:spacing w:beforeLines="50" w:afterLines="50"/>
      <w:jc w:val="both"/>
      <w:outlineLvl w:val="5"/>
    </w:pPr>
    <w:rPr>
      <w:rFonts w:ascii="黑体" w:hAnsi="Times New Roman" w:eastAsia="黑体" w:cs="Times New Roman"/>
      <w:kern w:val="0"/>
      <w:sz w:val="21"/>
      <w:szCs w:val="20"/>
      <w:lang w:val="en-US" w:eastAsia="zh-CN" w:bidi="ar-SA"/>
    </w:rPr>
  </w:style>
  <w:style w:type="paragraph" w:customStyle="1" w:styleId="16">
    <w:name w:val="标准文件_章标题"/>
    <w:next w:val="12"/>
    <w:autoRedefine/>
    <w:qFormat/>
    <w:uiPriority w:val="0"/>
    <w:pPr>
      <w:numPr>
        <w:ilvl w:val="1"/>
        <w:numId w:val="1"/>
      </w:numPr>
      <w:spacing w:beforeLines="100" w:afterLines="100"/>
      <w:jc w:val="both"/>
      <w:outlineLvl w:val="0"/>
    </w:pPr>
    <w:rPr>
      <w:rFonts w:ascii="黑体" w:hAnsi="Times New Roman" w:eastAsia="黑体" w:cs="Times New Roman"/>
      <w:kern w:val="0"/>
      <w:sz w:val="21"/>
      <w:szCs w:val="20"/>
      <w:lang w:val="en-US" w:eastAsia="zh-CN" w:bidi="ar-SA"/>
    </w:rPr>
  </w:style>
  <w:style w:type="paragraph" w:customStyle="1" w:styleId="17">
    <w:name w:val="标准文件_一级条标题"/>
    <w:basedOn w:val="16"/>
    <w:next w:val="12"/>
    <w:autoRedefine/>
    <w:qFormat/>
    <w:uiPriority w:val="0"/>
    <w:pPr>
      <w:numPr>
        <w:ilvl w:val="2"/>
      </w:numPr>
      <w:spacing w:beforeLines="50" w:afterLines="50"/>
      <w:ind w:left="284"/>
      <w:outlineLvl w:val="1"/>
    </w:pPr>
  </w:style>
  <w:style w:type="paragraph" w:customStyle="1" w:styleId="18">
    <w:name w:val="前言标题"/>
    <w:next w:val="1"/>
    <w:autoRedefine/>
    <w:qFormat/>
    <w:uiPriority w:val="0"/>
    <w:pPr>
      <w:numPr>
        <w:ilvl w:val="0"/>
        <w:numId w:val="1"/>
      </w:numPr>
      <w:shd w:val="clear" w:color="FFFFFF" w:fill="FFFFFF"/>
      <w:spacing w:before="540" w:after="600"/>
      <w:jc w:val="center"/>
      <w:outlineLvl w:val="0"/>
    </w:pPr>
    <w:rPr>
      <w:rFonts w:ascii="黑体" w:hAnsi="Times New Roman" w:eastAsia="黑体" w:cs="Times New Roman"/>
      <w:kern w:val="0"/>
      <w:sz w:val="32"/>
      <w:szCs w:val="20"/>
      <w:lang w:val="en-US" w:eastAsia="zh-CN" w:bidi="ar-SA"/>
    </w:rPr>
  </w:style>
  <w:style w:type="paragraph" w:customStyle="1" w:styleId="19">
    <w:name w:val="标准文件_一级无标题"/>
    <w:basedOn w:val="17"/>
    <w:autoRedefine/>
    <w:qFormat/>
    <w:uiPriority w:val="0"/>
    <w:pPr>
      <w:spacing w:beforeLines="0" w:afterLines="0"/>
      <w:outlineLvl w:val="9"/>
    </w:pPr>
    <w:rPr>
      <w:rFonts w:ascii="宋体" w:eastAsia="宋体"/>
    </w:rPr>
  </w:style>
  <w:style w:type="paragraph" w:customStyle="1" w:styleId="20">
    <w:name w:val="标准文件_正文表标题"/>
    <w:next w:val="12"/>
    <w:autoRedefine/>
    <w:qFormat/>
    <w:uiPriority w:val="0"/>
    <w:pPr>
      <w:numPr>
        <w:ilvl w:val="0"/>
        <w:numId w:val="2"/>
      </w:numPr>
      <w:tabs>
        <w:tab w:val="left" w:pos="0"/>
      </w:tabs>
      <w:spacing w:beforeLines="50" w:afterLines="50"/>
      <w:jc w:val="center"/>
    </w:pPr>
    <w:rPr>
      <w:rFonts w:ascii="黑体" w:hAnsi="Times New Roman" w:eastAsia="黑体" w:cs="Times New Roman"/>
      <w:kern w:val="0"/>
      <w:sz w:val="21"/>
      <w:szCs w:val="20"/>
      <w:lang w:val="en-US" w:eastAsia="zh-CN" w:bidi="ar-SA"/>
    </w:rPr>
  </w:style>
  <w:style w:type="paragraph" w:customStyle="1" w:styleId="21">
    <w:name w:val="标准文件_正文标准名称"/>
    <w:autoRedefine/>
    <w:qFormat/>
    <w:uiPriority w:val="0"/>
    <w:pPr>
      <w:spacing w:after="640" w:line="400" w:lineRule="exact"/>
      <w:jc w:val="center"/>
    </w:pPr>
    <w:rPr>
      <w:rFonts w:ascii="黑体" w:hAnsi="黑体" w:eastAsia="黑体" w:cs="Times New Roman"/>
      <w:kern w:val="2"/>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466</Words>
  <Characters>2661</Characters>
  <Lines>22</Lines>
  <Paragraphs>6</Paragraphs>
  <TotalTime>17</TotalTime>
  <ScaleCrop>false</ScaleCrop>
  <LinksUpToDate>false</LinksUpToDate>
  <CharactersWithSpaces>3121</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2020-04-16T08:00:00Z</dcterms:created>
  <dc:creator>CLMB</dc:creator>
  <cp:lastModifiedBy>moon</cp:lastModifiedBy>
  <cp:lastPrinted>2020-05-07T00:59:00Z</cp:lastPrinted>
  <dcterms:modified xsi:type="dcterms:W3CDTF">2024-03-11T07:49:51Z</dcterms:modified>
  <cp:revision>114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EC7D9C9E66994625A59ABC628502970F_13</vt:lpwstr>
  </property>
</Properties>
</file>