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71.100.7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71.100.70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JGE</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Y 42"/>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Y 42</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江西绿色生态品牌建设促进会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JGE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江西绿色生态 润肤膏霜</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Jiangxi Green Ecology-Skin care cream"/>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Jiangxi Green Ecology-Skin care cream</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江西绿色生态品牌建设促进会</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9"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_Toc12825 </w:instrText>
      </w:r>
      <w:r>
        <w:fldChar w:fldCharType="separate"/>
      </w:r>
      <w:r>
        <w:rPr>
          <w:spacing w:val="320"/>
        </w:rPr>
        <w:t>前</w:t>
      </w:r>
      <w:r>
        <w:t>言</w:t>
      </w:r>
      <w:r>
        <w:tab/>
      </w:r>
      <w:r>
        <w:fldChar w:fldCharType="begin"/>
      </w:r>
      <w:r>
        <w:instrText xml:space="preserve"> PAGEREF _Toc12825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_Toc10537 </w:instrText>
      </w:r>
      <w:r>
        <w:fldChar w:fldCharType="separate"/>
      </w:r>
      <w:r>
        <w:rPr>
          <w:spacing w:val="320"/>
        </w:rPr>
        <w:t>引</w:t>
      </w:r>
      <w:r>
        <w:t>言</w:t>
      </w:r>
      <w:r>
        <w:tab/>
      </w:r>
      <w:r>
        <w:fldChar w:fldCharType="begin"/>
      </w:r>
      <w:r>
        <w:instrText xml:space="preserve"> PAGEREF _Toc10537 \h </w:instrText>
      </w:r>
      <w:r>
        <w:fldChar w:fldCharType="separate"/>
      </w:r>
      <w:r>
        <w:t>IV</w:t>
      </w:r>
      <w:r>
        <w:fldChar w:fldCharType="end"/>
      </w:r>
      <w:r>
        <w:fldChar w:fldCharType="end"/>
      </w:r>
    </w:p>
    <w:p>
      <w:pPr>
        <w:pStyle w:val="19"/>
        <w:tabs>
          <w:tab w:val="right" w:leader="dot" w:pos="9354"/>
        </w:tabs>
      </w:pPr>
      <w:r>
        <w:fldChar w:fldCharType="begin"/>
      </w:r>
      <w:r>
        <w:instrText xml:space="preserve"> HYPERLINK \l _Toc29581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_Toc29581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_Toc13908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_Toc13908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_Toc13848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_Toc13848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_Toc6221 </w:instrText>
      </w:r>
      <w:r>
        <w:fldChar w:fldCharType="separate"/>
      </w:r>
      <w:r>
        <w:rPr>
          <w:rFonts w:hint="eastAsia" w:ascii="黑体" w:eastAsia="黑体"/>
          <w:i w:val="0"/>
        </w:rPr>
        <w:t xml:space="preserve">4 </w:t>
      </w:r>
      <w:r>
        <w:rPr>
          <w:rFonts w:hint="eastAsia"/>
        </w:rPr>
        <w:t>评价要求</w:t>
      </w:r>
      <w:r>
        <w:tab/>
      </w:r>
      <w:r>
        <w:fldChar w:fldCharType="begin"/>
      </w:r>
      <w:r>
        <w:instrText xml:space="preserve"> PAGEREF _Toc6221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_Toc32499 </w:instrText>
      </w:r>
      <w:r>
        <w:fldChar w:fldCharType="separate"/>
      </w:r>
      <w:r>
        <w:rPr>
          <w:rFonts w:hint="eastAsia" w:ascii="黑体" w:eastAsia="黑体"/>
          <w:i w:val="0"/>
        </w:rPr>
        <w:t xml:space="preserve">5 </w:t>
      </w:r>
      <w:r>
        <w:rPr>
          <w:rFonts w:hint="eastAsia"/>
        </w:rPr>
        <w:t>品牌互认</w:t>
      </w:r>
      <w:r>
        <w:tab/>
      </w:r>
      <w:r>
        <w:fldChar w:fldCharType="begin"/>
      </w:r>
      <w:r>
        <w:instrText xml:space="preserve"> PAGEREF _Toc32499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_Toc12973 </w:instrText>
      </w:r>
      <w:r>
        <w:fldChar w:fldCharType="separate"/>
      </w:r>
      <w:r>
        <w:rPr>
          <w:rFonts w:hint="eastAsia"/>
          <w:spacing w:val="100"/>
        </w:rPr>
        <w:t xml:space="preserve">附录A </w:t>
      </w:r>
      <w:r>
        <w:rPr>
          <w:rFonts w:hint="eastAsia"/>
        </w:rPr>
        <w:t xml:space="preserve"> </w:t>
      </w:r>
      <w:r>
        <w:rPr>
          <w:rFonts w:hint="eastAsia"/>
          <w:lang w:eastAsia="zh-CN"/>
        </w:rPr>
        <w:t xml:space="preserve">（资料性附录） </w:t>
      </w:r>
      <w:r>
        <w:tab/>
      </w:r>
      <w:r>
        <w:fldChar w:fldCharType="begin"/>
      </w:r>
      <w:r>
        <w:instrText xml:space="preserve"> PAGEREF _Toc12973 \h </w:instrText>
      </w:r>
      <w:r>
        <w:fldChar w:fldCharType="separate"/>
      </w:r>
      <w:r>
        <w:t>5</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pPr>
        <w:pStyle w:val="89"/>
        <w:spacing w:before="900" w:after="360"/>
      </w:pPr>
      <w:bookmarkStart w:id="20" w:name="_Toc12825"/>
      <w:bookmarkStart w:id="21" w:name="BookMark2"/>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ind w:firstLine="420" w:firstLineChars="200"/>
        <w:rPr>
          <w:color w:val="000000"/>
        </w:rPr>
      </w:pPr>
      <w:r>
        <w:rPr>
          <w:rFonts w:hint="eastAsia"/>
          <w:color w:val="000000"/>
        </w:rPr>
        <w:t>请注意本文件的某些内容可能涉及专利。本文件的发布机构不承担识别这些专利的责任。</w:t>
      </w:r>
    </w:p>
    <w:p>
      <w:pPr>
        <w:pStyle w:val="56"/>
        <w:ind w:firstLine="420"/>
      </w:pPr>
      <w:r>
        <w:rPr>
          <w:rFonts w:hint="eastAsia"/>
        </w:rPr>
        <w:t>本文件由</w:t>
      </w:r>
      <w:r>
        <w:rPr>
          <w:rFonts w:hint="eastAsia"/>
          <w:color w:val="000000"/>
          <w:szCs w:val="21"/>
        </w:rPr>
        <w:t>江西绿色生态品牌建设促进会提出并归口。</w:t>
      </w:r>
    </w:p>
    <w:p>
      <w:pPr>
        <w:pStyle w:val="56"/>
        <w:ind w:firstLine="420"/>
        <w:rPr>
          <w:rFonts w:hint="eastAsia" w:eastAsia="宋体"/>
          <w:lang w:eastAsia="zh-CN"/>
        </w:rPr>
      </w:pPr>
      <w:r>
        <w:rPr>
          <w:rFonts w:hint="eastAsia"/>
        </w:rPr>
        <w:t>本文件起草单位：</w:t>
      </w:r>
      <w:r>
        <w:rPr>
          <w:rFonts w:hint="eastAsia"/>
          <w:lang w:eastAsia="zh-CN"/>
        </w:rPr>
        <w:t>赣州澳丽尔化妆品有限公司</w:t>
      </w:r>
    </w:p>
    <w:p>
      <w:pPr>
        <w:pStyle w:val="56"/>
        <w:ind w:firstLine="420"/>
      </w:pPr>
      <w:r>
        <w:rPr>
          <w:rFonts w:hint="eastAsia"/>
        </w:rPr>
        <w:t>本文件主要起草人：</w:t>
      </w: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1"/>
    <w:p>
      <w:pPr>
        <w:pStyle w:val="89"/>
        <w:spacing w:after="360"/>
      </w:pPr>
      <w:bookmarkStart w:id="22" w:name="_Toc10537"/>
      <w:bookmarkStart w:id="23" w:name="BookMark3"/>
      <w:r>
        <w:rPr>
          <w:spacing w:val="320"/>
        </w:rPr>
        <w:t>引</w:t>
      </w:r>
      <w:r>
        <w:t>言</w:t>
      </w:r>
      <w:bookmarkEnd w:id="22"/>
    </w:p>
    <w:p>
      <w:pPr>
        <w:pStyle w:val="230"/>
      </w:pPr>
      <w:r>
        <w:rPr>
          <w:rFonts w:hint="eastAsia"/>
        </w:rPr>
        <w:t>本文件中产品指标先进性说明：</w:t>
      </w:r>
    </w:p>
    <w:p>
      <w:pPr>
        <w:pStyle w:val="230"/>
      </w:pPr>
      <w:r>
        <w:rPr>
          <w:rFonts w:hint="eastAsia"/>
        </w:rPr>
        <w:t>——“江西绿色生态 润肤膏霜”中禁用组分指标符合《化妆品安全技术规范》要求。其中二噁烷≤</w:t>
      </w:r>
      <w:r>
        <w:rPr>
          <w:rFonts w:hint="eastAsia"/>
          <w:lang w:val="en-US" w:eastAsia="zh-CN"/>
        </w:rPr>
        <w:t>5</w:t>
      </w:r>
      <w:r>
        <w:rPr>
          <w:rFonts w:hint="eastAsia"/>
        </w:rPr>
        <w:t>mg/kg，优于限值要求≤30mg/kg。</w:t>
      </w:r>
    </w:p>
    <w:p>
      <w:pPr>
        <w:pStyle w:val="230"/>
      </w:pPr>
      <w:r>
        <w:rPr>
          <w:rFonts w:hint="eastAsia"/>
        </w:rPr>
        <w:t>——“江西绿色生态 润肤膏霜”中有害物质指标符合《化妆品安全技术规范</w:t>
      </w:r>
      <w:bookmarkStart w:id="117" w:name="_GoBack"/>
      <w:bookmarkEnd w:id="117"/>
      <w:r>
        <w:rPr>
          <w:rFonts w:hint="eastAsia"/>
        </w:rPr>
        <w:t>》要求。其中汞≤1mg/kg，铅≤10mg/kg，砷≤2mg/kg，镉≤5mg/kg。</w:t>
      </w:r>
    </w:p>
    <w:p>
      <w:pPr>
        <w:pStyle w:val="230"/>
        <w:rPr>
          <w:rFonts w:cs="仿宋_GB2312" w:asciiTheme="minorEastAsia" w:hAnsiTheme="minorEastAsia" w:eastAsiaTheme="minorEastAsia"/>
          <w:kern w:val="2"/>
          <w:sz w:val="28"/>
          <w:szCs w:val="28"/>
        </w:rPr>
      </w:pPr>
      <w:r>
        <w:rPr>
          <w:rFonts w:hint="eastAsia"/>
        </w:rPr>
        <w:t xml:space="preserve">——“江西绿色生态 </w:t>
      </w:r>
      <w:r>
        <w:rPr>
          <w:rFonts w:hint="eastAsia"/>
          <w:lang w:val="en-US" w:eastAsia="zh-CN"/>
        </w:rPr>
        <w:t>润肤膏霜</w:t>
      </w:r>
      <w:r>
        <w:rPr>
          <w:rFonts w:hint="eastAsia"/>
        </w:rPr>
        <w:t>”首次提出“单位产品碳排放量”和“碳排放强度”两项绿色低碳二级指标。</w:t>
      </w: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925FC9092484459C884ACDC80BA49514"/>
        </w:placeholder>
      </w:sdtPr>
      <w:sdtContent>
        <w:p>
          <w:pPr>
            <w:pStyle w:val="177"/>
            <w:spacing w:before="2" w:beforeLines="1" w:after="528" w:afterLines="220"/>
          </w:pPr>
          <w:bookmarkStart w:id="25" w:name="NEW_STAND_NAME"/>
          <w:r>
            <w:rPr>
              <w:rFonts w:hint="eastAsia"/>
            </w:rPr>
            <w:t>江西绿色生态</w:t>
          </w:r>
          <w:r>
            <w:t xml:space="preserve"> 润肤膏霜</w:t>
          </w:r>
        </w:p>
      </w:sdtContent>
    </w:sdt>
    <w:bookmarkEnd w:id="25"/>
    <w:p>
      <w:pPr>
        <w:pStyle w:val="104"/>
        <w:spacing w:before="240" w:after="240"/>
      </w:pPr>
      <w:bookmarkStart w:id="26" w:name="_Toc97192964"/>
      <w:bookmarkStart w:id="27" w:name="_Toc24884211"/>
      <w:bookmarkStart w:id="28" w:name="_Toc26986771"/>
      <w:bookmarkStart w:id="29" w:name="_Toc24884218"/>
      <w:bookmarkStart w:id="30" w:name="_Toc26986530"/>
      <w:bookmarkStart w:id="31" w:name="_Toc17233333"/>
      <w:bookmarkStart w:id="32" w:name="_Toc17233325"/>
      <w:bookmarkStart w:id="33" w:name="_Toc26718930"/>
      <w:bookmarkStart w:id="34" w:name="_Toc26648465"/>
      <w:bookmarkStart w:id="35" w:name="_Toc29581"/>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rPr>
          <w:color w:val="000000"/>
          <w:szCs w:val="21"/>
        </w:rPr>
      </w:pPr>
      <w:bookmarkStart w:id="36" w:name="_Toc24884219"/>
      <w:bookmarkStart w:id="37" w:name="_Toc17233334"/>
      <w:bookmarkStart w:id="38" w:name="_Toc24884212"/>
      <w:bookmarkStart w:id="39" w:name="_Toc17233326"/>
      <w:bookmarkStart w:id="40" w:name="_Toc26648466"/>
      <w:r>
        <w:rPr>
          <w:rFonts w:hint="eastAsia"/>
          <w:color w:val="000000"/>
          <w:szCs w:val="21"/>
        </w:rPr>
        <w:t>本文件规定了润肤膏霜产品申请“江西绿色生态”认证的评价要求、品牌互认等内容。</w:t>
      </w:r>
    </w:p>
    <w:p>
      <w:pPr>
        <w:pStyle w:val="230"/>
      </w:pPr>
      <w:r>
        <w:rPr>
          <w:rFonts w:hint="eastAsia"/>
          <w:color w:val="000000"/>
          <w:szCs w:val="21"/>
        </w:rPr>
        <w:t>本文件适用于润肤膏霜产品申请“江西绿色生态”品牌的自我评价和第三方认证活动。</w:t>
      </w:r>
    </w:p>
    <w:p>
      <w:pPr>
        <w:pStyle w:val="104"/>
        <w:spacing w:before="240" w:after="240"/>
      </w:pPr>
      <w:bookmarkStart w:id="41" w:name="_Toc26986772"/>
      <w:bookmarkStart w:id="42" w:name="_Toc97192965"/>
      <w:bookmarkStart w:id="43" w:name="_Toc26986531"/>
      <w:bookmarkStart w:id="44" w:name="_Toc26718931"/>
      <w:bookmarkStart w:id="45" w:name="_Toc13908"/>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ACBA808E4FCE4F08B46290FE0D6A38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rPr>
          <w:rFonts w:hAnsi="宋体" w:cs="宋体"/>
          <w:color w:val="000000"/>
          <w:szCs w:val="21"/>
          <w:lang w:bidi="ar"/>
        </w:rPr>
      </w:pPr>
      <w:r>
        <w:rPr>
          <w:rFonts w:hint="eastAsia" w:hAnsi="宋体" w:cs="宋体"/>
          <w:color w:val="000000"/>
          <w:szCs w:val="21"/>
          <w:lang w:bidi="ar"/>
        </w:rPr>
        <w:t>GB 23350 限制商品过度包装要求 食品和化妆品（含第1号修改单）</w:t>
      </w:r>
    </w:p>
    <w:p>
      <w:pPr>
        <w:pStyle w:val="230"/>
        <w:rPr>
          <w:rFonts w:hAnsi="宋体" w:cs="宋体"/>
          <w:color w:val="000000"/>
          <w:szCs w:val="21"/>
          <w:lang w:bidi="ar"/>
        </w:rPr>
      </w:pPr>
      <w:r>
        <w:rPr>
          <w:rFonts w:hint="eastAsia" w:hAnsi="宋体" w:cs="宋体"/>
          <w:color w:val="000000"/>
          <w:szCs w:val="21"/>
          <w:lang w:bidi="ar"/>
        </w:rPr>
        <w:t xml:space="preserve">GB </w:t>
      </w:r>
      <w:r>
        <w:rPr>
          <w:rFonts w:hAnsi="宋体" w:cs="宋体"/>
          <w:color w:val="000000"/>
          <w:szCs w:val="21"/>
          <w:lang w:bidi="ar"/>
        </w:rPr>
        <w:t>17167</w:t>
      </w:r>
      <w:r>
        <w:rPr>
          <w:rFonts w:hint="eastAsia" w:hAnsi="宋体" w:cs="宋体"/>
          <w:color w:val="000000"/>
          <w:szCs w:val="21"/>
          <w:lang w:bidi="ar"/>
        </w:rPr>
        <w:t xml:space="preserve"> 用能单位能源计量器具配备和管理通则</w:t>
      </w:r>
    </w:p>
    <w:p>
      <w:pPr>
        <w:pStyle w:val="230"/>
        <w:rPr>
          <w:rFonts w:hint="eastAsia" w:hAnsi="宋体" w:cs="宋体"/>
          <w:color w:val="000000"/>
          <w:szCs w:val="21"/>
          <w:lang w:bidi="ar"/>
        </w:rPr>
      </w:pPr>
      <w:r>
        <w:rPr>
          <w:rFonts w:hint="eastAsia" w:hAnsi="宋体" w:cs="宋体"/>
          <w:color w:val="000000"/>
          <w:szCs w:val="21"/>
          <w:lang w:bidi="ar"/>
        </w:rPr>
        <w:t>GB 24789 用水单位水计量器具配备和管理通则</w:t>
      </w:r>
    </w:p>
    <w:p>
      <w:pPr>
        <w:pStyle w:val="230"/>
        <w:rPr>
          <w:rFonts w:hint="eastAsia" w:hAnsi="宋体" w:cs="宋体"/>
          <w:color w:val="000000"/>
          <w:szCs w:val="21"/>
          <w:lang w:bidi="ar"/>
        </w:rPr>
      </w:pPr>
      <w:r>
        <w:rPr>
          <w:rFonts w:hint="eastAsia" w:hAnsi="宋体" w:cs="宋体"/>
          <w:color w:val="000000"/>
          <w:szCs w:val="21"/>
          <w:lang w:val="en-US" w:eastAsia="zh-CN"/>
        </w:rPr>
        <w:t>GB 8978 污水综合排放标准</w:t>
      </w:r>
    </w:p>
    <w:p>
      <w:pPr>
        <w:pStyle w:val="230"/>
        <w:rPr>
          <w:rFonts w:hAnsi="宋体" w:cs="宋体"/>
          <w:color w:val="000000"/>
          <w:szCs w:val="21"/>
        </w:rPr>
      </w:pPr>
      <w:r>
        <w:rPr>
          <w:rFonts w:hint="eastAsia" w:hAnsi="宋体" w:cs="宋体"/>
          <w:color w:val="000000"/>
          <w:szCs w:val="21"/>
        </w:rPr>
        <w:t>GB/T 2585 综合能耗计算通则</w:t>
      </w:r>
    </w:p>
    <w:p>
      <w:pPr>
        <w:pStyle w:val="230"/>
        <w:rPr>
          <w:rFonts w:hAnsi="宋体" w:cs="宋体"/>
          <w:color w:val="000000"/>
          <w:szCs w:val="21"/>
        </w:rPr>
      </w:pPr>
      <w:r>
        <w:rPr>
          <w:rFonts w:hint="eastAsia" w:hAnsi="宋体" w:cs="宋体"/>
          <w:color w:val="000000"/>
          <w:szCs w:val="21"/>
        </w:rPr>
        <w:t>GB/T 19001 质量管理体系要求</w:t>
      </w:r>
    </w:p>
    <w:p>
      <w:pPr>
        <w:pStyle w:val="230"/>
        <w:rPr>
          <w:rFonts w:hAnsi="宋体" w:cs="宋体"/>
          <w:color w:val="000000"/>
          <w:szCs w:val="21"/>
        </w:rPr>
      </w:pPr>
      <w:r>
        <w:rPr>
          <w:rFonts w:hint="eastAsia" w:hAnsi="宋体" w:cs="宋体"/>
          <w:color w:val="000000"/>
          <w:szCs w:val="21"/>
        </w:rPr>
        <w:t>GB/T 23331 能源管理体系要求及使用指南</w:t>
      </w:r>
    </w:p>
    <w:p>
      <w:pPr>
        <w:pStyle w:val="230"/>
        <w:rPr>
          <w:rFonts w:hAnsi="宋体" w:cs="宋体"/>
          <w:color w:val="000000"/>
          <w:szCs w:val="21"/>
        </w:rPr>
      </w:pPr>
      <w:r>
        <w:rPr>
          <w:rFonts w:hint="eastAsia" w:hAnsi="宋体" w:cs="宋体"/>
          <w:color w:val="000000"/>
          <w:szCs w:val="21"/>
        </w:rPr>
        <w:t>GB/T 24001 环境管理体系要求及使用指南</w:t>
      </w:r>
    </w:p>
    <w:p>
      <w:pPr>
        <w:pStyle w:val="230"/>
        <w:rPr>
          <w:rFonts w:hAnsi="宋体" w:cs="宋体"/>
          <w:color w:val="000000"/>
          <w:szCs w:val="21"/>
        </w:rPr>
      </w:pPr>
      <w:r>
        <w:rPr>
          <w:rFonts w:hint="eastAsia" w:hAnsi="宋体" w:cs="宋体"/>
          <w:color w:val="000000"/>
          <w:szCs w:val="21"/>
        </w:rPr>
        <w:t>GB/T 24256 产品生态设计通则</w:t>
      </w:r>
    </w:p>
    <w:p>
      <w:pPr>
        <w:pStyle w:val="56"/>
        <w:ind w:firstLine="420"/>
        <w:rPr>
          <w:szCs w:val="21"/>
        </w:rPr>
      </w:pPr>
      <w:r>
        <w:rPr>
          <w:rFonts w:hint="eastAsia" w:hAnsi="宋体"/>
        </w:rPr>
        <w:t>GB/T 32161 生态设计产品评价通则</w:t>
      </w:r>
    </w:p>
    <w:p>
      <w:pPr>
        <w:pStyle w:val="230"/>
        <w:rPr>
          <w:rFonts w:hAnsi="宋体" w:cs="宋体"/>
          <w:color w:val="000000"/>
          <w:szCs w:val="21"/>
        </w:rPr>
      </w:pPr>
      <w:r>
        <w:rPr>
          <w:rFonts w:hint="eastAsia" w:hAnsi="宋体" w:cs="宋体"/>
          <w:color w:val="000000"/>
          <w:szCs w:val="21"/>
        </w:rPr>
        <w:t>GB/T 33635 绿色制造 制造企业绿色供应链管理 导则</w:t>
      </w:r>
    </w:p>
    <w:p>
      <w:pPr>
        <w:pStyle w:val="56"/>
        <w:ind w:firstLine="420"/>
        <w:rPr>
          <w:szCs w:val="21"/>
        </w:rPr>
      </w:pPr>
      <w:r>
        <w:rPr>
          <w:rFonts w:hint="eastAsia" w:hAnsi="宋体"/>
        </w:rPr>
        <w:t xml:space="preserve">GB/T </w:t>
      </w:r>
      <w:r>
        <w:rPr>
          <w:rFonts w:hint="eastAsia"/>
        </w:rPr>
        <w:t xml:space="preserve">33761 </w:t>
      </w:r>
      <w:r>
        <w:rPr>
          <w:rFonts w:hint="eastAsia" w:hAnsi="宋体"/>
        </w:rPr>
        <w:t>绿色产品评价通则</w:t>
      </w:r>
    </w:p>
    <w:p>
      <w:pPr>
        <w:pStyle w:val="230"/>
        <w:rPr>
          <w:rFonts w:hAnsi="宋体" w:cs="宋体"/>
          <w:color w:val="000000"/>
          <w:szCs w:val="21"/>
        </w:rPr>
      </w:pPr>
      <w:r>
        <w:rPr>
          <w:rFonts w:hint="eastAsia" w:hAnsi="宋体" w:cs="宋体"/>
          <w:color w:val="000000"/>
          <w:szCs w:val="21"/>
        </w:rPr>
        <w:t>GB/T 45001 职业健康安全管理体系 要求及使用指南</w:t>
      </w:r>
    </w:p>
    <w:p>
      <w:pPr>
        <w:pStyle w:val="230"/>
        <w:rPr>
          <w:rFonts w:hAnsi="宋体" w:cs="宋体"/>
          <w:color w:val="000000"/>
          <w:szCs w:val="21"/>
          <w:lang w:bidi="ar"/>
        </w:rPr>
      </w:pPr>
      <w:bookmarkStart w:id="46" w:name="_Hlk151563853"/>
      <w:r>
        <w:rPr>
          <w:rFonts w:hint="eastAsia" w:hAnsi="宋体" w:cs="宋体"/>
          <w:color w:val="000000"/>
          <w:szCs w:val="21"/>
          <w:lang w:bidi="ar"/>
        </w:rPr>
        <w:t>QB/T 1857-2013 润肤膏霜</w:t>
      </w:r>
      <w:bookmarkEnd w:id="46"/>
      <w:r>
        <w:rPr>
          <w:rFonts w:hint="eastAsia" w:hAnsi="宋体" w:cs="宋体"/>
          <w:color w:val="000000"/>
          <w:szCs w:val="21"/>
          <w:lang w:bidi="ar"/>
        </w:rPr>
        <w:t xml:space="preserve"> </w:t>
      </w:r>
    </w:p>
    <w:p>
      <w:pPr>
        <w:pStyle w:val="230"/>
        <w:rPr>
          <w:rFonts w:hAnsi="宋体" w:cs="宋体"/>
          <w:color w:val="000000"/>
          <w:szCs w:val="21"/>
        </w:rPr>
      </w:pPr>
      <w:r>
        <w:rPr>
          <w:rFonts w:hint="eastAsia" w:hAnsi="宋体" w:cs="宋体"/>
          <w:color w:val="000000"/>
          <w:szCs w:val="21"/>
        </w:rPr>
        <w:t>DB36/T 1138 “江西绿色生态”品牌评价要求</w:t>
      </w:r>
    </w:p>
    <w:p>
      <w:pPr>
        <w:pStyle w:val="56"/>
        <w:ind w:firstLine="420"/>
      </w:pPr>
      <w:r>
        <w:rPr>
          <w:rFonts w:hint="eastAsia" w:hAnsi="宋体" w:cs="宋体"/>
          <w:color w:val="000000"/>
          <w:szCs w:val="21"/>
        </w:rPr>
        <w:t>《化妆品安全技术规范》</w:t>
      </w:r>
    </w:p>
    <w:p>
      <w:pPr>
        <w:pStyle w:val="104"/>
        <w:spacing w:before="240" w:after="240"/>
      </w:pPr>
      <w:bookmarkStart w:id="47" w:name="_Toc13848"/>
      <w:bookmarkStart w:id="48" w:name="_Toc97192966"/>
      <w:r>
        <w:rPr>
          <w:rFonts w:hint="eastAsia"/>
          <w:szCs w:val="21"/>
        </w:rPr>
        <w:t>术语和定义</w:t>
      </w:r>
      <w:bookmarkEnd w:id="47"/>
      <w:bookmarkEnd w:id="48"/>
    </w:p>
    <w:sdt>
      <w:sdtPr>
        <w:rPr>
          <w:color w:val="000000"/>
        </w:rPr>
        <w:id w:val="-1909835108"/>
        <w:placeholder>
          <w:docPart w:val="AD8DD69D501348B79726D4E2CAD907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rPr>
      </w:sdtEndPr>
      <w:sdtContent>
        <w:p>
          <w:pPr>
            <w:pStyle w:val="56"/>
            <w:ind w:firstLine="420"/>
          </w:pPr>
          <w:bookmarkStart w:id="49" w:name="_Toc26986532"/>
          <w:bookmarkEnd w:id="49"/>
          <w:r>
            <w:rPr>
              <w:color w:val="000000"/>
            </w:rPr>
            <w:t>DB36/T 1138界定的以及下列术语和定义适用于本文件。</w:t>
          </w:r>
        </w:p>
      </w:sdtContent>
    </w:sdt>
    <w:p>
      <w:pPr>
        <w:pStyle w:val="105"/>
        <w:spacing w:before="120" w:after="120"/>
      </w:pPr>
      <w:bookmarkStart w:id="50" w:name="_Toc5301"/>
      <w:bookmarkEnd w:id="50"/>
      <w:bookmarkStart w:id="51" w:name="_Toc150260155"/>
      <w:bookmarkEnd w:id="51"/>
    </w:p>
    <w:p>
      <w:pPr>
        <w:pStyle w:val="56"/>
        <w:ind w:firstLine="420"/>
        <w:rPr>
          <w:rFonts w:ascii="黑体" w:hAnsi="黑体" w:eastAsia="黑体"/>
        </w:rPr>
      </w:pPr>
      <w:r>
        <w:rPr>
          <w:rFonts w:hint="eastAsia" w:ascii="黑体" w:hAnsi="黑体" w:eastAsia="黑体"/>
        </w:rPr>
        <w:t xml:space="preserve">润肤膏霜 </w:t>
      </w:r>
      <w:r>
        <w:rPr>
          <w:rFonts w:ascii="黑体" w:hAnsi="黑体" w:eastAsia="黑体"/>
        </w:rPr>
        <w:t xml:space="preserve">Skin care </w:t>
      </w:r>
      <w:r>
        <w:rPr>
          <w:rFonts w:hint="eastAsia" w:ascii="黑体" w:hAnsi="黑体" w:eastAsia="黑体"/>
        </w:rPr>
        <w:t>cream</w:t>
      </w:r>
    </w:p>
    <w:p>
      <w:pPr>
        <w:pStyle w:val="56"/>
        <w:ind w:firstLine="420"/>
      </w:pPr>
      <w:r>
        <w:rPr>
          <w:rFonts w:hint="eastAsia"/>
        </w:rPr>
        <w:t>是指适用于滋润人体皮肤（或以滋润人体皮肤为主兼具修饰作用膏霜）的具有一定稠度的乳化型膏霜。</w:t>
      </w:r>
      <w:bookmarkStart w:id="52" w:name="_Toc31891"/>
      <w:bookmarkEnd w:id="52"/>
    </w:p>
    <w:p>
      <w:pPr>
        <w:pStyle w:val="105"/>
        <w:spacing w:before="120" w:after="120"/>
      </w:pPr>
      <w:bookmarkStart w:id="53" w:name="_Toc8582"/>
      <w:bookmarkEnd w:id="53"/>
      <w:bookmarkStart w:id="54" w:name="_Toc150260156"/>
      <w:bookmarkEnd w:id="54"/>
    </w:p>
    <w:p>
      <w:pPr>
        <w:pStyle w:val="56"/>
        <w:ind w:firstLine="420"/>
        <w:rPr>
          <w:rFonts w:ascii="黑体" w:hAnsi="黑体" w:eastAsia="黑体"/>
        </w:rPr>
      </w:pPr>
      <w:r>
        <w:rPr>
          <w:rFonts w:hint="eastAsia" w:ascii="黑体" w:hAnsi="黑体" w:eastAsia="黑体"/>
        </w:rPr>
        <w:t>“江西绿色生态”润肤膏霜 Jiangxi Green Ecology-Emollient cream</w:t>
      </w:r>
    </w:p>
    <w:p>
      <w:pPr>
        <w:pStyle w:val="56"/>
        <w:ind w:firstLine="420"/>
      </w:pPr>
      <w:r>
        <w:rPr>
          <w:rFonts w:hint="eastAsia"/>
        </w:rPr>
        <w:t>符合</w:t>
      </w:r>
      <w:r>
        <w:rPr>
          <w:rFonts w:hint="eastAsia" w:hAnsi="宋体" w:cs="宋体"/>
          <w:color w:val="000000"/>
          <w:szCs w:val="21"/>
        </w:rPr>
        <w:t>DB36/T 1138</w:t>
      </w:r>
      <w:r>
        <w:rPr>
          <w:rFonts w:hint="eastAsia" w:hAnsi="宋体" w:cs="宋体"/>
          <w:color w:val="000000"/>
          <w:szCs w:val="21"/>
          <w:lang w:val="en-US" w:eastAsia="zh-CN"/>
        </w:rPr>
        <w:t xml:space="preserve"> </w:t>
      </w:r>
      <w:r>
        <w:rPr>
          <w:rFonts w:hint="eastAsia"/>
          <w:highlight w:val="none"/>
        </w:rPr>
        <w:t>“江西绿色生态”品牌评价通用要求</w:t>
      </w:r>
      <w:r>
        <w:rPr>
          <w:rFonts w:hint="eastAsia"/>
        </w:rPr>
        <w:t>及本文件技术要求，并通过“江西绿色生态”品牌评价活动的润肤膏霜产品。</w:t>
      </w:r>
    </w:p>
    <w:p>
      <w:pPr>
        <w:pStyle w:val="105"/>
        <w:spacing w:before="120" w:after="120"/>
      </w:pPr>
      <w:bookmarkStart w:id="55" w:name="_Toc9719"/>
      <w:bookmarkEnd w:id="55"/>
    </w:p>
    <w:p>
      <w:pPr>
        <w:pStyle w:val="56"/>
        <w:ind w:firstLine="420"/>
        <w:rPr>
          <w:rFonts w:ascii="黑体" w:hAnsi="黑体" w:eastAsia="黑体"/>
        </w:rPr>
      </w:pPr>
      <w:r>
        <w:rPr>
          <w:rFonts w:hint="eastAsia" w:ascii="黑体" w:hAnsi="黑体" w:eastAsia="黑体"/>
        </w:rPr>
        <w:t>天然成分或天然原料 na</w:t>
      </w:r>
      <w:r>
        <w:rPr>
          <w:rFonts w:ascii="黑体" w:hAnsi="黑体" w:eastAsia="黑体"/>
        </w:rPr>
        <w:t>tural materials</w:t>
      </w:r>
    </w:p>
    <w:p>
      <w:pPr>
        <w:pStyle w:val="56"/>
        <w:ind w:firstLine="420"/>
      </w:pPr>
      <w:r>
        <w:rPr>
          <w:rFonts w:hint="eastAsia"/>
        </w:rPr>
        <w:t>是指任何直接来自于农业生产的植物、动物或矿物质产品，收获后未经加工或只经附录A中列出的加工方法而得，并且满足产品质量标准的要求。经附录A加工方法处理过的水亦为天然成分或天然原料。</w:t>
      </w:r>
    </w:p>
    <w:p>
      <w:pPr>
        <w:pStyle w:val="105"/>
        <w:spacing w:before="120" w:after="120"/>
      </w:pPr>
      <w:bookmarkStart w:id="56" w:name="_Toc25597"/>
      <w:r>
        <w:rPr>
          <w:rFonts w:hint="eastAsia"/>
        </w:rPr>
        <w:t xml:space="preserve">禁用成分 </w:t>
      </w:r>
      <w:r>
        <w:t>banned ingredient</w:t>
      </w:r>
      <w:bookmarkEnd w:id="56"/>
    </w:p>
    <w:p>
      <w:pPr>
        <w:pStyle w:val="56"/>
        <w:ind w:firstLine="420"/>
        <w:rPr>
          <w:rFonts w:hint="eastAsia"/>
        </w:rPr>
      </w:pPr>
      <w:r>
        <w:rPr>
          <w:rFonts w:hint="eastAsia"/>
        </w:rPr>
        <w:t>依据《化妆品安全技术规范》中规定，不得作为化妆品原料使用的物质。</w:t>
      </w:r>
    </w:p>
    <w:p>
      <w:pPr>
        <w:pStyle w:val="104"/>
        <w:spacing w:before="240" w:after="240"/>
      </w:pPr>
      <w:bookmarkStart w:id="57" w:name="_Toc22123"/>
      <w:bookmarkStart w:id="58" w:name="_Toc6221"/>
      <w:bookmarkStart w:id="59" w:name="_Toc30105"/>
      <w:r>
        <w:rPr>
          <w:rFonts w:hint="eastAsia"/>
        </w:rPr>
        <w:t>评价要求</w:t>
      </w:r>
      <w:bookmarkEnd w:id="57"/>
      <w:bookmarkEnd w:id="58"/>
      <w:bookmarkEnd w:id="59"/>
    </w:p>
    <w:p>
      <w:pPr>
        <w:pStyle w:val="105"/>
        <w:spacing w:before="120" w:after="120"/>
      </w:pPr>
      <w:bookmarkStart w:id="60" w:name="_Toc29588"/>
      <w:bookmarkStart w:id="61" w:name="_Toc26657"/>
      <w:bookmarkStart w:id="62" w:name="_Toc150260158"/>
      <w:bookmarkStart w:id="63" w:name="_Toc32481"/>
      <w:r>
        <w:rPr>
          <w:rFonts w:hint="eastAsia"/>
        </w:rPr>
        <w:t>基本要求</w:t>
      </w:r>
      <w:bookmarkEnd w:id="60"/>
      <w:bookmarkEnd w:id="61"/>
      <w:bookmarkEnd w:id="62"/>
      <w:bookmarkEnd w:id="63"/>
    </w:p>
    <w:p>
      <w:pPr>
        <w:pStyle w:val="65"/>
        <w:spacing w:before="120" w:after="120"/>
        <w:rPr>
          <w:rFonts w:ascii="宋体" w:hAnsi="宋体" w:eastAsia="宋体"/>
        </w:rPr>
      </w:pPr>
      <w:bookmarkStart w:id="64" w:name="_Toc5258"/>
      <w:bookmarkStart w:id="65" w:name="_Toc150260159"/>
      <w:r>
        <w:rPr>
          <w:rFonts w:hint="eastAsia" w:ascii="宋体" w:hAnsi="宋体" w:eastAsia="宋体"/>
        </w:rPr>
        <w:t>企业生产的润肤膏霜应为量产产品，且应满足国家强制性标准、《化妆品安全技术规范》和QB/T 1857-2013 规定的要求。</w:t>
      </w:r>
      <w:bookmarkEnd w:id="64"/>
      <w:bookmarkEnd w:id="65"/>
    </w:p>
    <w:p>
      <w:pPr>
        <w:pStyle w:val="65"/>
        <w:spacing w:before="120" w:after="120"/>
        <w:rPr>
          <w:rFonts w:ascii="宋体" w:hAnsi="宋体" w:eastAsia="宋体"/>
        </w:rPr>
      </w:pPr>
      <w:bookmarkStart w:id="66" w:name="_Toc150260160"/>
      <w:bookmarkStart w:id="67" w:name="_Toc15254"/>
      <w:r>
        <w:rPr>
          <w:rFonts w:hint="eastAsia" w:ascii="宋体" w:hAnsi="宋体" w:eastAsia="宋体"/>
        </w:rPr>
        <w:t>生产企业应按照 GB/T 19001、GB/T 23331、 GB/T 24001和 GB/T 45001 分别建立并运行质量管理体系、环境管理体系、能源管理体系和职业健康安全管理体系，宜通过质量、环境、职业健康安全管理体系认证</w:t>
      </w:r>
      <w:bookmarkEnd w:id="66"/>
      <w:r>
        <w:rPr>
          <w:rFonts w:hint="eastAsia" w:ascii="宋体" w:hAnsi="宋体" w:eastAsia="宋体"/>
        </w:rPr>
        <w:t>。</w:t>
      </w:r>
      <w:bookmarkEnd w:id="67"/>
    </w:p>
    <w:p>
      <w:pPr>
        <w:pStyle w:val="65"/>
        <w:spacing w:before="120" w:after="120"/>
        <w:rPr>
          <w:rFonts w:ascii="宋体" w:hAnsi="宋体" w:eastAsia="宋体"/>
        </w:rPr>
      </w:pPr>
      <w:bookmarkStart w:id="68" w:name="_Toc463"/>
      <w:r>
        <w:rPr>
          <w:rFonts w:hint="eastAsia" w:ascii="宋体" w:hAnsi="宋体" w:eastAsia="宋体"/>
        </w:rPr>
        <w:t>企业应优先选用国家鼓励的低污染、低排放、低能耗、经济高效的清洁生产技术和工艺先进设备，不应使用淘汰的落后工艺、技术、装备及生产落后产品。生产企业应按照GB</w:t>
      </w:r>
      <w:r>
        <w:rPr>
          <w:rFonts w:ascii="宋体" w:hAnsi="宋体" w:eastAsia="宋体"/>
        </w:rPr>
        <w:t xml:space="preserve"> 17167</w:t>
      </w:r>
      <w:r>
        <w:rPr>
          <w:rFonts w:hint="eastAsia" w:ascii="宋体" w:hAnsi="宋体" w:eastAsia="宋体"/>
        </w:rPr>
        <w:t>配备能源计量器具，按照GB</w:t>
      </w:r>
      <w:r>
        <w:rPr>
          <w:rFonts w:ascii="宋体" w:hAnsi="宋体" w:eastAsia="宋体"/>
        </w:rPr>
        <w:t>24789</w:t>
      </w:r>
      <w:r>
        <w:rPr>
          <w:rFonts w:hint="eastAsia" w:ascii="宋体" w:hAnsi="宋体" w:eastAsia="宋体"/>
        </w:rPr>
        <w:t>配备水计量器具。</w:t>
      </w:r>
      <w:bookmarkEnd w:id="68"/>
    </w:p>
    <w:p>
      <w:pPr>
        <w:pStyle w:val="65"/>
        <w:spacing w:before="120" w:after="120"/>
        <w:rPr>
          <w:rFonts w:ascii="宋体" w:hAnsi="宋体" w:eastAsia="宋体"/>
        </w:rPr>
      </w:pPr>
      <w:bookmarkStart w:id="69" w:name="_Toc25273"/>
      <w:bookmarkStart w:id="70" w:name="_Toc150260161"/>
      <w:r>
        <w:rPr>
          <w:rFonts w:hint="eastAsia" w:ascii="宋体" w:hAnsi="宋体" w:eastAsia="宋体"/>
        </w:rPr>
        <w:t>生产企业应GB/T33635的要求，推行绿色供应链管理体系，协同上下游企业，促进资源回收利用，实现企业绿色采购和可持续发展。对产品主要原材料供应方、生产协作方、相关服务方等提出相关质量、环境、能源和安全等方面的管理要求。开展绿色供应链管理，并建立绿色供应链管理绩效评价机制、程序，确定评价指标和评价方法。</w:t>
      </w:r>
      <w:bookmarkEnd w:id="69"/>
      <w:bookmarkEnd w:id="70"/>
    </w:p>
    <w:p>
      <w:pPr>
        <w:pStyle w:val="65"/>
        <w:spacing w:before="120" w:after="120"/>
        <w:rPr>
          <w:rFonts w:ascii="宋体" w:hAnsi="宋体" w:eastAsia="宋体"/>
          <w:szCs w:val="21"/>
        </w:rPr>
      </w:pPr>
      <w:bookmarkStart w:id="71" w:name="_Toc13350"/>
      <w:bookmarkStart w:id="72" w:name="_Toc150260162"/>
      <w:r>
        <w:rPr>
          <w:rFonts w:hint="eastAsia" w:ascii="宋体" w:hAnsi="宋体" w:eastAsia="宋体"/>
        </w:rPr>
        <w:t>生产企业污染物的排放应达到国家和地方相关政策、法律法规及标准要求，排放总量应达到总量控制的要求。</w:t>
      </w:r>
      <w:bookmarkEnd w:id="71"/>
    </w:p>
    <w:bookmarkEnd w:id="72"/>
    <w:p>
      <w:pPr>
        <w:pStyle w:val="65"/>
        <w:spacing w:before="120" w:after="120"/>
        <w:rPr>
          <w:rFonts w:ascii="宋体" w:hAnsi="宋体" w:eastAsia="宋体"/>
        </w:rPr>
      </w:pPr>
      <w:bookmarkStart w:id="73" w:name="_Toc150260163"/>
      <w:bookmarkStart w:id="74" w:name="_Toc30351"/>
      <w:r>
        <w:rPr>
          <w:rFonts w:hint="eastAsia" w:ascii="宋体" w:hAnsi="宋体" w:eastAsia="宋体"/>
        </w:rPr>
        <w:t>生产企业应完善原料管理制度、优化生产工艺、加强储运防护、回收利用废料等措施。宜采用产品回收电子标签、物联网及大数据技术手段建立可核查、可追溯的绿色回收体系。</w:t>
      </w:r>
      <w:bookmarkEnd w:id="73"/>
      <w:bookmarkEnd w:id="74"/>
    </w:p>
    <w:p>
      <w:pPr>
        <w:pStyle w:val="65"/>
        <w:spacing w:before="120" w:after="120"/>
        <w:rPr>
          <w:rFonts w:ascii="宋体" w:hAnsi="宋体" w:eastAsia="宋体"/>
          <w:color w:val="000000"/>
        </w:rPr>
      </w:pPr>
      <w:bookmarkStart w:id="75" w:name="_Toc4536"/>
      <w:bookmarkStart w:id="76" w:name="_Toc150260164"/>
      <w:r>
        <w:rPr>
          <w:rFonts w:hint="eastAsia" w:ascii="宋体" w:hAnsi="宋体" w:eastAsia="宋体"/>
        </w:rPr>
        <w:t xml:space="preserve">生产企业生产的“江西绿色生态”润肤膏霜应按照 </w:t>
      </w:r>
      <w:r>
        <w:rPr>
          <w:rFonts w:hint="eastAsia" w:ascii="宋体" w:hAnsi="宋体" w:eastAsia="宋体" w:cs="宋体"/>
          <w:szCs w:val="21"/>
          <w:lang w:bidi="ar"/>
        </w:rPr>
        <w:t>QB/T 1857</w:t>
      </w:r>
      <w:r>
        <w:rPr>
          <w:rFonts w:hint="eastAsia" w:ascii="宋体" w:hAnsi="宋体" w:eastAsia="宋体"/>
        </w:rPr>
        <w:t>中的相关要求执行</w:t>
      </w:r>
      <w:r>
        <w:rPr>
          <w:rFonts w:hint="eastAsia" w:ascii="宋体" w:hAnsi="宋体" w:eastAsia="宋体"/>
          <w:color w:val="000000"/>
        </w:rPr>
        <w:t>产品包装材料宜采用可再生或可降解材料。</w:t>
      </w:r>
      <w:bookmarkEnd w:id="75"/>
      <w:bookmarkEnd w:id="76"/>
    </w:p>
    <w:p>
      <w:pPr>
        <w:pStyle w:val="65"/>
        <w:spacing w:before="120" w:after="120"/>
        <w:rPr>
          <w:rFonts w:ascii="宋体" w:hAnsi="宋体" w:eastAsia="宋体"/>
          <w:szCs w:val="21"/>
        </w:rPr>
      </w:pPr>
      <w:bookmarkStart w:id="77" w:name="_Toc17857"/>
      <w:r>
        <w:rPr>
          <w:rFonts w:hint="eastAsia" w:ascii="宋体" w:hAnsi="宋体" w:eastAsia="宋体"/>
        </w:rPr>
        <w:t>企业近三年无重大质量、安全和环境事故，近两年内未受到各级环保部门处罚。</w:t>
      </w:r>
      <w:bookmarkEnd w:id="77"/>
    </w:p>
    <w:p>
      <w:pPr>
        <w:pStyle w:val="105"/>
        <w:spacing w:before="120" w:after="120"/>
      </w:pPr>
      <w:bookmarkStart w:id="78" w:name="_Toc21255"/>
      <w:bookmarkStart w:id="79" w:name="_Toc150260165"/>
      <w:bookmarkStart w:id="80" w:name="_Toc1949"/>
      <w:bookmarkStart w:id="81" w:name="_Toc29485"/>
      <w:r>
        <w:rPr>
          <w:rFonts w:hint="eastAsia"/>
        </w:rPr>
        <w:t>评价指标</w:t>
      </w:r>
      <w:bookmarkEnd w:id="78"/>
      <w:bookmarkEnd w:id="79"/>
      <w:bookmarkEnd w:id="80"/>
      <w:bookmarkEnd w:id="81"/>
    </w:p>
    <w:p>
      <w:pPr>
        <w:pStyle w:val="230"/>
      </w:pPr>
      <w:r>
        <w:rPr>
          <w:rFonts w:hint="eastAsia"/>
        </w:rPr>
        <w:t>“江西绿色生态”润肤膏霜产品评价指标按照DB36/T1138中规定的由一级指标和二级指标组成。一级指标包括“资源节约”、“环境保护”、“生态协同”和“质量引领”。二级指标是对一级指标的具体化，明确规定索要达到的具体数值。经评价，达到或符合评级指标的产品即为“江西绿色生态”润肤膏霜产品。评价指标和评价方式或方法见表1。</w:t>
      </w:r>
    </w:p>
    <w:p>
      <w:pPr>
        <w:pStyle w:val="238"/>
        <w:numPr>
          <w:ilvl w:val="0"/>
          <w:numId w:val="16"/>
        </w:numPr>
        <w:spacing w:before="120" w:after="120"/>
      </w:pPr>
      <w:r>
        <w:rPr>
          <w:rFonts w:hint="eastAsia"/>
        </w:rPr>
        <w:t>“江西绿色生态”润肤膏霜产品评价指标和评价方法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605"/>
        <w:gridCol w:w="977"/>
        <w:gridCol w:w="846"/>
        <w:gridCol w:w="933"/>
        <w:gridCol w:w="3955"/>
        <w:gridCol w:w="17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0" w:type="auto"/>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序号</w:t>
            </w:r>
          </w:p>
        </w:tc>
        <w:tc>
          <w:tcPr>
            <w:tcW w:w="0" w:type="auto"/>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一级指标</w:t>
            </w:r>
          </w:p>
        </w:tc>
        <w:tc>
          <w:tcPr>
            <w:tcW w:w="0" w:type="auto"/>
            <w:gridSpan w:val="2"/>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二级指标</w:t>
            </w:r>
          </w:p>
        </w:tc>
        <w:tc>
          <w:tcPr>
            <w:tcW w:w="0" w:type="auto"/>
            <w:tcBorders>
              <w:top w:val="single" w:color="auto" w:sz="8" w:space="0"/>
              <w:bottom w:val="single" w:color="auto" w:sz="8" w:space="0"/>
            </w:tcBorders>
            <w:vAlign w:val="center"/>
          </w:tcPr>
          <w:p>
            <w:pPr>
              <w:jc w:val="center"/>
              <w:rPr>
                <w:rFonts w:ascii="宋体" w:hAnsi="宋体"/>
                <w:b/>
                <w:bCs/>
                <w:sz w:val="18"/>
                <w:szCs w:val="18"/>
              </w:rPr>
            </w:pPr>
            <w:r>
              <w:rPr>
                <w:rFonts w:hint="eastAsia" w:ascii="宋体" w:hAnsi="宋体"/>
                <w:b/>
                <w:bCs/>
                <w:sz w:val="18"/>
                <w:szCs w:val="18"/>
              </w:rPr>
              <w:t>单位</w:t>
            </w:r>
          </w:p>
        </w:tc>
        <w:tc>
          <w:tcPr>
            <w:tcW w:w="3956"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基准值</w:t>
            </w:r>
          </w:p>
        </w:tc>
        <w:tc>
          <w:tcPr>
            <w:tcW w:w="1786"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判定依据/方法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8" w:space="0"/>
            </w:tcBorders>
            <w:shd w:val="clear" w:color="auto" w:fill="auto"/>
            <w:vAlign w:val="center"/>
          </w:tcPr>
          <w:p>
            <w:pPr>
              <w:jc w:val="center"/>
              <w:rPr>
                <w:sz w:val="18"/>
                <w:szCs w:val="18"/>
              </w:rPr>
            </w:pPr>
            <w:r>
              <w:rPr>
                <w:rFonts w:hint="eastAsia"/>
                <w:sz w:val="18"/>
                <w:szCs w:val="18"/>
              </w:rPr>
              <w:t>1</w:t>
            </w:r>
          </w:p>
        </w:tc>
        <w:tc>
          <w:tcPr>
            <w:tcW w:w="0" w:type="auto"/>
            <w:vMerge w:val="restart"/>
            <w:tcBorders>
              <w:top w:val="single" w:color="auto" w:sz="8" w:space="0"/>
            </w:tcBorders>
            <w:shd w:val="clear" w:color="auto" w:fill="auto"/>
            <w:vAlign w:val="center"/>
          </w:tcPr>
          <w:p>
            <w:pPr>
              <w:jc w:val="center"/>
              <w:rPr>
                <w:b/>
                <w:bCs/>
                <w:sz w:val="18"/>
                <w:szCs w:val="18"/>
              </w:rPr>
            </w:pPr>
            <w:r>
              <w:rPr>
                <w:rFonts w:hint="eastAsia"/>
                <w:b/>
                <w:bCs/>
                <w:sz w:val="18"/>
                <w:szCs w:val="18"/>
              </w:rPr>
              <w:t>资源节约</w:t>
            </w:r>
          </w:p>
        </w:tc>
        <w:tc>
          <w:tcPr>
            <w:tcW w:w="0" w:type="auto"/>
            <w:gridSpan w:val="2"/>
            <w:tcBorders>
              <w:top w:val="single" w:color="auto" w:sz="8" w:space="0"/>
            </w:tcBorders>
            <w:shd w:val="clear" w:color="auto" w:fill="auto"/>
            <w:vAlign w:val="center"/>
          </w:tcPr>
          <w:p>
            <w:pPr>
              <w:jc w:val="center"/>
              <w:rPr>
                <w:sz w:val="18"/>
                <w:szCs w:val="18"/>
              </w:rPr>
            </w:pPr>
            <w:r>
              <w:rPr>
                <w:rFonts w:hint="eastAsia"/>
                <w:sz w:val="18"/>
                <w:szCs w:val="18"/>
              </w:rPr>
              <w:t>原材料使用天然成分或天然来源成分占比</w:t>
            </w:r>
          </w:p>
        </w:tc>
        <w:tc>
          <w:tcPr>
            <w:tcW w:w="0" w:type="auto"/>
            <w:tcBorders>
              <w:top w:val="single" w:color="auto" w:sz="8" w:space="0"/>
            </w:tcBorders>
            <w:vAlign w:val="center"/>
          </w:tcPr>
          <w:p>
            <w:pPr>
              <w:jc w:val="center"/>
              <w:rPr>
                <w:rFonts w:hint="eastAsia"/>
                <w:sz w:val="18"/>
                <w:szCs w:val="18"/>
              </w:rPr>
            </w:pPr>
            <w:r>
              <w:rPr>
                <w:rFonts w:hint="eastAsia"/>
                <w:sz w:val="18"/>
                <w:szCs w:val="18"/>
              </w:rPr>
              <w:t>%</w:t>
            </w:r>
          </w:p>
        </w:tc>
        <w:tc>
          <w:tcPr>
            <w:tcW w:w="3956" w:type="dxa"/>
            <w:tcBorders>
              <w:top w:val="single" w:color="auto" w:sz="8" w:space="0"/>
            </w:tcBorders>
            <w:shd w:val="clear" w:color="auto" w:fill="auto"/>
            <w:vAlign w:val="center"/>
          </w:tcPr>
          <w:p>
            <w:pPr>
              <w:jc w:val="left"/>
              <w:rPr>
                <w:rFonts w:hint="eastAsia"/>
                <w:sz w:val="18"/>
                <w:szCs w:val="18"/>
              </w:rPr>
            </w:pPr>
            <w:r>
              <w:rPr>
                <w:rFonts w:hint="eastAsia"/>
                <w:sz w:val="18"/>
                <w:szCs w:val="18"/>
              </w:rPr>
              <w:t>不得使用《化妆品安全技术规范》 中的禁用物质，且原材料使用天然成分或天然来源成分占比达到3</w:t>
            </w:r>
            <w:r>
              <w:rPr>
                <w:sz w:val="18"/>
                <w:szCs w:val="18"/>
              </w:rPr>
              <w:t>0%</w:t>
            </w:r>
            <w:r>
              <w:rPr>
                <w:rFonts w:hint="eastAsia"/>
                <w:sz w:val="18"/>
                <w:szCs w:val="18"/>
              </w:rPr>
              <w:t>以上</w:t>
            </w:r>
          </w:p>
        </w:tc>
        <w:tc>
          <w:tcPr>
            <w:tcW w:w="1786" w:type="dxa"/>
            <w:tcBorders>
              <w:top w:val="single" w:color="auto" w:sz="8" w:space="0"/>
            </w:tcBorders>
            <w:shd w:val="clear" w:color="auto" w:fill="auto"/>
            <w:vAlign w:val="center"/>
          </w:tcPr>
          <w:p>
            <w:pPr>
              <w:jc w:val="center"/>
              <w:rPr>
                <w:sz w:val="18"/>
                <w:szCs w:val="18"/>
              </w:rPr>
            </w:pPr>
            <w:r>
              <w:rPr>
                <w:rFonts w:hint="eastAsia"/>
                <w:sz w:val="18"/>
                <w:szCs w:val="18"/>
              </w:rPr>
              <w:t>现场原材料清单数据或第三方检测报告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sz w:val="18"/>
                <w:szCs w:val="18"/>
              </w:rPr>
            </w:pPr>
            <w:r>
              <w:rPr>
                <w:rFonts w:hint="eastAsia"/>
                <w:sz w:val="18"/>
                <w:szCs w:val="18"/>
              </w:rPr>
              <w:t>2</w:t>
            </w:r>
          </w:p>
        </w:tc>
        <w:tc>
          <w:tcPr>
            <w:tcW w:w="0" w:type="auto"/>
            <w:vMerge w:val="continue"/>
            <w:shd w:val="clear" w:color="auto" w:fill="auto"/>
            <w:vAlign w:val="center"/>
          </w:tcPr>
          <w:p>
            <w:pPr>
              <w:jc w:val="center"/>
              <w:rPr>
                <w:sz w:val="18"/>
                <w:szCs w:val="18"/>
              </w:rPr>
            </w:pPr>
          </w:p>
        </w:tc>
        <w:tc>
          <w:tcPr>
            <w:tcW w:w="0" w:type="auto"/>
            <w:gridSpan w:val="2"/>
            <w:shd w:val="clear" w:color="auto" w:fill="auto"/>
            <w:vAlign w:val="center"/>
          </w:tcPr>
          <w:p>
            <w:pPr>
              <w:jc w:val="center"/>
              <w:rPr>
                <w:sz w:val="18"/>
                <w:szCs w:val="18"/>
              </w:rPr>
            </w:pPr>
            <w:r>
              <w:rPr>
                <w:rFonts w:hint="eastAsia"/>
                <w:sz w:val="18"/>
                <w:szCs w:val="18"/>
              </w:rPr>
              <w:t>单位产品取水量</w:t>
            </w:r>
          </w:p>
        </w:tc>
        <w:tc>
          <w:tcPr>
            <w:tcW w:w="0" w:type="auto"/>
            <w:vAlign w:val="center"/>
          </w:tcPr>
          <w:p>
            <w:pPr>
              <w:jc w:val="center"/>
              <w:rPr>
                <w:sz w:val="18"/>
                <w:szCs w:val="18"/>
              </w:rPr>
            </w:pPr>
            <w:r>
              <w:rPr>
                <w:rFonts w:hint="eastAsia"/>
                <w:sz w:val="18"/>
                <w:szCs w:val="18"/>
              </w:rPr>
              <w:t>m</w:t>
            </w:r>
            <w:r>
              <w:rPr>
                <w:sz w:val="18"/>
                <w:szCs w:val="18"/>
                <w:vertAlign w:val="superscript"/>
              </w:rPr>
              <w:t>3</w:t>
            </w:r>
            <w:r>
              <w:rPr>
                <w:sz w:val="18"/>
                <w:szCs w:val="18"/>
              </w:rPr>
              <w:t>/</w:t>
            </w:r>
            <w:r>
              <w:rPr>
                <w:rFonts w:hint="eastAsia"/>
                <w:sz w:val="18"/>
                <w:szCs w:val="18"/>
              </w:rPr>
              <w:t>t</w:t>
            </w:r>
          </w:p>
        </w:tc>
        <w:tc>
          <w:tcPr>
            <w:tcW w:w="3956" w:type="dxa"/>
            <w:shd w:val="clear" w:color="auto" w:fill="auto"/>
            <w:vAlign w:val="center"/>
          </w:tcPr>
          <w:p>
            <w:pPr>
              <w:jc w:val="center"/>
              <w:rPr>
                <w:sz w:val="18"/>
                <w:szCs w:val="18"/>
              </w:rPr>
            </w:pPr>
            <w:r>
              <w:rPr>
                <w:rFonts w:hint="eastAsia"/>
                <w:sz w:val="18"/>
                <w:szCs w:val="18"/>
              </w:rPr>
              <w:t>≤1</w:t>
            </w:r>
            <w:r>
              <w:rPr>
                <w:sz w:val="18"/>
                <w:szCs w:val="18"/>
              </w:rPr>
              <w:t>0</w:t>
            </w:r>
          </w:p>
        </w:tc>
        <w:tc>
          <w:tcPr>
            <w:tcW w:w="1786" w:type="dxa"/>
            <w:shd w:val="clear" w:color="auto" w:fill="auto"/>
            <w:vAlign w:val="center"/>
          </w:tcPr>
          <w:p>
            <w:pPr>
              <w:jc w:val="center"/>
              <w:rPr>
                <w:sz w:val="18"/>
                <w:szCs w:val="18"/>
              </w:rPr>
            </w:pPr>
            <w:r>
              <w:rPr>
                <w:rFonts w:hint="eastAsia"/>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sz w:val="18"/>
                <w:szCs w:val="18"/>
              </w:rPr>
            </w:pPr>
            <w:r>
              <w:rPr>
                <w:rFonts w:hint="eastAsia"/>
                <w:sz w:val="18"/>
                <w:szCs w:val="18"/>
              </w:rPr>
              <w:t>3</w:t>
            </w:r>
          </w:p>
        </w:tc>
        <w:tc>
          <w:tcPr>
            <w:tcW w:w="0" w:type="auto"/>
            <w:vMerge w:val="restart"/>
            <w:shd w:val="clear" w:color="auto" w:fill="auto"/>
            <w:vAlign w:val="center"/>
          </w:tcPr>
          <w:p>
            <w:pPr>
              <w:jc w:val="center"/>
              <w:rPr>
                <w:sz w:val="18"/>
                <w:szCs w:val="18"/>
              </w:rPr>
            </w:pPr>
            <w:r>
              <w:rPr>
                <w:rFonts w:hint="eastAsia"/>
                <w:b/>
                <w:bCs/>
                <w:sz w:val="18"/>
                <w:szCs w:val="18"/>
              </w:rPr>
              <w:t>资源节约</w:t>
            </w:r>
          </w:p>
        </w:tc>
        <w:tc>
          <w:tcPr>
            <w:tcW w:w="0" w:type="auto"/>
            <w:gridSpan w:val="2"/>
            <w:shd w:val="clear" w:color="auto" w:fill="auto"/>
            <w:vAlign w:val="center"/>
          </w:tcPr>
          <w:p>
            <w:pPr>
              <w:jc w:val="center"/>
              <w:rPr>
                <w:sz w:val="18"/>
                <w:szCs w:val="18"/>
              </w:rPr>
            </w:pPr>
            <w:r>
              <w:rPr>
                <w:rFonts w:hint="eastAsia"/>
                <w:sz w:val="18"/>
                <w:szCs w:val="18"/>
              </w:rPr>
              <w:t>单位产品综合能耗</w:t>
            </w:r>
          </w:p>
        </w:tc>
        <w:tc>
          <w:tcPr>
            <w:tcW w:w="0" w:type="auto"/>
            <w:vAlign w:val="center"/>
          </w:tcPr>
          <w:p>
            <w:pPr>
              <w:jc w:val="center"/>
              <w:rPr>
                <w:sz w:val="18"/>
                <w:szCs w:val="18"/>
              </w:rPr>
            </w:pPr>
            <w:r>
              <w:rPr>
                <w:rFonts w:hint="eastAsia"/>
                <w:sz w:val="18"/>
                <w:szCs w:val="18"/>
              </w:rPr>
              <w:t>Kgce</w:t>
            </w:r>
            <w:r>
              <w:rPr>
                <w:sz w:val="18"/>
                <w:szCs w:val="18"/>
              </w:rPr>
              <w:t>/</w:t>
            </w:r>
            <w:r>
              <w:rPr>
                <w:rFonts w:hint="eastAsia"/>
                <w:sz w:val="18"/>
                <w:szCs w:val="18"/>
              </w:rPr>
              <w:t>t</w:t>
            </w:r>
          </w:p>
        </w:tc>
        <w:tc>
          <w:tcPr>
            <w:tcW w:w="3956" w:type="dxa"/>
            <w:shd w:val="clear" w:color="auto" w:fill="auto"/>
            <w:vAlign w:val="center"/>
          </w:tcPr>
          <w:p>
            <w:pPr>
              <w:jc w:val="center"/>
              <w:rPr>
                <w:sz w:val="18"/>
                <w:szCs w:val="18"/>
              </w:rPr>
            </w:pPr>
            <w:r>
              <w:rPr>
                <w:rFonts w:hint="eastAsia"/>
                <w:sz w:val="18"/>
                <w:szCs w:val="18"/>
              </w:rPr>
              <w:t>≤2</w:t>
            </w:r>
            <w:r>
              <w:rPr>
                <w:sz w:val="18"/>
                <w:szCs w:val="18"/>
              </w:rPr>
              <w:t>25</w:t>
            </w:r>
          </w:p>
        </w:tc>
        <w:tc>
          <w:tcPr>
            <w:tcW w:w="1786" w:type="dxa"/>
            <w:shd w:val="clear" w:color="auto" w:fill="auto"/>
            <w:vAlign w:val="center"/>
          </w:tcPr>
          <w:p>
            <w:pPr>
              <w:jc w:val="center"/>
              <w:rPr>
                <w:sz w:val="18"/>
                <w:szCs w:val="18"/>
              </w:rPr>
            </w:pPr>
            <w:r>
              <w:rPr>
                <w:rFonts w:hint="eastAsia"/>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sz w:val="18"/>
                <w:szCs w:val="18"/>
              </w:rPr>
            </w:pPr>
            <w:r>
              <w:rPr>
                <w:rFonts w:hint="eastAsia"/>
                <w:sz w:val="18"/>
                <w:szCs w:val="18"/>
              </w:rPr>
              <w:t>4</w:t>
            </w:r>
          </w:p>
        </w:tc>
        <w:tc>
          <w:tcPr>
            <w:tcW w:w="0" w:type="auto"/>
            <w:vMerge w:val="continue"/>
            <w:shd w:val="clear" w:color="auto" w:fill="auto"/>
            <w:vAlign w:val="center"/>
          </w:tcPr>
          <w:p>
            <w:pPr>
              <w:jc w:val="center"/>
              <w:rPr>
                <w:sz w:val="18"/>
                <w:szCs w:val="18"/>
              </w:rPr>
            </w:pPr>
          </w:p>
        </w:tc>
        <w:tc>
          <w:tcPr>
            <w:tcW w:w="0" w:type="auto"/>
            <w:gridSpan w:val="2"/>
            <w:shd w:val="clear" w:color="auto" w:fill="auto"/>
            <w:vAlign w:val="center"/>
          </w:tcPr>
          <w:p>
            <w:pPr>
              <w:jc w:val="center"/>
              <w:rPr>
                <w:sz w:val="18"/>
                <w:szCs w:val="18"/>
              </w:rPr>
            </w:pPr>
            <w:r>
              <w:rPr>
                <w:rFonts w:hint="eastAsia"/>
                <w:sz w:val="18"/>
                <w:szCs w:val="18"/>
              </w:rPr>
              <w:t>产品包装</w:t>
            </w:r>
          </w:p>
        </w:tc>
        <w:tc>
          <w:tcPr>
            <w:tcW w:w="0" w:type="auto"/>
            <w:vAlign w:val="center"/>
          </w:tcPr>
          <w:p>
            <w:pPr>
              <w:jc w:val="center"/>
              <w:rPr>
                <w:sz w:val="18"/>
                <w:szCs w:val="18"/>
              </w:rPr>
            </w:pPr>
            <w:r>
              <w:rPr>
                <w:rFonts w:hint="eastAsia"/>
                <w:sz w:val="18"/>
                <w:szCs w:val="18"/>
              </w:rPr>
              <w:t>/</w:t>
            </w:r>
          </w:p>
        </w:tc>
        <w:tc>
          <w:tcPr>
            <w:tcW w:w="3956" w:type="dxa"/>
            <w:shd w:val="clear" w:color="auto" w:fill="auto"/>
            <w:vAlign w:val="center"/>
          </w:tcPr>
          <w:p>
            <w:pPr>
              <w:jc w:val="center"/>
              <w:rPr>
                <w:sz w:val="18"/>
                <w:szCs w:val="18"/>
              </w:rPr>
            </w:pPr>
            <w:r>
              <w:rPr>
                <w:rFonts w:hint="eastAsia"/>
                <w:sz w:val="18"/>
                <w:szCs w:val="18"/>
              </w:rPr>
              <w:t>包装符合GB 23350的要求，包材不适用聚氯乙烯，包装减量化、材料可回收</w:t>
            </w:r>
          </w:p>
        </w:tc>
        <w:tc>
          <w:tcPr>
            <w:tcW w:w="1786" w:type="dxa"/>
            <w:shd w:val="clear" w:color="auto" w:fill="auto"/>
            <w:vAlign w:val="center"/>
          </w:tcPr>
          <w:p>
            <w:pPr>
              <w:jc w:val="center"/>
              <w:rPr>
                <w:sz w:val="18"/>
                <w:szCs w:val="18"/>
              </w:rPr>
            </w:pPr>
            <w:r>
              <w:rPr>
                <w:rFonts w:hint="eastAsia"/>
                <w:sz w:val="18"/>
                <w:szCs w:val="18"/>
              </w:rPr>
              <w:t>查看包装材料采购凭证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bottom w:val="single" w:color="auto" w:sz="4" w:space="0"/>
            </w:tcBorders>
            <w:shd w:val="clear" w:color="auto" w:fill="auto"/>
            <w:vAlign w:val="center"/>
          </w:tcPr>
          <w:p>
            <w:pPr>
              <w:jc w:val="center"/>
              <w:rPr>
                <w:sz w:val="18"/>
                <w:szCs w:val="18"/>
              </w:rPr>
            </w:pPr>
            <w:r>
              <w:rPr>
                <w:sz w:val="18"/>
                <w:szCs w:val="18"/>
              </w:rPr>
              <w:t>5</w:t>
            </w:r>
          </w:p>
        </w:tc>
        <w:tc>
          <w:tcPr>
            <w:tcW w:w="0" w:type="auto"/>
            <w:vMerge w:val="restart"/>
            <w:shd w:val="clear" w:color="auto" w:fill="auto"/>
            <w:vAlign w:val="center"/>
          </w:tcPr>
          <w:p>
            <w:pPr>
              <w:jc w:val="center"/>
              <w:rPr>
                <w:b/>
                <w:bCs/>
                <w:sz w:val="18"/>
                <w:szCs w:val="18"/>
              </w:rPr>
            </w:pPr>
            <w:r>
              <w:rPr>
                <w:rFonts w:hint="eastAsia"/>
                <w:b/>
                <w:bCs/>
                <w:sz w:val="18"/>
                <w:szCs w:val="18"/>
              </w:rPr>
              <w:t>环境保护</w:t>
            </w:r>
          </w:p>
        </w:tc>
        <w:tc>
          <w:tcPr>
            <w:tcW w:w="0" w:type="auto"/>
            <w:gridSpan w:val="2"/>
            <w:tcBorders>
              <w:bottom w:val="single" w:color="auto" w:sz="4" w:space="0"/>
            </w:tcBorders>
            <w:shd w:val="clear" w:color="auto" w:fill="auto"/>
            <w:vAlign w:val="center"/>
          </w:tcPr>
          <w:p>
            <w:pPr>
              <w:jc w:val="center"/>
              <w:rPr>
                <w:sz w:val="18"/>
                <w:szCs w:val="18"/>
              </w:rPr>
            </w:pPr>
            <w:r>
              <w:rPr>
                <w:rFonts w:hint="eastAsia"/>
                <w:sz w:val="18"/>
                <w:szCs w:val="18"/>
              </w:rPr>
              <w:t>单位产品废水排放量</w:t>
            </w:r>
          </w:p>
        </w:tc>
        <w:tc>
          <w:tcPr>
            <w:tcW w:w="0" w:type="auto"/>
            <w:tcBorders>
              <w:bottom w:val="single" w:color="auto" w:sz="4" w:space="0"/>
            </w:tcBorders>
            <w:vAlign w:val="center"/>
          </w:tcPr>
          <w:p>
            <w:pPr>
              <w:jc w:val="center"/>
              <w:rPr>
                <w:sz w:val="18"/>
                <w:szCs w:val="18"/>
              </w:rPr>
            </w:pPr>
            <w:r>
              <w:rPr>
                <w:rFonts w:hint="eastAsia"/>
                <w:sz w:val="18"/>
                <w:szCs w:val="18"/>
              </w:rPr>
              <w:t>m</w:t>
            </w:r>
            <w:r>
              <w:rPr>
                <w:sz w:val="18"/>
                <w:szCs w:val="18"/>
                <w:vertAlign w:val="superscript"/>
              </w:rPr>
              <w:t>3</w:t>
            </w:r>
            <w:r>
              <w:rPr>
                <w:sz w:val="18"/>
                <w:szCs w:val="18"/>
              </w:rPr>
              <w:t>/</w:t>
            </w:r>
            <w:r>
              <w:rPr>
                <w:rFonts w:hint="eastAsia"/>
                <w:sz w:val="18"/>
                <w:szCs w:val="18"/>
              </w:rPr>
              <w:t>t</w:t>
            </w:r>
          </w:p>
        </w:tc>
        <w:tc>
          <w:tcPr>
            <w:tcW w:w="3956" w:type="dxa"/>
            <w:tcBorders>
              <w:bottom w:val="single" w:color="auto" w:sz="4" w:space="0"/>
            </w:tcBorders>
            <w:shd w:val="clear" w:color="auto" w:fill="auto"/>
            <w:vAlign w:val="center"/>
          </w:tcPr>
          <w:p>
            <w:pPr>
              <w:jc w:val="center"/>
              <w:rPr>
                <w:rFonts w:hint="eastAsia"/>
                <w:sz w:val="18"/>
                <w:szCs w:val="18"/>
              </w:rPr>
            </w:pPr>
            <w:r>
              <w:rPr>
                <w:rFonts w:hint="eastAsia"/>
                <w:sz w:val="18"/>
                <w:szCs w:val="18"/>
              </w:rPr>
              <w:t>8</w:t>
            </w:r>
          </w:p>
        </w:tc>
        <w:tc>
          <w:tcPr>
            <w:tcW w:w="1786" w:type="dxa"/>
            <w:tcBorders>
              <w:bottom w:val="single" w:color="auto" w:sz="4" w:space="0"/>
            </w:tcBorders>
            <w:shd w:val="clear" w:color="auto" w:fill="auto"/>
            <w:vAlign w:val="center"/>
          </w:tcPr>
          <w:p>
            <w:pPr>
              <w:jc w:val="center"/>
              <w:rPr>
                <w:sz w:val="18"/>
                <w:szCs w:val="18"/>
              </w:rPr>
            </w:pPr>
            <w:r>
              <w:rPr>
                <w:rFonts w:hint="eastAsia" w:ascii="宋体" w:hAnsi="宋体" w:cs="宋体"/>
                <w:color w:val="000000"/>
                <w:kern w:val="0"/>
                <w:sz w:val="18"/>
                <w:szCs w:val="18"/>
                <w:lang w:bidi="ar"/>
              </w:rPr>
              <w:t>废水处理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6</w:t>
            </w:r>
          </w:p>
        </w:tc>
        <w:tc>
          <w:tcPr>
            <w:tcW w:w="0" w:type="auto"/>
            <w:vMerge w:val="continue"/>
            <w:shd w:val="clear" w:color="auto" w:fill="auto"/>
            <w:vAlign w:val="center"/>
          </w:tcPr>
          <w:p>
            <w:pPr>
              <w:jc w:val="center"/>
              <w:rPr>
                <w:sz w:val="18"/>
                <w:szCs w:val="18"/>
              </w:rPr>
            </w:pPr>
          </w:p>
        </w:tc>
        <w:tc>
          <w:tcPr>
            <w:tcW w:w="0" w:type="auto"/>
            <w:gridSpan w:val="2"/>
            <w:tcBorders>
              <w:top w:val="single" w:color="auto" w:sz="4" w:space="0"/>
            </w:tcBorders>
            <w:shd w:val="clear" w:color="auto" w:fill="auto"/>
            <w:vAlign w:val="center"/>
          </w:tcPr>
          <w:p>
            <w:pPr>
              <w:jc w:val="center"/>
              <w:rPr>
                <w:rFonts w:hint="eastAsia"/>
                <w:color w:val="000000"/>
                <w:sz w:val="18"/>
                <w:szCs w:val="18"/>
              </w:rPr>
            </w:pPr>
            <w:r>
              <w:rPr>
                <w:rFonts w:hint="eastAsia"/>
                <w:sz w:val="18"/>
                <w:szCs w:val="18"/>
              </w:rPr>
              <w:t>单位产品COD排放量</w:t>
            </w:r>
          </w:p>
        </w:tc>
        <w:tc>
          <w:tcPr>
            <w:tcW w:w="0" w:type="auto"/>
            <w:tcBorders>
              <w:top w:val="single" w:color="auto" w:sz="4" w:space="0"/>
            </w:tcBorders>
            <w:vAlign w:val="center"/>
          </w:tcPr>
          <w:p>
            <w:pPr>
              <w:jc w:val="center"/>
              <w:rPr>
                <w:sz w:val="18"/>
                <w:szCs w:val="18"/>
              </w:rPr>
            </w:pPr>
            <w:r>
              <w:rPr>
                <w:rFonts w:hint="eastAsia"/>
                <w:color w:val="000000"/>
                <w:sz w:val="18"/>
                <w:szCs w:val="18"/>
              </w:rPr>
              <w:t>mg/L</w:t>
            </w:r>
          </w:p>
        </w:tc>
        <w:tc>
          <w:tcPr>
            <w:tcW w:w="3956" w:type="dxa"/>
            <w:tcBorders>
              <w:top w:val="single" w:color="auto" w:sz="4" w:space="0"/>
            </w:tcBorders>
            <w:shd w:val="clear" w:color="auto" w:fill="auto"/>
            <w:vAlign w:val="center"/>
          </w:tcPr>
          <w:p>
            <w:pPr>
              <w:jc w:val="center"/>
              <w:rPr>
                <w:sz w:val="18"/>
                <w:szCs w:val="18"/>
              </w:rPr>
            </w:pPr>
            <w:r>
              <w:rPr>
                <w:rFonts w:hint="eastAsia"/>
                <w:sz w:val="18"/>
                <w:szCs w:val="18"/>
              </w:rPr>
              <w:t>符合GB 897</w:t>
            </w:r>
            <w:r>
              <w:rPr>
                <w:rFonts w:hint="eastAsia"/>
                <w:sz w:val="18"/>
                <w:szCs w:val="18"/>
                <w:lang w:val="en-US" w:eastAsia="zh-CN"/>
              </w:rPr>
              <w:t>8</w:t>
            </w:r>
            <w:r>
              <w:rPr>
                <w:rFonts w:hint="eastAsia"/>
                <w:sz w:val="18"/>
                <w:szCs w:val="18"/>
              </w:rPr>
              <w:t>污水排放标准</w:t>
            </w:r>
          </w:p>
        </w:tc>
        <w:tc>
          <w:tcPr>
            <w:tcW w:w="1786" w:type="dxa"/>
            <w:tcBorders>
              <w:top w:val="single" w:color="auto" w:sz="4" w:space="0"/>
            </w:tcBorders>
            <w:shd w:val="clear" w:color="auto" w:fill="auto"/>
            <w:vAlign w:val="center"/>
          </w:tcPr>
          <w:p>
            <w:pPr>
              <w:jc w:val="center"/>
              <w:rPr>
                <w:sz w:val="18"/>
                <w:szCs w:val="18"/>
              </w:rPr>
            </w:pPr>
            <w:r>
              <w:rPr>
                <w:rFonts w:hint="eastAsia" w:ascii="宋体" w:hAnsi="宋体" w:cs="宋体"/>
                <w:color w:val="000000"/>
                <w:kern w:val="0"/>
                <w:sz w:val="18"/>
                <w:szCs w:val="18"/>
                <w:lang w:bidi="ar"/>
              </w:rPr>
              <w:t>查看年度环境检测报告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7</w:t>
            </w:r>
          </w:p>
        </w:tc>
        <w:tc>
          <w:tcPr>
            <w:tcW w:w="0" w:type="auto"/>
            <w:vMerge w:val="continue"/>
            <w:shd w:val="clear" w:color="auto" w:fill="auto"/>
            <w:vAlign w:val="center"/>
          </w:tcPr>
          <w:p>
            <w:pPr>
              <w:jc w:val="center"/>
              <w:rPr>
                <w:sz w:val="18"/>
                <w:szCs w:val="18"/>
              </w:rPr>
            </w:pPr>
          </w:p>
        </w:tc>
        <w:tc>
          <w:tcPr>
            <w:tcW w:w="0" w:type="auto"/>
            <w:gridSpan w:val="2"/>
            <w:shd w:val="clear" w:color="auto" w:fill="auto"/>
            <w:vAlign w:val="center"/>
          </w:tcPr>
          <w:p>
            <w:pPr>
              <w:jc w:val="center"/>
              <w:rPr>
                <w:sz w:val="18"/>
                <w:szCs w:val="18"/>
              </w:rPr>
            </w:pPr>
            <w:r>
              <w:rPr>
                <w:rFonts w:hint="eastAsia"/>
                <w:color w:val="000000"/>
                <w:sz w:val="18"/>
                <w:szCs w:val="18"/>
              </w:rPr>
              <w:t>单位产品石油类排放量</w:t>
            </w:r>
          </w:p>
        </w:tc>
        <w:tc>
          <w:tcPr>
            <w:tcW w:w="0" w:type="auto"/>
            <w:vAlign w:val="center"/>
          </w:tcPr>
          <w:p>
            <w:pPr>
              <w:jc w:val="center"/>
              <w:rPr>
                <w:sz w:val="18"/>
                <w:szCs w:val="18"/>
              </w:rPr>
            </w:pPr>
            <w:r>
              <w:rPr>
                <w:rFonts w:hint="eastAsia"/>
                <w:color w:val="000000"/>
                <w:sz w:val="18"/>
                <w:szCs w:val="18"/>
              </w:rPr>
              <w:t>mg/L</w:t>
            </w:r>
          </w:p>
        </w:tc>
        <w:tc>
          <w:tcPr>
            <w:tcW w:w="3956" w:type="dxa"/>
            <w:shd w:val="clear" w:color="auto" w:fill="auto"/>
            <w:vAlign w:val="center"/>
          </w:tcPr>
          <w:p>
            <w:pPr>
              <w:jc w:val="center"/>
              <w:rPr>
                <w:sz w:val="18"/>
                <w:szCs w:val="18"/>
              </w:rPr>
            </w:pPr>
            <w:r>
              <w:rPr>
                <w:rFonts w:hint="eastAsia"/>
                <w:sz w:val="18"/>
                <w:szCs w:val="18"/>
              </w:rPr>
              <w:t>符合GB 897</w:t>
            </w:r>
            <w:r>
              <w:rPr>
                <w:rFonts w:hint="eastAsia"/>
                <w:sz w:val="18"/>
                <w:szCs w:val="18"/>
                <w:lang w:val="en-US" w:eastAsia="zh-CN"/>
              </w:rPr>
              <w:t>8</w:t>
            </w:r>
            <w:r>
              <w:rPr>
                <w:rFonts w:hint="eastAsia"/>
                <w:sz w:val="18"/>
                <w:szCs w:val="18"/>
              </w:rPr>
              <w:t>污水排放标准</w:t>
            </w:r>
          </w:p>
        </w:tc>
        <w:tc>
          <w:tcPr>
            <w:tcW w:w="1786" w:type="dxa"/>
            <w:shd w:val="clear" w:color="auto" w:fill="auto"/>
            <w:vAlign w:val="center"/>
          </w:tcPr>
          <w:p>
            <w:pPr>
              <w:jc w:val="center"/>
              <w:rPr>
                <w:sz w:val="18"/>
                <w:szCs w:val="18"/>
              </w:rPr>
            </w:pPr>
            <w:r>
              <w:rPr>
                <w:rFonts w:hint="eastAsia" w:ascii="宋体" w:hAnsi="宋体" w:cs="宋体"/>
                <w:color w:val="000000"/>
                <w:kern w:val="0"/>
                <w:sz w:val="18"/>
                <w:szCs w:val="18"/>
                <w:lang w:bidi="ar"/>
              </w:rPr>
              <w:t>查看年度环境检测报告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8</w:t>
            </w:r>
          </w:p>
        </w:tc>
        <w:tc>
          <w:tcPr>
            <w:tcW w:w="0" w:type="auto"/>
            <w:vMerge w:val="restart"/>
            <w:shd w:val="clear" w:color="auto" w:fill="auto"/>
            <w:vAlign w:val="center"/>
          </w:tcPr>
          <w:p>
            <w:pPr>
              <w:jc w:val="center"/>
              <w:rPr>
                <w:b/>
                <w:bCs/>
                <w:sz w:val="18"/>
                <w:szCs w:val="18"/>
              </w:rPr>
            </w:pPr>
            <w:r>
              <w:rPr>
                <w:rFonts w:hint="eastAsia"/>
                <w:b/>
                <w:bCs/>
                <w:sz w:val="18"/>
                <w:szCs w:val="18"/>
              </w:rPr>
              <w:t>生态协同</w:t>
            </w:r>
          </w:p>
        </w:tc>
        <w:tc>
          <w:tcPr>
            <w:tcW w:w="0" w:type="auto"/>
            <w:gridSpan w:val="2"/>
            <w:tcBorders>
              <w:bottom w:val="single" w:color="auto" w:sz="8" w:space="0"/>
            </w:tcBorders>
            <w:shd w:val="clear" w:color="auto" w:fill="auto"/>
            <w:vAlign w:val="center"/>
          </w:tcPr>
          <w:p>
            <w:pPr>
              <w:jc w:val="center"/>
              <w:rPr>
                <w:sz w:val="18"/>
                <w:szCs w:val="18"/>
              </w:rPr>
            </w:pPr>
            <w:r>
              <w:rPr>
                <w:rFonts w:hint="eastAsia"/>
                <w:sz w:val="18"/>
                <w:szCs w:val="18"/>
              </w:rPr>
              <w:t>生态设计</w:t>
            </w:r>
          </w:p>
        </w:tc>
        <w:tc>
          <w:tcPr>
            <w:tcW w:w="0" w:type="auto"/>
            <w:tcBorders>
              <w:bottom w:val="single" w:color="auto" w:sz="8"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3956"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ascii="宋体" w:hAnsi="宋体" w:cs="宋体"/>
                <w:color w:val="000000"/>
                <w:kern w:val="0"/>
                <w:sz w:val="18"/>
                <w:szCs w:val="18"/>
                <w:lang w:bidi="ar"/>
              </w:rPr>
              <w:t>要求设计生产工艺路线时，应以生态环境的负面影响最小作为基本原则，应符合GB/T 24256 要求</w:t>
            </w:r>
          </w:p>
        </w:tc>
        <w:tc>
          <w:tcPr>
            <w:tcW w:w="1786" w:type="dxa"/>
            <w:tcBorders>
              <w:top w:val="single" w:color="auto" w:sz="4" w:space="0"/>
            </w:tcBorders>
            <w:shd w:val="clear" w:color="auto" w:fill="auto"/>
            <w:vAlign w:val="center"/>
          </w:tcPr>
          <w:p>
            <w:pPr>
              <w:jc w:val="center"/>
            </w:pPr>
            <w:r>
              <w:rPr>
                <w:rFonts w:hint="eastAsia" w:ascii="宋体" w:hAnsi="宋体" w:cs="宋体"/>
                <w:color w:val="000000"/>
                <w:kern w:val="0"/>
                <w:sz w:val="18"/>
                <w:szCs w:val="18"/>
                <w:lang w:bidi="ar"/>
              </w:rPr>
              <w:t>查看生产工艺路线、</w:t>
            </w:r>
          </w:p>
          <w:p>
            <w:pPr>
              <w:jc w:val="center"/>
              <w:rPr>
                <w:color w:val="00000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9</w:t>
            </w:r>
          </w:p>
        </w:tc>
        <w:tc>
          <w:tcPr>
            <w:tcW w:w="0" w:type="auto"/>
            <w:vMerge w:val="continue"/>
            <w:shd w:val="clear" w:color="auto" w:fill="auto"/>
            <w:vAlign w:val="center"/>
          </w:tcPr>
          <w:p>
            <w:pPr>
              <w:jc w:val="center"/>
              <w:rPr>
                <w:rFonts w:hint="eastAsia"/>
                <w:sz w:val="18"/>
                <w:szCs w:val="18"/>
              </w:rPr>
            </w:pPr>
          </w:p>
        </w:tc>
        <w:tc>
          <w:tcPr>
            <w:tcW w:w="0" w:type="auto"/>
            <w:gridSpan w:val="2"/>
            <w:tcBorders>
              <w:bottom w:val="single" w:color="auto" w:sz="8" w:space="0"/>
            </w:tcBorders>
            <w:shd w:val="clear" w:color="auto" w:fill="auto"/>
            <w:vAlign w:val="center"/>
          </w:tcPr>
          <w:p>
            <w:pPr>
              <w:jc w:val="center"/>
              <w:rPr>
                <w:rFonts w:hint="eastAsia"/>
                <w:sz w:val="18"/>
                <w:szCs w:val="18"/>
              </w:rPr>
            </w:pPr>
            <w:r>
              <w:rPr>
                <w:rFonts w:hint="eastAsia"/>
                <w:sz w:val="18"/>
                <w:szCs w:val="18"/>
              </w:rPr>
              <w:t>绿色供应链管理</w:t>
            </w:r>
          </w:p>
        </w:tc>
        <w:tc>
          <w:tcPr>
            <w:tcW w:w="0" w:type="auto"/>
            <w:tcBorders>
              <w:bottom w:val="single" w:color="auto" w:sz="8"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3956" w:type="dxa"/>
            <w:tcBorders>
              <w:top w:val="single" w:color="auto" w:sz="4" w:space="0"/>
              <w:bottom w:val="single" w:color="auto" w:sz="8" w:space="0"/>
            </w:tcBorders>
            <w:shd w:val="clear" w:color="auto" w:fill="auto"/>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生产企业应按照 GB/T 33635 的要求，建立绿色供应链管理体系制度，并有效运行</w:t>
            </w:r>
          </w:p>
        </w:tc>
        <w:tc>
          <w:tcPr>
            <w:tcW w:w="1786" w:type="dxa"/>
            <w:tcBorders>
              <w:top w:val="single" w:color="auto" w:sz="4" w:space="0"/>
            </w:tcBorders>
            <w:shd w:val="clear" w:color="auto" w:fill="auto"/>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查看制度、记录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rFonts w:hint="eastAsia"/>
                <w:sz w:val="18"/>
                <w:szCs w:val="18"/>
              </w:rPr>
              <w:t>1</w:t>
            </w:r>
            <w:r>
              <w:rPr>
                <w:sz w:val="18"/>
                <w:szCs w:val="18"/>
              </w:rPr>
              <w:t>0</w:t>
            </w:r>
          </w:p>
        </w:tc>
        <w:tc>
          <w:tcPr>
            <w:tcW w:w="0" w:type="auto"/>
            <w:vMerge w:val="continue"/>
            <w:shd w:val="clear" w:color="auto" w:fill="auto"/>
            <w:vAlign w:val="center"/>
          </w:tcPr>
          <w:p>
            <w:pPr>
              <w:jc w:val="center"/>
              <w:rPr>
                <w:rFonts w:hint="eastAsia"/>
                <w:sz w:val="18"/>
                <w:szCs w:val="18"/>
              </w:rPr>
            </w:pPr>
          </w:p>
        </w:tc>
        <w:tc>
          <w:tcPr>
            <w:tcW w:w="0" w:type="auto"/>
            <w:gridSpan w:val="2"/>
            <w:tcBorders>
              <w:bottom w:val="single" w:color="auto" w:sz="8" w:space="0"/>
            </w:tcBorders>
            <w:shd w:val="clear" w:color="auto" w:fill="auto"/>
            <w:vAlign w:val="center"/>
          </w:tcPr>
          <w:p>
            <w:pPr>
              <w:jc w:val="center"/>
              <w:rPr>
                <w:rFonts w:hint="eastAsia"/>
                <w:sz w:val="18"/>
                <w:szCs w:val="18"/>
              </w:rPr>
            </w:pPr>
            <w:r>
              <w:rPr>
                <w:rFonts w:hint="eastAsia"/>
                <w:sz w:val="18"/>
                <w:szCs w:val="18"/>
              </w:rPr>
              <w:t>单位产品碳排放量</w:t>
            </w:r>
          </w:p>
        </w:tc>
        <w:tc>
          <w:tcPr>
            <w:tcW w:w="0" w:type="auto"/>
            <w:tcBorders>
              <w:bottom w:val="single" w:color="auto" w:sz="8" w:space="0"/>
            </w:tcBorders>
            <w:vAlign w:val="center"/>
          </w:tcPr>
          <w:p>
            <w:pPr>
              <w:jc w:val="center"/>
              <w:rPr>
                <w:rFonts w:hint="eastAsia" w:ascii="宋体" w:hAnsi="宋体" w:cs="宋体"/>
                <w:color w:val="000000"/>
                <w:kern w:val="0"/>
                <w:sz w:val="18"/>
                <w:szCs w:val="18"/>
                <w:lang w:bidi="ar"/>
              </w:rPr>
            </w:pPr>
            <w:r>
              <w:rPr>
                <w:rFonts w:hint="eastAsia"/>
                <w:color w:val="000000"/>
                <w:sz w:val="18"/>
                <w:szCs w:val="18"/>
              </w:rPr>
              <w:t>k</w:t>
            </w:r>
            <w:r>
              <w:rPr>
                <w:color w:val="000000"/>
                <w:sz w:val="18"/>
                <w:szCs w:val="18"/>
              </w:rPr>
              <w:t>gCO2</w:t>
            </w:r>
            <w:r>
              <w:rPr>
                <w:rFonts w:hint="eastAsia"/>
                <w:color w:val="000000"/>
                <w:sz w:val="18"/>
                <w:szCs w:val="18"/>
              </w:rPr>
              <w:t>/</w:t>
            </w:r>
            <w:r>
              <w:rPr>
                <w:color w:val="000000"/>
                <w:sz w:val="18"/>
                <w:szCs w:val="18"/>
              </w:rPr>
              <w:t>t</w:t>
            </w:r>
          </w:p>
        </w:tc>
        <w:tc>
          <w:tcPr>
            <w:tcW w:w="3956" w:type="dxa"/>
            <w:tcBorders>
              <w:top w:val="single" w:color="auto" w:sz="4" w:space="0"/>
              <w:bottom w:val="single" w:color="auto" w:sz="8" w:space="0"/>
            </w:tcBorders>
            <w:shd w:val="clear" w:color="auto" w:fill="auto"/>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5</w:t>
            </w:r>
          </w:p>
        </w:tc>
        <w:tc>
          <w:tcPr>
            <w:tcW w:w="1786" w:type="dxa"/>
            <w:tcBorders>
              <w:top w:val="single" w:color="auto" w:sz="4" w:space="0"/>
            </w:tcBorders>
            <w:shd w:val="clear" w:color="auto" w:fill="auto"/>
            <w:vAlign w:val="top"/>
          </w:tcPr>
          <w:p>
            <w:pPr>
              <w:jc w:val="center"/>
              <w:rPr>
                <w:rFonts w:hint="eastAsia" w:ascii="宋体" w:hAnsi="宋体" w:eastAsia="宋体" w:cs="宋体"/>
                <w:color w:val="000000"/>
                <w:kern w:val="0"/>
                <w:sz w:val="18"/>
                <w:szCs w:val="18"/>
                <w:lang w:val="en-US" w:eastAsia="zh-CN" w:bidi="ar"/>
              </w:rPr>
            </w:pPr>
            <w:r>
              <w:rPr>
                <w:rFonts w:hint="eastAsia"/>
                <w:sz w:val="18"/>
                <w:szCs w:val="18"/>
              </w:rPr>
              <w:t>现场数据或第三方评价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rFonts w:hint="eastAsia"/>
                <w:sz w:val="18"/>
                <w:szCs w:val="18"/>
              </w:rPr>
              <w:t>1</w:t>
            </w:r>
            <w:r>
              <w:rPr>
                <w:sz w:val="18"/>
                <w:szCs w:val="18"/>
              </w:rPr>
              <w:t>1</w:t>
            </w:r>
          </w:p>
        </w:tc>
        <w:tc>
          <w:tcPr>
            <w:tcW w:w="0" w:type="auto"/>
            <w:vMerge w:val="continue"/>
            <w:tcBorders>
              <w:bottom w:val="single" w:color="auto" w:sz="8" w:space="0"/>
            </w:tcBorders>
            <w:shd w:val="clear" w:color="auto" w:fill="auto"/>
            <w:vAlign w:val="center"/>
          </w:tcPr>
          <w:p>
            <w:pPr>
              <w:jc w:val="center"/>
              <w:rPr>
                <w:sz w:val="18"/>
                <w:szCs w:val="18"/>
              </w:rPr>
            </w:pPr>
          </w:p>
        </w:tc>
        <w:tc>
          <w:tcPr>
            <w:tcW w:w="0" w:type="auto"/>
            <w:gridSpan w:val="2"/>
            <w:tcBorders>
              <w:bottom w:val="single" w:color="auto" w:sz="8" w:space="0"/>
            </w:tcBorders>
            <w:shd w:val="clear" w:color="auto" w:fill="auto"/>
            <w:vAlign w:val="center"/>
          </w:tcPr>
          <w:p>
            <w:pPr>
              <w:jc w:val="center"/>
              <w:rPr>
                <w:sz w:val="18"/>
                <w:szCs w:val="18"/>
              </w:rPr>
            </w:pPr>
            <w:r>
              <w:rPr>
                <w:rFonts w:hint="eastAsia"/>
                <w:sz w:val="18"/>
                <w:szCs w:val="18"/>
              </w:rPr>
              <w:t>碳排放强度</w:t>
            </w:r>
          </w:p>
        </w:tc>
        <w:tc>
          <w:tcPr>
            <w:tcW w:w="0" w:type="auto"/>
            <w:tcBorders>
              <w:bottom w:val="single" w:color="auto" w:sz="8" w:space="0"/>
            </w:tcBorders>
            <w:vAlign w:val="center"/>
          </w:tcPr>
          <w:p>
            <w:pPr>
              <w:jc w:val="center"/>
              <w:rPr>
                <w:rFonts w:hint="eastAsia"/>
                <w:color w:val="000000"/>
                <w:sz w:val="18"/>
                <w:szCs w:val="18"/>
              </w:rPr>
            </w:pPr>
            <w:r>
              <w:rPr>
                <w:rFonts w:hint="eastAsia"/>
                <w:color w:val="000000"/>
                <w:sz w:val="18"/>
                <w:szCs w:val="18"/>
              </w:rPr>
              <w:t>k</w:t>
            </w:r>
            <w:r>
              <w:rPr>
                <w:color w:val="000000"/>
                <w:sz w:val="18"/>
                <w:szCs w:val="18"/>
              </w:rPr>
              <w:t>gCO2</w:t>
            </w:r>
            <w:r>
              <w:rPr>
                <w:rFonts w:hint="eastAsia"/>
                <w:color w:val="000000"/>
                <w:sz w:val="18"/>
                <w:szCs w:val="18"/>
              </w:rPr>
              <w:t>/万元</w:t>
            </w:r>
          </w:p>
        </w:tc>
        <w:tc>
          <w:tcPr>
            <w:tcW w:w="3956"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color w:val="000000"/>
                <w:sz w:val="18"/>
                <w:szCs w:val="18"/>
                <w:lang w:bidi="ar"/>
              </w:rPr>
              <w:t>1</w:t>
            </w:r>
            <w:r>
              <w:rPr>
                <w:color w:val="000000"/>
                <w:sz w:val="18"/>
                <w:szCs w:val="18"/>
                <w:lang w:bidi="ar"/>
              </w:rPr>
              <w:t>00</w:t>
            </w:r>
          </w:p>
        </w:tc>
        <w:tc>
          <w:tcPr>
            <w:tcW w:w="1786" w:type="dxa"/>
            <w:tcBorders>
              <w:bottom w:val="single" w:color="auto" w:sz="8" w:space="0"/>
            </w:tcBorders>
            <w:shd w:val="clear" w:color="auto" w:fill="auto"/>
            <w:vAlign w:val="top"/>
          </w:tcPr>
          <w:p>
            <w:pPr>
              <w:jc w:val="center"/>
              <w:rPr>
                <w:rFonts w:ascii="Calibri" w:hAnsi="Calibri" w:eastAsia="宋体" w:cs="Times New Roman"/>
                <w:color w:val="000000"/>
                <w:kern w:val="2"/>
                <w:sz w:val="18"/>
                <w:szCs w:val="18"/>
                <w:lang w:val="en-US" w:eastAsia="zh-CN" w:bidi="ar"/>
              </w:rPr>
            </w:pPr>
            <w:r>
              <w:rPr>
                <w:rFonts w:hint="eastAsia"/>
                <w:sz w:val="18"/>
                <w:szCs w:val="18"/>
              </w:rPr>
              <w:t>现场数据或第三方评价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rFonts w:hint="eastAsia"/>
                <w:sz w:val="18"/>
                <w:szCs w:val="18"/>
              </w:rPr>
              <w:t>1</w:t>
            </w:r>
            <w:r>
              <w:rPr>
                <w:sz w:val="18"/>
                <w:szCs w:val="18"/>
              </w:rPr>
              <w:t>2</w:t>
            </w:r>
          </w:p>
        </w:tc>
        <w:tc>
          <w:tcPr>
            <w:tcW w:w="0" w:type="auto"/>
            <w:vMerge w:val="restart"/>
            <w:shd w:val="clear" w:color="auto" w:fill="auto"/>
            <w:vAlign w:val="center"/>
          </w:tcPr>
          <w:p>
            <w:pPr>
              <w:jc w:val="center"/>
              <w:rPr>
                <w:b/>
                <w:bCs/>
                <w:sz w:val="18"/>
                <w:szCs w:val="18"/>
              </w:rPr>
            </w:pPr>
            <w:r>
              <w:rPr>
                <w:rFonts w:hint="eastAsia"/>
                <w:b/>
                <w:bCs/>
                <w:sz w:val="18"/>
                <w:szCs w:val="18"/>
              </w:rPr>
              <w:t>质量引领</w:t>
            </w:r>
          </w:p>
        </w:tc>
        <w:tc>
          <w:tcPr>
            <w:tcW w:w="0" w:type="auto"/>
            <w:tcBorders>
              <w:bottom w:val="single" w:color="auto" w:sz="8" w:space="0"/>
            </w:tcBorders>
            <w:shd w:val="clear" w:color="auto" w:fill="auto"/>
            <w:vAlign w:val="center"/>
          </w:tcPr>
          <w:p>
            <w:pPr>
              <w:jc w:val="center"/>
              <w:rPr>
                <w:sz w:val="18"/>
                <w:szCs w:val="18"/>
              </w:rPr>
            </w:pPr>
            <w:r>
              <w:rPr>
                <w:rFonts w:hint="eastAsia"/>
                <w:sz w:val="18"/>
                <w:szCs w:val="18"/>
              </w:rPr>
              <w:t>禁用组分</w:t>
            </w:r>
          </w:p>
        </w:tc>
        <w:tc>
          <w:tcPr>
            <w:tcW w:w="0" w:type="auto"/>
            <w:tcBorders>
              <w:bottom w:val="single" w:color="auto" w:sz="8" w:space="0"/>
            </w:tcBorders>
            <w:shd w:val="clear" w:color="auto" w:fill="auto"/>
            <w:vAlign w:val="center"/>
          </w:tcPr>
          <w:p>
            <w:pPr>
              <w:jc w:val="center"/>
              <w:rPr>
                <w:sz w:val="18"/>
                <w:szCs w:val="18"/>
              </w:rPr>
            </w:pPr>
            <w:r>
              <w:rPr>
                <w:rFonts w:hint="eastAsia"/>
                <w:sz w:val="18"/>
                <w:szCs w:val="18"/>
              </w:rPr>
              <w:t>二噁烷</w:t>
            </w:r>
          </w:p>
        </w:tc>
        <w:tc>
          <w:tcPr>
            <w:tcW w:w="0" w:type="auto"/>
            <w:tcBorders>
              <w:bottom w:val="single" w:color="auto" w:sz="8" w:space="0"/>
            </w:tcBorders>
            <w:vAlign w:val="center"/>
          </w:tcPr>
          <w:p>
            <w:pPr>
              <w:jc w:val="center"/>
              <w:rPr>
                <w:sz w:val="18"/>
                <w:szCs w:val="18"/>
              </w:rPr>
            </w:pPr>
            <w:r>
              <w:rPr>
                <w:rFonts w:hint="eastAsia"/>
                <w:sz w:val="18"/>
                <w:szCs w:val="18"/>
              </w:rPr>
              <w:t>mg/kg</w:t>
            </w:r>
          </w:p>
        </w:tc>
        <w:tc>
          <w:tcPr>
            <w:tcW w:w="3956" w:type="dxa"/>
            <w:tcBorders>
              <w:top w:val="single" w:color="auto" w:sz="4" w:space="0"/>
              <w:bottom w:val="single" w:color="auto" w:sz="8" w:space="0"/>
            </w:tcBorders>
            <w:shd w:val="clear" w:color="auto" w:fill="auto"/>
            <w:vAlign w:val="center"/>
          </w:tcPr>
          <w:p>
            <w:pPr>
              <w:jc w:val="center"/>
              <w:rPr>
                <w:rFonts w:hint="eastAsia" w:eastAsia="宋体"/>
                <w:sz w:val="18"/>
                <w:szCs w:val="18"/>
                <w:lang w:eastAsia="zh-CN"/>
              </w:rPr>
            </w:pPr>
            <w:r>
              <w:rPr>
                <w:rFonts w:hint="eastAsia"/>
                <w:sz w:val="18"/>
                <w:szCs w:val="18"/>
              </w:rPr>
              <w:t>≤</w:t>
            </w:r>
            <w:r>
              <w:rPr>
                <w:rFonts w:hint="eastAsia"/>
                <w:sz w:val="18"/>
                <w:szCs w:val="18"/>
                <w:lang w:val="en-US" w:eastAsia="zh-CN"/>
              </w:rPr>
              <w:t>5</w:t>
            </w:r>
          </w:p>
        </w:tc>
        <w:tc>
          <w:tcPr>
            <w:tcW w:w="1786" w:type="dxa"/>
            <w:vMerge w:val="restart"/>
            <w:tcBorders>
              <w:top w:val="single" w:color="auto" w:sz="4" w:space="0"/>
            </w:tcBorders>
            <w:shd w:val="clear" w:color="auto" w:fill="auto"/>
            <w:vAlign w:val="center"/>
          </w:tcPr>
          <w:p>
            <w:pPr>
              <w:jc w:val="center"/>
              <w:rPr>
                <w:color w:val="000000"/>
                <w:sz w:val="18"/>
                <w:szCs w:val="18"/>
                <w:lang w:bidi="ar"/>
              </w:rPr>
            </w:pPr>
            <w:r>
              <w:rPr>
                <w:rFonts w:hint="eastAsia" w:ascii="宋体" w:hAnsi="宋体" w:cs="宋体"/>
                <w:color w:val="000000"/>
                <w:kern w:val="0"/>
                <w:sz w:val="18"/>
                <w:szCs w:val="18"/>
                <w:lang w:bidi="ar"/>
              </w:rPr>
              <w:t>《化妆品卫生规范》</w:t>
            </w:r>
            <w:r>
              <w:rPr>
                <w:rFonts w:hint="eastAsia" w:cs="宋体"/>
                <w:color w:val="000000"/>
                <w:kern w:val="0"/>
                <w:sz w:val="18"/>
                <w:szCs w:val="18"/>
                <w:lang w:bidi="ar"/>
              </w:rPr>
              <w:t>,</w:t>
            </w:r>
          </w:p>
          <w:p>
            <w:pPr>
              <w:jc w:val="center"/>
              <w:rPr>
                <w:rFonts w:hint="eastAsia"/>
                <w:color w:val="000000"/>
                <w:sz w:val="18"/>
                <w:szCs w:val="18"/>
                <w:lang w:bidi="ar"/>
              </w:rPr>
            </w:pPr>
            <w:r>
              <w:rPr>
                <w:rFonts w:hint="eastAsia" w:cs="宋体"/>
                <w:color w:val="000000"/>
                <w:kern w:val="0"/>
                <w:sz w:val="18"/>
                <w:szCs w:val="18"/>
                <w:lang w:bidi="ar"/>
              </w:rPr>
              <w:t>查看第三方检测报告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13</w:t>
            </w:r>
          </w:p>
        </w:tc>
        <w:tc>
          <w:tcPr>
            <w:tcW w:w="0" w:type="auto"/>
            <w:vMerge w:val="continue"/>
            <w:shd w:val="clear" w:color="auto" w:fill="auto"/>
            <w:vAlign w:val="center"/>
          </w:tcPr>
          <w:p>
            <w:pPr>
              <w:jc w:val="center"/>
              <w:rPr>
                <w:sz w:val="18"/>
                <w:szCs w:val="18"/>
              </w:rPr>
            </w:pPr>
          </w:p>
        </w:tc>
        <w:tc>
          <w:tcPr>
            <w:tcW w:w="0" w:type="auto"/>
            <w:vMerge w:val="restart"/>
            <w:shd w:val="clear" w:color="auto" w:fill="auto"/>
            <w:vAlign w:val="center"/>
          </w:tcPr>
          <w:p>
            <w:pPr>
              <w:jc w:val="center"/>
              <w:rPr>
                <w:sz w:val="18"/>
                <w:szCs w:val="18"/>
              </w:rPr>
            </w:pPr>
            <w:r>
              <w:rPr>
                <w:rFonts w:hint="eastAsia"/>
                <w:sz w:val="18"/>
                <w:szCs w:val="18"/>
              </w:rPr>
              <w:t>重金属</w:t>
            </w:r>
          </w:p>
        </w:tc>
        <w:tc>
          <w:tcPr>
            <w:tcW w:w="0" w:type="auto"/>
            <w:tcBorders>
              <w:bottom w:val="single" w:color="auto" w:sz="8" w:space="0"/>
            </w:tcBorders>
            <w:shd w:val="clear" w:color="auto" w:fill="auto"/>
            <w:vAlign w:val="center"/>
          </w:tcPr>
          <w:p>
            <w:pPr>
              <w:jc w:val="center"/>
              <w:rPr>
                <w:sz w:val="18"/>
                <w:szCs w:val="18"/>
              </w:rPr>
            </w:pPr>
            <w:r>
              <w:rPr>
                <w:rFonts w:hint="eastAsia"/>
                <w:sz w:val="18"/>
                <w:szCs w:val="18"/>
              </w:rPr>
              <w:t xml:space="preserve">汞 </w:t>
            </w:r>
            <w:r>
              <w:rPr>
                <w:sz w:val="18"/>
                <w:szCs w:val="18"/>
              </w:rPr>
              <w:t>Hg</w:t>
            </w:r>
          </w:p>
        </w:tc>
        <w:tc>
          <w:tcPr>
            <w:tcW w:w="0" w:type="auto"/>
            <w:tcBorders>
              <w:bottom w:val="single" w:color="auto" w:sz="8" w:space="0"/>
            </w:tcBorders>
            <w:vAlign w:val="center"/>
          </w:tcPr>
          <w:p>
            <w:pPr>
              <w:jc w:val="center"/>
              <w:rPr>
                <w:sz w:val="18"/>
                <w:szCs w:val="18"/>
              </w:rPr>
            </w:pPr>
            <w:r>
              <w:rPr>
                <w:rFonts w:hint="eastAsia"/>
                <w:sz w:val="18"/>
                <w:szCs w:val="18"/>
              </w:rPr>
              <w:t>mg/kg</w:t>
            </w:r>
          </w:p>
        </w:tc>
        <w:tc>
          <w:tcPr>
            <w:tcW w:w="3956"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sz w:val="18"/>
                <w:szCs w:val="18"/>
              </w:rPr>
              <w:t>≤1</w:t>
            </w:r>
          </w:p>
        </w:tc>
        <w:tc>
          <w:tcPr>
            <w:tcW w:w="1786" w:type="dxa"/>
            <w:vMerge w:val="continue"/>
            <w:shd w:val="clear" w:color="auto" w:fill="auto"/>
            <w:vAlign w:val="center"/>
          </w:tcPr>
          <w:p>
            <w:pPr>
              <w:rPr>
                <w:color w:val="00000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14</w:t>
            </w:r>
          </w:p>
        </w:tc>
        <w:tc>
          <w:tcPr>
            <w:tcW w:w="0" w:type="auto"/>
            <w:vMerge w:val="continue"/>
            <w:shd w:val="clear" w:color="auto" w:fill="auto"/>
            <w:vAlign w:val="center"/>
          </w:tcPr>
          <w:p>
            <w:pPr>
              <w:jc w:val="center"/>
              <w:rPr>
                <w:sz w:val="18"/>
                <w:szCs w:val="18"/>
              </w:rPr>
            </w:pPr>
          </w:p>
        </w:tc>
        <w:tc>
          <w:tcPr>
            <w:tcW w:w="0" w:type="auto"/>
            <w:vMerge w:val="continue"/>
            <w:shd w:val="clear" w:color="auto" w:fill="auto"/>
            <w:vAlign w:val="center"/>
          </w:tcPr>
          <w:p>
            <w:pPr>
              <w:jc w:val="center"/>
              <w:rPr>
                <w:sz w:val="18"/>
                <w:szCs w:val="18"/>
              </w:rPr>
            </w:pPr>
          </w:p>
        </w:tc>
        <w:tc>
          <w:tcPr>
            <w:tcW w:w="0" w:type="auto"/>
            <w:tcBorders>
              <w:bottom w:val="single" w:color="auto" w:sz="8" w:space="0"/>
            </w:tcBorders>
            <w:shd w:val="clear" w:color="auto" w:fill="auto"/>
            <w:vAlign w:val="center"/>
          </w:tcPr>
          <w:p>
            <w:pPr>
              <w:jc w:val="center"/>
              <w:rPr>
                <w:sz w:val="18"/>
                <w:szCs w:val="18"/>
              </w:rPr>
            </w:pPr>
            <w:r>
              <w:rPr>
                <w:rFonts w:hint="eastAsia"/>
                <w:sz w:val="18"/>
                <w:szCs w:val="18"/>
              </w:rPr>
              <w:t xml:space="preserve">铅 </w:t>
            </w:r>
            <w:r>
              <w:rPr>
                <w:sz w:val="18"/>
                <w:szCs w:val="18"/>
              </w:rPr>
              <w:t>Pb</w:t>
            </w:r>
          </w:p>
        </w:tc>
        <w:tc>
          <w:tcPr>
            <w:tcW w:w="0" w:type="auto"/>
            <w:tcBorders>
              <w:bottom w:val="single" w:color="auto" w:sz="8" w:space="0"/>
            </w:tcBorders>
            <w:vAlign w:val="center"/>
          </w:tcPr>
          <w:p>
            <w:pPr>
              <w:jc w:val="center"/>
              <w:rPr>
                <w:sz w:val="18"/>
                <w:szCs w:val="18"/>
              </w:rPr>
            </w:pPr>
            <w:r>
              <w:rPr>
                <w:rFonts w:hint="eastAsia"/>
                <w:sz w:val="18"/>
                <w:szCs w:val="18"/>
              </w:rPr>
              <w:t>mg/kg</w:t>
            </w:r>
          </w:p>
        </w:tc>
        <w:tc>
          <w:tcPr>
            <w:tcW w:w="3956"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sz w:val="18"/>
                <w:szCs w:val="18"/>
              </w:rPr>
              <w:t>≤10</w:t>
            </w:r>
          </w:p>
        </w:tc>
        <w:tc>
          <w:tcPr>
            <w:tcW w:w="1786" w:type="dxa"/>
            <w:vMerge w:val="continue"/>
            <w:shd w:val="clear" w:color="auto" w:fill="auto"/>
            <w:vAlign w:val="center"/>
          </w:tcPr>
          <w:p>
            <w:pPr>
              <w:rPr>
                <w:color w:val="00000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15</w:t>
            </w:r>
          </w:p>
        </w:tc>
        <w:tc>
          <w:tcPr>
            <w:tcW w:w="0" w:type="auto"/>
            <w:vMerge w:val="continue"/>
            <w:shd w:val="clear" w:color="auto" w:fill="auto"/>
            <w:vAlign w:val="center"/>
          </w:tcPr>
          <w:p>
            <w:pPr>
              <w:jc w:val="center"/>
              <w:rPr>
                <w:sz w:val="18"/>
                <w:szCs w:val="18"/>
              </w:rPr>
            </w:pPr>
          </w:p>
        </w:tc>
        <w:tc>
          <w:tcPr>
            <w:tcW w:w="0" w:type="auto"/>
            <w:vMerge w:val="continue"/>
            <w:shd w:val="clear" w:color="auto" w:fill="auto"/>
            <w:vAlign w:val="center"/>
          </w:tcPr>
          <w:p>
            <w:pPr>
              <w:jc w:val="center"/>
              <w:rPr>
                <w:sz w:val="18"/>
                <w:szCs w:val="18"/>
              </w:rPr>
            </w:pPr>
          </w:p>
        </w:tc>
        <w:tc>
          <w:tcPr>
            <w:tcW w:w="0" w:type="auto"/>
            <w:tcBorders>
              <w:bottom w:val="single" w:color="auto" w:sz="8" w:space="0"/>
            </w:tcBorders>
            <w:shd w:val="clear" w:color="auto" w:fill="auto"/>
            <w:vAlign w:val="center"/>
          </w:tcPr>
          <w:p>
            <w:pPr>
              <w:jc w:val="center"/>
              <w:rPr>
                <w:sz w:val="18"/>
                <w:szCs w:val="18"/>
              </w:rPr>
            </w:pPr>
            <w:r>
              <w:rPr>
                <w:rFonts w:hint="eastAsia"/>
                <w:sz w:val="18"/>
                <w:szCs w:val="18"/>
              </w:rPr>
              <w:t xml:space="preserve">砷 </w:t>
            </w:r>
            <w:r>
              <w:rPr>
                <w:sz w:val="18"/>
                <w:szCs w:val="18"/>
              </w:rPr>
              <w:t>As</w:t>
            </w:r>
          </w:p>
        </w:tc>
        <w:tc>
          <w:tcPr>
            <w:tcW w:w="0" w:type="auto"/>
            <w:tcBorders>
              <w:bottom w:val="single" w:color="auto" w:sz="8" w:space="0"/>
            </w:tcBorders>
            <w:vAlign w:val="center"/>
          </w:tcPr>
          <w:p>
            <w:pPr>
              <w:jc w:val="center"/>
              <w:rPr>
                <w:sz w:val="18"/>
                <w:szCs w:val="18"/>
              </w:rPr>
            </w:pPr>
            <w:r>
              <w:rPr>
                <w:rFonts w:hint="eastAsia"/>
                <w:sz w:val="18"/>
                <w:szCs w:val="18"/>
              </w:rPr>
              <w:t>mg/kg</w:t>
            </w:r>
          </w:p>
        </w:tc>
        <w:tc>
          <w:tcPr>
            <w:tcW w:w="3956"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sz w:val="18"/>
                <w:szCs w:val="18"/>
              </w:rPr>
              <w:t>≤2</w:t>
            </w:r>
          </w:p>
        </w:tc>
        <w:tc>
          <w:tcPr>
            <w:tcW w:w="1786" w:type="dxa"/>
            <w:vMerge w:val="continue"/>
            <w:shd w:val="clear" w:color="auto" w:fill="auto"/>
            <w:vAlign w:val="center"/>
          </w:tcPr>
          <w:p>
            <w:pPr>
              <w:rPr>
                <w:color w:val="00000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16</w:t>
            </w:r>
          </w:p>
        </w:tc>
        <w:tc>
          <w:tcPr>
            <w:tcW w:w="0" w:type="auto"/>
            <w:vMerge w:val="continue"/>
            <w:tcBorders>
              <w:bottom w:val="single" w:color="auto" w:sz="8" w:space="0"/>
            </w:tcBorders>
            <w:shd w:val="clear" w:color="auto" w:fill="auto"/>
            <w:vAlign w:val="center"/>
          </w:tcPr>
          <w:p>
            <w:pPr>
              <w:jc w:val="center"/>
              <w:rPr>
                <w:sz w:val="18"/>
                <w:szCs w:val="18"/>
              </w:rPr>
            </w:pPr>
          </w:p>
        </w:tc>
        <w:tc>
          <w:tcPr>
            <w:tcW w:w="0" w:type="auto"/>
            <w:vMerge w:val="continue"/>
            <w:tcBorders>
              <w:bottom w:val="single" w:color="auto" w:sz="8" w:space="0"/>
            </w:tcBorders>
            <w:shd w:val="clear" w:color="auto" w:fill="auto"/>
            <w:vAlign w:val="center"/>
          </w:tcPr>
          <w:p>
            <w:pPr>
              <w:jc w:val="center"/>
              <w:rPr>
                <w:sz w:val="18"/>
                <w:szCs w:val="18"/>
              </w:rPr>
            </w:pPr>
          </w:p>
        </w:tc>
        <w:tc>
          <w:tcPr>
            <w:tcW w:w="0" w:type="auto"/>
            <w:tcBorders>
              <w:bottom w:val="single" w:color="auto" w:sz="8" w:space="0"/>
            </w:tcBorders>
            <w:shd w:val="clear" w:color="auto" w:fill="auto"/>
            <w:vAlign w:val="center"/>
          </w:tcPr>
          <w:p>
            <w:pPr>
              <w:jc w:val="center"/>
              <w:rPr>
                <w:sz w:val="18"/>
                <w:szCs w:val="18"/>
              </w:rPr>
            </w:pPr>
            <w:r>
              <w:rPr>
                <w:rFonts w:hint="eastAsia"/>
                <w:sz w:val="18"/>
                <w:szCs w:val="18"/>
              </w:rPr>
              <w:t xml:space="preserve">镉 </w:t>
            </w:r>
            <w:r>
              <w:rPr>
                <w:sz w:val="18"/>
                <w:szCs w:val="18"/>
              </w:rPr>
              <w:t>Cd</w:t>
            </w:r>
          </w:p>
        </w:tc>
        <w:tc>
          <w:tcPr>
            <w:tcW w:w="0" w:type="auto"/>
            <w:tcBorders>
              <w:bottom w:val="single" w:color="auto" w:sz="8" w:space="0"/>
            </w:tcBorders>
            <w:vAlign w:val="center"/>
          </w:tcPr>
          <w:p>
            <w:pPr>
              <w:jc w:val="center"/>
              <w:rPr>
                <w:sz w:val="18"/>
                <w:szCs w:val="18"/>
              </w:rPr>
            </w:pPr>
            <w:r>
              <w:rPr>
                <w:rFonts w:hint="eastAsia"/>
                <w:sz w:val="18"/>
                <w:szCs w:val="18"/>
              </w:rPr>
              <w:t>mg/kg</w:t>
            </w:r>
          </w:p>
        </w:tc>
        <w:tc>
          <w:tcPr>
            <w:tcW w:w="3956"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sz w:val="18"/>
                <w:szCs w:val="18"/>
              </w:rPr>
              <w:t>≤5</w:t>
            </w:r>
          </w:p>
        </w:tc>
        <w:tc>
          <w:tcPr>
            <w:tcW w:w="1786" w:type="dxa"/>
            <w:vMerge w:val="continue"/>
            <w:tcBorders>
              <w:bottom w:val="single" w:color="auto" w:sz="8" w:space="0"/>
            </w:tcBorders>
            <w:shd w:val="clear" w:color="auto" w:fill="auto"/>
            <w:vAlign w:val="center"/>
          </w:tcPr>
          <w:p>
            <w:pPr>
              <w:rPr>
                <w:color w:val="000000"/>
                <w:sz w:val="18"/>
                <w:szCs w:val="18"/>
                <w:lang w:bidi="ar"/>
              </w:rPr>
            </w:pPr>
          </w:p>
        </w:tc>
      </w:tr>
    </w:tbl>
    <w:p>
      <w:pPr>
        <w:pStyle w:val="105"/>
        <w:spacing w:before="120" w:after="120"/>
      </w:pPr>
      <w:bookmarkStart w:id="82" w:name="_Hlk149922841"/>
      <w:bookmarkStart w:id="83" w:name="_Toc16886"/>
      <w:bookmarkStart w:id="84" w:name="_Toc150260166"/>
      <w:bookmarkStart w:id="85" w:name="_Toc2310"/>
      <w:bookmarkStart w:id="86" w:name="_Toc16713"/>
      <w:r>
        <w:rPr>
          <w:rFonts w:hint="eastAsia"/>
        </w:rPr>
        <w:t>数据来源</w:t>
      </w:r>
      <w:bookmarkEnd w:id="82"/>
      <w:bookmarkEnd w:id="83"/>
      <w:bookmarkEnd w:id="84"/>
      <w:bookmarkEnd w:id="85"/>
      <w:bookmarkEnd w:id="86"/>
    </w:p>
    <w:p>
      <w:pPr>
        <w:pStyle w:val="65"/>
        <w:spacing w:before="120" w:after="120"/>
      </w:pPr>
      <w:bookmarkStart w:id="87" w:name="_Toc150260167"/>
      <w:bookmarkStart w:id="88" w:name="_Toc15800"/>
      <w:r>
        <w:rPr>
          <w:rFonts w:hint="eastAsia"/>
        </w:rPr>
        <w:t>统计</w:t>
      </w:r>
      <w:bookmarkEnd w:id="87"/>
      <w:bookmarkEnd w:id="88"/>
    </w:p>
    <w:p>
      <w:pPr>
        <w:pStyle w:val="230"/>
      </w:pPr>
      <w:r>
        <w:rPr>
          <w:rFonts w:hint="eastAsia"/>
        </w:rPr>
        <w:t>企业的单位产品取水量、单位产品综合能耗和水的重复利用率，以年报或一定计量时间内的报表为准。</w:t>
      </w:r>
    </w:p>
    <w:p>
      <w:pPr>
        <w:pStyle w:val="65"/>
        <w:spacing w:before="120" w:after="120"/>
      </w:pPr>
      <w:bookmarkStart w:id="89" w:name="_Toc150260168"/>
      <w:bookmarkStart w:id="90" w:name="_Toc5755"/>
      <w:r>
        <w:rPr>
          <w:rFonts w:hint="eastAsia"/>
        </w:rPr>
        <w:t>实测</w:t>
      </w:r>
      <w:bookmarkEnd w:id="89"/>
      <w:bookmarkEnd w:id="90"/>
    </w:p>
    <w:p>
      <w:pPr>
        <w:pStyle w:val="230"/>
      </w:pPr>
      <w:r>
        <w:rPr>
          <w:rFonts w:hint="eastAsia"/>
        </w:rPr>
        <w:t>如果统计数据严重短缺，单位产品取水量等特征指标也可以在一定计量时间内用实测方法取得，一定计量时间一般不少于一个月。</w:t>
      </w:r>
    </w:p>
    <w:p>
      <w:pPr>
        <w:pStyle w:val="65"/>
        <w:spacing w:before="120" w:after="120"/>
      </w:pPr>
      <w:bookmarkStart w:id="91" w:name="_Toc30447"/>
      <w:bookmarkStart w:id="92" w:name="_Toc150260169"/>
      <w:r>
        <w:rPr>
          <w:rFonts w:hint="eastAsia"/>
        </w:rPr>
        <w:t>采样和监测</w:t>
      </w:r>
      <w:bookmarkEnd w:id="91"/>
      <w:bookmarkEnd w:id="92"/>
    </w:p>
    <w:p>
      <w:pPr>
        <w:pStyle w:val="230"/>
      </w:pPr>
      <w:r>
        <w:rPr>
          <w:rFonts w:hint="eastAsia"/>
        </w:rPr>
        <w:t>污染物排放指标的采样和监测按照相关技术规范执行，并采用国家标准实施监测；产品质量检测采样和检测按照标准</w:t>
      </w:r>
      <w:r>
        <w:rPr>
          <w:rFonts w:hint="eastAsia" w:hAnsi="宋体" w:cs="宋体"/>
          <w:szCs w:val="21"/>
          <w:lang w:bidi="ar"/>
        </w:rPr>
        <w:t>QB∕T 1857—2013</w:t>
      </w:r>
      <w:r>
        <w:rPr>
          <w:rFonts w:hint="eastAsia"/>
        </w:rPr>
        <w:t>或本文件的要求执行。</w:t>
      </w:r>
    </w:p>
    <w:p>
      <w:pPr>
        <w:pStyle w:val="105"/>
        <w:spacing w:before="120" w:after="120"/>
      </w:pPr>
      <w:bookmarkStart w:id="93" w:name="_Toc32332"/>
      <w:bookmarkStart w:id="94" w:name="_Toc150260170"/>
      <w:bookmarkStart w:id="95" w:name="_Toc3108"/>
      <w:bookmarkStart w:id="96" w:name="_Toc22152"/>
      <w:r>
        <w:rPr>
          <w:rFonts w:hint="eastAsia"/>
        </w:rPr>
        <w:t>评价方法</w:t>
      </w:r>
      <w:bookmarkEnd w:id="93"/>
      <w:bookmarkEnd w:id="94"/>
      <w:bookmarkEnd w:id="95"/>
      <w:bookmarkEnd w:id="96"/>
    </w:p>
    <w:p>
      <w:pPr>
        <w:pStyle w:val="230"/>
      </w:pPr>
      <w:r>
        <w:rPr>
          <w:rFonts w:hint="eastAsia"/>
        </w:rPr>
        <w:t>由“江西绿色生态”评价机构，依据“江西绿色生态”品牌认证技术标准及相应评价实施细则实施认证。</w:t>
      </w:r>
    </w:p>
    <w:p>
      <w:pPr>
        <w:pStyle w:val="105"/>
        <w:spacing w:before="120" w:after="120"/>
      </w:pPr>
      <w:bookmarkStart w:id="97" w:name="_Toc12623"/>
      <w:bookmarkStart w:id="98" w:name="_Toc14319"/>
      <w:bookmarkStart w:id="99" w:name="_Toc23275"/>
      <w:bookmarkStart w:id="100" w:name="_Toc150260171"/>
      <w:r>
        <w:rPr>
          <w:rFonts w:hint="eastAsia"/>
        </w:rPr>
        <w:t>评价报告</w:t>
      </w:r>
      <w:bookmarkEnd w:id="97"/>
      <w:bookmarkEnd w:id="98"/>
      <w:bookmarkEnd w:id="99"/>
      <w:bookmarkEnd w:id="100"/>
    </w:p>
    <w:p>
      <w:pPr>
        <w:pStyle w:val="230"/>
      </w:pPr>
      <w:r>
        <w:rPr>
          <w:rFonts w:hint="eastAsia"/>
        </w:rPr>
        <w:t>“江西绿色生态”评价机构按照本文件的要求，对参评的产品出具评价报告，符合评价要求的产品则授予认证证书和标志。</w:t>
      </w:r>
    </w:p>
    <w:p>
      <w:pPr>
        <w:pStyle w:val="104"/>
        <w:spacing w:before="240" w:after="240"/>
      </w:pPr>
      <w:bookmarkStart w:id="101" w:name="_Toc32499"/>
      <w:bookmarkStart w:id="102" w:name="_Toc11544"/>
      <w:bookmarkStart w:id="103" w:name="_Toc29583"/>
      <w:r>
        <w:rPr>
          <w:rFonts w:hint="eastAsia"/>
        </w:rPr>
        <w:t>品牌互认</w:t>
      </w:r>
      <w:bookmarkEnd w:id="101"/>
      <w:bookmarkEnd w:id="102"/>
      <w:bookmarkEnd w:id="103"/>
    </w:p>
    <w:p>
      <w:pPr>
        <w:pStyle w:val="105"/>
        <w:spacing w:before="120" w:after="120"/>
        <w:rPr>
          <w:rFonts w:ascii="宋体" w:hAnsi="宋体" w:eastAsia="宋体"/>
        </w:rPr>
      </w:pPr>
      <w:bookmarkStart w:id="104" w:name="_Toc10330"/>
      <w:bookmarkStart w:id="105" w:name="_Toc26535"/>
      <w:bookmarkStart w:id="106" w:name="_Toc150260173"/>
      <w:bookmarkStart w:id="107" w:name="_Toc23568"/>
      <w:r>
        <w:rPr>
          <w:rFonts w:hint="eastAsia" w:ascii="宋体" w:hAnsi="宋体" w:eastAsia="宋体"/>
        </w:rPr>
        <w:t>通过“赣出精品”等区域公用品牌认定的润肤膏霜产品，经江西绿色生态品牌建设促进会及第三方认证机构确认，可以采信为“江西绿色生态”品牌产品，在相关规定下可使用双重品牌证书和标志。</w:t>
      </w:r>
      <w:bookmarkEnd w:id="104"/>
      <w:bookmarkEnd w:id="105"/>
      <w:bookmarkEnd w:id="106"/>
      <w:bookmarkEnd w:id="107"/>
    </w:p>
    <w:p>
      <w:pPr>
        <w:pStyle w:val="105"/>
        <w:spacing w:before="120" w:after="120"/>
        <w:rPr>
          <w:rFonts w:ascii="宋体" w:hAnsi="宋体" w:eastAsia="宋体"/>
        </w:rPr>
      </w:pPr>
      <w:bookmarkStart w:id="108" w:name="_Toc9445"/>
      <w:bookmarkStart w:id="109" w:name="_Toc150260174"/>
      <w:bookmarkStart w:id="110" w:name="_Toc4811"/>
      <w:bookmarkStart w:id="111" w:name="_Toc10536"/>
      <w:r>
        <w:rPr>
          <w:rFonts w:hint="eastAsia" w:ascii="宋体" w:hAnsi="宋体" w:eastAsia="宋体"/>
        </w:rPr>
        <w:t>拥有“江西绿色生态”和“赣出精品”双重品牌证书和标志的润肤膏霜产品，同等条件下可以享受双方品牌宣传推广和政策优惠的权益，接受双方品牌监督管理的有关规定。</w:t>
      </w:r>
      <w:bookmarkEnd w:id="108"/>
      <w:bookmarkEnd w:id="109"/>
      <w:bookmarkEnd w:id="110"/>
      <w:bookmarkEnd w:id="111"/>
    </w:p>
    <w:p>
      <w:pPr>
        <w:rPr>
          <w:rFonts w:ascii="宋体" w:hAnsi="宋体" w:eastAsia="宋体"/>
        </w:rPr>
      </w:pPr>
      <w:r>
        <w:rPr>
          <w:rFonts w:hint="eastAsia" w:ascii="宋体" w:hAnsi="宋体" w:eastAsia="宋体"/>
        </w:rPr>
        <w:br w:type="page"/>
      </w:r>
    </w:p>
    <w:p>
      <w:pPr>
        <w:pStyle w:val="56"/>
      </w:pPr>
    </w:p>
    <w:p>
      <w:pPr>
        <w:pStyle w:val="240"/>
        <w:bidi w:val="0"/>
        <w:rPr>
          <w:rFonts w:hint="eastAsia"/>
        </w:rPr>
      </w:pPr>
      <w:bookmarkStart w:id="112" w:name="_Toc25559"/>
      <w:bookmarkEnd w:id="112"/>
    </w:p>
    <w:p>
      <w:pPr>
        <w:pStyle w:val="241"/>
        <w:bidi w:val="0"/>
        <w:rPr>
          <w:rFonts w:hint="eastAsia"/>
        </w:rPr>
      </w:pPr>
      <w:bookmarkStart w:id="113" w:name="_Toc27640"/>
      <w:bookmarkStart w:id="114" w:name="_Toc12973"/>
      <w:r>
        <w:rPr>
          <w:rFonts w:hint="eastAsia"/>
        </w:rPr>
        <w:br w:type="textWrapping"/>
      </w:r>
      <w:r>
        <w:rPr>
          <w:rFonts w:hint="eastAsia"/>
          <w:lang w:eastAsia="zh-CN"/>
        </w:rPr>
        <w:t>（资料性附录）</w:t>
      </w:r>
      <w:r>
        <w:rPr>
          <w:rFonts w:hint="eastAsia"/>
          <w:lang w:eastAsia="zh-CN"/>
        </w:rPr>
        <w:br w:type="textWrapping"/>
      </w:r>
      <w:r>
        <w:rPr>
          <w:rFonts w:hint="eastAsia"/>
          <w:lang w:eastAsia="zh-CN"/>
        </w:rPr>
        <w:t>天然原料或天然来源允许使用的加工方法</w:t>
      </w:r>
      <w:bookmarkEnd w:id="113"/>
      <w:bookmarkEnd w:id="114"/>
    </w:p>
    <w:p>
      <w:pPr>
        <w:rPr>
          <w:rFonts w:hint="eastAsia" w:ascii="黑体" w:hAnsi="Times New Roman" w:eastAsia="黑体" w:cs="Times New Roman"/>
          <w:kern w:val="0"/>
          <w:sz w:val="21"/>
          <w:szCs w:val="20"/>
          <w:lang w:val="en-US" w:eastAsia="zh-CN" w:bidi="ar-SA"/>
        </w:rPr>
      </w:pPr>
      <w:bookmarkStart w:id="115" w:name="DW"/>
      <w:bookmarkEnd w:id="115"/>
      <w:r>
        <w:rPr>
          <w:rFonts w:hint="eastAsia"/>
          <w:lang w:val="en-US" w:eastAsia="zh-CN"/>
        </w:rPr>
        <w:t xml:space="preserve">A </w:t>
      </w:r>
      <w:r>
        <w:rPr>
          <w:rFonts w:hint="eastAsia" w:ascii="黑体" w:hAnsi="Times New Roman" w:eastAsia="黑体" w:cs="Times New Roman"/>
          <w:kern w:val="0"/>
          <w:sz w:val="21"/>
          <w:szCs w:val="20"/>
          <w:lang w:val="en-US" w:eastAsia="zh-CN" w:bidi="ar-SA"/>
        </w:rPr>
        <w:t>天然原料或天然来源允许使用的加工方法</w:t>
      </w:r>
    </w:p>
    <w:p>
      <w:pPr>
        <w:rPr>
          <w:rFonts w:hint="eastAsia" w:ascii="黑体" w:hAnsi="Times New Roman" w:eastAsia="黑体" w:cs="Times New Roman"/>
          <w:kern w:val="0"/>
          <w:sz w:val="21"/>
          <w:szCs w:val="20"/>
          <w:lang w:val="en-US" w:eastAsia="zh-CN" w:bidi="ar-SA"/>
        </w:rPr>
      </w:pP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74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10" w:type="dxa"/>
            <w:tcBorders>
              <w:bottom w:val="single" w:color="auto" w:sz="8" w:space="0"/>
              <w:tl2br w:val="nil"/>
              <w:tr2bl w:val="nil"/>
            </w:tcBorders>
          </w:tcPr>
          <w:p>
            <w:pPr>
              <w:spacing w:line="36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加工类型</w:t>
            </w:r>
          </w:p>
        </w:tc>
        <w:tc>
          <w:tcPr>
            <w:tcW w:w="7460" w:type="dxa"/>
            <w:tcBorders>
              <w:bottom w:val="single" w:color="auto" w:sz="8" w:space="0"/>
              <w:tl2br w:val="nil"/>
              <w:tr2bl w:val="nil"/>
            </w:tcBorders>
          </w:tcPr>
          <w:p>
            <w:pPr>
              <w:spacing w:line="36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允许使用的加工方法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10" w:type="dxa"/>
            <w:tcBorders>
              <w:top w:val="single" w:color="auto" w:sz="8" w:space="0"/>
              <w:tl2br w:val="nil"/>
              <w:tr2bl w:val="nil"/>
            </w:tcBorders>
            <w:vAlign w:val="center"/>
          </w:tcPr>
          <w:p>
            <w:pPr>
              <w:spacing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物理加工</w:t>
            </w:r>
          </w:p>
        </w:tc>
        <w:tc>
          <w:tcPr>
            <w:tcW w:w="7460" w:type="dxa"/>
            <w:tcBorders>
              <w:top w:val="single" w:color="auto" w:sz="8" w:space="0"/>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吸收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漂白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脱臭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研磨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离心过滤（分离固体和液体（旋转-烘干））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沉淀和倾析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干燥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烘干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脱萜（用水蒸气分馏）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压榨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萃取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冻干法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混合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过滤和净化（超滤、透析和电解）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渗透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冻压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热压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高温消毒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物理方法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spacing w:val="0"/>
                <w:kern w:val="0"/>
                <w:sz w:val="18"/>
                <w:szCs w:val="18"/>
                <w:shd w:val="clear" w:fill="FFFFFF"/>
                <w:lang w:val="en-US" w:eastAsia="zh-CN" w:bidi="ar"/>
              </w:rPr>
              <w:t>筛选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10" w:type="dxa"/>
            <w:tcBorders>
              <w:bottom w:val="single" w:color="auto" w:sz="8" w:space="0"/>
              <w:tl2br w:val="nil"/>
              <w:tr2bl w:val="nil"/>
            </w:tcBorders>
          </w:tcPr>
          <w:p>
            <w:pPr>
              <w:spacing w:line="360" w:lineRule="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化学加工</w:t>
            </w:r>
          </w:p>
        </w:tc>
        <w:tc>
          <w:tcPr>
            <w:tcW w:w="7460" w:type="dxa"/>
            <w:tcBorders>
              <w:bottom w:val="single" w:color="auto" w:sz="8" w:space="0"/>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烷基化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氨基化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植物残体煅烧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炭化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缩合发应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加成反应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酯化作用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醚化作用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发酵（自然发酵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生物发酵）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水合作用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氢化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水解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中和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氧化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还原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两性物质的加工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皂化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硫化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spacing w:val="0"/>
                <w:kern w:val="0"/>
                <w:sz w:val="18"/>
                <w:szCs w:val="18"/>
                <w:shd w:val="clear" w:fill="FFFFFF"/>
                <w:lang w:val="en-US" w:eastAsia="zh-CN" w:bidi="ar"/>
              </w:rPr>
              <w:t>煅烧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10" w:type="dxa"/>
            <w:tcBorders>
              <w:top w:val="single" w:color="auto" w:sz="8" w:space="0"/>
              <w:tl2br w:val="nil"/>
              <w:tr2bl w:val="nil"/>
            </w:tcBorders>
          </w:tcPr>
          <w:p>
            <w:pPr>
              <w:spacing w:line="360" w:lineRule="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加工类型</w:t>
            </w:r>
          </w:p>
        </w:tc>
        <w:tc>
          <w:tcPr>
            <w:tcW w:w="7460" w:type="dxa"/>
            <w:tcBorders>
              <w:top w:val="single" w:color="auto" w:sz="8" w:space="0"/>
              <w:tl2br w:val="nil"/>
              <w:tr2bl w:val="nil"/>
            </w:tcBorders>
          </w:tcPr>
          <w:p>
            <w:pPr>
              <w:spacing w:line="360" w:lineRule="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不允许使用的加工方法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10" w:type="dxa"/>
            <w:tcBorders>
              <w:tl2br w:val="nil"/>
              <w:tr2bl w:val="nil"/>
            </w:tcBorders>
          </w:tcPr>
          <w:p>
            <w:pPr>
              <w:spacing w:line="360" w:lineRule="auto"/>
              <w:rPr>
                <w:rFonts w:hint="eastAsia" w:ascii="宋体" w:hAnsi="宋体" w:eastAsia="宋体" w:cs="宋体"/>
                <w:sz w:val="18"/>
                <w:szCs w:val="18"/>
                <w:vertAlign w:val="baseline"/>
                <w:lang w:val="en-US" w:eastAsia="zh-CN"/>
              </w:rPr>
            </w:pPr>
          </w:p>
        </w:tc>
        <w:tc>
          <w:tcPr>
            <w:tcW w:w="7460"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漂白－脱臭（动物性原料或产品）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脱萜（使用光束脱萜除外）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乙氧基化（聚氨酯）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辐射处理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硫化（为主反应）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基因技术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使用环氧乙烷处理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vertAlign w:val="baseline"/>
                <w:lang w:val="en-US" w:eastAsia="zh-CN"/>
              </w:rPr>
            </w:pPr>
            <w:r>
              <w:rPr>
                <w:rFonts w:hint="eastAsia" w:ascii="宋体" w:hAnsi="宋体" w:eastAsia="宋体" w:cs="宋体"/>
                <w:kern w:val="0"/>
                <w:sz w:val="18"/>
                <w:szCs w:val="18"/>
                <w:shd w:val="clear" w:fill="FFFFFF"/>
                <w:lang w:val="en-US" w:eastAsia="zh-CN" w:bidi="ar"/>
              </w:rPr>
              <w:t>使用汞处理（碳酸汞）</w:t>
            </w:r>
          </w:p>
        </w:tc>
      </w:tr>
    </w:tbl>
    <w:p>
      <w:pPr>
        <w:pStyle w:val="56"/>
      </w:pPr>
    </w:p>
    <w:bookmarkEnd w:id="24"/>
    <w:p>
      <w:pPr>
        <w:pStyle w:val="56"/>
        <w:ind w:firstLine="0" w:firstLineChars="0"/>
        <w:jc w:val="center"/>
      </w:pPr>
      <w:bookmarkStart w:id="116" w:name="BookMark8"/>
      <w:r>
        <w:drawing>
          <wp:inline distT="0" distB="0" distL="0" distR="0">
            <wp:extent cx="1485900" cy="317500"/>
            <wp:effectExtent l="0" t="0" r="0" b="6350"/>
            <wp:docPr id="1912587758" name="图片 1"/>
            <wp:cNvGraphicFramePr/>
            <a:graphic xmlns:a="http://schemas.openxmlformats.org/drawingml/2006/main">
              <a:graphicData uri="http://schemas.openxmlformats.org/drawingml/2006/picture">
                <pic:pic xmlns:pic="http://schemas.openxmlformats.org/drawingml/2006/picture">
                  <pic:nvPicPr>
                    <pic:cNvPr id="1912587758"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6"/>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T/JGE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T/JGE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0B55DC2"/>
    <w:multiLevelType w:val="multilevel"/>
    <w:tmpl w:val="60B55DC2"/>
    <w:lvl w:ilvl="0" w:tentative="0">
      <w:start w:val="1"/>
      <w:numFmt w:val="upperLetter"/>
      <w:pStyle w:val="240"/>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9KyELp7fK4PdWy3GGTudyC73Tw95Z9cUJ7d2i0dFC2qph/XOlKT6FmHPooi/qN5Dt41fK4SdPxgaJAKCH1ocVg==" w:salt="zgRKVhJHXQASH1FXkxkp1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xN2NjODU5MWU4OTNhNDNiOWM1OTEzY2FhNDc0MzEifQ=="/>
  </w:docVars>
  <w:rsids>
    <w:rsidRoot w:val="00E4360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B4D"/>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748"/>
    <w:rsid w:val="00262696"/>
    <w:rsid w:val="00263D25"/>
    <w:rsid w:val="002643C3"/>
    <w:rsid w:val="00264A0C"/>
    <w:rsid w:val="00266EEB"/>
    <w:rsid w:val="00267EF4"/>
    <w:rsid w:val="00270CB8"/>
    <w:rsid w:val="00272B08"/>
    <w:rsid w:val="00281BB8"/>
    <w:rsid w:val="00281E9E"/>
    <w:rsid w:val="00282405"/>
    <w:rsid w:val="00285170"/>
    <w:rsid w:val="00285361"/>
    <w:rsid w:val="0028627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4D7"/>
    <w:rsid w:val="002F7AF6"/>
    <w:rsid w:val="00300E63"/>
    <w:rsid w:val="00302F5F"/>
    <w:rsid w:val="0030441D"/>
    <w:rsid w:val="00306063"/>
    <w:rsid w:val="00313B85"/>
    <w:rsid w:val="00317988"/>
    <w:rsid w:val="00320F28"/>
    <w:rsid w:val="003221B4"/>
    <w:rsid w:val="0032258D"/>
    <w:rsid w:val="00322E62"/>
    <w:rsid w:val="00324D13"/>
    <w:rsid w:val="00324EDD"/>
    <w:rsid w:val="003331E4"/>
    <w:rsid w:val="00336C64"/>
    <w:rsid w:val="00337162"/>
    <w:rsid w:val="003375C8"/>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A40"/>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B36"/>
    <w:rsid w:val="00573D9E"/>
    <w:rsid w:val="005801E3"/>
    <w:rsid w:val="00581802"/>
    <w:rsid w:val="005836A8"/>
    <w:rsid w:val="0058409C"/>
    <w:rsid w:val="00584262"/>
    <w:rsid w:val="00586630"/>
    <w:rsid w:val="00587ADD"/>
    <w:rsid w:val="0059386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A64"/>
    <w:rsid w:val="00651ACB"/>
    <w:rsid w:val="00651C47"/>
    <w:rsid w:val="00652AB2"/>
    <w:rsid w:val="00653FED"/>
    <w:rsid w:val="006542B2"/>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6EC6"/>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6AF"/>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267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542"/>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31D"/>
    <w:rsid w:val="009A72AD"/>
    <w:rsid w:val="009B09E0"/>
    <w:rsid w:val="009B0BC5"/>
    <w:rsid w:val="009B1247"/>
    <w:rsid w:val="009B6029"/>
    <w:rsid w:val="009B6971"/>
    <w:rsid w:val="009C27F1"/>
    <w:rsid w:val="009C3152"/>
    <w:rsid w:val="009C3257"/>
    <w:rsid w:val="009C4CFA"/>
    <w:rsid w:val="009C5070"/>
    <w:rsid w:val="009D112C"/>
    <w:rsid w:val="009D1385"/>
    <w:rsid w:val="009D3398"/>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A5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D4B"/>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360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2EE"/>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A31E5C"/>
    <w:rsid w:val="07D844B5"/>
    <w:rsid w:val="14AC039C"/>
    <w:rsid w:val="21965742"/>
    <w:rsid w:val="22724637"/>
    <w:rsid w:val="2B0B339C"/>
    <w:rsid w:val="40A87720"/>
    <w:rsid w:val="45624BDF"/>
    <w:rsid w:val="4E6B2225"/>
    <w:rsid w:val="4FE76A07"/>
    <w:rsid w:val="557C5118"/>
    <w:rsid w:val="7423284B"/>
    <w:rsid w:val="7E30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一级条标题"/>
    <w:next w:val="230"/>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章标题"/>
    <w:next w:val="230"/>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qFormat/>
    <w:uiPriority w:val="0"/>
    <w:pPr>
      <w:numPr>
        <w:ilvl w:val="2"/>
      </w:numPr>
      <w:spacing w:before="50" w:after="50"/>
      <w:outlineLvl w:val="3"/>
    </w:pPr>
  </w:style>
  <w:style w:type="paragraph" w:customStyle="1" w:styleId="235">
    <w:name w:val="三级条标题"/>
    <w:basedOn w:val="234"/>
    <w:next w:val="230"/>
    <w:qFormat/>
    <w:uiPriority w:val="0"/>
    <w:pPr>
      <w:numPr>
        <w:ilvl w:val="3"/>
      </w:numPr>
      <w:outlineLvl w:val="4"/>
    </w:pPr>
  </w:style>
  <w:style w:type="paragraph" w:customStyle="1" w:styleId="236">
    <w:name w:val="四级条标题"/>
    <w:basedOn w:val="235"/>
    <w:next w:val="230"/>
    <w:qFormat/>
    <w:uiPriority w:val="0"/>
    <w:pPr>
      <w:numPr>
        <w:ilvl w:val="4"/>
      </w:numPr>
      <w:outlineLvl w:val="5"/>
    </w:pPr>
  </w:style>
  <w:style w:type="paragraph" w:customStyle="1" w:styleId="237">
    <w:name w:val="五级条标题"/>
    <w:basedOn w:val="236"/>
    <w:next w:val="230"/>
    <w:qFormat/>
    <w:uiPriority w:val="0"/>
    <w:pPr>
      <w:numPr>
        <w:ilvl w:val="5"/>
      </w:numPr>
      <w:outlineLvl w:val="6"/>
    </w:pPr>
  </w:style>
  <w:style w:type="paragraph" w:customStyle="1" w:styleId="238">
    <w:name w:val="正文表标题"/>
    <w:next w:val="230"/>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正文1"/>
    <w:qFormat/>
    <w:uiPriority w:val="0"/>
    <w:pPr>
      <w:jc w:val="both"/>
    </w:pPr>
    <w:rPr>
      <w:rFonts w:ascii="Calibri" w:hAnsi="Calibri" w:eastAsia="宋体" w:cs="Calibri"/>
      <w:kern w:val="2"/>
      <w:sz w:val="21"/>
      <w:szCs w:val="21"/>
      <w:lang w:val="en-US" w:eastAsia="zh-CN" w:bidi="ar-SA"/>
    </w:rPr>
  </w:style>
  <w:style w:type="paragraph" w:customStyle="1" w:styleId="240">
    <w:name w:val="附录表标号"/>
    <w:basedOn w:val="1"/>
    <w:next w:val="230"/>
    <w:qFormat/>
    <w:uiPriority w:val="0"/>
    <w:pPr>
      <w:numPr>
        <w:ilvl w:val="0"/>
        <w:numId w:val="33"/>
      </w:numPr>
      <w:tabs>
        <w:tab w:val="clear" w:pos="0"/>
      </w:tabs>
      <w:spacing w:line="14" w:lineRule="exact"/>
      <w:ind w:left="811" w:hanging="448"/>
      <w:jc w:val="center"/>
      <w:outlineLvl w:val="0"/>
    </w:pPr>
    <w:rPr>
      <w:color w:val="FFFFFF"/>
    </w:rPr>
  </w:style>
  <w:style w:type="paragraph" w:customStyle="1" w:styleId="241">
    <w:name w:val="附录标识"/>
    <w:basedOn w:val="1"/>
    <w:next w:val="230"/>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5FC9092484459C884ACDC80BA49514"/>
        <w:style w:val=""/>
        <w:category>
          <w:name w:val="常规"/>
          <w:gallery w:val="placeholder"/>
        </w:category>
        <w:types>
          <w:type w:val="bbPlcHdr"/>
        </w:types>
        <w:behaviors>
          <w:behavior w:val="content"/>
        </w:behaviors>
        <w:description w:val=""/>
        <w:guid w:val="{D5EF8982-715C-4038-8AD4-33C1CE2686DA}"/>
      </w:docPartPr>
      <w:docPartBody>
        <w:p>
          <w:pPr>
            <w:pStyle w:val="5"/>
          </w:pPr>
          <w:r>
            <w:rPr>
              <w:rStyle w:val="4"/>
              <w:rFonts w:hint="eastAsia"/>
            </w:rPr>
            <w:t>单击或点击此处输入文字。</w:t>
          </w:r>
        </w:p>
      </w:docPartBody>
    </w:docPart>
    <w:docPart>
      <w:docPartPr>
        <w:name w:val="ACBA808E4FCE4F08B46290FE0D6A3825"/>
        <w:style w:val=""/>
        <w:category>
          <w:name w:val="常规"/>
          <w:gallery w:val="placeholder"/>
        </w:category>
        <w:types>
          <w:type w:val="bbPlcHdr"/>
        </w:types>
        <w:behaviors>
          <w:behavior w:val="content"/>
        </w:behaviors>
        <w:description w:val=""/>
        <w:guid w:val="{C07E1336-4599-44CD-9D60-CFEC059E6619}"/>
      </w:docPartPr>
      <w:docPartBody>
        <w:p>
          <w:pPr>
            <w:pStyle w:val="6"/>
          </w:pPr>
          <w:r>
            <w:rPr>
              <w:rStyle w:val="4"/>
              <w:rFonts w:hint="eastAsia"/>
            </w:rPr>
            <w:t>选择一项。</w:t>
          </w:r>
        </w:p>
      </w:docPartBody>
    </w:docPart>
    <w:docPart>
      <w:docPartPr>
        <w:name w:val="AD8DD69D501348B79726D4E2CAD90759"/>
        <w:style w:val=""/>
        <w:category>
          <w:name w:val="常规"/>
          <w:gallery w:val="placeholder"/>
        </w:category>
        <w:types>
          <w:type w:val="bbPlcHdr"/>
        </w:types>
        <w:behaviors>
          <w:behavior w:val="content"/>
        </w:behaviors>
        <w:description w:val=""/>
        <w:guid w:val="{1084FC5A-D33F-4135-9918-7F9C5CC70C9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54"/>
    <w:rsid w:val="00411C88"/>
    <w:rsid w:val="009511B2"/>
    <w:rsid w:val="00C050DF"/>
    <w:rsid w:val="00CA4E54"/>
    <w:rsid w:val="00E7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25FC9092484459C884ACDC80BA4951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ACBA808E4FCE4F08B46290FE0D6A382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D8DD69D501348B79726D4E2CAD9075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684</Words>
  <Characters>3899</Characters>
  <Lines>32</Lines>
  <Paragraphs>9</Paragraphs>
  <TotalTime>1</TotalTime>
  <ScaleCrop>false</ScaleCrop>
  <LinksUpToDate>false</LinksUpToDate>
  <CharactersWithSpaces>4574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2023-11-07T06:40:00Z</dcterms:created>
  <dc:creator>z</dc:creator>
  <dc:description>&lt;config cover="true" show_menu="true" version="1.0.0" doctype="SDKXY"&gt;_x000d_
&lt;/config&gt;</dc:description>
  <cp:lastModifiedBy>Liuna</cp:lastModifiedBy>
  <cp:lastPrinted>2021-02-02T08:22:00Z</cp:lastPrinted>
  <dcterms:modified xsi:type="dcterms:W3CDTF">2024-01-27T05:19:54Z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5BFBE42B65DB4296BD2EEB80CC7B34C4_13</vt:lpwstr>
  </property>
</Properties>
</file>