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71.100.7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71.100.70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JGE</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Y 42"/>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Y 42</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江西绿色生态品牌建设促进会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JGE</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江西绿色生态 儿童沐浴露"/>
            </w:textInput>
          </w:ffData>
        </w:fldChar>
      </w:r>
      <w:bookmarkStart w:id="8" w:name="CSTD_NAME"/>
      <w:r>
        <w:instrText xml:space="preserve"> FORMTEXT </w:instrText>
      </w:r>
      <w:r>
        <w:fldChar w:fldCharType="separate"/>
      </w:r>
      <w:r>
        <w:t>江西绿色生态 儿童沐浴露</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Jiangxi Green Ecology-Bath agents and shower agents for children"/>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Jiangxi Green Ecology-</w:t>
      </w:r>
      <w:r>
        <w:rPr>
          <w:rFonts w:hint="eastAsia" w:eastAsia="黑体"/>
          <w:szCs w:val="28"/>
        </w:rPr>
        <w:t xml:space="preserve"> kids </w:t>
      </w:r>
      <w:r>
        <w:rPr>
          <w:rFonts w:eastAsia="黑体"/>
          <w:szCs w:val="28"/>
        </w:rPr>
        <w:t xml:space="preserve">Bath agents  </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3"/>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江西绿色生态品牌建设促进会</w:t>
      </w:r>
      <w:r>
        <w:rPr>
          <w:rFonts w:hAnsi="黑体"/>
          <w:w w:val="100"/>
          <w:sz w:val="28"/>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19" w:name="BookMark1"/>
      <w:r>
        <w:rPr>
          <w:rFonts w:hint="eastAsia"/>
          <w:spacing w:val="320"/>
        </w:rPr>
        <w:t>目</w:t>
      </w:r>
      <w:r>
        <w:rPr>
          <w:rFonts w:hint="eastAsia"/>
        </w:rPr>
        <w:t>次</w:t>
      </w:r>
    </w:p>
    <w:p>
      <w:pPr>
        <w:pStyle w:val="19"/>
        <w:tabs>
          <w:tab w:val="right" w:leader="dot" w:pos="9354"/>
        </w:tabs>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_Toc20782 </w:instrText>
      </w:r>
      <w:r>
        <w:fldChar w:fldCharType="separate"/>
      </w:r>
      <w:r>
        <w:rPr>
          <w:spacing w:val="320"/>
        </w:rPr>
        <w:t>前</w:t>
      </w:r>
      <w:r>
        <w:t>言</w:t>
      </w:r>
      <w:r>
        <w:tab/>
      </w:r>
      <w:r>
        <w:fldChar w:fldCharType="begin"/>
      </w:r>
      <w:r>
        <w:instrText xml:space="preserve"> PAGEREF _Toc20782 \h </w:instrText>
      </w:r>
      <w:r>
        <w:fldChar w:fldCharType="separate"/>
      </w:r>
      <w:r>
        <w:t>II</w:t>
      </w:r>
      <w:r>
        <w:fldChar w:fldCharType="end"/>
      </w:r>
      <w:r>
        <w:fldChar w:fldCharType="end"/>
      </w:r>
    </w:p>
    <w:p>
      <w:pPr>
        <w:pStyle w:val="19"/>
        <w:tabs>
          <w:tab w:val="right" w:leader="dot" w:pos="9354"/>
        </w:tabs>
      </w:pPr>
      <w:r>
        <w:fldChar w:fldCharType="begin"/>
      </w:r>
      <w:r>
        <w:instrText xml:space="preserve"> HYPERLINK \l _Toc2651 </w:instrText>
      </w:r>
      <w:r>
        <w:fldChar w:fldCharType="separate"/>
      </w:r>
      <w:r>
        <w:rPr>
          <w:spacing w:val="320"/>
        </w:rPr>
        <w:t>引</w:t>
      </w:r>
      <w:r>
        <w:t>言</w:t>
      </w:r>
      <w:r>
        <w:tab/>
      </w:r>
      <w:r>
        <w:fldChar w:fldCharType="begin"/>
      </w:r>
      <w:r>
        <w:instrText xml:space="preserve"> PAGEREF _Toc2651 \h </w:instrText>
      </w:r>
      <w:r>
        <w:fldChar w:fldCharType="separate"/>
      </w:r>
      <w:r>
        <w:t>III</w:t>
      </w:r>
      <w:r>
        <w:fldChar w:fldCharType="end"/>
      </w:r>
      <w:r>
        <w:fldChar w:fldCharType="end"/>
      </w:r>
    </w:p>
    <w:p>
      <w:pPr>
        <w:pStyle w:val="19"/>
        <w:tabs>
          <w:tab w:val="right" w:leader="dot" w:pos="9354"/>
        </w:tabs>
      </w:pPr>
      <w:r>
        <w:fldChar w:fldCharType="begin"/>
      </w:r>
      <w:r>
        <w:instrText xml:space="preserve"> HYPERLINK \l _Toc6953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_Toc6953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_Toc19054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_Toc19054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_Toc4996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_Toc4996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_Toc3232 </w:instrText>
      </w:r>
      <w:r>
        <w:fldChar w:fldCharType="separate"/>
      </w:r>
      <w:r>
        <w:rPr>
          <w:rFonts w:hint="eastAsia" w:ascii="黑体" w:eastAsia="黑体"/>
          <w:i w:val="0"/>
        </w:rPr>
        <w:t xml:space="preserve">4 </w:t>
      </w:r>
      <w:r>
        <w:rPr>
          <w:rFonts w:hint="eastAsia"/>
        </w:rPr>
        <w:t>评价要求</w:t>
      </w:r>
      <w:r>
        <w:tab/>
      </w:r>
      <w:r>
        <w:fldChar w:fldCharType="begin"/>
      </w:r>
      <w:r>
        <w:instrText xml:space="preserve"> PAGEREF _Toc3232 \h </w:instrText>
      </w:r>
      <w:r>
        <w:fldChar w:fldCharType="separate"/>
      </w:r>
      <w:r>
        <w:t>2</w:t>
      </w:r>
      <w:r>
        <w:fldChar w:fldCharType="end"/>
      </w:r>
      <w:r>
        <w:fldChar w:fldCharType="end"/>
      </w:r>
    </w:p>
    <w:p>
      <w:pPr>
        <w:pStyle w:val="19"/>
        <w:tabs>
          <w:tab w:val="right" w:leader="dot" w:pos="9354"/>
        </w:tabs>
      </w:pPr>
      <w:r>
        <w:fldChar w:fldCharType="begin"/>
      </w:r>
      <w:r>
        <w:instrText xml:space="preserve"> HYPERLINK \l _Toc22189 </w:instrText>
      </w:r>
      <w:r>
        <w:fldChar w:fldCharType="separate"/>
      </w:r>
      <w:r>
        <w:rPr>
          <w:rFonts w:hint="eastAsia" w:ascii="黑体" w:eastAsia="黑体"/>
          <w:i w:val="0"/>
        </w:rPr>
        <w:t xml:space="preserve">5 </w:t>
      </w:r>
      <w:r>
        <w:rPr>
          <w:rFonts w:hint="eastAsia"/>
        </w:rPr>
        <w:t>品牌互认</w:t>
      </w:r>
      <w:r>
        <w:tab/>
      </w:r>
      <w:r>
        <w:fldChar w:fldCharType="begin"/>
      </w:r>
      <w:r>
        <w:instrText xml:space="preserve"> PAGEREF _Toc22189 \h </w:instrText>
      </w:r>
      <w:r>
        <w:fldChar w:fldCharType="separate"/>
      </w:r>
      <w:r>
        <w:t>4</w:t>
      </w:r>
      <w:r>
        <w:fldChar w:fldCharType="end"/>
      </w:r>
      <w:r>
        <w:fldChar w:fldCharType="end"/>
      </w:r>
    </w:p>
    <w:p>
      <w:pPr>
        <w:pStyle w:val="19"/>
        <w:tabs>
          <w:tab w:val="right" w:leader="dot" w:pos="9354"/>
        </w:tabs>
      </w:pPr>
      <w:r>
        <w:fldChar w:fldCharType="begin"/>
      </w:r>
      <w:r>
        <w:instrText xml:space="preserve"> HYPERLINK \l _Toc29591 </w:instrText>
      </w:r>
      <w:r>
        <w:fldChar w:fldCharType="separate"/>
      </w:r>
      <w:r>
        <w:rPr>
          <w:rFonts w:hint="eastAsia"/>
          <w:spacing w:val="100"/>
        </w:rPr>
        <w:t xml:space="preserve">附录A </w:t>
      </w:r>
      <w:r>
        <w:rPr>
          <w:rFonts w:hint="eastAsia"/>
        </w:rPr>
        <w:t xml:space="preserve"> </w:t>
      </w:r>
      <w:r>
        <w:rPr>
          <w:rFonts w:hint="eastAsia"/>
          <w:lang w:eastAsia="zh-CN"/>
        </w:rPr>
        <w:t xml:space="preserve">（资料性附录） </w:t>
      </w:r>
      <w:r>
        <w:tab/>
      </w:r>
      <w:r>
        <w:fldChar w:fldCharType="begin"/>
      </w:r>
      <w:r>
        <w:instrText xml:space="preserve"> PAGEREF _Toc29591 \h </w:instrText>
      </w:r>
      <w:r>
        <w:fldChar w:fldCharType="separate"/>
      </w:r>
      <w:r>
        <w:t>5</w:t>
      </w:r>
      <w:r>
        <w:fldChar w:fldCharType="end"/>
      </w:r>
      <w:r>
        <w:fldChar w:fldCharType="end"/>
      </w:r>
    </w:p>
    <w:p>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9"/>
    <w:p>
      <w:pPr>
        <w:pStyle w:val="89"/>
        <w:spacing w:before="900" w:after="360"/>
      </w:pPr>
      <w:bookmarkStart w:id="20" w:name="_Toc20782"/>
      <w:bookmarkStart w:id="21" w:name="BookMark2"/>
      <w:r>
        <w:rPr>
          <w:spacing w:val="320"/>
        </w:rPr>
        <w:t>前</w:t>
      </w:r>
      <w:r>
        <w:t>言</w:t>
      </w:r>
      <w:bookmarkEnd w:id="20"/>
    </w:p>
    <w:p>
      <w:pPr>
        <w:pStyle w:val="56"/>
        <w:ind w:firstLine="420"/>
      </w:pPr>
      <w:r>
        <w:rPr>
          <w:rFonts w:hint="eastAsia"/>
        </w:rPr>
        <w:t>本文件按照GB/T 1.1—2020《标准化工作导则  第1部分：标准化文件的结构和起草规则》的规定起草。</w:t>
      </w:r>
    </w:p>
    <w:p>
      <w:pPr>
        <w:ind w:firstLine="420" w:firstLineChars="200"/>
        <w:rPr>
          <w:color w:val="000000"/>
        </w:rPr>
      </w:pPr>
      <w:r>
        <w:rPr>
          <w:rFonts w:hint="eastAsia"/>
          <w:color w:val="000000"/>
        </w:rPr>
        <w:t>请注意本文件的某些内容可能涉及专利。本文件的发布机构不承担识别这些专利的责任。</w:t>
      </w:r>
    </w:p>
    <w:p>
      <w:pPr>
        <w:pStyle w:val="56"/>
        <w:ind w:firstLine="420"/>
      </w:pPr>
      <w:r>
        <w:rPr>
          <w:rFonts w:hint="eastAsia"/>
        </w:rPr>
        <w:t>本文件由</w:t>
      </w:r>
      <w:r>
        <w:rPr>
          <w:rFonts w:hint="eastAsia"/>
          <w:color w:val="000000"/>
          <w:szCs w:val="21"/>
        </w:rPr>
        <w:t>江西绿色生态品牌建设促进会提出并归口。</w:t>
      </w:r>
    </w:p>
    <w:p>
      <w:pPr>
        <w:pStyle w:val="56"/>
        <w:ind w:firstLine="420"/>
        <w:rPr>
          <w:rFonts w:hint="default" w:eastAsia="宋体"/>
          <w:lang w:val="en-US" w:eastAsia="zh-CN"/>
        </w:rPr>
      </w:pPr>
      <w:r>
        <w:rPr>
          <w:rFonts w:hint="eastAsia"/>
        </w:rPr>
        <w:t>本文件起草单位：</w:t>
      </w:r>
    </w:p>
    <w:p>
      <w:pPr>
        <w:pStyle w:val="56"/>
        <w:ind w:firstLine="420"/>
      </w:pPr>
      <w:r>
        <w:rPr>
          <w:rFonts w:hint="eastAsia"/>
        </w:rPr>
        <w:t>本文件主要起草人：</w:t>
      </w: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1"/>
    <w:p>
      <w:pPr>
        <w:pStyle w:val="89"/>
        <w:spacing w:after="360"/>
      </w:pPr>
      <w:bookmarkStart w:id="22" w:name="_Toc2651"/>
      <w:bookmarkStart w:id="23" w:name="BookMark3"/>
      <w:r>
        <w:rPr>
          <w:spacing w:val="320"/>
        </w:rPr>
        <w:t>引</w:t>
      </w:r>
      <w:r>
        <w:t>言</w:t>
      </w:r>
      <w:bookmarkEnd w:id="22"/>
    </w:p>
    <w:p>
      <w:pPr>
        <w:pStyle w:val="230"/>
      </w:pPr>
      <w:r>
        <w:rPr>
          <w:rFonts w:hint="eastAsia"/>
        </w:rPr>
        <w:t>本文件中产品指标先进性说明：</w:t>
      </w:r>
    </w:p>
    <w:p>
      <w:pPr>
        <w:pStyle w:val="230"/>
        <w:rPr>
          <w:rFonts w:hint="default" w:eastAsia="宋体"/>
          <w:color w:val="auto"/>
          <w:lang w:val="en-US" w:eastAsia="zh-CN"/>
        </w:rPr>
      </w:pPr>
      <w:r>
        <w:rPr>
          <w:rFonts w:hint="eastAsia"/>
          <w:color w:val="auto"/>
        </w:rPr>
        <w:t>——“江西绿色生态 儿童沐浴露”中有害物质指标符合《化妆品安全技术规范》要求</w:t>
      </w:r>
      <w:r>
        <w:rPr>
          <w:rFonts w:hint="eastAsia"/>
          <w:color w:val="auto"/>
          <w:lang w:eastAsia="zh-CN"/>
        </w:rPr>
        <w:t>，</w:t>
      </w:r>
      <w:r>
        <w:rPr>
          <w:rFonts w:hint="eastAsia"/>
          <w:color w:val="auto"/>
        </w:rPr>
        <w:t>其中二噁烷≤</w:t>
      </w:r>
      <w:r>
        <w:rPr>
          <w:rFonts w:hint="eastAsia"/>
          <w:color w:val="auto"/>
          <w:lang w:val="en-US" w:eastAsia="zh-CN"/>
        </w:rPr>
        <w:t>5</w:t>
      </w:r>
      <w:r>
        <w:rPr>
          <w:rFonts w:hint="eastAsia"/>
          <w:color w:val="auto"/>
        </w:rPr>
        <w:t>mg/kg，优于限值要求≤30mg/kg</w:t>
      </w:r>
      <w:r>
        <w:rPr>
          <w:rFonts w:hint="eastAsia"/>
          <w:color w:val="auto"/>
          <w:lang w:eastAsia="zh-CN"/>
        </w:rPr>
        <w:t>；</w:t>
      </w:r>
      <w:r>
        <w:rPr>
          <w:rFonts w:hint="eastAsia"/>
          <w:color w:val="auto"/>
        </w:rPr>
        <w:t>甲醇≤</w:t>
      </w:r>
      <w:r>
        <w:rPr>
          <w:rFonts w:hint="eastAsia"/>
          <w:color w:val="auto"/>
          <w:lang w:val="en-US" w:eastAsia="zh-CN"/>
        </w:rPr>
        <w:t>100</w:t>
      </w:r>
      <w:r>
        <w:rPr>
          <w:rFonts w:hint="eastAsia"/>
          <w:color w:val="auto"/>
        </w:rPr>
        <w:t>mg/kg，优于限值要求≤2000mg/kg。理化指标符合</w:t>
      </w:r>
      <w:r>
        <w:rPr>
          <w:rFonts w:hint="eastAsia"/>
          <w:color w:val="auto"/>
          <w:szCs w:val="21"/>
        </w:rPr>
        <w:t>GB/T 34857 沐浴剂</w:t>
      </w:r>
      <w:r>
        <w:rPr>
          <w:rFonts w:hint="eastAsia"/>
          <w:color w:val="auto"/>
        </w:rPr>
        <w:t>要求</w:t>
      </w:r>
      <w:r>
        <w:rPr>
          <w:rFonts w:hint="eastAsia"/>
          <w:color w:val="auto"/>
          <w:lang w:eastAsia="zh-CN"/>
        </w:rPr>
        <w:t>，</w:t>
      </w:r>
      <w:r>
        <w:rPr>
          <w:rFonts w:hint="eastAsia"/>
          <w:color w:val="auto"/>
        </w:rPr>
        <w:t>其中甲醛≤</w:t>
      </w:r>
      <w:r>
        <w:rPr>
          <w:rFonts w:hint="eastAsia"/>
          <w:color w:val="auto"/>
          <w:lang w:val="en-US" w:eastAsia="zh-CN"/>
        </w:rPr>
        <w:t>60</w:t>
      </w:r>
      <w:r>
        <w:rPr>
          <w:rFonts w:hint="eastAsia"/>
          <w:color w:val="auto"/>
        </w:rPr>
        <w:t>mg/kg，优于限值要求≤500mg/kg。</w:t>
      </w:r>
      <w:r>
        <w:rPr>
          <w:rFonts w:hint="eastAsia"/>
          <w:color w:val="auto"/>
          <w:lang w:val="en-US" w:eastAsia="zh-CN"/>
        </w:rPr>
        <w:t>微生物指标符合</w:t>
      </w:r>
      <w:r>
        <w:rPr>
          <w:rFonts w:hint="eastAsia"/>
          <w:color w:val="auto"/>
          <w:szCs w:val="21"/>
        </w:rPr>
        <w:t>GB/T 34857 沐浴剂</w:t>
      </w:r>
      <w:r>
        <w:rPr>
          <w:rFonts w:hint="eastAsia"/>
          <w:color w:val="auto"/>
        </w:rPr>
        <w:t>要求</w:t>
      </w:r>
      <w:r>
        <w:rPr>
          <w:rFonts w:hint="eastAsia"/>
          <w:color w:val="auto"/>
          <w:lang w:eastAsia="zh-CN"/>
        </w:rPr>
        <w:t>，</w:t>
      </w:r>
      <w:r>
        <w:rPr>
          <w:rFonts w:hint="eastAsia"/>
          <w:color w:val="auto"/>
          <w:lang w:val="en-US" w:eastAsia="zh-CN"/>
        </w:rPr>
        <w:t>其中菌落总数</w:t>
      </w:r>
      <w:r>
        <w:rPr>
          <w:rFonts w:hint="eastAsia"/>
          <w:color w:val="auto"/>
        </w:rPr>
        <w:t>≤</w:t>
      </w:r>
      <w:r>
        <w:rPr>
          <w:rFonts w:hint="eastAsia"/>
          <w:color w:val="auto"/>
          <w:lang w:val="en-US" w:eastAsia="zh-CN"/>
        </w:rPr>
        <w:t>100CFU/g，优于限值要求≤500CFU/g。</w:t>
      </w:r>
    </w:p>
    <w:p>
      <w:pPr>
        <w:pStyle w:val="230"/>
        <w:rPr>
          <w:rFonts w:cs="仿宋_GB2312" w:asciiTheme="minorEastAsia" w:hAnsiTheme="minorEastAsia" w:eastAsiaTheme="minorEastAsia"/>
          <w:kern w:val="2"/>
          <w:sz w:val="28"/>
          <w:szCs w:val="28"/>
        </w:rPr>
      </w:pPr>
      <w:r>
        <w:rPr>
          <w:rFonts w:hint="eastAsia"/>
        </w:rPr>
        <w:t>——“江西绿色生态 儿童沐浴露”首次提出“单位产品碳排放量”和“碳排放强度”两项绿色低碳二级指标。</w:t>
      </w:r>
    </w:p>
    <w:p>
      <w:pPr>
        <w:pStyle w:val="230"/>
      </w:pPr>
    </w:p>
    <w:p>
      <w:pPr>
        <w:pStyle w:val="230"/>
      </w:pPr>
    </w:p>
    <w:p>
      <w:pPr>
        <w:pStyle w:val="56"/>
        <w:ind w:firstLine="420"/>
      </w:pP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linePitch="312" w:charSpace="0"/>
        </w:sectPr>
      </w:pPr>
      <w:r>
        <w:rPr>
          <w:rFonts w:hint="eastAsia"/>
        </w:rPr>
        <w:t xml:space="preserve"> </w:t>
      </w: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925FC9092484459C884ACDC80BA49514"/>
        </w:placeholder>
      </w:sdtPr>
      <w:sdtContent>
        <w:p>
          <w:pPr>
            <w:pStyle w:val="177"/>
            <w:spacing w:before="240" w:beforeLines="100" w:after="528" w:afterLines="220"/>
          </w:pPr>
          <w:bookmarkStart w:id="25" w:name="NEW_STAND_NAME"/>
          <w:r>
            <w:rPr>
              <w:rFonts w:hint="eastAsia"/>
            </w:rPr>
            <w:t>江西绿色生态</w:t>
          </w:r>
          <w:r>
            <w:t xml:space="preserve"> 儿童</w:t>
          </w:r>
          <w:r>
            <w:rPr>
              <w:rFonts w:hint="eastAsia"/>
            </w:rPr>
            <w:t>沐浴露</w:t>
          </w:r>
        </w:p>
      </w:sdtContent>
    </w:sdt>
    <w:bookmarkEnd w:id="25"/>
    <w:p>
      <w:pPr>
        <w:pStyle w:val="104"/>
        <w:spacing w:before="240" w:after="240"/>
      </w:pPr>
      <w:bookmarkStart w:id="26" w:name="_Toc6953"/>
      <w:bookmarkStart w:id="27" w:name="_Toc26648465"/>
      <w:bookmarkStart w:id="28" w:name="_Toc24884211"/>
      <w:bookmarkStart w:id="29" w:name="_Toc97192964"/>
      <w:bookmarkStart w:id="30" w:name="_Toc17233333"/>
      <w:bookmarkStart w:id="31" w:name="_Toc26986530"/>
      <w:bookmarkStart w:id="32" w:name="_Toc26986771"/>
      <w:bookmarkStart w:id="33" w:name="_Toc26718930"/>
      <w:bookmarkStart w:id="34" w:name="_Toc17233325"/>
      <w:bookmarkStart w:id="35" w:name="_Toc24884218"/>
      <w:r>
        <w:rPr>
          <w:rFonts w:hint="eastAsia"/>
        </w:rPr>
        <w:t>范围</w:t>
      </w:r>
      <w:bookmarkEnd w:id="26"/>
      <w:bookmarkEnd w:id="27"/>
      <w:bookmarkEnd w:id="28"/>
      <w:bookmarkEnd w:id="29"/>
      <w:bookmarkEnd w:id="30"/>
      <w:bookmarkEnd w:id="31"/>
      <w:bookmarkEnd w:id="32"/>
      <w:bookmarkEnd w:id="33"/>
      <w:bookmarkEnd w:id="34"/>
      <w:bookmarkEnd w:id="35"/>
    </w:p>
    <w:p>
      <w:pPr>
        <w:pStyle w:val="56"/>
        <w:ind w:firstLine="420"/>
        <w:rPr>
          <w:color w:val="000000"/>
          <w:szCs w:val="21"/>
        </w:rPr>
      </w:pPr>
      <w:bookmarkStart w:id="36" w:name="_Toc24884212"/>
      <w:bookmarkStart w:id="37" w:name="_Toc26648466"/>
      <w:bookmarkStart w:id="38" w:name="_Toc17233326"/>
      <w:bookmarkStart w:id="39" w:name="_Toc17233334"/>
      <w:bookmarkStart w:id="40" w:name="_Toc24884219"/>
      <w:r>
        <w:rPr>
          <w:rFonts w:hint="eastAsia"/>
          <w:color w:val="000000"/>
          <w:szCs w:val="21"/>
        </w:rPr>
        <w:t>本文件规定了儿童沐浴露 “江西绿色生态”认证的评价要求、品牌互认等内容。</w:t>
      </w:r>
    </w:p>
    <w:p>
      <w:pPr>
        <w:pStyle w:val="230"/>
      </w:pPr>
      <w:r>
        <w:rPr>
          <w:rFonts w:hint="eastAsia"/>
          <w:color w:val="000000"/>
          <w:szCs w:val="21"/>
        </w:rPr>
        <w:t>本文件适用于儿童沐浴露 “江西绿色生态”品牌的自我评价和第三方认证活动。</w:t>
      </w:r>
    </w:p>
    <w:p>
      <w:pPr>
        <w:pStyle w:val="104"/>
        <w:spacing w:before="240" w:after="240"/>
      </w:pPr>
      <w:bookmarkStart w:id="41" w:name="_Toc97192965"/>
      <w:bookmarkStart w:id="42" w:name="_Toc26718931"/>
      <w:bookmarkStart w:id="43" w:name="_Toc26986531"/>
      <w:bookmarkStart w:id="44" w:name="_Toc19054"/>
      <w:bookmarkStart w:id="45" w:name="_Toc26986772"/>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ACBA808E4FCE4F08B46290FE0D6A382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0"/>
        <w:rPr>
          <w:rFonts w:hAnsi="宋体" w:cs="宋体"/>
          <w:color w:val="000000"/>
          <w:szCs w:val="21"/>
          <w:lang w:bidi="ar"/>
        </w:rPr>
      </w:pPr>
      <w:r>
        <w:rPr>
          <w:rFonts w:hint="eastAsia" w:hAnsi="宋体" w:cs="宋体"/>
          <w:color w:val="000000"/>
          <w:szCs w:val="21"/>
          <w:lang w:bidi="ar"/>
        </w:rPr>
        <w:t xml:space="preserve">GB </w:t>
      </w:r>
      <w:r>
        <w:rPr>
          <w:rFonts w:hAnsi="宋体" w:cs="宋体"/>
          <w:color w:val="000000"/>
          <w:szCs w:val="21"/>
          <w:lang w:bidi="ar"/>
        </w:rPr>
        <w:t>17167</w:t>
      </w:r>
      <w:r>
        <w:rPr>
          <w:rFonts w:hint="eastAsia" w:hAnsi="宋体" w:cs="宋体"/>
          <w:color w:val="000000"/>
          <w:szCs w:val="21"/>
          <w:lang w:bidi="ar"/>
        </w:rPr>
        <w:t xml:space="preserve"> 用能单位能源计量器具配备和管理通则</w:t>
      </w:r>
    </w:p>
    <w:p>
      <w:pPr>
        <w:pStyle w:val="230"/>
        <w:rPr>
          <w:rFonts w:hint="eastAsia" w:hAnsi="宋体" w:cs="宋体"/>
          <w:color w:val="000000"/>
          <w:szCs w:val="21"/>
          <w:lang w:bidi="ar"/>
        </w:rPr>
      </w:pPr>
      <w:r>
        <w:rPr>
          <w:rFonts w:hint="eastAsia" w:hAnsi="宋体" w:cs="宋体"/>
          <w:color w:val="000000"/>
          <w:szCs w:val="21"/>
          <w:lang w:bidi="ar"/>
        </w:rPr>
        <w:t>GB 24789 用水单位水计量器具配备和管理通则</w:t>
      </w:r>
    </w:p>
    <w:p>
      <w:pPr>
        <w:pStyle w:val="230"/>
        <w:rPr>
          <w:rFonts w:hAnsi="宋体" w:cs="宋体"/>
          <w:color w:val="000000"/>
          <w:szCs w:val="21"/>
        </w:rPr>
      </w:pPr>
      <w:r>
        <w:rPr>
          <w:rFonts w:hint="eastAsia" w:hAnsi="宋体" w:cs="宋体"/>
          <w:color w:val="000000"/>
          <w:szCs w:val="21"/>
        </w:rPr>
        <w:t>GB/T 2585 综合能耗计算通则</w:t>
      </w:r>
    </w:p>
    <w:p>
      <w:pPr>
        <w:pStyle w:val="230"/>
        <w:rPr>
          <w:rFonts w:hAnsi="宋体" w:cs="宋体"/>
          <w:color w:val="000000"/>
          <w:szCs w:val="21"/>
        </w:rPr>
      </w:pPr>
      <w:r>
        <w:rPr>
          <w:rFonts w:hint="eastAsia" w:hAnsi="宋体" w:cs="宋体"/>
          <w:color w:val="000000"/>
          <w:szCs w:val="21"/>
        </w:rPr>
        <w:t>GB/T 19001 质量管理体系要求</w:t>
      </w:r>
    </w:p>
    <w:p>
      <w:pPr>
        <w:pStyle w:val="230"/>
        <w:rPr>
          <w:rFonts w:hAnsi="宋体" w:cs="宋体"/>
          <w:color w:val="000000"/>
          <w:szCs w:val="21"/>
        </w:rPr>
      </w:pPr>
      <w:r>
        <w:rPr>
          <w:rFonts w:hint="eastAsia" w:hAnsi="宋体" w:cs="宋体"/>
          <w:color w:val="000000"/>
          <w:szCs w:val="21"/>
        </w:rPr>
        <w:t>GB/T 23331 能源管理体系要求及使用指南</w:t>
      </w:r>
    </w:p>
    <w:p>
      <w:pPr>
        <w:pStyle w:val="230"/>
        <w:rPr>
          <w:rFonts w:hAnsi="宋体" w:cs="宋体"/>
          <w:color w:val="000000"/>
          <w:szCs w:val="21"/>
        </w:rPr>
      </w:pPr>
      <w:r>
        <w:rPr>
          <w:rFonts w:hint="eastAsia" w:hAnsi="宋体" w:cs="宋体"/>
          <w:color w:val="000000"/>
          <w:szCs w:val="21"/>
        </w:rPr>
        <w:t>GB/T 24001 环境管理体系要求及使用指南</w:t>
      </w:r>
    </w:p>
    <w:p>
      <w:pPr>
        <w:pStyle w:val="230"/>
        <w:rPr>
          <w:rFonts w:hAnsi="宋体" w:cs="宋体"/>
          <w:color w:val="000000"/>
          <w:szCs w:val="21"/>
        </w:rPr>
      </w:pPr>
      <w:r>
        <w:rPr>
          <w:rFonts w:hint="eastAsia" w:hAnsi="宋体" w:cs="宋体"/>
          <w:color w:val="000000"/>
          <w:szCs w:val="21"/>
        </w:rPr>
        <w:t>GB/T 24256 产品生态设计通则</w:t>
      </w:r>
    </w:p>
    <w:p>
      <w:pPr>
        <w:pStyle w:val="56"/>
        <w:ind w:firstLine="420"/>
        <w:rPr>
          <w:szCs w:val="21"/>
        </w:rPr>
      </w:pPr>
      <w:r>
        <w:rPr>
          <w:rFonts w:hint="eastAsia"/>
          <w:szCs w:val="21"/>
        </w:rPr>
        <w:t>GB/T 26396 洗涤用品安全技术规范</w:t>
      </w:r>
    </w:p>
    <w:p>
      <w:pPr>
        <w:pStyle w:val="56"/>
        <w:ind w:firstLine="420"/>
        <w:rPr>
          <w:szCs w:val="21"/>
        </w:rPr>
      </w:pPr>
      <w:r>
        <w:rPr>
          <w:rFonts w:hint="eastAsia" w:hAnsi="宋体"/>
        </w:rPr>
        <w:t>GB/T 32161 生态设计产品评价通则</w:t>
      </w:r>
    </w:p>
    <w:p>
      <w:pPr>
        <w:pStyle w:val="230"/>
        <w:rPr>
          <w:rFonts w:hAnsi="宋体" w:cs="宋体"/>
          <w:color w:val="000000"/>
          <w:szCs w:val="21"/>
        </w:rPr>
      </w:pPr>
      <w:r>
        <w:rPr>
          <w:rFonts w:hint="eastAsia" w:hAnsi="宋体" w:cs="宋体"/>
          <w:color w:val="000000"/>
          <w:szCs w:val="21"/>
        </w:rPr>
        <w:t>GB/T 33635 绿色制造 制造企业绿色供应链管理 导则</w:t>
      </w:r>
    </w:p>
    <w:p>
      <w:pPr>
        <w:pStyle w:val="56"/>
        <w:ind w:firstLine="420"/>
        <w:rPr>
          <w:szCs w:val="21"/>
        </w:rPr>
      </w:pPr>
      <w:r>
        <w:rPr>
          <w:rFonts w:hint="eastAsia" w:hAnsi="宋体"/>
        </w:rPr>
        <w:t xml:space="preserve">GB/T </w:t>
      </w:r>
      <w:r>
        <w:rPr>
          <w:rFonts w:hint="eastAsia"/>
        </w:rPr>
        <w:t xml:space="preserve">33761 </w:t>
      </w:r>
      <w:r>
        <w:rPr>
          <w:rFonts w:hint="eastAsia" w:hAnsi="宋体"/>
        </w:rPr>
        <w:t>绿色产品评价通则</w:t>
      </w:r>
    </w:p>
    <w:p>
      <w:pPr>
        <w:pStyle w:val="56"/>
        <w:ind w:firstLine="420"/>
        <w:rPr>
          <w:szCs w:val="21"/>
        </w:rPr>
      </w:pPr>
      <w:bookmarkStart w:id="46" w:name="_Hlk151563853"/>
      <w:r>
        <w:rPr>
          <w:rFonts w:hint="eastAsia"/>
          <w:szCs w:val="21"/>
        </w:rPr>
        <w:t xml:space="preserve">GB/T 34857 </w:t>
      </w:r>
      <w:bookmarkEnd w:id="46"/>
      <w:r>
        <w:rPr>
          <w:rFonts w:hint="eastAsia"/>
          <w:szCs w:val="21"/>
        </w:rPr>
        <w:t>沐浴剂</w:t>
      </w:r>
    </w:p>
    <w:p>
      <w:pPr>
        <w:pStyle w:val="56"/>
        <w:ind w:firstLine="420"/>
        <w:rPr>
          <w:szCs w:val="21"/>
        </w:rPr>
      </w:pPr>
      <w:r>
        <w:rPr>
          <w:rFonts w:hint="eastAsia"/>
          <w:szCs w:val="21"/>
        </w:rPr>
        <w:t>GB/T 3</w:t>
      </w:r>
      <w:r>
        <w:rPr>
          <w:szCs w:val="21"/>
        </w:rPr>
        <w:t>9020</w:t>
      </w:r>
      <w:r>
        <w:rPr>
          <w:rFonts w:hint="eastAsia"/>
          <w:szCs w:val="21"/>
        </w:rPr>
        <w:t xml:space="preserve"> 绿色产品评价 洗涤用品</w:t>
      </w:r>
    </w:p>
    <w:p>
      <w:pPr>
        <w:pStyle w:val="56"/>
        <w:ind w:firstLine="420"/>
        <w:rPr>
          <w:szCs w:val="21"/>
        </w:rPr>
      </w:pPr>
      <w:r>
        <w:rPr>
          <w:rFonts w:hint="eastAsia"/>
          <w:szCs w:val="21"/>
        </w:rPr>
        <w:t xml:space="preserve">GB/T </w:t>
      </w:r>
      <w:r>
        <w:rPr>
          <w:szCs w:val="21"/>
        </w:rPr>
        <w:t>41828</w:t>
      </w:r>
      <w:r>
        <w:rPr>
          <w:rFonts w:hint="eastAsia"/>
          <w:szCs w:val="21"/>
        </w:rPr>
        <w:t xml:space="preserve"> 洗涤用品原料健康风险评估导则</w:t>
      </w:r>
    </w:p>
    <w:p>
      <w:pPr>
        <w:pStyle w:val="230"/>
        <w:rPr>
          <w:rFonts w:hAnsi="宋体" w:cs="宋体"/>
          <w:color w:val="000000"/>
          <w:szCs w:val="21"/>
        </w:rPr>
      </w:pPr>
      <w:r>
        <w:rPr>
          <w:rFonts w:hint="eastAsia" w:hAnsi="宋体" w:cs="宋体"/>
          <w:color w:val="000000"/>
          <w:szCs w:val="21"/>
        </w:rPr>
        <w:t>GB/T 45001 职业健康安全管理体系 要求及使用指南</w:t>
      </w:r>
    </w:p>
    <w:p>
      <w:pPr>
        <w:pStyle w:val="56"/>
        <w:ind w:firstLine="420"/>
        <w:rPr>
          <w:szCs w:val="21"/>
        </w:rPr>
      </w:pPr>
      <w:r>
        <w:rPr>
          <w:rFonts w:hint="eastAsia"/>
          <w:szCs w:val="21"/>
        </w:rPr>
        <w:t>QB/T 2952 洗涤用品标识和包装要求</w:t>
      </w:r>
    </w:p>
    <w:p>
      <w:pPr>
        <w:pStyle w:val="230"/>
        <w:rPr>
          <w:rFonts w:hAnsi="宋体" w:cs="宋体"/>
          <w:color w:val="000000"/>
          <w:szCs w:val="21"/>
        </w:rPr>
      </w:pPr>
      <w:r>
        <w:rPr>
          <w:rFonts w:hint="eastAsia" w:hAnsi="宋体" w:cs="宋体"/>
          <w:color w:val="000000"/>
          <w:szCs w:val="21"/>
        </w:rPr>
        <w:t>DB36/T 1138 “江西绿色生态”品牌评价要求</w:t>
      </w:r>
    </w:p>
    <w:p>
      <w:pPr>
        <w:pStyle w:val="56"/>
        <w:ind w:firstLine="420"/>
        <w:rPr>
          <w:rFonts w:hint="eastAsia" w:hAnsi="宋体" w:cs="宋体"/>
          <w:color w:val="000000"/>
          <w:szCs w:val="21"/>
        </w:rPr>
      </w:pPr>
      <w:r>
        <w:rPr>
          <w:rFonts w:hint="eastAsia" w:hAnsi="宋体" w:cs="宋体"/>
          <w:color w:val="000000"/>
          <w:szCs w:val="21"/>
        </w:rPr>
        <w:t>《化妆品安全技术规范》</w:t>
      </w:r>
    </w:p>
    <w:p>
      <w:pPr>
        <w:pStyle w:val="56"/>
        <w:ind w:firstLine="420"/>
        <w:rPr>
          <w:rFonts w:hint="eastAsia" w:hAnsi="宋体" w:eastAsia="宋体" w:cs="宋体"/>
          <w:color w:val="000000"/>
          <w:szCs w:val="21"/>
          <w:lang w:eastAsia="zh-CN"/>
        </w:rPr>
      </w:pPr>
      <w:r>
        <w:rPr>
          <w:rFonts w:hint="eastAsia" w:hAnsi="宋体" w:cs="宋体"/>
          <w:color w:val="000000"/>
          <w:szCs w:val="21"/>
          <w:lang w:eastAsia="zh-CN"/>
        </w:rPr>
        <w:t>《</w:t>
      </w:r>
      <w:r>
        <w:rPr>
          <w:rFonts w:hint="eastAsia" w:hAnsi="宋体" w:cs="宋体"/>
          <w:color w:val="000000"/>
          <w:szCs w:val="21"/>
          <w:lang w:val="en-US" w:eastAsia="zh-CN"/>
        </w:rPr>
        <w:t>儿童化妆品监督管理规定</w:t>
      </w:r>
      <w:r>
        <w:rPr>
          <w:rFonts w:hint="eastAsia" w:hAnsi="宋体" w:cs="宋体"/>
          <w:color w:val="000000"/>
          <w:szCs w:val="21"/>
          <w:lang w:eastAsia="zh-CN"/>
        </w:rPr>
        <w:t>》</w:t>
      </w:r>
    </w:p>
    <w:p>
      <w:pPr>
        <w:pStyle w:val="104"/>
        <w:spacing w:before="240" w:after="240"/>
      </w:pPr>
      <w:bookmarkStart w:id="47" w:name="_Toc97192966"/>
      <w:bookmarkStart w:id="48" w:name="_Toc4996"/>
      <w:r>
        <w:rPr>
          <w:rFonts w:hint="eastAsia"/>
          <w:szCs w:val="21"/>
        </w:rPr>
        <w:t>术语和定义</w:t>
      </w:r>
      <w:bookmarkEnd w:id="47"/>
      <w:bookmarkEnd w:id="48"/>
    </w:p>
    <w:sdt>
      <w:sdtPr>
        <w:rPr>
          <w:color w:val="000000"/>
        </w:rPr>
        <w:id w:val="-1909835108"/>
        <w:placeholder>
          <w:docPart w:val="AD8DD69D501348B79726D4E2CAD9075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rPr>
      </w:sdtEndPr>
      <w:sdtContent>
        <w:p>
          <w:pPr>
            <w:pStyle w:val="56"/>
            <w:ind w:firstLine="420"/>
          </w:pPr>
          <w:bookmarkStart w:id="49" w:name="_Toc26986532"/>
          <w:bookmarkEnd w:id="49"/>
          <w:r>
            <w:rPr>
              <w:color w:val="000000"/>
            </w:rPr>
            <w:t>DB36/T 1138界定的以及下列术语和定义适用于本文件。</w:t>
          </w:r>
        </w:p>
      </w:sdtContent>
    </w:sdt>
    <w:p>
      <w:pPr>
        <w:pStyle w:val="105"/>
        <w:spacing w:before="120" w:after="120"/>
      </w:pPr>
      <w:bookmarkStart w:id="50" w:name="_Toc32705"/>
      <w:bookmarkEnd w:id="50"/>
      <w:bookmarkStart w:id="51" w:name="_Toc150260155"/>
      <w:bookmarkEnd w:id="51"/>
    </w:p>
    <w:p>
      <w:pPr>
        <w:pStyle w:val="56"/>
        <w:ind w:firstLine="420"/>
        <w:rPr>
          <w:rFonts w:ascii="黑体" w:hAnsi="黑体" w:eastAsia="黑体"/>
          <w:szCs w:val="28"/>
        </w:rPr>
      </w:pPr>
      <w:r>
        <w:rPr>
          <w:rFonts w:hint="eastAsia" w:ascii="黑体" w:hAnsi="黑体" w:eastAsia="黑体"/>
        </w:rPr>
        <w:t xml:space="preserve">儿童沐浴露 </w:t>
      </w:r>
      <w:r>
        <w:rPr>
          <w:rFonts w:ascii="黑体" w:hAnsi="黑体" w:eastAsia="黑体"/>
        </w:rPr>
        <w:t xml:space="preserve"> </w:t>
      </w:r>
      <w:r>
        <w:rPr>
          <w:rFonts w:hint="eastAsia" w:ascii="黑体" w:hAnsi="黑体" w:eastAsia="黑体"/>
        </w:rPr>
        <w:t>K</w:t>
      </w:r>
      <w:r>
        <w:rPr>
          <w:rFonts w:ascii="黑体" w:hAnsi="黑体" w:eastAsia="黑体"/>
        </w:rPr>
        <w:t xml:space="preserve">ids </w:t>
      </w:r>
      <w:r>
        <w:rPr>
          <w:rFonts w:ascii="黑体" w:hAnsi="黑体" w:eastAsia="黑体"/>
          <w:szCs w:val="28"/>
        </w:rPr>
        <w:t xml:space="preserve">Bath agents </w:t>
      </w:r>
    </w:p>
    <w:p>
      <w:pPr>
        <w:pStyle w:val="56"/>
        <w:ind w:firstLine="420"/>
      </w:pPr>
      <w:r>
        <w:rPr>
          <w:rFonts w:hint="eastAsia"/>
        </w:rPr>
        <w:t>儿童沐浴露是</w:t>
      </w:r>
      <w:r>
        <w:rPr>
          <w:rFonts w:ascii="sans-serif" w:hAnsi="sans-serif" w:eastAsia="sans-serif" w:cs="sans-serif"/>
          <w:szCs w:val="21"/>
          <w:shd w:val="clear" w:color="auto" w:fill="FFFFFF"/>
        </w:rPr>
        <w:t>指以表面活性剂为有效成分配制</w:t>
      </w:r>
      <w:r>
        <w:rPr>
          <w:rFonts w:hint="eastAsia" w:hAnsi="宋体" w:cs="宋体"/>
          <w:szCs w:val="21"/>
          <w:shd w:val="clear" w:color="auto" w:fill="FFFFFF"/>
        </w:rPr>
        <w:t>或两性表面活性剂复配的协同增效作用</w:t>
      </w:r>
      <w:r>
        <w:rPr>
          <w:rFonts w:hint="eastAsia" w:ascii="sans-serif" w:hAnsi="sans-serif" w:eastAsia="宋体" w:cs="sans-serif"/>
          <w:szCs w:val="21"/>
          <w:shd w:val="clear" w:color="auto" w:fill="FFFFFF"/>
          <w:lang w:eastAsia="zh-CN"/>
        </w:rPr>
        <w:t>，</w:t>
      </w:r>
      <w:r>
        <w:rPr>
          <w:rFonts w:ascii="sans-serif" w:hAnsi="sans-serif" w:eastAsia="sans-serif" w:cs="sans-serif"/>
          <w:szCs w:val="21"/>
          <w:shd w:val="clear" w:color="auto" w:fill="FFFFFF"/>
        </w:rPr>
        <w:t>用于</w:t>
      </w:r>
      <w:r>
        <w:rPr>
          <w:rFonts w:hint="eastAsia" w:hAnsi="宋体" w:cs="宋体"/>
          <w:szCs w:val="21"/>
          <w:shd w:val="clear" w:color="auto" w:fill="FFFFFF"/>
        </w:rPr>
        <w:t>儿童</w:t>
      </w:r>
      <w:r>
        <w:rPr>
          <w:rFonts w:ascii="sans-serif" w:hAnsi="sans-serif" w:eastAsia="sans-serif" w:cs="sans-serif"/>
          <w:szCs w:val="21"/>
          <w:shd w:val="clear" w:color="auto" w:fill="FFFFFF"/>
        </w:rPr>
        <w:t>肌肤清洁</w:t>
      </w:r>
      <w:r>
        <w:rPr>
          <w:rFonts w:hint="eastAsia" w:ascii="sans-serif" w:hAnsi="sans-serif" w:eastAsia="宋体" w:cs="sans-serif"/>
          <w:szCs w:val="21"/>
          <w:shd w:val="clear" w:color="auto" w:fill="FFFFFF"/>
          <w:lang w:eastAsia="zh-CN"/>
        </w:rPr>
        <w:t>，</w:t>
      </w:r>
      <w:r>
        <w:rPr>
          <w:rFonts w:hint="eastAsia" w:ascii="sans-serif" w:hAnsi="sans-serif" w:eastAsia="宋体" w:cs="sans-serif"/>
          <w:szCs w:val="21"/>
          <w:shd w:val="clear" w:color="auto" w:fill="FFFFFF"/>
          <w:lang w:val="en-US" w:eastAsia="zh-CN"/>
        </w:rPr>
        <w:t>并符合</w:t>
      </w:r>
      <w:r>
        <w:rPr>
          <w:rFonts w:hint="eastAsia" w:hAnsi="宋体" w:cs="宋体"/>
          <w:color w:val="000000"/>
          <w:szCs w:val="21"/>
          <w:lang w:eastAsia="zh-CN"/>
        </w:rPr>
        <w:t>《</w:t>
      </w:r>
      <w:r>
        <w:rPr>
          <w:rFonts w:hint="eastAsia" w:hAnsi="宋体" w:cs="宋体"/>
          <w:color w:val="000000"/>
          <w:szCs w:val="21"/>
          <w:lang w:val="en-US" w:eastAsia="zh-CN"/>
        </w:rPr>
        <w:t>儿童化妆品监督管理规定</w:t>
      </w:r>
      <w:r>
        <w:rPr>
          <w:rFonts w:hint="eastAsia" w:hAnsi="宋体" w:cs="宋体"/>
          <w:color w:val="000000"/>
          <w:szCs w:val="21"/>
          <w:lang w:eastAsia="zh-CN"/>
        </w:rPr>
        <w:t>》</w:t>
      </w:r>
      <w:r>
        <w:rPr>
          <w:rFonts w:ascii="sans-serif" w:hAnsi="sans-serif" w:eastAsia="sans-serif" w:cs="sans-serif"/>
          <w:szCs w:val="21"/>
          <w:shd w:val="clear" w:color="auto" w:fill="FFFFFF"/>
        </w:rPr>
        <w:t>液体产品</w:t>
      </w:r>
      <w:r>
        <w:rPr>
          <w:rFonts w:hint="eastAsia" w:ascii="sans-serif" w:hAnsi="sans-serif" w:cs="sans-serif"/>
          <w:szCs w:val="21"/>
          <w:shd w:val="clear" w:color="auto" w:fill="FFFFFF"/>
        </w:rPr>
        <w:t>。</w:t>
      </w:r>
    </w:p>
    <w:p>
      <w:pPr>
        <w:pStyle w:val="105"/>
        <w:spacing w:before="120" w:after="120"/>
      </w:pPr>
      <w:bookmarkStart w:id="52" w:name="_Toc16377"/>
      <w:bookmarkEnd w:id="52"/>
    </w:p>
    <w:p>
      <w:pPr>
        <w:pStyle w:val="56"/>
        <w:ind w:firstLine="420"/>
        <w:rPr>
          <w:rFonts w:ascii="黑体" w:hAnsi="黑体" w:eastAsia="黑体"/>
        </w:rPr>
      </w:pPr>
      <w:bookmarkStart w:id="53" w:name="_Toc150260156"/>
      <w:bookmarkEnd w:id="53"/>
      <w:bookmarkStart w:id="54" w:name="_Toc7731"/>
      <w:bookmarkEnd w:id="54"/>
      <w:r>
        <w:rPr>
          <w:rFonts w:hint="eastAsia" w:ascii="黑体" w:hAnsi="黑体" w:eastAsia="黑体"/>
        </w:rPr>
        <w:t>“江西绿色生态”儿童沐浴露 Jiangxi Green Ecology-</w:t>
      </w:r>
      <w:r>
        <w:rPr>
          <w:rFonts w:ascii="黑体" w:hAnsi="黑体" w:eastAsia="黑体"/>
        </w:rPr>
        <w:t>Kids Bath agents</w:t>
      </w:r>
    </w:p>
    <w:p>
      <w:pPr>
        <w:pStyle w:val="56"/>
        <w:ind w:firstLine="420"/>
      </w:pPr>
      <w:r>
        <w:rPr>
          <w:rFonts w:hint="eastAsia" w:ascii="宋体" w:hAnsi="Times New Roman" w:eastAsia="宋体" w:cs="Times New Roman"/>
        </w:rPr>
        <w:t>符合DB36/T 1138</w:t>
      </w:r>
      <w:r>
        <w:rPr>
          <w:rFonts w:hint="eastAsia" w:ascii="宋体" w:hAnsi="Times New Roman" w:eastAsia="宋体" w:cs="Times New Roman"/>
          <w:lang w:val="en-US" w:eastAsia="zh-CN"/>
        </w:rPr>
        <w:t xml:space="preserve"> </w:t>
      </w:r>
      <w:r>
        <w:rPr>
          <w:rFonts w:hint="eastAsia" w:ascii="宋体" w:hAnsi="Times New Roman" w:eastAsia="宋体" w:cs="Times New Roman"/>
        </w:rPr>
        <w:t>“江西绿色生态”品牌评价通用要求及本文件技术要求，并通过“江西绿色生态”品牌评价活动的儿童沐浴露产品。</w:t>
      </w:r>
    </w:p>
    <w:p>
      <w:pPr>
        <w:pStyle w:val="105"/>
        <w:spacing w:before="120" w:after="120"/>
      </w:pPr>
      <w:bookmarkStart w:id="55" w:name="_Toc24020"/>
      <w:bookmarkEnd w:id="55"/>
    </w:p>
    <w:p>
      <w:pPr>
        <w:pStyle w:val="56"/>
        <w:ind w:firstLine="420"/>
        <w:rPr>
          <w:rFonts w:ascii="黑体" w:hAnsi="黑体" w:eastAsia="黑体"/>
        </w:rPr>
      </w:pPr>
      <w:r>
        <w:rPr>
          <w:rFonts w:hint="eastAsia" w:ascii="黑体" w:hAnsi="黑体" w:eastAsia="黑体"/>
        </w:rPr>
        <w:t>天然成分或天然原料 na</w:t>
      </w:r>
      <w:r>
        <w:rPr>
          <w:rFonts w:ascii="黑体" w:hAnsi="黑体" w:eastAsia="黑体"/>
        </w:rPr>
        <w:t>tural materials</w:t>
      </w:r>
    </w:p>
    <w:p>
      <w:pPr>
        <w:pStyle w:val="56"/>
        <w:ind w:firstLine="420"/>
      </w:pPr>
      <w:r>
        <w:rPr>
          <w:rFonts w:hint="eastAsia"/>
        </w:rPr>
        <w:t>是指任何直接来自于农业生产的植物、动物或矿物质产品，收获后未经加工或只经附录A中列出的加工方法而得，并且满足产品质量标准的要求。经附录A加工方法处理过的水亦为天然成分或天然原料。</w:t>
      </w:r>
    </w:p>
    <w:p>
      <w:pPr>
        <w:pStyle w:val="105"/>
        <w:spacing w:before="120" w:after="120"/>
      </w:pPr>
      <w:bookmarkStart w:id="56" w:name="_Toc11065"/>
      <w:r>
        <w:rPr>
          <w:rFonts w:hint="eastAsia"/>
        </w:rPr>
        <w:t>禁用</w:t>
      </w:r>
      <w:r>
        <w:rPr>
          <w:rFonts w:hint="eastAsia"/>
          <w:lang w:val="en-US" w:eastAsia="zh-CN"/>
        </w:rPr>
        <w:t>原料</w:t>
      </w:r>
      <w:r>
        <w:rPr>
          <w:rFonts w:hint="eastAsia"/>
        </w:rPr>
        <w:t xml:space="preserve"> </w:t>
      </w:r>
      <w:bookmarkEnd w:id="56"/>
      <w:r>
        <w:rPr>
          <w:rFonts w:hint="eastAsia"/>
        </w:rPr>
        <w:t>Raw materials are prohibited</w:t>
      </w:r>
    </w:p>
    <w:p>
      <w:pPr>
        <w:pStyle w:val="56"/>
        <w:ind w:firstLine="420"/>
      </w:pPr>
      <w:r>
        <w:rPr>
          <w:rFonts w:hint="eastAsia"/>
          <w:highlight w:val="none"/>
        </w:rPr>
        <w:t>禁止用于化妆品生产的物质</w:t>
      </w:r>
      <w:r>
        <w:rPr>
          <w:rFonts w:hint="eastAsia"/>
        </w:rPr>
        <w:t>。</w:t>
      </w:r>
    </w:p>
    <w:p>
      <w:pPr>
        <w:pStyle w:val="104"/>
        <w:spacing w:before="240" w:after="240"/>
      </w:pPr>
      <w:bookmarkStart w:id="57" w:name="_Toc30105"/>
      <w:bookmarkStart w:id="58" w:name="_Toc3232"/>
      <w:bookmarkStart w:id="59" w:name="_Toc22123"/>
      <w:r>
        <w:rPr>
          <w:rFonts w:hint="eastAsia"/>
        </w:rPr>
        <w:t>评价要求</w:t>
      </w:r>
      <w:bookmarkEnd w:id="57"/>
      <w:bookmarkEnd w:id="58"/>
      <w:bookmarkEnd w:id="59"/>
    </w:p>
    <w:p>
      <w:pPr>
        <w:pStyle w:val="105"/>
        <w:spacing w:before="120" w:after="120"/>
      </w:pPr>
      <w:bookmarkStart w:id="60" w:name="_Toc90"/>
      <w:bookmarkStart w:id="61" w:name="_Toc29588"/>
      <w:bookmarkStart w:id="62" w:name="_Toc26657"/>
      <w:bookmarkStart w:id="63" w:name="_Toc150260158"/>
      <w:r>
        <w:rPr>
          <w:rFonts w:hint="eastAsia"/>
        </w:rPr>
        <w:t>基本要求</w:t>
      </w:r>
      <w:bookmarkEnd w:id="60"/>
      <w:bookmarkEnd w:id="61"/>
      <w:bookmarkEnd w:id="62"/>
      <w:bookmarkEnd w:id="63"/>
    </w:p>
    <w:p>
      <w:pPr>
        <w:pStyle w:val="65"/>
        <w:spacing w:before="120" w:after="120"/>
        <w:rPr>
          <w:rFonts w:ascii="宋体" w:hAnsi="宋体" w:eastAsia="宋体"/>
        </w:rPr>
      </w:pPr>
      <w:bookmarkStart w:id="64" w:name="_Toc16206"/>
      <w:bookmarkStart w:id="65" w:name="_Toc150260159"/>
      <w:r>
        <w:rPr>
          <w:rFonts w:hint="eastAsia" w:ascii="宋体" w:hAnsi="宋体" w:eastAsia="宋体"/>
        </w:rPr>
        <w:t>企业生产的儿童沐浴露应为量产产品，且应满足国家强制性标准、《化妆品安全技术规范》</w:t>
      </w:r>
      <w:r>
        <w:rPr>
          <w:rFonts w:hint="eastAsia" w:ascii="宋体" w:hAnsi="宋体" w:eastAsia="宋体"/>
          <w:lang w:eastAsia="zh-CN"/>
        </w:rPr>
        <w:t>、《</w:t>
      </w:r>
      <w:r>
        <w:rPr>
          <w:rFonts w:hint="eastAsia" w:ascii="宋体" w:hAnsi="宋体" w:eastAsia="宋体"/>
          <w:lang w:val="en-US" w:eastAsia="zh-CN"/>
        </w:rPr>
        <w:t>儿童化妆品监督管理规定</w:t>
      </w:r>
      <w:r>
        <w:rPr>
          <w:rFonts w:hint="eastAsia" w:ascii="宋体" w:hAnsi="宋体" w:eastAsia="宋体"/>
          <w:lang w:eastAsia="zh-CN"/>
        </w:rPr>
        <w:t>》</w:t>
      </w:r>
      <w:r>
        <w:rPr>
          <w:rFonts w:hint="eastAsia" w:ascii="宋体" w:hAnsi="宋体" w:eastAsia="宋体"/>
        </w:rPr>
        <w:t>和GB/T 34857规定的要求。</w:t>
      </w:r>
      <w:bookmarkEnd w:id="64"/>
      <w:bookmarkEnd w:id="65"/>
    </w:p>
    <w:p>
      <w:pPr>
        <w:pStyle w:val="65"/>
        <w:spacing w:before="120" w:after="120"/>
        <w:rPr>
          <w:rFonts w:ascii="宋体" w:hAnsi="宋体" w:eastAsia="宋体"/>
        </w:rPr>
      </w:pPr>
      <w:bookmarkStart w:id="66" w:name="_Toc150260160"/>
      <w:bookmarkStart w:id="67" w:name="_Toc20031"/>
      <w:r>
        <w:rPr>
          <w:rFonts w:hint="eastAsia" w:ascii="宋体" w:hAnsi="宋体" w:eastAsia="宋体"/>
        </w:rPr>
        <w:t>生产企业应按照 GB/T 19001、GB/T 23331、 GB/T 24001和 GB/T 45001 分别建立并运行质量管理体系、环境管理体系、能源管理体系和职业健康安全管理体系，宜通过质量、环境、职业健康安全管理体系认证</w:t>
      </w:r>
      <w:bookmarkEnd w:id="66"/>
      <w:r>
        <w:rPr>
          <w:rFonts w:hint="eastAsia" w:ascii="宋体" w:hAnsi="宋体" w:eastAsia="宋体"/>
        </w:rPr>
        <w:t>。</w:t>
      </w:r>
      <w:bookmarkEnd w:id="67"/>
    </w:p>
    <w:p>
      <w:pPr>
        <w:pStyle w:val="65"/>
        <w:spacing w:before="120" w:after="120"/>
        <w:rPr>
          <w:rFonts w:ascii="宋体" w:hAnsi="宋体" w:eastAsia="宋体"/>
        </w:rPr>
      </w:pPr>
      <w:bookmarkStart w:id="68" w:name="_Toc12146"/>
      <w:r>
        <w:rPr>
          <w:rFonts w:hint="eastAsia" w:ascii="宋体" w:hAnsi="宋体" w:eastAsia="宋体"/>
        </w:rPr>
        <w:t>企业应优先选用国家鼓励的低污染、低排放、低能耗、经济高效的清洁生产技术和工艺先进设备，不应使用淘汰的落后工艺、技术、装备及生产落后产品。生产企业应按照GB</w:t>
      </w:r>
      <w:r>
        <w:rPr>
          <w:rFonts w:ascii="宋体" w:hAnsi="宋体" w:eastAsia="宋体"/>
        </w:rPr>
        <w:t xml:space="preserve"> 17167</w:t>
      </w:r>
      <w:r>
        <w:rPr>
          <w:rFonts w:hint="eastAsia" w:ascii="宋体" w:hAnsi="宋体" w:eastAsia="宋体"/>
        </w:rPr>
        <w:t xml:space="preserve">配备能源计量器具，按照GB </w:t>
      </w:r>
      <w:r>
        <w:rPr>
          <w:rFonts w:ascii="宋体" w:hAnsi="宋体" w:eastAsia="宋体"/>
        </w:rPr>
        <w:t>24789</w:t>
      </w:r>
      <w:r>
        <w:rPr>
          <w:rFonts w:hint="eastAsia" w:ascii="宋体" w:hAnsi="宋体" w:eastAsia="宋体"/>
        </w:rPr>
        <w:t>配备水计量器具。</w:t>
      </w:r>
      <w:bookmarkEnd w:id="68"/>
    </w:p>
    <w:p>
      <w:pPr>
        <w:pStyle w:val="65"/>
        <w:spacing w:before="120" w:after="120"/>
        <w:rPr>
          <w:rFonts w:ascii="宋体" w:hAnsi="宋体" w:eastAsia="宋体"/>
        </w:rPr>
      </w:pPr>
      <w:bookmarkStart w:id="69" w:name="_Toc150260161"/>
      <w:bookmarkStart w:id="70" w:name="_Toc19829"/>
      <w:r>
        <w:rPr>
          <w:rFonts w:hint="eastAsia" w:ascii="宋体" w:hAnsi="宋体" w:eastAsia="宋体"/>
        </w:rPr>
        <w:t>生产企业应</w:t>
      </w:r>
      <w:r>
        <w:rPr>
          <w:rFonts w:hint="eastAsia" w:ascii="宋体" w:hAnsi="宋体" w:eastAsia="宋体"/>
          <w:lang w:val="en-US" w:eastAsia="zh-CN"/>
        </w:rPr>
        <w:t>按照</w:t>
      </w:r>
      <w:r>
        <w:rPr>
          <w:rFonts w:hint="eastAsia" w:ascii="宋体" w:hAnsi="宋体" w:eastAsia="宋体"/>
        </w:rPr>
        <w:t>GB/T 33635的要求，推行绿色供应链管理体系，协同上下游企业，促进资源回收利用，实现企业绿色采购和可持续发展。对产品主要原材料供应方、生产协作方、相关服务方等提出相关质量、环境、能源和安全等方面的管理要求。开展绿色供应链管理，并建立绿色供应链管理绩效评价机制、程序，确定评价指标和评价方法。</w:t>
      </w:r>
      <w:bookmarkEnd w:id="69"/>
      <w:bookmarkEnd w:id="70"/>
    </w:p>
    <w:p>
      <w:pPr>
        <w:pStyle w:val="65"/>
        <w:spacing w:before="120" w:after="120"/>
        <w:rPr>
          <w:rFonts w:ascii="宋体" w:hAnsi="宋体" w:eastAsia="宋体"/>
          <w:szCs w:val="21"/>
        </w:rPr>
      </w:pPr>
      <w:bookmarkStart w:id="71" w:name="_Toc11147"/>
      <w:bookmarkStart w:id="72" w:name="_Toc150260162"/>
      <w:r>
        <w:rPr>
          <w:rFonts w:hint="eastAsia" w:ascii="宋体" w:hAnsi="宋体" w:eastAsia="宋体"/>
        </w:rPr>
        <w:t>生产企业污染物的排放应达到国家和地方相关政策、法律法规及标准要求，排放总量应达到总量控制的要求。</w:t>
      </w:r>
      <w:bookmarkEnd w:id="71"/>
    </w:p>
    <w:bookmarkEnd w:id="72"/>
    <w:p>
      <w:pPr>
        <w:pStyle w:val="65"/>
        <w:spacing w:before="120" w:after="120"/>
        <w:rPr>
          <w:rFonts w:ascii="宋体" w:hAnsi="宋体" w:eastAsia="宋体"/>
        </w:rPr>
      </w:pPr>
      <w:bookmarkStart w:id="73" w:name="_Toc150260163"/>
      <w:bookmarkStart w:id="74" w:name="_Toc12824"/>
      <w:r>
        <w:rPr>
          <w:rFonts w:hint="eastAsia" w:ascii="宋体" w:hAnsi="宋体" w:eastAsia="宋体"/>
        </w:rPr>
        <w:t>生产企业应完善原料管理制度、优化生产工艺、加强储运防护、回收利用废料等措施。宜采用产品回收电子标签、物联网及大数据技术手段建立可核查、可追溯的绿色回收体系。</w:t>
      </w:r>
      <w:bookmarkEnd w:id="73"/>
      <w:bookmarkEnd w:id="74"/>
    </w:p>
    <w:p>
      <w:pPr>
        <w:pStyle w:val="65"/>
        <w:spacing w:before="120" w:after="120"/>
        <w:rPr>
          <w:rFonts w:ascii="宋体" w:hAnsi="宋体" w:eastAsia="宋体"/>
          <w:color w:val="000000"/>
        </w:rPr>
      </w:pPr>
      <w:bookmarkStart w:id="75" w:name="_Toc150260164"/>
      <w:bookmarkStart w:id="76" w:name="_Toc8310"/>
      <w:r>
        <w:rPr>
          <w:rFonts w:hint="eastAsia" w:ascii="宋体" w:hAnsi="宋体" w:eastAsia="宋体"/>
        </w:rPr>
        <w:t>生产企业生产的“江西绿色生态 儿童沐浴露”应按照 GB/T 2952中的相关要求执行</w:t>
      </w:r>
      <w:r>
        <w:rPr>
          <w:rFonts w:hint="eastAsia" w:ascii="宋体" w:hAnsi="宋体" w:eastAsia="宋体"/>
          <w:color w:val="000000"/>
        </w:rPr>
        <w:t>产品包装材料宜采用可再生或可降解材料。</w:t>
      </w:r>
      <w:bookmarkEnd w:id="75"/>
      <w:bookmarkEnd w:id="76"/>
    </w:p>
    <w:p>
      <w:pPr>
        <w:pStyle w:val="65"/>
        <w:spacing w:before="120" w:after="120"/>
        <w:rPr>
          <w:rFonts w:ascii="宋体" w:hAnsi="宋体" w:eastAsia="宋体"/>
          <w:szCs w:val="21"/>
        </w:rPr>
      </w:pPr>
      <w:bookmarkStart w:id="77" w:name="_Toc25085"/>
      <w:r>
        <w:rPr>
          <w:rFonts w:hint="eastAsia" w:ascii="宋体" w:hAnsi="宋体" w:eastAsia="宋体"/>
        </w:rPr>
        <w:t>企业近三年无重大质量、安全和环境事故，近两年内未受到各级环保部门处罚。</w:t>
      </w:r>
      <w:bookmarkEnd w:id="77"/>
    </w:p>
    <w:p>
      <w:pPr>
        <w:pStyle w:val="105"/>
        <w:spacing w:before="120" w:after="120"/>
      </w:pPr>
      <w:bookmarkStart w:id="78" w:name="_Toc1949"/>
      <w:bookmarkStart w:id="79" w:name="_Toc29485"/>
      <w:bookmarkStart w:id="80" w:name="_Toc150260165"/>
      <w:bookmarkStart w:id="81" w:name="_Toc32627"/>
      <w:r>
        <w:rPr>
          <w:rFonts w:hint="eastAsia"/>
        </w:rPr>
        <w:t>评价指标</w:t>
      </w:r>
      <w:bookmarkEnd w:id="78"/>
      <w:bookmarkEnd w:id="79"/>
      <w:bookmarkEnd w:id="80"/>
      <w:bookmarkEnd w:id="81"/>
    </w:p>
    <w:p>
      <w:pPr>
        <w:pStyle w:val="230"/>
      </w:pPr>
      <w:r>
        <w:rPr>
          <w:rFonts w:hint="eastAsia"/>
        </w:rPr>
        <w:t>“江西绿色生态 儿童沐浴露”评价指标按照DB36/T 1138中规定的由一级指标和二级指标组成。一级指标包括“资源节约”、“环境保护”、“生态协同”和“质量引领”。二级指标是对一级指标的具体化，明确规定</w:t>
      </w:r>
      <w:r>
        <w:rPr>
          <w:rFonts w:hint="eastAsia"/>
          <w:lang w:val="en-US" w:eastAsia="zh-CN"/>
        </w:rPr>
        <w:t>所</w:t>
      </w:r>
      <w:r>
        <w:rPr>
          <w:rFonts w:hint="eastAsia"/>
        </w:rPr>
        <w:t>要达到的具体数值。经评价，达到或符合评级指标的产品即为“江西绿色生态 儿童沐浴露”产品。评价指标和评价方式或方法见表1。</w:t>
      </w:r>
    </w:p>
    <w:p>
      <w:pPr>
        <w:pStyle w:val="238"/>
        <w:numPr>
          <w:ilvl w:val="0"/>
          <w:numId w:val="16"/>
        </w:numPr>
        <w:spacing w:before="120" w:after="120"/>
      </w:pPr>
      <w:r>
        <w:rPr>
          <w:rFonts w:hint="eastAsia"/>
        </w:rPr>
        <w:t>“江西绿色生态 儿童沐浴露”评价指标和评价方法</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596"/>
        <w:gridCol w:w="953"/>
        <w:gridCol w:w="939"/>
        <w:gridCol w:w="1195"/>
        <w:gridCol w:w="3235"/>
        <w:gridCol w:w="21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0" w:type="auto"/>
            <w:tcBorders>
              <w:top w:val="single" w:color="auto" w:sz="8" w:space="0"/>
              <w:bottom w:val="single" w:color="auto" w:sz="8"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序号</w:t>
            </w:r>
          </w:p>
        </w:tc>
        <w:tc>
          <w:tcPr>
            <w:tcW w:w="596" w:type="dxa"/>
            <w:tcBorders>
              <w:top w:val="single" w:color="auto" w:sz="8" w:space="0"/>
              <w:bottom w:val="single" w:color="auto" w:sz="8"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一级指标</w:t>
            </w:r>
          </w:p>
        </w:tc>
        <w:tc>
          <w:tcPr>
            <w:tcW w:w="1892" w:type="dxa"/>
            <w:gridSpan w:val="2"/>
            <w:tcBorders>
              <w:top w:val="single" w:color="auto" w:sz="8" w:space="0"/>
              <w:bottom w:val="single" w:color="auto" w:sz="8"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二级指标</w:t>
            </w:r>
          </w:p>
        </w:tc>
        <w:tc>
          <w:tcPr>
            <w:tcW w:w="1195" w:type="dxa"/>
            <w:tcBorders>
              <w:top w:val="single" w:color="auto" w:sz="8" w:space="0"/>
              <w:bottom w:val="single" w:color="auto" w:sz="8" w:space="0"/>
            </w:tcBorders>
            <w:vAlign w:val="center"/>
          </w:tcPr>
          <w:p>
            <w:pPr>
              <w:jc w:val="center"/>
              <w:rPr>
                <w:rFonts w:ascii="宋体" w:hAnsi="宋体"/>
                <w:b/>
                <w:bCs/>
                <w:sz w:val="18"/>
                <w:szCs w:val="18"/>
              </w:rPr>
            </w:pPr>
            <w:r>
              <w:rPr>
                <w:rFonts w:hint="eastAsia" w:ascii="宋体" w:hAnsi="宋体"/>
                <w:b/>
                <w:bCs/>
                <w:sz w:val="18"/>
                <w:szCs w:val="18"/>
              </w:rPr>
              <w:t>单位</w:t>
            </w:r>
          </w:p>
        </w:tc>
        <w:tc>
          <w:tcPr>
            <w:tcW w:w="3235" w:type="dxa"/>
            <w:tcBorders>
              <w:top w:val="single" w:color="auto" w:sz="8" w:space="0"/>
              <w:bottom w:val="single" w:color="auto" w:sz="8"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基准值</w:t>
            </w:r>
          </w:p>
        </w:tc>
        <w:tc>
          <w:tcPr>
            <w:tcW w:w="2187" w:type="dxa"/>
            <w:tcBorders>
              <w:top w:val="single" w:color="auto" w:sz="8" w:space="0"/>
              <w:bottom w:val="single" w:color="auto" w:sz="8" w:space="0"/>
            </w:tcBorders>
            <w:shd w:val="clear" w:color="auto" w:fill="auto"/>
            <w:vAlign w:val="center"/>
          </w:tcPr>
          <w:p>
            <w:pPr>
              <w:jc w:val="center"/>
              <w:rPr>
                <w:rFonts w:ascii="宋体" w:hAnsi="宋体"/>
                <w:b/>
                <w:bCs/>
                <w:sz w:val="18"/>
                <w:szCs w:val="18"/>
              </w:rPr>
            </w:pPr>
            <w:r>
              <w:rPr>
                <w:rFonts w:hint="eastAsia" w:ascii="宋体" w:hAnsi="宋体"/>
                <w:b/>
                <w:bCs/>
                <w:sz w:val="18"/>
                <w:szCs w:val="18"/>
              </w:rPr>
              <w:t>判定依据/方法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465" w:type="dxa"/>
            <w:tcBorders>
              <w:top w:val="single" w:color="auto" w:sz="8" w:space="0"/>
            </w:tcBorders>
            <w:shd w:val="clear" w:color="auto" w:fill="auto"/>
            <w:vAlign w:val="center"/>
          </w:tcPr>
          <w:p>
            <w:pPr>
              <w:jc w:val="center"/>
              <w:rPr>
                <w:sz w:val="18"/>
                <w:szCs w:val="18"/>
              </w:rPr>
            </w:pPr>
            <w:r>
              <w:rPr>
                <w:rFonts w:hint="eastAsia"/>
                <w:sz w:val="18"/>
                <w:szCs w:val="18"/>
              </w:rPr>
              <w:t>1</w:t>
            </w:r>
          </w:p>
        </w:tc>
        <w:tc>
          <w:tcPr>
            <w:tcW w:w="596" w:type="dxa"/>
            <w:tcBorders>
              <w:top w:val="single" w:color="auto" w:sz="8" w:space="0"/>
            </w:tcBorders>
            <w:shd w:val="clear" w:color="auto" w:fill="auto"/>
            <w:vAlign w:val="center"/>
          </w:tcPr>
          <w:p>
            <w:pPr>
              <w:jc w:val="center"/>
              <w:rPr>
                <w:sz w:val="18"/>
                <w:szCs w:val="18"/>
              </w:rPr>
            </w:pPr>
            <w:r>
              <w:rPr>
                <w:rFonts w:hint="eastAsia"/>
                <w:b/>
                <w:bCs/>
                <w:sz w:val="18"/>
                <w:szCs w:val="18"/>
              </w:rPr>
              <w:t>资源节约</w:t>
            </w:r>
          </w:p>
        </w:tc>
        <w:tc>
          <w:tcPr>
            <w:tcW w:w="1892" w:type="dxa"/>
            <w:gridSpan w:val="2"/>
            <w:tcBorders>
              <w:top w:val="single" w:color="auto" w:sz="8" w:space="0"/>
            </w:tcBorders>
            <w:shd w:val="clear" w:color="auto" w:fill="auto"/>
            <w:vAlign w:val="center"/>
          </w:tcPr>
          <w:p>
            <w:pPr>
              <w:jc w:val="center"/>
              <w:rPr>
                <w:rFonts w:hint="eastAsia"/>
                <w:sz w:val="18"/>
                <w:szCs w:val="18"/>
              </w:rPr>
            </w:pPr>
            <w:r>
              <w:rPr>
                <w:rFonts w:hint="eastAsia"/>
                <w:sz w:val="18"/>
                <w:szCs w:val="18"/>
              </w:rPr>
              <w:t>原材料使用天然成分或天然来源成分占比</w:t>
            </w:r>
          </w:p>
        </w:tc>
        <w:tc>
          <w:tcPr>
            <w:tcW w:w="1195" w:type="dxa"/>
            <w:tcBorders>
              <w:top w:val="single" w:color="auto" w:sz="8" w:space="0"/>
            </w:tcBorders>
            <w:vAlign w:val="center"/>
          </w:tcPr>
          <w:p>
            <w:pPr>
              <w:jc w:val="center"/>
              <w:rPr>
                <w:rFonts w:hint="eastAsia"/>
                <w:sz w:val="18"/>
                <w:szCs w:val="18"/>
              </w:rPr>
            </w:pPr>
            <w:r>
              <w:rPr>
                <w:rFonts w:hint="eastAsia"/>
                <w:sz w:val="18"/>
                <w:szCs w:val="18"/>
              </w:rPr>
              <w:t>%</w:t>
            </w:r>
          </w:p>
        </w:tc>
        <w:tc>
          <w:tcPr>
            <w:tcW w:w="3235" w:type="dxa"/>
            <w:tcBorders>
              <w:top w:val="single" w:color="auto" w:sz="8" w:space="0"/>
            </w:tcBorders>
            <w:shd w:val="clear" w:color="auto" w:fill="auto"/>
            <w:vAlign w:val="center"/>
          </w:tcPr>
          <w:p>
            <w:pPr>
              <w:jc w:val="center"/>
              <w:rPr>
                <w:rFonts w:hint="eastAsia"/>
                <w:sz w:val="18"/>
                <w:szCs w:val="18"/>
              </w:rPr>
            </w:pPr>
            <w:r>
              <w:rPr>
                <w:rFonts w:hint="eastAsia"/>
                <w:sz w:val="18"/>
                <w:szCs w:val="18"/>
              </w:rPr>
              <w:t>不得使用《化妆品安全技术规范》中的禁用</w:t>
            </w:r>
            <w:r>
              <w:rPr>
                <w:rFonts w:hint="eastAsia"/>
                <w:sz w:val="18"/>
                <w:szCs w:val="18"/>
                <w:lang w:val="en-US" w:eastAsia="zh-CN"/>
              </w:rPr>
              <w:t>原料</w:t>
            </w:r>
            <w:r>
              <w:rPr>
                <w:rFonts w:hint="eastAsia"/>
                <w:sz w:val="18"/>
                <w:szCs w:val="18"/>
              </w:rPr>
              <w:t>，且原材料使用天然成分或天然来源成分占比达到30%以上</w:t>
            </w:r>
          </w:p>
        </w:tc>
        <w:tc>
          <w:tcPr>
            <w:tcW w:w="2187" w:type="dxa"/>
            <w:tcBorders>
              <w:top w:val="single" w:color="auto" w:sz="8" w:space="0"/>
            </w:tcBorders>
            <w:shd w:val="clear" w:color="auto" w:fill="auto"/>
            <w:vAlign w:val="center"/>
          </w:tcPr>
          <w:p>
            <w:pPr>
              <w:jc w:val="center"/>
              <w:rPr>
                <w:rFonts w:hint="eastAsia"/>
                <w:sz w:val="18"/>
                <w:szCs w:val="18"/>
              </w:rPr>
            </w:pPr>
            <w:r>
              <w:rPr>
                <w:rFonts w:hint="eastAsia"/>
                <w:sz w:val="18"/>
                <w:szCs w:val="18"/>
              </w:rPr>
              <w:t>现场原材料清单数据或第三方检测报告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shd w:val="clear" w:color="auto" w:fill="auto"/>
            <w:vAlign w:val="center"/>
          </w:tcPr>
          <w:p>
            <w:pPr>
              <w:jc w:val="center"/>
              <w:rPr>
                <w:sz w:val="18"/>
                <w:szCs w:val="18"/>
              </w:rPr>
            </w:pPr>
            <w:r>
              <w:rPr>
                <w:rFonts w:hint="eastAsia"/>
                <w:sz w:val="18"/>
                <w:szCs w:val="18"/>
              </w:rPr>
              <w:t>2</w:t>
            </w:r>
          </w:p>
        </w:tc>
        <w:tc>
          <w:tcPr>
            <w:tcW w:w="596" w:type="dxa"/>
            <w:vMerge w:val="restart"/>
            <w:shd w:val="clear" w:color="auto" w:fill="auto"/>
            <w:vAlign w:val="center"/>
          </w:tcPr>
          <w:p>
            <w:pPr>
              <w:jc w:val="center"/>
              <w:rPr>
                <w:sz w:val="18"/>
                <w:szCs w:val="18"/>
              </w:rPr>
            </w:pPr>
            <w:r>
              <w:rPr>
                <w:rFonts w:hint="eastAsia"/>
                <w:b/>
                <w:bCs/>
                <w:sz w:val="18"/>
                <w:szCs w:val="18"/>
              </w:rPr>
              <w:t>资源节约</w:t>
            </w:r>
          </w:p>
        </w:tc>
        <w:tc>
          <w:tcPr>
            <w:tcW w:w="1892" w:type="dxa"/>
            <w:gridSpan w:val="2"/>
            <w:shd w:val="clear" w:color="auto" w:fill="auto"/>
            <w:vAlign w:val="center"/>
          </w:tcPr>
          <w:p>
            <w:pPr>
              <w:jc w:val="center"/>
              <w:rPr>
                <w:sz w:val="18"/>
                <w:szCs w:val="18"/>
              </w:rPr>
            </w:pPr>
            <w:r>
              <w:rPr>
                <w:rFonts w:hint="eastAsia"/>
                <w:sz w:val="18"/>
                <w:szCs w:val="18"/>
              </w:rPr>
              <w:t>单位产品取水量</w:t>
            </w:r>
          </w:p>
        </w:tc>
        <w:tc>
          <w:tcPr>
            <w:tcW w:w="1195" w:type="dxa"/>
            <w:vAlign w:val="center"/>
          </w:tcPr>
          <w:p>
            <w:pPr>
              <w:jc w:val="center"/>
              <w:rPr>
                <w:sz w:val="18"/>
                <w:szCs w:val="18"/>
              </w:rPr>
            </w:pPr>
            <w:r>
              <w:rPr>
                <w:rFonts w:hint="eastAsia"/>
                <w:sz w:val="18"/>
                <w:szCs w:val="18"/>
              </w:rPr>
              <w:t>m</w:t>
            </w:r>
            <w:r>
              <w:rPr>
                <w:sz w:val="18"/>
                <w:szCs w:val="18"/>
                <w:vertAlign w:val="superscript"/>
              </w:rPr>
              <w:t>3</w:t>
            </w:r>
            <w:r>
              <w:rPr>
                <w:sz w:val="18"/>
                <w:szCs w:val="18"/>
              </w:rPr>
              <w:t>/</w:t>
            </w:r>
            <w:r>
              <w:rPr>
                <w:rFonts w:hint="eastAsia"/>
                <w:sz w:val="18"/>
                <w:szCs w:val="18"/>
              </w:rPr>
              <w:t>t</w:t>
            </w:r>
          </w:p>
        </w:tc>
        <w:tc>
          <w:tcPr>
            <w:tcW w:w="3235" w:type="dxa"/>
            <w:shd w:val="clear" w:color="auto" w:fill="auto"/>
            <w:vAlign w:val="center"/>
          </w:tcPr>
          <w:p>
            <w:pPr>
              <w:jc w:val="center"/>
              <w:rPr>
                <w:sz w:val="18"/>
                <w:szCs w:val="18"/>
              </w:rPr>
            </w:pPr>
            <w:r>
              <w:rPr>
                <w:rFonts w:hint="eastAsia"/>
                <w:sz w:val="18"/>
                <w:szCs w:val="18"/>
              </w:rPr>
              <w:t>≤</w:t>
            </w:r>
            <w:r>
              <w:rPr>
                <w:sz w:val="18"/>
                <w:szCs w:val="18"/>
              </w:rPr>
              <w:t>1.8</w:t>
            </w:r>
          </w:p>
        </w:tc>
        <w:tc>
          <w:tcPr>
            <w:tcW w:w="2187" w:type="dxa"/>
            <w:shd w:val="clear" w:color="auto" w:fill="auto"/>
            <w:vAlign w:val="center"/>
          </w:tcPr>
          <w:p>
            <w:pPr>
              <w:jc w:val="center"/>
              <w:rPr>
                <w:sz w:val="18"/>
                <w:szCs w:val="18"/>
              </w:rPr>
            </w:pPr>
            <w:r>
              <w:rPr>
                <w:rFonts w:hint="eastAsia"/>
                <w:sz w:val="18"/>
                <w:szCs w:val="18"/>
              </w:rPr>
              <w:t>现场或第三方评价机构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shd w:val="clear" w:color="auto" w:fill="auto"/>
            <w:vAlign w:val="center"/>
          </w:tcPr>
          <w:p>
            <w:pPr>
              <w:jc w:val="center"/>
              <w:rPr>
                <w:sz w:val="18"/>
                <w:szCs w:val="18"/>
              </w:rPr>
            </w:pPr>
            <w:r>
              <w:rPr>
                <w:rFonts w:hint="eastAsia"/>
                <w:sz w:val="18"/>
                <w:szCs w:val="18"/>
              </w:rPr>
              <w:t>3</w:t>
            </w:r>
          </w:p>
        </w:tc>
        <w:tc>
          <w:tcPr>
            <w:tcW w:w="596" w:type="dxa"/>
            <w:vMerge w:val="continue"/>
            <w:shd w:val="clear" w:color="auto" w:fill="auto"/>
            <w:vAlign w:val="center"/>
          </w:tcPr>
          <w:p>
            <w:pPr>
              <w:jc w:val="center"/>
              <w:rPr>
                <w:sz w:val="18"/>
                <w:szCs w:val="18"/>
              </w:rPr>
            </w:pPr>
          </w:p>
        </w:tc>
        <w:tc>
          <w:tcPr>
            <w:tcW w:w="1892" w:type="dxa"/>
            <w:gridSpan w:val="2"/>
            <w:shd w:val="clear" w:color="auto" w:fill="auto"/>
            <w:vAlign w:val="center"/>
          </w:tcPr>
          <w:p>
            <w:pPr>
              <w:jc w:val="center"/>
              <w:rPr>
                <w:sz w:val="18"/>
                <w:szCs w:val="18"/>
              </w:rPr>
            </w:pPr>
            <w:r>
              <w:rPr>
                <w:rFonts w:hint="eastAsia"/>
                <w:sz w:val="18"/>
                <w:szCs w:val="18"/>
              </w:rPr>
              <w:t>单位产品综合能耗</w:t>
            </w:r>
          </w:p>
        </w:tc>
        <w:tc>
          <w:tcPr>
            <w:tcW w:w="1195" w:type="dxa"/>
            <w:vAlign w:val="center"/>
          </w:tcPr>
          <w:p>
            <w:pPr>
              <w:jc w:val="center"/>
              <w:rPr>
                <w:sz w:val="18"/>
                <w:szCs w:val="18"/>
              </w:rPr>
            </w:pPr>
            <w:r>
              <w:rPr>
                <w:rFonts w:hint="eastAsia"/>
                <w:sz w:val="18"/>
                <w:szCs w:val="18"/>
              </w:rPr>
              <w:t>Kgce</w:t>
            </w:r>
            <w:r>
              <w:rPr>
                <w:sz w:val="18"/>
                <w:szCs w:val="18"/>
              </w:rPr>
              <w:t>/</w:t>
            </w:r>
            <w:r>
              <w:rPr>
                <w:rFonts w:hint="eastAsia"/>
                <w:sz w:val="18"/>
                <w:szCs w:val="18"/>
              </w:rPr>
              <w:t>t</w:t>
            </w:r>
          </w:p>
        </w:tc>
        <w:tc>
          <w:tcPr>
            <w:tcW w:w="3235" w:type="dxa"/>
            <w:shd w:val="clear" w:color="auto" w:fill="auto"/>
            <w:vAlign w:val="center"/>
          </w:tcPr>
          <w:p>
            <w:pPr>
              <w:jc w:val="center"/>
              <w:rPr>
                <w:sz w:val="18"/>
                <w:szCs w:val="18"/>
              </w:rPr>
            </w:pPr>
            <w:r>
              <w:rPr>
                <w:rFonts w:hint="eastAsia"/>
                <w:sz w:val="18"/>
                <w:szCs w:val="18"/>
              </w:rPr>
              <w:t>≤2</w:t>
            </w:r>
            <w:r>
              <w:rPr>
                <w:sz w:val="18"/>
                <w:szCs w:val="18"/>
              </w:rPr>
              <w:t>0</w:t>
            </w:r>
          </w:p>
        </w:tc>
        <w:tc>
          <w:tcPr>
            <w:tcW w:w="2187" w:type="dxa"/>
            <w:shd w:val="clear" w:color="auto" w:fill="auto"/>
            <w:vAlign w:val="center"/>
          </w:tcPr>
          <w:p>
            <w:pPr>
              <w:jc w:val="center"/>
              <w:rPr>
                <w:sz w:val="18"/>
                <w:szCs w:val="18"/>
              </w:rPr>
            </w:pPr>
            <w:r>
              <w:rPr>
                <w:rFonts w:hint="eastAsia"/>
                <w:sz w:val="18"/>
                <w:szCs w:val="18"/>
              </w:rPr>
              <w:t>现场或第三方评价机构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shd w:val="clear" w:color="auto" w:fill="auto"/>
            <w:vAlign w:val="center"/>
          </w:tcPr>
          <w:p>
            <w:pPr>
              <w:jc w:val="center"/>
              <w:rPr>
                <w:sz w:val="18"/>
                <w:szCs w:val="18"/>
              </w:rPr>
            </w:pPr>
            <w:r>
              <w:rPr>
                <w:rFonts w:hint="eastAsia"/>
                <w:sz w:val="18"/>
                <w:szCs w:val="18"/>
              </w:rPr>
              <w:t>4</w:t>
            </w:r>
          </w:p>
        </w:tc>
        <w:tc>
          <w:tcPr>
            <w:tcW w:w="596" w:type="dxa"/>
            <w:vMerge w:val="continue"/>
            <w:shd w:val="clear" w:color="auto" w:fill="auto"/>
            <w:vAlign w:val="center"/>
          </w:tcPr>
          <w:p>
            <w:pPr>
              <w:jc w:val="center"/>
              <w:rPr>
                <w:sz w:val="18"/>
                <w:szCs w:val="18"/>
              </w:rPr>
            </w:pPr>
          </w:p>
        </w:tc>
        <w:tc>
          <w:tcPr>
            <w:tcW w:w="1892" w:type="dxa"/>
            <w:gridSpan w:val="2"/>
            <w:shd w:val="clear" w:color="auto" w:fill="auto"/>
            <w:vAlign w:val="center"/>
          </w:tcPr>
          <w:p>
            <w:pPr>
              <w:jc w:val="center"/>
              <w:rPr>
                <w:sz w:val="18"/>
                <w:szCs w:val="18"/>
              </w:rPr>
            </w:pPr>
            <w:r>
              <w:rPr>
                <w:rFonts w:hint="eastAsia"/>
                <w:sz w:val="18"/>
                <w:szCs w:val="18"/>
              </w:rPr>
              <w:t>产品包装</w:t>
            </w:r>
          </w:p>
        </w:tc>
        <w:tc>
          <w:tcPr>
            <w:tcW w:w="1195" w:type="dxa"/>
            <w:vAlign w:val="center"/>
          </w:tcPr>
          <w:p>
            <w:pPr>
              <w:jc w:val="center"/>
              <w:rPr>
                <w:sz w:val="18"/>
                <w:szCs w:val="18"/>
              </w:rPr>
            </w:pPr>
            <w:r>
              <w:rPr>
                <w:rFonts w:hint="eastAsia"/>
                <w:sz w:val="18"/>
                <w:szCs w:val="18"/>
              </w:rPr>
              <w:t>/</w:t>
            </w:r>
          </w:p>
        </w:tc>
        <w:tc>
          <w:tcPr>
            <w:tcW w:w="3235" w:type="dxa"/>
            <w:shd w:val="clear" w:color="auto" w:fill="auto"/>
            <w:vAlign w:val="center"/>
          </w:tcPr>
          <w:p>
            <w:pPr>
              <w:jc w:val="center"/>
              <w:rPr>
                <w:sz w:val="18"/>
                <w:szCs w:val="18"/>
              </w:rPr>
            </w:pPr>
            <w:r>
              <w:rPr>
                <w:rFonts w:hint="eastAsia"/>
                <w:sz w:val="18"/>
                <w:szCs w:val="18"/>
              </w:rPr>
              <w:t>包装符合GB 23350的要求，包材不使用聚氯乙烯，包装减量化、材料可回收</w:t>
            </w:r>
          </w:p>
        </w:tc>
        <w:tc>
          <w:tcPr>
            <w:tcW w:w="2187" w:type="dxa"/>
            <w:shd w:val="clear" w:color="auto" w:fill="auto"/>
            <w:vAlign w:val="center"/>
          </w:tcPr>
          <w:p>
            <w:pPr>
              <w:jc w:val="center"/>
              <w:rPr>
                <w:sz w:val="18"/>
                <w:szCs w:val="18"/>
              </w:rPr>
            </w:pPr>
            <w:r>
              <w:rPr>
                <w:rFonts w:hint="eastAsia"/>
                <w:sz w:val="18"/>
                <w:szCs w:val="18"/>
              </w:rPr>
              <w:t>查看包装材料采购凭证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bottom w:val="single" w:color="auto" w:sz="4" w:space="0"/>
            </w:tcBorders>
            <w:shd w:val="clear" w:color="auto" w:fill="auto"/>
            <w:vAlign w:val="center"/>
          </w:tcPr>
          <w:p>
            <w:pPr>
              <w:jc w:val="center"/>
              <w:rPr>
                <w:sz w:val="18"/>
                <w:szCs w:val="18"/>
              </w:rPr>
            </w:pPr>
            <w:r>
              <w:rPr>
                <w:sz w:val="18"/>
                <w:szCs w:val="18"/>
              </w:rPr>
              <w:t>5</w:t>
            </w:r>
          </w:p>
        </w:tc>
        <w:tc>
          <w:tcPr>
            <w:tcW w:w="596" w:type="dxa"/>
            <w:vMerge w:val="restart"/>
            <w:shd w:val="clear" w:color="auto" w:fill="auto"/>
            <w:vAlign w:val="center"/>
          </w:tcPr>
          <w:p>
            <w:pPr>
              <w:jc w:val="center"/>
              <w:rPr>
                <w:b/>
                <w:bCs/>
                <w:sz w:val="18"/>
                <w:szCs w:val="18"/>
              </w:rPr>
            </w:pPr>
            <w:r>
              <w:rPr>
                <w:rFonts w:hint="eastAsia"/>
                <w:b/>
                <w:bCs/>
                <w:sz w:val="18"/>
                <w:szCs w:val="18"/>
              </w:rPr>
              <w:t>环境保护</w:t>
            </w:r>
          </w:p>
        </w:tc>
        <w:tc>
          <w:tcPr>
            <w:tcW w:w="1892" w:type="dxa"/>
            <w:gridSpan w:val="2"/>
            <w:tcBorders>
              <w:bottom w:val="single" w:color="auto" w:sz="4" w:space="0"/>
            </w:tcBorders>
            <w:shd w:val="clear" w:color="auto" w:fill="auto"/>
            <w:vAlign w:val="center"/>
          </w:tcPr>
          <w:p>
            <w:pPr>
              <w:jc w:val="center"/>
              <w:rPr>
                <w:sz w:val="18"/>
                <w:szCs w:val="18"/>
              </w:rPr>
            </w:pPr>
            <w:r>
              <w:rPr>
                <w:rFonts w:hint="eastAsia"/>
                <w:sz w:val="18"/>
                <w:szCs w:val="18"/>
              </w:rPr>
              <w:t>单位产品废水排放量</w:t>
            </w:r>
          </w:p>
        </w:tc>
        <w:tc>
          <w:tcPr>
            <w:tcW w:w="1195" w:type="dxa"/>
            <w:tcBorders>
              <w:bottom w:val="single" w:color="auto" w:sz="4" w:space="0"/>
            </w:tcBorders>
            <w:vAlign w:val="center"/>
          </w:tcPr>
          <w:p>
            <w:pPr>
              <w:jc w:val="center"/>
              <w:rPr>
                <w:sz w:val="18"/>
                <w:szCs w:val="18"/>
              </w:rPr>
            </w:pPr>
            <w:r>
              <w:rPr>
                <w:rFonts w:hint="eastAsia"/>
                <w:sz w:val="18"/>
                <w:szCs w:val="18"/>
              </w:rPr>
              <w:t>m</w:t>
            </w:r>
            <w:r>
              <w:rPr>
                <w:sz w:val="18"/>
                <w:szCs w:val="18"/>
                <w:vertAlign w:val="superscript"/>
              </w:rPr>
              <w:t>3</w:t>
            </w:r>
            <w:r>
              <w:rPr>
                <w:sz w:val="18"/>
                <w:szCs w:val="18"/>
              </w:rPr>
              <w:t>/</w:t>
            </w:r>
            <w:r>
              <w:rPr>
                <w:rFonts w:hint="eastAsia"/>
                <w:sz w:val="18"/>
                <w:szCs w:val="18"/>
              </w:rPr>
              <w:t>t</w:t>
            </w:r>
          </w:p>
        </w:tc>
        <w:tc>
          <w:tcPr>
            <w:tcW w:w="3235" w:type="dxa"/>
            <w:tcBorders>
              <w:bottom w:val="single" w:color="auto" w:sz="4" w:space="0"/>
            </w:tcBorders>
            <w:shd w:val="clear" w:color="auto" w:fill="auto"/>
            <w:vAlign w:val="center"/>
          </w:tcPr>
          <w:p>
            <w:pPr>
              <w:jc w:val="center"/>
              <w:rPr>
                <w:sz w:val="18"/>
                <w:szCs w:val="18"/>
              </w:rPr>
            </w:pPr>
            <w:r>
              <w:rPr>
                <w:rFonts w:hint="eastAsia"/>
                <w:sz w:val="18"/>
                <w:szCs w:val="18"/>
              </w:rPr>
              <w:t>≤</w:t>
            </w:r>
            <w:r>
              <w:rPr>
                <w:sz w:val="18"/>
                <w:szCs w:val="18"/>
              </w:rPr>
              <w:t>0.6</w:t>
            </w:r>
          </w:p>
        </w:tc>
        <w:tc>
          <w:tcPr>
            <w:tcW w:w="2187" w:type="dxa"/>
            <w:tcBorders>
              <w:bottom w:val="single" w:color="auto" w:sz="4" w:space="0"/>
            </w:tcBorders>
            <w:shd w:val="clear" w:color="auto" w:fill="auto"/>
            <w:vAlign w:val="center"/>
          </w:tcPr>
          <w:p>
            <w:pPr>
              <w:jc w:val="center"/>
              <w:rPr>
                <w:sz w:val="18"/>
                <w:szCs w:val="18"/>
              </w:rPr>
            </w:pPr>
            <w:r>
              <w:rPr>
                <w:rFonts w:hint="eastAsia" w:ascii="宋体" w:hAnsi="宋体" w:cs="宋体"/>
                <w:color w:val="000000"/>
                <w:kern w:val="0"/>
                <w:sz w:val="18"/>
                <w:szCs w:val="18"/>
                <w:lang w:bidi="ar"/>
              </w:rPr>
              <w:t>现场</w:t>
            </w:r>
            <w:r>
              <w:rPr>
                <w:rFonts w:hint="eastAsia" w:ascii="宋体" w:hAnsi="宋体" w:cs="宋体"/>
                <w:color w:val="000000"/>
                <w:kern w:val="0"/>
                <w:sz w:val="18"/>
                <w:szCs w:val="18"/>
                <w:lang w:val="en-US" w:eastAsia="zh-CN" w:bidi="ar"/>
              </w:rPr>
              <w:t>检测</w:t>
            </w:r>
            <w:r>
              <w:rPr>
                <w:rFonts w:hint="eastAsia" w:ascii="宋体" w:hAnsi="宋体" w:cs="宋体"/>
                <w:color w:val="000000"/>
                <w:kern w:val="0"/>
                <w:sz w:val="18"/>
                <w:szCs w:val="18"/>
                <w:lang w:bidi="ar"/>
              </w:rPr>
              <w:t>或查看年度环境检测报告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bottom w:val="single" w:color="auto" w:sz="4" w:space="0"/>
            </w:tcBorders>
            <w:shd w:val="clear" w:color="auto" w:fill="auto"/>
            <w:vAlign w:val="center"/>
          </w:tcPr>
          <w:p>
            <w:pPr>
              <w:jc w:val="center"/>
              <w:rPr>
                <w:sz w:val="18"/>
                <w:szCs w:val="18"/>
              </w:rPr>
            </w:pPr>
            <w:r>
              <w:rPr>
                <w:rFonts w:hint="eastAsia"/>
                <w:sz w:val="18"/>
                <w:szCs w:val="18"/>
              </w:rPr>
              <w:t>6</w:t>
            </w:r>
          </w:p>
        </w:tc>
        <w:tc>
          <w:tcPr>
            <w:tcW w:w="596" w:type="dxa"/>
            <w:vMerge w:val="continue"/>
            <w:shd w:val="clear" w:color="auto" w:fill="auto"/>
            <w:vAlign w:val="center"/>
          </w:tcPr>
          <w:p>
            <w:pPr>
              <w:jc w:val="center"/>
              <w:rPr>
                <w:rFonts w:hint="eastAsia"/>
                <w:b/>
                <w:bCs/>
                <w:sz w:val="18"/>
                <w:szCs w:val="18"/>
              </w:rPr>
            </w:pPr>
          </w:p>
        </w:tc>
        <w:tc>
          <w:tcPr>
            <w:tcW w:w="1892" w:type="dxa"/>
            <w:gridSpan w:val="2"/>
            <w:tcBorders>
              <w:bottom w:val="single" w:color="auto" w:sz="4" w:space="0"/>
            </w:tcBorders>
            <w:shd w:val="clear" w:color="auto" w:fill="auto"/>
            <w:vAlign w:val="center"/>
          </w:tcPr>
          <w:p>
            <w:pPr>
              <w:jc w:val="center"/>
              <w:rPr>
                <w:rFonts w:hint="eastAsia"/>
                <w:sz w:val="18"/>
                <w:szCs w:val="18"/>
              </w:rPr>
            </w:pPr>
            <w:r>
              <w:rPr>
                <w:rFonts w:hint="eastAsia"/>
                <w:sz w:val="18"/>
                <w:szCs w:val="18"/>
              </w:rPr>
              <w:t>单位产品COD产生量</w:t>
            </w:r>
          </w:p>
        </w:tc>
        <w:tc>
          <w:tcPr>
            <w:tcW w:w="1195" w:type="dxa"/>
            <w:tcBorders>
              <w:bottom w:val="single" w:color="auto" w:sz="4" w:space="0"/>
            </w:tcBorders>
            <w:vAlign w:val="center"/>
          </w:tcPr>
          <w:p>
            <w:pPr>
              <w:jc w:val="center"/>
              <w:rPr>
                <w:rFonts w:hint="eastAsia"/>
                <w:sz w:val="18"/>
                <w:szCs w:val="18"/>
              </w:rPr>
            </w:pPr>
            <w:r>
              <w:rPr>
                <w:color w:val="000000"/>
                <w:sz w:val="18"/>
                <w:szCs w:val="18"/>
              </w:rPr>
              <w:t>kg</w:t>
            </w:r>
            <w:r>
              <w:rPr>
                <w:rFonts w:hint="eastAsia"/>
                <w:color w:val="000000"/>
                <w:sz w:val="18"/>
                <w:szCs w:val="18"/>
              </w:rPr>
              <w:t>/</w:t>
            </w:r>
            <w:r>
              <w:rPr>
                <w:color w:val="000000"/>
                <w:sz w:val="18"/>
                <w:szCs w:val="18"/>
              </w:rPr>
              <w:t>t</w:t>
            </w:r>
          </w:p>
        </w:tc>
        <w:tc>
          <w:tcPr>
            <w:tcW w:w="3235" w:type="dxa"/>
            <w:tcBorders>
              <w:bottom w:val="single" w:color="auto" w:sz="4" w:space="0"/>
            </w:tcBorders>
            <w:shd w:val="clear" w:color="auto" w:fill="auto"/>
            <w:vAlign w:val="center"/>
          </w:tcPr>
          <w:p>
            <w:pPr>
              <w:jc w:val="center"/>
              <w:rPr>
                <w:rFonts w:hint="eastAsia"/>
                <w:sz w:val="18"/>
                <w:szCs w:val="18"/>
              </w:rPr>
            </w:pPr>
            <w:r>
              <w:rPr>
                <w:rFonts w:hint="eastAsia"/>
                <w:sz w:val="18"/>
                <w:szCs w:val="18"/>
              </w:rPr>
              <w:t>1</w:t>
            </w:r>
            <w:r>
              <w:rPr>
                <w:sz w:val="18"/>
                <w:szCs w:val="18"/>
              </w:rPr>
              <w:t>.2</w:t>
            </w:r>
          </w:p>
        </w:tc>
        <w:tc>
          <w:tcPr>
            <w:tcW w:w="2187" w:type="dxa"/>
            <w:tcBorders>
              <w:bottom w:val="single" w:color="auto" w:sz="4" w:space="0"/>
            </w:tcBorders>
            <w:shd w:val="clear" w:color="auto" w:fill="auto"/>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现场</w:t>
            </w:r>
            <w:r>
              <w:rPr>
                <w:rFonts w:hint="eastAsia" w:ascii="宋体" w:hAnsi="宋体" w:cs="宋体"/>
                <w:color w:val="000000"/>
                <w:kern w:val="0"/>
                <w:sz w:val="18"/>
                <w:szCs w:val="18"/>
                <w:lang w:val="en-US" w:eastAsia="zh-CN" w:bidi="ar"/>
              </w:rPr>
              <w:t>检测</w:t>
            </w:r>
            <w:r>
              <w:rPr>
                <w:rFonts w:hint="eastAsia" w:ascii="宋体" w:hAnsi="宋体" w:cs="宋体"/>
                <w:color w:val="000000"/>
                <w:kern w:val="0"/>
                <w:sz w:val="18"/>
                <w:szCs w:val="18"/>
                <w:lang w:bidi="ar"/>
              </w:rPr>
              <w:t>或查看年度环境检测报告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tcBorders>
              <w:top w:val="single" w:color="auto" w:sz="4" w:space="0"/>
              <w:bottom w:val="single" w:color="auto" w:sz="8" w:space="0"/>
            </w:tcBorders>
            <w:shd w:val="clear" w:color="auto" w:fill="auto"/>
            <w:vAlign w:val="center"/>
          </w:tcPr>
          <w:p>
            <w:pPr>
              <w:jc w:val="center"/>
              <w:rPr>
                <w:sz w:val="18"/>
                <w:szCs w:val="18"/>
              </w:rPr>
            </w:pPr>
            <w:r>
              <w:rPr>
                <w:sz w:val="18"/>
                <w:szCs w:val="18"/>
              </w:rPr>
              <w:t>6</w:t>
            </w:r>
          </w:p>
        </w:tc>
        <w:tc>
          <w:tcPr>
            <w:tcW w:w="596" w:type="dxa"/>
            <w:vMerge w:val="continue"/>
            <w:shd w:val="clear" w:color="auto" w:fill="auto"/>
            <w:vAlign w:val="center"/>
          </w:tcPr>
          <w:p>
            <w:pPr>
              <w:jc w:val="center"/>
              <w:rPr>
                <w:sz w:val="18"/>
                <w:szCs w:val="18"/>
              </w:rPr>
            </w:pPr>
          </w:p>
        </w:tc>
        <w:tc>
          <w:tcPr>
            <w:tcW w:w="1892" w:type="dxa"/>
            <w:gridSpan w:val="2"/>
            <w:tcBorders>
              <w:top w:val="single" w:color="auto" w:sz="4" w:space="0"/>
            </w:tcBorders>
            <w:shd w:val="clear" w:color="auto" w:fill="auto"/>
            <w:vAlign w:val="center"/>
          </w:tcPr>
          <w:p>
            <w:pPr>
              <w:jc w:val="center"/>
              <w:rPr>
                <w:color w:val="000000"/>
                <w:sz w:val="18"/>
                <w:szCs w:val="18"/>
              </w:rPr>
            </w:pPr>
            <w:r>
              <w:rPr>
                <w:rFonts w:hint="eastAsia"/>
                <w:sz w:val="18"/>
                <w:szCs w:val="18"/>
              </w:rPr>
              <w:t>单位产品COD排放量</w:t>
            </w:r>
          </w:p>
        </w:tc>
        <w:tc>
          <w:tcPr>
            <w:tcW w:w="1195" w:type="dxa"/>
            <w:tcBorders>
              <w:top w:val="single" w:color="auto" w:sz="4" w:space="0"/>
            </w:tcBorders>
            <w:vAlign w:val="center"/>
          </w:tcPr>
          <w:p>
            <w:pPr>
              <w:jc w:val="center"/>
              <w:rPr>
                <w:sz w:val="18"/>
                <w:szCs w:val="18"/>
              </w:rPr>
            </w:pPr>
            <w:r>
              <w:rPr>
                <w:rFonts w:hint="eastAsia"/>
                <w:color w:val="000000"/>
                <w:sz w:val="18"/>
                <w:szCs w:val="18"/>
              </w:rPr>
              <w:t>g/</w:t>
            </w:r>
            <w:r>
              <w:rPr>
                <w:color w:val="000000"/>
                <w:sz w:val="18"/>
                <w:szCs w:val="18"/>
              </w:rPr>
              <w:t>t</w:t>
            </w:r>
          </w:p>
        </w:tc>
        <w:tc>
          <w:tcPr>
            <w:tcW w:w="3235" w:type="dxa"/>
            <w:tcBorders>
              <w:top w:val="single" w:color="auto" w:sz="4" w:space="0"/>
            </w:tcBorders>
            <w:shd w:val="clear" w:color="auto" w:fill="auto"/>
            <w:vAlign w:val="center"/>
          </w:tcPr>
          <w:p>
            <w:pPr>
              <w:jc w:val="center"/>
              <w:rPr>
                <w:sz w:val="18"/>
                <w:szCs w:val="18"/>
              </w:rPr>
            </w:pPr>
            <w:r>
              <w:rPr>
                <w:rFonts w:hint="eastAsia"/>
                <w:sz w:val="18"/>
                <w:szCs w:val="18"/>
              </w:rPr>
              <w:t>≤4</w:t>
            </w:r>
            <w:r>
              <w:rPr>
                <w:sz w:val="18"/>
                <w:szCs w:val="18"/>
              </w:rPr>
              <w:t>00</w:t>
            </w:r>
          </w:p>
        </w:tc>
        <w:tc>
          <w:tcPr>
            <w:tcW w:w="2187" w:type="dxa"/>
            <w:tcBorders>
              <w:top w:val="single" w:color="auto" w:sz="4" w:space="0"/>
            </w:tcBorders>
            <w:shd w:val="clear" w:color="auto" w:fill="auto"/>
          </w:tcPr>
          <w:p>
            <w:pPr>
              <w:jc w:val="center"/>
              <w:rPr>
                <w:sz w:val="18"/>
                <w:szCs w:val="18"/>
              </w:rPr>
            </w:pPr>
            <w:r>
              <w:rPr>
                <w:rFonts w:hint="eastAsia" w:ascii="宋体" w:hAnsi="宋体" w:cs="宋体"/>
                <w:color w:val="000000"/>
                <w:kern w:val="0"/>
                <w:sz w:val="18"/>
                <w:szCs w:val="18"/>
                <w:lang w:bidi="ar"/>
              </w:rPr>
              <w:t>现场</w:t>
            </w:r>
            <w:r>
              <w:rPr>
                <w:rFonts w:hint="eastAsia" w:ascii="宋体" w:hAnsi="宋体" w:cs="宋体"/>
                <w:color w:val="000000"/>
                <w:kern w:val="0"/>
                <w:sz w:val="18"/>
                <w:szCs w:val="18"/>
                <w:lang w:val="en-US" w:eastAsia="zh-CN" w:bidi="ar"/>
              </w:rPr>
              <w:t>检测</w:t>
            </w:r>
            <w:r>
              <w:rPr>
                <w:rFonts w:hint="eastAsia" w:ascii="宋体" w:hAnsi="宋体" w:cs="宋体"/>
                <w:color w:val="000000"/>
                <w:kern w:val="0"/>
                <w:sz w:val="18"/>
                <w:szCs w:val="18"/>
                <w:lang w:bidi="ar"/>
              </w:rPr>
              <w:t>或查看年度环境检测报告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bottom w:val="single" w:color="auto" w:sz="8" w:space="0"/>
            </w:tcBorders>
            <w:shd w:val="clear" w:color="auto" w:fill="auto"/>
            <w:vAlign w:val="center"/>
          </w:tcPr>
          <w:p>
            <w:pPr>
              <w:jc w:val="center"/>
              <w:rPr>
                <w:sz w:val="18"/>
                <w:szCs w:val="18"/>
              </w:rPr>
            </w:pPr>
            <w:r>
              <w:rPr>
                <w:sz w:val="18"/>
                <w:szCs w:val="18"/>
              </w:rPr>
              <w:t>7</w:t>
            </w:r>
          </w:p>
        </w:tc>
        <w:tc>
          <w:tcPr>
            <w:tcW w:w="596" w:type="dxa"/>
            <w:vMerge w:val="continue"/>
            <w:shd w:val="clear" w:color="auto" w:fill="auto"/>
            <w:vAlign w:val="center"/>
          </w:tcPr>
          <w:p>
            <w:pPr>
              <w:jc w:val="center"/>
              <w:rPr>
                <w:sz w:val="18"/>
                <w:szCs w:val="18"/>
              </w:rPr>
            </w:pPr>
          </w:p>
        </w:tc>
        <w:tc>
          <w:tcPr>
            <w:tcW w:w="1892" w:type="dxa"/>
            <w:gridSpan w:val="2"/>
            <w:shd w:val="clear" w:color="auto" w:fill="auto"/>
            <w:vAlign w:val="center"/>
          </w:tcPr>
          <w:p>
            <w:pPr>
              <w:jc w:val="center"/>
              <w:rPr>
                <w:sz w:val="18"/>
                <w:szCs w:val="18"/>
              </w:rPr>
            </w:pPr>
            <w:r>
              <w:rPr>
                <w:rFonts w:hint="eastAsia"/>
                <w:sz w:val="18"/>
                <w:szCs w:val="18"/>
              </w:rPr>
              <w:t>水重复利用率</w:t>
            </w:r>
          </w:p>
        </w:tc>
        <w:tc>
          <w:tcPr>
            <w:tcW w:w="1195" w:type="dxa"/>
            <w:vAlign w:val="center"/>
          </w:tcPr>
          <w:p>
            <w:pPr>
              <w:jc w:val="center"/>
              <w:rPr>
                <w:sz w:val="18"/>
                <w:szCs w:val="18"/>
              </w:rPr>
            </w:pPr>
            <w:r>
              <w:rPr>
                <w:color w:val="000000"/>
                <w:sz w:val="18"/>
                <w:szCs w:val="18"/>
              </w:rPr>
              <w:t>%</w:t>
            </w:r>
          </w:p>
        </w:tc>
        <w:tc>
          <w:tcPr>
            <w:tcW w:w="3235" w:type="dxa"/>
            <w:shd w:val="clear" w:color="auto" w:fill="auto"/>
            <w:vAlign w:val="center"/>
          </w:tcPr>
          <w:p>
            <w:pPr>
              <w:jc w:val="center"/>
              <w:rPr>
                <w:sz w:val="18"/>
                <w:szCs w:val="18"/>
              </w:rPr>
            </w:pPr>
            <w:r>
              <w:rPr>
                <w:rFonts w:hint="eastAsia"/>
                <w:sz w:val="18"/>
                <w:szCs w:val="18"/>
              </w:rPr>
              <w:t>≥6</w:t>
            </w:r>
            <w:r>
              <w:rPr>
                <w:sz w:val="18"/>
                <w:szCs w:val="18"/>
              </w:rPr>
              <w:t>0</w:t>
            </w:r>
          </w:p>
        </w:tc>
        <w:tc>
          <w:tcPr>
            <w:tcW w:w="2187" w:type="dxa"/>
            <w:shd w:val="clear" w:color="auto" w:fill="auto"/>
          </w:tcPr>
          <w:p>
            <w:pPr>
              <w:jc w:val="center"/>
              <w:rPr>
                <w:sz w:val="18"/>
                <w:szCs w:val="18"/>
              </w:rPr>
            </w:pPr>
            <w:r>
              <w:rPr>
                <w:rFonts w:hint="eastAsia" w:ascii="宋体" w:hAnsi="宋体" w:cs="宋体"/>
                <w:color w:val="000000"/>
                <w:kern w:val="0"/>
                <w:sz w:val="18"/>
                <w:szCs w:val="18"/>
                <w:lang w:bidi="ar"/>
              </w:rPr>
              <w:t>现场</w:t>
            </w:r>
            <w:r>
              <w:rPr>
                <w:rFonts w:hint="eastAsia" w:ascii="宋体" w:hAnsi="宋体" w:cs="宋体"/>
                <w:color w:val="000000"/>
                <w:kern w:val="0"/>
                <w:sz w:val="18"/>
                <w:szCs w:val="18"/>
                <w:lang w:val="en-US" w:eastAsia="zh-CN" w:bidi="ar"/>
              </w:rPr>
              <w:t>检测</w:t>
            </w:r>
            <w:r>
              <w:rPr>
                <w:rFonts w:hint="eastAsia" w:ascii="宋体" w:hAnsi="宋体" w:cs="宋体"/>
                <w:color w:val="000000"/>
                <w:kern w:val="0"/>
                <w:sz w:val="18"/>
                <w:szCs w:val="18"/>
                <w:lang w:bidi="ar"/>
              </w:rPr>
              <w:t>或查看年度环境检测报告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bottom w:val="single" w:color="auto" w:sz="8" w:space="0"/>
            </w:tcBorders>
            <w:shd w:val="clear" w:color="auto" w:fill="auto"/>
            <w:vAlign w:val="center"/>
          </w:tcPr>
          <w:p>
            <w:pPr>
              <w:jc w:val="center"/>
              <w:rPr>
                <w:sz w:val="18"/>
                <w:szCs w:val="18"/>
              </w:rPr>
            </w:pPr>
            <w:r>
              <w:rPr>
                <w:sz w:val="18"/>
                <w:szCs w:val="18"/>
              </w:rPr>
              <w:t>8</w:t>
            </w:r>
          </w:p>
        </w:tc>
        <w:tc>
          <w:tcPr>
            <w:tcW w:w="596" w:type="dxa"/>
            <w:vMerge w:val="continue"/>
            <w:shd w:val="clear" w:color="auto" w:fill="auto"/>
            <w:vAlign w:val="center"/>
          </w:tcPr>
          <w:p>
            <w:pPr>
              <w:jc w:val="center"/>
              <w:rPr>
                <w:sz w:val="18"/>
                <w:szCs w:val="18"/>
              </w:rPr>
            </w:pPr>
          </w:p>
        </w:tc>
        <w:tc>
          <w:tcPr>
            <w:tcW w:w="1892" w:type="dxa"/>
            <w:gridSpan w:val="2"/>
            <w:shd w:val="clear" w:color="auto" w:fill="auto"/>
            <w:vAlign w:val="center"/>
          </w:tcPr>
          <w:p>
            <w:pPr>
              <w:jc w:val="center"/>
              <w:rPr>
                <w:color w:val="000000"/>
                <w:sz w:val="18"/>
                <w:szCs w:val="18"/>
              </w:rPr>
            </w:pPr>
            <w:r>
              <w:rPr>
                <w:rFonts w:hint="eastAsia"/>
                <w:sz w:val="18"/>
                <w:szCs w:val="18"/>
              </w:rPr>
              <w:t>单位产品阴离子表面活性剂排放量</w:t>
            </w:r>
          </w:p>
        </w:tc>
        <w:tc>
          <w:tcPr>
            <w:tcW w:w="1195" w:type="dxa"/>
            <w:vAlign w:val="center"/>
          </w:tcPr>
          <w:p>
            <w:pPr>
              <w:jc w:val="center"/>
              <w:rPr>
                <w:color w:val="000000"/>
                <w:sz w:val="18"/>
                <w:szCs w:val="18"/>
              </w:rPr>
            </w:pPr>
            <w:r>
              <w:rPr>
                <w:rFonts w:hint="eastAsia"/>
                <w:color w:val="000000"/>
                <w:sz w:val="18"/>
                <w:szCs w:val="18"/>
              </w:rPr>
              <w:t>g/</w:t>
            </w:r>
            <w:r>
              <w:rPr>
                <w:color w:val="000000"/>
                <w:sz w:val="18"/>
                <w:szCs w:val="18"/>
              </w:rPr>
              <w:t>t</w:t>
            </w:r>
          </w:p>
        </w:tc>
        <w:tc>
          <w:tcPr>
            <w:tcW w:w="3235" w:type="dxa"/>
            <w:shd w:val="clear" w:color="auto" w:fill="auto"/>
            <w:vAlign w:val="center"/>
          </w:tcPr>
          <w:p>
            <w:pPr>
              <w:jc w:val="center"/>
              <w:rPr>
                <w:sz w:val="18"/>
                <w:szCs w:val="18"/>
              </w:rPr>
            </w:pPr>
            <w:r>
              <w:rPr>
                <w:rFonts w:hint="eastAsia"/>
                <w:sz w:val="18"/>
                <w:szCs w:val="18"/>
              </w:rPr>
              <w:t>≤4</w:t>
            </w:r>
            <w:r>
              <w:rPr>
                <w:sz w:val="18"/>
                <w:szCs w:val="18"/>
              </w:rPr>
              <w:t>.5</w:t>
            </w:r>
          </w:p>
        </w:tc>
        <w:tc>
          <w:tcPr>
            <w:tcW w:w="2187" w:type="dxa"/>
            <w:shd w:val="clear" w:color="auto" w:fill="auto"/>
          </w:tcPr>
          <w:p>
            <w:pPr>
              <w:jc w:val="center"/>
              <w:rPr>
                <w:sz w:val="18"/>
                <w:szCs w:val="18"/>
              </w:rPr>
            </w:pPr>
            <w:r>
              <w:rPr>
                <w:rFonts w:hint="eastAsia" w:ascii="宋体" w:hAnsi="宋体" w:cs="宋体"/>
                <w:color w:val="000000"/>
                <w:kern w:val="0"/>
                <w:sz w:val="18"/>
                <w:szCs w:val="18"/>
                <w:lang w:bidi="ar"/>
              </w:rPr>
              <w:t>现场</w:t>
            </w:r>
            <w:r>
              <w:rPr>
                <w:rFonts w:hint="eastAsia" w:ascii="宋体" w:hAnsi="宋体" w:cs="宋体"/>
                <w:color w:val="000000"/>
                <w:kern w:val="0"/>
                <w:sz w:val="18"/>
                <w:szCs w:val="18"/>
                <w:lang w:val="en-US" w:eastAsia="zh-CN" w:bidi="ar"/>
              </w:rPr>
              <w:t>检测</w:t>
            </w:r>
            <w:r>
              <w:rPr>
                <w:rFonts w:hint="eastAsia" w:ascii="宋体" w:hAnsi="宋体" w:cs="宋体"/>
                <w:color w:val="000000"/>
                <w:kern w:val="0"/>
                <w:sz w:val="18"/>
                <w:szCs w:val="18"/>
                <w:lang w:bidi="ar"/>
              </w:rPr>
              <w:t>或查看年度环境检测报告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bottom w:val="single" w:color="auto" w:sz="8" w:space="0"/>
            </w:tcBorders>
            <w:shd w:val="clear" w:color="auto" w:fill="auto"/>
            <w:vAlign w:val="center"/>
          </w:tcPr>
          <w:p>
            <w:pPr>
              <w:jc w:val="center"/>
              <w:rPr>
                <w:sz w:val="18"/>
                <w:szCs w:val="18"/>
              </w:rPr>
            </w:pPr>
            <w:r>
              <w:rPr>
                <w:sz w:val="18"/>
                <w:szCs w:val="18"/>
              </w:rPr>
              <w:t>9</w:t>
            </w:r>
          </w:p>
        </w:tc>
        <w:tc>
          <w:tcPr>
            <w:tcW w:w="596" w:type="dxa"/>
            <w:vMerge w:val="restart"/>
            <w:shd w:val="clear" w:color="auto" w:fill="auto"/>
            <w:vAlign w:val="center"/>
          </w:tcPr>
          <w:p>
            <w:pPr>
              <w:jc w:val="center"/>
              <w:rPr>
                <w:b/>
                <w:bCs/>
                <w:sz w:val="18"/>
                <w:szCs w:val="18"/>
              </w:rPr>
            </w:pPr>
            <w:r>
              <w:rPr>
                <w:rFonts w:hint="eastAsia"/>
                <w:b/>
                <w:bCs/>
                <w:sz w:val="18"/>
                <w:szCs w:val="18"/>
              </w:rPr>
              <w:t>生态协同</w:t>
            </w:r>
          </w:p>
        </w:tc>
        <w:tc>
          <w:tcPr>
            <w:tcW w:w="1892" w:type="dxa"/>
            <w:gridSpan w:val="2"/>
            <w:tcBorders>
              <w:bottom w:val="single" w:color="auto" w:sz="8" w:space="0"/>
            </w:tcBorders>
            <w:shd w:val="clear" w:color="auto" w:fill="auto"/>
            <w:vAlign w:val="center"/>
          </w:tcPr>
          <w:p>
            <w:pPr>
              <w:jc w:val="center"/>
              <w:rPr>
                <w:sz w:val="18"/>
                <w:szCs w:val="18"/>
              </w:rPr>
            </w:pPr>
            <w:r>
              <w:rPr>
                <w:rFonts w:hint="eastAsia"/>
                <w:sz w:val="18"/>
                <w:szCs w:val="18"/>
              </w:rPr>
              <w:t>生态设计</w:t>
            </w:r>
          </w:p>
        </w:tc>
        <w:tc>
          <w:tcPr>
            <w:tcW w:w="1195" w:type="dxa"/>
            <w:tcBorders>
              <w:bottom w:val="single" w:color="auto" w:sz="8"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3235" w:type="dxa"/>
            <w:tcBorders>
              <w:top w:val="single" w:color="auto" w:sz="4" w:space="0"/>
              <w:bottom w:val="single" w:color="auto" w:sz="8" w:space="0"/>
            </w:tcBorders>
            <w:shd w:val="clear" w:color="auto" w:fill="auto"/>
            <w:vAlign w:val="center"/>
          </w:tcPr>
          <w:p>
            <w:pPr>
              <w:jc w:val="center"/>
              <w:rPr>
                <w:color w:val="000000"/>
                <w:sz w:val="18"/>
                <w:szCs w:val="18"/>
                <w:lang w:bidi="ar"/>
              </w:rPr>
            </w:pPr>
            <w:r>
              <w:rPr>
                <w:rFonts w:hint="eastAsia" w:ascii="宋体" w:hAnsi="宋体" w:cs="宋体"/>
                <w:color w:val="000000"/>
                <w:kern w:val="0"/>
                <w:sz w:val="18"/>
                <w:szCs w:val="18"/>
                <w:lang w:bidi="ar"/>
              </w:rPr>
              <w:t>要求设计生产工艺路线时，应以生态环境的负面影响最小作为基本原则，应符合GB/T 24256 要求</w:t>
            </w:r>
          </w:p>
        </w:tc>
        <w:tc>
          <w:tcPr>
            <w:tcW w:w="2187" w:type="dxa"/>
            <w:tcBorders>
              <w:top w:val="single" w:color="auto" w:sz="4" w:space="0"/>
            </w:tcBorders>
            <w:shd w:val="clear" w:color="auto" w:fill="auto"/>
            <w:vAlign w:val="center"/>
          </w:tcPr>
          <w:p>
            <w:pPr>
              <w:jc w:val="center"/>
              <w:rPr>
                <w:color w:val="000000"/>
                <w:sz w:val="18"/>
                <w:szCs w:val="18"/>
                <w:lang w:bidi="ar"/>
              </w:rPr>
            </w:pPr>
            <w:r>
              <w:rPr>
                <w:rFonts w:hint="eastAsia" w:ascii="宋体" w:hAnsi="宋体" w:cs="宋体"/>
                <w:color w:val="000000"/>
                <w:kern w:val="0"/>
                <w:sz w:val="18"/>
                <w:szCs w:val="18"/>
                <w:lang w:bidi="ar"/>
              </w:rPr>
              <w:t>查看生产工艺路线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bottom w:val="single" w:color="auto" w:sz="8" w:space="0"/>
            </w:tcBorders>
            <w:shd w:val="clear" w:color="auto" w:fill="auto"/>
            <w:vAlign w:val="center"/>
          </w:tcPr>
          <w:p>
            <w:pPr>
              <w:jc w:val="center"/>
              <w:rPr>
                <w:sz w:val="18"/>
                <w:szCs w:val="18"/>
              </w:rPr>
            </w:pPr>
            <w:r>
              <w:rPr>
                <w:rFonts w:hint="eastAsia"/>
                <w:sz w:val="18"/>
                <w:szCs w:val="18"/>
              </w:rPr>
              <w:t>1</w:t>
            </w:r>
            <w:r>
              <w:rPr>
                <w:sz w:val="18"/>
                <w:szCs w:val="18"/>
              </w:rPr>
              <w:t>0</w:t>
            </w:r>
          </w:p>
        </w:tc>
        <w:tc>
          <w:tcPr>
            <w:tcW w:w="596" w:type="dxa"/>
            <w:vMerge w:val="continue"/>
            <w:shd w:val="clear" w:color="auto" w:fill="auto"/>
            <w:vAlign w:val="center"/>
          </w:tcPr>
          <w:p>
            <w:pPr>
              <w:jc w:val="center"/>
              <w:rPr>
                <w:sz w:val="18"/>
                <w:szCs w:val="18"/>
              </w:rPr>
            </w:pPr>
          </w:p>
        </w:tc>
        <w:tc>
          <w:tcPr>
            <w:tcW w:w="1892" w:type="dxa"/>
            <w:gridSpan w:val="2"/>
            <w:tcBorders>
              <w:bottom w:val="single" w:color="auto" w:sz="8" w:space="0"/>
            </w:tcBorders>
            <w:shd w:val="clear" w:color="auto" w:fill="auto"/>
            <w:vAlign w:val="center"/>
          </w:tcPr>
          <w:p>
            <w:pPr>
              <w:jc w:val="center"/>
              <w:rPr>
                <w:sz w:val="18"/>
                <w:szCs w:val="18"/>
              </w:rPr>
            </w:pPr>
            <w:r>
              <w:rPr>
                <w:rFonts w:hint="eastAsia"/>
                <w:sz w:val="18"/>
                <w:szCs w:val="18"/>
              </w:rPr>
              <w:t>绿色供应链管理</w:t>
            </w:r>
          </w:p>
        </w:tc>
        <w:tc>
          <w:tcPr>
            <w:tcW w:w="1195" w:type="dxa"/>
            <w:tcBorders>
              <w:bottom w:val="single" w:color="auto" w:sz="8"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3235" w:type="dxa"/>
            <w:tcBorders>
              <w:top w:val="single" w:color="auto" w:sz="4" w:space="0"/>
              <w:bottom w:val="single" w:color="auto" w:sz="8" w:space="0"/>
            </w:tcBorders>
            <w:shd w:val="clear" w:color="auto" w:fill="auto"/>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生产企业应按照 GB/T 33635 的要求，建立绿色供应链管理体系制度，并有效运行</w:t>
            </w:r>
          </w:p>
        </w:tc>
        <w:tc>
          <w:tcPr>
            <w:tcW w:w="2187" w:type="dxa"/>
            <w:tcBorders>
              <w:top w:val="single" w:color="auto" w:sz="4" w:space="0"/>
            </w:tcBorders>
            <w:shd w:val="clear" w:color="auto" w:fill="auto"/>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查看制度、记录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bottom w:val="single" w:color="auto" w:sz="8" w:space="0"/>
            </w:tcBorders>
            <w:shd w:val="clear" w:color="auto" w:fill="auto"/>
            <w:vAlign w:val="center"/>
          </w:tcPr>
          <w:p>
            <w:pPr>
              <w:jc w:val="center"/>
              <w:rPr>
                <w:sz w:val="18"/>
                <w:szCs w:val="18"/>
              </w:rPr>
            </w:pPr>
            <w:r>
              <w:rPr>
                <w:rFonts w:hint="eastAsia"/>
                <w:sz w:val="18"/>
                <w:szCs w:val="18"/>
              </w:rPr>
              <w:t>1</w:t>
            </w:r>
            <w:r>
              <w:rPr>
                <w:sz w:val="18"/>
                <w:szCs w:val="18"/>
              </w:rPr>
              <w:t>1</w:t>
            </w:r>
          </w:p>
        </w:tc>
        <w:tc>
          <w:tcPr>
            <w:tcW w:w="596" w:type="dxa"/>
            <w:vMerge w:val="continue"/>
            <w:shd w:val="clear" w:color="auto" w:fill="auto"/>
            <w:vAlign w:val="center"/>
          </w:tcPr>
          <w:p>
            <w:pPr>
              <w:jc w:val="center"/>
              <w:rPr>
                <w:sz w:val="18"/>
                <w:szCs w:val="18"/>
              </w:rPr>
            </w:pPr>
          </w:p>
        </w:tc>
        <w:tc>
          <w:tcPr>
            <w:tcW w:w="1892" w:type="dxa"/>
            <w:gridSpan w:val="2"/>
            <w:tcBorders>
              <w:bottom w:val="single" w:color="auto" w:sz="8" w:space="0"/>
            </w:tcBorders>
            <w:shd w:val="clear" w:color="auto" w:fill="auto"/>
            <w:vAlign w:val="center"/>
          </w:tcPr>
          <w:p>
            <w:pPr>
              <w:jc w:val="center"/>
              <w:rPr>
                <w:sz w:val="18"/>
                <w:szCs w:val="18"/>
              </w:rPr>
            </w:pPr>
            <w:r>
              <w:rPr>
                <w:rFonts w:hint="eastAsia"/>
                <w:sz w:val="18"/>
                <w:szCs w:val="18"/>
              </w:rPr>
              <w:t>单位产品碳排放量</w:t>
            </w:r>
          </w:p>
        </w:tc>
        <w:tc>
          <w:tcPr>
            <w:tcW w:w="1195" w:type="dxa"/>
            <w:tcBorders>
              <w:bottom w:val="single" w:color="auto" w:sz="8" w:space="0"/>
            </w:tcBorders>
            <w:vAlign w:val="center"/>
          </w:tcPr>
          <w:p>
            <w:pPr>
              <w:jc w:val="center"/>
              <w:rPr>
                <w:rFonts w:ascii="宋体" w:hAnsi="宋体" w:cs="宋体"/>
                <w:color w:val="000000"/>
                <w:kern w:val="0"/>
                <w:sz w:val="18"/>
                <w:szCs w:val="18"/>
                <w:lang w:bidi="ar"/>
              </w:rPr>
            </w:pPr>
            <w:r>
              <w:rPr>
                <w:rFonts w:hint="eastAsia"/>
                <w:color w:val="000000"/>
                <w:sz w:val="18"/>
                <w:szCs w:val="18"/>
              </w:rPr>
              <w:t>k</w:t>
            </w:r>
            <w:r>
              <w:rPr>
                <w:color w:val="000000"/>
                <w:sz w:val="18"/>
                <w:szCs w:val="18"/>
              </w:rPr>
              <w:t>gCO2</w:t>
            </w:r>
            <w:r>
              <w:rPr>
                <w:rFonts w:hint="eastAsia"/>
                <w:color w:val="000000"/>
                <w:sz w:val="18"/>
                <w:szCs w:val="18"/>
              </w:rPr>
              <w:t>/</w:t>
            </w:r>
            <w:r>
              <w:rPr>
                <w:color w:val="000000"/>
                <w:sz w:val="18"/>
                <w:szCs w:val="18"/>
              </w:rPr>
              <w:t>t</w:t>
            </w:r>
          </w:p>
        </w:tc>
        <w:tc>
          <w:tcPr>
            <w:tcW w:w="3235" w:type="dxa"/>
            <w:tcBorders>
              <w:top w:val="single" w:color="auto" w:sz="4" w:space="0"/>
              <w:bottom w:val="single" w:color="auto" w:sz="8" w:space="0"/>
            </w:tcBorders>
            <w:shd w:val="clear" w:color="auto" w:fill="auto"/>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r>
              <w:rPr>
                <w:rFonts w:ascii="宋体" w:hAnsi="宋体" w:cs="宋体"/>
                <w:color w:val="000000"/>
                <w:kern w:val="0"/>
                <w:sz w:val="18"/>
                <w:szCs w:val="18"/>
                <w:lang w:bidi="ar"/>
              </w:rPr>
              <w:t>5</w:t>
            </w:r>
          </w:p>
        </w:tc>
        <w:tc>
          <w:tcPr>
            <w:tcW w:w="2187" w:type="dxa"/>
            <w:tcBorders>
              <w:top w:val="single" w:color="auto" w:sz="4" w:space="0"/>
            </w:tcBorders>
            <w:shd w:val="clear" w:color="auto" w:fill="auto"/>
            <w:vAlign w:val="center"/>
          </w:tcPr>
          <w:p>
            <w:pPr>
              <w:jc w:val="center"/>
              <w:rPr>
                <w:rFonts w:hint="eastAsia"/>
                <w:sz w:val="18"/>
                <w:szCs w:val="18"/>
              </w:rPr>
            </w:pPr>
            <w:r>
              <w:rPr>
                <w:rFonts w:hint="eastAsia"/>
                <w:sz w:val="18"/>
                <w:szCs w:val="18"/>
              </w:rPr>
              <w:t>现场</w:t>
            </w:r>
            <w:r>
              <w:rPr>
                <w:rFonts w:hint="eastAsia"/>
                <w:sz w:val="18"/>
                <w:szCs w:val="18"/>
                <w:lang w:val="en-US" w:eastAsia="zh-CN"/>
              </w:rPr>
              <w:t>数据</w:t>
            </w:r>
            <w:r>
              <w:rPr>
                <w:rFonts w:hint="eastAsia"/>
                <w:sz w:val="18"/>
                <w:szCs w:val="18"/>
              </w:rPr>
              <w:t>或第三方评价报告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bottom w:val="single" w:color="auto" w:sz="8" w:space="0"/>
            </w:tcBorders>
            <w:shd w:val="clear" w:color="auto" w:fill="auto"/>
            <w:vAlign w:val="center"/>
          </w:tcPr>
          <w:p>
            <w:pPr>
              <w:jc w:val="center"/>
              <w:rPr>
                <w:sz w:val="18"/>
                <w:szCs w:val="18"/>
              </w:rPr>
            </w:pPr>
            <w:r>
              <w:rPr>
                <w:rFonts w:hint="eastAsia"/>
                <w:sz w:val="18"/>
                <w:szCs w:val="18"/>
              </w:rPr>
              <w:t>1</w:t>
            </w:r>
            <w:r>
              <w:rPr>
                <w:sz w:val="18"/>
                <w:szCs w:val="18"/>
              </w:rPr>
              <w:t>2</w:t>
            </w:r>
          </w:p>
        </w:tc>
        <w:tc>
          <w:tcPr>
            <w:tcW w:w="596" w:type="dxa"/>
            <w:vMerge w:val="continue"/>
            <w:tcBorders>
              <w:bottom w:val="single" w:color="auto" w:sz="8" w:space="0"/>
            </w:tcBorders>
            <w:shd w:val="clear" w:color="auto" w:fill="auto"/>
            <w:vAlign w:val="center"/>
          </w:tcPr>
          <w:p>
            <w:pPr>
              <w:jc w:val="center"/>
              <w:rPr>
                <w:sz w:val="18"/>
                <w:szCs w:val="18"/>
              </w:rPr>
            </w:pPr>
          </w:p>
        </w:tc>
        <w:tc>
          <w:tcPr>
            <w:tcW w:w="1892" w:type="dxa"/>
            <w:gridSpan w:val="2"/>
            <w:tcBorders>
              <w:bottom w:val="single" w:color="auto" w:sz="8" w:space="0"/>
            </w:tcBorders>
            <w:shd w:val="clear" w:color="auto" w:fill="auto"/>
            <w:vAlign w:val="center"/>
          </w:tcPr>
          <w:p>
            <w:pPr>
              <w:jc w:val="center"/>
              <w:rPr>
                <w:sz w:val="18"/>
                <w:szCs w:val="18"/>
              </w:rPr>
            </w:pPr>
            <w:r>
              <w:rPr>
                <w:rFonts w:hint="eastAsia"/>
                <w:sz w:val="18"/>
                <w:szCs w:val="18"/>
              </w:rPr>
              <w:t>碳排放强度</w:t>
            </w:r>
          </w:p>
        </w:tc>
        <w:tc>
          <w:tcPr>
            <w:tcW w:w="1195" w:type="dxa"/>
            <w:tcBorders>
              <w:bottom w:val="single" w:color="auto" w:sz="8" w:space="0"/>
            </w:tcBorders>
            <w:vAlign w:val="center"/>
          </w:tcPr>
          <w:p>
            <w:pPr>
              <w:jc w:val="center"/>
              <w:rPr>
                <w:color w:val="000000"/>
                <w:sz w:val="18"/>
                <w:szCs w:val="18"/>
              </w:rPr>
            </w:pPr>
            <w:r>
              <w:rPr>
                <w:rFonts w:hint="eastAsia"/>
                <w:color w:val="000000"/>
                <w:sz w:val="18"/>
                <w:szCs w:val="18"/>
              </w:rPr>
              <w:t>k</w:t>
            </w:r>
            <w:r>
              <w:rPr>
                <w:color w:val="000000"/>
                <w:sz w:val="18"/>
                <w:szCs w:val="18"/>
              </w:rPr>
              <w:t>gCO2</w:t>
            </w:r>
            <w:r>
              <w:rPr>
                <w:rFonts w:hint="eastAsia"/>
                <w:color w:val="000000"/>
                <w:sz w:val="18"/>
                <w:szCs w:val="18"/>
              </w:rPr>
              <w:t>/万元</w:t>
            </w:r>
          </w:p>
        </w:tc>
        <w:tc>
          <w:tcPr>
            <w:tcW w:w="3235" w:type="dxa"/>
            <w:tcBorders>
              <w:top w:val="single" w:color="auto" w:sz="4" w:space="0"/>
              <w:bottom w:val="single" w:color="auto" w:sz="8" w:space="0"/>
            </w:tcBorders>
            <w:shd w:val="clear" w:color="auto" w:fill="auto"/>
            <w:vAlign w:val="center"/>
          </w:tcPr>
          <w:p>
            <w:pPr>
              <w:jc w:val="center"/>
              <w:rPr>
                <w:color w:val="000000"/>
                <w:sz w:val="18"/>
                <w:szCs w:val="18"/>
                <w:lang w:bidi="ar"/>
              </w:rPr>
            </w:pPr>
            <w:r>
              <w:rPr>
                <w:rFonts w:hint="eastAsia"/>
                <w:color w:val="000000"/>
                <w:sz w:val="18"/>
                <w:szCs w:val="18"/>
                <w:lang w:bidi="ar"/>
              </w:rPr>
              <w:t>1</w:t>
            </w:r>
            <w:r>
              <w:rPr>
                <w:color w:val="000000"/>
                <w:sz w:val="18"/>
                <w:szCs w:val="18"/>
                <w:lang w:bidi="ar"/>
              </w:rPr>
              <w:t>00</w:t>
            </w:r>
          </w:p>
        </w:tc>
        <w:tc>
          <w:tcPr>
            <w:tcW w:w="2187" w:type="dxa"/>
            <w:tcBorders>
              <w:bottom w:val="single" w:color="auto" w:sz="8" w:space="0"/>
            </w:tcBorders>
            <w:shd w:val="clear" w:color="auto" w:fill="auto"/>
            <w:vAlign w:val="center"/>
          </w:tcPr>
          <w:p>
            <w:pPr>
              <w:jc w:val="center"/>
              <w:rPr>
                <w:sz w:val="18"/>
                <w:szCs w:val="18"/>
              </w:rPr>
            </w:pPr>
            <w:r>
              <w:rPr>
                <w:rFonts w:hint="eastAsia"/>
                <w:sz w:val="18"/>
                <w:szCs w:val="18"/>
              </w:rPr>
              <w:t>现场</w:t>
            </w:r>
            <w:r>
              <w:rPr>
                <w:rFonts w:hint="eastAsia"/>
                <w:sz w:val="18"/>
                <w:szCs w:val="18"/>
                <w:lang w:val="en-US" w:eastAsia="zh-CN"/>
              </w:rPr>
              <w:t>数据</w:t>
            </w:r>
            <w:r>
              <w:rPr>
                <w:rFonts w:hint="eastAsia"/>
                <w:sz w:val="18"/>
                <w:szCs w:val="18"/>
              </w:rPr>
              <w:t>或第三方评价报告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tcBorders>
              <w:top w:val="single" w:color="auto" w:sz="4" w:space="0"/>
              <w:bottom w:val="single" w:color="auto" w:sz="8" w:space="0"/>
            </w:tcBorders>
            <w:shd w:val="clear" w:color="auto" w:fill="auto"/>
            <w:vAlign w:val="center"/>
          </w:tcPr>
          <w:p>
            <w:pPr>
              <w:jc w:val="center"/>
              <w:rPr>
                <w:sz w:val="18"/>
                <w:szCs w:val="18"/>
              </w:rPr>
            </w:pPr>
            <w:r>
              <w:rPr>
                <w:sz w:val="18"/>
                <w:szCs w:val="18"/>
              </w:rPr>
              <w:t>13</w:t>
            </w:r>
          </w:p>
        </w:tc>
        <w:tc>
          <w:tcPr>
            <w:tcW w:w="596" w:type="dxa"/>
            <w:vMerge w:val="restart"/>
            <w:shd w:val="clear" w:color="auto" w:fill="auto"/>
            <w:vAlign w:val="center"/>
          </w:tcPr>
          <w:p>
            <w:pPr>
              <w:jc w:val="center"/>
              <w:rPr>
                <w:b/>
                <w:bCs/>
                <w:sz w:val="18"/>
                <w:szCs w:val="18"/>
              </w:rPr>
            </w:pPr>
            <w:r>
              <w:rPr>
                <w:rFonts w:hint="eastAsia"/>
                <w:b/>
                <w:bCs/>
                <w:sz w:val="18"/>
                <w:szCs w:val="18"/>
              </w:rPr>
              <w:t>质量引领</w:t>
            </w:r>
          </w:p>
        </w:tc>
        <w:tc>
          <w:tcPr>
            <w:tcW w:w="953" w:type="dxa"/>
            <w:vMerge w:val="restart"/>
            <w:shd w:val="clear" w:color="auto" w:fill="auto"/>
            <w:vAlign w:val="center"/>
          </w:tcPr>
          <w:p>
            <w:pPr>
              <w:jc w:val="center"/>
              <w:rPr>
                <w:sz w:val="18"/>
                <w:szCs w:val="18"/>
              </w:rPr>
            </w:pPr>
            <w:r>
              <w:rPr>
                <w:rFonts w:hint="eastAsia"/>
                <w:sz w:val="18"/>
                <w:szCs w:val="18"/>
              </w:rPr>
              <w:t>理化指标</w:t>
            </w:r>
          </w:p>
        </w:tc>
        <w:tc>
          <w:tcPr>
            <w:tcW w:w="939" w:type="dxa"/>
            <w:tcBorders>
              <w:bottom w:val="single" w:color="auto" w:sz="8" w:space="0"/>
            </w:tcBorders>
            <w:shd w:val="clear" w:color="auto" w:fill="auto"/>
            <w:vAlign w:val="center"/>
          </w:tcPr>
          <w:p>
            <w:pPr>
              <w:jc w:val="center"/>
              <w:rPr>
                <w:sz w:val="18"/>
                <w:szCs w:val="18"/>
              </w:rPr>
            </w:pPr>
            <w:r>
              <w:rPr>
                <w:rFonts w:hint="eastAsia"/>
                <w:sz w:val="18"/>
                <w:szCs w:val="18"/>
              </w:rPr>
              <w:t>甲醛</w:t>
            </w:r>
          </w:p>
        </w:tc>
        <w:tc>
          <w:tcPr>
            <w:tcW w:w="1195" w:type="dxa"/>
            <w:tcBorders>
              <w:bottom w:val="single" w:color="auto" w:sz="8" w:space="0"/>
            </w:tcBorders>
            <w:vAlign w:val="center"/>
          </w:tcPr>
          <w:p>
            <w:pPr>
              <w:jc w:val="center"/>
              <w:rPr>
                <w:sz w:val="18"/>
                <w:szCs w:val="18"/>
              </w:rPr>
            </w:pPr>
            <w:r>
              <w:rPr>
                <w:rFonts w:hint="eastAsia"/>
                <w:sz w:val="18"/>
                <w:szCs w:val="18"/>
              </w:rPr>
              <w:t>mg/kg</w:t>
            </w:r>
          </w:p>
        </w:tc>
        <w:tc>
          <w:tcPr>
            <w:tcW w:w="3235" w:type="dxa"/>
            <w:tcBorders>
              <w:top w:val="single" w:color="auto" w:sz="4" w:space="0"/>
              <w:bottom w:val="single" w:color="auto" w:sz="8" w:space="0"/>
            </w:tcBorders>
            <w:shd w:val="clear" w:color="auto" w:fill="auto"/>
            <w:vAlign w:val="center"/>
          </w:tcPr>
          <w:p>
            <w:pPr>
              <w:jc w:val="center"/>
              <w:rPr>
                <w:rFonts w:hint="default" w:eastAsia="宋体"/>
                <w:sz w:val="18"/>
                <w:szCs w:val="18"/>
                <w:lang w:val="en-US" w:eastAsia="zh-CN"/>
              </w:rPr>
            </w:pPr>
            <w:r>
              <w:rPr>
                <w:rFonts w:hint="eastAsia"/>
                <w:sz w:val="18"/>
                <w:szCs w:val="18"/>
              </w:rPr>
              <w:t>≤</w:t>
            </w:r>
            <w:r>
              <w:rPr>
                <w:rFonts w:hint="eastAsia"/>
                <w:sz w:val="18"/>
                <w:szCs w:val="18"/>
                <w:lang w:val="en-US" w:eastAsia="zh-CN"/>
              </w:rPr>
              <w:t>60</w:t>
            </w:r>
          </w:p>
        </w:tc>
        <w:tc>
          <w:tcPr>
            <w:tcW w:w="2187" w:type="dxa"/>
            <w:vMerge w:val="restart"/>
            <w:tcBorders>
              <w:top w:val="single" w:color="auto" w:sz="4" w:space="0"/>
            </w:tcBorders>
            <w:shd w:val="clear" w:color="auto" w:fill="auto"/>
            <w:vAlign w:val="center"/>
          </w:tcPr>
          <w:p>
            <w:pPr>
              <w:jc w:val="center"/>
              <w:rPr>
                <w:color w:val="000000"/>
                <w:sz w:val="18"/>
                <w:szCs w:val="18"/>
                <w:lang w:bidi="ar"/>
              </w:rPr>
            </w:pPr>
            <w:r>
              <w:rPr>
                <w:rFonts w:hint="eastAsia" w:ascii="宋体" w:hAnsi="宋体" w:cs="宋体"/>
                <w:color w:val="000000"/>
                <w:kern w:val="0"/>
                <w:sz w:val="18"/>
                <w:szCs w:val="18"/>
                <w:lang w:bidi="ar"/>
              </w:rPr>
              <w:t>按GB/T</w:t>
            </w:r>
            <w:r>
              <w:rPr>
                <w:rFonts w:hint="eastAsia" w:ascii="宋体" w:hAnsi="宋体" w:cs="宋体"/>
                <w:color w:val="000000"/>
                <w:kern w:val="0"/>
                <w:sz w:val="18"/>
                <w:szCs w:val="18"/>
                <w:lang w:val="en-US" w:eastAsia="zh-CN" w:bidi="ar"/>
              </w:rPr>
              <w:t xml:space="preserve"> </w:t>
            </w:r>
            <w:r>
              <w:rPr>
                <w:rFonts w:hint="eastAsia" w:ascii="宋体" w:hAnsi="宋体" w:cs="宋体"/>
                <w:color w:val="000000"/>
                <w:kern w:val="0"/>
                <w:sz w:val="18"/>
                <w:szCs w:val="18"/>
                <w:lang w:bidi="ar"/>
              </w:rPr>
              <w:t>34857</w:t>
            </w:r>
            <w:r>
              <w:rPr>
                <w:rFonts w:hint="eastAsia" w:ascii="宋体" w:hAnsi="宋体" w:cs="宋体"/>
                <w:color w:val="000000"/>
                <w:kern w:val="0"/>
                <w:sz w:val="18"/>
                <w:szCs w:val="18"/>
                <w:lang w:val="en-US" w:eastAsia="zh-CN" w:bidi="ar"/>
              </w:rPr>
              <w:t>规定的方法进行检测</w:t>
            </w:r>
            <w:r>
              <w:rPr>
                <w:rFonts w:hint="eastAsia" w:ascii="宋体" w:hAnsi="宋体" w:cs="宋体"/>
                <w:color w:val="000000"/>
                <w:kern w:val="0"/>
                <w:sz w:val="18"/>
                <w:szCs w:val="18"/>
                <w:lang w:bidi="ar"/>
              </w:rPr>
              <w:t>，</w:t>
            </w:r>
            <w:r>
              <w:rPr>
                <w:rFonts w:hint="eastAsia" w:cs="宋体"/>
                <w:color w:val="000000"/>
                <w:kern w:val="0"/>
                <w:sz w:val="18"/>
                <w:szCs w:val="18"/>
                <w:lang w:bidi="ar"/>
              </w:rPr>
              <w:t>查看第三方检测报告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tcBorders>
              <w:top w:val="single" w:color="auto" w:sz="4" w:space="0"/>
              <w:bottom w:val="single" w:color="auto" w:sz="8" w:space="0"/>
            </w:tcBorders>
            <w:shd w:val="clear" w:color="auto" w:fill="auto"/>
            <w:vAlign w:val="center"/>
          </w:tcPr>
          <w:p>
            <w:pPr>
              <w:jc w:val="center"/>
              <w:rPr>
                <w:rFonts w:hint="default" w:eastAsia="宋体"/>
                <w:sz w:val="18"/>
                <w:szCs w:val="18"/>
                <w:lang w:val="en-US" w:eastAsia="zh-CN"/>
              </w:rPr>
            </w:pPr>
            <w:r>
              <w:rPr>
                <w:rFonts w:hint="eastAsia"/>
                <w:sz w:val="18"/>
                <w:szCs w:val="18"/>
                <w:lang w:val="en-US" w:eastAsia="zh-CN"/>
              </w:rPr>
              <w:t>14</w:t>
            </w:r>
          </w:p>
        </w:tc>
        <w:tc>
          <w:tcPr>
            <w:tcW w:w="596" w:type="dxa"/>
            <w:vMerge w:val="continue"/>
            <w:shd w:val="clear" w:color="auto" w:fill="auto"/>
            <w:vAlign w:val="center"/>
          </w:tcPr>
          <w:p>
            <w:pPr>
              <w:jc w:val="center"/>
              <w:rPr>
                <w:rFonts w:hint="eastAsia"/>
                <w:b/>
                <w:bCs/>
                <w:sz w:val="18"/>
                <w:szCs w:val="18"/>
              </w:rPr>
            </w:pPr>
          </w:p>
        </w:tc>
        <w:tc>
          <w:tcPr>
            <w:tcW w:w="953" w:type="dxa"/>
            <w:vMerge w:val="continue"/>
            <w:shd w:val="clear" w:color="auto" w:fill="auto"/>
            <w:vAlign w:val="center"/>
          </w:tcPr>
          <w:p>
            <w:pPr>
              <w:jc w:val="center"/>
              <w:rPr>
                <w:rFonts w:hint="eastAsia"/>
                <w:sz w:val="18"/>
                <w:szCs w:val="18"/>
              </w:rPr>
            </w:pPr>
          </w:p>
        </w:tc>
        <w:tc>
          <w:tcPr>
            <w:tcW w:w="939" w:type="dxa"/>
            <w:tcBorders>
              <w:bottom w:val="single" w:color="auto" w:sz="8" w:space="0"/>
            </w:tcBorders>
            <w:shd w:val="clear" w:color="auto" w:fill="auto"/>
            <w:vAlign w:val="center"/>
          </w:tcPr>
          <w:p>
            <w:pPr>
              <w:jc w:val="center"/>
              <w:rPr>
                <w:rFonts w:hint="eastAsia"/>
                <w:sz w:val="18"/>
                <w:szCs w:val="18"/>
              </w:rPr>
            </w:pPr>
            <w:r>
              <w:rPr>
                <w:rFonts w:hint="eastAsia"/>
                <w:sz w:val="18"/>
                <w:szCs w:val="18"/>
                <w:lang w:val="en-US" w:eastAsia="zh-CN"/>
              </w:rPr>
              <w:t>总有效物</w:t>
            </w:r>
          </w:p>
        </w:tc>
        <w:tc>
          <w:tcPr>
            <w:tcW w:w="1195" w:type="dxa"/>
            <w:tcBorders>
              <w:bottom w:val="single" w:color="auto" w:sz="8" w:space="0"/>
            </w:tcBorders>
            <w:vAlign w:val="center"/>
          </w:tcPr>
          <w:p>
            <w:pPr>
              <w:keepNext w:val="0"/>
              <w:keepLines w:val="0"/>
              <w:widowControl/>
              <w:suppressLineNumbers w:val="0"/>
              <w:jc w:val="center"/>
              <w:rPr>
                <w:rFonts w:hint="eastAsia" w:ascii="Calibri" w:hAnsi="Calibri" w:eastAsia="宋体" w:cs="Times New Roman"/>
                <w:kern w:val="2"/>
                <w:sz w:val="18"/>
                <w:szCs w:val="18"/>
                <w:lang w:val="en-US" w:eastAsia="zh-CN" w:bidi="ar-SA"/>
              </w:rPr>
            </w:pPr>
            <w:r>
              <w:rPr>
                <w:rFonts w:hint="default" w:ascii="Times New Roman" w:hAnsi="Times New Roman" w:eastAsia="宋体" w:cs="Times New Roman"/>
                <w:color w:val="000000"/>
                <w:kern w:val="0"/>
                <w:sz w:val="19"/>
                <w:szCs w:val="19"/>
                <w:lang w:val="en-US" w:eastAsia="zh-CN" w:bidi="ar"/>
              </w:rPr>
              <w:t>%</w:t>
            </w:r>
          </w:p>
        </w:tc>
        <w:tc>
          <w:tcPr>
            <w:tcW w:w="3235" w:type="dxa"/>
            <w:tcBorders>
              <w:top w:val="single" w:color="auto" w:sz="4" w:space="0"/>
              <w:bottom w:val="single" w:color="auto" w:sz="8" w:space="0"/>
            </w:tcBorders>
            <w:shd w:val="clear" w:color="auto" w:fill="auto"/>
            <w:vAlign w:val="center"/>
          </w:tcPr>
          <w:p>
            <w:pPr>
              <w:jc w:val="center"/>
              <w:rPr>
                <w:rFonts w:hint="eastAsia" w:ascii="Calibri" w:hAnsi="Calibri" w:eastAsia="宋体" w:cs="Times New Roman"/>
                <w:kern w:val="2"/>
                <w:sz w:val="18"/>
                <w:szCs w:val="18"/>
                <w:lang w:val="en-US" w:eastAsia="zh-CN" w:bidi="ar-SA"/>
              </w:rPr>
            </w:pPr>
            <w:r>
              <w:rPr>
                <w:rFonts w:hint="eastAsia"/>
                <w:sz w:val="18"/>
                <w:szCs w:val="18"/>
                <w:lang w:val="en-US" w:eastAsia="zh-CN"/>
              </w:rPr>
              <w:t>≥5</w:t>
            </w:r>
          </w:p>
        </w:tc>
        <w:tc>
          <w:tcPr>
            <w:tcW w:w="2187" w:type="dxa"/>
            <w:vMerge w:val="continue"/>
            <w:shd w:val="clear" w:color="auto" w:fill="auto"/>
            <w:vAlign w:val="center"/>
          </w:tcPr>
          <w:p>
            <w:pPr>
              <w:jc w:val="center"/>
              <w:rPr>
                <w:rFonts w:hint="eastAsia" w:ascii="Calibri" w:hAnsi="Calibri" w:eastAsia="宋体" w:cs="宋体"/>
                <w:color w:val="000000"/>
                <w:kern w:val="0"/>
                <w:sz w:val="18"/>
                <w:szCs w:val="18"/>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tcBorders>
              <w:top w:val="single" w:color="auto" w:sz="4" w:space="0"/>
              <w:bottom w:val="single" w:color="auto" w:sz="8" w:space="0"/>
            </w:tcBorders>
            <w:shd w:val="clear" w:color="auto" w:fill="auto"/>
            <w:vAlign w:val="center"/>
          </w:tcPr>
          <w:p>
            <w:pPr>
              <w:jc w:val="center"/>
              <w:rPr>
                <w:rFonts w:hint="default" w:eastAsia="宋体"/>
                <w:sz w:val="18"/>
                <w:szCs w:val="18"/>
                <w:lang w:val="en-US" w:eastAsia="zh-CN"/>
              </w:rPr>
            </w:pPr>
            <w:r>
              <w:rPr>
                <w:rFonts w:hint="eastAsia"/>
                <w:sz w:val="18"/>
                <w:szCs w:val="18"/>
                <w:lang w:val="en-US" w:eastAsia="zh-CN"/>
              </w:rPr>
              <w:t>15</w:t>
            </w:r>
          </w:p>
        </w:tc>
        <w:tc>
          <w:tcPr>
            <w:tcW w:w="596" w:type="dxa"/>
            <w:vMerge w:val="continue"/>
            <w:shd w:val="clear" w:color="auto" w:fill="auto"/>
            <w:vAlign w:val="center"/>
          </w:tcPr>
          <w:p>
            <w:pPr>
              <w:jc w:val="center"/>
              <w:rPr>
                <w:rFonts w:hint="eastAsia"/>
                <w:b/>
                <w:bCs/>
                <w:sz w:val="18"/>
                <w:szCs w:val="18"/>
              </w:rPr>
            </w:pPr>
          </w:p>
        </w:tc>
        <w:tc>
          <w:tcPr>
            <w:tcW w:w="953" w:type="dxa"/>
            <w:vMerge w:val="continue"/>
            <w:tcBorders>
              <w:bottom w:val="single" w:color="auto" w:sz="8" w:space="0"/>
            </w:tcBorders>
            <w:shd w:val="clear" w:color="auto" w:fill="auto"/>
            <w:vAlign w:val="center"/>
          </w:tcPr>
          <w:p>
            <w:pPr>
              <w:jc w:val="center"/>
              <w:rPr>
                <w:rFonts w:hint="eastAsia"/>
                <w:sz w:val="18"/>
                <w:szCs w:val="18"/>
              </w:rPr>
            </w:pPr>
          </w:p>
        </w:tc>
        <w:tc>
          <w:tcPr>
            <w:tcW w:w="939" w:type="dxa"/>
            <w:tcBorders>
              <w:bottom w:val="single" w:color="auto" w:sz="8" w:space="0"/>
            </w:tcBorders>
            <w:shd w:val="clear" w:color="auto" w:fill="auto"/>
            <w:vAlign w:val="center"/>
          </w:tcPr>
          <w:p>
            <w:pPr>
              <w:jc w:val="center"/>
              <w:rPr>
                <w:rFonts w:hint="default"/>
                <w:sz w:val="18"/>
                <w:szCs w:val="18"/>
                <w:lang w:val="en-US" w:eastAsia="zh-CN"/>
              </w:rPr>
            </w:pPr>
            <w:r>
              <w:rPr>
                <w:rFonts w:hint="eastAsia"/>
                <w:sz w:val="18"/>
                <w:szCs w:val="18"/>
                <w:lang w:val="en-US" w:eastAsia="zh-CN"/>
              </w:rPr>
              <w:t>pH（25℃）</w:t>
            </w:r>
          </w:p>
        </w:tc>
        <w:tc>
          <w:tcPr>
            <w:tcW w:w="1195" w:type="dxa"/>
            <w:tcBorders>
              <w:bottom w:val="single" w:color="auto" w:sz="8" w:space="0"/>
            </w:tcBorders>
            <w:vAlign w:val="center"/>
          </w:tcPr>
          <w:p>
            <w:pPr>
              <w:keepNext w:val="0"/>
              <w:keepLines w:val="0"/>
              <w:widowControl/>
              <w:suppressLineNumbers w:val="0"/>
              <w:jc w:val="center"/>
              <w:rPr>
                <w:rFonts w:hint="default" w:ascii="Times New Roman" w:hAnsi="Times New Roman" w:eastAsia="宋体" w:cs="Times New Roman"/>
                <w:color w:val="000000"/>
                <w:kern w:val="0"/>
                <w:sz w:val="19"/>
                <w:szCs w:val="19"/>
                <w:lang w:val="en-US" w:eastAsia="zh-CN" w:bidi="ar"/>
              </w:rPr>
            </w:pPr>
            <w:r>
              <w:rPr>
                <w:rFonts w:hint="eastAsia" w:ascii="Times New Roman" w:hAnsi="Times New Roman" w:cs="Times New Roman"/>
                <w:color w:val="000000"/>
                <w:kern w:val="0"/>
                <w:sz w:val="19"/>
                <w:szCs w:val="19"/>
                <w:lang w:val="en-US" w:eastAsia="zh-CN" w:bidi="ar"/>
              </w:rPr>
              <w:t>/</w:t>
            </w:r>
          </w:p>
        </w:tc>
        <w:tc>
          <w:tcPr>
            <w:tcW w:w="3235" w:type="dxa"/>
            <w:tcBorders>
              <w:top w:val="single" w:color="auto" w:sz="4" w:space="0"/>
              <w:bottom w:val="single" w:color="auto" w:sz="8" w:space="0"/>
            </w:tcBorders>
            <w:shd w:val="clear" w:color="auto" w:fill="auto"/>
            <w:vAlign w:val="center"/>
          </w:tcPr>
          <w:p>
            <w:pPr>
              <w:jc w:val="center"/>
              <w:rPr>
                <w:rFonts w:hint="default"/>
                <w:sz w:val="18"/>
                <w:szCs w:val="18"/>
                <w:lang w:val="en-US" w:eastAsia="zh-CN"/>
              </w:rPr>
            </w:pPr>
            <w:r>
              <w:rPr>
                <w:rFonts w:hint="eastAsia"/>
                <w:sz w:val="18"/>
                <w:szCs w:val="18"/>
                <w:lang w:val="en-US" w:eastAsia="zh-CN"/>
              </w:rPr>
              <w:t>4.0~8.5</w:t>
            </w:r>
          </w:p>
        </w:tc>
        <w:tc>
          <w:tcPr>
            <w:tcW w:w="2187" w:type="dxa"/>
            <w:vMerge w:val="continue"/>
            <w:shd w:val="clear" w:color="auto" w:fill="auto"/>
            <w:vAlign w:val="center"/>
          </w:tcPr>
          <w:p>
            <w:pPr>
              <w:jc w:val="center"/>
              <w:rPr>
                <w:rFonts w:hint="eastAsia" w:ascii="宋体" w:hAnsi="宋体" w:cs="宋体"/>
                <w:color w:val="000000"/>
                <w:kern w:val="0"/>
                <w:sz w:val="18"/>
                <w:szCs w:val="18"/>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465" w:type="dxa"/>
            <w:tcBorders>
              <w:top w:val="single" w:color="auto" w:sz="4" w:space="0"/>
              <w:bottom w:val="single" w:color="auto" w:sz="8" w:space="0"/>
            </w:tcBorders>
            <w:shd w:val="clear" w:color="auto" w:fill="auto"/>
            <w:vAlign w:val="center"/>
          </w:tcPr>
          <w:p>
            <w:pPr>
              <w:jc w:val="center"/>
              <w:rPr>
                <w:rFonts w:hint="default" w:eastAsia="宋体"/>
                <w:sz w:val="18"/>
                <w:szCs w:val="18"/>
                <w:lang w:val="en-US" w:eastAsia="zh-CN"/>
              </w:rPr>
            </w:pPr>
            <w:r>
              <w:rPr>
                <w:rFonts w:hint="eastAsia"/>
                <w:sz w:val="18"/>
                <w:szCs w:val="18"/>
                <w:lang w:val="en-US" w:eastAsia="zh-CN"/>
              </w:rPr>
              <w:t>16</w:t>
            </w:r>
          </w:p>
        </w:tc>
        <w:tc>
          <w:tcPr>
            <w:tcW w:w="596" w:type="dxa"/>
            <w:vMerge w:val="continue"/>
            <w:shd w:val="clear" w:color="auto" w:fill="auto"/>
            <w:vAlign w:val="center"/>
          </w:tcPr>
          <w:p>
            <w:pPr>
              <w:jc w:val="center"/>
              <w:rPr>
                <w:rFonts w:hint="eastAsia"/>
                <w:b/>
                <w:bCs/>
                <w:sz w:val="18"/>
                <w:szCs w:val="18"/>
              </w:rPr>
            </w:pPr>
          </w:p>
        </w:tc>
        <w:tc>
          <w:tcPr>
            <w:tcW w:w="953" w:type="dxa"/>
            <w:shd w:val="clear" w:color="auto" w:fill="auto"/>
            <w:vAlign w:val="center"/>
          </w:tcPr>
          <w:p>
            <w:pPr>
              <w:jc w:val="center"/>
              <w:rPr>
                <w:rFonts w:hint="eastAsia"/>
                <w:sz w:val="18"/>
                <w:szCs w:val="18"/>
              </w:rPr>
            </w:pPr>
            <w:r>
              <w:rPr>
                <w:rFonts w:hint="eastAsia"/>
                <w:sz w:val="18"/>
                <w:szCs w:val="18"/>
                <w:lang w:val="en-US" w:eastAsia="zh-CN"/>
              </w:rPr>
              <w:t>微生物指标</w:t>
            </w:r>
          </w:p>
        </w:tc>
        <w:tc>
          <w:tcPr>
            <w:tcW w:w="939" w:type="dxa"/>
            <w:tcBorders>
              <w:bottom w:val="single" w:color="auto" w:sz="8" w:space="0"/>
            </w:tcBorders>
            <w:shd w:val="clear" w:color="auto" w:fill="auto"/>
            <w:vAlign w:val="center"/>
          </w:tcPr>
          <w:p>
            <w:pPr>
              <w:keepNext w:val="0"/>
              <w:keepLines w:val="0"/>
              <w:widowControl/>
              <w:suppressLineNumbers w:val="0"/>
              <w:jc w:val="center"/>
              <w:rPr>
                <w:rFonts w:hint="eastAsia"/>
                <w:sz w:val="18"/>
                <w:szCs w:val="18"/>
              </w:rPr>
            </w:pPr>
            <w:r>
              <w:rPr>
                <w:rFonts w:hint="eastAsia" w:ascii="宋体" w:hAnsi="宋体" w:eastAsia="宋体" w:cs="宋体"/>
                <w:color w:val="000000"/>
                <w:kern w:val="0"/>
                <w:sz w:val="19"/>
                <w:szCs w:val="19"/>
                <w:lang w:val="en-US" w:eastAsia="zh-CN" w:bidi="ar"/>
              </w:rPr>
              <w:t>菌落总数</w:t>
            </w:r>
          </w:p>
        </w:tc>
        <w:tc>
          <w:tcPr>
            <w:tcW w:w="1195" w:type="dxa"/>
            <w:tcBorders>
              <w:bottom w:val="single" w:color="auto" w:sz="8" w:space="0"/>
            </w:tcBorders>
            <w:vAlign w:val="center"/>
          </w:tcPr>
          <w:p>
            <w:pPr>
              <w:keepNext w:val="0"/>
              <w:keepLines w:val="0"/>
              <w:widowControl/>
              <w:suppressLineNumbers w:val="0"/>
              <w:jc w:val="center"/>
              <w:rPr>
                <w:rFonts w:hint="eastAsia"/>
                <w:sz w:val="18"/>
                <w:szCs w:val="18"/>
              </w:rPr>
            </w:pPr>
            <w:r>
              <w:rPr>
                <w:rFonts w:hint="default" w:ascii="Times New Roman" w:hAnsi="Times New Roman" w:eastAsia="宋体" w:cs="Times New Roman"/>
                <w:color w:val="000000"/>
                <w:kern w:val="0"/>
                <w:sz w:val="19"/>
                <w:szCs w:val="19"/>
                <w:lang w:val="en-US" w:eastAsia="zh-CN" w:bidi="ar"/>
              </w:rPr>
              <w:t>CFU/g</w:t>
            </w:r>
          </w:p>
        </w:tc>
        <w:tc>
          <w:tcPr>
            <w:tcW w:w="3235" w:type="dxa"/>
            <w:tcBorders>
              <w:top w:val="single" w:color="auto" w:sz="4" w:space="0"/>
              <w:bottom w:val="single" w:color="auto" w:sz="8" w:space="0"/>
            </w:tcBorders>
            <w:shd w:val="clear" w:color="auto" w:fill="auto"/>
            <w:vAlign w:val="center"/>
          </w:tcPr>
          <w:p>
            <w:pPr>
              <w:keepNext w:val="0"/>
              <w:keepLines w:val="0"/>
              <w:widowControl/>
              <w:suppressLineNumbers w:val="0"/>
              <w:jc w:val="center"/>
              <w:rPr>
                <w:rFonts w:hint="eastAsia"/>
                <w:sz w:val="18"/>
                <w:szCs w:val="18"/>
              </w:rPr>
            </w:pPr>
            <w:r>
              <w:rPr>
                <w:rFonts w:hint="eastAsia" w:ascii="宋体" w:hAnsi="宋体" w:eastAsia="宋体" w:cs="宋体"/>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1</w:t>
            </w:r>
            <w:r>
              <w:rPr>
                <w:rFonts w:hint="default" w:ascii="Times New Roman" w:hAnsi="Times New Roman" w:eastAsia="宋体" w:cs="Times New Roman"/>
                <w:color w:val="000000"/>
                <w:kern w:val="0"/>
                <w:sz w:val="19"/>
                <w:szCs w:val="19"/>
                <w:lang w:val="en-US" w:eastAsia="zh-CN" w:bidi="ar"/>
              </w:rPr>
              <w:t>00</w:t>
            </w:r>
          </w:p>
        </w:tc>
        <w:tc>
          <w:tcPr>
            <w:tcW w:w="2187" w:type="dxa"/>
            <w:tcBorders>
              <w:top w:val="single" w:color="auto" w:sz="4" w:space="0"/>
            </w:tcBorders>
            <w:shd w:val="clear" w:color="auto" w:fill="auto"/>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按GB/T 34857</w:t>
            </w:r>
            <w:r>
              <w:rPr>
                <w:rFonts w:hint="eastAsia" w:ascii="宋体" w:hAnsi="宋体" w:cs="宋体"/>
                <w:color w:val="000000"/>
                <w:kern w:val="0"/>
                <w:sz w:val="18"/>
                <w:szCs w:val="18"/>
                <w:lang w:val="en-US" w:eastAsia="zh-CN" w:bidi="ar"/>
              </w:rPr>
              <w:t>规定的方法进行检测</w:t>
            </w:r>
            <w:r>
              <w:rPr>
                <w:rFonts w:hint="eastAsia" w:ascii="宋体" w:hAnsi="宋体" w:cs="宋体"/>
                <w:color w:val="000000"/>
                <w:kern w:val="0"/>
                <w:sz w:val="18"/>
                <w:szCs w:val="18"/>
                <w:lang w:bidi="ar"/>
              </w:rPr>
              <w:t>，</w:t>
            </w:r>
            <w:r>
              <w:rPr>
                <w:rFonts w:hint="eastAsia" w:cs="宋体"/>
                <w:color w:val="000000"/>
                <w:kern w:val="0"/>
                <w:sz w:val="18"/>
                <w:szCs w:val="18"/>
                <w:lang w:bidi="ar"/>
              </w:rPr>
              <w:t>查看第三方检测报告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tcBorders>
              <w:top w:val="single" w:color="auto" w:sz="4" w:space="0"/>
              <w:bottom w:val="single" w:color="auto" w:sz="8" w:space="0"/>
            </w:tcBorders>
            <w:shd w:val="clear" w:color="auto" w:fill="auto"/>
            <w:vAlign w:val="center"/>
          </w:tcPr>
          <w:p>
            <w:pPr>
              <w:jc w:val="center"/>
              <w:rPr>
                <w:rFonts w:hint="eastAsia" w:ascii="Calibri" w:hAnsi="Calibri" w:eastAsia="宋体" w:cs="Times New Roman"/>
                <w:kern w:val="2"/>
                <w:sz w:val="18"/>
                <w:szCs w:val="18"/>
                <w:lang w:val="en-US" w:eastAsia="zh-CN" w:bidi="ar-SA"/>
              </w:rPr>
            </w:pPr>
            <w:r>
              <w:rPr>
                <w:sz w:val="18"/>
                <w:szCs w:val="18"/>
              </w:rPr>
              <w:t>1</w:t>
            </w:r>
            <w:r>
              <w:rPr>
                <w:rFonts w:hint="eastAsia"/>
                <w:sz w:val="18"/>
                <w:szCs w:val="18"/>
                <w:lang w:val="en-US" w:eastAsia="zh-CN"/>
              </w:rPr>
              <w:t>7</w:t>
            </w:r>
          </w:p>
        </w:tc>
        <w:tc>
          <w:tcPr>
            <w:tcW w:w="596" w:type="dxa"/>
            <w:vMerge w:val="restart"/>
            <w:shd w:val="clear" w:color="auto" w:fill="auto"/>
            <w:vAlign w:val="center"/>
          </w:tcPr>
          <w:p>
            <w:pPr>
              <w:jc w:val="center"/>
              <w:rPr>
                <w:rFonts w:hint="eastAsia"/>
                <w:b/>
                <w:bCs/>
                <w:sz w:val="18"/>
                <w:szCs w:val="18"/>
              </w:rPr>
            </w:pPr>
            <w:r>
              <w:rPr>
                <w:rFonts w:hint="eastAsia"/>
                <w:b/>
                <w:bCs/>
                <w:sz w:val="18"/>
                <w:szCs w:val="18"/>
              </w:rPr>
              <w:t>质量引领</w:t>
            </w:r>
          </w:p>
        </w:tc>
        <w:tc>
          <w:tcPr>
            <w:tcW w:w="953" w:type="dxa"/>
            <w:vMerge w:val="restart"/>
            <w:shd w:val="clear" w:color="auto" w:fill="auto"/>
            <w:vAlign w:val="center"/>
          </w:tcPr>
          <w:p>
            <w:pPr>
              <w:jc w:val="center"/>
              <w:rPr>
                <w:rFonts w:hint="eastAsia"/>
                <w:sz w:val="18"/>
                <w:szCs w:val="18"/>
              </w:rPr>
            </w:pPr>
            <w:r>
              <w:rPr>
                <w:rFonts w:hint="eastAsia"/>
                <w:sz w:val="18"/>
                <w:szCs w:val="18"/>
                <w:lang w:val="en-US" w:eastAsia="zh-CN"/>
              </w:rPr>
              <w:t>微生物指标</w:t>
            </w:r>
          </w:p>
        </w:tc>
        <w:tc>
          <w:tcPr>
            <w:tcW w:w="939" w:type="dxa"/>
            <w:tcBorders>
              <w:bottom w:val="single" w:color="auto" w:sz="8" w:space="0"/>
            </w:tcBorders>
            <w:shd w:val="clear" w:color="auto" w:fill="auto"/>
            <w:vAlign w:val="center"/>
          </w:tcPr>
          <w:p>
            <w:pPr>
              <w:keepNext w:val="0"/>
              <w:keepLines w:val="0"/>
              <w:widowControl/>
              <w:suppressLineNumbers w:val="0"/>
              <w:jc w:val="center"/>
              <w:rPr>
                <w:rFonts w:hint="eastAsia"/>
                <w:sz w:val="18"/>
                <w:szCs w:val="18"/>
              </w:rPr>
            </w:pPr>
            <w:r>
              <w:rPr>
                <w:rFonts w:hint="eastAsia" w:ascii="宋体" w:hAnsi="宋体" w:eastAsia="宋体" w:cs="宋体"/>
                <w:color w:val="000000"/>
                <w:kern w:val="0"/>
                <w:sz w:val="19"/>
                <w:szCs w:val="19"/>
                <w:lang w:val="en-US" w:eastAsia="zh-CN" w:bidi="ar"/>
              </w:rPr>
              <w:t>耐热大肠菌群</w:t>
            </w:r>
          </w:p>
        </w:tc>
        <w:tc>
          <w:tcPr>
            <w:tcW w:w="1195" w:type="dxa"/>
            <w:tcBorders>
              <w:bottom w:val="single" w:color="auto" w:sz="8" w:space="0"/>
            </w:tcBorders>
            <w:vAlign w:val="center"/>
          </w:tcPr>
          <w:p>
            <w:pPr>
              <w:keepNext w:val="0"/>
              <w:keepLines w:val="0"/>
              <w:widowControl/>
              <w:suppressLineNumbers w:val="0"/>
              <w:jc w:val="center"/>
              <w:rPr>
                <w:rFonts w:hint="eastAsia"/>
                <w:sz w:val="18"/>
                <w:szCs w:val="18"/>
              </w:rPr>
            </w:pPr>
            <w:r>
              <w:rPr>
                <w:rFonts w:hint="default" w:ascii="Times New Roman" w:hAnsi="Times New Roman" w:eastAsia="宋体" w:cs="Times New Roman"/>
                <w:color w:val="000000"/>
                <w:kern w:val="0"/>
                <w:sz w:val="19"/>
                <w:szCs w:val="19"/>
                <w:lang w:val="en-US" w:eastAsia="zh-CN" w:bidi="ar"/>
              </w:rPr>
              <w:t>/g</w:t>
            </w:r>
          </w:p>
        </w:tc>
        <w:tc>
          <w:tcPr>
            <w:tcW w:w="3235" w:type="dxa"/>
            <w:tcBorders>
              <w:top w:val="single" w:color="auto" w:sz="4" w:space="0"/>
              <w:bottom w:val="single" w:color="auto" w:sz="8" w:space="0"/>
            </w:tcBorders>
            <w:shd w:val="clear" w:color="auto" w:fill="auto"/>
            <w:vAlign w:val="center"/>
          </w:tcPr>
          <w:p>
            <w:pPr>
              <w:keepNext w:val="0"/>
              <w:keepLines w:val="0"/>
              <w:widowControl/>
              <w:suppressLineNumbers w:val="0"/>
              <w:jc w:val="center"/>
              <w:rPr>
                <w:rFonts w:hint="eastAsia"/>
                <w:sz w:val="18"/>
                <w:szCs w:val="18"/>
              </w:rPr>
            </w:pPr>
            <w:r>
              <w:rPr>
                <w:rFonts w:hint="eastAsia" w:ascii="宋体" w:hAnsi="宋体" w:eastAsia="宋体" w:cs="宋体"/>
                <w:color w:val="000000"/>
                <w:kern w:val="0"/>
                <w:sz w:val="19"/>
                <w:szCs w:val="19"/>
                <w:lang w:val="en-US" w:eastAsia="zh-CN" w:bidi="ar"/>
              </w:rPr>
              <w:t>不得检出</w:t>
            </w:r>
          </w:p>
        </w:tc>
        <w:tc>
          <w:tcPr>
            <w:tcW w:w="2187" w:type="dxa"/>
            <w:vMerge w:val="restart"/>
            <w:shd w:val="clear" w:color="auto" w:fill="auto"/>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按GB/T 34857</w:t>
            </w:r>
            <w:r>
              <w:rPr>
                <w:rFonts w:hint="eastAsia" w:ascii="宋体" w:hAnsi="宋体" w:cs="宋体"/>
                <w:color w:val="000000"/>
                <w:kern w:val="0"/>
                <w:sz w:val="18"/>
                <w:szCs w:val="18"/>
                <w:lang w:val="en-US" w:eastAsia="zh-CN" w:bidi="ar"/>
              </w:rPr>
              <w:t>规定的方法进行检测</w:t>
            </w:r>
            <w:r>
              <w:rPr>
                <w:rFonts w:hint="eastAsia" w:ascii="宋体" w:hAnsi="宋体" w:cs="宋体"/>
                <w:color w:val="000000"/>
                <w:kern w:val="0"/>
                <w:sz w:val="18"/>
                <w:szCs w:val="18"/>
                <w:lang w:bidi="ar"/>
              </w:rPr>
              <w:t>，</w:t>
            </w:r>
            <w:r>
              <w:rPr>
                <w:rFonts w:hint="eastAsia" w:cs="宋体"/>
                <w:color w:val="000000"/>
                <w:kern w:val="0"/>
                <w:sz w:val="18"/>
                <w:szCs w:val="18"/>
                <w:lang w:bidi="ar"/>
              </w:rPr>
              <w:t>查看第三方检测报告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tcBorders>
              <w:top w:val="single" w:color="auto" w:sz="4" w:space="0"/>
              <w:bottom w:val="single" w:color="auto" w:sz="8" w:space="0"/>
            </w:tcBorders>
            <w:shd w:val="clear" w:color="auto" w:fill="auto"/>
            <w:vAlign w:val="center"/>
          </w:tcPr>
          <w:p>
            <w:pPr>
              <w:jc w:val="center"/>
              <w:rPr>
                <w:rFonts w:hint="eastAsia" w:ascii="Calibri" w:hAnsi="Calibri" w:eastAsia="宋体" w:cs="Times New Roman"/>
                <w:kern w:val="2"/>
                <w:sz w:val="18"/>
                <w:szCs w:val="18"/>
                <w:lang w:val="en-US" w:eastAsia="zh-CN" w:bidi="ar-SA"/>
              </w:rPr>
            </w:pPr>
            <w:r>
              <w:rPr>
                <w:sz w:val="18"/>
                <w:szCs w:val="18"/>
              </w:rPr>
              <w:t>1</w:t>
            </w:r>
            <w:r>
              <w:rPr>
                <w:rFonts w:hint="eastAsia"/>
                <w:sz w:val="18"/>
                <w:szCs w:val="18"/>
                <w:lang w:val="en-US" w:eastAsia="zh-CN"/>
              </w:rPr>
              <w:t>8</w:t>
            </w:r>
          </w:p>
        </w:tc>
        <w:tc>
          <w:tcPr>
            <w:tcW w:w="596" w:type="dxa"/>
            <w:vMerge w:val="continue"/>
            <w:shd w:val="clear" w:color="auto" w:fill="auto"/>
            <w:vAlign w:val="center"/>
          </w:tcPr>
          <w:p>
            <w:pPr>
              <w:jc w:val="center"/>
              <w:rPr>
                <w:rFonts w:hint="eastAsia"/>
                <w:b/>
                <w:bCs/>
                <w:sz w:val="18"/>
                <w:szCs w:val="18"/>
              </w:rPr>
            </w:pPr>
          </w:p>
        </w:tc>
        <w:tc>
          <w:tcPr>
            <w:tcW w:w="953" w:type="dxa"/>
            <w:vMerge w:val="continue"/>
            <w:shd w:val="clear" w:color="auto" w:fill="auto"/>
            <w:vAlign w:val="center"/>
          </w:tcPr>
          <w:p>
            <w:pPr>
              <w:jc w:val="center"/>
              <w:rPr>
                <w:rFonts w:hint="eastAsia"/>
                <w:sz w:val="18"/>
                <w:szCs w:val="18"/>
              </w:rPr>
            </w:pPr>
          </w:p>
        </w:tc>
        <w:tc>
          <w:tcPr>
            <w:tcW w:w="939" w:type="dxa"/>
            <w:tcBorders>
              <w:bottom w:val="single" w:color="auto" w:sz="8" w:space="0"/>
            </w:tcBorders>
            <w:shd w:val="clear" w:color="auto" w:fill="auto"/>
            <w:vAlign w:val="center"/>
          </w:tcPr>
          <w:p>
            <w:pPr>
              <w:keepNext w:val="0"/>
              <w:keepLines w:val="0"/>
              <w:widowControl/>
              <w:suppressLineNumbers w:val="0"/>
              <w:jc w:val="center"/>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铜绿假单胞菌</w:t>
            </w:r>
          </w:p>
        </w:tc>
        <w:tc>
          <w:tcPr>
            <w:tcW w:w="1195" w:type="dxa"/>
            <w:tcBorders>
              <w:bottom w:val="single" w:color="auto" w:sz="8" w:space="0"/>
            </w:tcBorders>
            <w:vAlign w:val="center"/>
          </w:tcPr>
          <w:p>
            <w:pPr>
              <w:keepNext w:val="0"/>
              <w:keepLines w:val="0"/>
              <w:widowControl/>
              <w:suppressLineNumbers w:val="0"/>
              <w:jc w:val="center"/>
              <w:rPr>
                <w:rFonts w:hint="eastAsia"/>
                <w:sz w:val="18"/>
                <w:szCs w:val="18"/>
              </w:rPr>
            </w:pPr>
            <w:r>
              <w:rPr>
                <w:rFonts w:hint="default" w:ascii="Times New Roman" w:hAnsi="Times New Roman" w:eastAsia="宋体" w:cs="Times New Roman"/>
                <w:color w:val="000000"/>
                <w:kern w:val="0"/>
                <w:sz w:val="19"/>
                <w:szCs w:val="19"/>
                <w:lang w:val="en-US" w:eastAsia="zh-CN" w:bidi="ar"/>
              </w:rPr>
              <w:t>/g</w:t>
            </w:r>
          </w:p>
        </w:tc>
        <w:tc>
          <w:tcPr>
            <w:tcW w:w="3235" w:type="dxa"/>
            <w:tcBorders>
              <w:top w:val="single" w:color="auto" w:sz="4" w:space="0"/>
              <w:bottom w:val="single" w:color="auto" w:sz="8" w:space="0"/>
            </w:tcBorders>
            <w:shd w:val="clear" w:color="auto" w:fill="auto"/>
            <w:vAlign w:val="center"/>
          </w:tcPr>
          <w:p>
            <w:pPr>
              <w:jc w:val="center"/>
              <w:rPr>
                <w:rFonts w:hint="eastAsia"/>
                <w:sz w:val="18"/>
                <w:szCs w:val="18"/>
              </w:rPr>
            </w:pPr>
            <w:r>
              <w:rPr>
                <w:rFonts w:hint="eastAsia" w:ascii="宋体" w:hAnsi="宋体" w:eastAsia="宋体" w:cs="宋体"/>
                <w:color w:val="000000"/>
                <w:kern w:val="0"/>
                <w:sz w:val="19"/>
                <w:szCs w:val="19"/>
                <w:lang w:val="en-US" w:eastAsia="zh-CN" w:bidi="ar"/>
              </w:rPr>
              <w:t>不得检出</w:t>
            </w:r>
          </w:p>
        </w:tc>
        <w:tc>
          <w:tcPr>
            <w:tcW w:w="2187" w:type="dxa"/>
            <w:vMerge w:val="continue"/>
            <w:shd w:val="clear" w:color="auto" w:fill="auto"/>
            <w:vAlign w:val="center"/>
          </w:tcPr>
          <w:p>
            <w:pPr>
              <w:jc w:val="center"/>
              <w:rPr>
                <w:rFonts w:hint="eastAsia" w:ascii="宋体" w:hAnsi="宋体" w:cs="宋体"/>
                <w:color w:val="000000"/>
                <w:kern w:val="0"/>
                <w:sz w:val="18"/>
                <w:szCs w:val="18"/>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tcBorders>
              <w:top w:val="single" w:color="auto" w:sz="4" w:space="0"/>
              <w:bottom w:val="single" w:color="auto" w:sz="8" w:space="0"/>
            </w:tcBorders>
            <w:shd w:val="clear" w:color="auto" w:fill="auto"/>
            <w:vAlign w:val="center"/>
          </w:tcPr>
          <w:p>
            <w:pPr>
              <w:jc w:val="center"/>
              <w:rPr>
                <w:rFonts w:hint="eastAsia" w:ascii="Calibri" w:hAnsi="Calibri" w:eastAsia="宋体" w:cs="Times New Roman"/>
                <w:kern w:val="2"/>
                <w:sz w:val="18"/>
                <w:szCs w:val="18"/>
                <w:lang w:val="en-US" w:eastAsia="zh-CN" w:bidi="ar-SA"/>
              </w:rPr>
            </w:pPr>
            <w:r>
              <w:rPr>
                <w:rFonts w:hint="eastAsia"/>
                <w:sz w:val="18"/>
                <w:szCs w:val="18"/>
              </w:rPr>
              <w:t>1</w:t>
            </w:r>
            <w:r>
              <w:rPr>
                <w:rFonts w:hint="eastAsia"/>
                <w:sz w:val="18"/>
                <w:szCs w:val="18"/>
                <w:lang w:val="en-US" w:eastAsia="zh-CN"/>
              </w:rPr>
              <w:t>9</w:t>
            </w:r>
          </w:p>
        </w:tc>
        <w:tc>
          <w:tcPr>
            <w:tcW w:w="596" w:type="dxa"/>
            <w:vMerge w:val="continue"/>
            <w:shd w:val="clear" w:color="auto" w:fill="auto"/>
            <w:vAlign w:val="center"/>
          </w:tcPr>
          <w:p>
            <w:pPr>
              <w:jc w:val="center"/>
              <w:rPr>
                <w:rFonts w:hint="eastAsia"/>
                <w:b/>
                <w:bCs/>
                <w:sz w:val="18"/>
                <w:szCs w:val="18"/>
              </w:rPr>
            </w:pPr>
          </w:p>
        </w:tc>
        <w:tc>
          <w:tcPr>
            <w:tcW w:w="953" w:type="dxa"/>
            <w:vMerge w:val="continue"/>
            <w:shd w:val="clear" w:color="auto" w:fill="auto"/>
            <w:vAlign w:val="center"/>
          </w:tcPr>
          <w:p>
            <w:pPr>
              <w:jc w:val="center"/>
              <w:rPr>
                <w:rFonts w:hint="eastAsia"/>
                <w:sz w:val="18"/>
                <w:szCs w:val="18"/>
              </w:rPr>
            </w:pPr>
          </w:p>
        </w:tc>
        <w:tc>
          <w:tcPr>
            <w:tcW w:w="939" w:type="dxa"/>
            <w:tcBorders>
              <w:bottom w:val="single" w:color="auto" w:sz="8" w:space="0"/>
            </w:tcBorders>
            <w:shd w:val="clear" w:color="auto" w:fill="auto"/>
            <w:vAlign w:val="center"/>
          </w:tcPr>
          <w:p>
            <w:pPr>
              <w:keepNext w:val="0"/>
              <w:keepLines w:val="0"/>
              <w:widowControl/>
              <w:suppressLineNumbers w:val="0"/>
              <w:jc w:val="center"/>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金黄色葡萄球菌</w:t>
            </w:r>
          </w:p>
        </w:tc>
        <w:tc>
          <w:tcPr>
            <w:tcW w:w="1195" w:type="dxa"/>
            <w:tcBorders>
              <w:bottom w:val="single" w:color="auto" w:sz="8" w:space="0"/>
            </w:tcBorders>
            <w:vAlign w:val="center"/>
          </w:tcPr>
          <w:p>
            <w:pPr>
              <w:keepNext w:val="0"/>
              <w:keepLines w:val="0"/>
              <w:widowControl/>
              <w:suppressLineNumbers w:val="0"/>
              <w:jc w:val="center"/>
              <w:rPr>
                <w:rFonts w:hint="eastAsia"/>
                <w:sz w:val="18"/>
                <w:szCs w:val="18"/>
              </w:rPr>
            </w:pPr>
            <w:r>
              <w:rPr>
                <w:rFonts w:hint="default" w:ascii="Times New Roman" w:hAnsi="Times New Roman" w:eastAsia="宋体" w:cs="Times New Roman"/>
                <w:color w:val="000000"/>
                <w:kern w:val="0"/>
                <w:sz w:val="19"/>
                <w:szCs w:val="19"/>
                <w:lang w:val="en-US" w:eastAsia="zh-CN" w:bidi="ar"/>
              </w:rPr>
              <w:t>/g</w:t>
            </w:r>
          </w:p>
        </w:tc>
        <w:tc>
          <w:tcPr>
            <w:tcW w:w="3235" w:type="dxa"/>
            <w:tcBorders>
              <w:top w:val="single" w:color="auto" w:sz="4" w:space="0"/>
              <w:bottom w:val="single" w:color="auto" w:sz="8" w:space="0"/>
            </w:tcBorders>
            <w:shd w:val="clear" w:color="auto" w:fill="auto"/>
            <w:vAlign w:val="center"/>
          </w:tcPr>
          <w:p>
            <w:pPr>
              <w:jc w:val="center"/>
              <w:rPr>
                <w:rFonts w:hint="eastAsia"/>
                <w:sz w:val="18"/>
                <w:szCs w:val="18"/>
              </w:rPr>
            </w:pPr>
            <w:r>
              <w:rPr>
                <w:rFonts w:hint="eastAsia" w:ascii="宋体" w:hAnsi="宋体" w:eastAsia="宋体" w:cs="宋体"/>
                <w:color w:val="000000"/>
                <w:kern w:val="0"/>
                <w:sz w:val="19"/>
                <w:szCs w:val="19"/>
                <w:lang w:val="en-US" w:eastAsia="zh-CN" w:bidi="ar"/>
              </w:rPr>
              <w:t>不得检出</w:t>
            </w:r>
          </w:p>
        </w:tc>
        <w:tc>
          <w:tcPr>
            <w:tcW w:w="2187" w:type="dxa"/>
            <w:vMerge w:val="continue"/>
            <w:shd w:val="clear" w:color="auto" w:fill="auto"/>
            <w:vAlign w:val="center"/>
          </w:tcPr>
          <w:p>
            <w:pPr>
              <w:jc w:val="center"/>
              <w:rPr>
                <w:rFonts w:hint="eastAsia" w:ascii="宋体" w:hAnsi="宋体" w:cs="宋体"/>
                <w:color w:val="000000"/>
                <w:kern w:val="0"/>
                <w:sz w:val="18"/>
                <w:szCs w:val="18"/>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tcBorders>
              <w:top w:val="single" w:color="auto" w:sz="4" w:space="0"/>
              <w:bottom w:val="single" w:color="auto" w:sz="8" w:space="0"/>
            </w:tcBorders>
            <w:shd w:val="clear" w:color="auto" w:fill="auto"/>
            <w:vAlign w:val="center"/>
          </w:tcPr>
          <w:p>
            <w:pPr>
              <w:jc w:val="center"/>
              <w:rPr>
                <w:rFonts w:hint="default" w:ascii="Calibri" w:hAnsi="Calibri" w:eastAsia="宋体" w:cs="Times New Roman"/>
                <w:kern w:val="2"/>
                <w:sz w:val="18"/>
                <w:szCs w:val="18"/>
                <w:lang w:val="en-US" w:eastAsia="zh-CN" w:bidi="ar-SA"/>
              </w:rPr>
            </w:pPr>
            <w:r>
              <w:rPr>
                <w:rFonts w:hint="eastAsia"/>
                <w:sz w:val="18"/>
                <w:szCs w:val="18"/>
                <w:lang w:val="en-US" w:eastAsia="zh-CN"/>
              </w:rPr>
              <w:t>20</w:t>
            </w:r>
          </w:p>
        </w:tc>
        <w:tc>
          <w:tcPr>
            <w:tcW w:w="596" w:type="dxa"/>
            <w:vMerge w:val="continue"/>
            <w:shd w:val="clear" w:color="auto" w:fill="auto"/>
            <w:vAlign w:val="center"/>
          </w:tcPr>
          <w:p>
            <w:pPr>
              <w:jc w:val="center"/>
              <w:rPr>
                <w:rFonts w:hint="eastAsia"/>
                <w:b/>
                <w:bCs/>
                <w:sz w:val="18"/>
                <w:szCs w:val="18"/>
              </w:rPr>
            </w:pPr>
          </w:p>
        </w:tc>
        <w:tc>
          <w:tcPr>
            <w:tcW w:w="953" w:type="dxa"/>
            <w:vMerge w:val="continue"/>
            <w:tcBorders>
              <w:bottom w:val="single" w:color="auto" w:sz="8" w:space="0"/>
            </w:tcBorders>
            <w:shd w:val="clear" w:color="auto" w:fill="auto"/>
            <w:vAlign w:val="center"/>
          </w:tcPr>
          <w:p>
            <w:pPr>
              <w:jc w:val="center"/>
              <w:rPr>
                <w:rFonts w:hint="eastAsia"/>
                <w:sz w:val="18"/>
                <w:szCs w:val="18"/>
              </w:rPr>
            </w:pPr>
          </w:p>
        </w:tc>
        <w:tc>
          <w:tcPr>
            <w:tcW w:w="939" w:type="dxa"/>
            <w:tcBorders>
              <w:bottom w:val="single" w:color="auto" w:sz="8" w:space="0"/>
            </w:tcBorders>
            <w:shd w:val="clear" w:color="auto" w:fill="auto"/>
            <w:vAlign w:val="center"/>
          </w:tcPr>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霉菌和酵母菌</w:t>
            </w:r>
          </w:p>
          <w:p>
            <w:pPr>
              <w:keepNext w:val="0"/>
              <w:keepLines w:val="0"/>
              <w:widowControl/>
              <w:suppressLineNumbers w:val="0"/>
              <w:jc w:val="center"/>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总数</w:t>
            </w:r>
          </w:p>
        </w:tc>
        <w:tc>
          <w:tcPr>
            <w:tcW w:w="1195" w:type="dxa"/>
            <w:tcBorders>
              <w:bottom w:val="single" w:color="auto" w:sz="8" w:space="0"/>
            </w:tcBorders>
            <w:vAlign w:val="center"/>
          </w:tcPr>
          <w:p>
            <w:pPr>
              <w:jc w:val="center"/>
              <w:rPr>
                <w:rFonts w:hint="eastAsia" w:ascii="宋体" w:hAnsi="宋体" w:eastAsia="宋体" w:cs="宋体"/>
                <w:color w:val="000000"/>
                <w:kern w:val="0"/>
                <w:sz w:val="19"/>
                <w:szCs w:val="19"/>
                <w:lang w:val="en-US" w:eastAsia="zh-CN" w:bidi="ar"/>
              </w:rPr>
            </w:pPr>
            <w:r>
              <w:rPr>
                <w:rFonts w:hint="default" w:ascii="宋体" w:hAnsi="宋体" w:eastAsia="宋体" w:cs="宋体"/>
                <w:color w:val="000000"/>
                <w:kern w:val="0"/>
                <w:sz w:val="19"/>
                <w:szCs w:val="19"/>
                <w:lang w:val="en-US" w:eastAsia="zh-CN" w:bidi="ar"/>
              </w:rPr>
              <w:t>CFU/g</w:t>
            </w:r>
          </w:p>
        </w:tc>
        <w:tc>
          <w:tcPr>
            <w:tcW w:w="3235" w:type="dxa"/>
            <w:tcBorders>
              <w:top w:val="single" w:color="auto" w:sz="4" w:space="0"/>
              <w:bottom w:val="single" w:color="auto" w:sz="8" w:space="0"/>
            </w:tcBorders>
            <w:shd w:val="clear" w:color="auto" w:fill="auto"/>
            <w:vAlign w:val="center"/>
          </w:tcPr>
          <w:p>
            <w:pPr>
              <w:jc w:val="center"/>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w:t>
            </w:r>
            <w:r>
              <w:rPr>
                <w:rFonts w:hint="default" w:ascii="宋体" w:hAnsi="宋体" w:eastAsia="宋体" w:cs="宋体"/>
                <w:color w:val="000000"/>
                <w:kern w:val="0"/>
                <w:sz w:val="19"/>
                <w:szCs w:val="19"/>
                <w:lang w:val="en-US" w:eastAsia="zh-CN" w:bidi="ar"/>
              </w:rPr>
              <w:t>100</w:t>
            </w:r>
          </w:p>
        </w:tc>
        <w:tc>
          <w:tcPr>
            <w:tcW w:w="2187" w:type="dxa"/>
            <w:vMerge w:val="continue"/>
            <w:shd w:val="clear" w:color="auto" w:fill="auto"/>
            <w:vAlign w:val="center"/>
          </w:tcPr>
          <w:p>
            <w:pPr>
              <w:jc w:val="center"/>
              <w:rPr>
                <w:rFonts w:hint="eastAsia" w:ascii="宋体" w:hAnsi="宋体" w:cs="宋体"/>
                <w:color w:val="000000"/>
                <w:kern w:val="0"/>
                <w:sz w:val="18"/>
                <w:szCs w:val="18"/>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tcBorders>
              <w:top w:val="single" w:color="auto" w:sz="4" w:space="0"/>
              <w:bottom w:val="single" w:color="auto" w:sz="8" w:space="0"/>
            </w:tcBorders>
            <w:shd w:val="clear" w:color="auto" w:fill="auto"/>
            <w:vAlign w:val="center"/>
          </w:tcPr>
          <w:p>
            <w:pPr>
              <w:jc w:val="center"/>
              <w:rPr>
                <w:rFonts w:hint="default" w:ascii="Calibri" w:hAnsi="Calibri" w:eastAsia="宋体" w:cs="Times New Roman"/>
                <w:kern w:val="2"/>
                <w:sz w:val="18"/>
                <w:szCs w:val="18"/>
                <w:lang w:val="en-US" w:eastAsia="zh-CN" w:bidi="ar-SA"/>
              </w:rPr>
            </w:pPr>
            <w:r>
              <w:rPr>
                <w:rFonts w:hint="eastAsia"/>
                <w:sz w:val="18"/>
                <w:szCs w:val="18"/>
                <w:lang w:val="en-US" w:eastAsia="zh-CN"/>
              </w:rPr>
              <w:t>21</w:t>
            </w:r>
          </w:p>
        </w:tc>
        <w:tc>
          <w:tcPr>
            <w:tcW w:w="596" w:type="dxa"/>
            <w:vMerge w:val="continue"/>
            <w:shd w:val="clear" w:color="auto" w:fill="auto"/>
            <w:vAlign w:val="center"/>
          </w:tcPr>
          <w:p>
            <w:pPr>
              <w:jc w:val="center"/>
              <w:rPr>
                <w:b/>
                <w:bCs/>
                <w:sz w:val="18"/>
                <w:szCs w:val="18"/>
              </w:rPr>
            </w:pPr>
          </w:p>
        </w:tc>
        <w:tc>
          <w:tcPr>
            <w:tcW w:w="953" w:type="dxa"/>
            <w:vMerge w:val="restart"/>
            <w:shd w:val="clear" w:color="auto" w:fill="auto"/>
            <w:vAlign w:val="center"/>
          </w:tcPr>
          <w:p>
            <w:pPr>
              <w:jc w:val="center"/>
              <w:rPr>
                <w:sz w:val="18"/>
                <w:szCs w:val="18"/>
              </w:rPr>
            </w:pPr>
            <w:r>
              <w:rPr>
                <w:rFonts w:hint="eastAsia"/>
                <w:sz w:val="18"/>
                <w:szCs w:val="18"/>
              </w:rPr>
              <w:t>有害物质</w:t>
            </w:r>
          </w:p>
        </w:tc>
        <w:tc>
          <w:tcPr>
            <w:tcW w:w="939" w:type="dxa"/>
            <w:tcBorders>
              <w:bottom w:val="single" w:color="auto" w:sz="8" w:space="0"/>
            </w:tcBorders>
            <w:shd w:val="clear" w:color="auto" w:fill="auto"/>
            <w:vAlign w:val="center"/>
          </w:tcPr>
          <w:p>
            <w:pPr>
              <w:jc w:val="center"/>
              <w:rPr>
                <w:sz w:val="18"/>
                <w:szCs w:val="18"/>
              </w:rPr>
            </w:pPr>
            <w:r>
              <w:rPr>
                <w:rFonts w:hint="eastAsia"/>
                <w:sz w:val="18"/>
                <w:szCs w:val="18"/>
              </w:rPr>
              <w:t>二噁烷</w:t>
            </w:r>
          </w:p>
        </w:tc>
        <w:tc>
          <w:tcPr>
            <w:tcW w:w="1195" w:type="dxa"/>
            <w:tcBorders>
              <w:bottom w:val="single" w:color="auto" w:sz="8" w:space="0"/>
            </w:tcBorders>
            <w:vAlign w:val="center"/>
          </w:tcPr>
          <w:p>
            <w:pPr>
              <w:jc w:val="center"/>
              <w:rPr>
                <w:sz w:val="18"/>
                <w:szCs w:val="18"/>
              </w:rPr>
            </w:pPr>
            <w:r>
              <w:rPr>
                <w:rFonts w:hint="eastAsia"/>
                <w:sz w:val="18"/>
                <w:szCs w:val="18"/>
              </w:rPr>
              <w:t>mg/kg</w:t>
            </w:r>
          </w:p>
        </w:tc>
        <w:tc>
          <w:tcPr>
            <w:tcW w:w="3235" w:type="dxa"/>
            <w:tcBorders>
              <w:top w:val="single" w:color="auto" w:sz="4" w:space="0"/>
              <w:bottom w:val="single" w:color="auto" w:sz="8" w:space="0"/>
            </w:tcBorders>
            <w:shd w:val="clear" w:color="auto" w:fill="auto"/>
            <w:vAlign w:val="center"/>
          </w:tcPr>
          <w:p>
            <w:pPr>
              <w:jc w:val="center"/>
              <w:rPr>
                <w:rFonts w:hint="eastAsia" w:eastAsia="宋体"/>
                <w:sz w:val="18"/>
                <w:szCs w:val="18"/>
                <w:lang w:eastAsia="zh-CN"/>
              </w:rPr>
            </w:pPr>
            <w:r>
              <w:rPr>
                <w:rFonts w:hint="eastAsia"/>
                <w:sz w:val="18"/>
                <w:szCs w:val="18"/>
              </w:rPr>
              <w:t>≤</w:t>
            </w:r>
            <w:r>
              <w:rPr>
                <w:rFonts w:hint="eastAsia"/>
                <w:sz w:val="18"/>
                <w:szCs w:val="18"/>
                <w:lang w:val="en-US" w:eastAsia="zh-CN"/>
              </w:rPr>
              <w:t>5</w:t>
            </w:r>
          </w:p>
        </w:tc>
        <w:tc>
          <w:tcPr>
            <w:tcW w:w="2187" w:type="dxa"/>
            <w:vMerge w:val="restart"/>
            <w:shd w:val="clear" w:color="auto" w:fill="auto"/>
            <w:vAlign w:val="center"/>
          </w:tcPr>
          <w:p>
            <w:pPr>
              <w:jc w:val="center"/>
              <w:rPr>
                <w:color w:val="000000"/>
                <w:sz w:val="18"/>
                <w:szCs w:val="18"/>
                <w:lang w:bidi="ar"/>
              </w:rPr>
            </w:pPr>
            <w:r>
              <w:rPr>
                <w:rFonts w:hint="eastAsia" w:ascii="宋体" w:hAnsi="宋体" w:cs="宋体"/>
                <w:color w:val="000000"/>
                <w:kern w:val="0"/>
                <w:sz w:val="18"/>
                <w:szCs w:val="18"/>
                <w:lang w:val="en-US" w:eastAsia="zh-CN" w:bidi="ar"/>
              </w:rPr>
              <w:t>按</w:t>
            </w:r>
            <w:r>
              <w:rPr>
                <w:rFonts w:hint="eastAsia" w:ascii="宋体" w:hAnsi="宋体" w:cs="宋体"/>
                <w:color w:val="000000"/>
                <w:kern w:val="0"/>
                <w:sz w:val="18"/>
                <w:szCs w:val="18"/>
                <w:lang w:bidi="ar"/>
              </w:rPr>
              <w:t>《</w:t>
            </w:r>
            <w:r>
              <w:rPr>
                <w:rFonts w:hint="eastAsia"/>
                <w:sz w:val="18"/>
                <w:szCs w:val="18"/>
              </w:rPr>
              <w:t>化妆品安全技术规范</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规定的方法进行检测</w:t>
            </w:r>
            <w:r>
              <w:rPr>
                <w:rFonts w:hint="eastAsia" w:cs="宋体"/>
                <w:color w:val="000000"/>
                <w:kern w:val="0"/>
                <w:sz w:val="18"/>
                <w:szCs w:val="18"/>
                <w:lang w:bidi="ar"/>
              </w:rPr>
              <w:t>,</w:t>
            </w:r>
          </w:p>
          <w:p>
            <w:pPr>
              <w:jc w:val="center"/>
              <w:rPr>
                <w:color w:val="000000"/>
                <w:sz w:val="18"/>
                <w:szCs w:val="18"/>
                <w:lang w:bidi="ar"/>
              </w:rPr>
            </w:pPr>
            <w:r>
              <w:rPr>
                <w:rFonts w:hint="eastAsia" w:cs="宋体"/>
                <w:color w:val="000000"/>
                <w:kern w:val="0"/>
                <w:sz w:val="18"/>
                <w:szCs w:val="18"/>
                <w:lang w:bidi="ar"/>
              </w:rPr>
              <w:t>查看第三方检测报告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tcBorders>
              <w:top w:val="single" w:color="auto" w:sz="4" w:space="0"/>
              <w:bottom w:val="single" w:color="auto" w:sz="8" w:space="0"/>
            </w:tcBorders>
            <w:shd w:val="clear" w:color="auto" w:fill="auto"/>
            <w:vAlign w:val="center"/>
          </w:tcPr>
          <w:p>
            <w:pPr>
              <w:jc w:val="center"/>
              <w:rPr>
                <w:rFonts w:hint="default" w:ascii="Calibri" w:hAnsi="Calibri" w:eastAsia="宋体" w:cs="Times New Roman"/>
                <w:kern w:val="2"/>
                <w:sz w:val="18"/>
                <w:szCs w:val="18"/>
                <w:lang w:val="en-US" w:eastAsia="zh-CN" w:bidi="ar-SA"/>
              </w:rPr>
            </w:pPr>
            <w:r>
              <w:rPr>
                <w:rFonts w:hint="eastAsia"/>
                <w:sz w:val="18"/>
                <w:szCs w:val="18"/>
                <w:lang w:val="en-US" w:eastAsia="zh-CN"/>
              </w:rPr>
              <w:t>22</w:t>
            </w:r>
          </w:p>
        </w:tc>
        <w:tc>
          <w:tcPr>
            <w:tcW w:w="596" w:type="dxa"/>
            <w:vMerge w:val="continue"/>
            <w:shd w:val="clear" w:color="auto" w:fill="auto"/>
            <w:vAlign w:val="center"/>
          </w:tcPr>
          <w:p>
            <w:pPr>
              <w:jc w:val="center"/>
              <w:rPr>
                <w:sz w:val="18"/>
                <w:szCs w:val="18"/>
              </w:rPr>
            </w:pPr>
          </w:p>
        </w:tc>
        <w:tc>
          <w:tcPr>
            <w:tcW w:w="953" w:type="dxa"/>
            <w:vMerge w:val="continue"/>
            <w:shd w:val="clear" w:color="auto" w:fill="auto"/>
            <w:vAlign w:val="center"/>
          </w:tcPr>
          <w:p>
            <w:pPr>
              <w:jc w:val="center"/>
              <w:rPr>
                <w:sz w:val="18"/>
                <w:szCs w:val="18"/>
              </w:rPr>
            </w:pPr>
          </w:p>
        </w:tc>
        <w:tc>
          <w:tcPr>
            <w:tcW w:w="939" w:type="dxa"/>
            <w:tcBorders>
              <w:bottom w:val="single" w:color="auto" w:sz="8" w:space="0"/>
            </w:tcBorders>
            <w:shd w:val="clear" w:color="auto" w:fill="auto"/>
            <w:vAlign w:val="center"/>
          </w:tcPr>
          <w:p>
            <w:pPr>
              <w:jc w:val="center"/>
              <w:rPr>
                <w:sz w:val="18"/>
                <w:szCs w:val="18"/>
              </w:rPr>
            </w:pPr>
            <w:r>
              <w:rPr>
                <w:rFonts w:hint="eastAsia"/>
                <w:sz w:val="18"/>
                <w:szCs w:val="18"/>
              </w:rPr>
              <w:t>甲醇</w:t>
            </w:r>
          </w:p>
        </w:tc>
        <w:tc>
          <w:tcPr>
            <w:tcW w:w="1195" w:type="dxa"/>
            <w:tcBorders>
              <w:bottom w:val="single" w:color="auto" w:sz="8" w:space="0"/>
            </w:tcBorders>
            <w:vAlign w:val="center"/>
          </w:tcPr>
          <w:p>
            <w:pPr>
              <w:jc w:val="center"/>
              <w:rPr>
                <w:sz w:val="18"/>
                <w:szCs w:val="18"/>
              </w:rPr>
            </w:pPr>
            <w:r>
              <w:rPr>
                <w:rFonts w:hint="eastAsia"/>
                <w:sz w:val="18"/>
                <w:szCs w:val="18"/>
              </w:rPr>
              <w:t>mg/kg</w:t>
            </w:r>
          </w:p>
        </w:tc>
        <w:tc>
          <w:tcPr>
            <w:tcW w:w="3235" w:type="dxa"/>
            <w:tcBorders>
              <w:top w:val="single" w:color="auto" w:sz="4" w:space="0"/>
              <w:bottom w:val="single" w:color="auto" w:sz="8" w:space="0"/>
            </w:tcBorders>
            <w:shd w:val="clear" w:color="auto" w:fill="auto"/>
            <w:vAlign w:val="center"/>
          </w:tcPr>
          <w:p>
            <w:pPr>
              <w:jc w:val="center"/>
              <w:rPr>
                <w:rFonts w:hint="default" w:eastAsia="宋体"/>
                <w:sz w:val="18"/>
                <w:szCs w:val="18"/>
                <w:lang w:val="en-US" w:eastAsia="zh-CN"/>
              </w:rPr>
            </w:pPr>
            <w:r>
              <w:rPr>
                <w:rFonts w:hint="eastAsia"/>
                <w:sz w:val="18"/>
                <w:szCs w:val="18"/>
              </w:rPr>
              <w:t>≤</w:t>
            </w:r>
            <w:r>
              <w:rPr>
                <w:rFonts w:hint="eastAsia"/>
                <w:sz w:val="18"/>
                <w:szCs w:val="18"/>
                <w:lang w:val="en-US" w:eastAsia="zh-CN"/>
              </w:rPr>
              <w:t>100</w:t>
            </w:r>
            <w:bookmarkStart w:id="116" w:name="_GoBack"/>
            <w:bookmarkEnd w:id="116"/>
          </w:p>
        </w:tc>
        <w:tc>
          <w:tcPr>
            <w:tcW w:w="2187" w:type="dxa"/>
            <w:vMerge w:val="continue"/>
            <w:shd w:val="clear" w:color="auto" w:fill="auto"/>
            <w:vAlign w:val="center"/>
          </w:tcPr>
          <w:p>
            <w:pPr>
              <w:jc w:val="center"/>
              <w:rPr>
                <w:color w:val="000000"/>
                <w:sz w:val="18"/>
                <w:szCs w:val="18"/>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tcBorders>
              <w:top w:val="single" w:color="auto" w:sz="4" w:space="0"/>
              <w:bottom w:val="single" w:color="auto" w:sz="8" w:space="0"/>
            </w:tcBorders>
            <w:shd w:val="clear" w:color="auto" w:fill="auto"/>
            <w:vAlign w:val="center"/>
          </w:tcPr>
          <w:p>
            <w:pPr>
              <w:jc w:val="center"/>
              <w:rPr>
                <w:rFonts w:hint="default" w:ascii="Calibri" w:hAnsi="Calibri" w:eastAsia="宋体" w:cs="Times New Roman"/>
                <w:kern w:val="2"/>
                <w:sz w:val="18"/>
                <w:szCs w:val="18"/>
                <w:lang w:val="en-US" w:eastAsia="zh-CN" w:bidi="ar-SA"/>
              </w:rPr>
            </w:pPr>
            <w:r>
              <w:rPr>
                <w:rFonts w:hint="eastAsia"/>
                <w:sz w:val="18"/>
                <w:szCs w:val="18"/>
                <w:lang w:val="en-US" w:eastAsia="zh-CN"/>
              </w:rPr>
              <w:t>23</w:t>
            </w:r>
          </w:p>
        </w:tc>
        <w:tc>
          <w:tcPr>
            <w:tcW w:w="596" w:type="dxa"/>
            <w:vMerge w:val="continue"/>
            <w:shd w:val="clear" w:color="auto" w:fill="auto"/>
            <w:vAlign w:val="center"/>
          </w:tcPr>
          <w:p>
            <w:pPr>
              <w:jc w:val="center"/>
              <w:rPr>
                <w:sz w:val="18"/>
                <w:szCs w:val="18"/>
              </w:rPr>
            </w:pPr>
          </w:p>
        </w:tc>
        <w:tc>
          <w:tcPr>
            <w:tcW w:w="953" w:type="dxa"/>
            <w:vMerge w:val="continue"/>
            <w:shd w:val="clear" w:color="auto" w:fill="auto"/>
            <w:vAlign w:val="center"/>
          </w:tcPr>
          <w:p>
            <w:pPr>
              <w:jc w:val="center"/>
              <w:rPr>
                <w:sz w:val="18"/>
                <w:szCs w:val="18"/>
              </w:rPr>
            </w:pPr>
          </w:p>
        </w:tc>
        <w:tc>
          <w:tcPr>
            <w:tcW w:w="939" w:type="dxa"/>
            <w:tcBorders>
              <w:bottom w:val="single" w:color="auto" w:sz="8" w:space="0"/>
            </w:tcBorders>
            <w:shd w:val="clear" w:color="auto" w:fill="auto"/>
            <w:vAlign w:val="center"/>
          </w:tcPr>
          <w:p>
            <w:pPr>
              <w:jc w:val="center"/>
              <w:rPr>
                <w:sz w:val="18"/>
                <w:szCs w:val="18"/>
              </w:rPr>
            </w:pPr>
            <w:r>
              <w:rPr>
                <w:rFonts w:hint="eastAsia"/>
                <w:sz w:val="18"/>
                <w:szCs w:val="18"/>
              </w:rPr>
              <w:t xml:space="preserve">汞 </w:t>
            </w:r>
            <w:r>
              <w:rPr>
                <w:sz w:val="18"/>
                <w:szCs w:val="18"/>
              </w:rPr>
              <w:t>Hg</w:t>
            </w:r>
          </w:p>
        </w:tc>
        <w:tc>
          <w:tcPr>
            <w:tcW w:w="1195" w:type="dxa"/>
            <w:tcBorders>
              <w:bottom w:val="single" w:color="auto" w:sz="8" w:space="0"/>
            </w:tcBorders>
            <w:vAlign w:val="center"/>
          </w:tcPr>
          <w:p>
            <w:pPr>
              <w:jc w:val="center"/>
              <w:rPr>
                <w:sz w:val="18"/>
                <w:szCs w:val="18"/>
              </w:rPr>
            </w:pPr>
            <w:r>
              <w:rPr>
                <w:rFonts w:hint="eastAsia"/>
                <w:sz w:val="18"/>
                <w:szCs w:val="18"/>
              </w:rPr>
              <w:t>mg/kg</w:t>
            </w:r>
          </w:p>
        </w:tc>
        <w:tc>
          <w:tcPr>
            <w:tcW w:w="3235" w:type="dxa"/>
            <w:tcBorders>
              <w:top w:val="single" w:color="auto" w:sz="4" w:space="0"/>
              <w:bottom w:val="single" w:color="auto" w:sz="8" w:space="0"/>
            </w:tcBorders>
            <w:shd w:val="clear" w:color="auto" w:fill="auto"/>
            <w:vAlign w:val="center"/>
          </w:tcPr>
          <w:p>
            <w:pPr>
              <w:jc w:val="center"/>
              <w:rPr>
                <w:color w:val="000000"/>
                <w:sz w:val="18"/>
                <w:szCs w:val="18"/>
                <w:lang w:bidi="ar"/>
              </w:rPr>
            </w:pPr>
            <w:r>
              <w:rPr>
                <w:rFonts w:hint="eastAsia"/>
                <w:sz w:val="18"/>
                <w:szCs w:val="18"/>
              </w:rPr>
              <w:t>≤1</w:t>
            </w:r>
          </w:p>
        </w:tc>
        <w:tc>
          <w:tcPr>
            <w:tcW w:w="2187" w:type="dxa"/>
            <w:vMerge w:val="continue"/>
            <w:shd w:val="clear" w:color="auto" w:fill="auto"/>
            <w:vAlign w:val="center"/>
          </w:tcPr>
          <w:p>
            <w:pPr>
              <w:jc w:val="center"/>
              <w:rPr>
                <w:color w:val="000000"/>
                <w:sz w:val="18"/>
                <w:szCs w:val="18"/>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tcBorders>
              <w:top w:val="single" w:color="auto" w:sz="4" w:space="0"/>
              <w:bottom w:val="single" w:color="auto" w:sz="8" w:space="0"/>
            </w:tcBorders>
            <w:shd w:val="clear" w:color="auto" w:fill="auto"/>
            <w:vAlign w:val="center"/>
          </w:tcPr>
          <w:p>
            <w:pPr>
              <w:jc w:val="center"/>
              <w:rPr>
                <w:rFonts w:hint="default" w:ascii="Calibri" w:hAnsi="Calibri" w:eastAsia="宋体" w:cs="Times New Roman"/>
                <w:kern w:val="2"/>
                <w:sz w:val="18"/>
                <w:szCs w:val="18"/>
                <w:lang w:val="en-US" w:eastAsia="zh-CN" w:bidi="ar-SA"/>
              </w:rPr>
            </w:pPr>
            <w:r>
              <w:rPr>
                <w:rFonts w:hint="eastAsia"/>
                <w:sz w:val="18"/>
                <w:szCs w:val="18"/>
                <w:lang w:val="en-US" w:eastAsia="zh-CN"/>
              </w:rPr>
              <w:t>24</w:t>
            </w:r>
          </w:p>
        </w:tc>
        <w:tc>
          <w:tcPr>
            <w:tcW w:w="596" w:type="dxa"/>
            <w:vMerge w:val="continue"/>
            <w:shd w:val="clear" w:color="auto" w:fill="auto"/>
            <w:vAlign w:val="center"/>
          </w:tcPr>
          <w:p>
            <w:pPr>
              <w:jc w:val="center"/>
              <w:rPr>
                <w:sz w:val="18"/>
                <w:szCs w:val="18"/>
              </w:rPr>
            </w:pPr>
          </w:p>
        </w:tc>
        <w:tc>
          <w:tcPr>
            <w:tcW w:w="953" w:type="dxa"/>
            <w:vMerge w:val="continue"/>
            <w:shd w:val="clear" w:color="auto" w:fill="auto"/>
            <w:vAlign w:val="center"/>
          </w:tcPr>
          <w:p>
            <w:pPr>
              <w:jc w:val="center"/>
              <w:rPr>
                <w:sz w:val="18"/>
                <w:szCs w:val="18"/>
              </w:rPr>
            </w:pPr>
          </w:p>
        </w:tc>
        <w:tc>
          <w:tcPr>
            <w:tcW w:w="939" w:type="dxa"/>
            <w:tcBorders>
              <w:bottom w:val="single" w:color="auto" w:sz="8" w:space="0"/>
            </w:tcBorders>
            <w:shd w:val="clear" w:color="auto" w:fill="auto"/>
            <w:vAlign w:val="center"/>
          </w:tcPr>
          <w:p>
            <w:pPr>
              <w:jc w:val="center"/>
              <w:rPr>
                <w:sz w:val="18"/>
                <w:szCs w:val="18"/>
              </w:rPr>
            </w:pPr>
            <w:r>
              <w:rPr>
                <w:rFonts w:hint="eastAsia"/>
                <w:sz w:val="18"/>
                <w:szCs w:val="18"/>
              </w:rPr>
              <w:t xml:space="preserve">铅 </w:t>
            </w:r>
            <w:r>
              <w:rPr>
                <w:sz w:val="18"/>
                <w:szCs w:val="18"/>
              </w:rPr>
              <w:t>Pb</w:t>
            </w:r>
          </w:p>
        </w:tc>
        <w:tc>
          <w:tcPr>
            <w:tcW w:w="1195" w:type="dxa"/>
            <w:tcBorders>
              <w:bottom w:val="single" w:color="auto" w:sz="8" w:space="0"/>
            </w:tcBorders>
            <w:vAlign w:val="center"/>
          </w:tcPr>
          <w:p>
            <w:pPr>
              <w:jc w:val="center"/>
              <w:rPr>
                <w:sz w:val="18"/>
                <w:szCs w:val="18"/>
              </w:rPr>
            </w:pPr>
            <w:r>
              <w:rPr>
                <w:rFonts w:hint="eastAsia"/>
                <w:sz w:val="18"/>
                <w:szCs w:val="18"/>
              </w:rPr>
              <w:t>mg/kg</w:t>
            </w:r>
          </w:p>
        </w:tc>
        <w:tc>
          <w:tcPr>
            <w:tcW w:w="3235" w:type="dxa"/>
            <w:tcBorders>
              <w:top w:val="single" w:color="auto" w:sz="4" w:space="0"/>
              <w:bottom w:val="single" w:color="auto" w:sz="8" w:space="0"/>
            </w:tcBorders>
            <w:shd w:val="clear" w:color="auto" w:fill="auto"/>
            <w:vAlign w:val="center"/>
          </w:tcPr>
          <w:p>
            <w:pPr>
              <w:jc w:val="center"/>
              <w:rPr>
                <w:color w:val="000000"/>
                <w:sz w:val="18"/>
                <w:szCs w:val="18"/>
                <w:lang w:bidi="ar"/>
              </w:rPr>
            </w:pPr>
            <w:r>
              <w:rPr>
                <w:rFonts w:hint="eastAsia"/>
                <w:sz w:val="18"/>
                <w:szCs w:val="18"/>
              </w:rPr>
              <w:t>≤10</w:t>
            </w:r>
          </w:p>
        </w:tc>
        <w:tc>
          <w:tcPr>
            <w:tcW w:w="2187" w:type="dxa"/>
            <w:vMerge w:val="continue"/>
            <w:shd w:val="clear" w:color="auto" w:fill="auto"/>
            <w:vAlign w:val="center"/>
          </w:tcPr>
          <w:p>
            <w:pPr>
              <w:jc w:val="center"/>
              <w:rPr>
                <w:color w:val="000000"/>
                <w:sz w:val="18"/>
                <w:szCs w:val="18"/>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tcBorders>
              <w:top w:val="single" w:color="auto" w:sz="4" w:space="0"/>
              <w:bottom w:val="single" w:color="auto" w:sz="8" w:space="0"/>
            </w:tcBorders>
            <w:shd w:val="clear" w:color="auto" w:fill="auto"/>
            <w:vAlign w:val="center"/>
          </w:tcPr>
          <w:p>
            <w:pPr>
              <w:jc w:val="center"/>
              <w:rPr>
                <w:rFonts w:hint="default" w:ascii="Calibri" w:hAnsi="Calibri" w:eastAsia="宋体" w:cs="Times New Roman"/>
                <w:kern w:val="2"/>
                <w:sz w:val="18"/>
                <w:szCs w:val="18"/>
                <w:lang w:val="en-US" w:eastAsia="zh-CN" w:bidi="ar-SA"/>
              </w:rPr>
            </w:pPr>
            <w:r>
              <w:rPr>
                <w:rFonts w:hint="eastAsia"/>
                <w:sz w:val="18"/>
                <w:szCs w:val="18"/>
                <w:lang w:val="en-US" w:eastAsia="zh-CN"/>
              </w:rPr>
              <w:t>25</w:t>
            </w:r>
          </w:p>
        </w:tc>
        <w:tc>
          <w:tcPr>
            <w:tcW w:w="596" w:type="dxa"/>
            <w:vMerge w:val="continue"/>
            <w:shd w:val="clear" w:color="auto" w:fill="auto"/>
            <w:vAlign w:val="center"/>
          </w:tcPr>
          <w:p>
            <w:pPr>
              <w:jc w:val="center"/>
              <w:rPr>
                <w:sz w:val="18"/>
                <w:szCs w:val="18"/>
              </w:rPr>
            </w:pPr>
          </w:p>
        </w:tc>
        <w:tc>
          <w:tcPr>
            <w:tcW w:w="953" w:type="dxa"/>
            <w:vMerge w:val="continue"/>
            <w:shd w:val="clear" w:color="auto" w:fill="auto"/>
            <w:vAlign w:val="center"/>
          </w:tcPr>
          <w:p>
            <w:pPr>
              <w:jc w:val="center"/>
              <w:rPr>
                <w:sz w:val="18"/>
                <w:szCs w:val="18"/>
              </w:rPr>
            </w:pPr>
          </w:p>
        </w:tc>
        <w:tc>
          <w:tcPr>
            <w:tcW w:w="939" w:type="dxa"/>
            <w:tcBorders>
              <w:bottom w:val="single" w:color="auto" w:sz="8" w:space="0"/>
            </w:tcBorders>
            <w:shd w:val="clear" w:color="auto" w:fill="auto"/>
            <w:vAlign w:val="center"/>
          </w:tcPr>
          <w:p>
            <w:pPr>
              <w:jc w:val="center"/>
              <w:rPr>
                <w:sz w:val="18"/>
                <w:szCs w:val="18"/>
              </w:rPr>
            </w:pPr>
            <w:r>
              <w:rPr>
                <w:rFonts w:hint="eastAsia"/>
                <w:sz w:val="18"/>
                <w:szCs w:val="18"/>
              </w:rPr>
              <w:t xml:space="preserve">砷 </w:t>
            </w:r>
            <w:r>
              <w:rPr>
                <w:sz w:val="18"/>
                <w:szCs w:val="18"/>
              </w:rPr>
              <w:t>As</w:t>
            </w:r>
          </w:p>
        </w:tc>
        <w:tc>
          <w:tcPr>
            <w:tcW w:w="1195" w:type="dxa"/>
            <w:tcBorders>
              <w:bottom w:val="single" w:color="auto" w:sz="8" w:space="0"/>
            </w:tcBorders>
            <w:vAlign w:val="center"/>
          </w:tcPr>
          <w:p>
            <w:pPr>
              <w:jc w:val="center"/>
              <w:rPr>
                <w:sz w:val="18"/>
                <w:szCs w:val="18"/>
              </w:rPr>
            </w:pPr>
            <w:r>
              <w:rPr>
                <w:rFonts w:hint="eastAsia"/>
                <w:sz w:val="18"/>
                <w:szCs w:val="18"/>
              </w:rPr>
              <w:t>mg/kg</w:t>
            </w:r>
          </w:p>
        </w:tc>
        <w:tc>
          <w:tcPr>
            <w:tcW w:w="3235" w:type="dxa"/>
            <w:tcBorders>
              <w:top w:val="single" w:color="auto" w:sz="4" w:space="0"/>
              <w:bottom w:val="single" w:color="auto" w:sz="8" w:space="0"/>
            </w:tcBorders>
            <w:shd w:val="clear" w:color="auto" w:fill="auto"/>
            <w:vAlign w:val="center"/>
          </w:tcPr>
          <w:p>
            <w:pPr>
              <w:jc w:val="center"/>
              <w:rPr>
                <w:color w:val="000000"/>
                <w:sz w:val="18"/>
                <w:szCs w:val="18"/>
                <w:lang w:bidi="ar"/>
              </w:rPr>
            </w:pPr>
            <w:r>
              <w:rPr>
                <w:rFonts w:hint="eastAsia"/>
                <w:sz w:val="18"/>
                <w:szCs w:val="18"/>
              </w:rPr>
              <w:t>≤2</w:t>
            </w:r>
          </w:p>
        </w:tc>
        <w:tc>
          <w:tcPr>
            <w:tcW w:w="2187" w:type="dxa"/>
            <w:vMerge w:val="continue"/>
            <w:shd w:val="clear" w:color="auto" w:fill="auto"/>
            <w:vAlign w:val="center"/>
          </w:tcPr>
          <w:p>
            <w:pPr>
              <w:jc w:val="center"/>
              <w:rPr>
                <w:color w:val="000000"/>
                <w:sz w:val="18"/>
                <w:szCs w:val="18"/>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tcBorders>
              <w:top w:val="single" w:color="auto" w:sz="4" w:space="0"/>
              <w:bottom w:val="single" w:color="auto" w:sz="8" w:space="0"/>
            </w:tcBorders>
            <w:shd w:val="clear" w:color="auto" w:fill="auto"/>
            <w:vAlign w:val="center"/>
          </w:tcPr>
          <w:p>
            <w:pPr>
              <w:jc w:val="center"/>
              <w:rPr>
                <w:rFonts w:hint="default"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26</w:t>
            </w:r>
          </w:p>
        </w:tc>
        <w:tc>
          <w:tcPr>
            <w:tcW w:w="596" w:type="dxa"/>
            <w:vMerge w:val="continue"/>
            <w:tcBorders>
              <w:bottom w:val="single" w:color="auto" w:sz="8" w:space="0"/>
            </w:tcBorders>
            <w:shd w:val="clear" w:color="auto" w:fill="auto"/>
            <w:vAlign w:val="center"/>
          </w:tcPr>
          <w:p>
            <w:pPr>
              <w:jc w:val="center"/>
              <w:rPr>
                <w:sz w:val="18"/>
                <w:szCs w:val="18"/>
              </w:rPr>
            </w:pPr>
          </w:p>
        </w:tc>
        <w:tc>
          <w:tcPr>
            <w:tcW w:w="953" w:type="dxa"/>
            <w:vMerge w:val="continue"/>
            <w:tcBorders>
              <w:bottom w:val="single" w:color="auto" w:sz="8" w:space="0"/>
            </w:tcBorders>
            <w:shd w:val="clear" w:color="auto" w:fill="auto"/>
            <w:vAlign w:val="center"/>
          </w:tcPr>
          <w:p>
            <w:pPr>
              <w:jc w:val="center"/>
              <w:rPr>
                <w:sz w:val="18"/>
                <w:szCs w:val="18"/>
              </w:rPr>
            </w:pPr>
          </w:p>
        </w:tc>
        <w:tc>
          <w:tcPr>
            <w:tcW w:w="939" w:type="dxa"/>
            <w:tcBorders>
              <w:bottom w:val="single" w:color="auto" w:sz="8" w:space="0"/>
            </w:tcBorders>
            <w:shd w:val="clear" w:color="auto" w:fill="auto"/>
            <w:vAlign w:val="center"/>
          </w:tcPr>
          <w:p>
            <w:pPr>
              <w:jc w:val="center"/>
              <w:rPr>
                <w:sz w:val="18"/>
                <w:szCs w:val="18"/>
              </w:rPr>
            </w:pPr>
            <w:r>
              <w:rPr>
                <w:rFonts w:hint="eastAsia"/>
                <w:sz w:val="18"/>
                <w:szCs w:val="18"/>
              </w:rPr>
              <w:t xml:space="preserve">镉 </w:t>
            </w:r>
            <w:r>
              <w:rPr>
                <w:sz w:val="18"/>
                <w:szCs w:val="18"/>
              </w:rPr>
              <w:t>Cd</w:t>
            </w:r>
          </w:p>
        </w:tc>
        <w:tc>
          <w:tcPr>
            <w:tcW w:w="1195" w:type="dxa"/>
            <w:tcBorders>
              <w:bottom w:val="single" w:color="auto" w:sz="8" w:space="0"/>
            </w:tcBorders>
            <w:vAlign w:val="center"/>
          </w:tcPr>
          <w:p>
            <w:pPr>
              <w:jc w:val="center"/>
              <w:rPr>
                <w:sz w:val="18"/>
                <w:szCs w:val="18"/>
              </w:rPr>
            </w:pPr>
            <w:r>
              <w:rPr>
                <w:rFonts w:hint="eastAsia"/>
                <w:sz w:val="18"/>
                <w:szCs w:val="18"/>
              </w:rPr>
              <w:t>mg/kg</w:t>
            </w:r>
          </w:p>
        </w:tc>
        <w:tc>
          <w:tcPr>
            <w:tcW w:w="3235" w:type="dxa"/>
            <w:tcBorders>
              <w:top w:val="single" w:color="auto" w:sz="4" w:space="0"/>
              <w:bottom w:val="single" w:color="auto" w:sz="8" w:space="0"/>
            </w:tcBorders>
            <w:shd w:val="clear" w:color="auto" w:fill="auto"/>
            <w:vAlign w:val="center"/>
          </w:tcPr>
          <w:p>
            <w:pPr>
              <w:jc w:val="center"/>
              <w:rPr>
                <w:color w:val="000000"/>
                <w:sz w:val="18"/>
                <w:szCs w:val="18"/>
                <w:lang w:bidi="ar"/>
              </w:rPr>
            </w:pPr>
            <w:r>
              <w:rPr>
                <w:rFonts w:hint="eastAsia"/>
                <w:sz w:val="18"/>
                <w:szCs w:val="18"/>
              </w:rPr>
              <w:t>≤5</w:t>
            </w:r>
          </w:p>
        </w:tc>
        <w:tc>
          <w:tcPr>
            <w:tcW w:w="2187" w:type="dxa"/>
            <w:vMerge w:val="continue"/>
            <w:tcBorders>
              <w:bottom w:val="single" w:color="auto" w:sz="8" w:space="0"/>
            </w:tcBorders>
            <w:shd w:val="clear" w:color="auto" w:fill="auto"/>
            <w:vAlign w:val="center"/>
          </w:tcPr>
          <w:p>
            <w:pPr>
              <w:jc w:val="center"/>
              <w:rPr>
                <w:color w:val="000000"/>
                <w:sz w:val="18"/>
                <w:szCs w:val="18"/>
                <w:lang w:bidi="ar"/>
              </w:rPr>
            </w:pPr>
          </w:p>
        </w:tc>
      </w:tr>
    </w:tbl>
    <w:p>
      <w:pPr>
        <w:pStyle w:val="105"/>
        <w:spacing w:before="120" w:after="120"/>
        <w:jc w:val="left"/>
      </w:pPr>
      <w:bookmarkStart w:id="82" w:name="_Hlk149922841"/>
      <w:bookmarkStart w:id="83" w:name="_Toc10526"/>
      <w:bookmarkStart w:id="84" w:name="_Toc150260166"/>
      <w:bookmarkStart w:id="85" w:name="_Toc16886"/>
      <w:bookmarkStart w:id="86" w:name="_Toc2310"/>
      <w:r>
        <w:rPr>
          <w:rFonts w:hint="eastAsia"/>
        </w:rPr>
        <w:t>数据来源</w:t>
      </w:r>
      <w:bookmarkEnd w:id="82"/>
      <w:bookmarkEnd w:id="83"/>
      <w:bookmarkEnd w:id="84"/>
      <w:bookmarkEnd w:id="85"/>
      <w:bookmarkEnd w:id="86"/>
    </w:p>
    <w:p>
      <w:pPr>
        <w:pStyle w:val="65"/>
        <w:spacing w:before="120" w:after="120"/>
      </w:pPr>
      <w:bookmarkStart w:id="87" w:name="_Toc150260167"/>
      <w:bookmarkStart w:id="88" w:name="_Toc28012"/>
      <w:r>
        <w:rPr>
          <w:rFonts w:hint="eastAsia"/>
        </w:rPr>
        <w:t>统计</w:t>
      </w:r>
      <w:bookmarkEnd w:id="87"/>
      <w:bookmarkEnd w:id="88"/>
    </w:p>
    <w:p>
      <w:pPr>
        <w:pStyle w:val="230"/>
      </w:pPr>
      <w:r>
        <w:rPr>
          <w:rFonts w:hint="eastAsia"/>
        </w:rPr>
        <w:t>企业的单位产品取水量、单位产品综合能耗和水的重复利用率，以年报或一定计量时间内的报表为准。</w:t>
      </w:r>
    </w:p>
    <w:p>
      <w:pPr>
        <w:pStyle w:val="65"/>
        <w:spacing w:before="120" w:after="120"/>
      </w:pPr>
      <w:bookmarkStart w:id="89" w:name="_Toc17989"/>
      <w:bookmarkStart w:id="90" w:name="_Toc150260168"/>
      <w:r>
        <w:rPr>
          <w:rFonts w:hint="eastAsia"/>
        </w:rPr>
        <w:t>实测</w:t>
      </w:r>
      <w:bookmarkEnd w:id="89"/>
      <w:bookmarkEnd w:id="90"/>
    </w:p>
    <w:p>
      <w:pPr>
        <w:pStyle w:val="230"/>
      </w:pPr>
      <w:r>
        <w:rPr>
          <w:rFonts w:hint="eastAsia"/>
        </w:rPr>
        <w:t>如果统计数据严重短缺，单位产品取水量等特征指标也可以在一定计量时间内用实测方法取得，一定计量时间一般不少于一个月。</w:t>
      </w:r>
    </w:p>
    <w:p>
      <w:pPr>
        <w:pStyle w:val="65"/>
        <w:spacing w:before="120" w:after="120"/>
      </w:pPr>
      <w:bookmarkStart w:id="91" w:name="_Toc150260169"/>
      <w:bookmarkStart w:id="92" w:name="_Toc19806"/>
      <w:r>
        <w:rPr>
          <w:rFonts w:hint="eastAsia"/>
        </w:rPr>
        <w:t>采样和监测</w:t>
      </w:r>
      <w:bookmarkEnd w:id="91"/>
      <w:bookmarkEnd w:id="92"/>
    </w:p>
    <w:p>
      <w:pPr>
        <w:pStyle w:val="230"/>
      </w:pPr>
      <w:r>
        <w:rPr>
          <w:rFonts w:hint="eastAsia"/>
        </w:rPr>
        <w:t>污染物排放指标的采样和监测按照相关技术规范执行，并采用国家标准实施监测；产品质量检测采样和检测按照标准</w:t>
      </w:r>
      <w:r>
        <w:rPr>
          <w:rFonts w:hint="eastAsia"/>
          <w:szCs w:val="21"/>
        </w:rPr>
        <w:t>GB/T 34857</w:t>
      </w:r>
      <w:r>
        <w:rPr>
          <w:rFonts w:hint="eastAsia"/>
        </w:rPr>
        <w:t>或本文件的要求执行。</w:t>
      </w:r>
    </w:p>
    <w:p>
      <w:pPr>
        <w:pStyle w:val="105"/>
        <w:spacing w:before="120" w:after="120"/>
      </w:pPr>
      <w:bookmarkStart w:id="93" w:name="_Toc3108"/>
      <w:bookmarkStart w:id="94" w:name="_Toc150260170"/>
      <w:bookmarkStart w:id="95" w:name="_Toc14936"/>
      <w:bookmarkStart w:id="96" w:name="_Toc32332"/>
      <w:r>
        <w:rPr>
          <w:rFonts w:hint="eastAsia"/>
        </w:rPr>
        <w:t>评价方法</w:t>
      </w:r>
      <w:bookmarkEnd w:id="93"/>
      <w:bookmarkEnd w:id="94"/>
      <w:bookmarkEnd w:id="95"/>
      <w:bookmarkEnd w:id="96"/>
    </w:p>
    <w:p>
      <w:pPr>
        <w:pStyle w:val="230"/>
      </w:pPr>
      <w:r>
        <w:rPr>
          <w:rFonts w:hint="eastAsia"/>
        </w:rPr>
        <w:t>由“江西绿色生态”评价机构，依据“江西绿色生态”品牌认证技术标准及相应评价实施细则实施认证。</w:t>
      </w:r>
    </w:p>
    <w:p>
      <w:pPr>
        <w:pStyle w:val="105"/>
        <w:spacing w:before="120" w:after="120"/>
      </w:pPr>
      <w:bookmarkStart w:id="97" w:name="_Toc150260171"/>
      <w:bookmarkStart w:id="98" w:name="_Toc23275"/>
      <w:bookmarkStart w:id="99" w:name="_Toc1806"/>
      <w:bookmarkStart w:id="100" w:name="_Toc14319"/>
      <w:r>
        <w:rPr>
          <w:rFonts w:hint="eastAsia"/>
        </w:rPr>
        <w:t>评价报告</w:t>
      </w:r>
      <w:bookmarkEnd w:id="97"/>
      <w:bookmarkEnd w:id="98"/>
      <w:bookmarkEnd w:id="99"/>
      <w:bookmarkEnd w:id="100"/>
    </w:p>
    <w:p>
      <w:pPr>
        <w:pStyle w:val="230"/>
      </w:pPr>
      <w:r>
        <w:rPr>
          <w:rFonts w:hint="eastAsia"/>
        </w:rPr>
        <w:t>“江西绿色生态”评价机构按照本文件的要求，对参评的产品出具评价报告，符合评价要求的产品则授予认证证书和标志。</w:t>
      </w:r>
    </w:p>
    <w:p>
      <w:pPr>
        <w:pStyle w:val="104"/>
        <w:spacing w:before="240" w:after="240"/>
      </w:pPr>
      <w:bookmarkStart w:id="101" w:name="_Toc11544"/>
      <w:bookmarkStart w:id="102" w:name="_Toc29583"/>
      <w:bookmarkStart w:id="103" w:name="_Toc22189"/>
      <w:r>
        <w:rPr>
          <w:rFonts w:hint="eastAsia"/>
        </w:rPr>
        <w:t>品牌互认</w:t>
      </w:r>
      <w:bookmarkEnd w:id="101"/>
      <w:bookmarkEnd w:id="102"/>
      <w:bookmarkEnd w:id="103"/>
    </w:p>
    <w:p>
      <w:pPr>
        <w:pStyle w:val="105"/>
        <w:spacing w:before="120" w:after="120"/>
        <w:rPr>
          <w:rFonts w:ascii="宋体" w:hAnsi="宋体" w:eastAsia="宋体"/>
        </w:rPr>
      </w:pPr>
      <w:bookmarkStart w:id="104" w:name="_Toc13433"/>
      <w:bookmarkStart w:id="105" w:name="_Toc150260173"/>
      <w:bookmarkStart w:id="106" w:name="_Toc26535"/>
      <w:bookmarkStart w:id="107" w:name="_Toc10330"/>
      <w:r>
        <w:rPr>
          <w:rFonts w:hint="eastAsia" w:ascii="宋体" w:hAnsi="宋体" w:eastAsia="宋体"/>
        </w:rPr>
        <w:t>通过“赣出精品”等区域公用品牌认定的儿童沐浴露产品，经江西绿色生态品牌建设促进会及第三方认证机构确认，可以采信为“江西绿色生态”品牌产品，在相关规定下可使用双重品牌证书和标志。</w:t>
      </w:r>
      <w:bookmarkEnd w:id="104"/>
      <w:bookmarkEnd w:id="105"/>
      <w:bookmarkEnd w:id="106"/>
      <w:bookmarkEnd w:id="107"/>
    </w:p>
    <w:p>
      <w:pPr>
        <w:pStyle w:val="105"/>
        <w:spacing w:before="120" w:after="120"/>
        <w:rPr>
          <w:rFonts w:ascii="宋体" w:hAnsi="宋体" w:eastAsia="宋体"/>
        </w:rPr>
      </w:pPr>
      <w:bookmarkStart w:id="108" w:name="_Toc9445"/>
      <w:bookmarkStart w:id="109" w:name="_Toc150260174"/>
      <w:bookmarkStart w:id="110" w:name="_Toc10536"/>
      <w:bookmarkStart w:id="111" w:name="_Toc11085"/>
      <w:r>
        <w:rPr>
          <w:rFonts w:hint="eastAsia" w:ascii="宋体" w:hAnsi="宋体" w:eastAsia="宋体"/>
        </w:rPr>
        <w:t>拥有“江西绿色生态”和“赣出精品”双重品牌证书和标志的儿童沐浴露产品，同等条件下可以享受双方品牌宣传推广和政策优惠的权益，接受双方品牌监督管理的有关规定。</w:t>
      </w:r>
      <w:bookmarkEnd w:id="108"/>
      <w:bookmarkEnd w:id="109"/>
      <w:bookmarkEnd w:id="110"/>
      <w:bookmarkEnd w:id="111"/>
    </w:p>
    <w:p>
      <w:pPr>
        <w:rPr>
          <w:rFonts w:ascii="宋体" w:hAnsi="宋体" w:eastAsia="宋体"/>
        </w:rPr>
      </w:pPr>
      <w:r>
        <w:rPr>
          <w:rFonts w:hint="eastAsia" w:ascii="宋体" w:hAnsi="宋体" w:eastAsia="宋体"/>
        </w:rPr>
        <w:br w:type="page"/>
      </w:r>
    </w:p>
    <w:p>
      <w:pPr>
        <w:pStyle w:val="56"/>
      </w:pPr>
    </w:p>
    <w:p>
      <w:pPr>
        <w:pStyle w:val="240"/>
        <w:bidi w:val="0"/>
        <w:rPr>
          <w:rFonts w:hint="eastAsia"/>
        </w:rPr>
      </w:pPr>
      <w:bookmarkStart w:id="112" w:name="_Toc27640"/>
      <w:bookmarkStart w:id="113" w:name="_Toc29591"/>
      <w:r>
        <w:rPr>
          <w:rFonts w:hint="eastAsia"/>
        </w:rPr>
        <w:br w:type="textWrapping"/>
      </w:r>
      <w:r>
        <w:rPr>
          <w:rFonts w:hint="eastAsia"/>
          <w:lang w:eastAsia="zh-CN"/>
        </w:rPr>
        <w:t>（资料性附录）</w:t>
      </w:r>
      <w:r>
        <w:rPr>
          <w:rFonts w:hint="eastAsia"/>
          <w:lang w:eastAsia="zh-CN"/>
        </w:rPr>
        <w:br w:type="textWrapping"/>
      </w:r>
      <w:r>
        <w:rPr>
          <w:rFonts w:hint="eastAsia"/>
          <w:lang w:eastAsia="zh-CN"/>
        </w:rPr>
        <w:t>天然原料或天然来源允许使用的加工方法</w:t>
      </w:r>
      <w:bookmarkEnd w:id="112"/>
      <w:bookmarkEnd w:id="113"/>
    </w:p>
    <w:p>
      <w:pPr>
        <w:rPr>
          <w:rFonts w:hint="eastAsia" w:ascii="黑体" w:hAnsi="Times New Roman" w:eastAsia="黑体" w:cs="Times New Roman"/>
          <w:kern w:val="0"/>
          <w:sz w:val="21"/>
          <w:szCs w:val="20"/>
          <w:lang w:val="en-US" w:eastAsia="zh-CN" w:bidi="ar-SA"/>
        </w:rPr>
      </w:pPr>
      <w:bookmarkStart w:id="114" w:name="DW"/>
      <w:bookmarkEnd w:id="114"/>
      <w:r>
        <w:rPr>
          <w:rFonts w:hint="eastAsia"/>
          <w:lang w:val="en-US" w:eastAsia="zh-CN"/>
        </w:rPr>
        <w:t xml:space="preserve">A </w:t>
      </w:r>
      <w:r>
        <w:rPr>
          <w:rFonts w:hint="eastAsia" w:ascii="黑体" w:hAnsi="Times New Roman" w:eastAsia="黑体" w:cs="Times New Roman"/>
          <w:kern w:val="0"/>
          <w:sz w:val="21"/>
          <w:szCs w:val="20"/>
          <w:lang w:val="en-US" w:eastAsia="zh-CN" w:bidi="ar-SA"/>
        </w:rPr>
        <w:t>天然原料或天然来源允许使用的加工方法</w:t>
      </w:r>
    </w:p>
    <w:p>
      <w:pPr>
        <w:rPr>
          <w:rFonts w:hint="eastAsia" w:ascii="黑体" w:hAnsi="Times New Roman" w:eastAsia="黑体" w:cs="Times New Roman"/>
          <w:kern w:val="0"/>
          <w:sz w:val="21"/>
          <w:szCs w:val="20"/>
          <w:lang w:val="en-US" w:eastAsia="zh-CN" w:bidi="ar-SA"/>
        </w:rPr>
      </w:pP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74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10" w:type="dxa"/>
            <w:tcBorders>
              <w:bottom w:val="single" w:color="auto" w:sz="8" w:space="0"/>
              <w:tl2br w:val="nil"/>
              <w:tr2bl w:val="nil"/>
            </w:tcBorders>
          </w:tcPr>
          <w:p>
            <w:pPr>
              <w:spacing w:line="36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加工类型</w:t>
            </w:r>
          </w:p>
        </w:tc>
        <w:tc>
          <w:tcPr>
            <w:tcW w:w="7460" w:type="dxa"/>
            <w:tcBorders>
              <w:bottom w:val="single" w:color="auto" w:sz="8" w:space="0"/>
              <w:tl2br w:val="nil"/>
              <w:tr2bl w:val="nil"/>
            </w:tcBorders>
          </w:tcPr>
          <w:p>
            <w:pPr>
              <w:spacing w:line="360" w:lineRule="auto"/>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允许使用的加工方法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10" w:type="dxa"/>
            <w:tcBorders>
              <w:top w:val="single" w:color="auto" w:sz="8" w:space="0"/>
              <w:tl2br w:val="nil"/>
              <w:tr2bl w:val="nil"/>
            </w:tcBorders>
            <w:vAlign w:val="center"/>
          </w:tcPr>
          <w:p>
            <w:pPr>
              <w:spacing w:line="360" w:lineRule="auto"/>
              <w:jc w:val="left"/>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物理加工</w:t>
            </w:r>
          </w:p>
        </w:tc>
        <w:tc>
          <w:tcPr>
            <w:tcW w:w="7460" w:type="dxa"/>
            <w:tcBorders>
              <w:top w:val="single" w:color="auto" w:sz="8" w:space="0"/>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吸收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漂白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脱臭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研磨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离心过滤（分离固体和液体（旋转-烘干））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沉淀和倾析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干燥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烘干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脱萜（用水蒸气分馏）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压榨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萃取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冻干法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混合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过滤和净化（超滤、透析和电解）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渗透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冻压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热压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高温消毒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物理方法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sz w:val="18"/>
                <w:szCs w:val="18"/>
                <w:vertAlign w:val="baseline"/>
                <w:lang w:val="en-US" w:eastAsia="zh-CN"/>
              </w:rPr>
            </w:pPr>
            <w:r>
              <w:rPr>
                <w:rFonts w:hint="eastAsia" w:ascii="宋体" w:hAnsi="宋体" w:eastAsia="宋体" w:cs="宋体"/>
                <w:i w:val="0"/>
                <w:iCs w:val="0"/>
                <w:caps w:val="0"/>
                <w:spacing w:val="0"/>
                <w:kern w:val="0"/>
                <w:sz w:val="18"/>
                <w:szCs w:val="18"/>
                <w:shd w:val="clear" w:fill="FFFFFF"/>
                <w:lang w:val="en-US" w:eastAsia="zh-CN" w:bidi="ar"/>
              </w:rPr>
              <w:t>筛选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10" w:type="dxa"/>
            <w:tcBorders>
              <w:bottom w:val="single" w:color="auto" w:sz="8" w:space="0"/>
              <w:tl2br w:val="nil"/>
              <w:tr2bl w:val="nil"/>
            </w:tcBorders>
          </w:tcPr>
          <w:p>
            <w:pPr>
              <w:spacing w:line="360" w:lineRule="auto"/>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化学加工</w:t>
            </w:r>
          </w:p>
        </w:tc>
        <w:tc>
          <w:tcPr>
            <w:tcW w:w="7460" w:type="dxa"/>
            <w:tcBorders>
              <w:bottom w:val="single" w:color="auto" w:sz="8" w:space="0"/>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烷基化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氨基化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植物残体煅烧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炭化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缩合发应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加成反应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酯化作用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醚化作用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发酵（自然发酵生物发酵）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水合作用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氢化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水解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中和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氧化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还原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两性物质的加工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皂化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i w:val="0"/>
                <w:iCs w:val="0"/>
                <w:caps w:val="0"/>
                <w:spacing w:val="0"/>
                <w:sz w:val="18"/>
                <w:szCs w:val="18"/>
              </w:rPr>
            </w:pPr>
            <w:r>
              <w:rPr>
                <w:rFonts w:hint="eastAsia" w:ascii="宋体" w:hAnsi="宋体" w:eastAsia="宋体" w:cs="宋体"/>
                <w:i w:val="0"/>
                <w:iCs w:val="0"/>
                <w:caps w:val="0"/>
                <w:spacing w:val="0"/>
                <w:kern w:val="0"/>
                <w:sz w:val="18"/>
                <w:szCs w:val="18"/>
                <w:shd w:val="clear" w:fill="FFFFFF"/>
                <w:lang w:val="en-US" w:eastAsia="zh-CN" w:bidi="ar"/>
              </w:rPr>
              <w:t>硫化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sz w:val="18"/>
                <w:szCs w:val="18"/>
                <w:vertAlign w:val="baseline"/>
                <w:lang w:val="en-US" w:eastAsia="zh-CN"/>
              </w:rPr>
            </w:pPr>
            <w:r>
              <w:rPr>
                <w:rFonts w:hint="eastAsia" w:ascii="宋体" w:hAnsi="宋体" w:eastAsia="宋体" w:cs="宋体"/>
                <w:i w:val="0"/>
                <w:iCs w:val="0"/>
                <w:caps w:val="0"/>
                <w:spacing w:val="0"/>
                <w:kern w:val="0"/>
                <w:sz w:val="18"/>
                <w:szCs w:val="18"/>
                <w:shd w:val="clear" w:fill="FFFFFF"/>
                <w:lang w:val="en-US" w:eastAsia="zh-CN" w:bidi="ar"/>
              </w:rPr>
              <w:t>煅烧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10" w:type="dxa"/>
            <w:tcBorders>
              <w:top w:val="single" w:color="auto" w:sz="8" w:space="0"/>
              <w:tl2br w:val="nil"/>
              <w:tr2bl w:val="nil"/>
            </w:tcBorders>
          </w:tcPr>
          <w:p>
            <w:pPr>
              <w:spacing w:line="360" w:lineRule="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加工类型</w:t>
            </w:r>
          </w:p>
        </w:tc>
        <w:tc>
          <w:tcPr>
            <w:tcW w:w="7460" w:type="dxa"/>
            <w:tcBorders>
              <w:top w:val="single" w:color="auto" w:sz="8" w:space="0"/>
              <w:tl2br w:val="nil"/>
              <w:tr2bl w:val="nil"/>
            </w:tcBorders>
          </w:tcPr>
          <w:p>
            <w:pPr>
              <w:spacing w:line="360" w:lineRule="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不允许使用的加工方法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110" w:type="dxa"/>
            <w:tcBorders>
              <w:tl2br w:val="nil"/>
              <w:tr2bl w:val="nil"/>
            </w:tcBorders>
          </w:tcPr>
          <w:p>
            <w:pPr>
              <w:spacing w:line="360" w:lineRule="auto"/>
              <w:rPr>
                <w:rFonts w:hint="eastAsia" w:ascii="宋体" w:hAnsi="宋体" w:eastAsia="宋体" w:cs="宋体"/>
                <w:sz w:val="18"/>
                <w:szCs w:val="18"/>
                <w:vertAlign w:val="baseline"/>
                <w:lang w:val="en-US" w:eastAsia="zh-CN"/>
              </w:rPr>
            </w:pPr>
          </w:p>
        </w:tc>
        <w:tc>
          <w:tcPr>
            <w:tcW w:w="7460"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漂白－脱臭（动物性原料或产品）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脱萜（使用光束脱萜除外）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乙氧基化（聚氨酯）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辐射处理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硫化（为主反应）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基因技术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rPr>
            </w:pPr>
            <w:r>
              <w:rPr>
                <w:rFonts w:hint="eastAsia" w:ascii="宋体" w:hAnsi="宋体" w:eastAsia="宋体" w:cs="宋体"/>
                <w:kern w:val="0"/>
                <w:sz w:val="18"/>
                <w:szCs w:val="18"/>
                <w:shd w:val="clear" w:fill="FFFFFF"/>
                <w:lang w:val="en-US" w:eastAsia="zh-CN" w:bidi="ar"/>
              </w:rPr>
              <w:t>使用环氧乙烷处理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jc w:val="left"/>
              <w:rPr>
                <w:rFonts w:hint="eastAsia" w:ascii="宋体" w:hAnsi="宋体" w:eastAsia="宋体" w:cs="宋体"/>
                <w:sz w:val="18"/>
                <w:szCs w:val="18"/>
                <w:vertAlign w:val="baseline"/>
                <w:lang w:val="en-US" w:eastAsia="zh-CN"/>
              </w:rPr>
            </w:pPr>
            <w:r>
              <w:rPr>
                <w:rFonts w:hint="eastAsia" w:ascii="宋体" w:hAnsi="宋体" w:eastAsia="宋体" w:cs="宋体"/>
                <w:kern w:val="0"/>
                <w:sz w:val="18"/>
                <w:szCs w:val="18"/>
                <w:shd w:val="clear" w:fill="FFFFFF"/>
                <w:lang w:val="en-US" w:eastAsia="zh-CN" w:bidi="ar"/>
              </w:rPr>
              <w:t>使用汞处理（碳酸汞）</w:t>
            </w:r>
          </w:p>
        </w:tc>
      </w:tr>
    </w:tbl>
    <w:p>
      <w:pPr>
        <w:pStyle w:val="56"/>
      </w:pPr>
    </w:p>
    <w:bookmarkEnd w:id="24"/>
    <w:p>
      <w:pPr>
        <w:pStyle w:val="56"/>
        <w:ind w:firstLine="0" w:firstLineChars="0"/>
        <w:jc w:val="center"/>
      </w:pPr>
      <w:bookmarkStart w:id="115" w:name="BookMark8"/>
      <w:r>
        <w:drawing>
          <wp:inline distT="0" distB="0" distL="0" distR="0">
            <wp:extent cx="1485900" cy="317500"/>
            <wp:effectExtent l="0" t="0" r="0" b="6350"/>
            <wp:docPr id="1912587758" name="图片 1"/>
            <wp:cNvGraphicFramePr/>
            <a:graphic xmlns:a="http://schemas.openxmlformats.org/drawingml/2006/main">
              <a:graphicData uri="http://schemas.openxmlformats.org/drawingml/2006/picture">
                <pic:pic xmlns:pic="http://schemas.openxmlformats.org/drawingml/2006/picture">
                  <pic:nvPicPr>
                    <pic:cNvPr id="1912587758"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5"/>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ans-serif">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T/JGE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T/JGE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23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4"/>
      <w:suff w:val="nothing"/>
      <w:lvlText w:val="%1.%2.%3　"/>
      <w:lvlJc w:val="left"/>
      <w:pPr>
        <w:ind w:left="0" w:firstLine="0"/>
      </w:pPr>
      <w:rPr>
        <w:rFonts w:hint="eastAsia" w:ascii="黑体" w:hAnsi="Times New Roman" w:eastAsia="黑体"/>
        <w:b w:val="0"/>
        <w:i w:val="0"/>
        <w:sz w:val="21"/>
      </w:rPr>
    </w:lvl>
    <w:lvl w:ilvl="3" w:tentative="0">
      <w:start w:val="1"/>
      <w:numFmt w:val="decimal"/>
      <w:pStyle w:val="235"/>
      <w:suff w:val="nothing"/>
      <w:lvlText w:val="%1.%2.%3.%4　"/>
      <w:lvlJc w:val="left"/>
      <w:pPr>
        <w:ind w:left="0" w:firstLine="0"/>
      </w:pPr>
      <w:rPr>
        <w:rFonts w:hint="eastAsia" w:ascii="黑体" w:hAnsi="Times New Roman" w:eastAsia="黑体"/>
        <w:b w:val="0"/>
        <w:i w:val="0"/>
        <w:sz w:val="21"/>
      </w:rPr>
    </w:lvl>
    <w:lvl w:ilvl="4" w:tentative="0">
      <w:start w:val="1"/>
      <w:numFmt w:val="decimal"/>
      <w:pStyle w:val="236"/>
      <w:suff w:val="nothing"/>
      <w:lvlText w:val="%1.%2.%3.%4.%5　"/>
      <w:lvlJc w:val="left"/>
      <w:pPr>
        <w:ind w:left="0" w:firstLine="0"/>
      </w:pPr>
      <w:rPr>
        <w:rFonts w:hint="eastAsia" w:ascii="黑体" w:hAnsi="Times New Roman" w:eastAsia="黑体"/>
        <w:b w:val="0"/>
        <w:i w:val="0"/>
        <w:sz w:val="21"/>
      </w:rPr>
    </w:lvl>
    <w:lvl w:ilvl="5" w:tentative="0">
      <w:start w:val="1"/>
      <w:numFmt w:val="decimal"/>
      <w:pStyle w:val="23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1" w:cryptProviderType="rsaAES" w:cryptAlgorithmClass="hash" w:cryptAlgorithmType="typeAny" w:cryptAlgorithmSid="14" w:cryptSpinCount="100000" w:hash="EzCaQQpa7fQRxEadDgLiG41LDA6PBsYzMgFq4mfKeT+Gi5A4Np/6v/bnPqZoT18Az4u7ebME5X+MkzqaMkfCJw==" w:salt="92MW6i0DYbJGCbnXlpzht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xN2NjODU5MWU4OTNhNDNiOWM1OTEzY2FhNDc0MzEifQ=="/>
  </w:docVars>
  <w:rsids>
    <w:rsidRoot w:val="00E43600"/>
    <w:rsid w:val="0000040A"/>
    <w:rsid w:val="00000A94"/>
    <w:rsid w:val="00001972"/>
    <w:rsid w:val="00001D9A"/>
    <w:rsid w:val="00007B3A"/>
    <w:rsid w:val="000107E0"/>
    <w:rsid w:val="00011FDE"/>
    <w:rsid w:val="00012458"/>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B4D"/>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056"/>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1748"/>
    <w:rsid w:val="00262696"/>
    <w:rsid w:val="00263D25"/>
    <w:rsid w:val="002643C3"/>
    <w:rsid w:val="00264A0C"/>
    <w:rsid w:val="00266EEB"/>
    <w:rsid w:val="00267EF4"/>
    <w:rsid w:val="00270CB8"/>
    <w:rsid w:val="00272B08"/>
    <w:rsid w:val="00281BB8"/>
    <w:rsid w:val="00281E9E"/>
    <w:rsid w:val="00282405"/>
    <w:rsid w:val="00285170"/>
    <w:rsid w:val="00285361"/>
    <w:rsid w:val="00286274"/>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4D7"/>
    <w:rsid w:val="002F7AF6"/>
    <w:rsid w:val="00300E63"/>
    <w:rsid w:val="00302F5F"/>
    <w:rsid w:val="0030441D"/>
    <w:rsid w:val="00306063"/>
    <w:rsid w:val="00311482"/>
    <w:rsid w:val="00313B85"/>
    <w:rsid w:val="00317988"/>
    <w:rsid w:val="00320F28"/>
    <w:rsid w:val="003221B4"/>
    <w:rsid w:val="0032258D"/>
    <w:rsid w:val="00322E62"/>
    <w:rsid w:val="00324D13"/>
    <w:rsid w:val="00324EDD"/>
    <w:rsid w:val="003331E4"/>
    <w:rsid w:val="00336C64"/>
    <w:rsid w:val="00337162"/>
    <w:rsid w:val="003375C8"/>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7687C"/>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1A40"/>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B36"/>
    <w:rsid w:val="00573D9E"/>
    <w:rsid w:val="005801E3"/>
    <w:rsid w:val="00581802"/>
    <w:rsid w:val="005836A8"/>
    <w:rsid w:val="0058409C"/>
    <w:rsid w:val="00584262"/>
    <w:rsid w:val="00586630"/>
    <w:rsid w:val="00587ADD"/>
    <w:rsid w:val="0059386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A64"/>
    <w:rsid w:val="00651ACB"/>
    <w:rsid w:val="00651C47"/>
    <w:rsid w:val="00652AB2"/>
    <w:rsid w:val="00653FED"/>
    <w:rsid w:val="006542B2"/>
    <w:rsid w:val="00654EC0"/>
    <w:rsid w:val="0065525B"/>
    <w:rsid w:val="00655722"/>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6EC6"/>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6AF"/>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2BCD"/>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267D"/>
    <w:rsid w:val="00883F93"/>
    <w:rsid w:val="00884561"/>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1A7"/>
    <w:rsid w:val="008B7E05"/>
    <w:rsid w:val="008C1797"/>
    <w:rsid w:val="008C219C"/>
    <w:rsid w:val="008C475E"/>
    <w:rsid w:val="008C619A"/>
    <w:rsid w:val="008D0CE8"/>
    <w:rsid w:val="008D2D1D"/>
    <w:rsid w:val="008D453D"/>
    <w:rsid w:val="008D4542"/>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350F"/>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631D"/>
    <w:rsid w:val="009A72AD"/>
    <w:rsid w:val="009B09E0"/>
    <w:rsid w:val="009B0BC5"/>
    <w:rsid w:val="009B1247"/>
    <w:rsid w:val="009B6029"/>
    <w:rsid w:val="009B6971"/>
    <w:rsid w:val="009C27F1"/>
    <w:rsid w:val="009C3152"/>
    <w:rsid w:val="009C3257"/>
    <w:rsid w:val="009C4CFA"/>
    <w:rsid w:val="009C5070"/>
    <w:rsid w:val="009D112C"/>
    <w:rsid w:val="009D1385"/>
    <w:rsid w:val="009D3398"/>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A54"/>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2D4B"/>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0F75"/>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3600"/>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6181"/>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2EE"/>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392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A31E5C"/>
    <w:rsid w:val="05142895"/>
    <w:rsid w:val="157B693F"/>
    <w:rsid w:val="1A5C0DCD"/>
    <w:rsid w:val="1B0271DB"/>
    <w:rsid w:val="1EB32D3F"/>
    <w:rsid w:val="207C49B8"/>
    <w:rsid w:val="22121BBC"/>
    <w:rsid w:val="22724637"/>
    <w:rsid w:val="250046DC"/>
    <w:rsid w:val="297209DF"/>
    <w:rsid w:val="2A576F58"/>
    <w:rsid w:val="2E8F3575"/>
    <w:rsid w:val="382C2F15"/>
    <w:rsid w:val="38B04FA9"/>
    <w:rsid w:val="39007976"/>
    <w:rsid w:val="3FFD442E"/>
    <w:rsid w:val="42403EA5"/>
    <w:rsid w:val="45713324"/>
    <w:rsid w:val="49705AA3"/>
    <w:rsid w:val="4C09084A"/>
    <w:rsid w:val="4C7748D6"/>
    <w:rsid w:val="543B3D7C"/>
    <w:rsid w:val="557C5118"/>
    <w:rsid w:val="5BA9396F"/>
    <w:rsid w:val="62B82473"/>
    <w:rsid w:val="67B163BF"/>
    <w:rsid w:val="682B3B74"/>
    <w:rsid w:val="68772F1B"/>
    <w:rsid w:val="69584C53"/>
    <w:rsid w:val="6C7A0A11"/>
    <w:rsid w:val="74AE3640"/>
    <w:rsid w:val="75517686"/>
    <w:rsid w:val="765D1347"/>
    <w:rsid w:val="7AD02630"/>
    <w:rsid w:val="7BD85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autoRedefine/>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autoRedefine/>
    <w:qFormat/>
    <w:uiPriority w:val="29"/>
    <w:rPr>
      <w:i/>
      <w:iCs/>
      <w:color w:val="000000"/>
      <w:kern w:val="2"/>
      <w:sz w:val="21"/>
      <w:szCs w:val="21"/>
    </w:rPr>
  </w:style>
  <w:style w:type="character" w:customStyle="1" w:styleId="48">
    <w:name w:val="标题 字符"/>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段"/>
    <w:link w:val="23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autoRedefine/>
    <w:qFormat/>
    <w:uiPriority w:val="0"/>
    <w:rPr>
      <w:rFonts w:ascii="宋体" w:hAnsi="Times New Roman"/>
      <w:sz w:val="21"/>
    </w:rPr>
  </w:style>
  <w:style w:type="paragraph" w:customStyle="1" w:styleId="232">
    <w:name w:val="一级条标题"/>
    <w:next w:val="230"/>
    <w:autoRedefine/>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3">
    <w:name w:val="章标题"/>
    <w:next w:val="230"/>
    <w:autoRedefine/>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4">
    <w:name w:val="二级条标题"/>
    <w:basedOn w:val="232"/>
    <w:next w:val="230"/>
    <w:autoRedefine/>
    <w:qFormat/>
    <w:uiPriority w:val="0"/>
    <w:pPr>
      <w:numPr>
        <w:ilvl w:val="2"/>
      </w:numPr>
      <w:spacing w:before="50" w:after="50"/>
      <w:outlineLvl w:val="3"/>
    </w:pPr>
  </w:style>
  <w:style w:type="paragraph" w:customStyle="1" w:styleId="235">
    <w:name w:val="三级条标题"/>
    <w:basedOn w:val="234"/>
    <w:next w:val="230"/>
    <w:autoRedefine/>
    <w:qFormat/>
    <w:uiPriority w:val="0"/>
    <w:pPr>
      <w:numPr>
        <w:ilvl w:val="3"/>
      </w:numPr>
      <w:outlineLvl w:val="4"/>
    </w:pPr>
  </w:style>
  <w:style w:type="paragraph" w:customStyle="1" w:styleId="236">
    <w:name w:val="四级条标题"/>
    <w:basedOn w:val="235"/>
    <w:next w:val="230"/>
    <w:autoRedefine/>
    <w:qFormat/>
    <w:uiPriority w:val="0"/>
    <w:pPr>
      <w:numPr>
        <w:ilvl w:val="4"/>
      </w:numPr>
      <w:outlineLvl w:val="5"/>
    </w:pPr>
  </w:style>
  <w:style w:type="paragraph" w:customStyle="1" w:styleId="237">
    <w:name w:val="五级条标题"/>
    <w:basedOn w:val="236"/>
    <w:next w:val="230"/>
    <w:autoRedefine/>
    <w:qFormat/>
    <w:uiPriority w:val="0"/>
    <w:pPr>
      <w:numPr>
        <w:ilvl w:val="5"/>
      </w:numPr>
      <w:outlineLvl w:val="6"/>
    </w:pPr>
  </w:style>
  <w:style w:type="paragraph" w:customStyle="1" w:styleId="238">
    <w:name w:val="正文表标题"/>
    <w:next w:val="230"/>
    <w:autoRedefine/>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39">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40">
    <w:name w:val="附录标识"/>
    <w:basedOn w:val="1"/>
    <w:next w:val="230"/>
    <w:autoRedefine/>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25FC9092484459C884ACDC80BA49514"/>
        <w:style w:val=""/>
        <w:category>
          <w:name w:val="常规"/>
          <w:gallery w:val="placeholder"/>
        </w:category>
        <w:types>
          <w:type w:val="bbPlcHdr"/>
        </w:types>
        <w:behaviors>
          <w:behavior w:val="content"/>
        </w:behaviors>
        <w:description w:val=""/>
        <w:guid w:val="{D5EF8982-715C-4038-8AD4-33C1CE2686DA}"/>
      </w:docPartPr>
      <w:docPartBody>
        <w:p>
          <w:pPr>
            <w:pStyle w:val="5"/>
          </w:pPr>
          <w:r>
            <w:rPr>
              <w:rStyle w:val="4"/>
              <w:rFonts w:hint="eastAsia"/>
            </w:rPr>
            <w:t>单击或点击此处输入文字。</w:t>
          </w:r>
        </w:p>
      </w:docPartBody>
    </w:docPart>
    <w:docPart>
      <w:docPartPr>
        <w:name w:val="ACBA808E4FCE4F08B46290FE0D6A3825"/>
        <w:style w:val=""/>
        <w:category>
          <w:name w:val="常规"/>
          <w:gallery w:val="placeholder"/>
        </w:category>
        <w:types>
          <w:type w:val="bbPlcHdr"/>
        </w:types>
        <w:behaviors>
          <w:behavior w:val="content"/>
        </w:behaviors>
        <w:description w:val=""/>
        <w:guid w:val="{C07E1336-4599-44CD-9D60-CFEC059E6619}"/>
      </w:docPartPr>
      <w:docPartBody>
        <w:p>
          <w:pPr>
            <w:pStyle w:val="6"/>
          </w:pPr>
          <w:r>
            <w:rPr>
              <w:rStyle w:val="4"/>
              <w:rFonts w:hint="eastAsia"/>
            </w:rPr>
            <w:t>选择一项。</w:t>
          </w:r>
        </w:p>
      </w:docPartBody>
    </w:docPart>
    <w:docPart>
      <w:docPartPr>
        <w:name w:val="AD8DD69D501348B79726D4E2CAD90759"/>
        <w:style w:val=""/>
        <w:category>
          <w:name w:val="常规"/>
          <w:gallery w:val="placeholder"/>
        </w:category>
        <w:types>
          <w:type w:val="bbPlcHdr"/>
        </w:types>
        <w:behaviors>
          <w:behavior w:val="content"/>
        </w:behaviors>
        <w:description w:val=""/>
        <w:guid w:val="{1084FC5A-D33F-4135-9918-7F9C5CC70C9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54"/>
    <w:rsid w:val="0001602C"/>
    <w:rsid w:val="00411C88"/>
    <w:rsid w:val="00503DFE"/>
    <w:rsid w:val="00571D86"/>
    <w:rsid w:val="009511B2"/>
    <w:rsid w:val="00C050DF"/>
    <w:rsid w:val="00CA4E54"/>
    <w:rsid w:val="00E72360"/>
    <w:rsid w:val="00F35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25FC9092484459C884ACDC80BA49514"/>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ACBA808E4FCE4F08B46290FE0D6A3825"/>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AD8DD69D501348B79726D4E2CAD90759"/>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3366</Words>
  <Characters>3920</Characters>
  <Lines>35</Lines>
  <Paragraphs>9</Paragraphs>
  <TotalTime>3</TotalTime>
  <ScaleCrop>false</ScaleCrop>
  <LinksUpToDate>false</LinksUpToDate>
  <CharactersWithSpaces>4145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2023-11-07T06:40:00Z</dcterms:created>
  <dc:creator>z</dc:creator>
  <dc:description>&lt;config cover="true" show_menu="true" version="1.0.0" doctype="SDKXY"&gt;_x000d_
&lt;/config&gt;</dc:description>
  <cp:lastModifiedBy>Liuna</cp:lastModifiedBy>
  <cp:lastPrinted>2023-12-21T07:43:00Z</cp:lastPrinted>
  <dcterms:modified xsi:type="dcterms:W3CDTF">2024-03-12T06:34:10Z</dcterms:modified>
  <dc:title>团体标准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2052-12.1.0.16399</vt:lpwstr>
  </property>
  <property fmtid="{D5CDD505-2E9C-101B-9397-08002B2CF9AE}" pid="15" name="ICV">
    <vt:lpwstr>68306C06B7F1427DBFCB185C524B767E_13</vt:lpwstr>
  </property>
</Properties>
</file>