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6</w:t>
            </w:r>
            <w:r>
              <w:rPr>
                <w:rFonts w:hint="eastAsia" w:ascii="黑体" w:hAnsi="黑体" w:eastAsia="黑体"/>
                <w:sz w:val="21"/>
                <w:szCs w:val="21"/>
                <w:lang w:val="en-US" w:eastAsia="zh-CN"/>
              </w:rPr>
              <w:t>5.150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w:t>
            </w:r>
            <w:r>
              <w:rPr>
                <w:rFonts w:hint="eastAsia" w:ascii="黑体" w:hAnsi="黑体" w:eastAsia="黑体"/>
                <w:sz w:val="21"/>
                <w:szCs w:val="21"/>
                <w:lang w:val="en-US" w:eastAsia="zh-CN"/>
              </w:rPr>
              <w:t xml:space="preserve"> 52</w:t>
            </w:r>
            <w:r>
              <w:rPr>
                <w:rFonts w:ascii="黑体" w:hAnsi="黑体" w:eastAsia="黑体"/>
                <w:sz w:val="21"/>
                <w:szCs w:val="21"/>
              </w:rPr>
              <w:t xml:space="preserve"> </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4</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地理标志证明商标 含山龙虾</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Geographical indication certification trademark Hanshan </w:t>
      </w:r>
      <w:r>
        <w:rPr>
          <w:rFonts w:hint="eastAsia" w:eastAsia="黑体"/>
          <w:szCs w:val="28"/>
          <w:lang w:val="en-US" w:eastAsia="zh-CN"/>
        </w:rPr>
        <w:t>crawfish</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w:t>
      </w:r>
      <w:r>
        <w:rPr>
          <w:rFonts w:hint="eastAsia"/>
          <w:sz w:val="21"/>
          <w:szCs w:val="28"/>
          <w:lang w:eastAsia="zh-CN"/>
        </w:rPr>
        <w:t>征求意见</w:t>
      </w:r>
      <w:r>
        <w:rPr>
          <w:rFonts w:hint="eastAsia"/>
          <w:sz w:val="21"/>
          <w:szCs w:val="28"/>
        </w:rPr>
        <w:t>稿）</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w:t>
      </w:r>
      <w:r>
        <w:rPr>
          <w:rFonts w:hAnsi="黑体"/>
          <w:w w:val="100"/>
          <w:sz w:val="28"/>
        </w:rPr>
        <w:t>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pPr>
      <w:r>
        <w:rPr>
          <w:rFonts w:hint="eastAsia"/>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pStyle w:val="57"/>
        <w:ind w:firstLine="420"/>
        <w:rPr>
          <w:sz w:val="22"/>
          <w:szCs w:val="22"/>
        </w:rPr>
      </w:pPr>
      <w:r>
        <w:rPr>
          <w:rFonts w:hint="eastAsia"/>
        </w:rPr>
        <w:t>本文件由含山县渔业协会提出。</w:t>
      </w:r>
    </w:p>
    <w:p>
      <w:pPr>
        <w:pStyle w:val="57"/>
        <w:ind w:firstLine="420"/>
      </w:pPr>
      <w:r>
        <w:rPr>
          <w:rFonts w:hint="eastAsia"/>
        </w:rPr>
        <w:t>本文件由中国农业国际合作促进会归口。</w:t>
      </w:r>
    </w:p>
    <w:p>
      <w:pPr>
        <w:pStyle w:val="57"/>
        <w:ind w:firstLine="420"/>
        <w:rPr>
          <w:rFonts w:hint="eastAsia" w:eastAsia="宋体"/>
          <w:lang w:eastAsia="zh-CN"/>
        </w:rPr>
      </w:pPr>
      <w:r>
        <w:rPr>
          <w:rFonts w:hint="eastAsia"/>
        </w:rPr>
        <w:t>本文件起草单位：含山县渔业协会</w:t>
      </w:r>
      <w:r>
        <w:rPr>
          <w:rFonts w:hint="eastAsia"/>
          <w:lang w:eastAsia="zh-CN"/>
        </w:rPr>
        <w:t>、</w:t>
      </w:r>
      <w:r>
        <w:rPr>
          <w:rFonts w:hint="eastAsia"/>
        </w:rPr>
        <w:t>含山县铜闸镇强国家庭农场</w:t>
      </w:r>
      <w:r>
        <w:rPr>
          <w:rFonts w:hint="eastAsia"/>
          <w:lang w:eastAsia="zh-CN"/>
        </w:rPr>
        <w:t>、</w:t>
      </w:r>
      <w:r>
        <w:rPr>
          <w:rFonts w:hint="eastAsia"/>
        </w:rPr>
        <w:t>含山县长山水产品生态养殖示范有限公司</w:t>
      </w:r>
      <w:r>
        <w:rPr>
          <w:rFonts w:hint="eastAsia"/>
          <w:lang w:eastAsia="zh-CN"/>
        </w:rPr>
        <w:t>、</w:t>
      </w:r>
      <w:r>
        <w:rPr>
          <w:rFonts w:hint="eastAsia"/>
        </w:rPr>
        <w:t>含山县小金滩水产养殖场</w:t>
      </w:r>
      <w:r>
        <w:rPr>
          <w:rFonts w:hint="eastAsia"/>
          <w:lang w:eastAsia="zh-CN"/>
        </w:rPr>
        <w:t>。</w:t>
      </w:r>
    </w:p>
    <w:p>
      <w:pPr>
        <w:pStyle w:val="57"/>
        <w:ind w:firstLine="420"/>
        <w:rPr>
          <w:rFonts w:hint="eastAsia" w:eastAsia="宋体"/>
          <w:lang w:eastAsia="zh-CN"/>
        </w:rPr>
      </w:pPr>
      <w:r>
        <w:rPr>
          <w:rFonts w:hint="eastAsia"/>
        </w:rPr>
        <w:t>本文件主要起草人：宫尚芳</w:t>
      </w:r>
      <w:r>
        <w:rPr>
          <w:rFonts w:hint="eastAsia"/>
          <w:lang w:eastAsia="zh-CN"/>
        </w:rPr>
        <w:t>、</w:t>
      </w:r>
      <w:r>
        <w:rPr>
          <w:rFonts w:hint="eastAsia"/>
        </w:rPr>
        <w:t>魏泽能</w:t>
      </w:r>
      <w:r>
        <w:rPr>
          <w:rFonts w:hint="eastAsia"/>
          <w:lang w:eastAsia="zh-CN"/>
        </w:rPr>
        <w:t>、</w:t>
      </w:r>
      <w:r>
        <w:rPr>
          <w:rFonts w:hint="eastAsia"/>
        </w:rPr>
        <w:t>韩超</w:t>
      </w:r>
      <w:r>
        <w:rPr>
          <w:rFonts w:hint="eastAsia"/>
          <w:lang w:eastAsia="zh-CN"/>
        </w:rPr>
        <w:t>、</w:t>
      </w:r>
      <w:r>
        <w:rPr>
          <w:rFonts w:hint="eastAsia"/>
        </w:rPr>
        <w:t>殷保平</w:t>
      </w:r>
      <w:r>
        <w:rPr>
          <w:rFonts w:hint="eastAsia"/>
          <w:lang w:eastAsia="zh-CN"/>
        </w:rPr>
        <w:t>、</w:t>
      </w:r>
      <w:r>
        <w:rPr>
          <w:rFonts w:hint="eastAsia"/>
        </w:rPr>
        <w:t>黄其义</w:t>
      </w:r>
      <w:r>
        <w:rPr>
          <w:rFonts w:hint="eastAsia"/>
          <w:lang w:eastAsia="zh-CN"/>
        </w:rPr>
        <w:t>、付求五。</w:t>
      </w:r>
    </w:p>
    <w:p>
      <w:pPr>
        <w:pStyle w:val="57"/>
        <w:ind w:firstLine="420"/>
        <w:rPr>
          <w:rFonts w:hint="eastAsia"/>
        </w:rPr>
      </w:pPr>
    </w:p>
    <w:p>
      <w:pPr>
        <w:pStyle w:val="57"/>
        <w:ind w:firstLine="420"/>
      </w:pPr>
    </w:p>
    <w:p>
      <w:pPr>
        <w:pStyle w:val="57"/>
        <w:ind w:firstLine="420"/>
        <w:rPr>
          <w:rFonts w:hint="eastAsia"/>
        </w:rPr>
      </w:pPr>
      <w:r>
        <w:rPr>
          <w:rFonts w:hint="eastAsia"/>
        </w:rPr>
        <w:t>本文件版权归中国农业国际合作促进会所有。未经事先书面许可，本文件的任何部分不得以任何形式或任何手段进行复制、发行、改编、翻译、汇编或将本文件用于其他任何商业目的。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Content>
        <w:p>
          <w:pPr>
            <w:pStyle w:val="178"/>
            <w:spacing w:before="2" w:beforeLines="1" w:after="528" w:afterLines="220"/>
          </w:pPr>
          <w:bookmarkStart w:id="23" w:name="NEW_STAND_NAME"/>
          <w:r>
            <w:rPr>
              <w:rFonts w:hint="eastAsia"/>
              <w:lang w:val="en-US" w:eastAsia="zh-CN"/>
            </w:rPr>
            <w:t>地理标志证明商标 含山龙虾</w:t>
          </w:r>
        </w:p>
      </w:sdtContent>
    </w:sdt>
    <w:bookmarkEnd w:id="23"/>
    <w:p>
      <w:pPr>
        <w:pStyle w:val="105"/>
        <w:spacing w:before="240" w:after="240"/>
      </w:pPr>
      <w:bookmarkStart w:id="24" w:name="_Toc26718930"/>
      <w:bookmarkStart w:id="25" w:name="_Toc26986771"/>
      <w:bookmarkStart w:id="26" w:name="_Toc26986530"/>
      <w:bookmarkStart w:id="27" w:name="_Toc97192964"/>
      <w:bookmarkStart w:id="28" w:name="_Toc17233333"/>
      <w:bookmarkStart w:id="29" w:name="_Toc107483146"/>
      <w:bookmarkStart w:id="30" w:name="_Toc24884211"/>
      <w:bookmarkStart w:id="31" w:name="_Toc24884218"/>
      <w:bookmarkStart w:id="32" w:name="_Toc17233325"/>
      <w:bookmarkStart w:id="33" w:name="_Toc26648465"/>
      <w:r>
        <w:rPr>
          <w:rFonts w:hint="eastAsia"/>
        </w:rPr>
        <w:t>范围</w:t>
      </w:r>
      <w:bookmarkEnd w:id="24"/>
      <w:bookmarkEnd w:id="25"/>
      <w:bookmarkEnd w:id="26"/>
      <w:bookmarkEnd w:id="27"/>
      <w:bookmarkEnd w:id="28"/>
      <w:bookmarkEnd w:id="29"/>
      <w:bookmarkEnd w:id="30"/>
      <w:bookmarkEnd w:id="31"/>
      <w:bookmarkEnd w:id="32"/>
      <w:bookmarkEnd w:id="33"/>
    </w:p>
    <w:p>
      <w:pPr>
        <w:pStyle w:val="57"/>
        <w:ind w:firstLine="420"/>
        <w:rPr>
          <w:rFonts w:ascii="Times New Roman"/>
          <w:szCs w:val="21"/>
        </w:rPr>
      </w:pPr>
      <w:bookmarkStart w:id="34" w:name="_Toc17233326"/>
      <w:bookmarkStart w:id="35" w:name="_Toc97192965"/>
      <w:bookmarkStart w:id="36" w:name="_Toc26648466"/>
      <w:bookmarkStart w:id="37" w:name="_Toc24884212"/>
      <w:bookmarkStart w:id="38" w:name="_Toc26986531"/>
      <w:bookmarkStart w:id="39" w:name="_Toc26986772"/>
      <w:bookmarkStart w:id="40" w:name="_Toc24884219"/>
      <w:bookmarkStart w:id="41" w:name="_Toc17233334"/>
      <w:bookmarkStart w:id="42" w:name="_Toc26718931"/>
      <w:bookmarkStart w:id="43" w:name="_Toc107483147"/>
      <w:r>
        <w:t>本文件规定了</w:t>
      </w:r>
      <w:r>
        <w:rPr>
          <w:rFonts w:hint="eastAsia"/>
          <w:lang w:val="en-US" w:eastAsia="zh-CN"/>
        </w:rPr>
        <w:t>地理标志证明商标含山龙虾</w:t>
      </w:r>
      <w:r>
        <w:t>的</w:t>
      </w:r>
      <w:r>
        <w:rPr>
          <w:rFonts w:hint="eastAsia"/>
        </w:rPr>
        <w:t>术语和定义、</w:t>
      </w:r>
      <w:r>
        <w:rPr>
          <w:rFonts w:hint="eastAsia"/>
          <w:lang w:val="en-US" w:eastAsia="zh-CN"/>
        </w:rPr>
        <w:t>保护范围、产地要求</w:t>
      </w:r>
      <w:r>
        <w:t>、</w:t>
      </w:r>
      <w:r>
        <w:rPr>
          <w:rFonts w:hint="eastAsia"/>
          <w:lang w:val="en-US" w:eastAsia="zh-CN"/>
        </w:rPr>
        <w:t>养殖</w:t>
      </w:r>
      <w:r>
        <w:t>要求、</w:t>
      </w:r>
      <w:r>
        <w:rPr>
          <w:rFonts w:hint="eastAsia"/>
          <w:lang w:val="en-US" w:eastAsia="zh-CN"/>
        </w:rPr>
        <w:t>产品质量、</w:t>
      </w:r>
      <w:r>
        <w:t>检验方法、检验规则、标志、包装、运输</w:t>
      </w:r>
      <w:r>
        <w:rPr>
          <w:rFonts w:hint="eastAsia"/>
          <w:lang w:val="en-US" w:eastAsia="zh-CN"/>
        </w:rPr>
        <w:t>等要求</w:t>
      </w:r>
      <w:r>
        <w:t>。</w:t>
      </w:r>
      <w:r>
        <w:rPr>
          <w:rFonts w:ascii="Times New Roman"/>
        </w:rPr>
        <w:t xml:space="preserve"> </w:t>
      </w:r>
    </w:p>
    <w:p>
      <w:pPr>
        <w:pStyle w:val="57"/>
        <w:ind w:firstLine="420"/>
        <w:rPr>
          <w:rFonts w:hint="eastAsia"/>
          <w:lang w:val="en-US" w:eastAsia="zh-CN"/>
        </w:rPr>
      </w:pPr>
      <w:r>
        <w:rPr>
          <w:rFonts w:hint="eastAsia"/>
          <w:lang w:val="en-US" w:eastAsia="zh-CN"/>
        </w:rPr>
        <w:t>本文件适用于国家知识产权局第1722期《商标公告》，第39057034号核准的地理标志证明商标含山龙虾。</w:t>
      </w:r>
    </w:p>
    <w:p>
      <w:pPr>
        <w:pStyle w:val="105"/>
        <w:spacing w:before="240" w:after="240"/>
      </w:pPr>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rPr>
              <w:rFonts w:hint="eastAsia" w:ascii="Times New Roma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44" w:name="_Toc107483148"/>
          <w:bookmarkStart w:id="45" w:name="_Toc97192966"/>
        </w:p>
      </w:sdtContent>
    </w:sdt>
    <w:p>
      <w:pPr>
        <w:pStyle w:val="57"/>
        <w:ind w:firstLine="420"/>
        <w:rPr>
          <w:rFonts w:hint="eastAsia" w:ascii="Times New Roman"/>
          <w:lang w:val="en-US" w:eastAsia="zh-CN"/>
        </w:rPr>
      </w:pPr>
      <w:r>
        <w:rPr>
          <w:rFonts w:hint="eastAsia" w:ascii="Times New Roman"/>
          <w:lang w:val="en-US" w:eastAsia="zh-CN"/>
        </w:rPr>
        <w:t>GB/T 30891  水产品抽样规范</w:t>
      </w:r>
    </w:p>
    <w:p>
      <w:pPr>
        <w:pStyle w:val="57"/>
        <w:ind w:firstLine="420"/>
        <w:rPr>
          <w:rFonts w:ascii="Times New Roman"/>
        </w:rPr>
      </w:pPr>
      <w:r>
        <w:rPr>
          <w:rFonts w:ascii="Times New Roman"/>
        </w:rPr>
        <w:t xml:space="preserve">GB 2763 </w:t>
      </w:r>
      <w:r>
        <w:rPr>
          <w:rFonts w:hint="eastAsia" w:ascii="Times New Roman"/>
        </w:rPr>
        <w:t xml:space="preserve"> </w:t>
      </w:r>
      <w:r>
        <w:rPr>
          <w:rFonts w:hint="eastAsia" w:ascii="Times New Roman"/>
          <w:lang w:val="en-US" w:eastAsia="zh-CN"/>
        </w:rPr>
        <w:t>食品安全国家标准 食品中农药最大残留限量</w:t>
      </w:r>
    </w:p>
    <w:p>
      <w:pPr>
        <w:pStyle w:val="57"/>
        <w:ind w:firstLine="420"/>
        <w:rPr>
          <w:rFonts w:hint="eastAsia" w:ascii="Times New Roman"/>
          <w:lang w:val="en-US" w:eastAsia="zh-CN"/>
        </w:rPr>
      </w:pPr>
      <w:r>
        <w:rPr>
          <w:rFonts w:hint="eastAsia" w:ascii="Times New Roman"/>
          <w:lang w:val="en-US" w:eastAsia="zh-CN"/>
        </w:rPr>
        <w:t>GB 11607  渔业水质标准</w:t>
      </w:r>
    </w:p>
    <w:p>
      <w:pPr>
        <w:pStyle w:val="57"/>
        <w:ind w:firstLine="420"/>
        <w:rPr>
          <w:rFonts w:hint="eastAsia" w:ascii="Times New Roman"/>
          <w:lang w:val="en-US" w:eastAsia="zh-CN"/>
        </w:rPr>
      </w:pPr>
      <w:r>
        <w:rPr>
          <w:rFonts w:hint="eastAsia" w:ascii="Times New Roman"/>
          <w:lang w:val="en-US" w:eastAsia="zh-CN"/>
        </w:rPr>
        <w:t>GB 13078  饲料卫生标准</w:t>
      </w:r>
    </w:p>
    <w:p>
      <w:pPr>
        <w:pStyle w:val="57"/>
        <w:ind w:firstLine="420"/>
        <w:rPr>
          <w:rFonts w:hint="eastAsia" w:ascii="Times New Roman"/>
          <w:lang w:val="en-US" w:eastAsia="zh-CN"/>
        </w:rPr>
      </w:pPr>
      <w:r>
        <w:rPr>
          <w:rFonts w:hint="eastAsia" w:ascii="Times New Roman"/>
          <w:lang w:val="en-US" w:eastAsia="zh-CN"/>
        </w:rPr>
        <w:t>GB 5009.3  食品安全国家标准 食品中水分的测定</w:t>
      </w:r>
    </w:p>
    <w:p>
      <w:pPr>
        <w:pStyle w:val="57"/>
        <w:ind w:firstLine="420"/>
        <w:rPr>
          <w:rFonts w:hint="eastAsia" w:ascii="Times New Roman"/>
          <w:lang w:val="en-US" w:eastAsia="zh-CN"/>
        </w:rPr>
      </w:pPr>
      <w:r>
        <w:rPr>
          <w:rFonts w:hint="eastAsia" w:ascii="Times New Roman"/>
          <w:lang w:val="en-US" w:eastAsia="zh-CN"/>
        </w:rPr>
        <w:t>GB 5009.4  食品安全国家标准 食品中灰分的测定</w:t>
      </w:r>
    </w:p>
    <w:p>
      <w:pPr>
        <w:pStyle w:val="57"/>
        <w:ind w:firstLine="420"/>
        <w:rPr>
          <w:rFonts w:hint="eastAsia" w:ascii="Times New Roman"/>
          <w:lang w:val="en-US" w:eastAsia="zh-CN"/>
        </w:rPr>
      </w:pPr>
      <w:r>
        <w:rPr>
          <w:rFonts w:hint="eastAsia" w:ascii="Times New Roman"/>
          <w:lang w:val="en-US" w:eastAsia="zh-CN"/>
        </w:rPr>
        <w:t>GB 5009.5  食品安全国家标准 食品中蛋白质的测定</w:t>
      </w:r>
    </w:p>
    <w:p>
      <w:pPr>
        <w:pStyle w:val="57"/>
        <w:ind w:firstLine="420"/>
        <w:rPr>
          <w:rFonts w:hint="eastAsia" w:ascii="Times New Roman"/>
          <w:lang w:val="en-US" w:eastAsia="zh-CN"/>
        </w:rPr>
      </w:pPr>
      <w:r>
        <w:rPr>
          <w:rFonts w:hint="eastAsia" w:ascii="Times New Roman"/>
          <w:lang w:val="en-US" w:eastAsia="zh-CN"/>
        </w:rPr>
        <w:t>GB 5009.6  食品安全国家标准 食品中脂肪的测定</w:t>
      </w:r>
    </w:p>
    <w:p>
      <w:pPr>
        <w:pStyle w:val="57"/>
        <w:ind w:firstLine="420"/>
        <w:rPr>
          <w:rFonts w:hint="default" w:ascii="Times New Roman"/>
          <w:lang w:val="en-US" w:eastAsia="zh-CN"/>
        </w:rPr>
      </w:pPr>
      <w:r>
        <w:rPr>
          <w:rFonts w:hint="eastAsia" w:ascii="Times New Roman"/>
          <w:lang w:val="en-US" w:eastAsia="zh-CN"/>
        </w:rPr>
        <w:t>NY 5051  无公害食品 渔用药物使用准则</w:t>
      </w:r>
    </w:p>
    <w:p>
      <w:pPr>
        <w:pStyle w:val="57"/>
        <w:ind w:firstLine="420"/>
        <w:rPr>
          <w:rFonts w:hint="default" w:ascii="Times New Roman"/>
          <w:lang w:val="en-US" w:eastAsia="zh-CN"/>
        </w:rPr>
      </w:pPr>
      <w:r>
        <w:rPr>
          <w:rFonts w:hint="eastAsia" w:ascii="Times New Roman"/>
          <w:lang w:val="en-US" w:eastAsia="zh-CN"/>
        </w:rPr>
        <w:t>NY 5073  无公害食品 水产品中有毒有害物质限量</w:t>
      </w:r>
    </w:p>
    <w:p>
      <w:pPr>
        <w:pStyle w:val="105"/>
        <w:spacing w:before="240" w:after="240"/>
      </w:pPr>
      <w:r>
        <w:rPr>
          <w:rFonts w:hint="eastAsia"/>
          <w:szCs w:val="21"/>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rPr>
              <w:rFonts w:ascii="黑体" w:hAnsi="黑体" w:eastAsia="黑体"/>
            </w:rPr>
          </w:pPr>
          <w:bookmarkStart w:id="46" w:name="_Toc26986532"/>
          <w:bookmarkEnd w:id="46"/>
          <w:r>
            <w:t>下列术语和定义适用于本文件。</w:t>
          </w:r>
          <w:bookmarkStart w:id="47" w:name="_Toc107483149"/>
          <w:bookmarkEnd w:id="47"/>
        </w:p>
      </w:sdtContent>
    </w:sdt>
    <w:p>
      <w:pPr>
        <w:pStyle w:val="224"/>
        <w:numPr>
          <w:ilvl w:val="2"/>
          <w:numId w:val="0"/>
        </w:numPr>
        <w:spacing w:before="120" w:beforeLines="50" w:after="120" w:afterLines="50" w:line="276" w:lineRule="auto"/>
        <w:ind w:leftChars="-198" w:firstLine="420" w:firstLineChars="200"/>
        <w:rPr>
          <w:rFonts w:hint="default" w:ascii="黑体" w:hAnsi="黑体" w:eastAsia="黑体"/>
          <w:lang w:val="en-US" w:eastAsia="zh-CN"/>
        </w:rPr>
      </w:pPr>
      <w:r>
        <w:rPr>
          <w:rFonts w:hint="eastAsia" w:ascii="黑体" w:hAnsi="黑体" w:eastAsia="黑体"/>
          <w:lang w:val="en-US" w:eastAsia="zh-CN"/>
        </w:rPr>
        <w:t>3.1  含山龙虾</w:t>
      </w:r>
      <w:r>
        <w:rPr>
          <w:rFonts w:ascii="黑体" w:hAnsi="黑体" w:eastAsia="黑体"/>
        </w:rPr>
        <w:t xml:space="preserve">  </w:t>
      </w:r>
      <w:r>
        <w:rPr>
          <w:rFonts w:hint="eastAsia" w:ascii="黑体" w:hAnsi="黑体" w:eastAsia="黑体"/>
        </w:rPr>
        <w:t>Hanshan</w:t>
      </w:r>
      <w:r>
        <w:rPr>
          <w:rFonts w:hint="eastAsia" w:ascii="黑体" w:hAnsi="黑体" w:eastAsia="黑体"/>
          <w:highlight w:val="yellow"/>
        </w:rPr>
        <w:t xml:space="preserve"> </w:t>
      </w:r>
      <w:r>
        <w:rPr>
          <w:rFonts w:hint="eastAsia" w:ascii="黑体" w:hAnsi="黑体" w:eastAsia="黑体"/>
          <w:highlight w:val="yellow"/>
          <w:lang w:val="en-US" w:eastAsia="zh-CN"/>
        </w:rPr>
        <w:t>crawfish</w:t>
      </w:r>
    </w:p>
    <w:p>
      <w:pPr>
        <w:pStyle w:val="13"/>
        <w:spacing w:line="276" w:lineRule="auto"/>
        <w:ind w:left="138" w:right="275" w:firstLine="288"/>
        <w:rPr>
          <w:rFonts w:hint="default" w:ascii="Times New Roman" w:hAnsi="Times New Roman" w:eastAsia="宋体" w:cs="Times New Roman"/>
          <w:sz w:val="21"/>
          <w:lang w:val="en-US" w:eastAsia="zh-CN" w:bidi="ar-SA"/>
        </w:rPr>
      </w:pPr>
      <w:r>
        <w:rPr>
          <w:rFonts w:hint="eastAsia" w:ascii="Times New Roman" w:hAnsi="Times New Roman" w:cs="Times New Roman"/>
          <w:sz w:val="21"/>
          <w:lang w:val="en-US" w:eastAsia="zh-CN" w:bidi="ar-SA"/>
        </w:rPr>
        <w:t>在地理标志证明商标含山龙虾保护区域范围内生产，产品品质符合本文件规定的含山龙虾。</w:t>
      </w:r>
    </w:p>
    <w:p>
      <w:pPr>
        <w:pStyle w:val="105"/>
        <w:spacing w:before="240" w:after="240"/>
      </w:pPr>
      <w:r>
        <w:rPr>
          <w:rFonts w:hint="eastAsia"/>
          <w:szCs w:val="21"/>
          <w:lang w:val="en-US" w:eastAsia="zh-CN"/>
        </w:rPr>
        <w:t>保护范围</w:t>
      </w:r>
    </w:p>
    <w:sdt>
      <w:sdtPr>
        <w:rPr>
          <w:rFonts w:hint="default" w:ascii="Times New Roman" w:hAnsi="Times New Roman" w:cs="Times New Roman"/>
          <w:color w:val="0000FF"/>
        </w:rPr>
        <w:id w:val="-1909835108"/>
        <w:placeholder>
          <w:docPart w:val="{fd44b29a-cb04-4740-bdd7-d1be6447acb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color w:val="0000FF"/>
        </w:rPr>
      </w:sdtEndPr>
      <w:sdtContent>
        <w:p>
          <w:pPr>
            <w:pStyle w:val="57"/>
            <w:ind w:firstLine="420"/>
            <w:rPr>
              <w:rFonts w:hint="eastAsia" w:ascii="宋体" w:hAnsi="宋体" w:cs="微软雅黑"/>
              <w:color w:val="0000FF"/>
            </w:rPr>
          </w:pPr>
          <w:r>
            <w:rPr>
              <w:rFonts w:hint="default" w:ascii="Times New Roman" w:hAnsi="Times New Roman" w:cs="Times New Roman"/>
              <w:lang w:val="en-US" w:eastAsia="zh-CN"/>
            </w:rPr>
            <w:t>地理标志证明商标“含山龙虾”的生产地域界定范围为含山县全境，位于长江下游北岸，地跨东经117°53′</w:t>
          </w:r>
          <w:r>
            <w:rPr>
              <w:rFonts w:hint="eastAsia" w:ascii="Times New Roman" w:cs="Times New Roman"/>
              <w:lang w:val="en-US" w:eastAsia="zh-CN"/>
            </w:rPr>
            <w:t>~</w:t>
          </w:r>
          <w:r>
            <w:rPr>
              <w:rFonts w:hint="default" w:ascii="Times New Roman" w:hAnsi="Times New Roman" w:cs="Times New Roman"/>
              <w:lang w:val="en-US" w:eastAsia="zh-CN"/>
            </w:rPr>
            <w:t>118°13′，北纬31°24′</w:t>
          </w:r>
          <w:r>
            <w:rPr>
              <w:rFonts w:hint="eastAsia" w:ascii="Times New Roman" w:cs="Times New Roman"/>
              <w:lang w:val="en-US" w:eastAsia="zh-CN"/>
            </w:rPr>
            <w:t>~</w:t>
          </w:r>
          <w:r>
            <w:rPr>
              <w:rFonts w:hint="default" w:ascii="Times New Roman" w:hAnsi="Times New Roman" w:cs="Times New Roman"/>
              <w:lang w:val="en-US" w:eastAsia="zh-CN"/>
            </w:rPr>
            <w:t>31°53′之间。地理分布见附录A。</w:t>
          </w:r>
        </w:p>
      </w:sdtContent>
    </w:sdt>
    <w:p>
      <w:pPr>
        <w:pStyle w:val="105"/>
        <w:spacing w:before="240" w:after="240"/>
        <w:rPr>
          <w:rFonts w:hint="eastAsia"/>
          <w:szCs w:val="21"/>
          <w:lang w:val="en-US" w:eastAsia="zh-CN"/>
        </w:rPr>
      </w:pPr>
      <w:r>
        <w:rPr>
          <w:rFonts w:hint="eastAsia"/>
          <w:szCs w:val="21"/>
          <w:lang w:val="en-US" w:eastAsia="zh-CN"/>
        </w:rPr>
        <w:t>产地要求</w:t>
      </w:r>
    </w:p>
    <w:p>
      <w:pPr>
        <w:pStyle w:val="66"/>
        <w:numPr>
          <w:ilvl w:val="0"/>
          <w:numId w:val="0"/>
        </w:numPr>
        <w:spacing w:before="120" w:after="120"/>
        <w:rPr>
          <w:rFonts w:hint="default" w:ascii="Times New Roman" w:eastAsia="黑体"/>
          <w:lang w:val="en-US" w:eastAsia="zh-CN"/>
        </w:rPr>
      </w:pPr>
      <w:r>
        <w:rPr>
          <w:rFonts w:hint="eastAsia"/>
          <w:color w:val="auto"/>
          <w:lang w:val="en-US" w:eastAsia="zh-CN"/>
        </w:rPr>
        <w:t>5</w:t>
      </w:r>
      <w:r>
        <w:rPr>
          <w:color w:val="auto"/>
        </w:rPr>
        <w:t>.</w:t>
      </w:r>
      <w:r>
        <w:rPr>
          <w:rFonts w:hint="eastAsia"/>
          <w:color w:val="auto"/>
          <w:lang w:val="en-US" w:eastAsia="zh-CN"/>
        </w:rPr>
        <w:t>1  气候特征</w:t>
      </w:r>
    </w:p>
    <w:p>
      <w:pPr>
        <w:pStyle w:val="13"/>
        <w:spacing w:line="278" w:lineRule="auto"/>
        <w:ind w:firstLine="420" w:firstLineChars="200"/>
        <w:rPr>
          <w:rFonts w:hint="default" w:ascii="Times New Roman" w:hAnsi="Times New Roman" w:cs="Times New Roman"/>
          <w:sz w:val="21"/>
          <w:lang w:val="en-US" w:eastAsia="zh-CN" w:bidi="ar-SA"/>
        </w:rPr>
      </w:pPr>
      <w:r>
        <w:rPr>
          <w:rFonts w:hint="default" w:ascii="Times New Roman" w:hAnsi="Times New Roman" w:cs="Times New Roman"/>
          <w:sz w:val="21"/>
          <w:lang w:val="en-US" w:eastAsia="zh-CN" w:bidi="ar-SA"/>
        </w:rPr>
        <w:t>含山县</w:t>
      </w:r>
      <w:r>
        <w:rPr>
          <w:rFonts w:hint="default" w:ascii="Times New Roman" w:hAnsi="Times New Roman" w:cs="Times New Roman"/>
        </w:rPr>
        <w:t>地处北中低纬度地区，属北亚热带温润性季风气候</w:t>
      </w:r>
      <w:r>
        <w:rPr>
          <w:rFonts w:hint="default" w:ascii="Times New Roman" w:hAnsi="Times New Roman" w:cs="Times New Roman"/>
          <w:lang w:eastAsia="zh-CN"/>
        </w:rPr>
        <w:t>，</w:t>
      </w:r>
      <w:r>
        <w:rPr>
          <w:rFonts w:hint="default" w:ascii="Times New Roman" w:hAnsi="Times New Roman" w:cs="Times New Roman"/>
          <w:lang w:val="en-US" w:eastAsia="zh-CN"/>
        </w:rPr>
        <w:t xml:space="preserve">年日照时数2029.9 h，年平均气温约15.6 </w:t>
      </w:r>
      <w:r>
        <w:rPr>
          <w:rFonts w:hint="default" w:ascii="Times New Roman" w:hAnsi="Times New Roman" w:cs="Times New Roman"/>
          <w:spacing w:val="-6"/>
        </w:rPr>
        <w:t>℃</w:t>
      </w:r>
      <w:r>
        <w:rPr>
          <w:rFonts w:hint="default" w:ascii="Times New Roman" w:hAnsi="Times New Roman" w:cs="Times New Roman"/>
          <w:lang w:val="en-US" w:eastAsia="zh-CN"/>
        </w:rPr>
        <w:t>，年</w:t>
      </w:r>
      <w:r>
        <w:rPr>
          <w:rFonts w:hint="eastAsia" w:ascii="Times New Roman" w:hAnsi="Times New Roman" w:cs="Times New Roman"/>
          <w:lang w:val="en-US" w:eastAsia="zh-CN"/>
        </w:rPr>
        <w:t>平均</w:t>
      </w:r>
      <w:r>
        <w:rPr>
          <w:rFonts w:hint="default" w:ascii="Times New Roman" w:hAnsi="Times New Roman" w:cs="Times New Roman"/>
          <w:lang w:val="en-US" w:eastAsia="zh-CN"/>
        </w:rPr>
        <w:t>降水量为1057.7 mm</w:t>
      </w:r>
      <w:r>
        <w:rPr>
          <w:rFonts w:hint="default" w:ascii="Times New Roman" w:hAnsi="Times New Roman" w:cs="Times New Roman"/>
          <w:lang w:eastAsia="zh-CN"/>
        </w:rPr>
        <w:t>。</w:t>
      </w:r>
    </w:p>
    <w:p>
      <w:pPr>
        <w:pStyle w:val="66"/>
        <w:numPr>
          <w:ilvl w:val="0"/>
          <w:numId w:val="0"/>
        </w:numPr>
        <w:spacing w:before="120" w:after="120"/>
        <w:rPr>
          <w:rFonts w:hint="default" w:ascii="Times New Roman" w:eastAsia="黑体"/>
          <w:lang w:val="en-US" w:eastAsia="zh-CN"/>
        </w:rPr>
      </w:pPr>
      <w:r>
        <w:rPr>
          <w:rFonts w:hint="eastAsia"/>
          <w:color w:val="auto"/>
          <w:lang w:val="en-US" w:eastAsia="zh-CN"/>
        </w:rPr>
        <w:t>5</w:t>
      </w:r>
      <w:r>
        <w:rPr>
          <w:color w:val="auto"/>
        </w:rPr>
        <w:t>.2</w:t>
      </w:r>
      <w:r>
        <w:rPr>
          <w:rFonts w:hint="eastAsia"/>
          <w:color w:val="auto"/>
          <w:lang w:val="en-US" w:eastAsia="zh-CN"/>
        </w:rPr>
        <w:t xml:space="preserve">  </w:t>
      </w:r>
      <w:r>
        <w:rPr>
          <w:rFonts w:hint="eastAsia"/>
          <w:lang w:val="en-US" w:eastAsia="zh-CN"/>
        </w:rPr>
        <w:t>产地环境</w:t>
      </w:r>
    </w:p>
    <w:p>
      <w:pPr>
        <w:pStyle w:val="13"/>
        <w:spacing w:line="278" w:lineRule="auto"/>
        <w:ind w:firstLine="420" w:firstLineChars="200"/>
        <w:rPr>
          <w:rFonts w:hint="default" w:ascii="Times New Roman" w:hAnsi="Times New Roman" w:eastAsia="宋体" w:cs="Times New Roman"/>
          <w:lang w:val="en-US" w:eastAsia="zh-CN"/>
        </w:rPr>
      </w:pPr>
      <w:r>
        <w:rPr>
          <w:rFonts w:hint="eastAsia" w:ascii="Times New Roman" w:hAnsi="Times New Roman" w:cs="Times New Roman"/>
          <w:lang w:val="en-US" w:eastAsia="zh-CN"/>
        </w:rPr>
        <w:t>应符合NY/T 5361的要求。</w:t>
      </w:r>
    </w:p>
    <w:p>
      <w:pPr>
        <w:pStyle w:val="66"/>
        <w:numPr>
          <w:ilvl w:val="0"/>
          <w:numId w:val="0"/>
        </w:numPr>
        <w:spacing w:before="120" w:after="120"/>
        <w:rPr>
          <w:rFonts w:hint="default"/>
          <w:lang w:val="en-US" w:eastAsia="zh-CN"/>
        </w:rPr>
      </w:pPr>
      <w:r>
        <w:rPr>
          <w:rFonts w:hint="eastAsia"/>
          <w:lang w:val="en-US" w:eastAsia="zh-CN"/>
        </w:rPr>
        <w:t>5.3  水源水质</w:t>
      </w:r>
    </w:p>
    <w:p>
      <w:pPr>
        <w:pStyle w:val="57"/>
        <w:ind w:firstLine="42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水源应充沛，水质应</w:t>
      </w:r>
      <w:r>
        <w:rPr>
          <w:rFonts w:hint="eastAsia" w:ascii="Times New Roman" w:cs="Times New Roman"/>
          <w:kern w:val="2"/>
          <w:sz w:val="21"/>
          <w:szCs w:val="21"/>
          <w:lang w:val="en-US" w:eastAsia="zh-CN" w:bidi="ar-SA"/>
        </w:rPr>
        <w:t>清洁</w:t>
      </w:r>
      <w:r>
        <w:rPr>
          <w:rFonts w:hint="default" w:ascii="Times New Roman" w:hAnsi="Times New Roman" w:eastAsia="宋体" w:cs="Times New Roman"/>
          <w:kern w:val="2"/>
          <w:sz w:val="21"/>
          <w:szCs w:val="21"/>
          <w:lang w:val="en-US" w:eastAsia="zh-CN" w:bidi="ar-SA"/>
        </w:rPr>
        <w:t>无污染。</w:t>
      </w:r>
      <w:r>
        <w:rPr>
          <w:rFonts w:hint="default" w:ascii="Times New Roman" w:hAnsi="Times New Roman" w:cs="Times New Roman"/>
          <w:kern w:val="2"/>
          <w:sz w:val="21"/>
          <w:szCs w:val="21"/>
          <w:lang w:val="en-US" w:eastAsia="zh-CN" w:bidi="ar-SA"/>
        </w:rPr>
        <w:t>水源</w:t>
      </w:r>
      <w:r>
        <w:rPr>
          <w:rFonts w:hint="default" w:ascii="Times New Roman" w:hAnsi="Times New Roman" w:eastAsia="宋体" w:cs="Times New Roman"/>
          <w:kern w:val="2"/>
          <w:sz w:val="21"/>
          <w:szCs w:val="21"/>
          <w:lang w:val="en-US" w:eastAsia="zh-CN" w:bidi="ar-SA"/>
        </w:rPr>
        <w:t>水质应符合GB 11607的</w:t>
      </w:r>
      <w:r>
        <w:rPr>
          <w:rFonts w:hint="default" w:ascii="Times New Roman" w:hAnsi="Times New Roman" w:cs="Times New Roman"/>
          <w:kern w:val="2"/>
          <w:sz w:val="21"/>
          <w:szCs w:val="21"/>
          <w:lang w:val="en-US" w:eastAsia="zh-CN" w:bidi="ar-SA"/>
        </w:rPr>
        <w:t>规定</w:t>
      </w:r>
      <w:r>
        <w:rPr>
          <w:rFonts w:hint="default" w:ascii="Times New Roman" w:hAnsi="Times New Roman" w:eastAsia="宋体" w:cs="Times New Roman"/>
          <w:kern w:val="2"/>
          <w:sz w:val="21"/>
          <w:szCs w:val="21"/>
          <w:lang w:val="en-US" w:eastAsia="zh-CN" w:bidi="ar-SA"/>
        </w:rPr>
        <w:t>，</w:t>
      </w:r>
      <w:r>
        <w:rPr>
          <w:rFonts w:hint="default" w:ascii="Times New Roman" w:hAnsi="Times New Roman" w:cs="Times New Roman"/>
          <w:kern w:val="2"/>
          <w:sz w:val="21"/>
          <w:szCs w:val="21"/>
          <w:lang w:val="en-US" w:eastAsia="zh-CN" w:bidi="ar-SA"/>
        </w:rPr>
        <w:t>其中</w:t>
      </w:r>
      <w:r>
        <w:rPr>
          <w:rFonts w:hint="default" w:ascii="Times New Roman" w:hAnsi="Times New Roman" w:cs="Times New Roman"/>
          <w:kern w:val="2"/>
          <w:sz w:val="21"/>
          <w:szCs w:val="21"/>
          <w:highlight w:val="none"/>
          <w:lang w:val="en-US" w:eastAsia="zh-CN" w:bidi="ar-SA"/>
        </w:rPr>
        <w:t>pH</w:t>
      </w:r>
      <w:r>
        <w:rPr>
          <w:rFonts w:hint="eastAsia" w:ascii="Times New Roman" w:cs="Times New Roman"/>
          <w:kern w:val="2"/>
          <w:sz w:val="21"/>
          <w:szCs w:val="21"/>
          <w:highlight w:val="none"/>
          <w:lang w:val="en-US" w:eastAsia="zh-CN" w:bidi="ar-SA"/>
        </w:rPr>
        <w:t>值</w:t>
      </w:r>
      <w:r>
        <w:rPr>
          <w:rFonts w:hint="default" w:ascii="Times New Roman" w:hAnsi="Times New Roman" w:cs="Times New Roman"/>
          <w:kern w:val="2"/>
          <w:sz w:val="21"/>
          <w:szCs w:val="21"/>
          <w:highlight w:val="none"/>
          <w:lang w:val="en-US" w:eastAsia="zh-CN" w:bidi="ar-SA"/>
        </w:rPr>
        <w:t>7.5</w:t>
      </w:r>
      <w:r>
        <w:rPr>
          <w:rFonts w:hint="default" w:ascii="Times New Roman" w:hAnsi="Times New Roman" w:eastAsia="宋体" w:cs="Times New Roman"/>
          <w:i w:val="0"/>
          <w:iCs w:val="0"/>
          <w:caps w:val="0"/>
          <w:color w:val="333333"/>
          <w:spacing w:val="0"/>
          <w:sz w:val="15"/>
          <w:szCs w:val="15"/>
          <w:highlight w:val="none"/>
          <w:shd w:val="clear" w:fill="FFFFFF"/>
        </w:rPr>
        <w:t>~</w:t>
      </w:r>
      <w:r>
        <w:rPr>
          <w:rFonts w:hint="default" w:ascii="Times New Roman" w:hAnsi="Times New Roman" w:cs="Times New Roman"/>
          <w:kern w:val="2"/>
          <w:sz w:val="21"/>
          <w:szCs w:val="21"/>
          <w:highlight w:val="none"/>
          <w:lang w:val="en-US" w:eastAsia="zh-CN" w:bidi="ar-SA"/>
        </w:rPr>
        <w:t>9.0，</w:t>
      </w:r>
      <w:r>
        <w:rPr>
          <w:rFonts w:hint="default" w:ascii="Times New Roman" w:hAnsi="Times New Roman" w:cs="Times New Roman"/>
          <w:kern w:val="2"/>
          <w:sz w:val="21"/>
          <w:szCs w:val="21"/>
          <w:lang w:val="en-US" w:eastAsia="zh-CN" w:bidi="ar-SA"/>
        </w:rPr>
        <w:t>水体透明度</w:t>
      </w:r>
      <w:r>
        <w:rPr>
          <w:rFonts w:hint="eastAsia" w:ascii="Times New Roman" w:cs="Times New Roman"/>
          <w:kern w:val="2"/>
          <w:sz w:val="21"/>
          <w:szCs w:val="21"/>
          <w:lang w:val="en-US" w:eastAsia="zh-CN" w:bidi="ar-SA"/>
        </w:rPr>
        <w:t xml:space="preserve"> </w:t>
      </w:r>
      <w:r>
        <w:rPr>
          <w:rFonts w:hint="default" w:ascii="Times New Roman" w:hAnsi="Times New Roman"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5</w:t>
      </w:r>
      <w:r>
        <w:rPr>
          <w:rFonts w:hint="eastAsia" w:ascii="Times New Roman" w:cs="Times New Roman"/>
          <w:kern w:val="2"/>
          <w:sz w:val="21"/>
          <w:szCs w:val="21"/>
          <w:lang w:val="en-US" w:eastAsia="zh-CN" w:bidi="ar-SA"/>
        </w:rPr>
        <w:t xml:space="preserve"> </w:t>
      </w:r>
      <w:r>
        <w:rPr>
          <w:rFonts w:hint="default" w:ascii="Times New Roman" w:hAnsi="Times New Roman" w:eastAsia="宋体" w:cs="Times New Roman"/>
          <w:kern w:val="2"/>
          <w:sz w:val="21"/>
          <w:szCs w:val="21"/>
          <w:lang w:val="en-US" w:eastAsia="zh-CN" w:bidi="ar-SA"/>
        </w:rPr>
        <w:t>cm</w:t>
      </w:r>
      <w:r>
        <w:rPr>
          <w:rFonts w:hint="default" w:ascii="Times New Roman" w:hAnsi="Times New Roman" w:eastAsia="宋体" w:cs="Times New Roman"/>
          <w:i w:val="0"/>
          <w:iCs w:val="0"/>
          <w:caps w:val="0"/>
          <w:color w:val="333333"/>
          <w:spacing w:val="0"/>
          <w:sz w:val="15"/>
          <w:szCs w:val="15"/>
          <w:shd w:val="clear" w:fill="FFFFFF"/>
        </w:rPr>
        <w:t>~</w:t>
      </w:r>
      <w:r>
        <w:rPr>
          <w:rFonts w:hint="default" w:ascii="Times New Roman" w:hAnsi="Times New Roman" w:eastAsia="宋体" w:cs="Times New Roman"/>
          <w:kern w:val="2"/>
          <w:sz w:val="21"/>
          <w:szCs w:val="21"/>
          <w:lang w:val="en-US" w:eastAsia="zh-CN" w:bidi="ar-SA"/>
        </w:rPr>
        <w:t>60</w:t>
      </w:r>
      <w:r>
        <w:rPr>
          <w:rFonts w:hint="eastAsia" w:ascii="Times New Roman" w:cs="Times New Roman"/>
          <w:kern w:val="2"/>
          <w:sz w:val="21"/>
          <w:szCs w:val="21"/>
          <w:lang w:val="en-US" w:eastAsia="zh-CN" w:bidi="ar-SA"/>
        </w:rPr>
        <w:t xml:space="preserve"> </w:t>
      </w:r>
      <w:r>
        <w:rPr>
          <w:rFonts w:hint="default" w:ascii="Times New Roman" w:hAnsi="Times New Roman" w:eastAsia="宋体" w:cs="Times New Roman"/>
          <w:kern w:val="2"/>
          <w:sz w:val="21"/>
          <w:szCs w:val="21"/>
          <w:lang w:val="en-US" w:eastAsia="zh-CN" w:bidi="ar-SA"/>
        </w:rPr>
        <w:t>cm</w:t>
      </w:r>
      <w:r>
        <w:rPr>
          <w:rFonts w:hint="default" w:ascii="Times New Roman" w:hAnsi="Times New Roman" w:cs="Times New Roman"/>
          <w:kern w:val="2"/>
          <w:sz w:val="21"/>
          <w:szCs w:val="21"/>
          <w:lang w:val="en-US" w:eastAsia="zh-CN" w:bidi="ar-SA"/>
        </w:rPr>
        <w:t>，池塘淤泥厚度不大于</w:t>
      </w:r>
      <w:r>
        <w:rPr>
          <w:rFonts w:hint="eastAsia" w:ascii="Times New Roman" w:cs="Times New Roman"/>
          <w:kern w:val="2"/>
          <w:sz w:val="21"/>
          <w:szCs w:val="21"/>
          <w:lang w:val="en-US" w:eastAsia="zh-CN" w:bidi="ar-SA"/>
        </w:rPr>
        <w:t xml:space="preserve"> </w:t>
      </w:r>
      <w:r>
        <w:rPr>
          <w:rFonts w:hint="default" w:ascii="Times New Roman" w:hAnsi="Times New Roman" w:cs="Times New Roman"/>
          <w:kern w:val="2"/>
          <w:sz w:val="21"/>
          <w:szCs w:val="21"/>
          <w:lang w:val="en-US" w:eastAsia="zh-CN" w:bidi="ar-SA"/>
        </w:rPr>
        <w:t>20</w:t>
      </w:r>
      <w:r>
        <w:rPr>
          <w:rFonts w:hint="eastAsia" w:ascii="Times New Roman" w:cs="Times New Roman"/>
          <w:kern w:val="2"/>
          <w:sz w:val="21"/>
          <w:szCs w:val="21"/>
          <w:lang w:val="en-US" w:eastAsia="zh-CN" w:bidi="ar-SA"/>
        </w:rPr>
        <w:t xml:space="preserve"> </w:t>
      </w:r>
      <w:r>
        <w:rPr>
          <w:rFonts w:hint="default" w:ascii="Times New Roman" w:hAnsi="Times New Roman" w:cs="Times New Roman"/>
          <w:kern w:val="2"/>
          <w:sz w:val="21"/>
          <w:szCs w:val="21"/>
          <w:lang w:val="en-US" w:eastAsia="zh-CN" w:bidi="ar-SA"/>
        </w:rPr>
        <w:t>cm。</w:t>
      </w:r>
    </w:p>
    <w:p>
      <w:pPr>
        <w:pStyle w:val="105"/>
        <w:spacing w:before="240" w:after="240"/>
        <w:rPr>
          <w:rFonts w:ascii="Times New Roman"/>
        </w:rPr>
      </w:pPr>
      <w:r>
        <w:rPr>
          <w:rFonts w:hint="eastAsia"/>
          <w:lang w:val="en-US" w:eastAsia="zh-CN"/>
        </w:rPr>
        <w:t>养殖要求</w:t>
      </w:r>
    </w:p>
    <w:p>
      <w:pPr>
        <w:pStyle w:val="106"/>
        <w:spacing w:before="120" w:after="120"/>
        <w:rPr>
          <w:rFonts w:ascii="Times New Roman"/>
        </w:rPr>
      </w:pPr>
      <w:r>
        <w:rPr>
          <w:rFonts w:hint="eastAsia"/>
          <w:lang w:val="en-US" w:eastAsia="zh-CN"/>
        </w:rPr>
        <w:t>养殖方式</w:t>
      </w:r>
    </w:p>
    <w:p>
      <w:pPr>
        <w:pStyle w:val="57"/>
        <w:ind w:firstLine="408"/>
        <w:rPr>
          <w:rFonts w:hint="default"/>
          <w:lang w:val="en-US" w:eastAsia="zh-CN"/>
        </w:rPr>
      </w:pPr>
      <w:r>
        <w:rPr>
          <w:rFonts w:hint="eastAsia"/>
          <w:lang w:val="en-US" w:eastAsia="zh-CN"/>
        </w:rPr>
        <w:t>养殖方式主要有稻田养殖和池塘养殖。</w:t>
      </w:r>
    </w:p>
    <w:p>
      <w:pPr>
        <w:pStyle w:val="106"/>
        <w:spacing w:before="120" w:after="120"/>
        <w:rPr>
          <w:rFonts w:ascii="Times New Roman"/>
        </w:rPr>
      </w:pPr>
      <w:r>
        <w:rPr>
          <w:rFonts w:hint="eastAsia"/>
          <w:lang w:val="en-US" w:eastAsia="zh-CN"/>
        </w:rPr>
        <w:t>苗种质量</w:t>
      </w:r>
    </w:p>
    <w:p>
      <w:pPr>
        <w:pStyle w:val="57"/>
        <w:ind w:firstLine="420"/>
        <w:rPr>
          <w:rFonts w:hint="eastAsia" w:ascii="Times New Roman"/>
          <w:lang w:val="en-US" w:eastAsia="zh-CN"/>
        </w:rPr>
      </w:pPr>
      <w:r>
        <w:rPr>
          <w:rFonts w:hint="eastAsia" w:ascii="Times New Roman"/>
          <w:lang w:val="en-US" w:eastAsia="zh-CN"/>
        </w:rPr>
        <w:t>虾苗或虾种应规格整齐、附肢完整、健康无病。应来源于繁育场或养殖者自繁自育。</w:t>
      </w:r>
    </w:p>
    <w:p>
      <w:pPr>
        <w:pStyle w:val="106"/>
        <w:spacing w:before="120" w:after="120"/>
        <w:rPr>
          <w:rFonts w:ascii="Times New Roman"/>
        </w:rPr>
      </w:pPr>
      <w:r>
        <w:rPr>
          <w:rFonts w:hint="eastAsia"/>
          <w:lang w:val="en-US" w:eastAsia="zh-CN"/>
        </w:rPr>
        <w:t>饲养</w:t>
      </w:r>
    </w:p>
    <w:p>
      <w:pPr>
        <w:pStyle w:val="57"/>
        <w:ind w:firstLine="408"/>
        <w:rPr>
          <w:rFonts w:hint="default" w:ascii="Times New Roman" w:hAnsi="Times New Roman" w:cs="Times New Roman"/>
          <w:lang w:val="en-US" w:eastAsia="zh-CN"/>
        </w:rPr>
      </w:pPr>
      <w:r>
        <w:rPr>
          <w:rFonts w:hint="default" w:ascii="Times New Roman" w:hAnsi="Times New Roman" w:eastAsia="宋体" w:cs="Times New Roman"/>
          <w:i w:val="0"/>
          <w:iCs w:val="0"/>
          <w:caps w:val="0"/>
          <w:color w:val="222222"/>
          <w:spacing w:val="0"/>
          <w:sz w:val="21"/>
          <w:szCs w:val="21"/>
          <w:shd w:val="clear" w:fill="FFFFFF"/>
        </w:rPr>
        <w:t>喂养时</w:t>
      </w:r>
      <w:r>
        <w:rPr>
          <w:rFonts w:hint="default" w:ascii="Times New Roman" w:hAnsi="Times New Roman" w:eastAsia="宋体" w:cs="Times New Roman"/>
          <w:i w:val="0"/>
          <w:iCs w:val="0"/>
          <w:caps w:val="0"/>
          <w:color w:val="222222"/>
          <w:spacing w:val="0"/>
          <w:sz w:val="21"/>
          <w:szCs w:val="21"/>
          <w:shd w:val="clear" w:fill="FFFFFF"/>
          <w:lang w:val="en-US" w:eastAsia="zh-CN"/>
        </w:rPr>
        <w:t>应</w:t>
      </w:r>
      <w:r>
        <w:rPr>
          <w:rFonts w:hint="default" w:ascii="Times New Roman" w:hAnsi="Times New Roman" w:cs="Times New Roman"/>
          <w:i w:val="0"/>
          <w:iCs w:val="0"/>
          <w:caps w:val="0"/>
          <w:color w:val="222222"/>
          <w:spacing w:val="0"/>
          <w:sz w:val="21"/>
          <w:szCs w:val="21"/>
          <w:shd w:val="clear" w:fill="FFFFFF"/>
          <w:lang w:val="en-US" w:eastAsia="zh-CN"/>
        </w:rPr>
        <w:t>以投喂配合饲料为主、其他饲料为辅，应充分利用天然生物饵料（如昆虫幼虫、水草、水蚯蚓等）</w:t>
      </w:r>
      <w:r>
        <w:rPr>
          <w:rFonts w:hint="default" w:ascii="Times New Roman" w:hAnsi="Times New Roman" w:cs="Times New Roman"/>
          <w:i w:val="0"/>
          <w:iCs w:val="0"/>
          <w:caps w:val="0"/>
          <w:color w:val="222222"/>
          <w:spacing w:val="0"/>
          <w:sz w:val="21"/>
          <w:szCs w:val="21"/>
          <w:shd w:val="clear" w:fill="FFFFFF"/>
          <w:lang w:eastAsia="zh-CN"/>
        </w:rPr>
        <w:t>，</w:t>
      </w:r>
      <w:r>
        <w:rPr>
          <w:rFonts w:hint="default" w:ascii="Times New Roman" w:hAnsi="Times New Roman" w:cs="Times New Roman"/>
          <w:i w:val="0"/>
          <w:iCs w:val="0"/>
          <w:caps w:val="0"/>
          <w:color w:val="222222"/>
          <w:spacing w:val="0"/>
          <w:sz w:val="21"/>
          <w:szCs w:val="21"/>
          <w:shd w:val="clear" w:fill="FFFFFF"/>
          <w:lang w:val="en-US" w:eastAsia="zh-CN"/>
        </w:rPr>
        <w:t>不应投喂冰鲜（冻）鱼或螺蚌肉。配合饲料的粗蛋白含量宜为26%</w:t>
      </w:r>
      <w:r>
        <w:rPr>
          <w:rFonts w:hint="default" w:ascii="Times New Roman" w:hAnsi="Times New Roman" w:eastAsia="宋体" w:cs="Times New Roman"/>
          <w:i w:val="0"/>
          <w:iCs w:val="0"/>
          <w:caps w:val="0"/>
          <w:color w:val="333333"/>
          <w:spacing w:val="0"/>
          <w:sz w:val="15"/>
          <w:szCs w:val="15"/>
          <w:shd w:val="clear" w:fill="FFFFFF"/>
        </w:rPr>
        <w:t>~</w:t>
      </w:r>
      <w:r>
        <w:rPr>
          <w:rFonts w:hint="default" w:ascii="Times New Roman" w:hAnsi="Times New Roman" w:cs="Times New Roman"/>
          <w:i w:val="0"/>
          <w:iCs w:val="0"/>
          <w:caps w:val="0"/>
          <w:color w:val="222222"/>
          <w:spacing w:val="0"/>
          <w:sz w:val="21"/>
          <w:szCs w:val="21"/>
          <w:shd w:val="clear" w:fill="FFFFFF"/>
          <w:lang w:val="en-US" w:eastAsia="zh-CN"/>
        </w:rPr>
        <w:t>30%，其质量</w:t>
      </w:r>
      <w:r>
        <w:rPr>
          <w:rFonts w:hint="default" w:ascii="Times New Roman" w:hAnsi="Times New Roman" w:cs="Times New Roman"/>
          <w:lang w:val="en-US" w:eastAsia="zh-CN"/>
        </w:rPr>
        <w:t>应符合GB 13078的规定。</w:t>
      </w:r>
    </w:p>
    <w:p>
      <w:pPr>
        <w:pStyle w:val="106"/>
        <w:spacing w:before="120" w:after="120"/>
        <w:rPr>
          <w:rFonts w:ascii="Times New Roman"/>
        </w:rPr>
      </w:pPr>
      <w:r>
        <w:rPr>
          <w:rFonts w:hint="eastAsia"/>
          <w:lang w:val="en-US" w:eastAsia="zh-CN"/>
        </w:rPr>
        <w:t>品种改良</w:t>
      </w:r>
    </w:p>
    <w:p>
      <w:pPr>
        <w:pStyle w:val="57"/>
        <w:ind w:firstLine="408"/>
        <w:rPr>
          <w:rFonts w:hint="eastAsia" w:ascii="Times New Roman"/>
          <w:lang w:val="en-US" w:eastAsia="zh-CN"/>
        </w:rPr>
      </w:pPr>
      <w:r>
        <w:rPr>
          <w:rFonts w:hint="default" w:ascii="Times New Roman" w:hAnsi="Times New Roman" w:cs="Times New Roman"/>
          <w:lang w:val="en-US" w:eastAsia="zh-CN"/>
        </w:rPr>
        <w:t>应于6月</w:t>
      </w:r>
      <w:r>
        <w:rPr>
          <w:rFonts w:hint="default" w:ascii="Times New Roman" w:hAnsi="Times New Roman" w:eastAsia="宋体" w:cs="Times New Roman"/>
          <w:i w:val="0"/>
          <w:iCs w:val="0"/>
          <w:caps w:val="0"/>
          <w:color w:val="333333"/>
          <w:spacing w:val="0"/>
          <w:sz w:val="15"/>
          <w:szCs w:val="15"/>
          <w:shd w:val="clear" w:fill="FFFFFF"/>
        </w:rPr>
        <w:t>~</w:t>
      </w:r>
      <w:r>
        <w:rPr>
          <w:rFonts w:hint="default" w:ascii="Times New Roman" w:hAnsi="Times New Roman" w:cs="Times New Roman"/>
          <w:i w:val="0"/>
          <w:iCs w:val="0"/>
          <w:caps w:val="0"/>
          <w:color w:val="222222"/>
          <w:spacing w:val="0"/>
          <w:sz w:val="21"/>
          <w:szCs w:val="21"/>
          <w:shd w:val="clear" w:fill="FFFFFF"/>
          <w:lang w:val="en-US" w:eastAsia="zh-CN"/>
        </w:rPr>
        <w:t>9月，引进亲本虾，投放至池塘或者养殖稻</w:t>
      </w:r>
      <w:r>
        <w:rPr>
          <w:rFonts w:hint="eastAsia" w:ascii="Arial" w:hAnsi="Arial" w:cs="Arial"/>
          <w:i w:val="0"/>
          <w:iCs w:val="0"/>
          <w:caps w:val="0"/>
          <w:color w:val="222222"/>
          <w:spacing w:val="0"/>
          <w:sz w:val="21"/>
          <w:szCs w:val="21"/>
          <w:shd w:val="clear" w:fill="FFFFFF"/>
          <w:lang w:val="en-US" w:eastAsia="zh-CN"/>
        </w:rPr>
        <w:t>田，改良龙虾种质。</w:t>
      </w:r>
    </w:p>
    <w:p>
      <w:pPr>
        <w:pStyle w:val="106"/>
        <w:spacing w:before="120" w:after="120"/>
        <w:rPr>
          <w:rFonts w:hint="default"/>
          <w:lang w:val="en-US" w:eastAsia="zh-CN"/>
        </w:rPr>
      </w:pPr>
      <w:r>
        <w:rPr>
          <w:rFonts w:hint="eastAsia"/>
          <w:lang w:val="en-US" w:eastAsia="zh-CN"/>
        </w:rPr>
        <w:t>水质调节</w:t>
      </w:r>
    </w:p>
    <w:p>
      <w:pPr>
        <w:pStyle w:val="106"/>
        <w:numPr>
          <w:ilvl w:val="2"/>
          <w:numId w:val="0"/>
        </w:numPr>
        <w:spacing w:before="120" w:after="120"/>
        <w:ind w:leftChars="0" w:firstLine="420" w:firstLineChars="200"/>
        <w:rPr>
          <w:rFonts w:hint="default"/>
          <w:lang w:val="en-US" w:eastAsia="zh-CN"/>
        </w:rPr>
      </w:pPr>
      <w:r>
        <w:rPr>
          <w:rFonts w:hint="eastAsia" w:ascii="Arial" w:hAnsi="Arial" w:eastAsia="宋体" w:cs="Arial"/>
          <w:i w:val="0"/>
          <w:iCs w:val="0"/>
          <w:caps w:val="0"/>
          <w:color w:val="222222"/>
          <w:spacing w:val="0"/>
          <w:sz w:val="21"/>
          <w:szCs w:val="21"/>
          <w:shd w:val="clear" w:fill="FFFFFF"/>
          <w:lang w:val="en-US" w:eastAsia="zh-CN" w:bidi="ar-SA"/>
        </w:rPr>
        <w:t>根据不同季节的池塘水质或稻田水质，不定期的洒微生态剂或生石灰，用以改善水质环境。</w:t>
      </w:r>
    </w:p>
    <w:p>
      <w:pPr>
        <w:pStyle w:val="106"/>
        <w:spacing w:before="120" w:after="120"/>
        <w:rPr>
          <w:rFonts w:hint="eastAsia"/>
          <w:lang w:val="en-US" w:eastAsia="zh-CN"/>
        </w:rPr>
      </w:pPr>
      <w:r>
        <w:rPr>
          <w:rFonts w:hint="eastAsia"/>
          <w:lang w:val="en-US" w:eastAsia="zh-CN"/>
        </w:rPr>
        <w:t>水草种植</w:t>
      </w:r>
    </w:p>
    <w:p>
      <w:pPr>
        <w:pStyle w:val="57"/>
        <w:ind w:firstLine="420"/>
        <w:rPr>
          <w:rFonts w:hint="default" w:ascii="Times New Roman"/>
          <w:lang w:val="en-US" w:eastAsia="zh-CN"/>
        </w:rPr>
      </w:pPr>
      <w:r>
        <w:rPr>
          <w:rFonts w:hint="eastAsia" w:ascii="Times New Roman"/>
          <w:lang w:val="en-US" w:eastAsia="zh-CN"/>
        </w:rPr>
        <w:t>应以轮叶黑藻、小茨藻、马来眼子菜、苦草、芦苇为主。</w:t>
      </w:r>
    </w:p>
    <w:p>
      <w:pPr>
        <w:pStyle w:val="106"/>
        <w:numPr>
          <w:ilvl w:val="2"/>
          <w:numId w:val="0"/>
        </w:numPr>
        <w:spacing w:before="120" w:after="120"/>
        <w:ind w:leftChars="0"/>
        <w:rPr>
          <w:rFonts w:hint="eastAsia"/>
          <w:lang w:val="en-US" w:eastAsia="zh-CN"/>
        </w:rPr>
      </w:pPr>
      <w:r>
        <w:rPr>
          <w:rFonts w:hint="eastAsia"/>
          <w:lang w:val="en-US" w:eastAsia="zh-CN"/>
        </w:rPr>
        <w:t>6.7  捕捞方式</w:t>
      </w:r>
    </w:p>
    <w:p>
      <w:pPr>
        <w:pStyle w:val="57"/>
        <w:ind w:firstLine="420"/>
        <w:rPr>
          <w:rFonts w:hint="eastAsia" w:ascii="Times New Roman"/>
          <w:lang w:val="en-US" w:eastAsia="zh-CN"/>
        </w:rPr>
      </w:pPr>
      <w:r>
        <w:rPr>
          <w:rFonts w:hint="eastAsia" w:ascii="Times New Roman"/>
          <w:lang w:val="en-US" w:eastAsia="zh-CN"/>
        </w:rPr>
        <w:t>应在稻田或池塘中设置虾笼进行捕捞。</w:t>
      </w:r>
    </w:p>
    <w:p>
      <w:pPr>
        <w:pStyle w:val="106"/>
        <w:numPr>
          <w:ilvl w:val="2"/>
          <w:numId w:val="0"/>
        </w:numPr>
        <w:spacing w:before="120" w:after="120"/>
        <w:ind w:leftChars="0"/>
        <w:rPr>
          <w:rFonts w:hint="default"/>
          <w:lang w:val="en-US" w:eastAsia="zh-CN"/>
        </w:rPr>
      </w:pPr>
      <w:r>
        <w:rPr>
          <w:rFonts w:hint="eastAsia"/>
          <w:lang w:val="en-US" w:eastAsia="zh-CN"/>
        </w:rPr>
        <w:t>6.8  病害防控</w:t>
      </w:r>
    </w:p>
    <w:p>
      <w:pPr>
        <w:pStyle w:val="57"/>
        <w:ind w:firstLine="420"/>
        <w:rPr>
          <w:rFonts w:hint="default" w:ascii="Times New Roman"/>
          <w:lang w:val="en-US" w:eastAsia="zh-CN"/>
        </w:rPr>
      </w:pPr>
      <w:r>
        <w:rPr>
          <w:rFonts w:hint="eastAsia" w:ascii="Times New Roman"/>
          <w:lang w:val="en-US" w:eastAsia="zh-CN"/>
        </w:rPr>
        <w:t>坚持“以防为主、防治结合”的原则，以生态调控防病为主，药物治疗为辅。当发生病害时，药物选择和病害防治应按NY 5071的规定执行。</w:t>
      </w:r>
    </w:p>
    <w:p>
      <w:pPr>
        <w:pStyle w:val="105"/>
        <w:spacing w:before="240" w:after="240"/>
        <w:rPr>
          <w:rFonts w:hint="default" w:ascii="Times New Roman"/>
          <w:lang w:val="en-US" w:eastAsia="zh-CN"/>
        </w:rPr>
      </w:pPr>
      <w:r>
        <w:rPr>
          <w:rFonts w:hint="eastAsia"/>
          <w:lang w:val="en-US" w:eastAsia="zh-CN"/>
        </w:rPr>
        <w:t>产品质量</w:t>
      </w:r>
    </w:p>
    <w:p>
      <w:pPr>
        <w:pStyle w:val="106"/>
        <w:spacing w:before="120" w:after="120"/>
        <w:rPr>
          <w:rFonts w:ascii="Times New Roman"/>
        </w:rPr>
      </w:pPr>
      <w:r>
        <w:rPr>
          <w:rFonts w:ascii="Times New Roman"/>
        </w:rPr>
        <w:t>感官特</w:t>
      </w:r>
      <w:r>
        <w:rPr>
          <w:rFonts w:hint="eastAsia" w:ascii="Times New Roman"/>
          <w:lang w:val="en-US" w:eastAsia="zh-CN"/>
        </w:rPr>
        <w:t>征</w:t>
      </w:r>
    </w:p>
    <w:p>
      <w:pPr>
        <w:pStyle w:val="57"/>
        <w:ind w:firstLine="420"/>
        <w:rPr>
          <w:rFonts w:ascii="Times New Roman"/>
          <w:szCs w:val="21"/>
        </w:rPr>
      </w:pPr>
      <w:r>
        <w:t>感官</w:t>
      </w:r>
      <w:r>
        <w:rPr>
          <w:rFonts w:hint="eastAsia"/>
          <w:lang w:val="en-US" w:eastAsia="zh-CN"/>
        </w:rPr>
        <w:t>特征</w:t>
      </w:r>
      <w:r>
        <w:t>应符合表</w:t>
      </w:r>
      <w:r>
        <w:rPr>
          <w:rFonts w:ascii="Times New Roman"/>
        </w:rPr>
        <w:t>1</w:t>
      </w:r>
      <w:r>
        <w:t>的规定。</w:t>
      </w:r>
    </w:p>
    <w:p>
      <w:pPr>
        <w:pStyle w:val="113"/>
        <w:spacing w:before="120" w:after="120"/>
        <w:rPr>
          <w:rFonts w:cs="宋体"/>
          <w:color w:val="0000FF"/>
        </w:rPr>
      </w:pPr>
      <w:r>
        <w:rPr>
          <w:rFonts w:hint="eastAsia"/>
        </w:rPr>
        <w:t>感官特</w:t>
      </w:r>
      <w:r>
        <w:rPr>
          <w:rFonts w:hint="eastAsia"/>
          <w:lang w:val="en-US" w:eastAsia="zh-CN"/>
        </w:rPr>
        <w:t>征</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jc w:val="center"/>
              <w:rPr>
                <w:rFonts w:ascii="Times New Roman" w:hAnsi="Times New Roman" w:eastAsiaTheme="minorEastAsia"/>
                <w:sz w:val="18"/>
                <w:szCs w:val="18"/>
              </w:rPr>
            </w:pPr>
            <w:r>
              <w:rPr>
                <w:rFonts w:ascii="Times New Roman" w:hAnsi="Times New Roman"/>
                <w:sz w:val="18"/>
                <w:szCs w:val="18"/>
              </w:rPr>
              <w:t>项目</w:t>
            </w:r>
          </w:p>
        </w:tc>
        <w:tc>
          <w:tcPr>
            <w:tcW w:w="6392" w:type="dxa"/>
          </w:tcPr>
          <w:p>
            <w:pPr>
              <w:jc w:val="center"/>
              <w:rPr>
                <w:rFonts w:hint="eastAsia" w:ascii="Times New Roman" w:hAnsi="Times New Roman" w:eastAsia="宋体"/>
                <w:sz w:val="18"/>
                <w:szCs w:val="18"/>
                <w:lang w:eastAsia="zh-CN"/>
              </w:rPr>
            </w:pPr>
            <w:r>
              <w:rPr>
                <w:rFonts w:hint="eastAsia" w:ascii="Times New Roman" w:hAnsi="Times New Roman"/>
                <w:sz w:val="18"/>
                <w:szCs w:val="18"/>
                <w:lang w:val="en-US" w:eastAsia="zh-CN"/>
              </w:rPr>
              <w:t>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体色</w:t>
            </w:r>
          </w:p>
        </w:tc>
        <w:tc>
          <w:tcPr>
            <w:tcW w:w="6392"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淡红色，腹部甲壳有光泽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eastAsia"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活力</w:t>
            </w:r>
          </w:p>
        </w:tc>
        <w:tc>
          <w:tcPr>
            <w:tcW w:w="6392"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活动能力强，反应敏捷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eastAsia"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形态</w:t>
            </w:r>
          </w:p>
        </w:tc>
        <w:tc>
          <w:tcPr>
            <w:tcW w:w="6392"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头部有4对触须，甲壳坚硬，表面粗糙，尾部粗壮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eastAsia"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气味</w:t>
            </w:r>
          </w:p>
        </w:tc>
        <w:tc>
          <w:tcPr>
            <w:tcW w:w="6392"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eastAsia"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鳃</w:t>
            </w:r>
          </w:p>
        </w:tc>
        <w:tc>
          <w:tcPr>
            <w:tcW w:w="6392" w:type="dxa"/>
          </w:tcPr>
          <w:p>
            <w:pPr>
              <w:jc w:val="center"/>
              <w:rPr>
                <w:rFonts w:hint="default" w:ascii="Times New Roman" w:hAnsi="Times New Roman"/>
                <w:sz w:val="18"/>
                <w:szCs w:val="18"/>
                <w:lang w:val="en-US" w:eastAsia="zh-CN"/>
              </w:rPr>
            </w:pPr>
            <w:r>
              <w:rPr>
                <w:rFonts w:hint="eastAsia" w:ascii="Times New Roman" w:hAnsi="Times New Roman" w:cs="Times New Roman"/>
                <w:kern w:val="2"/>
                <w:sz w:val="18"/>
                <w:szCs w:val="18"/>
                <w:lang w:val="en-US" w:eastAsia="zh-CN"/>
              </w:rPr>
              <w:t>鳃丝洁净，无异物</w:t>
            </w:r>
          </w:p>
        </w:tc>
      </w:tr>
    </w:tbl>
    <w:p>
      <w:pPr>
        <w:pStyle w:val="106"/>
        <w:spacing w:before="240" w:beforeLines="100" w:after="240" w:afterLines="100"/>
        <w:rPr>
          <w:rFonts w:hint="eastAsia"/>
          <w:highlight w:val="yellow"/>
          <w:lang w:val="en-US" w:eastAsia="zh-CN"/>
        </w:rPr>
      </w:pPr>
      <w:r>
        <w:rPr>
          <w:rFonts w:hint="eastAsia"/>
          <w:highlight w:val="yellow"/>
          <w:lang w:val="en-US" w:eastAsia="zh-CN"/>
        </w:rPr>
        <w:t xml:space="preserve"> 规格划分</w:t>
      </w:r>
    </w:p>
    <w:p>
      <w:pPr>
        <w:pStyle w:val="57"/>
        <w:ind w:firstLine="420"/>
        <w:rPr>
          <w:rFonts w:hint="eastAsia" w:eastAsia="宋体"/>
          <w:color w:val="FF0000"/>
          <w:lang w:eastAsia="zh-CN"/>
        </w:rPr>
      </w:pPr>
      <w:r>
        <w:rPr>
          <w:rFonts w:hint="eastAsia"/>
          <w:lang w:val="en-US" w:eastAsia="zh-CN"/>
        </w:rPr>
        <w:t>地理标志证明商标含山龙虾的</w:t>
      </w:r>
      <w:r>
        <w:rPr>
          <w:rFonts w:hint="eastAsia"/>
          <w:highlight w:val="yellow"/>
          <w:lang w:val="en-US" w:eastAsia="zh-CN"/>
        </w:rPr>
        <w:t>规格划分</w:t>
      </w:r>
      <w:r>
        <w:rPr>
          <w:rFonts w:hint="eastAsia"/>
          <w:lang w:val="en-US" w:eastAsia="zh-CN"/>
        </w:rPr>
        <w:t>见</w:t>
      </w:r>
      <w:r>
        <w:t>表</w:t>
      </w:r>
      <w:r>
        <w:rPr>
          <w:rFonts w:hint="eastAsia" w:ascii="Times New Roman"/>
          <w:lang w:val="en-US" w:eastAsia="zh-CN"/>
        </w:rPr>
        <w:t>2</w:t>
      </w:r>
      <w:r>
        <w:t>。</w:t>
      </w:r>
    </w:p>
    <w:p>
      <w:pPr>
        <w:pStyle w:val="113"/>
        <w:spacing w:before="120" w:after="120"/>
        <w:rPr>
          <w:rFonts w:cs="宋体"/>
        </w:rPr>
      </w:pPr>
      <w:r>
        <w:rPr>
          <w:rFonts w:hint="eastAsia"/>
          <w:lang w:val="en-US" w:eastAsia="zh-CN"/>
        </w:rPr>
        <w:t>活体虾产品规格划分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ascii="Times New Roman" w:hAnsi="Times New Roman" w:eastAsiaTheme="minorEastAsia"/>
                <w:sz w:val="18"/>
              </w:rPr>
            </w:pPr>
            <w:r>
              <w:rPr>
                <w:rFonts w:ascii="Times New Roman" w:hAnsi="Times New Roman"/>
                <w:sz w:val="18"/>
                <w:szCs w:val="18"/>
              </w:rPr>
              <w:t>项目</w:t>
            </w:r>
          </w:p>
        </w:tc>
        <w:tc>
          <w:tcPr>
            <w:tcW w:w="6392"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体重（X）/g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30" w:type="dxa"/>
            <w:vAlign w:val="center"/>
          </w:tcPr>
          <w:p>
            <w:pPr>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一级</w:t>
            </w:r>
          </w:p>
        </w:tc>
        <w:tc>
          <w:tcPr>
            <w:tcW w:w="6392"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40≤X＜50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二级</w:t>
            </w:r>
          </w:p>
        </w:tc>
        <w:tc>
          <w:tcPr>
            <w:tcW w:w="6392"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30≤X＜40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三级</w:t>
            </w:r>
          </w:p>
        </w:tc>
        <w:tc>
          <w:tcPr>
            <w:tcW w:w="6392"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20≤X＜30</w:t>
            </w:r>
          </w:p>
        </w:tc>
      </w:tr>
    </w:tbl>
    <w:p>
      <w:pPr>
        <w:pStyle w:val="106"/>
        <w:spacing w:before="240" w:beforeLines="100" w:after="240" w:afterLines="100"/>
        <w:rPr>
          <w:rFonts w:ascii="Times New Roman"/>
        </w:rPr>
      </w:pPr>
      <w:r>
        <w:rPr>
          <w:rFonts w:ascii="Times New Roman"/>
          <w:sz w:val="13"/>
          <w:szCs w:val="13"/>
        </w:rPr>
        <w:t xml:space="preserve"> </w:t>
      </w:r>
      <w:r>
        <w:t>理化指标</w:t>
      </w:r>
    </w:p>
    <w:p>
      <w:pPr>
        <w:pStyle w:val="57"/>
        <w:ind w:firstLine="420"/>
        <w:rPr>
          <w:rFonts w:hint="eastAsia" w:eastAsia="宋体"/>
          <w:color w:val="FF0000"/>
          <w:lang w:eastAsia="zh-CN"/>
        </w:rPr>
      </w:pPr>
      <w:r>
        <w:t>理化指标应符合表</w:t>
      </w:r>
      <w:r>
        <w:rPr>
          <w:rFonts w:hint="eastAsia" w:ascii="Times New Roman"/>
          <w:lang w:val="en-US" w:eastAsia="zh-CN"/>
        </w:rPr>
        <w:t>3</w:t>
      </w:r>
      <w:r>
        <w:t>的规定。</w:t>
      </w:r>
    </w:p>
    <w:p>
      <w:pPr>
        <w:pStyle w:val="113"/>
        <w:spacing w:before="120" w:after="120"/>
        <w:rPr>
          <w:rFonts w:cs="宋体"/>
        </w:rPr>
      </w:pPr>
      <w:r>
        <w:rPr>
          <w:rFonts w:hint="eastAsia"/>
          <w:lang w:val="en-US" w:eastAsia="zh-CN"/>
        </w:rPr>
        <w:t>虾体肌肉的</w:t>
      </w:r>
      <w:r>
        <w:rPr>
          <w:rFonts w:hint="eastAsia"/>
        </w:rPr>
        <w:t>理化指标</w:t>
      </w:r>
      <w:r>
        <w:rPr>
          <w:rFonts w:hint="eastAsia"/>
          <w:lang w:eastAsia="zh-CN"/>
        </w:rPr>
        <w:t>（湿</w:t>
      </w:r>
      <w:r>
        <w:rPr>
          <w:rFonts w:hint="eastAsia"/>
          <w:lang w:val="en-US" w:eastAsia="zh-CN"/>
        </w:rPr>
        <w:t>重无壳</w:t>
      </w:r>
      <w:r>
        <w:rPr>
          <w:rFonts w:hint="eastAsia"/>
          <w:lang w:eastAsia="zh-CN"/>
        </w:rPr>
        <w: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ascii="Times New Roman" w:hAnsi="Times New Roman" w:eastAsiaTheme="minorEastAsia"/>
                <w:sz w:val="18"/>
              </w:rPr>
            </w:pPr>
            <w:r>
              <w:rPr>
                <w:rFonts w:ascii="Times New Roman" w:hAnsi="Times New Roman"/>
                <w:sz w:val="18"/>
                <w:szCs w:val="18"/>
              </w:rPr>
              <w:t>项目</w:t>
            </w:r>
          </w:p>
        </w:tc>
        <w:tc>
          <w:tcPr>
            <w:tcW w:w="6392"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30" w:type="dxa"/>
            <w:vAlign w:val="center"/>
          </w:tcPr>
          <w:p>
            <w:pPr>
              <w:jc w:val="center"/>
              <w:rPr>
                <w:rFonts w:ascii="Times New Roman" w:hAnsi="Times New Roman"/>
                <w:color w:val="auto"/>
                <w:sz w:val="18"/>
                <w:szCs w:val="18"/>
              </w:rPr>
            </w:pPr>
            <w:r>
              <w:rPr>
                <w:rFonts w:hint="eastAsia" w:ascii="Times New Roman" w:hAnsi="Times New Roman"/>
                <w:color w:val="auto"/>
                <w:sz w:val="18"/>
                <w:szCs w:val="18"/>
                <w:lang w:val="en-US" w:eastAsia="zh-CN"/>
              </w:rPr>
              <w:t xml:space="preserve">蛋白质 </w:t>
            </w:r>
            <w:r>
              <w:rPr>
                <w:rFonts w:ascii="Times New Roman" w:hAnsi="Times New Roman"/>
                <w:color w:val="auto"/>
                <w:sz w:val="18"/>
                <w:szCs w:val="18"/>
              </w:rPr>
              <w:t>%</w:t>
            </w:r>
          </w:p>
        </w:tc>
        <w:tc>
          <w:tcPr>
            <w:tcW w:w="6392"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30" w:type="dxa"/>
            <w:vAlign w:val="center"/>
          </w:tcPr>
          <w:p>
            <w:pPr>
              <w:jc w:val="center"/>
              <w:rPr>
                <w:rFonts w:ascii="Times New Roman" w:hAnsi="Times New Roman"/>
                <w:color w:val="auto"/>
                <w:sz w:val="18"/>
                <w:szCs w:val="18"/>
              </w:rPr>
            </w:pPr>
            <w:r>
              <w:rPr>
                <w:rFonts w:hint="eastAsia" w:ascii="Times New Roman" w:hAnsi="Times New Roman"/>
                <w:color w:val="auto"/>
                <w:sz w:val="18"/>
                <w:szCs w:val="18"/>
                <w:lang w:val="en-US" w:eastAsia="zh-CN"/>
              </w:rPr>
              <w:t xml:space="preserve">脂肪 </w:t>
            </w:r>
            <w:r>
              <w:rPr>
                <w:rFonts w:ascii="Times New Roman" w:hAnsi="Times New Roman"/>
                <w:color w:val="auto"/>
                <w:sz w:val="18"/>
                <w:szCs w:val="18"/>
              </w:rPr>
              <w:t>%</w:t>
            </w:r>
          </w:p>
        </w:tc>
        <w:tc>
          <w:tcPr>
            <w:tcW w:w="6392"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30" w:type="dxa"/>
            <w:vAlign w:val="center"/>
          </w:tcPr>
          <w:p>
            <w:pPr>
              <w:jc w:val="center"/>
              <w:rPr>
                <w:rFonts w:ascii="Times New Roman" w:hAnsi="Times New Roman"/>
                <w:color w:val="auto"/>
                <w:sz w:val="18"/>
                <w:szCs w:val="18"/>
              </w:rPr>
            </w:pPr>
            <w:r>
              <w:rPr>
                <w:rFonts w:hint="eastAsia" w:ascii="Times New Roman" w:hAnsi="Times New Roman"/>
                <w:color w:val="auto"/>
                <w:sz w:val="18"/>
                <w:szCs w:val="18"/>
                <w:lang w:val="en-US" w:eastAsia="zh-CN"/>
              </w:rPr>
              <w:t xml:space="preserve">灰分 </w:t>
            </w:r>
            <w:r>
              <w:rPr>
                <w:rFonts w:ascii="Times New Roman" w:hAnsi="Times New Roman"/>
                <w:color w:val="auto"/>
                <w:sz w:val="18"/>
                <w:szCs w:val="18"/>
              </w:rPr>
              <w:t>%</w:t>
            </w:r>
          </w:p>
        </w:tc>
        <w:tc>
          <w:tcPr>
            <w:tcW w:w="6392" w:type="dxa"/>
          </w:tcPr>
          <w:p>
            <w:pPr>
              <w:jc w:val="center"/>
              <w:rPr>
                <w:rFonts w:hint="default" w:ascii="Times New Roman" w:hAnsi="Times New Roman"/>
                <w:sz w:val="18"/>
                <w:szCs w:val="18"/>
                <w:lang w:val="en-US"/>
              </w:rPr>
            </w:pPr>
            <w:r>
              <w:rPr>
                <w:rFonts w:hint="eastAsia" w:ascii="Times New Roman" w:hAnsi="Times New Roman"/>
                <w:sz w:val="18"/>
                <w:szCs w:val="1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jc w:val="center"/>
              <w:rPr>
                <w:rFonts w:ascii="Times New Roman" w:hAnsi="Times New Roman"/>
                <w:color w:val="auto"/>
                <w:sz w:val="18"/>
                <w:szCs w:val="18"/>
              </w:rPr>
            </w:pPr>
            <w:r>
              <w:rPr>
                <w:rFonts w:hint="eastAsia" w:ascii="Times New Roman" w:hAnsi="Times New Roman"/>
                <w:color w:val="auto"/>
                <w:sz w:val="18"/>
                <w:szCs w:val="18"/>
                <w:lang w:val="en-US" w:eastAsia="zh-CN"/>
              </w:rPr>
              <w:t xml:space="preserve">水分 </w:t>
            </w:r>
            <w:r>
              <w:rPr>
                <w:rFonts w:ascii="Times New Roman" w:hAnsi="Times New Roman"/>
                <w:color w:val="auto"/>
                <w:sz w:val="18"/>
                <w:szCs w:val="18"/>
              </w:rPr>
              <w:t>%</w:t>
            </w:r>
          </w:p>
        </w:tc>
        <w:tc>
          <w:tcPr>
            <w:tcW w:w="6392"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≤76.5</w:t>
            </w:r>
          </w:p>
        </w:tc>
      </w:tr>
    </w:tbl>
    <w:p>
      <w:pPr>
        <w:pStyle w:val="105"/>
        <w:numPr>
          <w:ilvl w:val="1"/>
          <w:numId w:val="0"/>
        </w:numPr>
        <w:spacing w:before="240" w:after="240"/>
        <w:ind w:leftChars="0"/>
        <w:rPr>
          <w:rFonts w:ascii="Times New Roman"/>
        </w:rPr>
      </w:pPr>
      <w:r>
        <w:rPr>
          <w:rFonts w:hint="eastAsia" w:ascii="Times New Roman"/>
          <w:lang w:val="en-US" w:eastAsia="zh-CN"/>
        </w:rPr>
        <w:t xml:space="preserve">7.4   </w:t>
      </w:r>
      <w:r>
        <w:rPr>
          <w:rFonts w:ascii="Times New Roman"/>
        </w:rPr>
        <w:t>安全指标</w:t>
      </w:r>
    </w:p>
    <w:p>
      <w:pPr>
        <w:pStyle w:val="13"/>
        <w:spacing w:line="240" w:lineRule="auto"/>
        <w:ind w:right="275" w:firstLine="420" w:firstLineChars="200"/>
        <w:rPr>
          <w:rFonts w:hint="eastAsia"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安全指标应符合GB 2763、NY 5073 的规定。</w:t>
      </w:r>
    </w:p>
    <w:p>
      <w:pPr>
        <w:pStyle w:val="105"/>
        <w:spacing w:before="240" w:after="240"/>
        <w:rPr>
          <w:rFonts w:ascii="Times New Roman"/>
        </w:rPr>
      </w:pPr>
      <w:r>
        <w:rPr>
          <w:rFonts w:ascii="Times New Roman"/>
        </w:rPr>
        <w:t>检验方法</w:t>
      </w:r>
    </w:p>
    <w:p>
      <w:pPr>
        <w:pStyle w:val="106"/>
        <w:spacing w:before="120" w:after="120"/>
        <w:rPr>
          <w:rFonts w:ascii="Times New Roman"/>
          <w:spacing w:val="-1"/>
        </w:rPr>
      </w:pPr>
      <w:r>
        <w:rPr>
          <w:rFonts w:ascii="Times New Roman"/>
        </w:rPr>
        <w:t>感官检验</w:t>
      </w:r>
    </w:p>
    <w:p>
      <w:pPr>
        <w:pStyle w:val="66"/>
        <w:spacing w:before="120" w:after="120"/>
      </w:pPr>
      <w:r>
        <w:rPr>
          <w:rFonts w:hint="eastAsia"/>
        </w:rPr>
        <w:t>外观</w:t>
      </w:r>
    </w:p>
    <w:p>
      <w:pPr>
        <w:pStyle w:val="57"/>
        <w:ind w:firstLine="420"/>
        <w:rPr>
          <w:rFonts w:ascii="Times New Roman"/>
        </w:rPr>
      </w:pPr>
      <w:r>
        <w:rPr>
          <w:rFonts w:hint="eastAsia" w:ascii="Times New Roman"/>
        </w:rPr>
        <w:t>外观可</w:t>
      </w:r>
      <w:r>
        <w:rPr>
          <w:rFonts w:ascii="Times New Roman"/>
        </w:rPr>
        <w:t>在自然光线下，</w:t>
      </w:r>
      <w:r>
        <w:rPr>
          <w:rFonts w:hint="eastAsia" w:ascii="Times New Roman"/>
        </w:rPr>
        <w:t>目测检查</w:t>
      </w:r>
      <w:r>
        <w:rPr>
          <w:rFonts w:hint="eastAsia" w:ascii="Times New Roman"/>
          <w:lang w:val="en-US" w:eastAsia="zh-CN"/>
        </w:rPr>
        <w:t>龙虾的体色、活力、形态等</w:t>
      </w:r>
      <w:r>
        <w:rPr>
          <w:rFonts w:ascii="Times New Roman"/>
        </w:rPr>
        <w:t>。</w:t>
      </w:r>
    </w:p>
    <w:p>
      <w:pPr>
        <w:pStyle w:val="66"/>
        <w:spacing w:before="120" w:after="120"/>
        <w:rPr>
          <w:highlight w:val="yellow"/>
        </w:rPr>
      </w:pPr>
      <w:r>
        <w:rPr>
          <w:rFonts w:hint="eastAsia"/>
          <w:highlight w:val="yellow"/>
          <w:lang w:val="en-US" w:eastAsia="zh-CN"/>
        </w:rPr>
        <w:t>规格划分</w:t>
      </w:r>
    </w:p>
    <w:p>
      <w:pPr>
        <w:pStyle w:val="57"/>
        <w:ind w:firstLine="420"/>
        <w:rPr>
          <w:rFonts w:hint="eastAsia" w:ascii="Times New Roman"/>
          <w:lang w:val="en-US" w:eastAsia="zh-CN"/>
        </w:rPr>
      </w:pPr>
      <w:r>
        <w:rPr>
          <w:rFonts w:hint="eastAsia" w:ascii="Times New Roman"/>
          <w:lang w:val="en-US" w:eastAsia="zh-CN"/>
        </w:rPr>
        <w:t>应随机抽取10只，用电子天平称测量虾的体重（精确到1g）。</w:t>
      </w:r>
    </w:p>
    <w:p>
      <w:pPr>
        <w:pStyle w:val="106"/>
        <w:spacing w:before="120" w:after="120"/>
        <w:rPr>
          <w:rFonts w:ascii="Times New Roman"/>
        </w:rPr>
      </w:pPr>
      <w:r>
        <w:rPr>
          <w:rFonts w:hint="eastAsia" w:ascii="Times New Roman"/>
          <w:lang w:val="en-US" w:eastAsia="zh-CN"/>
        </w:rPr>
        <w:t>肌肉</w:t>
      </w:r>
      <w:r>
        <w:rPr>
          <w:rFonts w:ascii="Times New Roman"/>
        </w:rPr>
        <w:t>理化指标</w:t>
      </w:r>
    </w:p>
    <w:p>
      <w:pPr>
        <w:pStyle w:val="66"/>
        <w:spacing w:before="120" w:after="120"/>
        <w:rPr>
          <w:rFonts w:ascii="Times New Roman"/>
        </w:rPr>
      </w:pPr>
      <w:r>
        <w:rPr>
          <w:rFonts w:hint="eastAsia" w:ascii="Times New Roman"/>
          <w:lang w:val="en-US" w:eastAsia="zh-CN"/>
        </w:rPr>
        <w:t>水分</w:t>
      </w:r>
    </w:p>
    <w:p>
      <w:pPr>
        <w:pStyle w:val="57"/>
        <w:ind w:firstLine="420"/>
        <w:rPr>
          <w:rFonts w:hint="default" w:ascii="Times New Roman" w:eastAsia="宋体"/>
          <w:color w:val="000000"/>
          <w:szCs w:val="21"/>
          <w:lang w:val="en-US" w:eastAsia="zh-CN"/>
        </w:rPr>
      </w:pPr>
      <w:r>
        <w:rPr>
          <w:rFonts w:hint="eastAsia" w:ascii="Times New Roman"/>
          <w:lang w:val="en-US" w:eastAsia="zh-CN"/>
        </w:rPr>
        <w:t>应按GB 5009.3的规定执行。</w:t>
      </w:r>
    </w:p>
    <w:p>
      <w:pPr>
        <w:pStyle w:val="66"/>
        <w:spacing w:before="120" w:after="120"/>
        <w:rPr>
          <w:rFonts w:ascii="Times New Roman"/>
        </w:rPr>
      </w:pPr>
      <w:r>
        <w:rPr>
          <w:rFonts w:hint="eastAsia" w:ascii="Times New Roman"/>
          <w:lang w:val="en-US" w:eastAsia="zh-CN"/>
        </w:rPr>
        <w:t>灰分</w:t>
      </w:r>
    </w:p>
    <w:p>
      <w:pPr>
        <w:pStyle w:val="57"/>
        <w:ind w:firstLine="420"/>
        <w:rPr>
          <w:rFonts w:ascii="Times New Roman"/>
          <w:szCs w:val="21"/>
        </w:rPr>
      </w:pPr>
      <w:r>
        <w:rPr>
          <w:rFonts w:hint="eastAsia" w:ascii="Times New Roman"/>
        </w:rPr>
        <w:t>应</w:t>
      </w:r>
      <w:r>
        <w:rPr>
          <w:rFonts w:ascii="Times New Roman"/>
        </w:rPr>
        <w:t>按</w:t>
      </w:r>
      <w:r>
        <w:rPr>
          <w:rFonts w:hint="eastAsia" w:ascii="Times New Roman"/>
          <w:lang w:val="en-US" w:eastAsia="zh-CN"/>
        </w:rPr>
        <w:t>GB 5009.4的规定</w:t>
      </w:r>
      <w:r>
        <w:rPr>
          <w:rFonts w:ascii="Times New Roman"/>
        </w:rPr>
        <w:t>执行。</w:t>
      </w:r>
    </w:p>
    <w:p>
      <w:pPr>
        <w:pStyle w:val="66"/>
        <w:spacing w:before="120" w:after="120"/>
        <w:rPr>
          <w:rFonts w:ascii="Times New Roman"/>
        </w:rPr>
      </w:pPr>
      <w:r>
        <w:rPr>
          <w:rFonts w:hint="eastAsia" w:ascii="Times New Roman"/>
          <w:lang w:val="en-US" w:eastAsia="zh-CN"/>
        </w:rPr>
        <w:t>蛋白质</w:t>
      </w:r>
    </w:p>
    <w:p>
      <w:pPr>
        <w:pStyle w:val="57"/>
        <w:ind w:firstLine="420"/>
        <w:rPr>
          <w:rFonts w:ascii="Times New Roman"/>
        </w:rPr>
      </w:pPr>
      <w:r>
        <w:rPr>
          <w:rFonts w:hint="eastAsia" w:ascii="Times New Roman"/>
        </w:rPr>
        <w:t>应</w:t>
      </w:r>
      <w:r>
        <w:rPr>
          <w:rFonts w:ascii="Times New Roman"/>
        </w:rPr>
        <w:t>按</w:t>
      </w:r>
      <w:r>
        <w:rPr>
          <w:rFonts w:hint="eastAsia" w:ascii="Times New Roman"/>
          <w:lang w:val="en-US" w:eastAsia="zh-CN"/>
        </w:rPr>
        <w:t>GB 5009.5的规定</w:t>
      </w:r>
      <w:r>
        <w:rPr>
          <w:rFonts w:ascii="Times New Roman"/>
        </w:rPr>
        <w:t>执行。</w:t>
      </w:r>
    </w:p>
    <w:p>
      <w:pPr>
        <w:pStyle w:val="66"/>
        <w:spacing w:before="120" w:after="120"/>
        <w:rPr>
          <w:rFonts w:ascii="Times New Roman"/>
        </w:rPr>
      </w:pPr>
      <w:r>
        <w:rPr>
          <w:rFonts w:hint="eastAsia" w:ascii="Times New Roman"/>
          <w:lang w:val="en-US" w:eastAsia="zh-CN"/>
        </w:rPr>
        <w:t>脂肪</w:t>
      </w:r>
    </w:p>
    <w:p>
      <w:pPr>
        <w:pStyle w:val="57"/>
        <w:ind w:firstLine="420"/>
        <w:rPr>
          <w:rFonts w:ascii="Times New Roman"/>
        </w:rPr>
      </w:pPr>
      <w:r>
        <w:rPr>
          <w:rFonts w:hint="eastAsia" w:ascii="Times New Roman"/>
        </w:rPr>
        <w:t>应</w:t>
      </w:r>
      <w:r>
        <w:rPr>
          <w:rFonts w:ascii="Times New Roman"/>
        </w:rPr>
        <w:t>按</w:t>
      </w:r>
      <w:r>
        <w:rPr>
          <w:rFonts w:hint="eastAsia" w:ascii="Times New Roman"/>
          <w:lang w:val="en-US" w:eastAsia="zh-CN"/>
        </w:rPr>
        <w:t>GB 5009.6的规定</w:t>
      </w:r>
      <w:r>
        <w:rPr>
          <w:rFonts w:ascii="Times New Roman"/>
        </w:rPr>
        <w:t>执行。</w:t>
      </w:r>
    </w:p>
    <w:p>
      <w:pPr>
        <w:pStyle w:val="105"/>
        <w:spacing w:before="240" w:after="240"/>
        <w:rPr>
          <w:rFonts w:ascii="Times New Roman"/>
        </w:rPr>
      </w:pPr>
      <w:r>
        <w:rPr>
          <w:rFonts w:ascii="Times New Roman"/>
        </w:rPr>
        <w:t>检验规则</w:t>
      </w:r>
    </w:p>
    <w:p>
      <w:pPr>
        <w:pStyle w:val="106"/>
        <w:spacing w:before="120" w:after="120"/>
        <w:rPr>
          <w:rFonts w:ascii="Times New Roman"/>
        </w:rPr>
      </w:pPr>
      <w:r>
        <w:rPr>
          <w:rFonts w:ascii="Times New Roman"/>
        </w:rPr>
        <w:t>组批</w:t>
      </w:r>
    </w:p>
    <w:p>
      <w:pPr>
        <w:pStyle w:val="57"/>
        <w:ind w:firstLine="420"/>
        <w:rPr>
          <w:rFonts w:ascii="Times New Roman"/>
        </w:rPr>
      </w:pPr>
      <w:r>
        <w:rPr>
          <w:rFonts w:hint="eastAsia" w:ascii="Times New Roman"/>
          <w:lang w:val="en-US" w:eastAsia="zh-CN"/>
        </w:rPr>
        <w:t>宜以每次同一生产基地的出塘或出售的商品虾为一批，按批号抽样</w:t>
      </w:r>
      <w:r>
        <w:rPr>
          <w:rFonts w:ascii="Times New Roman"/>
        </w:rPr>
        <w:t>。</w:t>
      </w:r>
    </w:p>
    <w:p>
      <w:pPr>
        <w:pStyle w:val="106"/>
        <w:spacing w:before="120" w:after="120"/>
        <w:rPr>
          <w:rFonts w:ascii="Times New Roman"/>
        </w:rPr>
      </w:pPr>
      <w:r>
        <w:rPr>
          <w:rFonts w:ascii="Times New Roman"/>
          <w:sz w:val="15"/>
          <w:szCs w:val="15"/>
        </w:rPr>
        <w:t xml:space="preserve"> </w:t>
      </w:r>
      <w:r>
        <w:rPr>
          <w:rFonts w:ascii="Times New Roman"/>
        </w:rPr>
        <w:t>抽样</w:t>
      </w:r>
    </w:p>
    <w:p>
      <w:pPr>
        <w:pStyle w:val="57"/>
        <w:ind w:firstLine="420"/>
        <w:rPr>
          <w:rFonts w:ascii="Times New Roman"/>
        </w:rPr>
      </w:pPr>
      <w:r>
        <w:rPr>
          <w:rFonts w:hint="eastAsia" w:ascii="Times New Roman"/>
        </w:rPr>
        <w:t>抽样应</w:t>
      </w:r>
      <w:r>
        <w:rPr>
          <w:rFonts w:ascii="Times New Roman"/>
        </w:rPr>
        <w:t>按</w:t>
      </w:r>
      <w:r>
        <w:rPr>
          <w:rFonts w:hint="eastAsia" w:ascii="Times New Roman"/>
          <w:lang w:val="en-US" w:eastAsia="zh-CN"/>
        </w:rPr>
        <w:t>GB/T 30891的规定</w:t>
      </w:r>
      <w:r>
        <w:rPr>
          <w:rFonts w:ascii="Times New Roman"/>
        </w:rPr>
        <w:t>执行。</w:t>
      </w:r>
    </w:p>
    <w:p>
      <w:pPr>
        <w:pStyle w:val="106"/>
        <w:spacing w:before="120" w:after="120"/>
        <w:rPr>
          <w:rFonts w:ascii="Times New Roman"/>
        </w:rPr>
      </w:pPr>
      <w:r>
        <w:rPr>
          <w:rFonts w:ascii="Times New Roman"/>
          <w:sz w:val="15"/>
          <w:szCs w:val="15"/>
        </w:rPr>
        <w:t xml:space="preserve"> </w:t>
      </w:r>
      <w:r>
        <w:rPr>
          <w:rFonts w:hint="eastAsia" w:ascii="Times New Roman"/>
          <w:lang w:val="en-US" w:eastAsia="zh-CN"/>
        </w:rPr>
        <w:t>检验分类</w:t>
      </w:r>
    </w:p>
    <w:p>
      <w:pPr>
        <w:pStyle w:val="106"/>
        <w:spacing w:before="120" w:after="120"/>
        <w:rPr>
          <w:rFonts w:hint="default" w:ascii="Times New Roman"/>
          <w:lang w:val="en-US"/>
        </w:rPr>
      </w:pPr>
      <w:r>
        <w:rPr>
          <w:rFonts w:hint="eastAsia" w:ascii="Times New Roman"/>
          <w:lang w:val="en-US" w:eastAsia="zh-CN"/>
        </w:rPr>
        <w:t>出厂检验</w:t>
      </w:r>
    </w:p>
    <w:p>
      <w:pPr>
        <w:pStyle w:val="57"/>
        <w:ind w:firstLine="420"/>
        <w:rPr>
          <w:rFonts w:ascii="Times New Roman"/>
        </w:rPr>
      </w:pPr>
      <w:r>
        <w:rPr>
          <w:rFonts w:hint="eastAsia" w:ascii="Times New Roman"/>
          <w:lang w:val="en-US" w:eastAsia="zh-CN"/>
        </w:rPr>
        <w:t>每批产品应进行出厂检验，出厂检验由生产或销售单位质量检验部门进行。检验项目为商品虾的感官指标、规格，检验合格签发检验合格证，产品凭检验合格证入库或出场。</w:t>
      </w:r>
    </w:p>
    <w:p>
      <w:pPr>
        <w:pStyle w:val="66"/>
        <w:spacing w:before="120" w:after="120"/>
        <w:rPr>
          <w:rFonts w:hint="eastAsia" w:ascii="Times New Roman"/>
          <w:lang w:val="en-US" w:eastAsia="zh-CN"/>
        </w:rPr>
      </w:pPr>
      <w:r>
        <w:rPr>
          <w:rFonts w:hint="eastAsia" w:ascii="Times New Roman"/>
          <w:lang w:val="en-US" w:eastAsia="zh-CN"/>
        </w:rPr>
        <w:t>型式检验</w:t>
      </w:r>
    </w:p>
    <w:p>
      <w:pPr>
        <w:pStyle w:val="57"/>
        <w:ind w:firstLine="420"/>
        <w:rPr>
          <w:rFonts w:ascii="Times New Roman"/>
          <w:lang w:val="en-US" w:eastAsia="zh-CN"/>
        </w:rPr>
      </w:pPr>
      <w:r>
        <w:rPr>
          <w:rFonts w:hint="eastAsia" w:ascii="Times New Roman"/>
          <w:lang w:val="en-US" w:eastAsia="zh-CN"/>
        </w:rPr>
        <w:t>型式</w:t>
      </w:r>
      <w:r>
        <w:rPr>
          <w:rFonts w:ascii="Times New Roman"/>
          <w:lang w:val="en-US" w:eastAsia="zh-CN"/>
        </w:rPr>
        <w:t>检验项目</w:t>
      </w:r>
      <w:r>
        <w:rPr>
          <w:rFonts w:hint="eastAsia" w:ascii="Times New Roman"/>
          <w:lang w:val="en-US" w:eastAsia="zh-CN"/>
        </w:rPr>
        <w:t>应</w:t>
      </w:r>
      <w:r>
        <w:rPr>
          <w:rFonts w:ascii="Times New Roman"/>
          <w:lang w:val="en-US" w:eastAsia="zh-CN"/>
        </w:rPr>
        <w:t>为本</w:t>
      </w:r>
      <w:r>
        <w:rPr>
          <w:rFonts w:hint="eastAsia" w:ascii="Times New Roman"/>
          <w:lang w:val="en-US" w:eastAsia="zh-CN"/>
        </w:rPr>
        <w:t>文件7.1</w:t>
      </w:r>
      <w:r>
        <w:rPr>
          <w:rFonts w:hint="eastAsia" w:ascii="Times New Roman"/>
          <w:lang w:val="zh-CN" w:eastAsia="zh-CN"/>
        </w:rPr>
        <w:t>～</w:t>
      </w:r>
      <w:r>
        <w:rPr>
          <w:rFonts w:hint="eastAsia" w:ascii="Times New Roman"/>
          <w:highlight w:val="yellow"/>
          <w:lang w:val="en-US" w:eastAsia="zh-CN"/>
        </w:rPr>
        <w:t>7.4</w:t>
      </w:r>
      <w:r>
        <w:rPr>
          <w:rFonts w:ascii="Times New Roman"/>
          <w:lang w:val="en-US" w:eastAsia="zh-CN"/>
        </w:rPr>
        <w:t>规定的全部</w:t>
      </w:r>
      <w:r>
        <w:rPr>
          <w:rFonts w:hint="eastAsia" w:ascii="Times New Roman"/>
          <w:lang w:val="en-US" w:eastAsia="zh-CN"/>
        </w:rPr>
        <w:t>项目</w:t>
      </w:r>
      <w:r>
        <w:rPr>
          <w:rFonts w:ascii="Times New Roman"/>
          <w:lang w:val="en-US" w:eastAsia="zh-CN"/>
        </w:rPr>
        <w:t>，</w:t>
      </w:r>
      <w:r>
        <w:rPr>
          <w:rFonts w:hint="eastAsia" w:ascii="Times New Roman"/>
          <w:lang w:val="en-US" w:eastAsia="zh-CN"/>
        </w:rPr>
        <w:t>型式检验应每年一次，当</w:t>
      </w:r>
      <w:r>
        <w:rPr>
          <w:rFonts w:ascii="Times New Roman"/>
          <w:lang w:val="en-US" w:eastAsia="zh-CN"/>
        </w:rPr>
        <w:t>有下列情形之一</w:t>
      </w:r>
      <w:r>
        <w:rPr>
          <w:rFonts w:hint="eastAsia" w:ascii="Times New Roman"/>
          <w:lang w:val="en-US" w:eastAsia="zh-CN"/>
        </w:rPr>
        <w:t>时，</w:t>
      </w:r>
      <w:r>
        <w:rPr>
          <w:rFonts w:ascii="Times New Roman"/>
          <w:lang w:val="en-US" w:eastAsia="zh-CN"/>
        </w:rPr>
        <w:t>应进行</w:t>
      </w:r>
      <w:r>
        <w:rPr>
          <w:rFonts w:hint="eastAsia" w:ascii="Times New Roman"/>
          <w:lang w:val="en-US" w:eastAsia="zh-CN"/>
        </w:rPr>
        <w:t>型式</w:t>
      </w:r>
      <w:r>
        <w:rPr>
          <w:rFonts w:ascii="Times New Roman"/>
          <w:lang w:val="en-US" w:eastAsia="zh-CN"/>
        </w:rPr>
        <w:t>检验：</w:t>
      </w:r>
    </w:p>
    <w:p>
      <w:pPr>
        <w:pStyle w:val="233"/>
        <w:numPr>
          <w:ilvl w:val="0"/>
          <w:numId w:val="32"/>
        </w:numPr>
        <w:spacing w:before="43" w:beforeAutospacing="0" w:after="0" w:afterAutospacing="0"/>
        <w:rPr>
          <w:rFonts w:ascii="Times New Roman" w:hAnsi="Times New Roman" w:cs="Times New Roman"/>
          <w:sz w:val="21"/>
          <w:szCs w:val="21"/>
        </w:rPr>
      </w:pPr>
      <w:r>
        <w:rPr>
          <w:rFonts w:hint="eastAsia" w:ascii="Times New Roman" w:hAnsi="Times New Roman" w:cs="Times New Roman"/>
          <w:sz w:val="21"/>
          <w:szCs w:val="21"/>
          <w:lang w:val="en-US" w:eastAsia="zh-CN"/>
        </w:rPr>
        <w:t>养殖条件发生较大变化时；</w:t>
      </w:r>
    </w:p>
    <w:p>
      <w:pPr>
        <w:pStyle w:val="233"/>
        <w:numPr>
          <w:ilvl w:val="0"/>
          <w:numId w:val="32"/>
        </w:numPr>
        <w:spacing w:before="43" w:beforeAutospacing="0" w:after="0" w:afterAutospacing="0"/>
        <w:rPr>
          <w:rFonts w:ascii="Times New Roman" w:hAnsi="Times New Roman" w:cs="Times New Roman"/>
          <w:sz w:val="21"/>
          <w:szCs w:val="21"/>
        </w:rPr>
      </w:pPr>
      <w:r>
        <w:rPr>
          <w:rFonts w:hint="eastAsia" w:cs="Times New Roman"/>
          <w:spacing w:val="-4"/>
          <w:sz w:val="21"/>
          <w:szCs w:val="21"/>
          <w:lang w:val="en-US" w:eastAsia="zh-CN"/>
        </w:rPr>
        <w:t>人为或自然环境出现重大变化时</w:t>
      </w:r>
      <w:r>
        <w:rPr>
          <w:rFonts w:cs="Times New Roman"/>
          <w:spacing w:val="-4"/>
          <w:sz w:val="21"/>
          <w:szCs w:val="21"/>
        </w:rPr>
        <w:t>；</w:t>
      </w:r>
    </w:p>
    <w:p>
      <w:pPr>
        <w:pStyle w:val="233"/>
        <w:numPr>
          <w:ilvl w:val="0"/>
          <w:numId w:val="32"/>
        </w:numPr>
        <w:spacing w:before="43" w:beforeAutospacing="0" w:after="0" w:afterAutospacing="0"/>
        <w:rPr>
          <w:rFonts w:ascii="Times New Roman" w:hAnsi="Times New Roman" w:cs="Times New Roman"/>
          <w:sz w:val="21"/>
          <w:szCs w:val="21"/>
        </w:rPr>
      </w:pPr>
      <w:r>
        <w:rPr>
          <w:rFonts w:hint="eastAsia" w:cs="Times New Roman"/>
          <w:spacing w:val="-2"/>
          <w:sz w:val="21"/>
          <w:szCs w:val="21"/>
          <w:lang w:val="en-US" w:eastAsia="zh-CN"/>
        </w:rPr>
        <w:t>出厂检验结果与上次型式检验有较大差异</w:t>
      </w:r>
      <w:r>
        <w:rPr>
          <w:rFonts w:cs="Times New Roman"/>
          <w:spacing w:val="-2"/>
          <w:sz w:val="21"/>
          <w:szCs w:val="21"/>
        </w:rPr>
        <w:t>时；</w:t>
      </w:r>
    </w:p>
    <w:p>
      <w:pPr>
        <w:pStyle w:val="233"/>
        <w:numPr>
          <w:ilvl w:val="0"/>
          <w:numId w:val="32"/>
        </w:numPr>
        <w:spacing w:before="43" w:beforeAutospacing="0" w:after="0" w:afterAutospacing="0"/>
        <w:rPr>
          <w:rFonts w:ascii="Times New Roman" w:hAnsi="Times New Roman" w:cs="Times New Roman"/>
          <w:sz w:val="21"/>
          <w:szCs w:val="21"/>
        </w:rPr>
      </w:pPr>
      <w:r>
        <w:rPr>
          <w:rFonts w:cs="Times New Roman"/>
          <w:spacing w:val="-5"/>
          <w:sz w:val="21"/>
          <w:szCs w:val="21"/>
        </w:rPr>
        <w:t>国家</w:t>
      </w:r>
      <w:r>
        <w:rPr>
          <w:rFonts w:hint="eastAsia" w:cs="Times New Roman"/>
          <w:spacing w:val="-5"/>
          <w:sz w:val="21"/>
          <w:szCs w:val="21"/>
        </w:rPr>
        <w:t>市场</w:t>
      </w:r>
      <w:r>
        <w:rPr>
          <w:rFonts w:cs="Times New Roman"/>
          <w:spacing w:val="-5"/>
          <w:sz w:val="21"/>
          <w:szCs w:val="21"/>
        </w:rPr>
        <w:t>监督机构或主管部门提出</w:t>
      </w:r>
      <w:r>
        <w:rPr>
          <w:rFonts w:hint="eastAsia" w:cs="Times New Roman"/>
          <w:spacing w:val="-5"/>
          <w:sz w:val="21"/>
          <w:szCs w:val="21"/>
        </w:rPr>
        <w:t>型式</w:t>
      </w:r>
      <w:r>
        <w:rPr>
          <w:rFonts w:cs="Times New Roman"/>
          <w:spacing w:val="-5"/>
          <w:sz w:val="21"/>
          <w:szCs w:val="21"/>
        </w:rPr>
        <w:t>检验要求时。</w:t>
      </w:r>
    </w:p>
    <w:p>
      <w:pPr>
        <w:pStyle w:val="106"/>
        <w:spacing w:before="120" w:after="120"/>
        <w:rPr>
          <w:rFonts w:ascii="Times New Roman"/>
        </w:rPr>
      </w:pPr>
      <w:r>
        <w:rPr>
          <w:rFonts w:ascii="Times New Roman"/>
          <w:sz w:val="15"/>
          <w:szCs w:val="15"/>
        </w:rPr>
        <w:t xml:space="preserve"> </w:t>
      </w:r>
      <w:r>
        <w:rPr>
          <w:rFonts w:ascii="Times New Roman"/>
        </w:rPr>
        <w:t>判断规则</w:t>
      </w:r>
    </w:p>
    <w:p>
      <w:pPr>
        <w:pStyle w:val="66"/>
        <w:spacing w:before="120" w:after="120"/>
        <w:rPr>
          <w:rFonts w:hint="eastAsia"/>
          <w:lang w:val="en-US" w:eastAsia="zh-CN"/>
        </w:rPr>
      </w:pPr>
      <w:r>
        <w:rPr>
          <w:rFonts w:hint="eastAsia" w:ascii="宋体" w:hAnsi="宋体" w:eastAsia="宋体" w:cs="Times New Roman"/>
          <w:spacing w:val="-4"/>
          <w:kern w:val="0"/>
          <w:sz w:val="21"/>
          <w:szCs w:val="21"/>
          <w:lang w:val="en-US" w:eastAsia="zh-CN" w:bidi="ar-SA"/>
        </w:rPr>
        <w:t>每批样品的均值与本</w:t>
      </w:r>
      <w:r>
        <w:rPr>
          <w:rFonts w:hint="eastAsia" w:ascii="宋体" w:hAnsi="宋体" w:eastAsia="宋体" w:cs="Times New Roman"/>
          <w:spacing w:val="-4"/>
          <w:kern w:val="0"/>
          <w:sz w:val="21"/>
          <w:szCs w:val="21"/>
          <w:highlight w:val="yellow"/>
          <w:lang w:val="en-US" w:eastAsia="zh-CN" w:bidi="ar-SA"/>
        </w:rPr>
        <w:t>文件</w:t>
      </w:r>
      <w:r>
        <w:rPr>
          <w:rFonts w:hint="eastAsia" w:ascii="宋体" w:hAnsi="宋体" w:eastAsia="宋体" w:cs="Times New Roman"/>
          <w:spacing w:val="-4"/>
          <w:kern w:val="0"/>
          <w:sz w:val="21"/>
          <w:szCs w:val="21"/>
          <w:lang w:val="en-US" w:eastAsia="zh-CN" w:bidi="ar-SA"/>
        </w:rPr>
        <w:t>规定的临界指标值没有统计学上的显著差异或在其指标范围之内，则该项目达标。</w:t>
      </w:r>
    </w:p>
    <w:p>
      <w:pPr>
        <w:pStyle w:val="66"/>
        <w:spacing w:before="120" w:after="120"/>
        <w:rPr>
          <w:rFonts w:hint="eastAsia" w:ascii="宋体" w:hAnsi="宋体" w:eastAsia="宋体" w:cs="Times New Roman"/>
          <w:spacing w:val="-4"/>
          <w:kern w:val="0"/>
          <w:sz w:val="21"/>
          <w:szCs w:val="21"/>
          <w:highlight w:val="yellow"/>
          <w:lang w:val="en-US" w:eastAsia="zh-CN" w:bidi="ar-SA"/>
        </w:rPr>
      </w:pPr>
      <w:r>
        <w:rPr>
          <w:rFonts w:hint="eastAsia" w:ascii="宋体" w:hAnsi="宋体" w:eastAsia="宋体" w:cs="Times New Roman"/>
          <w:spacing w:val="-4"/>
          <w:kern w:val="0"/>
          <w:sz w:val="21"/>
          <w:szCs w:val="21"/>
          <w:highlight w:val="yellow"/>
          <w:lang w:val="en-US" w:eastAsia="zh-CN" w:bidi="ar-SA"/>
        </w:rPr>
        <w:t>理化要求和感官要求有不合格项的，可加倍取样复检，复检仍不合格，即判该批产品不合格。检验中有不符合安全卫生要求规定的，即判该批产品不合格。等级指标有不符合规定时，应逐级下判，低于三级应判为级外品。</w:t>
      </w:r>
      <w:bookmarkStart w:id="50" w:name="_GoBack"/>
      <w:bookmarkEnd w:id="50"/>
    </w:p>
    <w:p>
      <w:pPr>
        <w:pStyle w:val="105"/>
        <w:spacing w:before="240" w:after="240"/>
        <w:rPr>
          <w:rFonts w:ascii="Times New Roman"/>
        </w:rPr>
      </w:pPr>
      <w:r>
        <w:rPr>
          <w:rFonts w:ascii="Times New Roman"/>
        </w:rPr>
        <w:t>标志、包装、运输</w:t>
      </w:r>
      <w:r>
        <w:rPr>
          <w:rFonts w:hint="eastAsia" w:ascii="Times New Roman"/>
        </w:rPr>
        <w:t>和</w:t>
      </w:r>
      <w:r>
        <w:rPr>
          <w:rFonts w:ascii="Times New Roman"/>
        </w:rPr>
        <w:t>贮存</w:t>
      </w:r>
    </w:p>
    <w:p>
      <w:pPr>
        <w:pStyle w:val="106"/>
        <w:spacing w:before="120" w:after="120"/>
        <w:rPr>
          <w:rFonts w:ascii="Times New Roman"/>
        </w:rPr>
      </w:pPr>
      <w:r>
        <w:rPr>
          <w:rFonts w:ascii="Times New Roman"/>
        </w:rPr>
        <w:t>标志</w:t>
      </w:r>
    </w:p>
    <w:p>
      <w:pPr>
        <w:pStyle w:val="57"/>
        <w:ind w:firstLine="420"/>
        <w:rPr>
          <w:rFonts w:hint="eastAsia" w:ascii="Times New Roman"/>
          <w:lang w:val="en-US" w:eastAsia="zh-CN"/>
        </w:rPr>
      </w:pPr>
      <w:r>
        <w:rPr>
          <w:rFonts w:hint="eastAsia" w:ascii="Times New Roman"/>
          <w:lang w:val="en-US" w:eastAsia="zh-CN"/>
        </w:rPr>
        <w:t>获准使用地理标志证明商标专用标志的生产者，可在其产品包装上使用地理标志证明商标专用标志，地理标志证明商标专用标志的使用应与商标注册证（第39057034号）上核定的标志一致。</w:t>
      </w:r>
    </w:p>
    <w:p>
      <w:pPr>
        <w:pStyle w:val="106"/>
        <w:spacing w:before="120" w:after="120"/>
        <w:rPr>
          <w:rFonts w:ascii="Times New Roman"/>
        </w:rPr>
      </w:pPr>
      <w:r>
        <w:rPr>
          <w:rFonts w:ascii="Times New Roman"/>
        </w:rPr>
        <w:t>包装</w:t>
      </w:r>
    </w:p>
    <w:p>
      <w:pPr>
        <w:pStyle w:val="66"/>
        <w:spacing w:before="120" w:after="120"/>
        <w:rPr>
          <w:rFonts w:hint="eastAsia" w:ascii="Times New Roman" w:hAnsi="Times New Roman" w:eastAsia="宋体" w:cs="Times New Roman"/>
          <w:sz w:val="21"/>
          <w:lang w:val="en-US" w:eastAsia="zh-CN" w:bidi="ar-SA"/>
        </w:rPr>
      </w:pPr>
      <w:r>
        <w:rPr>
          <w:rFonts w:hint="eastAsia" w:ascii="Times New Roman" w:eastAsia="宋体" w:cs="Times New Roman"/>
          <w:sz w:val="21"/>
          <w:lang w:val="en-US" w:eastAsia="zh-CN" w:bidi="ar-SA"/>
        </w:rPr>
        <w:t>包装材料应符合国家食品标准及相关规定。</w:t>
      </w:r>
    </w:p>
    <w:p>
      <w:pPr>
        <w:pStyle w:val="66"/>
        <w:spacing w:before="120" w:after="120"/>
        <w:rPr>
          <w:rFonts w:hint="eastAsia"/>
          <w:lang w:val="en-US" w:eastAsia="zh-CN"/>
        </w:rPr>
      </w:pPr>
      <w:r>
        <w:rPr>
          <w:rFonts w:hint="eastAsia" w:ascii="Times New Roman" w:eastAsia="宋体" w:cs="Times New Roman"/>
          <w:sz w:val="21"/>
          <w:lang w:val="en-US" w:eastAsia="zh-CN" w:bidi="ar-SA"/>
        </w:rPr>
        <w:t>包装材料应有通气孔。</w:t>
      </w:r>
    </w:p>
    <w:p>
      <w:pPr>
        <w:pStyle w:val="66"/>
        <w:spacing w:before="120" w:after="120"/>
      </w:pPr>
      <w:r>
        <w:rPr>
          <w:rFonts w:hint="eastAsia" w:ascii="Times New Roman" w:eastAsia="宋体" w:cs="Times New Roman"/>
          <w:sz w:val="21"/>
          <w:lang w:val="en-US" w:eastAsia="zh-CN" w:bidi="ar-SA"/>
        </w:rPr>
        <w:t>产品包装时应加冰块。</w:t>
      </w:r>
    </w:p>
    <w:p>
      <w:pPr>
        <w:pStyle w:val="106"/>
        <w:spacing w:before="120" w:after="120"/>
        <w:rPr>
          <w:rFonts w:ascii="Times New Roman"/>
        </w:rPr>
      </w:pPr>
      <w:r>
        <w:rPr>
          <w:rFonts w:ascii="Times New Roman"/>
        </w:rPr>
        <w:t>运输</w:t>
      </w:r>
    </w:p>
    <w:p>
      <w:pPr>
        <w:pStyle w:val="66"/>
        <w:spacing w:before="120" w:after="120"/>
        <w:rPr>
          <w:rFonts w:ascii="Times New Roman" w:hAnsi="Times New Roman" w:eastAsia="宋体" w:cs="Times New Roman"/>
          <w:sz w:val="21"/>
          <w:lang w:val="en-US" w:eastAsia="zh-CN" w:bidi="ar-SA"/>
        </w:rPr>
      </w:pPr>
      <w:r>
        <w:rPr>
          <w:rFonts w:ascii="Times New Roman" w:hAnsi="Times New Roman" w:eastAsia="宋体" w:cs="Times New Roman"/>
          <w:sz w:val="21"/>
          <w:lang w:val="en-US" w:eastAsia="zh-CN" w:bidi="ar-SA"/>
        </w:rPr>
        <w:t>运输工具应清洁、卫生、干燥、无其他污染物</w:t>
      </w:r>
      <w:r>
        <w:rPr>
          <w:rFonts w:hint="eastAsia" w:ascii="Times New Roman" w:hAnsi="Times New Roman" w:eastAsia="宋体" w:cs="Times New Roman"/>
          <w:sz w:val="21"/>
          <w:lang w:val="en-US" w:eastAsia="zh-CN" w:bidi="ar-SA"/>
        </w:rPr>
        <w:t>。</w:t>
      </w:r>
    </w:p>
    <w:p>
      <w:pPr>
        <w:pStyle w:val="66"/>
        <w:spacing w:before="120" w:after="120"/>
        <w:rPr>
          <w:rFonts w:ascii="Times New Roman" w:hAnsi="Times New Roman" w:eastAsia="宋体" w:cs="Times New Roman"/>
          <w:sz w:val="21"/>
          <w:lang w:val="en-US" w:eastAsia="zh-CN" w:bidi="ar-SA"/>
        </w:rPr>
      </w:pPr>
      <w:r>
        <w:rPr>
          <w:rFonts w:ascii="Times New Roman" w:hAnsi="Times New Roman" w:eastAsia="宋体" w:cs="Times New Roman"/>
          <w:sz w:val="21"/>
          <w:lang w:val="en-US" w:eastAsia="zh-CN" w:bidi="ar-SA"/>
        </w:rPr>
        <w:t>运输过程中应具有防雨、防潮设施，不得与有毒、有害、有异味的物品混运，装卸时应轻拿轻</w:t>
      </w:r>
      <w:r>
        <w:rPr>
          <w:rFonts w:hint="eastAsia" w:ascii="Times New Roman" w:eastAsia="宋体" w:cs="Times New Roman"/>
          <w:sz w:val="21"/>
          <w:lang w:val="en-US" w:eastAsia="zh-CN" w:bidi="ar-SA"/>
        </w:rPr>
        <w:t xml:space="preserve">     </w:t>
      </w:r>
      <w:r>
        <w:rPr>
          <w:rFonts w:ascii="Times New Roman" w:hAnsi="Times New Roman" w:eastAsia="宋体" w:cs="Times New Roman"/>
          <w:sz w:val="21"/>
          <w:lang w:val="en-US" w:eastAsia="zh-CN" w:bidi="ar-SA"/>
        </w:rPr>
        <w:t>放</w:t>
      </w:r>
      <w:r>
        <w:rPr>
          <w:rFonts w:hint="eastAsia" w:ascii="Times New Roman" w:eastAsia="宋体" w:cs="Times New Roman"/>
          <w:sz w:val="21"/>
          <w:lang w:val="en-US" w:eastAsia="zh-CN" w:bidi="ar-SA"/>
        </w:rPr>
        <w:t>，保证存活率</w:t>
      </w:r>
      <w:r>
        <w:rPr>
          <w:rFonts w:ascii="Times New Roman" w:hAnsi="Times New Roman" w:eastAsia="宋体" w:cs="Times New Roman"/>
          <w:sz w:val="21"/>
          <w:lang w:val="en-US" w:eastAsia="zh-CN" w:bidi="ar-SA"/>
        </w:rPr>
        <w:t>。</w:t>
      </w:r>
    </w:p>
    <w:p>
      <w:pPr>
        <w:pStyle w:val="66"/>
        <w:spacing w:before="120" w:after="120"/>
        <w:rPr>
          <w:lang w:val="en-US" w:eastAsia="zh-CN"/>
        </w:rPr>
      </w:pPr>
      <w:r>
        <w:rPr>
          <w:rFonts w:hint="eastAsia" w:ascii="Times New Roman" w:eastAsia="宋体" w:cs="Times New Roman"/>
          <w:sz w:val="21"/>
          <w:lang w:val="en-US" w:eastAsia="zh-CN" w:bidi="ar-SA"/>
        </w:rPr>
        <w:t>应在低温清洁的环境中装运，保证成活率。</w:t>
      </w:r>
    </w:p>
    <w:p>
      <w:pPr>
        <w:pStyle w:val="106"/>
        <w:spacing w:before="120" w:after="120"/>
        <w:rPr>
          <w:rFonts w:ascii="Times New Roman"/>
        </w:rPr>
      </w:pPr>
      <w:r>
        <w:rPr>
          <w:rFonts w:hint="eastAsia" w:ascii="Times New Roman"/>
          <w:lang w:val="en-US" w:eastAsia="zh-CN"/>
        </w:rPr>
        <w:t>暂</w:t>
      </w:r>
      <w:r>
        <w:rPr>
          <w:rFonts w:ascii="Times New Roman"/>
        </w:rPr>
        <w:t>存</w:t>
      </w:r>
    </w:p>
    <w:bookmarkEnd w:id="22"/>
    <w:p>
      <w:pPr>
        <w:pStyle w:val="66"/>
        <w:spacing w:before="120" w:after="120"/>
        <w:rPr>
          <w:rFonts w:ascii="Times New Roman" w:hAnsi="Times New Roman" w:eastAsia="宋体" w:cs="Times New Roman"/>
          <w:sz w:val="21"/>
          <w:lang w:val="en-US" w:eastAsia="zh-CN" w:bidi="ar-SA"/>
        </w:rPr>
      </w:pPr>
      <w:bookmarkStart w:id="48" w:name="BookMark5"/>
      <w:r>
        <w:rPr>
          <w:rFonts w:hint="eastAsia" w:ascii="Times New Roman"/>
          <w:lang w:val="en-US" w:eastAsia="zh-CN"/>
        </w:rPr>
        <w:t>暂存条件</w:t>
      </w:r>
    </w:p>
    <w:p>
      <w:pPr>
        <w:pStyle w:val="57"/>
        <w:rPr>
          <w:rFonts w:ascii="Times New Roman"/>
        </w:rPr>
      </w:pPr>
      <w:r>
        <w:rPr>
          <w:rFonts w:hint="eastAsia" w:ascii="Times New Roman"/>
          <w:lang w:val="en-US" w:eastAsia="zh-CN"/>
        </w:rPr>
        <w:t>对于没有及时上市的商品虾，可进行暂存。暂存应存放至阴凉处，防止日晒、有毒有害物质的污染和其它损害。暂存时应保证虾体所需的氧气充足，保持虾体表面湿润，并保持环境温度在10℃以下。</w:t>
      </w:r>
    </w:p>
    <w:p>
      <w:pPr>
        <w:pStyle w:val="66"/>
        <w:spacing w:before="120" w:after="120"/>
        <w:rPr>
          <w:rFonts w:hint="eastAsia" w:ascii="Times New Roman"/>
          <w:lang w:val="en-US" w:eastAsia="zh-CN"/>
        </w:rPr>
      </w:pPr>
      <w:r>
        <w:rPr>
          <w:rFonts w:hint="eastAsia" w:ascii="Times New Roman"/>
          <w:lang w:val="en-US" w:eastAsia="zh-CN"/>
        </w:rPr>
        <w:t>暂存时间</w:t>
      </w:r>
    </w:p>
    <w:p>
      <w:pPr>
        <w:pStyle w:val="57"/>
        <w:rPr>
          <w:rFonts w:hint="default"/>
          <w:lang w:val="en-US" w:eastAsia="zh-CN"/>
        </w:rPr>
      </w:pPr>
      <w:r>
        <w:rPr>
          <w:rFonts w:hint="eastAsia" w:ascii="Times New Roman"/>
          <w:lang w:val="en-US" w:eastAsia="zh-CN"/>
        </w:rPr>
        <w:t>暂存时间不宜超过2天。</w:t>
      </w:r>
    </w:p>
    <w:p>
      <w:pPr>
        <w:rPr>
          <w:rFonts w:ascii="Times New Roman"/>
        </w:rPr>
      </w:pPr>
      <w:r>
        <w:rPr>
          <w:rFonts w:ascii="Times New Roman"/>
        </w:rPr>
        <w:br w:type="page"/>
      </w:r>
    </w:p>
    <w:p>
      <w:pPr>
        <w:pStyle w:val="57"/>
        <w:ind w:firstLine="420"/>
        <w:jc w:val="center"/>
        <w:rPr>
          <w:rFonts w:hint="eastAsia" w:ascii="Times New Roman"/>
          <w:b/>
          <w:bCs/>
          <w:lang w:val="en-US" w:eastAsia="zh-CN"/>
        </w:rPr>
      </w:pPr>
      <w:r>
        <w:rPr>
          <w:rFonts w:hint="eastAsia" w:ascii="Times New Roman"/>
          <w:b/>
          <w:bCs/>
          <w:lang w:val="en-US" w:eastAsia="zh-CN"/>
        </w:rPr>
        <w:t>附 录 A</w:t>
      </w:r>
    </w:p>
    <w:p>
      <w:pPr>
        <w:pStyle w:val="57"/>
        <w:ind w:firstLine="420"/>
        <w:jc w:val="center"/>
        <w:rPr>
          <w:rFonts w:hint="eastAsia" w:ascii="Times New Roman"/>
          <w:b/>
          <w:bCs/>
          <w:lang w:val="en-US" w:eastAsia="zh-CN"/>
        </w:rPr>
      </w:pPr>
      <w:r>
        <w:rPr>
          <w:rFonts w:hint="eastAsia" w:ascii="Times New Roman"/>
          <w:b/>
          <w:bCs/>
          <w:lang w:val="en-US" w:eastAsia="zh-CN"/>
        </w:rPr>
        <w:t>（规范性）</w:t>
      </w:r>
    </w:p>
    <w:p>
      <w:pPr>
        <w:pStyle w:val="57"/>
        <w:ind w:firstLine="420"/>
        <w:jc w:val="center"/>
        <w:rPr>
          <w:rFonts w:hint="eastAsia" w:ascii="Times New Roman"/>
          <w:b/>
          <w:bCs/>
          <w:lang w:val="en-US" w:eastAsia="zh-CN"/>
        </w:rPr>
      </w:pPr>
      <w:r>
        <w:rPr>
          <w:rFonts w:hint="eastAsia" w:ascii="Times New Roman"/>
          <w:b/>
          <w:bCs/>
          <w:lang w:val="en-US" w:eastAsia="zh-CN"/>
        </w:rPr>
        <w:t>地理标志证明商标 含山龙虾保护范围图</w:t>
      </w:r>
    </w:p>
    <w:p>
      <w:pPr>
        <w:pStyle w:val="57"/>
        <w:ind w:firstLine="420"/>
        <w:jc w:val="center"/>
        <w:rPr>
          <w:rFonts w:hint="eastAsia" w:ascii="Times New Roman"/>
          <w:b/>
          <w:bCs/>
          <w:lang w:val="en-US" w:eastAsia="zh-CN"/>
        </w:rPr>
      </w:pPr>
    </w:p>
    <w:p>
      <w:pPr>
        <w:pStyle w:val="57"/>
        <w:ind w:firstLine="420"/>
        <w:rPr>
          <w:rFonts w:hint="eastAsia" w:ascii="Times New Roman"/>
          <w:lang w:val="en-US" w:eastAsia="zh-CN"/>
        </w:rPr>
      </w:pPr>
      <w:r>
        <w:rPr>
          <w:rFonts w:hint="eastAsia" w:ascii="黑体" w:hAnsi="黑体" w:eastAsia="黑体" w:cs="黑体"/>
          <w:lang w:val="en-US" w:eastAsia="zh-CN"/>
        </w:rPr>
        <w:t xml:space="preserve">A.1 </w:t>
      </w:r>
      <w:r>
        <w:rPr>
          <w:rFonts w:hint="eastAsia" w:ascii="Times New Roman"/>
          <w:lang w:val="en-US" w:eastAsia="zh-CN"/>
        </w:rPr>
        <w:t>地理标志证明商标含山龙虾的保护范围见图A.1。</w:t>
      </w:r>
    </w:p>
    <w:p>
      <w:pPr>
        <w:pStyle w:val="57"/>
        <w:ind w:firstLine="420"/>
        <w:rPr>
          <w:rFonts w:hint="default" w:ascii="Times New Roman"/>
          <w:lang w:val="en-US" w:eastAsia="zh-CN"/>
        </w:rPr>
      </w:pPr>
    </w:p>
    <w:p>
      <w:pPr>
        <w:pStyle w:val="57"/>
        <w:ind w:firstLine="420"/>
        <w:jc w:val="center"/>
      </w:pPr>
      <w:r>
        <w:drawing>
          <wp:inline distT="0" distB="0" distL="114300" distR="114300">
            <wp:extent cx="3545205" cy="5880735"/>
            <wp:effectExtent l="0" t="0" r="5715" b="190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7"/>
                    <a:stretch>
                      <a:fillRect/>
                    </a:stretch>
                  </pic:blipFill>
                  <pic:spPr>
                    <a:xfrm>
                      <a:off x="0" y="0"/>
                      <a:ext cx="3545205" cy="5880735"/>
                    </a:xfrm>
                    <a:prstGeom prst="rect">
                      <a:avLst/>
                    </a:prstGeom>
                    <a:noFill/>
                    <a:ln>
                      <a:noFill/>
                    </a:ln>
                  </pic:spPr>
                </pic:pic>
              </a:graphicData>
            </a:graphic>
          </wp:inline>
        </w:drawing>
      </w:r>
    </w:p>
    <w:p>
      <w:pPr>
        <w:pStyle w:val="57"/>
        <w:ind w:firstLine="420"/>
        <w:jc w:val="center"/>
        <w:rPr>
          <w:rFonts w:hint="default"/>
          <w:lang w:val="en-US" w:eastAsia="zh-CN"/>
        </w:rPr>
      </w:pPr>
    </w:p>
    <w:p>
      <w:pPr>
        <w:pStyle w:val="57"/>
        <w:ind w:firstLine="420"/>
        <w:jc w:val="center"/>
        <w:rPr>
          <w:rFonts w:hint="eastAsia" w:ascii="黑体" w:hAnsi="黑体" w:eastAsia="黑体" w:cs="黑体"/>
        </w:rPr>
      </w:pPr>
      <w:r>
        <w:rPr>
          <w:rFonts w:hint="eastAsia" w:ascii="黑体" w:hAnsi="黑体" w:eastAsia="黑体" w:cs="黑体"/>
          <w:lang w:val="en-US" w:eastAsia="zh-CN"/>
        </w:rPr>
        <w:t>图A.1 地理标志证明商标 含山龙虾保护范围</w:t>
      </w:r>
    </w:p>
    <w:bookmarkEnd w:id="48"/>
    <w:p>
      <w:pPr>
        <w:pStyle w:val="57"/>
        <w:ind w:firstLine="0" w:firstLineChars="0"/>
        <w:jc w:val="center"/>
      </w:pPr>
      <w:bookmarkStart w:id="49"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7ED5FC3"/>
    <w:multiLevelType w:val="multilevel"/>
    <w:tmpl w:val="27ED5FC3"/>
    <w:lvl w:ilvl="0" w:tentative="0">
      <w:start w:val="1"/>
      <w:numFmt w:val="lowerLetter"/>
      <w:lvlText w:val="%1)"/>
      <w:lvlJc w:val="left"/>
      <w:pPr>
        <w:ind w:left="957" w:hanging="419"/>
      </w:pPr>
      <w:rPr>
        <w:rFonts w:hint="eastAsia" w:ascii="宋体" w:hAnsi="宋体" w:eastAsia="宋体"/>
        <w:sz w:val="20"/>
        <w:szCs w:val="20"/>
      </w:rPr>
    </w:lvl>
    <w:lvl w:ilvl="1" w:tentative="0">
      <w:start w:val="0"/>
      <w:numFmt w:val="bullet"/>
      <w:lvlText w:val="•"/>
      <w:lvlJc w:val="left"/>
      <w:pPr>
        <w:ind w:left="1924" w:hanging="419"/>
      </w:pPr>
      <w:rPr>
        <w:rFonts w:hint="default" w:ascii="Times New Roman" w:hAnsi="Times New Roman" w:cs="Times New Roman"/>
      </w:rPr>
    </w:lvl>
    <w:lvl w:ilvl="2" w:tentative="0">
      <w:start w:val="0"/>
      <w:numFmt w:val="bullet"/>
      <w:lvlText w:val="•"/>
      <w:lvlJc w:val="left"/>
      <w:pPr>
        <w:ind w:left="2888" w:hanging="419"/>
      </w:pPr>
      <w:rPr>
        <w:rFonts w:hint="default" w:ascii="Times New Roman" w:hAnsi="Times New Roman" w:cs="Times New Roman"/>
      </w:rPr>
    </w:lvl>
    <w:lvl w:ilvl="3" w:tentative="0">
      <w:start w:val="0"/>
      <w:numFmt w:val="bullet"/>
      <w:lvlText w:val="•"/>
      <w:lvlJc w:val="left"/>
      <w:pPr>
        <w:ind w:left="3853" w:hanging="419"/>
      </w:pPr>
      <w:rPr>
        <w:rFonts w:hint="default" w:ascii="Times New Roman" w:hAnsi="Times New Roman" w:cs="Times New Roman"/>
      </w:rPr>
    </w:lvl>
    <w:lvl w:ilvl="4" w:tentative="0">
      <w:start w:val="0"/>
      <w:numFmt w:val="bullet"/>
      <w:lvlText w:val="•"/>
      <w:lvlJc w:val="left"/>
      <w:pPr>
        <w:ind w:left="4817" w:hanging="419"/>
      </w:pPr>
      <w:rPr>
        <w:rFonts w:hint="default" w:ascii="Times New Roman" w:hAnsi="Times New Roman" w:cs="Times New Roman"/>
      </w:rPr>
    </w:lvl>
    <w:lvl w:ilvl="5" w:tentative="0">
      <w:start w:val="0"/>
      <w:numFmt w:val="bullet"/>
      <w:lvlText w:val="•"/>
      <w:lvlJc w:val="left"/>
      <w:pPr>
        <w:ind w:left="5782" w:hanging="419"/>
      </w:pPr>
      <w:rPr>
        <w:rFonts w:hint="default" w:ascii="Times New Roman" w:hAnsi="Times New Roman" w:cs="Times New Roman"/>
      </w:rPr>
    </w:lvl>
    <w:lvl w:ilvl="6" w:tentative="0">
      <w:start w:val="0"/>
      <w:numFmt w:val="bullet"/>
      <w:lvlText w:val="•"/>
      <w:lvlJc w:val="left"/>
      <w:pPr>
        <w:ind w:left="6746" w:hanging="419"/>
      </w:pPr>
      <w:rPr>
        <w:rFonts w:hint="default" w:ascii="Times New Roman" w:hAnsi="Times New Roman" w:cs="Times New Roman"/>
      </w:rPr>
    </w:lvl>
    <w:lvl w:ilvl="7" w:tentative="0">
      <w:start w:val="0"/>
      <w:numFmt w:val="bullet"/>
      <w:lvlText w:val="•"/>
      <w:lvlJc w:val="left"/>
      <w:pPr>
        <w:ind w:left="7710" w:hanging="419"/>
      </w:pPr>
      <w:rPr>
        <w:rFonts w:hint="default" w:ascii="Times New Roman" w:hAnsi="Times New Roman" w:cs="Times New Roman"/>
      </w:rPr>
    </w:lvl>
    <w:lvl w:ilvl="8" w:tentative="0">
      <w:start w:val="0"/>
      <w:numFmt w:val="bullet"/>
      <w:lvlText w:val="•"/>
      <w:lvlJc w:val="left"/>
      <w:pPr>
        <w:ind w:left="8675" w:hanging="419"/>
      </w:pPr>
      <w:rPr>
        <w:rFonts w:hint="default" w:ascii="Times New Roman" w:hAnsi="Times New Roman" w:cs="Times New Roman"/>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MDk5MDRiMzFmYjRkYWYwNTRmZWZiNGI0NTkyOTg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02F"/>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411C"/>
    <w:rsid w:val="001D42E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6033"/>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1050F22"/>
    <w:rsid w:val="019D55FE"/>
    <w:rsid w:val="01BB7833"/>
    <w:rsid w:val="02F474A0"/>
    <w:rsid w:val="03393105"/>
    <w:rsid w:val="039C5442"/>
    <w:rsid w:val="046248DD"/>
    <w:rsid w:val="04E23328"/>
    <w:rsid w:val="04E66B1D"/>
    <w:rsid w:val="05184F9C"/>
    <w:rsid w:val="0540649A"/>
    <w:rsid w:val="05BC655C"/>
    <w:rsid w:val="05C018BB"/>
    <w:rsid w:val="0687687D"/>
    <w:rsid w:val="06E11AE9"/>
    <w:rsid w:val="07BC4304"/>
    <w:rsid w:val="07C136C9"/>
    <w:rsid w:val="07D77390"/>
    <w:rsid w:val="07E15B19"/>
    <w:rsid w:val="0831084F"/>
    <w:rsid w:val="0845254C"/>
    <w:rsid w:val="08A6123D"/>
    <w:rsid w:val="09153CCC"/>
    <w:rsid w:val="09300B06"/>
    <w:rsid w:val="09772BD9"/>
    <w:rsid w:val="09B3067A"/>
    <w:rsid w:val="0A285C81"/>
    <w:rsid w:val="0B260413"/>
    <w:rsid w:val="0BB05F2E"/>
    <w:rsid w:val="0C807FF6"/>
    <w:rsid w:val="0CD06F02"/>
    <w:rsid w:val="0D731909"/>
    <w:rsid w:val="0DB25F8E"/>
    <w:rsid w:val="0DF465A6"/>
    <w:rsid w:val="0E1A3B33"/>
    <w:rsid w:val="0E625C06"/>
    <w:rsid w:val="0F482A09"/>
    <w:rsid w:val="0F556719"/>
    <w:rsid w:val="0F64775C"/>
    <w:rsid w:val="0FA7589A"/>
    <w:rsid w:val="0FC4644C"/>
    <w:rsid w:val="10B4201D"/>
    <w:rsid w:val="10FD7E68"/>
    <w:rsid w:val="110805BA"/>
    <w:rsid w:val="11AC7198"/>
    <w:rsid w:val="11BB73DB"/>
    <w:rsid w:val="11DB182B"/>
    <w:rsid w:val="127952CC"/>
    <w:rsid w:val="138228A6"/>
    <w:rsid w:val="140212F1"/>
    <w:rsid w:val="14423DE3"/>
    <w:rsid w:val="149A59CD"/>
    <w:rsid w:val="14C52A4A"/>
    <w:rsid w:val="14D26F15"/>
    <w:rsid w:val="159863B1"/>
    <w:rsid w:val="15B30AF5"/>
    <w:rsid w:val="15C745A0"/>
    <w:rsid w:val="15DC65E3"/>
    <w:rsid w:val="16BB079F"/>
    <w:rsid w:val="17872239"/>
    <w:rsid w:val="195A572B"/>
    <w:rsid w:val="1A10558B"/>
    <w:rsid w:val="1B233D3D"/>
    <w:rsid w:val="1B9118D8"/>
    <w:rsid w:val="1B9C202B"/>
    <w:rsid w:val="1BB43819"/>
    <w:rsid w:val="1BF400B9"/>
    <w:rsid w:val="1BF65BDF"/>
    <w:rsid w:val="1C026332"/>
    <w:rsid w:val="1C073948"/>
    <w:rsid w:val="1C2269D4"/>
    <w:rsid w:val="1C47643B"/>
    <w:rsid w:val="1CC1669F"/>
    <w:rsid w:val="1CDD1420"/>
    <w:rsid w:val="1CE617B0"/>
    <w:rsid w:val="1CF739BD"/>
    <w:rsid w:val="1DB93368"/>
    <w:rsid w:val="1DF60118"/>
    <w:rsid w:val="1E0760C3"/>
    <w:rsid w:val="1E560BB7"/>
    <w:rsid w:val="1FC009DE"/>
    <w:rsid w:val="200F101E"/>
    <w:rsid w:val="201523AC"/>
    <w:rsid w:val="20672C08"/>
    <w:rsid w:val="210A7A37"/>
    <w:rsid w:val="213351E0"/>
    <w:rsid w:val="216B6728"/>
    <w:rsid w:val="21897ECB"/>
    <w:rsid w:val="22D95913"/>
    <w:rsid w:val="22F866E1"/>
    <w:rsid w:val="242552B4"/>
    <w:rsid w:val="249266C1"/>
    <w:rsid w:val="24AC7A77"/>
    <w:rsid w:val="25050C41"/>
    <w:rsid w:val="254774AC"/>
    <w:rsid w:val="254B6F9C"/>
    <w:rsid w:val="25CE197B"/>
    <w:rsid w:val="264B4D7A"/>
    <w:rsid w:val="26551754"/>
    <w:rsid w:val="272D447F"/>
    <w:rsid w:val="27962024"/>
    <w:rsid w:val="284B72B3"/>
    <w:rsid w:val="287E4F92"/>
    <w:rsid w:val="28B9421C"/>
    <w:rsid w:val="28C606E7"/>
    <w:rsid w:val="293B7327"/>
    <w:rsid w:val="29820AB2"/>
    <w:rsid w:val="2A743763"/>
    <w:rsid w:val="2B2D2CA0"/>
    <w:rsid w:val="2B593A95"/>
    <w:rsid w:val="2B807273"/>
    <w:rsid w:val="2BB0716F"/>
    <w:rsid w:val="2CF9552F"/>
    <w:rsid w:val="2D016192"/>
    <w:rsid w:val="2DF31F7F"/>
    <w:rsid w:val="2DF33D2D"/>
    <w:rsid w:val="2E514EF7"/>
    <w:rsid w:val="2EB84F76"/>
    <w:rsid w:val="2EDE49DD"/>
    <w:rsid w:val="2F1C3757"/>
    <w:rsid w:val="2F7E1D1C"/>
    <w:rsid w:val="2FA5374C"/>
    <w:rsid w:val="3038011D"/>
    <w:rsid w:val="303B19BB"/>
    <w:rsid w:val="307849BD"/>
    <w:rsid w:val="31010E56"/>
    <w:rsid w:val="3126266B"/>
    <w:rsid w:val="318F6462"/>
    <w:rsid w:val="319677F1"/>
    <w:rsid w:val="321E1594"/>
    <w:rsid w:val="323808A8"/>
    <w:rsid w:val="32DA54BB"/>
    <w:rsid w:val="33727DEA"/>
    <w:rsid w:val="33813B89"/>
    <w:rsid w:val="33995376"/>
    <w:rsid w:val="34125129"/>
    <w:rsid w:val="34C93A39"/>
    <w:rsid w:val="35702A80"/>
    <w:rsid w:val="35747E49"/>
    <w:rsid w:val="35E72927"/>
    <w:rsid w:val="35FB40C6"/>
    <w:rsid w:val="366D4898"/>
    <w:rsid w:val="36A71B58"/>
    <w:rsid w:val="371B1227"/>
    <w:rsid w:val="37A20571"/>
    <w:rsid w:val="37E33064"/>
    <w:rsid w:val="37F52D97"/>
    <w:rsid w:val="386341A5"/>
    <w:rsid w:val="39E9692C"/>
    <w:rsid w:val="3A127C30"/>
    <w:rsid w:val="3A377697"/>
    <w:rsid w:val="3A7C32FC"/>
    <w:rsid w:val="3B585B17"/>
    <w:rsid w:val="3BE253E0"/>
    <w:rsid w:val="3BF05D4F"/>
    <w:rsid w:val="3BFE66BE"/>
    <w:rsid w:val="3C8F6677"/>
    <w:rsid w:val="3CBA010B"/>
    <w:rsid w:val="3CEF6007"/>
    <w:rsid w:val="3DAC3EF8"/>
    <w:rsid w:val="3DD60F75"/>
    <w:rsid w:val="3E4B3711"/>
    <w:rsid w:val="3E5325C6"/>
    <w:rsid w:val="3E90381A"/>
    <w:rsid w:val="3F067638"/>
    <w:rsid w:val="3F2D7618"/>
    <w:rsid w:val="3FD87226"/>
    <w:rsid w:val="409749EB"/>
    <w:rsid w:val="41586871"/>
    <w:rsid w:val="41C45CB4"/>
    <w:rsid w:val="42010CB6"/>
    <w:rsid w:val="42446DF5"/>
    <w:rsid w:val="42656804"/>
    <w:rsid w:val="42800C1C"/>
    <w:rsid w:val="42FC147E"/>
    <w:rsid w:val="431B26A6"/>
    <w:rsid w:val="43486471"/>
    <w:rsid w:val="43C81360"/>
    <w:rsid w:val="45F428E0"/>
    <w:rsid w:val="45F75F2C"/>
    <w:rsid w:val="46CB3641"/>
    <w:rsid w:val="46FC7C9E"/>
    <w:rsid w:val="473F5DDD"/>
    <w:rsid w:val="4840005F"/>
    <w:rsid w:val="48A95C04"/>
    <w:rsid w:val="48AB197C"/>
    <w:rsid w:val="493F20C4"/>
    <w:rsid w:val="49697141"/>
    <w:rsid w:val="4A05330E"/>
    <w:rsid w:val="4AF33166"/>
    <w:rsid w:val="4BB74194"/>
    <w:rsid w:val="4BD473DC"/>
    <w:rsid w:val="4BFC056A"/>
    <w:rsid w:val="4C3C28EB"/>
    <w:rsid w:val="4C5B5467"/>
    <w:rsid w:val="4CC96874"/>
    <w:rsid w:val="4D1D096E"/>
    <w:rsid w:val="4D330192"/>
    <w:rsid w:val="4D565C2E"/>
    <w:rsid w:val="4DC31516"/>
    <w:rsid w:val="4DC4528E"/>
    <w:rsid w:val="4E6C5709"/>
    <w:rsid w:val="4F772C0A"/>
    <w:rsid w:val="4FF9121F"/>
    <w:rsid w:val="50120532"/>
    <w:rsid w:val="504306EC"/>
    <w:rsid w:val="51234079"/>
    <w:rsid w:val="515F1555"/>
    <w:rsid w:val="51D11D27"/>
    <w:rsid w:val="52140592"/>
    <w:rsid w:val="527032EE"/>
    <w:rsid w:val="52860D64"/>
    <w:rsid w:val="52866FBE"/>
    <w:rsid w:val="52875839"/>
    <w:rsid w:val="529A65BD"/>
    <w:rsid w:val="52B94C95"/>
    <w:rsid w:val="52C33D66"/>
    <w:rsid w:val="52E71802"/>
    <w:rsid w:val="53B11E10"/>
    <w:rsid w:val="53C80DCD"/>
    <w:rsid w:val="54071A30"/>
    <w:rsid w:val="545729B8"/>
    <w:rsid w:val="5483555B"/>
    <w:rsid w:val="552A1E7A"/>
    <w:rsid w:val="563A39F2"/>
    <w:rsid w:val="56FA762A"/>
    <w:rsid w:val="574D00A2"/>
    <w:rsid w:val="577338B7"/>
    <w:rsid w:val="5814296E"/>
    <w:rsid w:val="58951D01"/>
    <w:rsid w:val="58A117E4"/>
    <w:rsid w:val="592310BA"/>
    <w:rsid w:val="59AF0BA0"/>
    <w:rsid w:val="59D30FAC"/>
    <w:rsid w:val="5A2E5F69"/>
    <w:rsid w:val="5AA20705"/>
    <w:rsid w:val="5AF32D0E"/>
    <w:rsid w:val="5C6E4D42"/>
    <w:rsid w:val="5C8F6A67"/>
    <w:rsid w:val="5CC26E3C"/>
    <w:rsid w:val="5CDD2880"/>
    <w:rsid w:val="5CF27722"/>
    <w:rsid w:val="5D0E2082"/>
    <w:rsid w:val="5DD9180F"/>
    <w:rsid w:val="5E0D2339"/>
    <w:rsid w:val="5E9640DD"/>
    <w:rsid w:val="5EC21376"/>
    <w:rsid w:val="5ED35331"/>
    <w:rsid w:val="5ED6097D"/>
    <w:rsid w:val="5EE4753E"/>
    <w:rsid w:val="5EEE5CC7"/>
    <w:rsid w:val="5F2142EE"/>
    <w:rsid w:val="60FF240D"/>
    <w:rsid w:val="615A7643"/>
    <w:rsid w:val="615F10FE"/>
    <w:rsid w:val="6198016C"/>
    <w:rsid w:val="62B17737"/>
    <w:rsid w:val="62E01DCA"/>
    <w:rsid w:val="63F83144"/>
    <w:rsid w:val="640B10C9"/>
    <w:rsid w:val="640D35B5"/>
    <w:rsid w:val="64410F8F"/>
    <w:rsid w:val="65962C14"/>
    <w:rsid w:val="66B71094"/>
    <w:rsid w:val="67694A84"/>
    <w:rsid w:val="67A91325"/>
    <w:rsid w:val="67B83316"/>
    <w:rsid w:val="682229C5"/>
    <w:rsid w:val="683E1A6D"/>
    <w:rsid w:val="68880F3A"/>
    <w:rsid w:val="691B3B5C"/>
    <w:rsid w:val="69472BA3"/>
    <w:rsid w:val="697119CE"/>
    <w:rsid w:val="6A386990"/>
    <w:rsid w:val="6A9E2C97"/>
    <w:rsid w:val="6B207806"/>
    <w:rsid w:val="6B8754D9"/>
    <w:rsid w:val="6B8A4FC9"/>
    <w:rsid w:val="6C101972"/>
    <w:rsid w:val="6C507FC1"/>
    <w:rsid w:val="6D0D1A0E"/>
    <w:rsid w:val="6D237483"/>
    <w:rsid w:val="6E963C85"/>
    <w:rsid w:val="6F226A87"/>
    <w:rsid w:val="6F2E3EBD"/>
    <w:rsid w:val="6F5A4CB2"/>
    <w:rsid w:val="6F6B16FA"/>
    <w:rsid w:val="709F32C5"/>
    <w:rsid w:val="70CE5958"/>
    <w:rsid w:val="70ED4030"/>
    <w:rsid w:val="718F158B"/>
    <w:rsid w:val="71AA1F21"/>
    <w:rsid w:val="72606A84"/>
    <w:rsid w:val="7298446F"/>
    <w:rsid w:val="72E96A79"/>
    <w:rsid w:val="73465C7A"/>
    <w:rsid w:val="74592C87"/>
    <w:rsid w:val="746A3BEA"/>
    <w:rsid w:val="74B310ED"/>
    <w:rsid w:val="74BB2697"/>
    <w:rsid w:val="74E41BEE"/>
    <w:rsid w:val="75693EA1"/>
    <w:rsid w:val="759E7FEF"/>
    <w:rsid w:val="75C5557C"/>
    <w:rsid w:val="760616F0"/>
    <w:rsid w:val="76544B51"/>
    <w:rsid w:val="765755B2"/>
    <w:rsid w:val="768E1E11"/>
    <w:rsid w:val="76994A0A"/>
    <w:rsid w:val="774A385E"/>
    <w:rsid w:val="779276DF"/>
    <w:rsid w:val="77F9775E"/>
    <w:rsid w:val="7956473D"/>
    <w:rsid w:val="7A5C2227"/>
    <w:rsid w:val="7A680BCB"/>
    <w:rsid w:val="7AAA7D17"/>
    <w:rsid w:val="7AEA7832"/>
    <w:rsid w:val="7BEE6EAE"/>
    <w:rsid w:val="7C1C7EBF"/>
    <w:rsid w:val="7C352D2F"/>
    <w:rsid w:val="7D3B25C7"/>
    <w:rsid w:val="7D5B4A17"/>
    <w:rsid w:val="7D8F646F"/>
    <w:rsid w:val="7D9F66B2"/>
    <w:rsid w:val="7DB36601"/>
    <w:rsid w:val="7DF764EE"/>
    <w:rsid w:val="7E1846B6"/>
    <w:rsid w:val="7E611BB9"/>
    <w:rsid w:val="7E6D67B0"/>
    <w:rsid w:val="7F45772D"/>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3"/>
    <w:autoRedefine/>
    <w:qFormat/>
    <w:uiPriority w:val="99"/>
    <w:rPr>
      <w:b/>
      <w:bCs/>
      <w:kern w:val="44"/>
      <w:sz w:val="44"/>
      <w:szCs w:val="44"/>
    </w:rPr>
  </w:style>
  <w:style w:type="character" w:customStyle="1" w:styleId="36">
    <w:name w:val="标题 2 字符"/>
    <w:link w:val="4"/>
    <w:autoRedefine/>
    <w:qFormat/>
    <w:uiPriority w:val="0"/>
    <w:rPr>
      <w:rFonts w:ascii="Arial" w:hAnsi="Arial" w:eastAsia="黑体"/>
      <w:b/>
      <w:bCs/>
      <w:kern w:val="2"/>
      <w:sz w:val="32"/>
      <w:szCs w:val="32"/>
    </w:rPr>
  </w:style>
  <w:style w:type="character" w:customStyle="1" w:styleId="37">
    <w:name w:val="标题 3 字符"/>
    <w:link w:val="2"/>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99"/>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Table Paragraph"/>
    <w:basedOn w:val="1"/>
    <w:autoRedefine/>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autoRedefine/>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autoRedefine/>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autoRedefine/>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 w:type="paragraph" w:styleId="235">
    <w:name w:val="List Paragraph"/>
    <w:basedOn w:val="1"/>
    <w:autoRedefine/>
    <w:qFormat/>
    <w:uiPriority w:val="1"/>
    <w:pPr>
      <w:ind w:left="849" w:hanging="738"/>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
      <w:docPartPr>
        <w:name w:val="{fd44b29a-cb04-4740-bdd7-d1be6447acb6}"/>
        <w:style w:val=""/>
        <w:category>
          <w:name w:val="常规"/>
          <w:gallery w:val="placeholder"/>
        </w:category>
        <w:types>
          <w:type w:val="bbPlcHdr"/>
        </w:types>
        <w:behaviors>
          <w:behavior w:val="content"/>
        </w:behaviors>
        <w:description w:val=""/>
        <w:guid w:val="{fd44b29a-cb04-4740-bdd7-d1be6447acb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2E5D02"/>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0A66B22BF06400FBCD4C7966AFE647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2453</Words>
  <Characters>2861</Characters>
  <Lines>25</Lines>
  <Paragraphs>7</Paragraphs>
  <TotalTime>0</TotalTime>
  <ScaleCrop>false</ScaleCrop>
  <LinksUpToDate>false</LinksUpToDate>
  <CharactersWithSpaces>3023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ICCAW</cp:lastModifiedBy>
  <cp:lastPrinted>2021-02-02T08:22:00Z</cp:lastPrinted>
  <dcterms:modified xsi:type="dcterms:W3CDTF">2024-02-28T08:11:07Z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B73FA49048BA446CAC808EEBE6A24B83_13</vt:lpwstr>
  </property>
</Properties>
</file>