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5849E00D" w14:textId="77777777" w:rsidTr="00215ADD">
        <w:tc>
          <w:tcPr>
            <w:tcW w:w="509" w:type="dxa"/>
          </w:tcPr>
          <w:p w14:paraId="16A4F907"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1F2523D" w14:textId="22959642"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23880">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00C401FA" w14:textId="77777777" w:rsidTr="00215ADD">
        <w:tc>
          <w:tcPr>
            <w:tcW w:w="509" w:type="dxa"/>
          </w:tcPr>
          <w:p w14:paraId="2525302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2E8EB4B1" w14:textId="77777777" w:rsidTr="008A173B">
              <w:trPr>
                <w:trHeight w:hRule="exact" w:val="1021"/>
              </w:trPr>
              <w:tc>
                <w:tcPr>
                  <w:tcW w:w="9242" w:type="dxa"/>
                  <w:vAlign w:val="center"/>
                </w:tcPr>
                <w:p w14:paraId="1EB55BC7" w14:textId="0315C384" w:rsidR="000F4050" w:rsidRDefault="007B6032" w:rsidP="00CA220A">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67FBFC1A" wp14:editId="49035BFF">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20ED1B5B" wp14:editId="2A408BE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E23880" w:rsidRPr="00E23880">
                    <w:t>IM</w:t>
                  </w:r>
                  <w:r w:rsidR="00E23880">
                    <w:t>AS</w:t>
                  </w:r>
                  <w:r w:rsidR="009C3257">
                    <w:fldChar w:fldCharType="end"/>
                  </w:r>
                  <w:bookmarkEnd w:id="1"/>
                </w:p>
              </w:tc>
            </w:tr>
          </w:tbl>
          <w:p w14:paraId="33B6A426"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p w14:paraId="7A8C81D3" w14:textId="5A3476EC" w:rsidR="0000040A" w:rsidRPr="007B7453" w:rsidRDefault="00AE2A69" w:rsidP="000107E0">
      <w:pPr>
        <w:pStyle w:val="affff6"/>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14:paraId="7B5D69B8" w14:textId="6E2CF602"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E23880">
        <w:t>XXX</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14:paraId="49ADBD24"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293DED50"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D2495AD" wp14:editId="2F8EEDD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F2270"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7C5EABB"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0ECAEB84" w14:textId="061453BA"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CA220A" w:rsidRPr="00CA220A">
        <w:rPr>
          <w:rFonts w:hint="eastAsia"/>
        </w:rPr>
        <w:t>饲用燕麦青贮质量分级</w:t>
      </w:r>
      <w:r>
        <w:fldChar w:fldCharType="end"/>
      </w:r>
      <w:bookmarkEnd w:id="8"/>
    </w:p>
    <w:p w14:paraId="19B9E9CB" w14:textId="77777777" w:rsidR="00815419" w:rsidRPr="00815419" w:rsidRDefault="00815419" w:rsidP="00324EDD">
      <w:pPr>
        <w:framePr w:w="9639" w:h="6974" w:hRule="exact" w:wrap="around" w:vAnchor="page" w:hAnchor="page" w:x="1419" w:y="6408" w:anchorLock="1"/>
        <w:ind w:left="-1418"/>
      </w:pPr>
    </w:p>
    <w:p w14:paraId="0C4AC520" w14:textId="2020B51D"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CA220A" w:rsidRPr="00CA220A">
        <w:rPr>
          <w:rFonts w:eastAsia="黑体"/>
          <w:noProof/>
          <w:szCs w:val="28"/>
        </w:rPr>
        <w:t>Quality grading of forage oat silage</w:t>
      </w:r>
      <w:r>
        <w:rPr>
          <w:rFonts w:eastAsia="黑体"/>
          <w:noProof/>
          <w:szCs w:val="28"/>
        </w:rPr>
        <w:fldChar w:fldCharType="end"/>
      </w:r>
      <w:bookmarkEnd w:id="9"/>
    </w:p>
    <w:p w14:paraId="2B790ED4" w14:textId="77777777" w:rsidR="00815419" w:rsidRPr="00324EDD" w:rsidRDefault="00815419" w:rsidP="00324EDD">
      <w:pPr>
        <w:framePr w:w="9639" w:h="6974" w:hRule="exact" w:wrap="around" w:vAnchor="page" w:hAnchor="page" w:x="1419" w:y="6408" w:anchorLock="1"/>
        <w:spacing w:line="760" w:lineRule="exact"/>
        <w:ind w:left="-1418"/>
      </w:pPr>
    </w:p>
    <w:p w14:paraId="5E3AA950"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B7E5B26" w14:textId="1A16392C"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0"/>
    </w:p>
    <w:p w14:paraId="097B88AA"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63369CA6"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2"/>
    </w:p>
    <w:p w14:paraId="412483AA"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30DBF829"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01CC09DA" w14:textId="2A47158E"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23880">
        <w:rPr>
          <w:rFonts w:hAnsi="黑体" w:hint="eastAsia"/>
          <w:w w:val="100"/>
          <w:sz w:val="28"/>
        </w:rPr>
        <w:t>内蒙古标准化协会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0BA29237" w14:textId="77777777" w:rsidR="00A02BAE" w:rsidRPr="00CD50A1" w:rsidRDefault="006A37B9" w:rsidP="00A02BAE">
      <w:pPr>
        <w:rPr>
          <w:rFonts w:ascii="宋体" w:hAnsi="宋体"/>
          <w:sz w:val="28"/>
          <w:szCs w:val="28"/>
        </w:rPr>
        <w:sectPr w:rsidR="00A02BAE" w:rsidRPr="00CD50A1" w:rsidSect="00780E9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946D215" wp14:editId="4CF630F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A01E5"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A56C798" w14:textId="77777777" w:rsidR="00E23880" w:rsidRDefault="00E23880" w:rsidP="00E23880">
      <w:pPr>
        <w:pStyle w:val="a6"/>
        <w:spacing w:before="900" w:after="360"/>
      </w:pPr>
      <w:bookmarkStart w:id="20" w:name="BookMark2"/>
      <w:r w:rsidRPr="00E23880">
        <w:rPr>
          <w:spacing w:val="320"/>
        </w:rPr>
        <w:lastRenderedPageBreak/>
        <w:t>前</w:t>
      </w:r>
      <w:r>
        <w:t>言</w:t>
      </w:r>
    </w:p>
    <w:p w14:paraId="3765E32D" w14:textId="77777777" w:rsidR="00E23880" w:rsidRDefault="00E23880" w:rsidP="00E23880">
      <w:pPr>
        <w:pStyle w:val="affffb"/>
        <w:ind w:firstLine="420"/>
      </w:pPr>
      <w:r>
        <w:rPr>
          <w:rFonts w:hint="eastAsia"/>
        </w:rPr>
        <w:t>本文件按照GB/T 1.1—2020《标准化工作导则  第1部分：标准化文件的结构和起草规则》的规定起草。</w:t>
      </w:r>
    </w:p>
    <w:p w14:paraId="70E3C7CC" w14:textId="75C6FA47" w:rsidR="00E23880" w:rsidRDefault="00E23880" w:rsidP="00E23880">
      <w:pPr>
        <w:pStyle w:val="affffb"/>
        <w:ind w:firstLine="420"/>
      </w:pPr>
      <w:r>
        <w:rPr>
          <w:rFonts w:hint="eastAsia"/>
        </w:rPr>
        <w:t>本文件由</w:t>
      </w:r>
      <w:r w:rsidRPr="00E23880">
        <w:rPr>
          <w:rFonts w:hint="eastAsia"/>
        </w:rPr>
        <w:t>内蒙古自治区农牧厅</w:t>
      </w:r>
      <w:r>
        <w:rPr>
          <w:rFonts w:hint="eastAsia"/>
        </w:rPr>
        <w:t>提出。</w:t>
      </w:r>
    </w:p>
    <w:p w14:paraId="32D1CC0F" w14:textId="6579999E" w:rsidR="00E23880" w:rsidRDefault="00E23880" w:rsidP="00E23880">
      <w:pPr>
        <w:pStyle w:val="affffb"/>
        <w:ind w:firstLine="420"/>
      </w:pPr>
      <w:r>
        <w:rPr>
          <w:rFonts w:hint="eastAsia"/>
        </w:rPr>
        <w:t>本文件由</w:t>
      </w:r>
      <w:r w:rsidRPr="00E23880">
        <w:rPr>
          <w:rFonts w:hint="eastAsia"/>
        </w:rPr>
        <w:t>内蒙古标准化协会</w:t>
      </w:r>
      <w:r>
        <w:rPr>
          <w:rFonts w:hint="eastAsia"/>
        </w:rPr>
        <w:t>归口。</w:t>
      </w:r>
    </w:p>
    <w:p w14:paraId="2926C602" w14:textId="5DAB8AB2" w:rsidR="00E23880" w:rsidRDefault="00E23880" w:rsidP="00E23880">
      <w:pPr>
        <w:pStyle w:val="affffb"/>
        <w:ind w:firstLine="420"/>
      </w:pPr>
      <w:r>
        <w:rPr>
          <w:rFonts w:hint="eastAsia"/>
        </w:rPr>
        <w:t>本文件起草单位：</w:t>
      </w:r>
      <w:r w:rsidR="00CA220A" w:rsidRPr="00CA220A">
        <w:rPr>
          <w:rFonts w:ascii="Times New Roman" w:hint="eastAsia"/>
        </w:rPr>
        <w:t>内蒙古农业大学、内蒙古自治区农牧业科学院、内蒙古正时生态农业（集团）有限公司、内蒙古内蒙古民族大学、赤峰学院、呼和浩特市农牧技术推广中心、内蒙古自治区农牧业技术推广中心</w:t>
      </w:r>
      <w:r>
        <w:rPr>
          <w:rFonts w:ascii="Times New Roman" w:hint="eastAsia"/>
        </w:rPr>
        <w:t>。</w:t>
      </w:r>
    </w:p>
    <w:p w14:paraId="26553C71" w14:textId="7ACF4051" w:rsidR="00E23880" w:rsidRDefault="00E23880" w:rsidP="00E23880">
      <w:pPr>
        <w:pStyle w:val="affffb"/>
        <w:ind w:firstLine="420"/>
      </w:pPr>
      <w:r>
        <w:rPr>
          <w:rFonts w:hint="eastAsia"/>
        </w:rPr>
        <w:t>本文件主要起草人：</w:t>
      </w:r>
      <w:r w:rsidR="00CA220A" w:rsidRPr="00CA220A">
        <w:rPr>
          <w:rFonts w:hint="eastAsia"/>
        </w:rPr>
        <w:t>贾玉山、王志军、格根图、孙林、刘庭玉、马宏伟、靳慧卿、黄海、黄莎娜、周玉雷、刘伟、包建、司强、邓孝琛、杨健、包布和、高航飞</w:t>
      </w:r>
      <w:r>
        <w:rPr>
          <w:rFonts w:hint="eastAsia"/>
        </w:rPr>
        <w:t>。</w:t>
      </w:r>
    </w:p>
    <w:p w14:paraId="13FB6F77" w14:textId="77777777" w:rsidR="00E23880" w:rsidRDefault="00E23880" w:rsidP="00E23880">
      <w:pPr>
        <w:pStyle w:val="affffb"/>
        <w:ind w:firstLine="420"/>
      </w:pPr>
    </w:p>
    <w:p w14:paraId="626E408F" w14:textId="4F870607" w:rsidR="00E23880" w:rsidRPr="00E23880" w:rsidRDefault="00E23880" w:rsidP="00E23880">
      <w:pPr>
        <w:pStyle w:val="affffb"/>
        <w:ind w:firstLine="420"/>
        <w:sectPr w:rsidR="00E23880" w:rsidRPr="00E23880" w:rsidSect="00780E90">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linePitch="312"/>
        </w:sectPr>
      </w:pPr>
    </w:p>
    <w:p w14:paraId="76D00D4A" w14:textId="77777777" w:rsidR="00894836" w:rsidRPr="00145D9D" w:rsidRDefault="00894836" w:rsidP="00093D25">
      <w:pPr>
        <w:spacing w:line="20" w:lineRule="exact"/>
        <w:jc w:val="center"/>
        <w:rPr>
          <w:rFonts w:ascii="黑体" w:eastAsia="黑体" w:hAnsi="黑体"/>
          <w:sz w:val="32"/>
          <w:szCs w:val="32"/>
        </w:rPr>
      </w:pPr>
      <w:bookmarkStart w:id="21" w:name="BookMark4"/>
      <w:bookmarkEnd w:id="20"/>
    </w:p>
    <w:p w14:paraId="269AC164"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0D9AA25F3C2400593EAAC5913CAC849"/>
        </w:placeholder>
      </w:sdtPr>
      <w:sdtContent>
        <w:bookmarkStart w:id="22" w:name="NEW_STAND_NAME" w:displacedByCustomXml="prev"/>
        <w:p w14:paraId="19F9EB14" w14:textId="5F7BE2A8" w:rsidR="00F26B7E" w:rsidRPr="00F26B7E" w:rsidRDefault="00CA220A" w:rsidP="00CA220A">
          <w:pPr>
            <w:pStyle w:val="afffffffff8"/>
            <w:spacing w:beforeLines="100" w:before="240" w:afterLines="220" w:after="528"/>
          </w:pPr>
          <w:r>
            <w:rPr>
              <w:rFonts w:hint="eastAsia"/>
            </w:rPr>
            <w:t>饲用燕麦青贮质量分级</w:t>
          </w:r>
        </w:p>
      </w:sdtContent>
    </w:sdt>
    <w:bookmarkEnd w:id="22" w:displacedByCustomXml="prev"/>
    <w:p w14:paraId="23BC1843" w14:textId="77777777" w:rsidR="00E2552F" w:rsidRDefault="00E2552F" w:rsidP="00A77CCB">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2964"/>
      <w:r>
        <w:rPr>
          <w:rFonts w:hint="eastAsia"/>
        </w:rPr>
        <w:t>范围</w:t>
      </w:r>
      <w:bookmarkEnd w:id="23"/>
      <w:bookmarkEnd w:id="24"/>
      <w:bookmarkEnd w:id="25"/>
      <w:bookmarkEnd w:id="26"/>
      <w:bookmarkEnd w:id="27"/>
      <w:bookmarkEnd w:id="28"/>
      <w:bookmarkEnd w:id="29"/>
      <w:bookmarkEnd w:id="30"/>
      <w:bookmarkEnd w:id="31"/>
    </w:p>
    <w:p w14:paraId="75312287" w14:textId="77777777" w:rsidR="00CA220A" w:rsidRDefault="00CA220A" w:rsidP="00CA220A">
      <w:pPr>
        <w:pStyle w:val="affffb"/>
        <w:ind w:firstLine="420"/>
      </w:pPr>
      <w:bookmarkStart w:id="32" w:name="_Toc17233326"/>
      <w:bookmarkStart w:id="33" w:name="_Toc17233334"/>
      <w:bookmarkStart w:id="34" w:name="_Toc24884212"/>
      <w:bookmarkStart w:id="35" w:name="_Toc24884219"/>
      <w:bookmarkStart w:id="36" w:name="_Toc26648466"/>
      <w:bookmarkStart w:id="37" w:name="_Toc26718931"/>
      <w:bookmarkStart w:id="38" w:name="_Toc26986531"/>
      <w:bookmarkStart w:id="39" w:name="_Toc26986772"/>
      <w:bookmarkStart w:id="40" w:name="_Toc97192965"/>
      <w:r>
        <w:t>本文件规定了饲用燕麦青贮的质量标准、检测方法以及质量分级判定规则。</w:t>
      </w:r>
    </w:p>
    <w:p w14:paraId="79068DF9" w14:textId="77777777" w:rsidR="00CA220A" w:rsidRDefault="00CA220A" w:rsidP="00CA220A">
      <w:pPr>
        <w:pStyle w:val="affffb"/>
        <w:ind w:firstLine="420"/>
      </w:pPr>
      <w:r>
        <w:rPr>
          <w:rFonts w:hint="eastAsia"/>
        </w:rPr>
        <w:t>本文件适用于内蒙古自治区的饲用燕麦青贮的质量分级</w:t>
      </w:r>
      <w:r>
        <w:t>。</w:t>
      </w:r>
    </w:p>
    <w:p w14:paraId="2A47BD8B" w14:textId="617B85BB" w:rsidR="00E2552F" w:rsidRDefault="00E2552F" w:rsidP="00A77CCB">
      <w:pPr>
        <w:pStyle w:val="affc"/>
        <w:spacing w:before="240" w:after="240"/>
      </w:pPr>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0728B0DEFA064A73B3054FF9FCAAA94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D3F45F5"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547B655" w14:textId="77777777" w:rsidR="00CA220A" w:rsidRDefault="00CA220A" w:rsidP="00CA220A">
      <w:pPr>
        <w:pStyle w:val="affffb"/>
        <w:ind w:firstLine="420"/>
        <w:rPr>
          <w:rFonts w:hint="eastAsia"/>
        </w:rPr>
      </w:pPr>
      <w:r>
        <w:rPr>
          <w:rFonts w:hint="eastAsia"/>
        </w:rPr>
        <w:t>GB/T 6432饲料中粗蛋白测定方法</w:t>
      </w:r>
    </w:p>
    <w:p w14:paraId="1B2AAFED" w14:textId="77777777" w:rsidR="00CA220A" w:rsidRDefault="00CA220A" w:rsidP="00CA220A">
      <w:pPr>
        <w:pStyle w:val="affffb"/>
        <w:ind w:firstLine="420"/>
        <w:rPr>
          <w:rFonts w:hint="eastAsia"/>
        </w:rPr>
      </w:pPr>
      <w:r>
        <w:rPr>
          <w:rFonts w:hint="eastAsia"/>
        </w:rPr>
        <w:t>GB/T 6435饲料中水分的测定方法</w:t>
      </w:r>
    </w:p>
    <w:p w14:paraId="4FABD0CB" w14:textId="77777777" w:rsidR="00CA220A" w:rsidRDefault="00CA220A" w:rsidP="00CA220A">
      <w:pPr>
        <w:pStyle w:val="affffb"/>
        <w:ind w:firstLine="420"/>
        <w:rPr>
          <w:rFonts w:hint="eastAsia"/>
        </w:rPr>
      </w:pPr>
      <w:r>
        <w:rPr>
          <w:rFonts w:hint="eastAsia"/>
        </w:rPr>
        <w:t>GB/T 6438饲料中粗灰分的测定方法</w:t>
      </w:r>
    </w:p>
    <w:p w14:paraId="0D75D058" w14:textId="77777777" w:rsidR="00CA220A" w:rsidRDefault="00CA220A" w:rsidP="00CA220A">
      <w:pPr>
        <w:pStyle w:val="affffb"/>
        <w:ind w:firstLine="420"/>
        <w:rPr>
          <w:rFonts w:hint="eastAsia"/>
        </w:rPr>
      </w:pPr>
      <w:r>
        <w:rPr>
          <w:rFonts w:hint="eastAsia"/>
        </w:rPr>
        <w:t>GB/T 13078饲料卫生标准</w:t>
      </w:r>
    </w:p>
    <w:p w14:paraId="7BC67637" w14:textId="77777777" w:rsidR="00CA220A" w:rsidRDefault="00CA220A" w:rsidP="00CA220A">
      <w:pPr>
        <w:pStyle w:val="affffb"/>
        <w:ind w:firstLine="420"/>
        <w:rPr>
          <w:rFonts w:hint="eastAsia"/>
        </w:rPr>
      </w:pPr>
      <w:r>
        <w:rPr>
          <w:rFonts w:hint="eastAsia"/>
        </w:rPr>
        <w:t>GB/T 20806饲料中中性洗涤纤维（NDF）的测定</w:t>
      </w:r>
    </w:p>
    <w:p w14:paraId="07B2094E" w14:textId="77777777" w:rsidR="00CA220A" w:rsidRDefault="00CA220A" w:rsidP="00CA220A">
      <w:pPr>
        <w:pStyle w:val="affffb"/>
        <w:ind w:firstLine="420"/>
        <w:rPr>
          <w:rFonts w:hint="eastAsia"/>
        </w:rPr>
      </w:pPr>
      <w:r>
        <w:rPr>
          <w:rFonts w:hint="eastAsia"/>
        </w:rPr>
        <w:t>NY/T 1459饲料中酸性洗涤纤维的测定</w:t>
      </w:r>
    </w:p>
    <w:p w14:paraId="541BA969" w14:textId="77777777" w:rsidR="00CA220A" w:rsidRDefault="00CA220A" w:rsidP="00CA220A">
      <w:pPr>
        <w:pStyle w:val="affffb"/>
        <w:ind w:firstLine="420"/>
        <w:rPr>
          <w:rFonts w:hint="eastAsia"/>
        </w:rPr>
      </w:pPr>
      <w:r>
        <w:rPr>
          <w:rFonts w:hint="eastAsia"/>
        </w:rPr>
        <w:t>DB/T 1458青贮饲料pH值、有机酸、氨态氮测定方法</w:t>
      </w:r>
    </w:p>
    <w:p w14:paraId="3FE5E301" w14:textId="443F0433" w:rsidR="00E23880" w:rsidRDefault="00CA220A" w:rsidP="00CA220A">
      <w:pPr>
        <w:pStyle w:val="affffb"/>
        <w:ind w:firstLine="420"/>
      </w:pPr>
      <w:r>
        <w:rPr>
          <w:rFonts w:hint="eastAsia"/>
        </w:rPr>
        <w:t>T/CAAA 002燕麦  干草质量分级</w:t>
      </w:r>
    </w:p>
    <w:p w14:paraId="7AD71F0F" w14:textId="77777777" w:rsidR="00B265BC" w:rsidRPr="00E030F9" w:rsidRDefault="00FD59EB" w:rsidP="00FD59EB">
      <w:pPr>
        <w:pStyle w:val="affc"/>
        <w:spacing w:before="240" w:after="240"/>
      </w:pPr>
      <w:bookmarkStart w:id="41" w:name="_Toc97192966"/>
      <w:r>
        <w:rPr>
          <w:rFonts w:hint="eastAsia"/>
          <w:szCs w:val="21"/>
        </w:rPr>
        <w:t>术语和定义</w:t>
      </w:r>
      <w:bookmarkEnd w:id="41"/>
    </w:p>
    <w:bookmarkStart w:id="42" w:name="_Toc26986532" w:displacedByCustomXml="next"/>
    <w:bookmarkEnd w:id="42" w:displacedByCustomXml="next"/>
    <w:sdt>
      <w:sdtPr>
        <w:id w:val="-1909835108"/>
        <w:placeholder>
          <w:docPart w:val="589FB755EAD649569EE51AC257764E2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9CF6DAC" w14:textId="0BF3A8F1" w:rsidR="003C010C" w:rsidRDefault="00E23880" w:rsidP="00BA263B">
          <w:pPr>
            <w:pStyle w:val="affffb"/>
            <w:ind w:firstLine="420"/>
          </w:pPr>
          <w:r>
            <w:t>下列术语和定义适用于本文件。</w:t>
          </w:r>
        </w:p>
      </w:sdtContent>
    </w:sdt>
    <w:p w14:paraId="221BC37B" w14:textId="08A2D856" w:rsidR="00CA220A" w:rsidRPr="00CA220A" w:rsidRDefault="00CA220A" w:rsidP="00CA220A">
      <w:pPr>
        <w:pStyle w:val="afffffffffff5"/>
        <w:ind w:left="420" w:hangingChars="200" w:hanging="420"/>
        <w:rPr>
          <w:rFonts w:ascii="黑体" w:eastAsia="黑体" w:hAnsi="黑体"/>
        </w:rPr>
      </w:pPr>
      <w:r w:rsidRPr="00CA220A">
        <w:rPr>
          <w:rFonts w:ascii="黑体" w:eastAsia="黑体" w:hAnsi="黑体"/>
        </w:rPr>
        <w:br/>
      </w:r>
      <w:r w:rsidRPr="00CA220A">
        <w:rPr>
          <w:rFonts w:ascii="黑体" w:eastAsia="黑体" w:hAnsi="黑体"/>
        </w:rPr>
        <w:t>饲用燕麦（forage oat）</w:t>
      </w:r>
    </w:p>
    <w:p w14:paraId="1E270440" w14:textId="77777777" w:rsidR="00CA220A" w:rsidRDefault="00CA220A" w:rsidP="00CA220A">
      <w:pPr>
        <w:pStyle w:val="affffb"/>
        <w:ind w:firstLine="420"/>
      </w:pPr>
      <w:r>
        <w:t>指一年生禾本科燕麦族燕麦属（</w:t>
      </w:r>
      <w:r>
        <w:rPr>
          <w:i/>
          <w:iCs/>
        </w:rPr>
        <w:t>Avena</w:t>
      </w:r>
      <w:r>
        <w:t>）草本植物，粮饲兼用，包括皮燕麦和裸燕麦。</w:t>
      </w:r>
    </w:p>
    <w:p w14:paraId="59DAD86D" w14:textId="1254C391" w:rsidR="00CA220A" w:rsidRPr="00CA220A" w:rsidRDefault="00CA220A" w:rsidP="00CA220A">
      <w:pPr>
        <w:pStyle w:val="afffffffffff5"/>
        <w:ind w:left="420" w:hangingChars="200" w:hanging="420"/>
        <w:rPr>
          <w:rFonts w:ascii="黑体" w:eastAsia="黑体" w:hAnsi="黑体"/>
        </w:rPr>
      </w:pPr>
      <w:r w:rsidRPr="00CA220A">
        <w:rPr>
          <w:rFonts w:ascii="黑体" w:eastAsia="黑体" w:hAnsi="黑体"/>
        </w:rPr>
        <w:br/>
      </w:r>
      <w:r w:rsidRPr="00CA220A">
        <w:rPr>
          <w:rFonts w:ascii="黑体" w:eastAsia="黑体" w:hAnsi="黑体"/>
        </w:rPr>
        <w:t>饲用燕麦青贮</w:t>
      </w:r>
      <w:r w:rsidRPr="00CA220A">
        <w:rPr>
          <w:rFonts w:ascii="黑体" w:eastAsia="黑体" w:hAnsi="黑体"/>
          <w:lang w:eastAsia="zh-Hans"/>
        </w:rPr>
        <w:t>（Forage oat silage）</w:t>
      </w:r>
    </w:p>
    <w:p w14:paraId="3BADAAE2" w14:textId="77777777" w:rsidR="00CA220A" w:rsidRDefault="00CA220A" w:rsidP="00CA220A">
      <w:pPr>
        <w:pStyle w:val="affffb"/>
        <w:ind w:firstLine="420"/>
      </w:pPr>
      <w:r>
        <w:t>新鲜的饲用燕麦原料在密闭条件下利用其表面附着的乳酸菌或接种外源添加剂发酵使青贮饲料pH下降，抑制有害微生物生长，进而获得安全优质的青贮饲料产品。</w:t>
      </w:r>
    </w:p>
    <w:p w14:paraId="1CD18158" w14:textId="77777777" w:rsidR="00CA220A" w:rsidRDefault="00CA220A" w:rsidP="00CA220A">
      <w:pPr>
        <w:pStyle w:val="affc"/>
        <w:spacing w:before="240" w:after="240"/>
      </w:pPr>
      <w:r>
        <w:t>技术要求</w:t>
      </w:r>
    </w:p>
    <w:p w14:paraId="2C5BD773" w14:textId="698C5616" w:rsidR="00CA220A" w:rsidRDefault="00CA220A" w:rsidP="00CA220A">
      <w:pPr>
        <w:pStyle w:val="affd"/>
        <w:spacing w:before="120" w:after="120"/>
      </w:pPr>
      <w:r>
        <w:t>感官要求</w:t>
      </w:r>
    </w:p>
    <w:p w14:paraId="5A651F62" w14:textId="7E5E1C2E" w:rsidR="00CA220A" w:rsidRDefault="00CA220A" w:rsidP="00CA220A">
      <w:pPr>
        <w:pStyle w:val="afffffffff1"/>
        <w:rPr>
          <w:lang w:eastAsia="zh-Hans"/>
        </w:rPr>
      </w:pPr>
      <w:r>
        <w:t>颜色为浅</w:t>
      </w:r>
      <w:r>
        <w:rPr>
          <w:lang w:eastAsia="zh-Hans"/>
        </w:rPr>
        <w:t>绿色</w:t>
      </w:r>
      <w:r>
        <w:t>、</w:t>
      </w:r>
      <w:r>
        <w:rPr>
          <w:lang w:eastAsia="zh-Hans"/>
        </w:rPr>
        <w:t>黄绿色或黄褐色</w:t>
      </w:r>
      <w:r>
        <w:t>，无霉斑。</w:t>
      </w:r>
    </w:p>
    <w:p w14:paraId="7471CCD0" w14:textId="5C7B725D" w:rsidR="00CA220A" w:rsidRDefault="00CA220A" w:rsidP="00CA220A">
      <w:pPr>
        <w:pStyle w:val="afffffffff1"/>
      </w:pPr>
      <w:r>
        <w:t>气味为</w:t>
      </w:r>
      <w:r>
        <w:rPr>
          <w:lang w:eastAsia="zh-Hans"/>
        </w:rPr>
        <w:t>酸香味</w:t>
      </w:r>
      <w:r>
        <w:t>或微醇香酸味，</w:t>
      </w:r>
      <w:r>
        <w:rPr>
          <w:lang w:eastAsia="zh-Hans"/>
        </w:rPr>
        <w:t>无</w:t>
      </w:r>
      <w:r>
        <w:t>刺激腐臭等异味。</w:t>
      </w:r>
    </w:p>
    <w:p w14:paraId="4CCB3C13" w14:textId="58765323" w:rsidR="00CA220A" w:rsidRDefault="00CA220A" w:rsidP="00CA220A">
      <w:pPr>
        <w:pStyle w:val="afffffffff1"/>
      </w:pPr>
      <w:r>
        <w:rPr>
          <w:lang w:eastAsia="zh-Hans"/>
        </w:rPr>
        <w:t>质地结构清晰或基本保持原状</w:t>
      </w:r>
      <w:r>
        <w:t>、</w:t>
      </w:r>
      <w:r>
        <w:rPr>
          <w:lang w:eastAsia="zh-Hans"/>
        </w:rPr>
        <w:t>松散</w:t>
      </w:r>
      <w:r>
        <w:t>、</w:t>
      </w:r>
      <w:r>
        <w:rPr>
          <w:lang w:eastAsia="zh-Hans"/>
        </w:rPr>
        <w:t>柔软</w:t>
      </w:r>
      <w:r>
        <w:t>，</w:t>
      </w:r>
      <w:r>
        <w:rPr>
          <w:lang w:eastAsia="zh-Hans"/>
        </w:rPr>
        <w:t>无</w:t>
      </w:r>
      <w:r>
        <w:t>黏性、不结块、不成团。</w:t>
      </w:r>
    </w:p>
    <w:p w14:paraId="2BCC9020" w14:textId="534DBF02" w:rsidR="00CA220A" w:rsidRDefault="00CA220A" w:rsidP="00CA220A">
      <w:pPr>
        <w:pStyle w:val="affd"/>
        <w:spacing w:before="120" w:after="120"/>
      </w:pPr>
      <w:r>
        <w:t>技术要求</w:t>
      </w:r>
    </w:p>
    <w:p w14:paraId="61C1F2B1" w14:textId="611E233F" w:rsidR="00CA220A" w:rsidRDefault="00CA220A" w:rsidP="00CA220A">
      <w:pPr>
        <w:pStyle w:val="afffffffff1"/>
      </w:pPr>
      <w:r>
        <w:t>饲用燕麦青贮饲料是用在抽穗期收获的燕麦晾晒至水分含量70%-75%，经切碎、装填、压实、密封发酵45天后制作而成。</w:t>
      </w:r>
    </w:p>
    <w:p w14:paraId="68884CAF" w14:textId="0DB6F9F6" w:rsidR="00CA220A" w:rsidRDefault="00CA220A" w:rsidP="00CA220A">
      <w:pPr>
        <w:pStyle w:val="afffffffff1"/>
      </w:pPr>
      <w:r>
        <w:t>饲用燕麦青贮饲料中不得含有有毒和有害物质。若加入抗氧化剂、防霉剂等添加剂时，应说明所添加的成分与剂量。</w:t>
      </w:r>
    </w:p>
    <w:p w14:paraId="4FF2D45A" w14:textId="553CDC9A" w:rsidR="00CA220A" w:rsidRDefault="00CA220A" w:rsidP="00CA220A">
      <w:pPr>
        <w:pStyle w:val="afffffffff1"/>
      </w:pPr>
      <w:r>
        <w:t>饲用燕麦青贮饲料的青贮设施类型包括青贮窖和青贮塔，塑料袋青贮，以窖贮为主。青贮窖包括方形、圆形、地上、半地下等类型。</w:t>
      </w:r>
    </w:p>
    <w:p w14:paraId="31C9676C" w14:textId="3D88550A" w:rsidR="00CA220A" w:rsidRDefault="00CA220A" w:rsidP="00CA220A">
      <w:pPr>
        <w:pStyle w:val="affd"/>
        <w:spacing w:before="120" w:after="120"/>
      </w:pPr>
      <w:r>
        <w:t>干物质含量</w:t>
      </w:r>
    </w:p>
    <w:p w14:paraId="16917533" w14:textId="77777777" w:rsidR="00CA220A" w:rsidRDefault="00CA220A" w:rsidP="00CA220A">
      <w:pPr>
        <w:pStyle w:val="affffb"/>
        <w:ind w:firstLine="420"/>
        <w:rPr>
          <w:lang w:eastAsia="zh-Hans"/>
        </w:rPr>
      </w:pPr>
      <w:r>
        <w:rPr>
          <w:lang w:eastAsia="zh-Hans"/>
        </w:rPr>
        <w:lastRenderedPageBreak/>
        <w:t>青贮原料干物质含量应控制在30%-35%</w:t>
      </w:r>
      <w:r>
        <w:t>。</w:t>
      </w:r>
    </w:p>
    <w:p w14:paraId="6549ECA2" w14:textId="0D3EF1A6" w:rsidR="00CA220A" w:rsidRDefault="00CA220A" w:rsidP="00CA220A">
      <w:pPr>
        <w:pStyle w:val="affd"/>
        <w:spacing w:before="120" w:after="120"/>
      </w:pPr>
      <w:r>
        <w:t>质量分级</w:t>
      </w:r>
    </w:p>
    <w:p w14:paraId="6007EB26" w14:textId="77777777" w:rsidR="00CA220A" w:rsidRDefault="00CA220A" w:rsidP="00CA220A">
      <w:pPr>
        <w:pStyle w:val="affffb"/>
        <w:ind w:firstLine="420"/>
      </w:pPr>
      <w:r>
        <w:t>饲用燕麦青贮质量分级应符合表1的规定。</w:t>
      </w:r>
    </w:p>
    <w:p w14:paraId="2AD50B04" w14:textId="2F9BF621" w:rsidR="00CA220A" w:rsidRDefault="00CA220A" w:rsidP="00CA220A">
      <w:pPr>
        <w:pStyle w:val="aff2"/>
        <w:spacing w:before="120" w:after="120"/>
      </w:pPr>
      <w:r>
        <w:t>饲用燕麦青贮质量分级</w:t>
      </w:r>
    </w:p>
    <w:tbl>
      <w:tblPr>
        <w:tblStyle w:val="afffffffffc"/>
        <w:tblW w:w="0" w:type="auto"/>
        <w:jc w:val="center"/>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CA220A" w14:paraId="366D106B" w14:textId="77777777" w:rsidTr="00014E58">
        <w:trPr>
          <w:trHeight w:hRule="exact" w:val="567"/>
          <w:jc w:val="center"/>
        </w:trPr>
        <w:tc>
          <w:tcPr>
            <w:tcW w:w="2074" w:type="dxa"/>
            <w:vMerge w:val="restart"/>
            <w:tcBorders>
              <w:top w:val="single" w:sz="4" w:space="0" w:color="auto"/>
              <w:tl2br w:val="nil"/>
              <w:tr2bl w:val="nil"/>
            </w:tcBorders>
            <w:vAlign w:val="center"/>
          </w:tcPr>
          <w:p w14:paraId="4A1455BF"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指标</w:t>
            </w:r>
          </w:p>
        </w:tc>
        <w:tc>
          <w:tcPr>
            <w:tcW w:w="6222" w:type="dxa"/>
            <w:gridSpan w:val="3"/>
            <w:tcBorders>
              <w:top w:val="single" w:sz="4" w:space="0" w:color="auto"/>
              <w:bottom w:val="single" w:sz="4" w:space="0" w:color="auto"/>
              <w:tl2br w:val="nil"/>
              <w:tr2bl w:val="nil"/>
            </w:tcBorders>
            <w:vAlign w:val="center"/>
          </w:tcPr>
          <w:p w14:paraId="092A4A32"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等级</w:t>
            </w:r>
          </w:p>
        </w:tc>
      </w:tr>
      <w:tr w:rsidR="00CA220A" w14:paraId="2F1136CE" w14:textId="77777777" w:rsidTr="00014E58">
        <w:trPr>
          <w:trHeight w:hRule="exact" w:val="567"/>
          <w:jc w:val="center"/>
        </w:trPr>
        <w:tc>
          <w:tcPr>
            <w:tcW w:w="2074" w:type="dxa"/>
            <w:vMerge/>
            <w:tcBorders>
              <w:bottom w:val="single" w:sz="4" w:space="0" w:color="auto"/>
              <w:tl2br w:val="nil"/>
              <w:tr2bl w:val="nil"/>
            </w:tcBorders>
            <w:vAlign w:val="center"/>
          </w:tcPr>
          <w:p w14:paraId="111BB1D0" w14:textId="77777777" w:rsidR="00CA220A" w:rsidRDefault="00CA220A" w:rsidP="00014E58">
            <w:pPr>
              <w:spacing w:beforeLines="50" w:before="120" w:afterLines="50" w:after="120"/>
              <w:jc w:val="center"/>
              <w:rPr>
                <w:rFonts w:ascii="Times New Roman" w:hAnsi="Times New Roman"/>
              </w:rPr>
            </w:pPr>
          </w:p>
        </w:tc>
        <w:tc>
          <w:tcPr>
            <w:tcW w:w="2074" w:type="dxa"/>
            <w:tcBorders>
              <w:top w:val="single" w:sz="4" w:space="0" w:color="auto"/>
              <w:bottom w:val="single" w:sz="4" w:space="0" w:color="auto"/>
              <w:tl2br w:val="nil"/>
              <w:tr2bl w:val="nil"/>
            </w:tcBorders>
            <w:vAlign w:val="center"/>
          </w:tcPr>
          <w:p w14:paraId="6E814357"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优级</w:t>
            </w:r>
          </w:p>
        </w:tc>
        <w:tc>
          <w:tcPr>
            <w:tcW w:w="2074" w:type="dxa"/>
            <w:tcBorders>
              <w:top w:val="single" w:sz="4" w:space="0" w:color="auto"/>
              <w:bottom w:val="single" w:sz="4" w:space="0" w:color="auto"/>
              <w:tl2br w:val="nil"/>
              <w:tr2bl w:val="nil"/>
            </w:tcBorders>
            <w:vAlign w:val="center"/>
          </w:tcPr>
          <w:p w14:paraId="70014515"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一级</w:t>
            </w:r>
          </w:p>
        </w:tc>
        <w:tc>
          <w:tcPr>
            <w:tcW w:w="2074" w:type="dxa"/>
            <w:tcBorders>
              <w:top w:val="single" w:sz="4" w:space="0" w:color="auto"/>
              <w:bottom w:val="single" w:sz="4" w:space="0" w:color="auto"/>
              <w:tl2br w:val="nil"/>
              <w:tr2bl w:val="nil"/>
            </w:tcBorders>
            <w:vAlign w:val="center"/>
          </w:tcPr>
          <w:p w14:paraId="7BC426CB"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二级</w:t>
            </w:r>
          </w:p>
        </w:tc>
      </w:tr>
      <w:tr w:rsidR="00CA220A" w14:paraId="52E0EC44" w14:textId="77777777" w:rsidTr="00014E58">
        <w:trPr>
          <w:trHeight w:hRule="exact" w:val="567"/>
          <w:jc w:val="center"/>
        </w:trPr>
        <w:tc>
          <w:tcPr>
            <w:tcW w:w="2074" w:type="dxa"/>
            <w:tcBorders>
              <w:top w:val="single" w:sz="4" w:space="0" w:color="auto"/>
              <w:tl2br w:val="nil"/>
              <w:tr2bl w:val="nil"/>
            </w:tcBorders>
            <w:vAlign w:val="center"/>
          </w:tcPr>
          <w:p w14:paraId="42703675"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pH</w:t>
            </w:r>
          </w:p>
        </w:tc>
        <w:tc>
          <w:tcPr>
            <w:tcW w:w="2074" w:type="dxa"/>
            <w:tcBorders>
              <w:top w:val="single" w:sz="4" w:space="0" w:color="auto"/>
              <w:tl2br w:val="nil"/>
              <w:tr2bl w:val="nil"/>
            </w:tcBorders>
            <w:vAlign w:val="center"/>
          </w:tcPr>
          <w:p w14:paraId="65E5F421"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≤4.3</w:t>
            </w:r>
          </w:p>
        </w:tc>
        <w:tc>
          <w:tcPr>
            <w:tcW w:w="2074" w:type="dxa"/>
            <w:tcBorders>
              <w:top w:val="single" w:sz="4" w:space="0" w:color="auto"/>
              <w:tl2br w:val="nil"/>
              <w:tr2bl w:val="nil"/>
            </w:tcBorders>
            <w:vAlign w:val="center"/>
          </w:tcPr>
          <w:p w14:paraId="41D376B9"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w:t>
            </w:r>
            <w:r>
              <w:rPr>
                <w:rFonts w:ascii="Times New Roman" w:hAnsi="Times New Roman"/>
              </w:rPr>
              <w:t>4.3</w:t>
            </w:r>
            <w:r>
              <w:rPr>
                <w:rFonts w:ascii="Times New Roman" w:hAnsi="Times New Roman"/>
              </w:rPr>
              <w:t>，</w:t>
            </w:r>
            <w:r>
              <w:rPr>
                <w:rFonts w:ascii="Times New Roman" w:hAnsi="Times New Roman"/>
              </w:rPr>
              <w:t>≤4.4</w:t>
            </w:r>
          </w:p>
        </w:tc>
        <w:tc>
          <w:tcPr>
            <w:tcW w:w="2074" w:type="dxa"/>
            <w:tcBorders>
              <w:top w:val="single" w:sz="4" w:space="0" w:color="auto"/>
              <w:tl2br w:val="nil"/>
              <w:tr2bl w:val="nil"/>
            </w:tcBorders>
            <w:vAlign w:val="center"/>
          </w:tcPr>
          <w:p w14:paraId="687E5DCA"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w:t>
            </w:r>
            <w:r>
              <w:rPr>
                <w:rFonts w:ascii="Times New Roman" w:hAnsi="Times New Roman"/>
              </w:rPr>
              <w:t>4.5</w:t>
            </w:r>
          </w:p>
        </w:tc>
      </w:tr>
      <w:tr w:rsidR="00CA220A" w14:paraId="576CEACC" w14:textId="77777777" w:rsidTr="00014E58">
        <w:trPr>
          <w:trHeight w:hRule="exact" w:val="567"/>
          <w:jc w:val="center"/>
        </w:trPr>
        <w:tc>
          <w:tcPr>
            <w:tcW w:w="2074" w:type="dxa"/>
            <w:tcBorders>
              <w:tl2br w:val="nil"/>
              <w:tr2bl w:val="nil"/>
            </w:tcBorders>
            <w:vAlign w:val="center"/>
          </w:tcPr>
          <w:p w14:paraId="19D4DD66"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氨态氮</w:t>
            </w:r>
            <w:r>
              <w:rPr>
                <w:rFonts w:ascii="Times New Roman" w:hAnsi="Times New Roman"/>
              </w:rPr>
              <w:t>/</w:t>
            </w:r>
            <w:r>
              <w:rPr>
                <w:rFonts w:ascii="Times New Roman" w:hAnsi="Times New Roman"/>
              </w:rPr>
              <w:t>总氮，％</w:t>
            </w:r>
          </w:p>
        </w:tc>
        <w:tc>
          <w:tcPr>
            <w:tcW w:w="2074" w:type="dxa"/>
            <w:tcBorders>
              <w:tl2br w:val="nil"/>
              <w:tr2bl w:val="nil"/>
            </w:tcBorders>
            <w:vAlign w:val="center"/>
          </w:tcPr>
          <w:p w14:paraId="163E4CBA"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≤8</w:t>
            </w:r>
          </w:p>
        </w:tc>
        <w:tc>
          <w:tcPr>
            <w:tcW w:w="2074" w:type="dxa"/>
            <w:tcBorders>
              <w:tl2br w:val="nil"/>
              <w:tr2bl w:val="nil"/>
            </w:tcBorders>
            <w:vAlign w:val="center"/>
          </w:tcPr>
          <w:p w14:paraId="6F1237A9"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w:t>
            </w:r>
            <w:r>
              <w:rPr>
                <w:rFonts w:ascii="Times New Roman" w:hAnsi="Times New Roman"/>
              </w:rPr>
              <w:t>8</w:t>
            </w:r>
            <w:r>
              <w:rPr>
                <w:rFonts w:ascii="Times New Roman" w:hAnsi="Times New Roman"/>
              </w:rPr>
              <w:t>，</w:t>
            </w:r>
            <w:r>
              <w:rPr>
                <w:rFonts w:ascii="Times New Roman" w:hAnsi="Times New Roman"/>
              </w:rPr>
              <w:t>≤15</w:t>
            </w:r>
          </w:p>
        </w:tc>
        <w:tc>
          <w:tcPr>
            <w:tcW w:w="2074" w:type="dxa"/>
            <w:tcBorders>
              <w:tl2br w:val="nil"/>
              <w:tr2bl w:val="nil"/>
            </w:tcBorders>
            <w:vAlign w:val="center"/>
          </w:tcPr>
          <w:p w14:paraId="28EE4229"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w:t>
            </w:r>
            <w:r>
              <w:rPr>
                <w:rFonts w:ascii="Times New Roman" w:hAnsi="Times New Roman"/>
              </w:rPr>
              <w:t>15</w:t>
            </w:r>
          </w:p>
        </w:tc>
      </w:tr>
      <w:tr w:rsidR="00CA220A" w14:paraId="0563AE75" w14:textId="77777777" w:rsidTr="00014E58">
        <w:trPr>
          <w:trHeight w:hRule="exact" w:val="567"/>
          <w:jc w:val="center"/>
        </w:trPr>
        <w:tc>
          <w:tcPr>
            <w:tcW w:w="2074" w:type="dxa"/>
            <w:tcBorders>
              <w:tl2br w:val="nil"/>
              <w:tr2bl w:val="nil"/>
            </w:tcBorders>
            <w:vAlign w:val="center"/>
          </w:tcPr>
          <w:p w14:paraId="08786E07"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乳酸，％</w:t>
            </w:r>
          </w:p>
        </w:tc>
        <w:tc>
          <w:tcPr>
            <w:tcW w:w="2074" w:type="dxa"/>
            <w:tcBorders>
              <w:tl2br w:val="nil"/>
              <w:tr2bl w:val="nil"/>
            </w:tcBorders>
            <w:vAlign w:val="center"/>
          </w:tcPr>
          <w:p w14:paraId="0F21B4D3"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≥8</w:t>
            </w:r>
          </w:p>
        </w:tc>
        <w:tc>
          <w:tcPr>
            <w:tcW w:w="2074" w:type="dxa"/>
            <w:tcBorders>
              <w:tl2br w:val="nil"/>
              <w:tr2bl w:val="nil"/>
            </w:tcBorders>
            <w:vAlign w:val="center"/>
          </w:tcPr>
          <w:p w14:paraId="1B22B18F"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w:t>
            </w:r>
            <w:r>
              <w:rPr>
                <w:rFonts w:ascii="Times New Roman" w:hAnsi="Times New Roman"/>
              </w:rPr>
              <w:t>8</w:t>
            </w:r>
            <w:r>
              <w:rPr>
                <w:rFonts w:ascii="Times New Roman" w:hAnsi="Times New Roman"/>
              </w:rPr>
              <w:t>，</w:t>
            </w:r>
            <w:r>
              <w:rPr>
                <w:rFonts w:ascii="Times New Roman" w:hAnsi="Times New Roman"/>
              </w:rPr>
              <w:t>≥6</w:t>
            </w:r>
          </w:p>
        </w:tc>
        <w:tc>
          <w:tcPr>
            <w:tcW w:w="2074" w:type="dxa"/>
            <w:tcBorders>
              <w:tl2br w:val="nil"/>
              <w:tr2bl w:val="nil"/>
            </w:tcBorders>
            <w:vAlign w:val="center"/>
          </w:tcPr>
          <w:p w14:paraId="1D02898D"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w:t>
            </w:r>
            <w:r>
              <w:rPr>
                <w:rFonts w:ascii="Times New Roman" w:hAnsi="Times New Roman"/>
              </w:rPr>
              <w:t>6</w:t>
            </w:r>
            <w:r>
              <w:rPr>
                <w:rFonts w:ascii="Times New Roman" w:hAnsi="Times New Roman"/>
              </w:rPr>
              <w:t>，</w:t>
            </w:r>
            <w:r>
              <w:rPr>
                <w:rFonts w:ascii="Times New Roman" w:hAnsi="Times New Roman"/>
              </w:rPr>
              <w:t>≥4</w:t>
            </w:r>
          </w:p>
        </w:tc>
      </w:tr>
      <w:tr w:rsidR="00CA220A" w14:paraId="40C118CE" w14:textId="77777777" w:rsidTr="00014E58">
        <w:trPr>
          <w:trHeight w:hRule="exact" w:val="567"/>
          <w:jc w:val="center"/>
        </w:trPr>
        <w:tc>
          <w:tcPr>
            <w:tcW w:w="2074" w:type="dxa"/>
            <w:tcBorders>
              <w:tl2br w:val="nil"/>
              <w:tr2bl w:val="nil"/>
            </w:tcBorders>
            <w:vAlign w:val="center"/>
          </w:tcPr>
          <w:p w14:paraId="5C2875E0"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乙酸，％</w:t>
            </w:r>
          </w:p>
        </w:tc>
        <w:tc>
          <w:tcPr>
            <w:tcW w:w="2074" w:type="dxa"/>
            <w:tcBorders>
              <w:tl2br w:val="nil"/>
              <w:tr2bl w:val="nil"/>
            </w:tcBorders>
            <w:vAlign w:val="center"/>
          </w:tcPr>
          <w:p w14:paraId="173EF522"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≤1</w:t>
            </w:r>
          </w:p>
        </w:tc>
        <w:tc>
          <w:tcPr>
            <w:tcW w:w="2074" w:type="dxa"/>
            <w:tcBorders>
              <w:tl2br w:val="nil"/>
              <w:tr2bl w:val="nil"/>
            </w:tcBorders>
            <w:vAlign w:val="center"/>
          </w:tcPr>
          <w:p w14:paraId="654EDC43"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w:t>
            </w:r>
            <w:r>
              <w:rPr>
                <w:rFonts w:ascii="Times New Roman" w:hAnsi="Times New Roman"/>
              </w:rPr>
              <w:t>≤2</w:t>
            </w:r>
          </w:p>
        </w:tc>
        <w:tc>
          <w:tcPr>
            <w:tcW w:w="2074" w:type="dxa"/>
            <w:tcBorders>
              <w:tl2br w:val="nil"/>
              <w:tr2bl w:val="nil"/>
            </w:tcBorders>
            <w:vAlign w:val="center"/>
          </w:tcPr>
          <w:p w14:paraId="1D64D80C"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w:t>
            </w:r>
            <w:r>
              <w:rPr>
                <w:rFonts w:ascii="Times New Roman" w:hAnsi="Times New Roman"/>
              </w:rPr>
              <w:t>2</w:t>
            </w:r>
          </w:p>
        </w:tc>
      </w:tr>
      <w:tr w:rsidR="00CA220A" w14:paraId="6A3681DD" w14:textId="77777777" w:rsidTr="00014E58">
        <w:trPr>
          <w:trHeight w:hRule="exact" w:val="567"/>
          <w:jc w:val="center"/>
        </w:trPr>
        <w:tc>
          <w:tcPr>
            <w:tcW w:w="2074" w:type="dxa"/>
            <w:tcBorders>
              <w:tl2br w:val="nil"/>
              <w:tr2bl w:val="nil"/>
            </w:tcBorders>
            <w:vAlign w:val="center"/>
          </w:tcPr>
          <w:p w14:paraId="4AE16583"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丁酸，％</w:t>
            </w:r>
          </w:p>
          <w:p w14:paraId="440021CA" w14:textId="77777777" w:rsidR="00CA220A" w:rsidRDefault="00CA220A" w:rsidP="00014E58">
            <w:pPr>
              <w:spacing w:beforeLines="50" w:before="120" w:afterLines="50" w:after="120"/>
              <w:jc w:val="center"/>
              <w:rPr>
                <w:rFonts w:ascii="Times New Roman" w:hAnsi="Times New Roman"/>
              </w:rPr>
            </w:pPr>
          </w:p>
          <w:p w14:paraId="541D1BFF" w14:textId="77777777" w:rsidR="00CA220A" w:rsidRDefault="00CA220A" w:rsidP="00014E58">
            <w:pPr>
              <w:spacing w:beforeLines="50" w:before="120" w:afterLines="50" w:after="120"/>
              <w:jc w:val="center"/>
              <w:rPr>
                <w:rFonts w:ascii="Times New Roman" w:hAnsi="Times New Roman"/>
              </w:rPr>
            </w:pPr>
          </w:p>
        </w:tc>
        <w:tc>
          <w:tcPr>
            <w:tcW w:w="2074" w:type="dxa"/>
            <w:tcBorders>
              <w:tl2br w:val="nil"/>
              <w:tr2bl w:val="nil"/>
            </w:tcBorders>
            <w:vAlign w:val="center"/>
          </w:tcPr>
          <w:p w14:paraId="7BC7E8C3"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ND</w:t>
            </w:r>
          </w:p>
        </w:tc>
        <w:tc>
          <w:tcPr>
            <w:tcW w:w="2074" w:type="dxa"/>
            <w:tcBorders>
              <w:tl2br w:val="nil"/>
              <w:tr2bl w:val="nil"/>
            </w:tcBorders>
            <w:vAlign w:val="center"/>
          </w:tcPr>
          <w:p w14:paraId="3F398CF5"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ND</w:t>
            </w:r>
          </w:p>
        </w:tc>
        <w:tc>
          <w:tcPr>
            <w:tcW w:w="2074" w:type="dxa"/>
            <w:tcBorders>
              <w:tl2br w:val="nil"/>
              <w:tr2bl w:val="nil"/>
            </w:tcBorders>
            <w:vAlign w:val="center"/>
          </w:tcPr>
          <w:p w14:paraId="1DE16042"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ND</w:t>
            </w:r>
          </w:p>
        </w:tc>
      </w:tr>
      <w:tr w:rsidR="00CA220A" w14:paraId="25E00F64" w14:textId="77777777" w:rsidTr="00014E58">
        <w:trPr>
          <w:trHeight w:hRule="exact" w:val="567"/>
          <w:jc w:val="center"/>
        </w:trPr>
        <w:tc>
          <w:tcPr>
            <w:tcW w:w="2074" w:type="dxa"/>
            <w:tcBorders>
              <w:tl2br w:val="nil"/>
              <w:tr2bl w:val="nil"/>
            </w:tcBorders>
            <w:vAlign w:val="center"/>
          </w:tcPr>
          <w:p w14:paraId="4820FCD6"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粗蛋白质，％</w:t>
            </w:r>
          </w:p>
        </w:tc>
        <w:tc>
          <w:tcPr>
            <w:tcW w:w="2074" w:type="dxa"/>
            <w:tcBorders>
              <w:tl2br w:val="nil"/>
              <w:tr2bl w:val="nil"/>
            </w:tcBorders>
            <w:vAlign w:val="center"/>
          </w:tcPr>
          <w:p w14:paraId="349079C1"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≥10</w:t>
            </w:r>
          </w:p>
        </w:tc>
        <w:tc>
          <w:tcPr>
            <w:tcW w:w="2074" w:type="dxa"/>
            <w:tcBorders>
              <w:tl2br w:val="nil"/>
              <w:tr2bl w:val="nil"/>
            </w:tcBorders>
            <w:vAlign w:val="center"/>
          </w:tcPr>
          <w:p w14:paraId="259BBD0D"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w:t>
            </w:r>
            <w:r>
              <w:rPr>
                <w:rFonts w:ascii="Times New Roman" w:hAnsi="Times New Roman"/>
              </w:rPr>
              <w:t>10</w:t>
            </w:r>
            <w:r>
              <w:rPr>
                <w:rFonts w:ascii="Times New Roman" w:hAnsi="Times New Roman"/>
              </w:rPr>
              <w:t>，</w:t>
            </w:r>
            <w:r>
              <w:rPr>
                <w:rFonts w:ascii="Times New Roman" w:hAnsi="Times New Roman"/>
              </w:rPr>
              <w:t>≥8</w:t>
            </w:r>
          </w:p>
        </w:tc>
        <w:tc>
          <w:tcPr>
            <w:tcW w:w="2074" w:type="dxa"/>
            <w:tcBorders>
              <w:tl2br w:val="nil"/>
              <w:tr2bl w:val="nil"/>
            </w:tcBorders>
            <w:vAlign w:val="center"/>
          </w:tcPr>
          <w:p w14:paraId="62B070B1"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w:t>
            </w:r>
            <w:r>
              <w:rPr>
                <w:rFonts w:ascii="Times New Roman" w:hAnsi="Times New Roman"/>
              </w:rPr>
              <w:t>8</w:t>
            </w:r>
            <w:r>
              <w:rPr>
                <w:rFonts w:ascii="Times New Roman" w:hAnsi="Times New Roman"/>
              </w:rPr>
              <w:t>，</w:t>
            </w:r>
            <w:r>
              <w:rPr>
                <w:rFonts w:ascii="Times New Roman" w:hAnsi="Times New Roman"/>
              </w:rPr>
              <w:t>≥6</w:t>
            </w:r>
          </w:p>
        </w:tc>
      </w:tr>
      <w:tr w:rsidR="00CA220A" w14:paraId="42247916" w14:textId="77777777" w:rsidTr="00014E58">
        <w:trPr>
          <w:trHeight w:hRule="exact" w:val="567"/>
          <w:jc w:val="center"/>
        </w:trPr>
        <w:tc>
          <w:tcPr>
            <w:tcW w:w="2074" w:type="dxa"/>
            <w:tcBorders>
              <w:tl2br w:val="nil"/>
              <w:tr2bl w:val="nil"/>
            </w:tcBorders>
            <w:vAlign w:val="center"/>
          </w:tcPr>
          <w:p w14:paraId="1FBB480C"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中性洗涤纤维，％</w:t>
            </w:r>
          </w:p>
        </w:tc>
        <w:tc>
          <w:tcPr>
            <w:tcW w:w="2074" w:type="dxa"/>
            <w:tcBorders>
              <w:tl2br w:val="nil"/>
              <w:tr2bl w:val="nil"/>
            </w:tcBorders>
            <w:vAlign w:val="center"/>
          </w:tcPr>
          <w:p w14:paraId="6EC7AA3B"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≤50</w:t>
            </w:r>
          </w:p>
        </w:tc>
        <w:tc>
          <w:tcPr>
            <w:tcW w:w="2074" w:type="dxa"/>
            <w:tcBorders>
              <w:tl2br w:val="nil"/>
              <w:tr2bl w:val="nil"/>
            </w:tcBorders>
            <w:vAlign w:val="center"/>
          </w:tcPr>
          <w:p w14:paraId="7CDA8A46"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w:t>
            </w:r>
            <w:r>
              <w:rPr>
                <w:rFonts w:ascii="Times New Roman" w:hAnsi="Times New Roman"/>
              </w:rPr>
              <w:t>50</w:t>
            </w:r>
            <w:r>
              <w:rPr>
                <w:rFonts w:ascii="Times New Roman" w:hAnsi="Times New Roman"/>
              </w:rPr>
              <w:t>，</w:t>
            </w:r>
            <w:r>
              <w:rPr>
                <w:rFonts w:ascii="Times New Roman" w:hAnsi="Times New Roman"/>
              </w:rPr>
              <w:t>≤55</w:t>
            </w:r>
          </w:p>
        </w:tc>
        <w:tc>
          <w:tcPr>
            <w:tcW w:w="2074" w:type="dxa"/>
            <w:tcBorders>
              <w:tl2br w:val="nil"/>
              <w:tr2bl w:val="nil"/>
            </w:tcBorders>
            <w:vAlign w:val="center"/>
          </w:tcPr>
          <w:p w14:paraId="66F78E8C"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w:t>
            </w:r>
            <w:r>
              <w:rPr>
                <w:rFonts w:ascii="Times New Roman" w:hAnsi="Times New Roman"/>
              </w:rPr>
              <w:t>55</w:t>
            </w:r>
          </w:p>
        </w:tc>
      </w:tr>
      <w:tr w:rsidR="00CA220A" w14:paraId="63045007" w14:textId="77777777" w:rsidTr="00014E58">
        <w:trPr>
          <w:trHeight w:hRule="exact" w:val="567"/>
          <w:jc w:val="center"/>
        </w:trPr>
        <w:tc>
          <w:tcPr>
            <w:tcW w:w="2074" w:type="dxa"/>
            <w:tcBorders>
              <w:bottom w:val="single" w:sz="4" w:space="0" w:color="auto"/>
              <w:tl2br w:val="nil"/>
              <w:tr2bl w:val="nil"/>
            </w:tcBorders>
            <w:vAlign w:val="center"/>
          </w:tcPr>
          <w:p w14:paraId="0C460DDF"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粗灰分，</w:t>
            </w:r>
            <w:r>
              <w:rPr>
                <w:rFonts w:ascii="Times New Roman" w:hAnsi="Times New Roman"/>
              </w:rPr>
              <w:t>%</w:t>
            </w:r>
          </w:p>
        </w:tc>
        <w:tc>
          <w:tcPr>
            <w:tcW w:w="6222" w:type="dxa"/>
            <w:gridSpan w:val="3"/>
            <w:tcBorders>
              <w:bottom w:val="single" w:sz="4" w:space="0" w:color="auto"/>
              <w:tl2br w:val="nil"/>
              <w:tr2bl w:val="nil"/>
            </w:tcBorders>
            <w:vAlign w:val="center"/>
          </w:tcPr>
          <w:p w14:paraId="768EE56C" w14:textId="77777777" w:rsidR="00CA220A" w:rsidRDefault="00CA220A" w:rsidP="00014E58">
            <w:pPr>
              <w:spacing w:beforeLines="50" w:before="120" w:afterLines="50" w:after="120"/>
              <w:jc w:val="center"/>
              <w:rPr>
                <w:rFonts w:ascii="Times New Roman" w:hAnsi="Times New Roman"/>
              </w:rPr>
            </w:pPr>
            <w:r>
              <w:rPr>
                <w:rFonts w:ascii="Times New Roman" w:hAnsi="Times New Roman"/>
              </w:rPr>
              <w:t>＜</w:t>
            </w:r>
            <w:r>
              <w:rPr>
                <w:rFonts w:ascii="Times New Roman" w:hAnsi="Times New Roman"/>
              </w:rPr>
              <w:t>10</w:t>
            </w:r>
          </w:p>
        </w:tc>
      </w:tr>
      <w:tr w:rsidR="00CA220A" w14:paraId="1CCA5EC2" w14:textId="77777777" w:rsidTr="00014E58">
        <w:trPr>
          <w:trHeight w:hRule="exact" w:val="751"/>
          <w:jc w:val="center"/>
        </w:trPr>
        <w:tc>
          <w:tcPr>
            <w:tcW w:w="8296" w:type="dxa"/>
            <w:gridSpan w:val="4"/>
            <w:tcBorders>
              <w:top w:val="single" w:sz="4" w:space="0" w:color="auto"/>
              <w:tl2br w:val="nil"/>
              <w:tr2bl w:val="nil"/>
            </w:tcBorders>
            <w:vAlign w:val="center"/>
          </w:tcPr>
          <w:p w14:paraId="377EF6AF" w14:textId="77777777" w:rsidR="00CA220A" w:rsidRDefault="00CA220A" w:rsidP="00CA220A">
            <w:pPr>
              <w:pStyle w:val="affffb"/>
              <w:ind w:firstLine="420"/>
            </w:pPr>
            <w:r>
              <w:t>注：乳酸、乙酸占干物质的量表示；粗蛋白质、中性洗涤纤维、粗灰分含量均以干物质为基础；ND:未检出。</w:t>
            </w:r>
          </w:p>
        </w:tc>
      </w:tr>
    </w:tbl>
    <w:p w14:paraId="1AA20162" w14:textId="6DD2A6C0" w:rsidR="00CA220A" w:rsidRDefault="00CA220A" w:rsidP="00CA220A">
      <w:pPr>
        <w:pStyle w:val="affd"/>
        <w:spacing w:before="120" w:after="120"/>
        <w:rPr>
          <w:lang w:eastAsia="zh-Hans"/>
        </w:rPr>
      </w:pPr>
      <w:r>
        <w:rPr>
          <w:lang w:eastAsia="zh-Hans"/>
        </w:rPr>
        <w:t>卫生</w:t>
      </w:r>
      <w:r>
        <w:t>指标</w:t>
      </w:r>
      <w:r>
        <w:rPr>
          <w:lang w:eastAsia="zh-Hans"/>
        </w:rPr>
        <w:t xml:space="preserve"> </w:t>
      </w:r>
    </w:p>
    <w:p w14:paraId="541BDC53" w14:textId="77777777" w:rsidR="00CA220A" w:rsidRDefault="00CA220A" w:rsidP="00CA220A">
      <w:pPr>
        <w:pStyle w:val="affffb"/>
        <w:ind w:firstLine="420"/>
      </w:pPr>
      <w:r>
        <w:rPr>
          <w:lang w:eastAsia="zh-Hans"/>
        </w:rPr>
        <w:t>应符合GB 13078的规定</w:t>
      </w:r>
      <w:r>
        <w:t>。</w:t>
      </w:r>
    </w:p>
    <w:p w14:paraId="4BE0402E" w14:textId="25F38093" w:rsidR="00CA220A" w:rsidRDefault="00CA220A" w:rsidP="00CA220A">
      <w:pPr>
        <w:pStyle w:val="affc"/>
        <w:spacing w:before="240" w:after="240"/>
      </w:pPr>
      <w:r>
        <w:t>检测方法</w:t>
      </w:r>
    </w:p>
    <w:p w14:paraId="750B115B" w14:textId="6994309A" w:rsidR="00CA220A" w:rsidRDefault="00CA220A" w:rsidP="00CA220A">
      <w:pPr>
        <w:pStyle w:val="affd"/>
        <w:spacing w:before="120" w:after="120"/>
        <w:rPr>
          <w:lang w:eastAsia="zh-Hans"/>
        </w:rPr>
      </w:pPr>
      <w:r>
        <w:rPr>
          <w:lang w:eastAsia="zh-Hans"/>
        </w:rPr>
        <w:t>青贮</w:t>
      </w:r>
      <w:r>
        <w:t>/裹包的取样方式</w:t>
      </w:r>
    </w:p>
    <w:p w14:paraId="44A5B86F" w14:textId="77777777" w:rsidR="00CA220A" w:rsidRDefault="00CA220A" w:rsidP="00CA220A">
      <w:pPr>
        <w:pStyle w:val="affffb"/>
        <w:ind w:firstLine="420"/>
      </w:pPr>
      <w:r>
        <w:t>按NY/T 2129的规定执行。</w:t>
      </w:r>
    </w:p>
    <w:p w14:paraId="24A15537" w14:textId="588C0B57" w:rsidR="00CA220A" w:rsidRDefault="00CA220A" w:rsidP="00CA220A">
      <w:pPr>
        <w:pStyle w:val="affd"/>
        <w:spacing w:before="120" w:after="120"/>
        <w:rPr>
          <w:lang w:eastAsia="zh-Hans"/>
        </w:rPr>
      </w:pPr>
      <w:r>
        <w:rPr>
          <w:lang w:eastAsia="zh-Hans"/>
        </w:rPr>
        <w:t xml:space="preserve">感官 </w:t>
      </w:r>
    </w:p>
    <w:p w14:paraId="5C4EDF1E" w14:textId="77777777" w:rsidR="00CA220A" w:rsidRDefault="00CA220A" w:rsidP="00CA220A">
      <w:pPr>
        <w:pStyle w:val="affffb"/>
        <w:ind w:firstLine="420"/>
        <w:rPr>
          <w:lang w:eastAsia="zh-Hans"/>
        </w:rPr>
      </w:pPr>
      <w:r>
        <w:rPr>
          <w:lang w:eastAsia="zh-Hans"/>
        </w:rPr>
        <w:t>以肉眼可观测最清晰的距离下，自然光下目测燕麦青贮料的颜色,茎叶结构；青贮料常态下,贴近鼻尖嗅闻气味；通过用手抓捻</w:t>
      </w:r>
      <w:r>
        <w:t>，</w:t>
      </w:r>
      <w:r>
        <w:rPr>
          <w:lang w:eastAsia="zh-Hans"/>
        </w:rPr>
        <w:t>评价青贮饲料的质地。</w:t>
      </w:r>
    </w:p>
    <w:p w14:paraId="58D26E52" w14:textId="46A15D85" w:rsidR="00CA220A" w:rsidRDefault="00CA220A" w:rsidP="00CA220A">
      <w:pPr>
        <w:pStyle w:val="affd"/>
        <w:spacing w:before="120" w:after="120"/>
      </w:pPr>
      <w:r>
        <w:t>水分含量</w:t>
      </w:r>
    </w:p>
    <w:p w14:paraId="1BDF1343" w14:textId="77777777" w:rsidR="00CA220A" w:rsidRDefault="00CA220A" w:rsidP="00CA220A">
      <w:pPr>
        <w:pStyle w:val="affffb"/>
        <w:ind w:firstLine="420"/>
      </w:pPr>
      <w:r>
        <w:t>按照GB/T 6435规定执行。</w:t>
      </w:r>
    </w:p>
    <w:p w14:paraId="57F2B227" w14:textId="22700A4A" w:rsidR="00CA220A" w:rsidRDefault="00CA220A" w:rsidP="00CA220A">
      <w:pPr>
        <w:pStyle w:val="affd"/>
        <w:spacing w:before="120" w:after="120"/>
      </w:pPr>
      <w:r>
        <w:t>有机酸，pH，氨态氮</w:t>
      </w:r>
    </w:p>
    <w:p w14:paraId="14A96095" w14:textId="77777777" w:rsidR="00CA220A" w:rsidRDefault="00CA220A" w:rsidP="00CA220A">
      <w:pPr>
        <w:pStyle w:val="affffb"/>
        <w:ind w:firstLine="420"/>
      </w:pPr>
      <w:r>
        <w:t>按照DB/T 1458规定执行。</w:t>
      </w:r>
    </w:p>
    <w:p w14:paraId="40EAE283" w14:textId="06AA0FDD" w:rsidR="00CA220A" w:rsidRDefault="00CA220A" w:rsidP="00CA220A">
      <w:pPr>
        <w:pStyle w:val="affd"/>
        <w:spacing w:before="120" w:after="120"/>
      </w:pPr>
      <w:r>
        <w:t>粗蛋白质</w:t>
      </w:r>
    </w:p>
    <w:p w14:paraId="0E007FC7" w14:textId="77777777" w:rsidR="00CA220A" w:rsidRDefault="00CA220A" w:rsidP="00CA220A">
      <w:pPr>
        <w:pStyle w:val="affffb"/>
        <w:ind w:firstLine="420"/>
      </w:pPr>
      <w:r>
        <w:lastRenderedPageBreak/>
        <w:t>按照GB/T 6432规定执行。</w:t>
      </w:r>
    </w:p>
    <w:p w14:paraId="4432B402" w14:textId="0C0C0733" w:rsidR="00CA220A" w:rsidRDefault="00CA220A" w:rsidP="00CA220A">
      <w:pPr>
        <w:pStyle w:val="affd"/>
        <w:spacing w:before="120" w:after="120"/>
      </w:pPr>
      <w:r>
        <w:t>中性洗涤纤维</w:t>
      </w:r>
    </w:p>
    <w:p w14:paraId="68308BD6" w14:textId="77777777" w:rsidR="00CA220A" w:rsidRDefault="00CA220A" w:rsidP="00CA220A">
      <w:pPr>
        <w:pStyle w:val="affffb"/>
        <w:ind w:firstLine="420"/>
      </w:pPr>
      <w:r>
        <w:t>按照GB/T 20806规定执行。</w:t>
      </w:r>
    </w:p>
    <w:p w14:paraId="29718C27" w14:textId="09BDE20B" w:rsidR="00CA220A" w:rsidRDefault="00CA220A" w:rsidP="00CA220A">
      <w:pPr>
        <w:pStyle w:val="affd"/>
        <w:spacing w:before="120" w:after="120"/>
      </w:pPr>
      <w:r>
        <w:t>酸性洗涤纤维</w:t>
      </w:r>
    </w:p>
    <w:p w14:paraId="041A6DDE" w14:textId="77777777" w:rsidR="00CA220A" w:rsidRDefault="00CA220A" w:rsidP="00CA220A">
      <w:pPr>
        <w:pStyle w:val="affffb"/>
        <w:ind w:firstLine="420"/>
      </w:pPr>
      <w:r>
        <w:t>按照NY/T 1459规定执行。</w:t>
      </w:r>
    </w:p>
    <w:p w14:paraId="04F58BE2" w14:textId="22DE585A" w:rsidR="00CA220A" w:rsidRDefault="00CA220A" w:rsidP="00CA220A">
      <w:pPr>
        <w:pStyle w:val="affd"/>
        <w:spacing w:before="120" w:after="120"/>
      </w:pPr>
      <w:r>
        <w:t>粗灰分</w:t>
      </w:r>
    </w:p>
    <w:p w14:paraId="5B041359" w14:textId="77777777" w:rsidR="00CA220A" w:rsidRDefault="00CA220A" w:rsidP="00CA220A">
      <w:pPr>
        <w:pStyle w:val="affffb"/>
        <w:ind w:firstLine="420"/>
      </w:pPr>
      <w:r>
        <w:t>按照GB/T 6438规定执行。</w:t>
      </w:r>
    </w:p>
    <w:p w14:paraId="46672AA7" w14:textId="4090ED1D" w:rsidR="00CA220A" w:rsidRDefault="00CA220A" w:rsidP="00CA220A">
      <w:pPr>
        <w:pStyle w:val="affc"/>
        <w:spacing w:before="240" w:after="240"/>
      </w:pPr>
      <w:r>
        <w:t>质量评价</w:t>
      </w:r>
      <w:r>
        <w:rPr>
          <w:rFonts w:hint="eastAsia"/>
        </w:rPr>
        <w:t>规则</w:t>
      </w:r>
    </w:p>
    <w:p w14:paraId="7EDC2307" w14:textId="7238442B" w:rsidR="00CA220A" w:rsidRDefault="00CA220A" w:rsidP="00CA220A">
      <w:pPr>
        <w:pStyle w:val="affffffffe"/>
      </w:pPr>
      <w:r>
        <w:rPr>
          <w:rFonts w:hint="eastAsia"/>
        </w:rPr>
        <w:t>符合感官要求后，再进行质量分级，不符合感官要求的为不合格产品</w:t>
      </w:r>
      <w:r>
        <w:t xml:space="preserve">。 </w:t>
      </w:r>
    </w:p>
    <w:p w14:paraId="5E38C5FE" w14:textId="03FF7AA2" w:rsidR="00CA220A" w:rsidRDefault="00CA220A" w:rsidP="00CA220A">
      <w:pPr>
        <w:pStyle w:val="affffffffe"/>
      </w:pPr>
      <w:r>
        <w:t>饲用燕麦青贮的质量分级指标均同时符合某一等级时，则判定所代表的批次产品为该等级；当有任意一项指标低于该等级指标时，则按单项指标最低值所处范围等级定级。</w:t>
      </w:r>
    </w:p>
    <w:p w14:paraId="43108441" w14:textId="77777777" w:rsidR="00CA220A" w:rsidRDefault="00CA220A" w:rsidP="00CA220A">
      <w:pPr>
        <w:rPr>
          <w:rFonts w:ascii="Times New Roman" w:hAnsi="Times New Roman"/>
        </w:rPr>
      </w:pPr>
    </w:p>
    <w:p w14:paraId="7DCF7B7A" w14:textId="77777777" w:rsidR="002A1260" w:rsidRDefault="002A1260" w:rsidP="00E23880">
      <w:pPr>
        <w:pStyle w:val="affffb"/>
        <w:ind w:firstLineChars="0" w:firstLine="0"/>
      </w:pPr>
    </w:p>
    <w:p w14:paraId="540FEAFF" w14:textId="77777777" w:rsidR="007A5D3A" w:rsidRPr="00CA220A" w:rsidRDefault="007A5D3A" w:rsidP="00E23880">
      <w:pPr>
        <w:pStyle w:val="affffb"/>
        <w:ind w:firstLineChars="0" w:firstLine="0"/>
      </w:pPr>
    </w:p>
    <w:p w14:paraId="01B7170D" w14:textId="0E61CD36" w:rsidR="003E019F" w:rsidRDefault="00E23880" w:rsidP="00E23880">
      <w:pPr>
        <w:pStyle w:val="affffb"/>
        <w:ind w:firstLineChars="0" w:firstLine="0"/>
        <w:jc w:val="center"/>
      </w:pPr>
      <w:bookmarkStart w:id="43" w:name="BookMark8"/>
      <w:bookmarkEnd w:id="21"/>
      <w:r>
        <w:drawing>
          <wp:inline distT="0" distB="0" distL="0" distR="0" wp14:anchorId="590A412B" wp14:editId="46D09DD7">
            <wp:extent cx="1485900" cy="317500"/>
            <wp:effectExtent l="0" t="0" r="0" b="6350"/>
            <wp:docPr id="783634989" name="图片 1"/>
            <wp:cNvGraphicFramePr/>
            <a:graphic xmlns:a="http://schemas.openxmlformats.org/drawingml/2006/main">
              <a:graphicData uri="http://schemas.openxmlformats.org/drawingml/2006/picture">
                <pic:pic xmlns:pic="http://schemas.openxmlformats.org/drawingml/2006/picture">
                  <pic:nvPicPr>
                    <pic:cNvPr id="783634989"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rsidR="003E019F" w:rsidSect="00780E90">
      <w:headerReference w:type="even" r:id="rId21"/>
      <w:headerReference w:type="default" r:id="rId22"/>
      <w:footerReference w:type="even" r:id="rId23"/>
      <w:footerReference w:type="default" r:id="rId24"/>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0F9C" w14:textId="77777777" w:rsidR="00780E90" w:rsidRDefault="00780E90" w:rsidP="00D86DB7">
      <w:r>
        <w:separator/>
      </w:r>
    </w:p>
    <w:p w14:paraId="1C37B2FC" w14:textId="77777777" w:rsidR="00780E90" w:rsidRDefault="00780E90"/>
    <w:p w14:paraId="1FDA22D3" w14:textId="77777777" w:rsidR="00780E90" w:rsidRDefault="00780E90"/>
  </w:endnote>
  <w:endnote w:type="continuationSeparator" w:id="0">
    <w:p w14:paraId="7A8DD5F5" w14:textId="77777777" w:rsidR="00780E90" w:rsidRDefault="00780E90" w:rsidP="00D86DB7">
      <w:r>
        <w:continuationSeparator/>
      </w:r>
    </w:p>
    <w:p w14:paraId="2E561596" w14:textId="77777777" w:rsidR="00780E90" w:rsidRDefault="00780E90"/>
    <w:p w14:paraId="3786DF74" w14:textId="77777777" w:rsidR="00780E90" w:rsidRDefault="00780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F2BD"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A4F8"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020D"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6329" w14:textId="285C54B0" w:rsidR="00E23880" w:rsidRPr="00E23880" w:rsidRDefault="00E23880" w:rsidP="00E23880">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75B6" w14:textId="77777777" w:rsidR="000C57D6" w:rsidRDefault="000C57D6" w:rsidP="00E23880">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16C4" w14:textId="21D61E28" w:rsidR="00E23880" w:rsidRPr="00E23880" w:rsidRDefault="00E23880" w:rsidP="00E23880">
    <w:pPr>
      <w:pStyle w:val="affff7"/>
    </w:pPr>
    <w:r>
      <w:fldChar w:fldCharType="begin"/>
    </w:r>
    <w:r>
      <w:instrText xml:space="preserve"> PAGE   \* MERGEFORMAT \* MERGEFORMAT </w:instrText>
    </w:r>
    <w:r>
      <w:fldChar w:fldCharType="separate"/>
    </w:r>
    <w:r>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4EF5" w14:textId="77777777" w:rsidR="00E23880" w:rsidRDefault="00E23880" w:rsidP="00E23880">
    <w:pPr>
      <w:pStyle w:val="affff8"/>
    </w:pPr>
    <w:r>
      <w:fldChar w:fldCharType="begin"/>
    </w:r>
    <w:r>
      <w:instrText>PAGE   \* MERGEFORMAT</w:instrText>
    </w:r>
    <w:r>
      <w:fldChar w:fldCharType="separate"/>
    </w:r>
    <w:r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A527" w14:textId="77777777" w:rsidR="00780E90" w:rsidRDefault="00780E90" w:rsidP="00D86DB7">
      <w:r>
        <w:separator/>
      </w:r>
    </w:p>
  </w:footnote>
  <w:footnote w:type="continuationSeparator" w:id="0">
    <w:p w14:paraId="0A79A32B" w14:textId="77777777" w:rsidR="00780E90" w:rsidRDefault="00780E90" w:rsidP="00D86DB7">
      <w:r>
        <w:continuationSeparator/>
      </w:r>
    </w:p>
    <w:p w14:paraId="77755606" w14:textId="77777777" w:rsidR="00780E90" w:rsidRDefault="00780E90"/>
    <w:p w14:paraId="6B72273A" w14:textId="77777777" w:rsidR="00780E90" w:rsidRDefault="00780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512E"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C17D"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6F02"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D0AD" w14:textId="1A4DAA72" w:rsidR="00714F58" w:rsidRPr="00E23880" w:rsidRDefault="00E23880" w:rsidP="00E23880">
    <w:pPr>
      <w:pStyle w:val="afffff1"/>
    </w:pPr>
    <w:r>
      <w:fldChar w:fldCharType="begin"/>
    </w:r>
    <w:r>
      <w:instrText xml:space="preserve"> STYLEREF  标准文件_文件编号 \* MERGEFORMAT </w:instrText>
    </w:r>
    <w:r>
      <w:fldChar w:fldCharType="separate"/>
    </w:r>
    <w:r>
      <w:t>T/XXX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E3EA" w14:textId="7B9F7FF1" w:rsidR="00D84FA1" w:rsidRPr="00D84FA1" w:rsidRDefault="00D84FA1" w:rsidP="00E23880">
    <w:pPr>
      <w:pStyle w:val="afffff0"/>
    </w:pPr>
    <w:r>
      <w:fldChar w:fldCharType="begin"/>
    </w:r>
    <w:r>
      <w:instrText xml:space="preserve"> STYLEREF  标准文件_文件编号  \* MERGEFORMAT </w:instrText>
    </w:r>
    <w:r>
      <w:fldChar w:fldCharType="separate"/>
    </w:r>
    <w:r w:rsidR="00CA220A">
      <w:t>T/XXX XXXX</w:t>
    </w:r>
    <w:r w:rsidR="00CA220A">
      <w:t>—</w:t>
    </w:r>
    <w:r w:rsidR="00CA220A">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4428" w14:textId="2D0169B2" w:rsidR="00E23880" w:rsidRPr="00E23880" w:rsidRDefault="00E23880" w:rsidP="00E23880">
    <w:pPr>
      <w:pStyle w:val="afffff1"/>
    </w:pPr>
    <w:r>
      <w:fldChar w:fldCharType="begin"/>
    </w:r>
    <w:r>
      <w:instrText xml:space="preserve"> STYLEREF  标准文件_文件编号 \* MERGEFORMAT </w:instrText>
    </w:r>
    <w:r>
      <w:fldChar w:fldCharType="separate"/>
    </w:r>
    <w:r w:rsidR="00CA220A">
      <w:t>T/XXX XXXX</w:t>
    </w:r>
    <w:r w:rsidR="00CA220A">
      <w:t>—</w:t>
    </w:r>
    <w:r w:rsidR="00CA220A">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F311" w14:textId="5EEAB5CD" w:rsidR="00E23880" w:rsidRPr="00D84FA1" w:rsidRDefault="00E23880" w:rsidP="00E23880">
    <w:pPr>
      <w:pStyle w:val="afffff0"/>
    </w:pPr>
    <w:r>
      <w:fldChar w:fldCharType="begin"/>
    </w:r>
    <w:r>
      <w:instrText xml:space="preserve"> STYLEREF  标准文件_文件编号  \* MERGEFORMAT </w:instrText>
    </w:r>
    <w:r>
      <w:fldChar w:fldCharType="separate"/>
    </w:r>
    <w:r w:rsidR="00CA220A">
      <w:t>T/XXX XXXX</w:t>
    </w:r>
    <w:r w:rsidR="00CA220A">
      <w:t>—</w:t>
    </w:r>
    <w:r w:rsidR="00CA220A">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0"/>
  </w:num>
  <w:num w:numId="3" w16cid:durableId="406347540">
    <w:abstractNumId w:val="5"/>
  </w:num>
  <w:num w:numId="4" w16cid:durableId="1409037512">
    <w:abstractNumId w:val="18"/>
  </w:num>
  <w:num w:numId="5" w16cid:durableId="1501580504">
    <w:abstractNumId w:val="13"/>
  </w:num>
  <w:num w:numId="6" w16cid:durableId="1980988687">
    <w:abstractNumId w:val="23"/>
  </w:num>
  <w:num w:numId="7" w16cid:durableId="775833132">
    <w:abstractNumId w:val="8"/>
  </w:num>
  <w:num w:numId="8" w16cid:durableId="1393623595">
    <w:abstractNumId w:val="9"/>
  </w:num>
  <w:num w:numId="9" w16cid:durableId="184101539">
    <w:abstractNumId w:val="16"/>
  </w:num>
  <w:num w:numId="10" w16cid:durableId="619185681">
    <w:abstractNumId w:val="24"/>
  </w:num>
  <w:num w:numId="11" w16cid:durableId="816073531">
    <w:abstractNumId w:val="4"/>
  </w:num>
  <w:num w:numId="12" w16cid:durableId="805661558">
    <w:abstractNumId w:val="14"/>
  </w:num>
  <w:num w:numId="13" w16cid:durableId="1134441799">
    <w:abstractNumId w:val="25"/>
  </w:num>
  <w:num w:numId="14" w16cid:durableId="1117942593">
    <w:abstractNumId w:val="11"/>
  </w:num>
  <w:num w:numId="15" w16cid:durableId="348722363">
    <w:abstractNumId w:val="6"/>
  </w:num>
  <w:num w:numId="16" w16cid:durableId="853884508">
    <w:abstractNumId w:val="10"/>
  </w:num>
  <w:num w:numId="17" w16cid:durableId="426077393">
    <w:abstractNumId w:val="22"/>
  </w:num>
  <w:num w:numId="18" w16cid:durableId="124086979">
    <w:abstractNumId w:val="3"/>
  </w:num>
  <w:num w:numId="19" w16cid:durableId="1628313256">
    <w:abstractNumId w:val="7"/>
  </w:num>
  <w:num w:numId="20" w16cid:durableId="1260021433">
    <w:abstractNumId w:val="19"/>
  </w:num>
  <w:num w:numId="21" w16cid:durableId="178786810">
    <w:abstractNumId w:val="21"/>
  </w:num>
  <w:num w:numId="22" w16cid:durableId="1346907198">
    <w:abstractNumId w:val="17"/>
  </w:num>
  <w:num w:numId="23" w16cid:durableId="1187720834">
    <w:abstractNumId w:val="29"/>
  </w:num>
  <w:num w:numId="24" w16cid:durableId="2633611">
    <w:abstractNumId w:val="15"/>
  </w:num>
  <w:num w:numId="25" w16cid:durableId="925959876">
    <w:abstractNumId w:val="28"/>
  </w:num>
  <w:num w:numId="26" w16cid:durableId="217012805">
    <w:abstractNumId w:val="2"/>
  </w:num>
  <w:num w:numId="27" w16cid:durableId="983777804">
    <w:abstractNumId w:val="12"/>
  </w:num>
  <w:num w:numId="28" w16cid:durableId="1156846770">
    <w:abstractNumId w:val="30"/>
  </w:num>
  <w:num w:numId="29" w16cid:durableId="182406895">
    <w:abstractNumId w:val="27"/>
  </w:num>
  <w:num w:numId="30" w16cid:durableId="1463957243">
    <w:abstractNumId w:val="26"/>
  </w:num>
  <w:num w:numId="31" w16cid:durableId="1117796700">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attachedTemplate r:id="rId1"/>
  <w:stylePaneSortMethod w:val="0000"/>
  <w:documentProtection w:edit="forms" w:enforcement="1" w:cryptProviderType="rsaAES" w:cryptAlgorithmClass="hash" w:cryptAlgorithmType="typeAny" w:cryptAlgorithmSid="14" w:cryptSpinCount="100000" w:hash="MnodFgTRZfah8qo8TKoNubxs9Zw3R07cdhDnUQY089YTxuNkjk6LZMHHYPqxRn+hZPsb0ak6z9VKE9L3Q/M8hw==" w:salt="3KH3dsU5VAGsvlSNaus3z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8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07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E90"/>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20A"/>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880"/>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DC5D2"/>
  <w15:docId w15:val="{BD0516EF-A3D2-461A-94B4-26160A27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basedOn w:val="afff5"/>
    <w:qFormat/>
    <w:rsid w:val="00E23880"/>
    <w:pPr>
      <w:widowControl/>
      <w:autoSpaceDE w:val="0"/>
      <w:autoSpaceDN w:val="0"/>
      <w:adjustRightInd/>
      <w:spacing w:line="240" w:lineRule="auto"/>
      <w:ind w:firstLineChars="200" w:firstLine="200"/>
    </w:pPr>
    <w:rPr>
      <w:rFonts w:ascii="宋体" w:hAnsi="宋体" w:cs="宋体"/>
      <w:kern w:val="0"/>
    </w:rPr>
  </w:style>
  <w:style w:type="paragraph" w:customStyle="1" w:styleId="afffffffffffc">
    <w:name w:val="章标题"/>
    <w:basedOn w:val="afff5"/>
    <w:next w:val="afffffffffffb"/>
    <w:qFormat/>
    <w:rsid w:val="00E23880"/>
    <w:pPr>
      <w:widowControl/>
      <w:adjustRightInd/>
      <w:spacing w:beforeLines="50" w:afterLines="50" w:line="240" w:lineRule="auto"/>
      <w:outlineLvl w:val="1"/>
    </w:pPr>
    <w:rPr>
      <w:rFonts w:ascii="黑体" w:eastAsia="黑体" w:hAnsi="黑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4320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D9AA25F3C2400593EAAC5913CAC849"/>
        <w:category>
          <w:name w:val="常规"/>
          <w:gallery w:val="placeholder"/>
        </w:category>
        <w:types>
          <w:type w:val="bbPlcHdr"/>
        </w:types>
        <w:behaviors>
          <w:behavior w:val="content"/>
        </w:behaviors>
        <w:guid w:val="{674335E7-3326-4264-9480-7F2CBEA92E01}"/>
      </w:docPartPr>
      <w:docPartBody>
        <w:p w:rsidR="004165F4" w:rsidRDefault="00000000">
          <w:pPr>
            <w:pStyle w:val="00D9AA25F3C2400593EAAC5913CAC849"/>
          </w:pPr>
          <w:r w:rsidRPr="00751A05">
            <w:rPr>
              <w:rStyle w:val="a3"/>
              <w:rFonts w:hint="eastAsia"/>
            </w:rPr>
            <w:t>单击或点击此处输入文字。</w:t>
          </w:r>
        </w:p>
      </w:docPartBody>
    </w:docPart>
    <w:docPart>
      <w:docPartPr>
        <w:name w:val="0728B0DEFA064A73B3054FF9FCAAA943"/>
        <w:category>
          <w:name w:val="常规"/>
          <w:gallery w:val="placeholder"/>
        </w:category>
        <w:types>
          <w:type w:val="bbPlcHdr"/>
        </w:types>
        <w:behaviors>
          <w:behavior w:val="content"/>
        </w:behaviors>
        <w:guid w:val="{7C3F7363-0036-4FA9-BEF7-0845680FBB7A}"/>
      </w:docPartPr>
      <w:docPartBody>
        <w:p w:rsidR="004165F4" w:rsidRDefault="00000000">
          <w:pPr>
            <w:pStyle w:val="0728B0DEFA064A73B3054FF9FCAAA943"/>
          </w:pPr>
          <w:r w:rsidRPr="00FB6243">
            <w:rPr>
              <w:rStyle w:val="a3"/>
              <w:rFonts w:hint="eastAsia"/>
            </w:rPr>
            <w:t>选择一项。</w:t>
          </w:r>
        </w:p>
      </w:docPartBody>
    </w:docPart>
    <w:docPart>
      <w:docPartPr>
        <w:name w:val="589FB755EAD649569EE51AC257764E2D"/>
        <w:category>
          <w:name w:val="常规"/>
          <w:gallery w:val="placeholder"/>
        </w:category>
        <w:types>
          <w:type w:val="bbPlcHdr"/>
        </w:types>
        <w:behaviors>
          <w:behavior w:val="content"/>
        </w:behaviors>
        <w:guid w:val="{F1A8AC46-6509-468B-8F8A-BC50596D2FC7}"/>
      </w:docPartPr>
      <w:docPartBody>
        <w:p w:rsidR="004165F4" w:rsidRDefault="00000000">
          <w:pPr>
            <w:pStyle w:val="589FB755EAD649569EE51AC257764E2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6B"/>
    <w:rsid w:val="0004497D"/>
    <w:rsid w:val="004165F4"/>
    <w:rsid w:val="00AC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0D9AA25F3C2400593EAAC5913CAC849">
    <w:name w:val="00D9AA25F3C2400593EAAC5913CAC849"/>
    <w:pPr>
      <w:widowControl w:val="0"/>
    </w:pPr>
  </w:style>
  <w:style w:type="paragraph" w:customStyle="1" w:styleId="0728B0DEFA064A73B3054FF9FCAAA943">
    <w:name w:val="0728B0DEFA064A73B3054FF9FCAAA943"/>
    <w:pPr>
      <w:widowControl w:val="0"/>
    </w:pPr>
  </w:style>
  <w:style w:type="paragraph" w:customStyle="1" w:styleId="589FB755EAD649569EE51AC257764E2D">
    <w:name w:val="589FB755EAD649569EE51AC257764E2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16</TotalTime>
  <Pages>7</Pages>
  <Words>980</Words>
  <Characters>1225</Characters>
  <Application>Microsoft Office Word</Application>
  <DocSecurity>0</DocSecurity>
  <Lines>204</Lines>
  <Paragraphs>183</Paragraphs>
  <ScaleCrop>false</ScaleCrop>
  <Company>PCMI</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ying zhou</dc:creator>
  <cp:keywords/>
  <dc:description>&lt;config cover="true" show_menu="true" version="1.0.0" doctype="SDKXY"&gt;_x000d_
&lt;/config&gt;</dc:description>
  <cp:lastModifiedBy>ying zhou</cp:lastModifiedBy>
  <cp:revision>2</cp:revision>
  <cp:lastPrinted>2021-02-02T08:22:00Z</cp:lastPrinted>
  <dcterms:created xsi:type="dcterms:W3CDTF">2024-02-21T08:47:00Z</dcterms:created>
  <dcterms:modified xsi:type="dcterms:W3CDTF">2024-02-21T09:13:00Z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