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13.100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1021" w:hRule="exact"/>
              </w:trPr>
              <w:tc>
                <w:tcPr>
                  <w:tcW w:w="9242" w:type="dxa"/>
                  <w:vAlign w:val="center"/>
                </w:tcPr>
                <w:p>
                  <w:pPr>
                    <w:pStyle w:val="50"/>
                    <w:framePr w:wrap="notBeside" w:vAnchor="page" w:hAnchor="page" w:x="1372" w:y="568"/>
                    <w:ind w:left="420" w:right="624"/>
                    <w:rPr>
                      <w:rFonts w:ascii="宋体" w:hAnsi="宋体"/>
                      <w:sz w:val="28"/>
                      <w:szCs w:val="28"/>
                    </w:rPr>
                  </w:pPr>
                  <w: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GBC</w:t>
                  </w:r>
                  <w:r>
                    <w:fldChar w:fldCharType="end"/>
                  </w:r>
                  <w:bookmarkEnd w:id="1"/>
                </w:p>
              </w:tc>
            </w:tr>
          </w:tbl>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2"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G 09</w:t>
            </w:r>
            <w:r>
              <w:rPr>
                <w:rFonts w:ascii="黑体" w:hAnsi="黑体" w:eastAsia="黑体"/>
                <w:sz w:val="21"/>
                <w:szCs w:val="21"/>
              </w:rPr>
              <w:fldChar w:fldCharType="end"/>
            </w:r>
            <w:bookmarkEnd w:id="2"/>
          </w:p>
        </w:tc>
      </w:tr>
    </w:tbl>
    <w:p>
      <w:pPr>
        <w:pStyle w:val="51"/>
        <w:framePr w:w="9639" w:h="624" w:hRule="exact" w:hSpace="181" w:vSpace="181" w:wrap="around" w:hAnchor="page" w:x="1305" w:y="2269"/>
        <w:rPr>
          <w:rFonts w:ascii="黑体" w:hAnsi="黑体" w:eastAsia="黑体"/>
          <w:b w:val="0"/>
          <w:bCs w:val="0"/>
          <w:w w:val="100"/>
          <w:sz w:val="48"/>
          <w:szCs w:val="48"/>
        </w:rPr>
      </w:pPr>
      <w:bookmarkStart w:id="3" w:name="_Hlk26473981"/>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广西物品编码与标准化促进会</w:t>
      </w:r>
      <w:r>
        <w:rPr>
          <w:rFonts w:ascii="黑体" w:eastAsia="黑体"/>
          <w:b w:val="0"/>
          <w:w w:val="100"/>
          <w:sz w:val="48"/>
        </w:rPr>
        <w:fldChar w:fldCharType="end"/>
      </w:r>
      <w:bookmarkEnd w:id="4"/>
      <w:r>
        <w:rPr>
          <w:rFonts w:hint="eastAsia" w:ascii="黑体" w:eastAsia="黑体"/>
          <w:b w:val="0"/>
          <w:w w:val="100"/>
          <w:sz w:val="48"/>
        </w:rPr>
        <w:t>团体</w:t>
      </w:r>
      <w:r>
        <w:rPr>
          <w:rFonts w:hint="eastAsia" w:ascii="黑体" w:hAnsi="黑体" w:eastAsia="黑体"/>
          <w:b w:val="0"/>
          <w:bCs w:val="0"/>
          <w:w w:val="100"/>
          <w:sz w:val="48"/>
          <w:szCs w:val="48"/>
        </w:rPr>
        <w:t>标准</w:t>
      </w:r>
    </w:p>
    <w:bookmarkEnd w:id="3"/>
    <w:p>
      <w:pPr>
        <w:pStyle w:val="196"/>
        <w:framePr/>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GBC</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rPr>
          <w:rFonts w:hint="eastAsia"/>
        </w:rP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rPr>
          <w:rFonts w:hint="eastAsia"/>
        </w:rPr>
        <w:t>2024</w:t>
      </w:r>
      <w:r>
        <w:fldChar w:fldCharType="end"/>
      </w:r>
      <w:bookmarkEnd w:id="7"/>
    </w:p>
    <w:p>
      <w:pPr>
        <w:pStyle w:val="197"/>
        <w:framePr/>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pPr>
        <w:pStyle w:val="51"/>
        <w:framePr w:w="9639" w:h="6976" w:hRule="exact" w:hSpace="0" w:vSpace="0" w:wrap="around" w:hAnchor="page" w:y="6408"/>
        <w:jc w:val="center"/>
        <w:rPr>
          <w:rFonts w:ascii="黑体" w:hAnsi="黑体" w:eastAsia="黑体"/>
          <w:b w:val="0"/>
          <w:bCs w:val="0"/>
          <w:w w:val="100"/>
        </w:rPr>
      </w:pPr>
    </w:p>
    <w:p>
      <w:pPr>
        <w:pStyle w:val="198"/>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检验检测机构危险化学品安全管理要求</w:t>
      </w:r>
      <w:r>
        <w:fldChar w:fldCharType="end"/>
      </w:r>
      <w:bookmarkEnd w:id="9"/>
    </w:p>
    <w:p>
      <w:pPr>
        <w:framePr w:w="9639" w:h="6974" w:hRule="exact" w:wrap="around" w:vAnchor="page" w:hAnchor="page" w:x="1419" w:y="6408" w:anchorLock="1"/>
        <w:ind w:left="-1418"/>
        <w:rPr>
          <w:rFonts w:ascii="黑体" w:hAnsi="黑体" w:eastAsia="黑体"/>
        </w:rPr>
      </w:pPr>
    </w:p>
    <w:p>
      <w:pPr>
        <w:pStyle w:val="126"/>
        <w:framePr w:w="9639" w:h="6974" w:hRule="exact" w:wrap="around" w:vAnchor="page" w:hAnchor="page" w:x="1419" w:y="6408" w:anchorLock="1"/>
        <w:textAlignment w:val="bottom"/>
        <w:rPr>
          <w:rFonts w:eastAsia="黑体"/>
          <w:szCs w:val="28"/>
        </w:rPr>
      </w:pPr>
      <w:r>
        <w:rPr>
          <w:rFonts w:hint="eastAsia" w:eastAsia="黑体"/>
          <w:szCs w:val="28"/>
        </w:rPr>
        <w:t xml:space="preserve">Requirements for hazardous chemicals safety management of </w:t>
      </w:r>
      <w:r>
        <w:rPr>
          <w:rFonts w:hint="eastAsia" w:eastAsia="黑体"/>
          <w:szCs w:val="28"/>
          <w:lang w:val="en-US" w:eastAsia="zh-CN"/>
        </w:rPr>
        <w:t xml:space="preserve"> </w:t>
      </w:r>
      <w:r>
        <w:rPr>
          <w:rFonts w:hint="eastAsia" w:eastAsia="黑体"/>
          <w:szCs w:val="28"/>
        </w:rPr>
        <w:t>inspection and testing institutions</w:t>
      </w:r>
    </w:p>
    <w:p>
      <w:pPr>
        <w:framePr w:w="9639" w:h="6974" w:hRule="exact" w:wrap="around" w:vAnchor="page" w:hAnchor="page" w:x="1419" w:y="6408" w:anchorLock="1"/>
        <w:spacing w:line="760" w:lineRule="exact"/>
        <w:ind w:left="-1418"/>
      </w:pPr>
    </w:p>
    <w:p>
      <w:pPr>
        <w:pStyle w:val="126"/>
        <w:framePr w:w="9639" w:h="6974" w:hRule="exact" w:wrap="around" w:vAnchor="page" w:hAnchor="page" w:x="1419" w:y="6408" w:anchorLock="1"/>
        <w:textAlignment w:val="bottom"/>
        <w:rPr>
          <w:rFonts w:eastAsia="黑体"/>
          <w:szCs w:val="28"/>
        </w:rPr>
      </w:pPr>
    </w:p>
    <w:p>
      <w:pPr>
        <w:pStyle w:val="126"/>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fldChar w:fldCharType="separate"/>
      </w:r>
      <w:r>
        <w:rPr>
          <w:sz w:val="24"/>
          <w:szCs w:val="28"/>
        </w:rPr>
        <w:fldChar w:fldCharType="end"/>
      </w:r>
      <w:bookmarkEnd w:id="10"/>
    </w:p>
    <w:p>
      <w:pPr>
        <w:pStyle w:val="126"/>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1"/>
    </w:p>
    <w:p>
      <w:pPr>
        <w:pStyle w:val="126"/>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fldChar w:fldCharType="separate"/>
      </w:r>
      <w:r>
        <w:rPr>
          <w:b/>
          <w:sz w:val="21"/>
          <w:szCs w:val="28"/>
        </w:rPr>
        <w:fldChar w:fldCharType="end"/>
      </w:r>
      <w:bookmarkEnd w:id="12"/>
    </w:p>
    <w:p>
      <w:pPr>
        <w:pStyle w:val="194"/>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5"/>
      <w:r>
        <w:rPr>
          <w:rFonts w:hint="eastAsia"/>
        </w:rPr>
        <w:t>发布</w:t>
      </w:r>
    </w:p>
    <w:p>
      <w:pPr>
        <w:pStyle w:val="195"/>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fldChar w:fldCharType="separate"/>
      </w:r>
      <w:r>
        <w:rPr>
          <w:rFonts w:ascii="黑体"/>
        </w:rPr>
        <w:t>202</w:t>
      </w:r>
      <w:r>
        <w:rPr>
          <w:rFonts w:hint="eastAsia" w:ascii="黑体"/>
        </w:rPr>
        <w:t>4</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fldChar w:fldCharType="separate"/>
      </w:r>
      <w:r>
        <w:rPr>
          <w:rFonts w:hint="eastAsia" w:ascii="黑体"/>
        </w:rPr>
        <w:t>XX</w:t>
      </w:r>
      <w:r>
        <w:rPr>
          <w:rFonts w:ascii="黑体"/>
        </w:rPr>
        <w:fldChar w:fldCharType="end"/>
      </w:r>
      <w:bookmarkEnd w:id="18"/>
      <w:r>
        <w:rPr>
          <w:rFonts w:hint="eastAsia"/>
        </w:rPr>
        <w:t>实施</w:t>
      </w:r>
    </w:p>
    <w:p>
      <w:pPr>
        <w:pStyle w:val="152"/>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fldChar w:fldCharType="separate"/>
      </w:r>
      <w:r>
        <w:rPr>
          <w:rFonts w:hint="eastAsia" w:hAnsi="黑体"/>
          <w:w w:val="100"/>
          <w:sz w:val="28"/>
        </w:rPr>
        <w:t>广西物品编码与标准化促进会</w:t>
      </w:r>
      <w:r>
        <w:rPr>
          <w:rFonts w:hAnsi="黑体"/>
          <w:w w:val="100"/>
          <w:sz w:val="28"/>
        </w:rPr>
        <w:fldChar w:fldCharType="end"/>
      </w:r>
      <w:bookmarkEnd w:id="19"/>
      <w:r>
        <w:rPr>
          <w:rFonts w:ascii="Times New Roman"/>
          <w:w w:val="100"/>
          <w:sz w:val="28"/>
        </w:rPr>
        <w:t>  </w:t>
      </w:r>
      <w:r>
        <w:rPr>
          <w:rStyle w:val="230"/>
          <w:rFonts w:hint="eastAsia" w:hAnsi="黑体"/>
          <w:position w:val="0"/>
        </w:rPr>
        <w:t>发</w:t>
      </w:r>
      <w:r>
        <w:rPr>
          <w:rStyle w:val="230"/>
          <w:rFonts w:hint="eastAsia" w:hAnsi="黑体"/>
          <w:spacing w:val="0"/>
          <w:position w:val="0"/>
        </w:rPr>
        <w:t>布</w:t>
      </w:r>
    </w:p>
    <w:p>
      <w:pPr>
        <w:rPr>
          <w:rFonts w:ascii="宋体" w:hAnsi="宋体"/>
          <w:sz w:val="28"/>
          <w:szCs w:val="28"/>
        </w:rPr>
        <w:sectPr>
          <w:headerReference r:id="rId7" w:type="first"/>
          <w:footerReference r:id="rId10" w:type="first"/>
          <w:headerReference r:id="rId5" w:type="default"/>
          <w:footerReference r:id="rId8" w:type="default"/>
          <w:headerReference r:id="rId6" w:type="even"/>
          <w:footerReference r:id="rId9" w:type="even"/>
          <w:type w:val="continuous"/>
          <w:pgSz w:w="11906" w:h="16838"/>
          <w:pgMar w:top="567" w:right="1134" w:bottom="1134" w:left="1134" w:header="1418" w:footer="1134"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pPr>
        <w:pStyle w:val="90"/>
        <w:spacing w:after="360"/>
      </w:pPr>
      <w:bookmarkStart w:id="20" w:name="_Toc140586540"/>
      <w:bookmarkStart w:id="21" w:name="_Toc29835"/>
      <w:bookmarkStart w:id="22" w:name="_Toc144387992"/>
      <w:bookmarkStart w:id="23" w:name="_Toc144820003"/>
      <w:bookmarkStart w:id="24" w:name="_Toc140591452"/>
      <w:bookmarkStart w:id="25" w:name="BookMark2"/>
      <w:r>
        <w:rPr>
          <w:spacing w:val="320"/>
        </w:rPr>
        <w:t>前</w:t>
      </w:r>
      <w:r>
        <w:t>言</w:t>
      </w:r>
      <w:bookmarkEnd w:id="20"/>
      <w:bookmarkEnd w:id="21"/>
      <w:bookmarkEnd w:id="22"/>
      <w:bookmarkEnd w:id="23"/>
      <w:bookmarkEnd w:id="24"/>
    </w:p>
    <w:p>
      <w:pPr>
        <w:pStyle w:val="57"/>
        <w:ind w:firstLine="420"/>
      </w:pPr>
      <w:r>
        <w:rPr>
          <w:rFonts w:hint="eastAsia"/>
        </w:rPr>
        <w:t>本文件按照GB/T 1.1—2020《标准化工作导则  第1部分：标准化文件的结构和起草规则》的规定起草。</w:t>
      </w:r>
    </w:p>
    <w:p>
      <w:pPr>
        <w:pStyle w:val="57"/>
        <w:ind w:firstLine="420"/>
      </w:pPr>
      <w:r>
        <w:rPr>
          <w:rFonts w:hint="eastAsia"/>
        </w:rPr>
        <w:t>请注意本文件的某些内容可能涉及专利。本文件的发布机构不承担识别专利的责任。</w:t>
      </w:r>
    </w:p>
    <w:p>
      <w:pPr>
        <w:pStyle w:val="57"/>
        <w:ind w:firstLine="420"/>
      </w:pPr>
      <w:r>
        <w:rPr>
          <w:rFonts w:hint="eastAsia"/>
        </w:rPr>
        <w:t>本文件由广西壮族自治区产品质量检验研究院提出、归口并宣贯。</w:t>
      </w:r>
    </w:p>
    <w:p>
      <w:pPr>
        <w:pStyle w:val="57"/>
        <w:ind w:firstLine="420"/>
      </w:pPr>
      <w:r>
        <w:rPr>
          <w:rFonts w:hint="eastAsia"/>
        </w:rPr>
        <w:t>本文件起草单位：广西壮族自治区产品质量检验研究院、广西益谱检测技术有限公司、广西南宁信雄科技服务有限公司。</w:t>
      </w:r>
    </w:p>
    <w:p>
      <w:pPr>
        <w:pStyle w:val="57"/>
        <w:ind w:firstLine="420"/>
      </w:pPr>
      <w:r>
        <w:rPr>
          <w:rFonts w:hint="eastAsia"/>
        </w:rPr>
        <w:t>本文件主要起草人：</w:t>
      </w:r>
    </w:p>
    <w:p>
      <w:pPr>
        <w:pStyle w:val="57"/>
        <w:ind w:firstLine="420"/>
      </w:pPr>
    </w:p>
    <w:p>
      <w:pPr>
        <w:pStyle w:val="57"/>
        <w:ind w:firstLine="420"/>
        <w:sectPr>
          <w:headerReference r:id="rId11" w:type="default"/>
          <w:footerReference r:id="rId13" w:type="default"/>
          <w:headerReference r:id="rId12" w:type="even"/>
          <w:footerReference r:id="rId14" w:type="even"/>
          <w:pgSz w:w="11906" w:h="16838"/>
          <w:pgMar w:top="1928" w:right="1134" w:bottom="1134" w:left="1134" w:header="1418" w:footer="1134" w:gutter="284"/>
          <w:pgNumType w:fmt="upperRoman"/>
          <w:cols w:space="425" w:num="1"/>
          <w:formProt w:val="0"/>
          <w:docGrid w:linePitch="312" w:charSpace="0"/>
        </w:sectPr>
      </w:pPr>
    </w:p>
    <w:bookmarkEnd w:id="25"/>
    <w:p>
      <w:pPr>
        <w:spacing w:line="20" w:lineRule="exact"/>
        <w:jc w:val="center"/>
        <w:rPr>
          <w:rFonts w:ascii="黑体" w:hAnsi="黑体" w:eastAsia="黑体"/>
          <w:sz w:val="32"/>
          <w:szCs w:val="32"/>
        </w:rPr>
      </w:pPr>
      <w:bookmarkStart w:id="26" w:name="BookMark4"/>
    </w:p>
    <w:p>
      <w:pPr>
        <w:spacing w:line="20" w:lineRule="exact"/>
        <w:jc w:val="center"/>
        <w:rPr>
          <w:rFonts w:ascii="黑体" w:hAnsi="黑体" w:eastAsia="黑体"/>
          <w:sz w:val="32"/>
          <w:szCs w:val="32"/>
        </w:rPr>
      </w:pPr>
    </w:p>
    <w:sdt>
      <w:sdtPr>
        <w:tag w:val="NEW_STAND_NAME"/>
        <w:id w:val="595910757"/>
        <w:lock w:val="sdtLocked"/>
        <w:placeholder>
          <w:docPart w:val="C589A4EAF81941C5B0FE240F6576C4A4"/>
        </w:placeholder>
      </w:sdtPr>
      <w:sdtEndPr>
        <w:rPr>
          <w:rFonts w:hint="eastAsia"/>
        </w:rPr>
      </w:sdtEndPr>
      <w:sdtContent>
        <w:p>
          <w:pPr>
            <w:pStyle w:val="178"/>
            <w:spacing w:before="2" w:beforeLines="1" w:after="528" w:afterLines="220"/>
          </w:pPr>
          <w:bookmarkStart w:id="27" w:name="NEW_STAND_NAME"/>
          <w:r>
            <w:rPr>
              <w:rFonts w:hint="eastAsia"/>
            </w:rPr>
            <w:t>检验检测机构危险化学品安全管理要求</w:t>
          </w:r>
        </w:p>
      </w:sdtContent>
    </w:sdt>
    <w:bookmarkEnd w:id="27"/>
    <w:p>
      <w:pPr>
        <w:pStyle w:val="105"/>
        <w:spacing w:before="240" w:after="240"/>
      </w:pPr>
      <w:bookmarkStart w:id="28" w:name="_Toc144387993"/>
      <w:bookmarkStart w:id="29" w:name="_Toc24884211"/>
      <w:bookmarkStart w:id="30" w:name="_Toc144820004"/>
      <w:bookmarkStart w:id="31" w:name="_Toc26718930"/>
      <w:bookmarkStart w:id="32" w:name="_Toc26986771"/>
      <w:bookmarkStart w:id="33" w:name="_Toc17233333"/>
      <w:bookmarkStart w:id="34" w:name="_Toc17233325"/>
      <w:bookmarkStart w:id="35" w:name="_Toc97192964"/>
      <w:bookmarkStart w:id="36" w:name="_Toc140591453"/>
      <w:bookmarkStart w:id="37" w:name="_Toc26986530"/>
      <w:bookmarkStart w:id="38" w:name="_Toc140586541"/>
      <w:bookmarkStart w:id="39" w:name="_Toc26541"/>
      <w:bookmarkStart w:id="40" w:name="_Toc24884218"/>
      <w:bookmarkStart w:id="41" w:name="_Toc26648465"/>
      <w:r>
        <w:rPr>
          <w:rFonts w:hint="eastAsia"/>
        </w:rPr>
        <w:t>范围</w:t>
      </w:r>
      <w:bookmarkEnd w:id="28"/>
      <w:bookmarkEnd w:id="29"/>
      <w:bookmarkEnd w:id="30"/>
      <w:bookmarkEnd w:id="31"/>
      <w:bookmarkEnd w:id="32"/>
      <w:bookmarkEnd w:id="33"/>
      <w:bookmarkEnd w:id="34"/>
      <w:bookmarkEnd w:id="35"/>
      <w:bookmarkEnd w:id="36"/>
      <w:bookmarkEnd w:id="37"/>
      <w:bookmarkEnd w:id="38"/>
      <w:bookmarkEnd w:id="39"/>
      <w:bookmarkEnd w:id="40"/>
      <w:bookmarkEnd w:id="41"/>
    </w:p>
    <w:p>
      <w:pPr>
        <w:pStyle w:val="57"/>
        <w:ind w:firstLine="420"/>
      </w:pPr>
      <w:bookmarkStart w:id="42" w:name="_Toc17233326"/>
      <w:bookmarkStart w:id="43" w:name="_Toc17233334"/>
      <w:bookmarkStart w:id="44" w:name="_Toc24884219"/>
      <w:bookmarkStart w:id="45" w:name="_Toc26648466"/>
      <w:bookmarkStart w:id="46" w:name="_Toc24884212"/>
      <w:r>
        <w:rPr>
          <w:rFonts w:hint="eastAsia"/>
        </w:rPr>
        <w:t>本文件界定了检验检测机构危险化学品安全管理的术语和定义，规定了危险化学品安全管理的人员要求、管理制度、设施设备、使用管理、废弃化学品的处置、应急要求的内容。</w:t>
      </w:r>
    </w:p>
    <w:p>
      <w:pPr>
        <w:pStyle w:val="57"/>
        <w:ind w:firstLine="420"/>
      </w:pPr>
      <w:r>
        <w:rPr>
          <w:rFonts w:hint="eastAsia"/>
        </w:rPr>
        <w:t>本文件适用于检验检测机构的危险化学品安全管理。</w:t>
      </w:r>
    </w:p>
    <w:p>
      <w:pPr>
        <w:pStyle w:val="105"/>
        <w:spacing w:before="240" w:after="240"/>
      </w:pPr>
      <w:bookmarkStart w:id="47" w:name="_Toc144387994"/>
      <w:bookmarkStart w:id="48" w:name="_Toc26986772"/>
      <w:bookmarkStart w:id="49" w:name="_Toc144820005"/>
      <w:bookmarkStart w:id="50" w:name="_Toc26986531"/>
      <w:bookmarkStart w:id="51" w:name="_Toc140586542"/>
      <w:bookmarkStart w:id="52" w:name="_Toc1700"/>
      <w:bookmarkStart w:id="53" w:name="_Toc26718931"/>
      <w:bookmarkStart w:id="54" w:name="_Toc140591454"/>
      <w:bookmarkStart w:id="55" w:name="_Toc97192965"/>
      <w:r>
        <w:rPr>
          <w:rFonts w:hint="eastAsia"/>
        </w:rPr>
        <w:t>规范性引用文件</w:t>
      </w:r>
      <w:bookmarkEnd w:id="42"/>
      <w:bookmarkEnd w:id="43"/>
      <w:bookmarkEnd w:id="44"/>
      <w:bookmarkEnd w:id="45"/>
      <w:bookmarkEnd w:id="46"/>
      <w:bookmarkEnd w:id="47"/>
      <w:bookmarkEnd w:id="48"/>
      <w:bookmarkEnd w:id="49"/>
      <w:bookmarkEnd w:id="50"/>
      <w:bookmarkEnd w:id="51"/>
      <w:bookmarkEnd w:id="52"/>
      <w:bookmarkEnd w:id="53"/>
      <w:bookmarkEnd w:id="54"/>
      <w:bookmarkEnd w:id="55"/>
    </w:p>
    <w:p>
      <w:pPr>
        <w:pStyle w:val="57"/>
        <w:ind w:firstLine="420"/>
      </w:pPr>
      <w:bookmarkStart w:id="56" w:name="_Hlk58435836"/>
      <w:bookmarkStart w:id="57" w:name="_Toc140586543"/>
      <w:bookmarkStart w:id="58" w:name="_Toc97192966"/>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7"/>
        <w:ind w:firstLine="420"/>
      </w:pPr>
      <w:r>
        <w:rPr>
          <w:rFonts w:hint="eastAsia"/>
        </w:rPr>
        <w:t>GB 2894　安全标志及其使用导则</w:t>
      </w:r>
    </w:p>
    <w:p>
      <w:pPr>
        <w:pStyle w:val="57"/>
        <w:ind w:firstLine="420"/>
      </w:pPr>
      <w:r>
        <w:rPr>
          <w:rFonts w:hint="eastAsia"/>
        </w:rPr>
        <w:t>GB/T 7144　气瓶颜色标志</w:t>
      </w:r>
    </w:p>
    <w:p>
      <w:pPr>
        <w:pStyle w:val="57"/>
        <w:ind w:firstLine="420"/>
      </w:pPr>
      <w:r>
        <w:rPr>
          <w:rFonts w:hint="eastAsia"/>
        </w:rPr>
        <w:t>GB 13495.1　消防安全标志　第1部分：标志</w:t>
      </w:r>
    </w:p>
    <w:p>
      <w:pPr>
        <w:pStyle w:val="57"/>
        <w:ind w:firstLine="420"/>
      </w:pPr>
      <w:r>
        <w:rPr>
          <w:rFonts w:hint="eastAsia"/>
        </w:rPr>
        <w:t>GB 13690　化学品分类和危险性公示通则</w:t>
      </w:r>
    </w:p>
    <w:p>
      <w:pPr>
        <w:pStyle w:val="57"/>
        <w:ind w:firstLine="420"/>
      </w:pPr>
      <w:r>
        <w:rPr>
          <w:rFonts w:hint="eastAsia"/>
        </w:rPr>
        <w:t>GB 15258　化学品安全标签编写规定</w:t>
      </w:r>
    </w:p>
    <w:p>
      <w:pPr>
        <w:pStyle w:val="57"/>
        <w:ind w:firstLine="420"/>
      </w:pPr>
      <w:r>
        <w:rPr>
          <w:rFonts w:hint="eastAsia"/>
        </w:rPr>
        <w:t>GB 15603　常用化学危险品贮存通则</w:t>
      </w:r>
    </w:p>
    <w:p>
      <w:pPr>
        <w:pStyle w:val="57"/>
        <w:ind w:firstLine="420"/>
      </w:pPr>
      <w:r>
        <w:rPr>
          <w:rFonts w:hint="eastAsia"/>
        </w:rPr>
        <w:t>GB 15630　消防安全标志设置要求</w:t>
      </w:r>
    </w:p>
    <w:p>
      <w:pPr>
        <w:pStyle w:val="57"/>
        <w:ind w:firstLine="420"/>
      </w:pPr>
      <w:r>
        <w:rPr>
          <w:rFonts w:hint="eastAsia"/>
        </w:rPr>
        <w:t>GB 16163　瓶装气体分类</w:t>
      </w:r>
    </w:p>
    <w:p>
      <w:pPr>
        <w:pStyle w:val="57"/>
        <w:ind w:firstLine="420"/>
      </w:pPr>
      <w:r>
        <w:rPr>
          <w:rFonts w:hint="eastAsia"/>
        </w:rPr>
        <w:t>GB/T 16483　化学品安全技术说明书内容和项目顺序</w:t>
      </w:r>
    </w:p>
    <w:p>
      <w:pPr>
        <w:pStyle w:val="57"/>
        <w:ind w:firstLine="420"/>
      </w:pPr>
      <w:r>
        <w:rPr>
          <w:rFonts w:hint="eastAsia"/>
        </w:rPr>
        <w:t>GB/T 17519　化学品安全技术说明书编写指南</w:t>
      </w:r>
    </w:p>
    <w:p>
      <w:pPr>
        <w:pStyle w:val="57"/>
        <w:ind w:firstLine="420"/>
      </w:pPr>
      <w:r>
        <w:rPr>
          <w:rFonts w:hint="eastAsia"/>
        </w:rPr>
        <w:t>GB 17914　易燃易爆性商品储存养护技术条件</w:t>
      </w:r>
    </w:p>
    <w:p>
      <w:pPr>
        <w:pStyle w:val="57"/>
        <w:ind w:firstLine="420"/>
      </w:pPr>
      <w:r>
        <w:rPr>
          <w:rFonts w:hint="eastAsia"/>
        </w:rPr>
        <w:t>GB 17915　腐蚀性商品储存养护技术条件</w:t>
      </w:r>
    </w:p>
    <w:p>
      <w:pPr>
        <w:pStyle w:val="57"/>
        <w:ind w:firstLine="420"/>
      </w:pPr>
      <w:r>
        <w:rPr>
          <w:rFonts w:hint="eastAsia"/>
        </w:rPr>
        <w:t>GB 17916　毒害性商品储存养护技术条件</w:t>
      </w:r>
    </w:p>
    <w:p>
      <w:pPr>
        <w:pStyle w:val="57"/>
        <w:ind w:firstLine="420"/>
      </w:pPr>
      <w:r>
        <w:rPr>
          <w:rFonts w:hint="eastAsia"/>
        </w:rPr>
        <w:t>GB 18218　危险化学品重大危险源辨识</w:t>
      </w:r>
    </w:p>
    <w:p>
      <w:pPr>
        <w:pStyle w:val="57"/>
        <w:ind w:firstLine="420"/>
      </w:pPr>
      <w:r>
        <w:rPr>
          <w:rFonts w:hint="eastAsia"/>
        </w:rPr>
        <w:t>GB/T 27476.1　检测实验室安全　第1部分：总则</w:t>
      </w:r>
    </w:p>
    <w:p>
      <w:pPr>
        <w:pStyle w:val="57"/>
        <w:ind w:firstLine="420"/>
      </w:pPr>
      <w:r>
        <w:rPr>
          <w:rFonts w:hint="eastAsia"/>
        </w:rPr>
        <w:t>GB/T 27476.5　检测实验室安全　第5部分：化学因素</w:t>
      </w:r>
    </w:p>
    <w:p>
      <w:pPr>
        <w:pStyle w:val="57"/>
        <w:ind w:firstLine="420"/>
      </w:pPr>
      <w:r>
        <w:rPr>
          <w:rFonts w:hint="eastAsia"/>
        </w:rPr>
        <w:t>GB/T 29510　个体防护装备配备基本要求</w:t>
      </w:r>
    </w:p>
    <w:p>
      <w:pPr>
        <w:pStyle w:val="57"/>
        <w:ind w:firstLine="420"/>
      </w:pPr>
      <w:r>
        <w:rPr>
          <w:rFonts w:hint="eastAsia"/>
        </w:rPr>
        <w:t>GB/T 29639　生产经营单位生产安全事故应急预案编制导则</w:t>
      </w:r>
    </w:p>
    <w:p>
      <w:pPr>
        <w:pStyle w:val="57"/>
        <w:ind w:firstLine="420"/>
      </w:pPr>
      <w:r>
        <w:rPr>
          <w:rFonts w:hint="eastAsia"/>
        </w:rPr>
        <w:t>GB/T 31190　实验室废弃化学品收集技术规范</w:t>
      </w:r>
    </w:p>
    <w:p>
      <w:pPr>
        <w:pStyle w:val="57"/>
        <w:ind w:firstLine="420"/>
      </w:pPr>
      <w:r>
        <w:rPr>
          <w:rFonts w:hint="eastAsia"/>
        </w:rPr>
        <w:t>GB 50140　建筑灭火器配置设计规范</w:t>
      </w:r>
    </w:p>
    <w:p>
      <w:pPr>
        <w:pStyle w:val="57"/>
        <w:ind w:firstLine="420"/>
      </w:pPr>
      <w:r>
        <w:rPr>
          <w:rFonts w:hint="eastAsia"/>
        </w:rPr>
        <w:t>RB/T 214　检验检测机构资质认定能力评价　检验检测机构通用要求</w:t>
      </w:r>
    </w:p>
    <w:p>
      <w:pPr>
        <w:pStyle w:val="57"/>
        <w:ind w:firstLine="420"/>
      </w:pPr>
      <w:r>
        <w:rPr>
          <w:rFonts w:hint="eastAsia"/>
        </w:rPr>
        <w:t>TSGR 0006　气瓶安全技术监察规程</w:t>
      </w:r>
    </w:p>
    <w:bookmarkEnd w:id="56"/>
    <w:p>
      <w:pPr>
        <w:pStyle w:val="105"/>
        <w:spacing w:before="240" w:after="240"/>
      </w:pPr>
      <w:bookmarkStart w:id="59" w:name="_Toc144387995"/>
      <w:bookmarkStart w:id="60" w:name="_Toc144820006"/>
      <w:bookmarkStart w:id="61" w:name="_Toc12446"/>
      <w:bookmarkStart w:id="62" w:name="_Toc140591455"/>
      <w:r>
        <w:rPr>
          <w:rFonts w:hint="eastAsia"/>
          <w:szCs w:val="21"/>
        </w:rPr>
        <w:t>术语和定义</w:t>
      </w:r>
      <w:bookmarkEnd w:id="57"/>
      <w:bookmarkEnd w:id="58"/>
      <w:bookmarkEnd w:id="59"/>
      <w:bookmarkEnd w:id="60"/>
      <w:bookmarkEnd w:id="61"/>
      <w:bookmarkEnd w:id="62"/>
    </w:p>
    <w:sdt>
      <w:sdtPr>
        <w:id w:val="-1909835108"/>
        <w:placeholder>
          <w:docPart w:val="{1205b77b-34ed-4db5-968a-0adc2576d52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7"/>
            <w:ind w:firstLine="420"/>
          </w:pPr>
          <w:bookmarkStart w:id="63" w:name="_Toc26986532"/>
          <w:bookmarkEnd w:id="63"/>
          <w:bookmarkStart w:id="64" w:name="_Toc112147435"/>
          <w:bookmarkEnd w:id="64"/>
          <w:bookmarkStart w:id="65" w:name="_Toc112147402"/>
          <w:bookmarkEnd w:id="65"/>
          <w:bookmarkStart w:id="66" w:name="_Toc140586544"/>
          <w:r>
            <w:t>下列术语和定义适用于本文件。</w:t>
          </w:r>
        </w:p>
      </w:sdtContent>
    </w:sdt>
    <w:p>
      <w:pPr>
        <w:pStyle w:val="224"/>
        <w:ind w:left="420" w:hanging="420" w:hangingChars="200"/>
        <w:rPr>
          <w:rFonts w:ascii="黑体" w:hAnsi="黑体" w:eastAsia="黑体" w:cs="黑体"/>
          <w:szCs w:val="22"/>
        </w:rPr>
      </w:pPr>
    </w:p>
    <w:p>
      <w:pPr>
        <w:pStyle w:val="224"/>
        <w:numPr>
          <w:ilvl w:val="2"/>
          <w:numId w:val="0"/>
        </w:numPr>
        <w:ind w:left="-420" w:leftChars="-200" w:firstLine="840" w:firstLineChars="400"/>
        <w:rPr>
          <w:rFonts w:ascii="黑体" w:hAnsi="黑体" w:eastAsia="黑体" w:cs="黑体"/>
          <w:szCs w:val="22"/>
        </w:rPr>
      </w:pPr>
      <w:r>
        <w:rPr>
          <w:rFonts w:hint="eastAsia" w:ascii="黑体" w:hAnsi="黑体" w:eastAsia="黑体" w:cs="黑体"/>
          <w:szCs w:val="22"/>
        </w:rPr>
        <w:t>危险化学品</w:t>
      </w:r>
      <w:r>
        <w:rPr>
          <w:rFonts w:ascii="黑体" w:hAnsi="黑体" w:eastAsia="黑体" w:cs="黑体"/>
          <w:szCs w:val="22"/>
        </w:rPr>
        <w:t xml:space="preserve">  </w:t>
      </w:r>
      <w:r>
        <w:rPr>
          <w:rFonts w:hint="eastAsia" w:ascii="黑体" w:hAnsi="黑体" w:eastAsia="黑体" w:cs="黑体"/>
          <w:szCs w:val="22"/>
        </w:rPr>
        <w:t>hazardous chemicals</w:t>
      </w:r>
    </w:p>
    <w:p>
      <w:pPr>
        <w:pStyle w:val="57"/>
        <w:ind w:firstLine="420"/>
      </w:pPr>
      <w:r>
        <w:rPr>
          <w:rFonts w:hint="eastAsia"/>
        </w:rPr>
        <w:t>具有毒害、腐蚀、爆炸、燃烧、助燃等性质，对人体、设施、环境具有危害的剧毒化学品和其他化学品，危险化学品简称“危化品”。</w:t>
      </w:r>
    </w:p>
    <w:p>
      <w:pPr>
        <w:pStyle w:val="57"/>
        <w:ind w:firstLine="420"/>
      </w:pPr>
      <w:r>
        <w:rPr>
          <w:rFonts w:hint="eastAsia"/>
        </w:rPr>
        <w:t>[来源：GB 18218—2018，3.1]</w:t>
      </w:r>
    </w:p>
    <w:p>
      <w:pPr>
        <w:pStyle w:val="105"/>
        <w:spacing w:before="240" w:after="240"/>
        <w:rPr>
          <w:szCs w:val="21"/>
        </w:rPr>
      </w:pPr>
      <w:r>
        <w:rPr>
          <w:rFonts w:hint="eastAsia"/>
          <w:szCs w:val="21"/>
        </w:rPr>
        <w:t>人员要求</w:t>
      </w:r>
    </w:p>
    <w:p>
      <w:pPr>
        <w:pStyle w:val="163"/>
      </w:pPr>
      <w:r>
        <w:rPr>
          <w:rFonts w:hint="eastAsia"/>
        </w:rPr>
        <w:t>人员上岗前应接受相关法律法规、危化品管理和使用、个人防护装备的使用和维护、实验室安全规定、应急和岗位技术培训，考核合格后方可上岗。</w:t>
      </w:r>
    </w:p>
    <w:p>
      <w:pPr>
        <w:pStyle w:val="163"/>
      </w:pPr>
      <w:r>
        <w:rPr>
          <w:rFonts w:hint="eastAsia"/>
        </w:rPr>
        <w:t>管理人员应具备危化品管理的专业知识和管理能力。</w:t>
      </w:r>
    </w:p>
    <w:p>
      <w:pPr>
        <w:pStyle w:val="163"/>
      </w:pPr>
      <w:r>
        <w:rPr>
          <w:rFonts w:hint="eastAsia"/>
        </w:rPr>
        <w:t>检测人员应具备从事相关危化品安全操作的能力。</w:t>
      </w:r>
    </w:p>
    <w:p>
      <w:pPr>
        <w:pStyle w:val="163"/>
      </w:pPr>
      <w:r>
        <w:rPr>
          <w:rFonts w:hint="eastAsia"/>
        </w:rPr>
        <w:t>特殊岗位的工作人员应具备相应的资格。</w:t>
      </w:r>
    </w:p>
    <w:p>
      <w:pPr>
        <w:pStyle w:val="163"/>
      </w:pPr>
      <w:r>
        <w:rPr>
          <w:rFonts w:hint="eastAsia"/>
        </w:rPr>
        <w:t>所有人员有对他人（包括内部员工、承包商和外来人员）进行安全监督的义务，发现有违反安全规定的行为，应及时制止并上报。</w:t>
      </w:r>
    </w:p>
    <w:p>
      <w:pPr>
        <w:pStyle w:val="163"/>
      </w:pPr>
      <w:r>
        <w:rPr>
          <w:rFonts w:hint="eastAsia"/>
        </w:rPr>
        <w:t>实验室应设专（兼）职安全员，应具备基本的危险化学品管理专业知识和制定、实施实验室安全保障措施及应急措施的能力，能对实验室开展各项工作进行安全监督，阻止不安全行为或活动的发生。</w:t>
      </w:r>
    </w:p>
    <w:p>
      <w:pPr>
        <w:pStyle w:val="163"/>
      </w:pPr>
      <w:r>
        <w:rPr>
          <w:rFonts w:hint="eastAsia"/>
        </w:rPr>
        <w:t>外来实习和短期工作人员事先应接受危险化学品相关的安全知识培训，清楚安全有关风险及应对措施。</w:t>
      </w:r>
    </w:p>
    <w:p>
      <w:pPr>
        <w:pStyle w:val="163"/>
      </w:pPr>
      <w:r>
        <w:rPr>
          <w:rFonts w:hint="eastAsia"/>
        </w:rPr>
        <w:t>应制定人员能力监督监控计划（方案），计划（方案）应包括涉及危化品安全操作的项目，定期实施监督监控并保存相应的记录。</w:t>
      </w:r>
    </w:p>
    <w:p>
      <w:pPr>
        <w:pStyle w:val="163"/>
      </w:pPr>
      <w:r>
        <w:rPr>
          <w:rFonts w:hint="eastAsia"/>
        </w:rPr>
        <w:t>当人员工作岗位调整后，应根据岗位需求要求做好安全教育和培训。</w:t>
      </w:r>
    </w:p>
    <w:p>
      <w:pPr>
        <w:pStyle w:val="105"/>
        <w:spacing w:before="240" w:after="240"/>
        <w:rPr>
          <w:szCs w:val="21"/>
        </w:rPr>
      </w:pPr>
      <w:r>
        <w:rPr>
          <w:rFonts w:hint="eastAsia"/>
          <w:szCs w:val="21"/>
        </w:rPr>
        <w:t>管理制度</w:t>
      </w:r>
    </w:p>
    <w:p>
      <w:pPr>
        <w:pStyle w:val="163"/>
      </w:pPr>
      <w:r>
        <w:rPr>
          <w:rFonts w:hint="eastAsia"/>
        </w:rPr>
        <w:t>应制定危化品管理制度，包括但不限于以下内容：</w:t>
      </w:r>
    </w:p>
    <w:p>
      <w:pPr>
        <w:pStyle w:val="133"/>
      </w:pPr>
      <w:r>
        <w:rPr>
          <w:rFonts w:hint="eastAsia"/>
        </w:rPr>
        <w:t>岗位职责和安全责任，如：主要负责人、管理岗位、操作岗位等；</w:t>
      </w:r>
    </w:p>
    <w:p>
      <w:pPr>
        <w:pStyle w:val="133"/>
      </w:pPr>
      <w:r>
        <w:rPr>
          <w:rFonts w:hint="eastAsia"/>
        </w:rPr>
        <w:t>危化品釆购、储存、转运、发放、使用、退回和处置的全流程作业管理，如：购买审批、用前申请、领用登记、使用记录等；</w:t>
      </w:r>
    </w:p>
    <w:p>
      <w:pPr>
        <w:pStyle w:val="133"/>
      </w:pPr>
      <w:r>
        <w:rPr>
          <w:rFonts w:hint="eastAsia"/>
        </w:rPr>
        <w:t>危化品的专业基础知识和岗位技能培训；</w:t>
      </w:r>
    </w:p>
    <w:p>
      <w:pPr>
        <w:pStyle w:val="133"/>
      </w:pPr>
      <w:r>
        <w:rPr>
          <w:rFonts w:hint="eastAsia"/>
        </w:rPr>
        <w:t>危化品事故隐患排查治理和应急管理；</w:t>
      </w:r>
    </w:p>
    <w:p>
      <w:pPr>
        <w:pStyle w:val="133"/>
      </w:pPr>
      <w:r>
        <w:rPr>
          <w:rFonts w:hint="eastAsia"/>
        </w:rPr>
        <w:t>剧毒化学品、易制毒化学品和易制爆危险化学品的特殊管理；</w:t>
      </w:r>
    </w:p>
    <w:p>
      <w:pPr>
        <w:pStyle w:val="133"/>
      </w:pPr>
      <w:r>
        <w:rPr>
          <w:rFonts w:hint="eastAsia"/>
        </w:rPr>
        <w:t>危化品统一购买、单独存放，双人验收、双人保管、双人领取、双锁控制、双账管理；</w:t>
      </w:r>
    </w:p>
    <w:p>
      <w:pPr>
        <w:pStyle w:val="133"/>
      </w:pPr>
      <w:r>
        <w:rPr>
          <w:rFonts w:hint="eastAsia"/>
        </w:rPr>
        <w:t>个体防护装备、消防器材的配备和使用；</w:t>
      </w:r>
    </w:p>
    <w:p>
      <w:pPr>
        <w:pStyle w:val="133"/>
      </w:pPr>
      <w:r>
        <w:rPr>
          <w:rFonts w:hint="eastAsia"/>
        </w:rPr>
        <w:t>其他必要的安全管理。</w:t>
      </w:r>
    </w:p>
    <w:p>
      <w:pPr>
        <w:pStyle w:val="163"/>
      </w:pPr>
      <w:r>
        <w:rPr>
          <w:rFonts w:hint="eastAsia"/>
        </w:rPr>
        <w:t>应建立危化品风险评估管理制度，定期对危化品使用过程及现有危化品管理进行风险评估，加强危险源辨识，排查安全隐患，确定风险控制措施，包括但不限于以下内容：</w:t>
      </w:r>
    </w:p>
    <w:p>
      <w:pPr>
        <w:pStyle w:val="133"/>
      </w:pPr>
      <w:r>
        <w:rPr>
          <w:rFonts w:hint="eastAsia"/>
        </w:rPr>
        <w:t>风险特性；</w:t>
      </w:r>
    </w:p>
    <w:p>
      <w:pPr>
        <w:pStyle w:val="133"/>
      </w:pPr>
      <w:r>
        <w:rPr>
          <w:rFonts w:hint="eastAsia"/>
        </w:rPr>
        <w:t>储存要求；</w:t>
      </w:r>
    </w:p>
    <w:p>
      <w:pPr>
        <w:pStyle w:val="133"/>
      </w:pPr>
      <w:r>
        <w:rPr>
          <w:rFonts w:hint="eastAsia"/>
        </w:rPr>
        <w:t>化学品的移取；</w:t>
      </w:r>
    </w:p>
    <w:p>
      <w:pPr>
        <w:pStyle w:val="133"/>
      </w:pPr>
      <w:r>
        <w:rPr>
          <w:rFonts w:hint="eastAsia"/>
        </w:rPr>
        <w:t>废弃物处理；</w:t>
      </w:r>
    </w:p>
    <w:p>
      <w:pPr>
        <w:pStyle w:val="133"/>
      </w:pPr>
      <w:r>
        <w:rPr>
          <w:rFonts w:hint="eastAsia"/>
        </w:rPr>
        <w:t>应急管理；</w:t>
      </w:r>
    </w:p>
    <w:p>
      <w:pPr>
        <w:pStyle w:val="133"/>
      </w:pPr>
      <w:r>
        <w:rPr>
          <w:rFonts w:hint="eastAsia"/>
        </w:rPr>
        <w:t>仪器安全规定；</w:t>
      </w:r>
    </w:p>
    <w:p>
      <w:pPr>
        <w:pStyle w:val="133"/>
      </w:pPr>
      <w:r>
        <w:rPr>
          <w:rFonts w:hint="eastAsia"/>
        </w:rPr>
        <w:t>新购入危化品。</w:t>
      </w:r>
    </w:p>
    <w:p>
      <w:pPr>
        <w:pStyle w:val="163"/>
      </w:pPr>
      <w:r>
        <w:rPr>
          <w:rFonts w:hint="eastAsia"/>
        </w:rPr>
        <w:t>应编制涉及危化品实验过程和实验设备安全操作规程，包括但不限于以下内容：</w:t>
      </w:r>
    </w:p>
    <w:p>
      <w:pPr>
        <w:pStyle w:val="133"/>
      </w:pPr>
      <w:r>
        <w:rPr>
          <w:rFonts w:hint="eastAsia"/>
        </w:rPr>
        <w:t>涉及危险工艺的实验操作；</w:t>
      </w:r>
    </w:p>
    <w:p>
      <w:pPr>
        <w:pStyle w:val="133"/>
      </w:pPr>
      <w:r>
        <w:rPr>
          <w:rFonts w:hint="eastAsia"/>
        </w:rPr>
        <w:t>涉及易燃易爆性物质的实验操作；</w:t>
      </w:r>
    </w:p>
    <w:p>
      <w:pPr>
        <w:pStyle w:val="133"/>
      </w:pPr>
      <w:r>
        <w:rPr>
          <w:rFonts w:hint="eastAsia"/>
        </w:rPr>
        <w:t>涉及有毒有害物质的实验操作；</w:t>
      </w:r>
    </w:p>
    <w:p>
      <w:pPr>
        <w:pStyle w:val="133"/>
      </w:pPr>
      <w:r>
        <w:rPr>
          <w:rFonts w:hint="eastAsia"/>
        </w:rPr>
        <w:t>气瓶、气体管路安全操作；</w:t>
      </w:r>
    </w:p>
    <w:p>
      <w:pPr>
        <w:pStyle w:val="133"/>
      </w:pPr>
      <w:r>
        <w:rPr>
          <w:rFonts w:hint="eastAsia"/>
        </w:rPr>
        <w:t>其他必要的安全操作。</w:t>
      </w:r>
    </w:p>
    <w:p>
      <w:pPr>
        <w:pStyle w:val="105"/>
        <w:spacing w:before="240" w:after="240"/>
        <w:rPr>
          <w:szCs w:val="21"/>
        </w:rPr>
      </w:pPr>
      <w:r>
        <w:rPr>
          <w:rFonts w:hint="eastAsia"/>
          <w:szCs w:val="21"/>
        </w:rPr>
        <w:t>设施设备</w:t>
      </w:r>
    </w:p>
    <w:p>
      <w:pPr>
        <w:pStyle w:val="106"/>
        <w:spacing w:before="120" w:after="120"/>
        <w:rPr>
          <w:rFonts w:hAnsi="黑体" w:cs="黑体"/>
        </w:rPr>
      </w:pPr>
      <w:r>
        <w:rPr>
          <w:rFonts w:hint="eastAsia" w:hAnsi="黑体" w:cs="黑体"/>
        </w:rPr>
        <w:t>场所</w:t>
      </w:r>
    </w:p>
    <w:p>
      <w:pPr>
        <w:pStyle w:val="166"/>
      </w:pPr>
      <w:r>
        <w:rPr>
          <w:rFonts w:hint="eastAsia"/>
        </w:rPr>
        <w:t>应符合RB/T 214的要求。</w:t>
      </w:r>
    </w:p>
    <w:p>
      <w:pPr>
        <w:pStyle w:val="166"/>
      </w:pPr>
      <w:r>
        <w:rPr>
          <w:rFonts w:hint="eastAsia"/>
        </w:rPr>
        <w:t>应设置专门的危化品储存场所，温度、湿度等储存条件应符合危化品储存要求。</w:t>
      </w:r>
    </w:p>
    <w:p>
      <w:pPr>
        <w:pStyle w:val="166"/>
      </w:pPr>
      <w:r>
        <w:rPr>
          <w:rFonts w:hint="eastAsia"/>
        </w:rPr>
        <w:t>危化品储存柜应避免阳光直射、远离热源、保持通风良好，不应放置于地下室。</w:t>
      </w:r>
    </w:p>
    <w:p>
      <w:pPr>
        <w:pStyle w:val="166"/>
      </w:pPr>
      <w:r>
        <w:rPr>
          <w:rFonts w:hint="eastAsia"/>
        </w:rPr>
        <w:t>工作场所应有明显的危险源标识、警示标识。</w:t>
      </w:r>
    </w:p>
    <w:p>
      <w:pPr>
        <w:pStyle w:val="106"/>
        <w:spacing w:before="120" w:after="120"/>
      </w:pPr>
      <w:r>
        <w:rPr>
          <w:rFonts w:hint="eastAsia"/>
        </w:rPr>
        <w:t>排风换气</w:t>
      </w:r>
    </w:p>
    <w:p>
      <w:pPr>
        <w:pStyle w:val="166"/>
      </w:pPr>
      <w:r>
        <w:rPr>
          <w:rFonts w:hint="eastAsia"/>
        </w:rPr>
        <w:t>存放腐蚀性酸的试剂柜宜使用聚丙烯等防腐材料制作并有排风装置。</w:t>
      </w:r>
    </w:p>
    <w:p>
      <w:pPr>
        <w:pStyle w:val="166"/>
      </w:pPr>
      <w:r>
        <w:rPr>
          <w:rFonts w:hint="eastAsia"/>
        </w:rPr>
        <w:t>存放有机试剂、易挥发化学试剂的试剂柜应有通风装置。</w:t>
      </w:r>
    </w:p>
    <w:p>
      <w:pPr>
        <w:pStyle w:val="166"/>
      </w:pPr>
      <w:r>
        <w:rPr>
          <w:rFonts w:hint="eastAsia"/>
        </w:rPr>
        <w:t>存放剧毒或高毒气体的气瓶柜应连接到通风装置；在使用易燃气体的实验室，应设通风机，宜配备氧气含量测报仪。</w:t>
      </w:r>
    </w:p>
    <w:p>
      <w:pPr>
        <w:pStyle w:val="166"/>
      </w:pPr>
      <w:r>
        <w:rPr>
          <w:rFonts w:hint="eastAsia"/>
        </w:rPr>
        <w:t>使用化学气体应配置气瓶柜或气瓶防倒链、防倒栏栅等设备，使用后的残气（或尾气）应通过管路引至气瓶柜或通过室外安全区域排放。</w:t>
      </w:r>
    </w:p>
    <w:p>
      <w:pPr>
        <w:pStyle w:val="166"/>
      </w:pPr>
      <w:r>
        <w:rPr>
          <w:rFonts w:hint="eastAsia"/>
        </w:rPr>
        <w:t>有可燃气体产生的实验室不宜设吊顶；可燃性化学气体钢瓶不应与支持燃烧的氧气、压缩空气等在同一空间存放，气瓶柜（室）应连接到通风装置。</w:t>
      </w:r>
    </w:p>
    <w:p>
      <w:pPr>
        <w:pStyle w:val="166"/>
      </w:pPr>
      <w:r>
        <w:rPr>
          <w:rFonts w:hint="eastAsia"/>
        </w:rPr>
        <w:t>在使用易燃、易爆气体房间应根据气体可燃性或危险性安装相应的可燃气体报警器，可燃气体报警器的安装位置应适合所监测气体的类型。</w:t>
      </w:r>
    </w:p>
    <w:p>
      <w:pPr>
        <w:pStyle w:val="166"/>
      </w:pPr>
      <w:r>
        <w:rPr>
          <w:rFonts w:hint="eastAsia"/>
        </w:rPr>
        <w:t>在可能散发大量可燃气体、可燃蒸气的实验室（如油品），应配备防爆型电气设备，并应设可燃气体测报仪，且与风机联锁。</w:t>
      </w:r>
    </w:p>
    <w:p>
      <w:pPr>
        <w:pStyle w:val="106"/>
        <w:spacing w:before="120" w:after="120"/>
      </w:pPr>
      <w:r>
        <w:rPr>
          <w:rFonts w:hint="eastAsia"/>
        </w:rPr>
        <w:t>安全冲洗</w:t>
      </w:r>
    </w:p>
    <w:p>
      <w:pPr>
        <w:pStyle w:val="57"/>
        <w:ind w:firstLine="420"/>
      </w:pPr>
      <w:r>
        <w:rPr>
          <w:rFonts w:hint="eastAsia"/>
        </w:rPr>
        <w:t>使用危化品的实验室应配置紧急喷淋装置和洗眼器，并配备使用说明或图示。其中：</w:t>
      </w:r>
    </w:p>
    <w:p>
      <w:pPr>
        <w:pStyle w:val="133"/>
      </w:pPr>
      <w:r>
        <w:rPr>
          <w:rFonts w:hint="eastAsia"/>
        </w:rPr>
        <w:t>紧急喷淋和洗眼器装置安装地点与工作区域之间畅通，距离不宜超过15</w:t>
      </w:r>
      <w:r>
        <w:t> </w:t>
      </w:r>
      <w:r>
        <w:rPr>
          <w:rFonts w:hint="eastAsia"/>
        </w:rPr>
        <w:t>m；</w:t>
      </w:r>
    </w:p>
    <w:p>
      <w:pPr>
        <w:pStyle w:val="133"/>
      </w:pPr>
      <w:r>
        <w:rPr>
          <w:rFonts w:hint="eastAsia"/>
        </w:rPr>
        <w:t>紧急喷淋装置应安装围堰，水管总阀处常开状，喷淋头下方不应有障碍物；</w:t>
      </w:r>
    </w:p>
    <w:p>
      <w:pPr>
        <w:pStyle w:val="133"/>
      </w:pPr>
      <w:r>
        <w:rPr>
          <w:rFonts w:hint="eastAsia"/>
        </w:rPr>
        <w:t>紧急洗眼器应设置在实验台附近，接入生活用水管道，水量水压适中，喷出高度为10</w:t>
      </w:r>
      <w:r>
        <w:t> </w:t>
      </w:r>
      <w:r>
        <w:rPr>
          <w:rFonts w:hint="eastAsia"/>
        </w:rPr>
        <w:t>cm～30</w:t>
      </w:r>
      <w:r>
        <w:t> </w:t>
      </w:r>
      <w:r>
        <w:rPr>
          <w:rFonts w:hint="eastAsia"/>
        </w:rPr>
        <w:t>cm，水流畅通平稳；</w:t>
      </w:r>
    </w:p>
    <w:p>
      <w:pPr>
        <w:pStyle w:val="133"/>
      </w:pPr>
      <w:r>
        <w:rPr>
          <w:rFonts w:hint="eastAsia"/>
        </w:rPr>
        <w:t>应定期对紧急喷淋装置和洗眼器进行功能有效性核查并保存核查记录。</w:t>
      </w:r>
    </w:p>
    <w:p>
      <w:pPr>
        <w:pStyle w:val="106"/>
        <w:spacing w:before="120" w:after="120"/>
      </w:pPr>
      <w:r>
        <w:rPr>
          <w:rFonts w:hint="eastAsia"/>
        </w:rPr>
        <w:t>消防和防爆</w:t>
      </w:r>
    </w:p>
    <w:p>
      <w:pPr>
        <w:pStyle w:val="166"/>
      </w:pPr>
      <w:r>
        <w:rPr>
          <w:rFonts w:hint="eastAsia"/>
        </w:rPr>
        <w:t>应按照GB 17914、GB 17915 和 GB 17916中规定的易燃易爆性化学品、腐蚀性化学品和毒害性化学品的灭火方法，在明显和便于取用的位置可定位设置消防器材，包括但不限于：</w:t>
      </w:r>
    </w:p>
    <w:p>
      <w:pPr>
        <w:pStyle w:val="133"/>
      </w:pPr>
      <w:r>
        <w:rPr>
          <w:rFonts w:hint="eastAsia"/>
        </w:rPr>
        <w:t>消防水箱；</w:t>
      </w:r>
    </w:p>
    <w:p>
      <w:pPr>
        <w:pStyle w:val="133"/>
      </w:pPr>
      <w:r>
        <w:rPr>
          <w:rFonts w:hint="eastAsia"/>
        </w:rPr>
        <w:t>灭火器（干粉、泡沫、气体、水基）；</w:t>
      </w:r>
    </w:p>
    <w:p>
      <w:pPr>
        <w:pStyle w:val="133"/>
      </w:pPr>
      <w:r>
        <w:rPr>
          <w:rFonts w:hint="eastAsia"/>
        </w:rPr>
        <w:t>灭火毯；</w:t>
      </w:r>
    </w:p>
    <w:p>
      <w:pPr>
        <w:pStyle w:val="133"/>
      </w:pPr>
      <w:r>
        <w:rPr>
          <w:rFonts w:hint="eastAsia"/>
        </w:rPr>
        <w:t>灭火砂土箱；</w:t>
      </w:r>
    </w:p>
    <w:p>
      <w:pPr>
        <w:pStyle w:val="133"/>
      </w:pPr>
      <w:r>
        <w:rPr>
          <w:rFonts w:hint="eastAsia"/>
        </w:rPr>
        <w:t>消防铲；</w:t>
      </w:r>
    </w:p>
    <w:p>
      <w:pPr>
        <w:pStyle w:val="133"/>
      </w:pPr>
      <w:r>
        <w:rPr>
          <w:rFonts w:hint="eastAsia"/>
        </w:rPr>
        <w:t>毒气报警器；</w:t>
      </w:r>
    </w:p>
    <w:p>
      <w:pPr>
        <w:pStyle w:val="133"/>
      </w:pPr>
      <w:r>
        <w:rPr>
          <w:rFonts w:hint="eastAsia"/>
        </w:rPr>
        <w:t>其他必要消防器材。</w:t>
      </w:r>
    </w:p>
    <w:p>
      <w:pPr>
        <w:pStyle w:val="166"/>
      </w:pPr>
      <w:r>
        <w:rPr>
          <w:rFonts w:hint="eastAsia"/>
        </w:rPr>
        <w:t>灭火器的类型和数量配置应符合GB 50140的规定。</w:t>
      </w:r>
    </w:p>
    <w:p>
      <w:pPr>
        <w:pStyle w:val="166"/>
      </w:pPr>
      <w:r>
        <w:rPr>
          <w:rFonts w:hint="eastAsia"/>
        </w:rPr>
        <w:t>使用油品、有机物等易燃化学品的实验室，应配备溢油控制材料，如吸油砂、吸油毡等，实验室人员应接受溢油清理训练。</w:t>
      </w:r>
    </w:p>
    <w:p>
      <w:pPr>
        <w:pStyle w:val="166"/>
      </w:pPr>
      <w:r>
        <w:rPr>
          <w:rFonts w:hint="eastAsia"/>
        </w:rPr>
        <w:t>使用低闪点、易燃易爆化学品的实验室应配备防爆冰箱。</w:t>
      </w:r>
    </w:p>
    <w:p>
      <w:pPr>
        <w:pStyle w:val="106"/>
        <w:spacing w:before="120" w:after="120"/>
      </w:pPr>
      <w:r>
        <w:rPr>
          <w:rFonts w:hint="eastAsia"/>
        </w:rPr>
        <w:t>个体防护</w:t>
      </w:r>
    </w:p>
    <w:p>
      <w:pPr>
        <w:pStyle w:val="166"/>
      </w:pPr>
      <w:r>
        <w:rPr>
          <w:rFonts w:hint="eastAsia"/>
        </w:rPr>
        <w:t>应按照GB/T 29510的规定为作业人员配备个体防护装备。</w:t>
      </w:r>
    </w:p>
    <w:p>
      <w:pPr>
        <w:pStyle w:val="166"/>
        <w:rPr>
          <w:szCs w:val="21"/>
        </w:rPr>
      </w:pPr>
      <w:r>
        <w:rPr>
          <w:rFonts w:hint="eastAsia"/>
        </w:rPr>
        <w:t>应在实验室内方便取用的地点设置急救箱或配备急救包。</w:t>
      </w:r>
    </w:p>
    <w:p>
      <w:pPr>
        <w:pStyle w:val="105"/>
        <w:spacing w:before="240" w:after="240"/>
      </w:pPr>
      <w:r>
        <w:rPr>
          <w:rFonts w:hint="eastAsia"/>
        </w:rPr>
        <w:t>使用管理</w:t>
      </w:r>
    </w:p>
    <w:p>
      <w:pPr>
        <w:pStyle w:val="106"/>
        <w:spacing w:before="120" w:after="120"/>
      </w:pPr>
      <w:r>
        <w:rPr>
          <w:rFonts w:hint="eastAsia"/>
        </w:rPr>
        <w:t>采购</w:t>
      </w:r>
    </w:p>
    <w:p>
      <w:pPr>
        <w:pStyle w:val="166"/>
      </w:pPr>
      <w:r>
        <w:rPr>
          <w:rFonts w:hint="eastAsia"/>
        </w:rPr>
        <w:t>危险化学品应向具有合法资质的生产、经营单位采购，应保存所有危化品的釆购记录。</w:t>
      </w:r>
    </w:p>
    <w:p>
      <w:pPr>
        <w:pStyle w:val="166"/>
      </w:pPr>
      <w:r>
        <w:rPr>
          <w:rFonts w:hint="eastAsia"/>
        </w:rPr>
        <w:t>危化品的采购应按照管理体系的程序进行，应明确危化品名称、纯度（浓度）、级别等技术信息。</w:t>
      </w:r>
    </w:p>
    <w:p>
      <w:pPr>
        <w:pStyle w:val="166"/>
      </w:pPr>
      <w:r>
        <w:rPr>
          <w:rFonts w:hint="eastAsia"/>
        </w:rPr>
        <w:t>易制毒化学品的采购要求见《易制毒化学品管理条例》。</w:t>
      </w:r>
    </w:p>
    <w:p>
      <w:pPr>
        <w:pStyle w:val="166"/>
      </w:pPr>
      <w:r>
        <w:rPr>
          <w:rFonts w:hint="eastAsia"/>
        </w:rPr>
        <w:t>剧毒化学品的釆购应具有《剧毒化学品购买凭证》或《剧毒化学品准购证》。</w:t>
      </w:r>
    </w:p>
    <w:p>
      <w:pPr>
        <w:pStyle w:val="106"/>
        <w:spacing w:before="120" w:after="120"/>
        <w:rPr>
          <w:rFonts w:hAnsi="黑体" w:cs="黑体"/>
        </w:rPr>
      </w:pPr>
      <w:r>
        <w:rPr>
          <w:rFonts w:hint="eastAsia" w:hAnsi="黑体" w:cs="黑体"/>
        </w:rPr>
        <w:t>入库</w:t>
      </w:r>
    </w:p>
    <w:p>
      <w:pPr>
        <w:pStyle w:val="166"/>
      </w:pPr>
      <w:r>
        <w:rPr>
          <w:rFonts w:hint="eastAsia"/>
        </w:rPr>
        <w:t>危化品到货时，应对其品名、成分、浓度、规格、数量、保存期限、生产商信息、产品合格证明、不确定度（适用时）、编号（适用时）等进行核对，检查包装有无变形、泄漏或破损，必要时通过试验进行技术确认。</w:t>
      </w:r>
    </w:p>
    <w:p>
      <w:pPr>
        <w:pStyle w:val="166"/>
      </w:pPr>
      <w:r>
        <w:rPr>
          <w:rFonts w:hint="eastAsia"/>
        </w:rPr>
        <w:t>验收的危化品应有符合GB/T 16483或GB/T 17519规定的化学品安全技术说明书，化学品安全技术说明书应妥善保管，方便获得。</w:t>
      </w:r>
    </w:p>
    <w:p>
      <w:pPr>
        <w:pStyle w:val="166"/>
      </w:pPr>
      <w:r>
        <w:rPr>
          <w:rFonts w:hint="eastAsia"/>
        </w:rPr>
        <w:t>危化品包装物上的安全标签应符合GB 15258的规定。</w:t>
      </w:r>
    </w:p>
    <w:p>
      <w:pPr>
        <w:pStyle w:val="166"/>
      </w:pPr>
      <w:r>
        <w:rPr>
          <w:rFonts w:hint="eastAsia"/>
        </w:rPr>
        <w:t>气瓶的颜色标志应符合GB/T 7144 和TSG R0006的要求。</w:t>
      </w:r>
    </w:p>
    <w:p>
      <w:pPr>
        <w:pStyle w:val="166"/>
      </w:pPr>
      <w:r>
        <w:rPr>
          <w:rFonts w:hint="eastAsia"/>
        </w:rPr>
        <w:t>危化品经验收合格后方可入库，入库时应进行核查和登记。</w:t>
      </w:r>
    </w:p>
    <w:p>
      <w:pPr>
        <w:pStyle w:val="166"/>
      </w:pPr>
      <w:r>
        <w:rPr>
          <w:rFonts w:hint="eastAsia"/>
        </w:rPr>
        <w:t>两种物质性质相互抵触或容易发生反应的危化品，入库时应存放于不同区域。</w:t>
      </w:r>
    </w:p>
    <w:p>
      <w:pPr>
        <w:pStyle w:val="106"/>
        <w:spacing w:before="120" w:after="120"/>
        <w:rPr>
          <w:rFonts w:hAnsi="黑体" w:cs="黑体"/>
        </w:rPr>
      </w:pPr>
      <w:r>
        <w:rPr>
          <w:rFonts w:hint="eastAsia" w:hAnsi="黑体" w:cs="黑体"/>
        </w:rPr>
        <w:t>标识</w:t>
      </w:r>
    </w:p>
    <w:p>
      <w:pPr>
        <w:pStyle w:val="166"/>
      </w:pPr>
      <w:r>
        <w:rPr>
          <w:rFonts w:hint="eastAsia"/>
        </w:rPr>
        <w:t>应授权专人负责危化品的分类保管和登记标识，建立危化品管理台账。</w:t>
      </w:r>
    </w:p>
    <w:p>
      <w:pPr>
        <w:pStyle w:val="166"/>
      </w:pPr>
      <w:r>
        <w:rPr>
          <w:rFonts w:hint="eastAsia"/>
        </w:rPr>
        <w:t>库存危化品应有明显的安全标识，标识应保持清晰、完整，并且符合</w:t>
      </w:r>
      <w:r>
        <w:t>GB 13690</w:t>
      </w:r>
      <w:r>
        <w:rPr>
          <w:rFonts w:hint="eastAsia"/>
        </w:rPr>
        <w:t>、GB 13495.1 和 GB 15630、</w:t>
      </w:r>
      <w:r>
        <w:t>GB 2894</w:t>
      </w:r>
      <w:r>
        <w:rPr>
          <w:rFonts w:hint="eastAsia"/>
        </w:rPr>
        <w:t>等标准的相关规定。</w:t>
      </w:r>
    </w:p>
    <w:p>
      <w:pPr>
        <w:pStyle w:val="166"/>
      </w:pPr>
      <w:r>
        <w:rPr>
          <w:rFonts w:hint="eastAsia"/>
        </w:rPr>
        <w:t>当危化品由原包装物转移或分装到其他包装物内时，转移或分装后的包装物应及时重新粘贴标识。</w:t>
      </w:r>
    </w:p>
    <w:p>
      <w:pPr>
        <w:pStyle w:val="166"/>
      </w:pPr>
      <w:r>
        <w:rPr>
          <w:rFonts w:hint="eastAsia"/>
        </w:rPr>
        <w:t>危化品安全标签脱落后应确认后及时补上，如不能确认，则以废弃化学品处置。</w:t>
      </w:r>
    </w:p>
    <w:p>
      <w:pPr>
        <w:pStyle w:val="106"/>
        <w:spacing w:before="120" w:after="120"/>
        <w:rPr>
          <w:rFonts w:hAnsi="黑体" w:cs="黑体"/>
        </w:rPr>
      </w:pPr>
      <w:r>
        <w:rPr>
          <w:rFonts w:hint="eastAsia" w:hAnsi="黑体" w:cs="黑体"/>
        </w:rPr>
        <w:t>储存</w:t>
      </w:r>
    </w:p>
    <w:p>
      <w:pPr>
        <w:pStyle w:val="166"/>
      </w:pPr>
      <w:r>
        <w:rPr>
          <w:rFonts w:hint="eastAsia"/>
        </w:rPr>
        <w:t>危化品的储存应按照GB 15603执行，其中，易燃易爆化学品、腐蚀性化学品、毒害性化学品的储存方法应按照GB 17914、GB 17915和GB 17916执行。</w:t>
      </w:r>
    </w:p>
    <w:p>
      <w:pPr>
        <w:pStyle w:val="166"/>
      </w:pPr>
      <w:r>
        <w:rPr>
          <w:rFonts w:hint="eastAsia"/>
        </w:rPr>
        <w:t>各类危化品不应与相禁忌的化学品混放。</w:t>
      </w:r>
    </w:p>
    <w:p>
      <w:pPr>
        <w:pStyle w:val="166"/>
      </w:pPr>
      <w:r>
        <w:rPr>
          <w:rFonts w:hint="eastAsia"/>
        </w:rPr>
        <w:t>应根据危化品的有效期和实验室的日常需求用量设置安全库存量，除压缩气体和液化气体外，危化品的存放总量不应超过100</w:t>
      </w:r>
      <w:r>
        <w:t> </w:t>
      </w:r>
      <w:r>
        <w:rPr>
          <w:rFonts w:hint="eastAsia"/>
        </w:rPr>
        <w:t>L或100</w:t>
      </w:r>
      <w:r>
        <w:t> </w:t>
      </w:r>
      <w:r>
        <w:rPr>
          <w:rFonts w:hint="eastAsia"/>
        </w:rPr>
        <w:t>kg，其中易燃易爆性化学品的存放总量不应超过50</w:t>
      </w:r>
      <w:r>
        <w:t> </w:t>
      </w:r>
      <w:r>
        <w:rPr>
          <w:rFonts w:hint="eastAsia"/>
        </w:rPr>
        <w:t>L或50</w:t>
      </w:r>
      <w:r>
        <w:t> </w:t>
      </w:r>
      <w:r>
        <w:rPr>
          <w:rFonts w:hint="eastAsia"/>
        </w:rPr>
        <w:t>kg，且单一包装容器不应超过20</w:t>
      </w:r>
      <w:r>
        <w:t> </w:t>
      </w:r>
      <w:r>
        <w:rPr>
          <w:rFonts w:hint="eastAsia"/>
        </w:rPr>
        <w:t>L或20</w:t>
      </w:r>
      <w:r>
        <w:t> </w:t>
      </w:r>
      <w:r>
        <w:rPr>
          <w:rFonts w:hint="eastAsia"/>
        </w:rPr>
        <w:t>kg。</w:t>
      </w:r>
    </w:p>
    <w:p>
      <w:pPr>
        <w:pStyle w:val="166"/>
      </w:pPr>
      <w:r>
        <w:rPr>
          <w:rFonts w:hint="eastAsia"/>
        </w:rPr>
        <w:t>需要低温储存的易燃易爆化学品应存放在专用防爆型冰箱内。</w:t>
      </w:r>
    </w:p>
    <w:p>
      <w:pPr>
        <w:pStyle w:val="166"/>
      </w:pPr>
      <w:r>
        <w:rPr>
          <w:rFonts w:hint="eastAsia"/>
        </w:rPr>
        <w:t>腐蚀性化学品宜单独放在耐腐蚀材料制成的储存柜或容器中。</w:t>
      </w:r>
    </w:p>
    <w:p>
      <w:pPr>
        <w:pStyle w:val="166"/>
      </w:pPr>
      <w:r>
        <w:rPr>
          <w:rFonts w:hint="eastAsia"/>
        </w:rPr>
        <w:t>爆炸性化学品和剧毒化学品应分别单独存放在专用储存柜中。</w:t>
      </w:r>
    </w:p>
    <w:p>
      <w:pPr>
        <w:pStyle w:val="166"/>
      </w:pPr>
      <w:r>
        <w:rPr>
          <w:rFonts w:hint="eastAsia"/>
        </w:rPr>
        <w:t>其他危化品应储存在专用的通风型储存柜内。</w:t>
      </w:r>
    </w:p>
    <w:p>
      <w:pPr>
        <w:pStyle w:val="166"/>
      </w:pPr>
      <w:r>
        <w:rPr>
          <w:rFonts w:hint="eastAsia"/>
        </w:rPr>
        <w:t>压缩气体和液化气体应与爆炸物品、氧化剂、易燃物品、自燃物品、腐蚀性物品隔离储存，易燃气体不得与助燃气体、剧毒气体同存一室；氧气不得与油脂混合储存；易燃液体、遇湿易燃物品、易燃固体不得与氧化剂混合储存；氧化剂应单独存放。</w:t>
      </w:r>
    </w:p>
    <w:p>
      <w:pPr>
        <w:pStyle w:val="166"/>
      </w:pPr>
      <w:r>
        <w:rPr>
          <w:rFonts w:hint="eastAsia"/>
        </w:rPr>
        <w:t>气瓶应按GB 16163和TSGR 0006 中气体特性进行分类，并分区存放；气瓶存放时应牢固地直立并固定，盖上气瓶安全防护帽，套好防震胶圈；空瓶与实瓶应分区存放，并有分区标志。</w:t>
      </w:r>
    </w:p>
    <w:p>
      <w:pPr>
        <w:pStyle w:val="166"/>
      </w:pPr>
      <w:r>
        <w:rPr>
          <w:rFonts w:hint="eastAsia"/>
        </w:rPr>
        <w:t>危化品包装不应泄漏、生锈和损坏，封口应严密，摆放要做到安全、牢固、整齐、合理；不应使用通常用于储存生活用品的容器存放危化品。</w:t>
      </w:r>
    </w:p>
    <w:p>
      <w:pPr>
        <w:pStyle w:val="166"/>
      </w:pPr>
      <w:r>
        <w:rPr>
          <w:rFonts w:hint="eastAsia"/>
        </w:rPr>
        <w:t>危化品储存区域的温度、湿度应严格控制，发现变化及时调整。</w:t>
      </w:r>
    </w:p>
    <w:p>
      <w:pPr>
        <w:pStyle w:val="166"/>
      </w:pPr>
      <w:r>
        <w:rPr>
          <w:rFonts w:hint="eastAsia"/>
        </w:rPr>
        <w:t>有毒、有害物质应储存在阴凉、通风、干燥的场所，不得露天存放，不得接近酸类物质。</w:t>
      </w:r>
    </w:p>
    <w:p>
      <w:pPr>
        <w:pStyle w:val="166"/>
      </w:pPr>
      <w:r>
        <w:rPr>
          <w:rFonts w:hint="eastAsia"/>
        </w:rPr>
        <w:t>腐蚀性物品，包装应严密，严禁泄漏，严禁与液化气体和其他物品共存。</w:t>
      </w:r>
    </w:p>
    <w:p>
      <w:pPr>
        <w:pStyle w:val="106"/>
        <w:spacing w:before="120" w:after="120"/>
      </w:pPr>
      <w:r>
        <w:rPr>
          <w:rFonts w:hint="eastAsia"/>
        </w:rPr>
        <w:t>领用</w:t>
      </w:r>
    </w:p>
    <w:p>
      <w:pPr>
        <w:pStyle w:val="166"/>
      </w:pPr>
      <w:r>
        <w:rPr>
          <w:rFonts w:hint="eastAsia"/>
        </w:rPr>
        <w:t>危化品的领取、发放应有专人负责，并根据实际使用量领取/发放。</w:t>
      </w:r>
    </w:p>
    <w:p>
      <w:pPr>
        <w:pStyle w:val="166"/>
      </w:pPr>
      <w:r>
        <w:rPr>
          <w:rFonts w:hint="eastAsia"/>
        </w:rPr>
        <w:t>剧毒化学品、爆炸性化学品的领取，应由两人以当日实验的用量领取，如有剩余应在当日退回，并详细记录退回物品的种类和数量。</w:t>
      </w:r>
    </w:p>
    <w:p>
      <w:pPr>
        <w:pStyle w:val="166"/>
      </w:pPr>
      <w:r>
        <w:rPr>
          <w:rFonts w:hint="eastAsia"/>
        </w:rPr>
        <w:t>领取危化品时应填写领用记录，按品种、规格分别填写购入、发放及退回的日期、部门及经手人、领取数量及结余数量、存放地点等信息。领用剧毒化学品、爆炸性化学品和易制爆危险化学品时还应详细记载用途。</w:t>
      </w:r>
    </w:p>
    <w:p>
      <w:pPr>
        <w:pStyle w:val="166"/>
      </w:pPr>
      <w:r>
        <w:rPr>
          <w:rFonts w:hint="eastAsia"/>
        </w:rPr>
        <w:t>应在特定的工作区域内使用危化品，使用易制毒、易制爆与剧毒化学品时应做好防护措施，应有两人在场，一人操作，一人监护。</w:t>
      </w:r>
    </w:p>
    <w:p>
      <w:pPr>
        <w:pStyle w:val="106"/>
        <w:spacing w:before="120" w:after="120"/>
        <w:rPr>
          <w:rFonts w:hAnsi="黑体" w:cs="黑体"/>
        </w:rPr>
      </w:pPr>
      <w:r>
        <w:rPr>
          <w:rFonts w:hint="eastAsia" w:hAnsi="黑体" w:cs="黑体"/>
        </w:rPr>
        <w:t>安全检查</w:t>
      </w:r>
    </w:p>
    <w:p>
      <w:pPr>
        <w:pStyle w:val="166"/>
      </w:pPr>
      <w:r>
        <w:rPr>
          <w:rFonts w:hint="eastAsia"/>
        </w:rPr>
        <w:t>应定期对实验室工作进行安全检查，检查内容包括：</w:t>
      </w:r>
    </w:p>
    <w:p>
      <w:pPr>
        <w:pStyle w:val="133"/>
      </w:pPr>
      <w:r>
        <w:rPr>
          <w:rFonts w:hint="eastAsia"/>
        </w:rPr>
        <w:t>风险源辨识；</w:t>
      </w:r>
    </w:p>
    <w:p>
      <w:pPr>
        <w:pStyle w:val="133"/>
      </w:pPr>
      <w:r>
        <w:rPr>
          <w:rFonts w:hint="eastAsia"/>
        </w:rPr>
        <w:t>风险控制措施；</w:t>
      </w:r>
    </w:p>
    <w:p>
      <w:pPr>
        <w:pStyle w:val="133"/>
      </w:pPr>
      <w:r>
        <w:rPr>
          <w:rFonts w:hint="eastAsia"/>
        </w:rPr>
        <w:t>人员行为；</w:t>
      </w:r>
    </w:p>
    <w:p>
      <w:pPr>
        <w:pStyle w:val="133"/>
      </w:pPr>
      <w:r>
        <w:rPr>
          <w:rFonts w:hint="eastAsia"/>
        </w:rPr>
        <w:t>安全设施和设备；</w:t>
      </w:r>
      <w:bookmarkStart w:id="68" w:name="_GoBack"/>
      <w:bookmarkEnd w:id="68"/>
    </w:p>
    <w:p>
      <w:pPr>
        <w:pStyle w:val="133"/>
      </w:pPr>
      <w:r>
        <w:rPr>
          <w:rFonts w:hint="eastAsia"/>
        </w:rPr>
        <w:t>应急物资等。</w:t>
      </w:r>
    </w:p>
    <w:p>
      <w:pPr>
        <w:pStyle w:val="166"/>
      </w:pPr>
      <w:r>
        <w:rPr>
          <w:rFonts w:hint="eastAsia"/>
        </w:rPr>
        <w:t>安全检查时发现的问题应使实验室相关人员知晓，并监督整改。</w:t>
      </w:r>
    </w:p>
    <w:p>
      <w:pPr>
        <w:pStyle w:val="166"/>
      </w:pPr>
      <w:r>
        <w:rPr>
          <w:rFonts w:hint="eastAsia"/>
        </w:rPr>
        <w:t>安全检查发现重大安全隐患的，应立即采取整改措施。</w:t>
      </w:r>
    </w:p>
    <w:p>
      <w:pPr>
        <w:pStyle w:val="105"/>
        <w:spacing w:before="240" w:after="240"/>
        <w:rPr>
          <w:szCs w:val="21"/>
        </w:rPr>
      </w:pPr>
      <w:r>
        <w:rPr>
          <w:rFonts w:hint="eastAsia"/>
          <w:szCs w:val="21"/>
        </w:rPr>
        <w:t>废弃化学品的处置</w:t>
      </w:r>
    </w:p>
    <w:p>
      <w:pPr>
        <w:pStyle w:val="163"/>
      </w:pPr>
      <w:r>
        <w:rPr>
          <w:rFonts w:hint="eastAsia"/>
        </w:rPr>
        <w:t>应按照GB 27476.1、GB 27476.5的规定暂存、转运、储存及利用废弃化学品。</w:t>
      </w:r>
    </w:p>
    <w:p>
      <w:pPr>
        <w:pStyle w:val="163"/>
      </w:pPr>
      <w:r>
        <w:rPr>
          <w:rFonts w:hint="eastAsia"/>
        </w:rPr>
        <w:t>应按照GB/T 31190的要求分类收集、贮存废弃化学品。</w:t>
      </w:r>
    </w:p>
    <w:p>
      <w:pPr>
        <w:pStyle w:val="163"/>
      </w:pPr>
      <w:r>
        <w:rPr>
          <w:rFonts w:hint="eastAsia"/>
        </w:rPr>
        <w:t>应委托具有相关资质的单位处置废弃化学品。</w:t>
      </w:r>
    </w:p>
    <w:p>
      <w:pPr>
        <w:pStyle w:val="105"/>
        <w:spacing w:before="240" w:after="240"/>
        <w:rPr>
          <w:szCs w:val="21"/>
        </w:rPr>
      </w:pPr>
      <w:r>
        <w:rPr>
          <w:rFonts w:hint="eastAsia"/>
          <w:szCs w:val="21"/>
        </w:rPr>
        <w:t>应急要求</w:t>
      </w:r>
    </w:p>
    <w:p>
      <w:pPr>
        <w:pStyle w:val="57"/>
        <w:ind w:firstLine="420"/>
      </w:pPr>
      <w:r>
        <w:rPr>
          <w:rFonts w:hint="eastAsia"/>
        </w:rPr>
        <w:t>应编制符合GB/T 29639要求的危险化学品事故专项应急预案或现场处置方案，每年应至少组织全体人员进行一次应急演练，并做好演练记录。</w:t>
      </w:r>
    </w:p>
    <w:bookmarkEnd w:id="26"/>
    <w:bookmarkEnd w:id="66"/>
    <w:p>
      <w:pPr>
        <w:pStyle w:val="57"/>
        <w:ind w:firstLine="0" w:firstLineChars="0"/>
        <w:jc w:val="center"/>
      </w:pPr>
      <w:bookmarkStart w:id="67" w:name="BookMark8"/>
      <w:r>
        <w:drawing>
          <wp:inline distT="0" distB="0" distL="0" distR="0">
            <wp:extent cx="1485900" cy="317500"/>
            <wp:effectExtent l="0" t="0" r="0" b="6350"/>
            <wp:docPr id="317577531" name="图片 1"/>
            <wp:cNvGraphicFramePr/>
            <a:graphic xmlns:a="http://schemas.openxmlformats.org/drawingml/2006/main">
              <a:graphicData uri="http://schemas.openxmlformats.org/drawingml/2006/picture">
                <pic:pic xmlns:pic="http://schemas.openxmlformats.org/drawingml/2006/picture">
                  <pic:nvPicPr>
                    <pic:cNvPr id="317577531" name="图片 1"/>
                    <pic:cNvPicPr/>
                  </pic:nvPicPr>
                  <pic:blipFill>
                    <a:blip r:embed="rId2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sectPr>
      <w:headerReference r:id="rId15" w:type="default"/>
      <w:footerReference r:id="rId17" w:type="default"/>
      <w:headerReference r:id="rId16" w:type="even"/>
      <w:footerReference r:id="rId18" w:type="even"/>
      <w:pgSz w:w="11906" w:h="16838"/>
      <w:pgMar w:top="1928" w:right="1134" w:bottom="1134" w:left="1134" w:header="1418" w:footer="1134" w:gutter="284"/>
      <w:pgNumType w:start="1"/>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 PAGE   \* MERGEFORMAT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T/GBC XXXX—2024</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pPr>
    <w:r>
      <w:fldChar w:fldCharType="begin"/>
    </w:r>
    <w:r>
      <w:instrText xml:space="preserve"> STYLEREF  标准文件_文件编号 \* MERGEFORMAT </w:instrText>
    </w:r>
    <w:r>
      <w:fldChar w:fldCharType="separate"/>
    </w:r>
    <w:r>
      <w:t>T/GBC XXXX—2024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0"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documentProtection w:edit="forms" w:enforcement="0"/>
  <w:defaultTabStop w:val="420"/>
  <w:evenAndOddHeaders w:val="1"/>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0NDljNDdiMjk1YTllMzQwMzk2OGM1OTI5ZjdmMDQifQ=="/>
  </w:docVars>
  <w:rsids>
    <w:rsidRoot w:val="00172A27"/>
    <w:rsid w:val="0000040A"/>
    <w:rsid w:val="00000A94"/>
    <w:rsid w:val="00001972"/>
    <w:rsid w:val="00001D9A"/>
    <w:rsid w:val="00007B3A"/>
    <w:rsid w:val="000107E0"/>
    <w:rsid w:val="00011FDE"/>
    <w:rsid w:val="00012FFD"/>
    <w:rsid w:val="00014162"/>
    <w:rsid w:val="00014340"/>
    <w:rsid w:val="00016A9C"/>
    <w:rsid w:val="00017163"/>
    <w:rsid w:val="00022184"/>
    <w:rsid w:val="00022762"/>
    <w:rsid w:val="000238E0"/>
    <w:rsid w:val="000249DB"/>
    <w:rsid w:val="0002595E"/>
    <w:rsid w:val="00026A58"/>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2A14"/>
    <w:rsid w:val="001642FA"/>
    <w:rsid w:val="001649EB"/>
    <w:rsid w:val="00164BAF"/>
    <w:rsid w:val="00164FA8"/>
    <w:rsid w:val="00165065"/>
    <w:rsid w:val="00165434"/>
    <w:rsid w:val="0016580B"/>
    <w:rsid w:val="00165F49"/>
    <w:rsid w:val="00166B88"/>
    <w:rsid w:val="0016770A"/>
    <w:rsid w:val="00170804"/>
    <w:rsid w:val="001708E9"/>
    <w:rsid w:val="00172A27"/>
    <w:rsid w:val="0017340B"/>
    <w:rsid w:val="00173FB1"/>
    <w:rsid w:val="00176DFD"/>
    <w:rsid w:val="001825C2"/>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3CCD"/>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65"/>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23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2859"/>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6B61"/>
    <w:rsid w:val="0044083F"/>
    <w:rsid w:val="00441AE7"/>
    <w:rsid w:val="00445574"/>
    <w:rsid w:val="004467FB"/>
    <w:rsid w:val="00452D6B"/>
    <w:rsid w:val="00454484"/>
    <w:rsid w:val="0045517B"/>
    <w:rsid w:val="00463B77"/>
    <w:rsid w:val="00463C7B"/>
    <w:rsid w:val="004644A6"/>
    <w:rsid w:val="004659BD"/>
    <w:rsid w:val="004674A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80E"/>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65B32"/>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102F"/>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2AA3"/>
    <w:rsid w:val="006640E5"/>
    <w:rsid w:val="006646F1"/>
    <w:rsid w:val="00664929"/>
    <w:rsid w:val="00664F62"/>
    <w:rsid w:val="006653AF"/>
    <w:rsid w:val="006655E1"/>
    <w:rsid w:val="00672060"/>
    <w:rsid w:val="00672BFD"/>
    <w:rsid w:val="006770F4"/>
    <w:rsid w:val="00677A84"/>
    <w:rsid w:val="0068026D"/>
    <w:rsid w:val="00680A27"/>
    <w:rsid w:val="006816A4"/>
    <w:rsid w:val="006819B8"/>
    <w:rsid w:val="006840A6"/>
    <w:rsid w:val="006850CD"/>
    <w:rsid w:val="00685AAB"/>
    <w:rsid w:val="006908F5"/>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3806"/>
    <w:rsid w:val="00704387"/>
    <w:rsid w:val="00707669"/>
    <w:rsid w:val="00711CBA"/>
    <w:rsid w:val="00711FB5"/>
    <w:rsid w:val="00712A01"/>
    <w:rsid w:val="00714F58"/>
    <w:rsid w:val="00722FBF"/>
    <w:rsid w:val="00722FC2"/>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2AF"/>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5CBF"/>
    <w:rsid w:val="008373D3"/>
    <w:rsid w:val="00840617"/>
    <w:rsid w:val="00840F84"/>
    <w:rsid w:val="00842A47"/>
    <w:rsid w:val="00843C13"/>
    <w:rsid w:val="00843DEF"/>
    <w:rsid w:val="008454F8"/>
    <w:rsid w:val="0085173A"/>
    <w:rsid w:val="008603CE"/>
    <w:rsid w:val="0086123D"/>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3C4"/>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0E58"/>
    <w:rsid w:val="00975727"/>
    <w:rsid w:val="00977010"/>
    <w:rsid w:val="00977D02"/>
    <w:rsid w:val="00977FF9"/>
    <w:rsid w:val="009809BB"/>
    <w:rsid w:val="0098364B"/>
    <w:rsid w:val="00984EF8"/>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2F9B"/>
    <w:rsid w:val="009C3152"/>
    <w:rsid w:val="009C3257"/>
    <w:rsid w:val="009C4CFA"/>
    <w:rsid w:val="009C5070"/>
    <w:rsid w:val="009D112C"/>
    <w:rsid w:val="009D1385"/>
    <w:rsid w:val="009D47FA"/>
    <w:rsid w:val="009D4C5B"/>
    <w:rsid w:val="009D50D2"/>
    <w:rsid w:val="009D6BCA"/>
    <w:rsid w:val="009E0074"/>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57D57"/>
    <w:rsid w:val="00A648CD"/>
    <w:rsid w:val="00A6537A"/>
    <w:rsid w:val="00A67866"/>
    <w:rsid w:val="00A70B07"/>
    <w:rsid w:val="00A723F8"/>
    <w:rsid w:val="00A72B26"/>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49AF"/>
    <w:rsid w:val="00B061C1"/>
    <w:rsid w:val="00B07242"/>
    <w:rsid w:val="00B10534"/>
    <w:rsid w:val="00B113DB"/>
    <w:rsid w:val="00B11D8A"/>
    <w:rsid w:val="00B12981"/>
    <w:rsid w:val="00B147DD"/>
    <w:rsid w:val="00B156FD"/>
    <w:rsid w:val="00B21F61"/>
    <w:rsid w:val="00B261F1"/>
    <w:rsid w:val="00B265BC"/>
    <w:rsid w:val="00B302CA"/>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4AF1"/>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3E54"/>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082"/>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C7EC0"/>
    <w:rsid w:val="00CD2808"/>
    <w:rsid w:val="00CD28BF"/>
    <w:rsid w:val="00CD4092"/>
    <w:rsid w:val="00CD4A20"/>
    <w:rsid w:val="00CD50A1"/>
    <w:rsid w:val="00CD519E"/>
    <w:rsid w:val="00CE0C4F"/>
    <w:rsid w:val="00CE30EA"/>
    <w:rsid w:val="00CF048A"/>
    <w:rsid w:val="00CF155A"/>
    <w:rsid w:val="00CF2947"/>
    <w:rsid w:val="00CF5B94"/>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178D4"/>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7739E"/>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0E8"/>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17D6E"/>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3ACB"/>
    <w:rsid w:val="00E664CC"/>
    <w:rsid w:val="00E70388"/>
    <w:rsid w:val="00E7065B"/>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5F"/>
    <w:rsid w:val="00EB1E69"/>
    <w:rsid w:val="00EB2086"/>
    <w:rsid w:val="00EB31ED"/>
    <w:rsid w:val="00EB5EDF"/>
    <w:rsid w:val="00EB60FE"/>
    <w:rsid w:val="00EB74DB"/>
    <w:rsid w:val="00EC5359"/>
    <w:rsid w:val="00EC562A"/>
    <w:rsid w:val="00ED004C"/>
    <w:rsid w:val="00ED067A"/>
    <w:rsid w:val="00ED2B50"/>
    <w:rsid w:val="00EE0350"/>
    <w:rsid w:val="00EE0719"/>
    <w:rsid w:val="00EE0E80"/>
    <w:rsid w:val="00EE613F"/>
    <w:rsid w:val="00EE7295"/>
    <w:rsid w:val="00EE7869"/>
    <w:rsid w:val="00EF036D"/>
    <w:rsid w:val="00EF054A"/>
    <w:rsid w:val="00EF2E27"/>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3435A"/>
    <w:rsid w:val="00F417A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361"/>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800"/>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4D60CAA"/>
    <w:rsid w:val="06962B51"/>
    <w:rsid w:val="0FDC38D4"/>
    <w:rsid w:val="1B8176D3"/>
    <w:rsid w:val="200D7EB9"/>
    <w:rsid w:val="216C1F58"/>
    <w:rsid w:val="22E429AC"/>
    <w:rsid w:val="24052BC5"/>
    <w:rsid w:val="25F37D76"/>
    <w:rsid w:val="28846321"/>
    <w:rsid w:val="29403045"/>
    <w:rsid w:val="2BB249DA"/>
    <w:rsid w:val="2C9139C3"/>
    <w:rsid w:val="2E190BCB"/>
    <w:rsid w:val="3F1E4982"/>
    <w:rsid w:val="3F5254AB"/>
    <w:rsid w:val="402927A7"/>
    <w:rsid w:val="424E37D0"/>
    <w:rsid w:val="44B93FF0"/>
    <w:rsid w:val="46E737AB"/>
    <w:rsid w:val="471054F8"/>
    <w:rsid w:val="47E6777F"/>
    <w:rsid w:val="4C4C478B"/>
    <w:rsid w:val="4CA707FB"/>
    <w:rsid w:val="4E451F2B"/>
    <w:rsid w:val="51312C3A"/>
    <w:rsid w:val="52AD50FC"/>
    <w:rsid w:val="55A3581E"/>
    <w:rsid w:val="57091CED"/>
    <w:rsid w:val="57651453"/>
    <w:rsid w:val="5A6B0F71"/>
    <w:rsid w:val="6AED6BAC"/>
    <w:rsid w:val="6FB15896"/>
    <w:rsid w:val="728A78DC"/>
    <w:rsid w:val="79F269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8"/>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7"/>
    <w:autoRedefine/>
    <w:qFormat/>
    <w:uiPriority w:val="99"/>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6"/>
    <w:autoRedefine/>
    <w:semiHidden/>
    <w:unhideWhenUsed/>
    <w:qFormat/>
    <w:uiPriority w:val="99"/>
    <w:rPr>
      <w:sz w:val="18"/>
      <w:szCs w:val="18"/>
    </w:rPr>
  </w:style>
  <w:style w:type="paragraph" w:styleId="17">
    <w:name w:val="footer"/>
    <w:basedOn w:val="1"/>
    <w:link w:val="45"/>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4"/>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0"/>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qFormat/>
    <w:uiPriority w:val="99"/>
    <w:pPr>
      <w:adjustRightInd/>
      <w:spacing w:beforeAutospacing="1" w:afterAutospacing="1" w:line="240" w:lineRule="auto"/>
    </w:pPr>
    <w:rPr>
      <w:rFonts w:ascii="Times New Roman" w:hAnsi="Times New Roman"/>
      <w:sz w:val="24"/>
      <w:szCs w:val="24"/>
    </w:rPr>
  </w:style>
  <w:style w:type="paragraph" w:styleId="26">
    <w:name w:val="Title"/>
    <w:basedOn w:val="1"/>
    <w:link w:val="49"/>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Emphasis"/>
    <w:autoRedefine/>
    <w:qFormat/>
    <w:uiPriority w:val="20"/>
    <w:rPr>
      <w:i/>
      <w:iCs/>
    </w:rPr>
  </w:style>
  <w:style w:type="character" w:styleId="33">
    <w:name w:val="Hyperlink"/>
    <w:autoRedefine/>
    <w:qFormat/>
    <w:uiPriority w:val="99"/>
    <w:rPr>
      <w:rFonts w:ascii="宋体" w:hAnsi="Times New Roman" w:eastAsia="宋体"/>
      <w:color w:val="auto"/>
      <w:spacing w:val="0"/>
      <w:w w:val="100"/>
      <w:position w:val="0"/>
      <w:sz w:val="21"/>
      <w:u w:val="none"/>
      <w:vertAlign w:val="baseline"/>
    </w:rPr>
  </w:style>
  <w:style w:type="character" w:styleId="34">
    <w:name w:val="footnote reference"/>
    <w:autoRedefine/>
    <w:semiHidden/>
    <w:qFormat/>
    <w:uiPriority w:val="0"/>
    <w:rPr>
      <w:rFonts w:ascii="宋体" w:hAnsi="宋体" w:eastAsia="宋体" w:cs="Times New Roman"/>
      <w:spacing w:val="0"/>
      <w:sz w:val="18"/>
      <w:vertAlign w:val="superscript"/>
    </w:rPr>
  </w:style>
  <w:style w:type="character" w:customStyle="1" w:styleId="35">
    <w:name w:val="标题 1 字符"/>
    <w:link w:val="2"/>
    <w:autoRedefine/>
    <w:qFormat/>
    <w:uiPriority w:val="0"/>
    <w:rPr>
      <w:b/>
      <w:bCs/>
      <w:kern w:val="44"/>
      <w:sz w:val="44"/>
      <w:szCs w:val="44"/>
    </w:rPr>
  </w:style>
  <w:style w:type="character" w:customStyle="1" w:styleId="36">
    <w:name w:val="标题 2 字符"/>
    <w:link w:val="3"/>
    <w:autoRedefine/>
    <w:qFormat/>
    <w:uiPriority w:val="0"/>
    <w:rPr>
      <w:rFonts w:ascii="Arial" w:hAnsi="Arial" w:eastAsia="黑体"/>
      <w:b/>
      <w:bCs/>
      <w:kern w:val="2"/>
      <w:sz w:val="32"/>
      <w:szCs w:val="32"/>
    </w:rPr>
  </w:style>
  <w:style w:type="character" w:customStyle="1" w:styleId="37">
    <w:name w:val="标题 3 字符"/>
    <w:link w:val="4"/>
    <w:autoRedefine/>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autoRedefine/>
    <w:qFormat/>
    <w:uiPriority w:val="0"/>
    <w:rPr>
      <w:b/>
      <w:bCs/>
      <w:kern w:val="2"/>
      <w:sz w:val="28"/>
      <w:szCs w:val="28"/>
    </w:rPr>
  </w:style>
  <w:style w:type="character" w:customStyle="1" w:styleId="40">
    <w:name w:val="标题 6 字符"/>
    <w:link w:val="7"/>
    <w:autoRedefine/>
    <w:qFormat/>
    <w:uiPriority w:val="0"/>
    <w:rPr>
      <w:rFonts w:ascii="Arial" w:hAnsi="Arial" w:eastAsia="黑体"/>
      <w:b/>
      <w:bCs/>
      <w:kern w:val="2"/>
      <w:sz w:val="24"/>
      <w:szCs w:val="24"/>
    </w:rPr>
  </w:style>
  <w:style w:type="character" w:customStyle="1" w:styleId="41">
    <w:name w:val="标题 7 字符"/>
    <w:link w:val="8"/>
    <w:autoRedefine/>
    <w:qFormat/>
    <w:uiPriority w:val="0"/>
    <w:rPr>
      <w:b/>
      <w:bCs/>
      <w:kern w:val="2"/>
      <w:sz w:val="24"/>
      <w:szCs w:val="24"/>
    </w:rPr>
  </w:style>
  <w:style w:type="character" w:customStyle="1" w:styleId="42">
    <w:name w:val="标题 8 字符"/>
    <w:link w:val="9"/>
    <w:autoRedefine/>
    <w:qFormat/>
    <w:uiPriority w:val="0"/>
    <w:rPr>
      <w:rFonts w:ascii="Arial" w:hAnsi="Arial" w:eastAsia="黑体"/>
      <w:kern w:val="2"/>
      <w:sz w:val="24"/>
      <w:szCs w:val="24"/>
    </w:rPr>
  </w:style>
  <w:style w:type="character" w:customStyle="1" w:styleId="43">
    <w:name w:val="标题 9 字符"/>
    <w:link w:val="10"/>
    <w:autoRedefine/>
    <w:qFormat/>
    <w:uiPriority w:val="0"/>
    <w:rPr>
      <w:rFonts w:ascii="Arial" w:hAnsi="Arial" w:eastAsia="黑体"/>
      <w:kern w:val="2"/>
      <w:sz w:val="21"/>
      <w:szCs w:val="21"/>
    </w:rPr>
  </w:style>
  <w:style w:type="character" w:customStyle="1" w:styleId="44">
    <w:name w:val="页眉 字符"/>
    <w:link w:val="18"/>
    <w:autoRedefine/>
    <w:qFormat/>
    <w:uiPriority w:val="99"/>
    <w:rPr>
      <w:kern w:val="2"/>
      <w:sz w:val="18"/>
      <w:szCs w:val="18"/>
    </w:rPr>
  </w:style>
  <w:style w:type="character" w:customStyle="1" w:styleId="45">
    <w:name w:val="页脚 字符"/>
    <w:link w:val="17"/>
    <w:autoRedefine/>
    <w:qFormat/>
    <w:uiPriority w:val="99"/>
    <w:rPr>
      <w:rFonts w:ascii="宋体"/>
      <w:kern w:val="2"/>
      <w:sz w:val="18"/>
      <w:szCs w:val="18"/>
    </w:rPr>
  </w:style>
  <w:style w:type="character" w:customStyle="1" w:styleId="46">
    <w:name w:val="批注框文本 字符"/>
    <w:link w:val="16"/>
    <w:autoRedefine/>
    <w:semiHidden/>
    <w:qFormat/>
    <w:uiPriority w:val="99"/>
    <w:rPr>
      <w:kern w:val="2"/>
      <w:sz w:val="18"/>
      <w:szCs w:val="18"/>
    </w:rPr>
  </w:style>
  <w:style w:type="paragraph" w:styleId="47">
    <w:name w:val="Quote"/>
    <w:basedOn w:val="1"/>
    <w:next w:val="1"/>
    <w:link w:val="48"/>
    <w:autoRedefine/>
    <w:qFormat/>
    <w:uiPriority w:val="29"/>
    <w:rPr>
      <w:i/>
      <w:iCs/>
      <w:color w:val="000000"/>
    </w:rPr>
  </w:style>
  <w:style w:type="character" w:customStyle="1" w:styleId="48">
    <w:name w:val="引用 字符"/>
    <w:link w:val="47"/>
    <w:autoRedefine/>
    <w:qFormat/>
    <w:uiPriority w:val="29"/>
    <w:rPr>
      <w:i/>
      <w:iCs/>
      <w:color w:val="000000"/>
      <w:kern w:val="2"/>
      <w:sz w:val="21"/>
      <w:szCs w:val="21"/>
    </w:rPr>
  </w:style>
  <w:style w:type="character" w:customStyle="1" w:styleId="49">
    <w:name w:val="标题 字符"/>
    <w:link w:val="26"/>
    <w:autoRedefine/>
    <w:qFormat/>
    <w:uiPriority w:val="0"/>
    <w:rPr>
      <w:rFonts w:ascii="Arial" w:hAnsi="Arial" w:cs="Arial"/>
      <w:b/>
      <w:bCs/>
      <w:kern w:val="2"/>
      <w:sz w:val="32"/>
      <w:szCs w:val="32"/>
    </w:rPr>
  </w:style>
  <w:style w:type="paragraph" w:customStyle="1" w:styleId="50">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autoRedefine/>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autoRedefine/>
    <w:qFormat/>
    <w:uiPriority w:val="0"/>
    <w:pPr>
      <w:spacing w:line="0" w:lineRule="atLeast"/>
    </w:pPr>
    <w:rPr>
      <w:rFonts w:ascii="黑体" w:hAnsi="宋体" w:eastAsia="黑体"/>
    </w:rPr>
  </w:style>
  <w:style w:type="paragraph" w:customStyle="1" w:styleId="56">
    <w:name w:val="标准文件_标准正文"/>
    <w:basedOn w:val="1"/>
    <w:next w:val="57"/>
    <w:autoRedefine/>
    <w:qFormat/>
    <w:uiPriority w:val="0"/>
    <w:pPr>
      <w:snapToGrid w:val="0"/>
      <w:ind w:firstLine="200" w:firstLineChars="200"/>
    </w:pPr>
    <w:rPr>
      <w:kern w:val="0"/>
    </w:rPr>
  </w:style>
  <w:style w:type="paragraph" w:customStyle="1" w:styleId="57">
    <w:name w:val="标准文件_段"/>
    <w:link w:val="185"/>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autoRedefine/>
    <w:qFormat/>
    <w:uiPriority w:val="0"/>
    <w:pPr>
      <w:adjustRightInd/>
      <w:snapToGrid/>
      <w:ind w:firstLine="0" w:firstLineChars="0"/>
    </w:pPr>
    <w:rPr>
      <w:rFonts w:ascii="宋体" w:hAnsi="宋体"/>
      <w:kern w:val="2"/>
    </w:rPr>
  </w:style>
  <w:style w:type="paragraph" w:customStyle="1" w:styleId="59">
    <w:name w:val="标准文件_标准部门"/>
    <w:basedOn w:val="1"/>
    <w:autoRedefine/>
    <w:qFormat/>
    <w:uiPriority w:val="0"/>
    <w:pPr>
      <w:jc w:val="center"/>
    </w:pPr>
    <w:rPr>
      <w:rFonts w:ascii="黑体" w:eastAsia="黑体"/>
      <w:kern w:val="0"/>
      <w:sz w:val="44"/>
    </w:rPr>
  </w:style>
  <w:style w:type="paragraph" w:customStyle="1" w:styleId="60">
    <w:name w:val="标准文件_标准代替"/>
    <w:basedOn w:val="1"/>
    <w:next w:val="1"/>
    <w:autoRedefine/>
    <w:qFormat/>
    <w:uiPriority w:val="0"/>
    <w:pPr>
      <w:spacing w:line="310" w:lineRule="exact"/>
      <w:jc w:val="right"/>
    </w:pPr>
    <w:rPr>
      <w:rFonts w:ascii="宋体" w:hAnsi="宋体"/>
      <w:kern w:val="0"/>
    </w:rPr>
  </w:style>
  <w:style w:type="paragraph" w:customStyle="1" w:styleId="61">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autoRedefine/>
    <w:qFormat/>
    <w:uiPriority w:val="0"/>
    <w:pPr>
      <w:jc w:val="left"/>
    </w:pPr>
  </w:style>
  <w:style w:type="paragraph" w:customStyle="1" w:styleId="64">
    <w:name w:val="标准文件_参考文献标题"/>
    <w:basedOn w:val="1"/>
    <w:next w:val="1"/>
    <w:autoRedefine/>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autoRedefine/>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autoRedefine/>
    <w:qFormat/>
    <w:uiPriority w:val="0"/>
    <w:rPr>
      <w:rFonts w:ascii="黑体" w:eastAsia="黑体"/>
      <w:spacing w:val="0"/>
      <w:w w:val="100"/>
      <w:position w:val="3"/>
      <w:sz w:val="28"/>
    </w:rPr>
  </w:style>
  <w:style w:type="paragraph" w:customStyle="1" w:styleId="68">
    <w:name w:val="标准文件_方框数字列项"/>
    <w:basedOn w:val="57"/>
    <w:autoRedefine/>
    <w:qFormat/>
    <w:uiPriority w:val="0"/>
    <w:pPr>
      <w:numPr>
        <w:ilvl w:val="0"/>
        <w:numId w:val="3"/>
      </w:numPr>
      <w:ind w:firstLine="0" w:firstLineChars="0"/>
    </w:pPr>
  </w:style>
  <w:style w:type="paragraph" w:customStyle="1" w:styleId="69">
    <w:name w:val="标准文件_封面标准编号"/>
    <w:basedOn w:val="1"/>
    <w:next w:val="60"/>
    <w:autoRedefine/>
    <w:qFormat/>
    <w:uiPriority w:val="0"/>
    <w:pPr>
      <w:spacing w:line="310" w:lineRule="exact"/>
      <w:jc w:val="right"/>
    </w:pPr>
    <w:rPr>
      <w:rFonts w:ascii="黑体" w:eastAsia="黑体"/>
      <w:kern w:val="0"/>
      <w:sz w:val="28"/>
    </w:rPr>
  </w:style>
  <w:style w:type="paragraph" w:customStyle="1" w:styleId="70">
    <w:name w:val="标准文件_封面标准分类号"/>
    <w:basedOn w:val="1"/>
    <w:autoRedefine/>
    <w:qFormat/>
    <w:uiPriority w:val="0"/>
    <w:rPr>
      <w:rFonts w:ascii="黑体" w:eastAsia="黑体"/>
      <w:b/>
      <w:kern w:val="0"/>
      <w:sz w:val="28"/>
    </w:rPr>
  </w:style>
  <w:style w:type="paragraph" w:customStyle="1" w:styleId="71">
    <w:name w:val="标准文件_封面标准名称"/>
    <w:basedOn w:val="1"/>
    <w:autoRedefine/>
    <w:qFormat/>
    <w:uiPriority w:val="0"/>
    <w:pPr>
      <w:spacing w:line="240" w:lineRule="auto"/>
      <w:jc w:val="center"/>
    </w:pPr>
    <w:rPr>
      <w:rFonts w:ascii="黑体" w:eastAsia="黑体"/>
      <w:kern w:val="0"/>
      <w:sz w:val="52"/>
    </w:rPr>
  </w:style>
  <w:style w:type="paragraph" w:customStyle="1" w:styleId="72">
    <w:name w:val="标准文件_封面标准英文名称"/>
    <w:basedOn w:val="1"/>
    <w:autoRedefine/>
    <w:qFormat/>
    <w:uiPriority w:val="0"/>
    <w:pPr>
      <w:spacing w:line="240" w:lineRule="auto"/>
      <w:jc w:val="center"/>
    </w:pPr>
    <w:rPr>
      <w:rFonts w:ascii="黑体" w:eastAsia="黑体"/>
      <w:b/>
      <w:sz w:val="28"/>
    </w:rPr>
  </w:style>
  <w:style w:type="paragraph" w:customStyle="1" w:styleId="73">
    <w:name w:val="标准文件_封面发布日期"/>
    <w:basedOn w:val="1"/>
    <w:autoRedefine/>
    <w:qFormat/>
    <w:uiPriority w:val="0"/>
    <w:pPr>
      <w:spacing w:line="310" w:lineRule="exact"/>
    </w:pPr>
    <w:rPr>
      <w:rFonts w:ascii="黑体" w:eastAsia="黑体"/>
      <w:kern w:val="0"/>
      <w:sz w:val="28"/>
    </w:rPr>
  </w:style>
  <w:style w:type="paragraph" w:customStyle="1" w:styleId="74">
    <w:name w:val="标准文件_封面密级"/>
    <w:basedOn w:val="1"/>
    <w:autoRedefine/>
    <w:qFormat/>
    <w:uiPriority w:val="0"/>
    <w:rPr>
      <w:rFonts w:eastAsia="黑体"/>
      <w:sz w:val="32"/>
    </w:rPr>
  </w:style>
  <w:style w:type="paragraph" w:customStyle="1" w:styleId="75">
    <w:name w:val="标准文件_封面实施日期"/>
    <w:basedOn w:val="1"/>
    <w:autoRedefine/>
    <w:qFormat/>
    <w:uiPriority w:val="0"/>
    <w:pPr>
      <w:spacing w:line="310" w:lineRule="exact"/>
      <w:jc w:val="right"/>
    </w:pPr>
    <w:rPr>
      <w:rFonts w:ascii="黑体" w:eastAsia="黑体"/>
      <w:sz w:val="28"/>
    </w:rPr>
  </w:style>
  <w:style w:type="paragraph" w:customStyle="1" w:styleId="76">
    <w:name w:val="标准文件_封面抬头"/>
    <w:basedOn w:val="57"/>
    <w:autoRedefine/>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autoRedefine/>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autoRedefine/>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autoRedefine/>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autoRedefine/>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autoRedefine/>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autoRedefine/>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autoRedefine/>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autoRedefine/>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autoRedefine/>
    <w:qFormat/>
    <w:uiPriority w:val="0"/>
    <w:rPr>
      <w:kern w:val="2"/>
      <w:sz w:val="21"/>
      <w:szCs w:val="21"/>
    </w:rPr>
  </w:style>
  <w:style w:type="paragraph" w:customStyle="1" w:styleId="88">
    <w:name w:val="标准文件_附录章标题"/>
    <w:next w:val="57"/>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autoRedefine/>
    <w:qFormat/>
    <w:uiPriority w:val="0"/>
    <w:pPr>
      <w:ind w:left="488" w:leftChars="200" w:hanging="289" w:hangingChars="290"/>
    </w:pPr>
  </w:style>
  <w:style w:type="paragraph" w:customStyle="1" w:styleId="90">
    <w:name w:val="标准文件_前言、引言标题"/>
    <w:next w:val="1"/>
    <w:autoRedefine/>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autoRedefine/>
    <w:qFormat/>
    <w:uiPriority w:val="0"/>
    <w:pPr>
      <w:spacing w:line="460" w:lineRule="exact"/>
      <w:ind w:left="0" w:firstLine="0"/>
    </w:pPr>
  </w:style>
  <w:style w:type="paragraph" w:customStyle="1" w:styleId="92">
    <w:name w:val="标准文件_目录标题"/>
    <w:basedOn w:val="1"/>
    <w:autoRedefine/>
    <w:qFormat/>
    <w:uiPriority w:val="0"/>
    <w:pPr>
      <w:spacing w:before="480" w:after="150" w:afterLines="150" w:line="240" w:lineRule="auto"/>
      <w:jc w:val="center"/>
    </w:pPr>
    <w:rPr>
      <w:rFonts w:ascii="黑体" w:eastAsia="黑体"/>
      <w:sz w:val="32"/>
    </w:rPr>
  </w:style>
  <w:style w:type="paragraph" w:customStyle="1" w:styleId="93">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autoRedefine/>
    <w:qFormat/>
    <w:uiPriority w:val="0"/>
    <w:pPr>
      <w:numPr>
        <w:numId w:val="10"/>
      </w:numPr>
    </w:pPr>
  </w:style>
  <w:style w:type="paragraph" w:customStyle="1" w:styleId="95">
    <w:name w:val="标准文件_三级条标题"/>
    <w:basedOn w:val="66"/>
    <w:next w:val="57"/>
    <w:autoRedefine/>
    <w:qFormat/>
    <w:uiPriority w:val="0"/>
    <w:pPr>
      <w:widowControl/>
      <w:numPr>
        <w:ilvl w:val="4"/>
      </w:numPr>
      <w:outlineLvl w:val="3"/>
    </w:pPr>
  </w:style>
  <w:style w:type="character" w:customStyle="1" w:styleId="96">
    <w:name w:val="不明显参考1"/>
    <w:autoRedefine/>
    <w:qFormat/>
    <w:uiPriority w:val="31"/>
    <w:rPr>
      <w:smallCaps/>
      <w:color w:val="C0504D"/>
      <w:u w:val="single"/>
    </w:rPr>
  </w:style>
  <w:style w:type="paragraph" w:customStyle="1" w:styleId="97">
    <w:name w:val="标准文件_示例后续"/>
    <w:basedOn w:val="1"/>
    <w:autoRedefine/>
    <w:qFormat/>
    <w:uiPriority w:val="0"/>
    <w:pPr>
      <w:adjustRightInd/>
      <w:spacing w:line="240" w:lineRule="auto"/>
      <w:ind w:firstLine="200" w:firstLineChars="200"/>
    </w:pPr>
    <w:rPr>
      <w:sz w:val="18"/>
      <w:szCs w:val="24"/>
    </w:rPr>
  </w:style>
  <w:style w:type="paragraph" w:customStyle="1" w:styleId="98">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autoRedefine/>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1"/>
    <w:autoRedefine/>
    <w:semiHidden/>
    <w:qFormat/>
    <w:uiPriority w:val="0"/>
    <w:rPr>
      <w:rFonts w:ascii="宋体"/>
      <w:kern w:val="2"/>
      <w:sz w:val="18"/>
      <w:szCs w:val="18"/>
    </w:rPr>
  </w:style>
  <w:style w:type="paragraph" w:customStyle="1" w:styleId="101">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autoRedefine/>
    <w:qFormat/>
    <w:uiPriority w:val="0"/>
    <w:pPr>
      <w:numPr>
        <w:ilvl w:val="0"/>
        <w:numId w:val="12"/>
      </w:numPr>
      <w:spacing w:line="240" w:lineRule="auto"/>
      <w:jc w:val="left"/>
    </w:pPr>
    <w:rPr>
      <w:rFonts w:ascii="宋体" w:hAnsi="宋体"/>
      <w:sz w:val="18"/>
    </w:rPr>
  </w:style>
  <w:style w:type="character" w:customStyle="1" w:styleId="103">
    <w:name w:val="标准文件_图表脚注内容"/>
    <w:autoRedefine/>
    <w:qFormat/>
    <w:uiPriority w:val="0"/>
    <w:rPr>
      <w:rFonts w:ascii="宋体" w:hAnsi="宋体" w:eastAsia="宋体" w:cs="Times New Roman"/>
      <w:spacing w:val="0"/>
      <w:sz w:val="18"/>
      <w:vertAlign w:val="superscript"/>
    </w:rPr>
  </w:style>
  <w:style w:type="paragraph" w:customStyle="1" w:styleId="104">
    <w:name w:val="标准文件_五级条标题"/>
    <w:next w:val="57"/>
    <w:autoRedefine/>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autoRedefine/>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autoRedefine/>
    <w:qFormat/>
    <w:uiPriority w:val="0"/>
    <w:pPr>
      <w:numPr>
        <w:ilvl w:val="2"/>
      </w:numPr>
      <w:spacing w:before="50" w:beforeLines="50" w:after="50" w:afterLines="50"/>
      <w:outlineLvl w:val="1"/>
    </w:pPr>
  </w:style>
  <w:style w:type="paragraph" w:customStyle="1" w:styleId="107">
    <w:name w:val="标准文件_一致程度"/>
    <w:basedOn w:val="1"/>
    <w:autoRedefine/>
    <w:qFormat/>
    <w:uiPriority w:val="0"/>
    <w:pPr>
      <w:spacing w:line="440" w:lineRule="exact"/>
      <w:jc w:val="center"/>
    </w:pPr>
    <w:rPr>
      <w:sz w:val="28"/>
    </w:rPr>
  </w:style>
  <w:style w:type="paragraph" w:customStyle="1" w:styleId="108">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autoRedefine/>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autoRedefine/>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autoRedefine/>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autoRedefine/>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0">
    <w:name w:val="发布部门"/>
    <w:next w:val="57"/>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autoRedefine/>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autoRedefine/>
    <w:qFormat/>
    <w:uiPriority w:val="0"/>
    <w:pPr>
      <w:outlineLvl w:val="4"/>
    </w:pPr>
  </w:style>
  <w:style w:type="paragraph" w:customStyle="1" w:styleId="131">
    <w:name w:val="附录四级无标题条"/>
    <w:basedOn w:val="130"/>
    <w:next w:val="57"/>
    <w:autoRedefine/>
    <w:qFormat/>
    <w:uiPriority w:val="0"/>
    <w:pPr>
      <w:outlineLvl w:val="5"/>
    </w:pPr>
  </w:style>
  <w:style w:type="paragraph" w:customStyle="1" w:styleId="132">
    <w:name w:val="附录图"/>
    <w:next w:val="57"/>
    <w:autoRedefine/>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autoRedefine/>
    <w:qFormat/>
    <w:uiPriority w:val="0"/>
    <w:pPr>
      <w:outlineLvl w:val="6"/>
    </w:pPr>
  </w:style>
  <w:style w:type="paragraph" w:customStyle="1" w:styleId="135">
    <w:name w:val="附录性质"/>
    <w:basedOn w:val="1"/>
    <w:autoRedefine/>
    <w:qFormat/>
    <w:uiPriority w:val="0"/>
    <w:pPr>
      <w:widowControl/>
      <w:adjustRightInd/>
      <w:jc w:val="center"/>
    </w:pPr>
    <w:rPr>
      <w:rFonts w:ascii="黑体" w:eastAsia="黑体"/>
    </w:rPr>
  </w:style>
  <w:style w:type="paragraph" w:customStyle="1" w:styleId="136">
    <w:name w:val="附录一级无标题条"/>
    <w:basedOn w:val="88"/>
    <w:next w:val="57"/>
    <w:autoRedefine/>
    <w:qFormat/>
    <w:uiPriority w:val="0"/>
    <w:pPr>
      <w:autoSpaceDN w:val="0"/>
      <w:outlineLvl w:val="2"/>
    </w:pPr>
    <w:rPr>
      <w:rFonts w:ascii="宋体" w:hAnsi="宋体" w:eastAsia="宋体"/>
    </w:rPr>
  </w:style>
  <w:style w:type="character" w:customStyle="1" w:styleId="137">
    <w:name w:val="个人答复风格"/>
    <w:autoRedefine/>
    <w:qFormat/>
    <w:uiPriority w:val="0"/>
    <w:rPr>
      <w:rFonts w:ascii="Arial" w:hAnsi="Arial" w:eastAsia="宋体" w:cs="Arial"/>
      <w:color w:val="auto"/>
      <w:spacing w:val="0"/>
      <w:sz w:val="20"/>
    </w:rPr>
  </w:style>
  <w:style w:type="character" w:customStyle="1" w:styleId="138">
    <w:name w:val="个人撰写风格"/>
    <w:autoRedefine/>
    <w:qFormat/>
    <w:uiPriority w:val="0"/>
    <w:rPr>
      <w:rFonts w:ascii="Arial" w:hAnsi="Arial" w:eastAsia="宋体" w:cs="Arial"/>
      <w:color w:val="auto"/>
      <w:spacing w:val="0"/>
      <w:sz w:val="20"/>
    </w:rPr>
  </w:style>
  <w:style w:type="paragraph" w:customStyle="1" w:styleId="139">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autoRedefine/>
    <w:qFormat/>
    <w:uiPriority w:val="0"/>
    <w:pPr>
      <w:tabs>
        <w:tab w:val="left" w:pos="840"/>
      </w:tabs>
    </w:pPr>
  </w:style>
  <w:style w:type="paragraph" w:customStyle="1" w:styleId="142">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autoRedefine/>
    <w:semiHidden/>
    <w:qFormat/>
    <w:uiPriority w:val="0"/>
    <w:pPr>
      <w:adjustRightInd/>
      <w:spacing w:line="240" w:lineRule="auto"/>
      <w:jc w:val="left"/>
    </w:pPr>
    <w:rPr>
      <w:bCs/>
      <w:iCs/>
    </w:rPr>
  </w:style>
  <w:style w:type="paragraph" w:customStyle="1" w:styleId="144">
    <w:name w:val="目录 31"/>
    <w:basedOn w:val="1"/>
    <w:next w:val="1"/>
    <w:autoRedefine/>
    <w:semiHidden/>
    <w:qFormat/>
    <w:uiPriority w:val="0"/>
    <w:pPr>
      <w:spacing w:line="240" w:lineRule="auto"/>
    </w:pPr>
    <w:rPr>
      <w:rFonts w:ascii="宋体" w:hAnsi="宋体"/>
      <w:iCs/>
    </w:rPr>
  </w:style>
  <w:style w:type="paragraph" w:customStyle="1" w:styleId="145">
    <w:name w:val="目录 41"/>
    <w:basedOn w:val="1"/>
    <w:next w:val="1"/>
    <w:autoRedefine/>
    <w:semiHidden/>
    <w:qFormat/>
    <w:uiPriority w:val="0"/>
    <w:pPr>
      <w:adjustRightInd/>
      <w:spacing w:line="240" w:lineRule="auto"/>
      <w:jc w:val="left"/>
    </w:pPr>
  </w:style>
  <w:style w:type="paragraph" w:customStyle="1" w:styleId="146">
    <w:name w:val="目录 51"/>
    <w:basedOn w:val="1"/>
    <w:next w:val="1"/>
    <w:autoRedefine/>
    <w:semiHidden/>
    <w:qFormat/>
    <w:uiPriority w:val="0"/>
    <w:pPr>
      <w:spacing w:line="240" w:lineRule="auto"/>
    </w:pPr>
    <w:rPr>
      <w:rFonts w:ascii="宋体" w:hAnsi="宋体"/>
    </w:rPr>
  </w:style>
  <w:style w:type="paragraph" w:customStyle="1" w:styleId="147">
    <w:name w:val="目录 61"/>
    <w:basedOn w:val="1"/>
    <w:next w:val="1"/>
    <w:autoRedefine/>
    <w:semiHidden/>
    <w:qFormat/>
    <w:uiPriority w:val="0"/>
    <w:pPr>
      <w:adjustRightInd/>
      <w:spacing w:line="240" w:lineRule="auto"/>
      <w:jc w:val="left"/>
    </w:pPr>
  </w:style>
  <w:style w:type="paragraph" w:customStyle="1" w:styleId="148">
    <w:name w:val="目录 71"/>
    <w:basedOn w:val="147"/>
    <w:autoRedefine/>
    <w:semiHidden/>
    <w:qFormat/>
    <w:uiPriority w:val="0"/>
    <w:pPr>
      <w:ind w:left="1260"/>
    </w:pPr>
  </w:style>
  <w:style w:type="paragraph" w:customStyle="1" w:styleId="149">
    <w:name w:val="目录 81"/>
    <w:basedOn w:val="148"/>
    <w:autoRedefine/>
    <w:semiHidden/>
    <w:qFormat/>
    <w:uiPriority w:val="0"/>
    <w:pPr>
      <w:ind w:left="1470"/>
    </w:pPr>
  </w:style>
  <w:style w:type="paragraph" w:customStyle="1" w:styleId="150">
    <w:name w:val="目录 91"/>
    <w:basedOn w:val="149"/>
    <w:autoRedefine/>
    <w:semiHidden/>
    <w:qFormat/>
    <w:uiPriority w:val="0"/>
    <w:pPr>
      <w:ind w:left="1680"/>
    </w:pPr>
  </w:style>
  <w:style w:type="paragraph" w:customStyle="1" w:styleId="151">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autoRedefine/>
    <w:qFormat/>
    <w:uiPriority w:val="0"/>
    <w:pPr>
      <w:framePr w:wrap="around"/>
      <w:spacing w:line="0" w:lineRule="atLeast"/>
    </w:pPr>
    <w:rPr>
      <w:rFonts w:ascii="黑体" w:eastAsia="黑体"/>
      <w:b w:val="0"/>
    </w:rPr>
  </w:style>
  <w:style w:type="paragraph" w:customStyle="1" w:styleId="153">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5">
    <w:name w:val="实施日期"/>
    <w:basedOn w:val="121"/>
    <w:autoRedefine/>
    <w:qFormat/>
    <w:uiPriority w:val="0"/>
    <w:pPr>
      <w:framePr w:hSpace="0" w:wrap="around" w:xAlign="right"/>
      <w:jc w:val="right"/>
    </w:pPr>
  </w:style>
  <w:style w:type="paragraph" w:customStyle="1" w:styleId="156">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7">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autoRedefine/>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autoRedefine/>
    <w:qFormat/>
    <w:uiPriority w:val="0"/>
    <w:pPr>
      <w:numPr>
        <w:ilvl w:val="6"/>
        <w:numId w:val="20"/>
      </w:numPr>
      <w:adjustRightInd/>
    </w:pPr>
    <w:rPr>
      <w:szCs w:val="24"/>
    </w:rPr>
  </w:style>
  <w:style w:type="paragraph" w:customStyle="1" w:styleId="160">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1">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autoRedefine/>
    <w:qFormat/>
    <w:uiPriority w:val="0"/>
    <w:pPr>
      <w:ind w:left="1406" w:leftChars="0" w:hanging="499" w:firstLineChars="0"/>
    </w:pPr>
  </w:style>
  <w:style w:type="paragraph" w:customStyle="1" w:styleId="163">
    <w:name w:val="标准文件_一级无标题"/>
    <w:basedOn w:val="106"/>
    <w:autoRedefine/>
    <w:qFormat/>
    <w:uiPriority w:val="0"/>
    <w:pPr>
      <w:spacing w:before="0" w:beforeLines="0" w:after="0" w:afterLines="0"/>
      <w:outlineLvl w:val="9"/>
    </w:pPr>
    <w:rPr>
      <w:rFonts w:ascii="宋体" w:eastAsia="宋体"/>
    </w:rPr>
  </w:style>
  <w:style w:type="paragraph" w:customStyle="1" w:styleId="164">
    <w:name w:val="标准文件_五级无标题"/>
    <w:basedOn w:val="104"/>
    <w:autoRedefine/>
    <w:qFormat/>
    <w:uiPriority w:val="0"/>
    <w:pPr>
      <w:spacing w:before="0" w:beforeLines="0" w:after="0" w:afterLines="0"/>
      <w:outlineLvl w:val="9"/>
    </w:pPr>
    <w:rPr>
      <w:rFonts w:ascii="宋体" w:eastAsia="宋体"/>
    </w:rPr>
  </w:style>
  <w:style w:type="paragraph" w:customStyle="1" w:styleId="165">
    <w:name w:val="标准文件_三级无标题"/>
    <w:basedOn w:val="95"/>
    <w:autoRedefine/>
    <w:qFormat/>
    <w:uiPriority w:val="0"/>
    <w:pPr>
      <w:spacing w:before="0" w:beforeLines="0" w:after="0" w:afterLines="0"/>
      <w:outlineLvl w:val="9"/>
    </w:pPr>
    <w:rPr>
      <w:rFonts w:ascii="宋体" w:eastAsia="宋体"/>
    </w:rPr>
  </w:style>
  <w:style w:type="paragraph" w:customStyle="1" w:styleId="166">
    <w:name w:val="标准文件_二级无标题"/>
    <w:basedOn w:val="66"/>
    <w:autoRedefine/>
    <w:qFormat/>
    <w:uiPriority w:val="0"/>
    <w:pPr>
      <w:spacing w:before="0" w:beforeLines="0" w:after="0" w:afterLines="0"/>
      <w:outlineLvl w:val="9"/>
    </w:pPr>
    <w:rPr>
      <w:rFonts w:ascii="宋体" w:eastAsia="宋体"/>
    </w:rPr>
  </w:style>
  <w:style w:type="paragraph" w:customStyle="1" w:styleId="167">
    <w:name w:val="标准_四级无标题"/>
    <w:basedOn w:val="99"/>
    <w:next w:val="57"/>
    <w:autoRedefine/>
    <w:qFormat/>
    <w:uiPriority w:val="0"/>
    <w:rPr>
      <w:rFonts w:eastAsia="宋体"/>
    </w:rPr>
  </w:style>
  <w:style w:type="paragraph" w:customStyle="1" w:styleId="168">
    <w:name w:val="标准文件_四级无标题"/>
    <w:basedOn w:val="99"/>
    <w:autoRedefine/>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autoRedefine/>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autoRedefine/>
    <w:qFormat/>
    <w:uiPriority w:val="0"/>
    <w:pPr>
      <w:numPr>
        <w:ilvl w:val="0"/>
        <w:numId w:val="24"/>
      </w:numPr>
      <w:ind w:firstLine="0" w:firstLineChars="0"/>
    </w:pPr>
    <w:rPr>
      <w:rFonts w:cs="Arial"/>
      <w:szCs w:val="28"/>
    </w:rPr>
  </w:style>
  <w:style w:type="paragraph" w:customStyle="1" w:styleId="171">
    <w:name w:val="标准文件_附录标题"/>
    <w:basedOn w:val="77"/>
    <w:autoRedefine/>
    <w:qFormat/>
    <w:uiPriority w:val="0"/>
    <w:pPr>
      <w:numPr>
        <w:numId w:val="0"/>
      </w:numPr>
      <w:spacing w:after="280"/>
      <w:outlineLvl w:val="9"/>
    </w:pPr>
  </w:style>
  <w:style w:type="paragraph" w:customStyle="1" w:styleId="172">
    <w:name w:val="标准文件_二级项"/>
    <w:autoRedefine/>
    <w:qFormat/>
    <w:uiPriority w:val="0"/>
    <w:rPr>
      <w:rFonts w:ascii="宋体" w:hAnsi="Times New Roman" w:eastAsia="宋体" w:cs="Times New Roman"/>
      <w:sz w:val="21"/>
      <w:lang w:val="en-US" w:eastAsia="zh-CN" w:bidi="ar-SA"/>
    </w:rPr>
  </w:style>
  <w:style w:type="paragraph" w:customStyle="1" w:styleId="173">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autoRedefine/>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autoRedefine/>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autoRedefine/>
    <w:qFormat/>
    <w:uiPriority w:val="0"/>
    <w:pPr>
      <w:ind w:firstLine="0" w:firstLineChars="0"/>
      <w:jc w:val="center"/>
    </w:pPr>
    <w:rPr>
      <w:sz w:val="18"/>
    </w:rPr>
  </w:style>
  <w:style w:type="paragraph" w:customStyle="1" w:styleId="180">
    <w:name w:val="标准文件_注："/>
    <w:next w:val="57"/>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autoRedefine/>
    <w:qFormat/>
    <w:uiPriority w:val="0"/>
    <w:pPr>
      <w:ind w:firstLine="420"/>
    </w:pPr>
    <w:rPr>
      <w:sz w:val="18"/>
    </w:rPr>
  </w:style>
  <w:style w:type="paragraph" w:customStyle="1" w:styleId="184">
    <w:name w:val="标准文件_示例×："/>
    <w:basedOn w:val="1"/>
    <w:next w:val="183"/>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autoRedefine/>
    <w:qFormat/>
    <w:uiPriority w:val="0"/>
    <w:rPr>
      <w:rFonts w:ascii="宋体" w:hAnsi="Times New Roman"/>
      <w:sz w:val="21"/>
    </w:rPr>
  </w:style>
  <w:style w:type="paragraph" w:customStyle="1" w:styleId="186">
    <w:name w:val="标准文件_表格续"/>
    <w:basedOn w:val="57"/>
    <w:next w:val="57"/>
    <w:autoRedefine/>
    <w:qFormat/>
    <w:uiPriority w:val="0"/>
    <w:pPr>
      <w:jc w:val="center"/>
    </w:pPr>
    <w:rPr>
      <w:rFonts w:ascii="黑体" w:hAnsi="黑体" w:eastAsia="黑体"/>
    </w:rPr>
  </w:style>
  <w:style w:type="character" w:styleId="187">
    <w:name w:val="Placeholder Text"/>
    <w:basedOn w:val="29"/>
    <w:autoRedefine/>
    <w:semiHidden/>
    <w:qFormat/>
    <w:uiPriority w:val="99"/>
    <w:rPr>
      <w:color w:val="808080"/>
    </w:rPr>
  </w:style>
  <w:style w:type="paragraph" w:customStyle="1" w:styleId="188">
    <w:name w:val="标准文件_二级项2"/>
    <w:basedOn w:val="57"/>
    <w:autoRedefine/>
    <w:qFormat/>
    <w:uiPriority w:val="0"/>
    <w:pPr>
      <w:numPr>
        <w:ilvl w:val="1"/>
        <w:numId w:val="21"/>
      </w:numPr>
      <w:ind w:firstLine="0" w:firstLineChars="0"/>
    </w:pPr>
  </w:style>
  <w:style w:type="paragraph" w:customStyle="1" w:styleId="189">
    <w:name w:val="标准文件_三级项2"/>
    <w:basedOn w:val="57"/>
    <w:autoRedefine/>
    <w:qFormat/>
    <w:uiPriority w:val="0"/>
    <w:pPr>
      <w:numPr>
        <w:ilvl w:val="0"/>
        <w:numId w:val="30"/>
      </w:numPr>
      <w:spacing w:line="300" w:lineRule="exact"/>
      <w:ind w:firstLineChars="0"/>
    </w:pPr>
    <w:rPr>
      <w:rFonts w:ascii="Times New Roman"/>
    </w:rPr>
  </w:style>
  <w:style w:type="paragraph" w:customStyle="1" w:styleId="190">
    <w:name w:val="标准文件_一级项2"/>
    <w:basedOn w:val="57"/>
    <w:autoRedefine/>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autoRedefine/>
    <w:qFormat/>
    <w:uiPriority w:val="0"/>
    <w:pPr>
      <w:ind w:firstLine="420"/>
    </w:pPr>
    <w:rPr>
      <w:rFonts w:ascii="黑体" w:eastAsia="黑体"/>
    </w:rPr>
  </w:style>
  <w:style w:type="character" w:customStyle="1" w:styleId="192">
    <w:name w:val="标准文件_来源"/>
    <w:basedOn w:val="29"/>
    <w:autoRedefine/>
    <w:qFormat/>
    <w:uiPriority w:val="1"/>
    <w:rPr>
      <w:rFonts w:eastAsia="宋体"/>
      <w:sz w:val="21"/>
    </w:rPr>
  </w:style>
  <w:style w:type="paragraph" w:customStyle="1" w:styleId="193">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autoRedefine/>
    <w:qFormat/>
    <w:uiPriority w:val="0"/>
    <w:pPr>
      <w:framePr w:w="3997" w:h="471" w:hRule="exact" w:hSpace="0" w:vSpace="181" w:wrap="around" w:vAnchor="page" w:hAnchor="page" w:x="1419" w:y="14097"/>
    </w:pPr>
  </w:style>
  <w:style w:type="paragraph" w:customStyle="1" w:styleId="195">
    <w:name w:val="其他实施日期"/>
    <w:basedOn w:val="155"/>
    <w:autoRedefine/>
    <w:qFormat/>
    <w:uiPriority w:val="0"/>
    <w:pPr>
      <w:framePr w:w="3997" w:h="471" w:hRule="exact" w:vSpace="181" w:wrap="around" w:vAnchor="page" w:hAnchor="page" w:x="7089" w:y="14097"/>
    </w:pPr>
  </w:style>
  <w:style w:type="paragraph" w:customStyle="1" w:styleId="196">
    <w:name w:val="标准文件_文件编号"/>
    <w:basedOn w:val="57"/>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autoRedefine/>
    <w:qFormat/>
    <w:uiPriority w:val="0"/>
    <w:pPr>
      <w:framePr/>
      <w:spacing w:before="57"/>
    </w:pPr>
    <w:rPr>
      <w:sz w:val="21"/>
    </w:rPr>
  </w:style>
  <w:style w:type="paragraph" w:customStyle="1" w:styleId="198">
    <w:name w:val="标准文件_文件名称"/>
    <w:basedOn w:val="57"/>
    <w:next w:val="57"/>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autoRedefine/>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autoRedefine/>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autoRedefine/>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autoRedefine/>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autoRedefine/>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autoRedefine/>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autoRedefine/>
    <w:qFormat/>
    <w:uiPriority w:val="0"/>
    <w:pPr>
      <w:ind w:left="811" w:firstLine="0" w:firstLineChars="0"/>
    </w:pPr>
    <w:rPr>
      <w:sz w:val="18"/>
    </w:rPr>
  </w:style>
  <w:style w:type="paragraph" w:customStyle="1" w:styleId="207">
    <w:name w:val="标准文件_注X后"/>
    <w:basedOn w:val="57"/>
    <w:autoRedefine/>
    <w:qFormat/>
    <w:uiPriority w:val="0"/>
    <w:pPr>
      <w:ind w:left="811" w:firstLine="0" w:firstLineChars="0"/>
    </w:pPr>
    <w:rPr>
      <w:sz w:val="18"/>
    </w:rPr>
  </w:style>
  <w:style w:type="paragraph" w:customStyle="1" w:styleId="208">
    <w:name w:val="标准文件_示例后"/>
    <w:basedOn w:val="57"/>
    <w:autoRedefine/>
    <w:qFormat/>
    <w:uiPriority w:val="0"/>
    <w:pPr>
      <w:ind w:left="964" w:firstLine="0" w:firstLineChars="0"/>
    </w:pPr>
    <w:rPr>
      <w:sz w:val="18"/>
    </w:rPr>
  </w:style>
  <w:style w:type="paragraph" w:customStyle="1" w:styleId="209">
    <w:name w:val="标准文件_示例X后"/>
    <w:basedOn w:val="57"/>
    <w:link w:val="210"/>
    <w:autoRedefine/>
    <w:qFormat/>
    <w:uiPriority w:val="0"/>
    <w:pPr>
      <w:ind w:left="1049" w:firstLine="0" w:firstLineChars="0"/>
    </w:pPr>
    <w:rPr>
      <w:sz w:val="18"/>
    </w:rPr>
  </w:style>
  <w:style w:type="character" w:customStyle="1" w:styleId="210">
    <w:name w:val="标准文件_示例X后 字符"/>
    <w:basedOn w:val="185"/>
    <w:link w:val="209"/>
    <w:autoRedefine/>
    <w:qFormat/>
    <w:uiPriority w:val="0"/>
    <w:rPr>
      <w:rFonts w:ascii="宋体" w:hAnsi="Times New Roman"/>
      <w:sz w:val="18"/>
    </w:rPr>
  </w:style>
  <w:style w:type="paragraph" w:customStyle="1" w:styleId="211">
    <w:name w:val="标准文件_索引项"/>
    <w:basedOn w:val="57"/>
    <w:next w:val="57"/>
    <w:autoRedefine/>
    <w:qFormat/>
    <w:uiPriority w:val="0"/>
    <w:pPr>
      <w:tabs>
        <w:tab w:val="right" w:leader="dot" w:pos="9356"/>
      </w:tabs>
      <w:ind w:left="210" w:hanging="210" w:firstLineChars="0"/>
      <w:jc w:val="left"/>
    </w:pPr>
  </w:style>
  <w:style w:type="paragraph" w:customStyle="1" w:styleId="212">
    <w:name w:val="标准文件_附录一级无标题"/>
    <w:basedOn w:val="79"/>
    <w:autoRedefine/>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autoRedefine/>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autoRedefine/>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autoRedefine/>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autoRedefine/>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autoRedefine/>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autoRedefine/>
    <w:qFormat/>
    <w:uiPriority w:val="0"/>
    <w:pPr>
      <w:spacing w:before="0" w:beforeLines="0" w:after="0" w:afterLines="0" w:line="276" w:lineRule="auto"/>
    </w:pPr>
    <w:rPr>
      <w:rFonts w:ascii="宋体" w:eastAsia="宋体"/>
    </w:rPr>
  </w:style>
  <w:style w:type="paragraph" w:customStyle="1" w:styleId="219">
    <w:name w:val="标准文件_引言三级无标题"/>
    <w:basedOn w:val="203"/>
    <w:autoRedefine/>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autoRedefine/>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autoRedefine/>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autoRedefine/>
    <w:qFormat/>
    <w:uiPriority w:val="0"/>
    <w:rPr>
      <w:rFonts w:hAnsi="黑体"/>
    </w:rPr>
  </w:style>
  <w:style w:type="paragraph" w:customStyle="1" w:styleId="223">
    <w:name w:val="标准文件_脚注内容"/>
    <w:basedOn w:val="57"/>
    <w:autoRedefine/>
    <w:qFormat/>
    <w:uiPriority w:val="0"/>
    <w:pPr>
      <w:ind w:left="400" w:leftChars="200" w:hanging="200" w:hangingChars="200"/>
    </w:pPr>
    <w:rPr>
      <w:sz w:val="15"/>
    </w:rPr>
  </w:style>
  <w:style w:type="paragraph" w:customStyle="1" w:styleId="224">
    <w:name w:val="标准文件_术语条一"/>
    <w:basedOn w:val="163"/>
    <w:next w:val="57"/>
    <w:autoRedefine/>
    <w:qFormat/>
    <w:uiPriority w:val="0"/>
  </w:style>
  <w:style w:type="paragraph" w:customStyle="1" w:styleId="225">
    <w:name w:val="标准文件_术语条二"/>
    <w:basedOn w:val="166"/>
    <w:next w:val="57"/>
    <w:autoRedefine/>
    <w:qFormat/>
    <w:uiPriority w:val="0"/>
  </w:style>
  <w:style w:type="paragraph" w:customStyle="1" w:styleId="226">
    <w:name w:val="标准文件_术语条三"/>
    <w:basedOn w:val="165"/>
    <w:next w:val="57"/>
    <w:autoRedefine/>
    <w:qFormat/>
    <w:uiPriority w:val="0"/>
  </w:style>
  <w:style w:type="paragraph" w:customStyle="1" w:styleId="227">
    <w:name w:val="标准文件_术语条四"/>
    <w:basedOn w:val="168"/>
    <w:next w:val="57"/>
    <w:autoRedefine/>
    <w:qFormat/>
    <w:uiPriority w:val="0"/>
  </w:style>
  <w:style w:type="paragraph" w:customStyle="1" w:styleId="228">
    <w:name w:val="标准文件_术语条五"/>
    <w:basedOn w:val="164"/>
    <w:next w:val="57"/>
    <w:autoRedefine/>
    <w:qFormat/>
    <w:uiPriority w:val="0"/>
  </w:style>
  <w:style w:type="paragraph" w:customStyle="1" w:styleId="229">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autoRedefine/>
    <w:qFormat/>
    <w:uiPriority w:val="0"/>
    <w:rPr>
      <w:rFonts w:ascii="黑体" w:eastAsia="黑体"/>
      <w:spacing w:val="85"/>
      <w:w w:val="100"/>
      <w:position w:val="3"/>
      <w:sz w:val="28"/>
      <w:szCs w:val="28"/>
    </w:rPr>
  </w:style>
  <w:style w:type="character" w:customStyle="1" w:styleId="231">
    <w:name w:val="段 Char"/>
    <w:link w:val="232"/>
    <w:autoRedefine/>
    <w:qFormat/>
    <w:uiPriority w:val="0"/>
    <w:rPr>
      <w:rFonts w:ascii="宋体"/>
      <w:sz w:val="21"/>
    </w:rPr>
  </w:style>
  <w:style w:type="paragraph" w:customStyle="1" w:styleId="232">
    <w:name w:val="段"/>
    <w:link w:val="231"/>
    <w:autoRedefine/>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 w:type="paragraph" w:customStyle="1" w:styleId="233">
    <w:name w:val="一级条标题"/>
    <w:next w:val="232"/>
    <w:autoRedefine/>
    <w:qFormat/>
    <w:uiPriority w:val="0"/>
    <w:p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34">
    <w:name w:val="二级条标题"/>
    <w:basedOn w:val="233"/>
    <w:next w:val="232"/>
    <w:autoRedefine/>
    <w:qFormat/>
    <w:uiPriority w:val="0"/>
    <w:pPr>
      <w:spacing w:before="50" w:after="50"/>
      <w:outlineLvl w:val="3"/>
    </w:pPr>
  </w:style>
  <w:style w:type="paragraph" w:customStyle="1" w:styleId="235">
    <w:name w:val="章标题"/>
    <w:next w:val="232"/>
    <w:autoRedefine/>
    <w:qFormat/>
    <w:uiPriority w:val="0"/>
    <w:pPr>
      <w:spacing w:before="312" w:beforeLines="100" w:after="312" w:afterLines="100"/>
      <w:ind w:left="420" w:hanging="420"/>
      <w:jc w:val="both"/>
      <w:outlineLvl w:val="1"/>
    </w:pPr>
    <w:rPr>
      <w:rFonts w:ascii="黑体" w:hAnsi="Times New Roman" w:eastAsia="黑体" w:cs="Times New Roman"/>
      <w:sz w:val="21"/>
      <w:lang w:val="en-US" w:eastAsia="zh-CN" w:bidi="ar-SA"/>
    </w:rPr>
  </w:style>
  <w:style w:type="paragraph" w:customStyle="1" w:styleId="236">
    <w:name w:val="三级无"/>
    <w:basedOn w:val="1"/>
    <w:autoRedefine/>
    <w:qFormat/>
    <w:uiPriority w:val="0"/>
    <w:pPr>
      <w:widowControl/>
      <w:adjustRightInd/>
      <w:spacing w:line="240" w:lineRule="auto"/>
      <w:jc w:val="left"/>
      <w:outlineLvl w:val="4"/>
    </w:pPr>
    <w:rPr>
      <w:rFonts w:ascii="宋体" w:hAnsi="Times New Roman"/>
      <w:kern w:val="0"/>
    </w:rPr>
  </w:style>
  <w:style w:type="character" w:customStyle="1" w:styleId="237">
    <w:name w:val="正文文本 Char1"/>
    <w:autoRedefine/>
    <w:unhideWhenUsed/>
    <w:qFormat/>
    <w:locked/>
    <w:uiPriority w:val="99"/>
    <w:rPr>
      <w:rFonts w:ascii="宋体"/>
      <w:sz w:val="22"/>
    </w:rPr>
  </w:style>
  <w:style w:type="paragraph" w:customStyle="1" w:styleId="238">
    <w:name w:val="_Style 237"/>
    <w:basedOn w:val="1"/>
    <w:next w:val="239"/>
    <w:autoRedefine/>
    <w:qFormat/>
    <w:uiPriority w:val="1"/>
    <w:pPr>
      <w:autoSpaceDE w:val="0"/>
      <w:autoSpaceDN w:val="0"/>
      <w:spacing w:line="240" w:lineRule="auto"/>
      <w:ind w:left="118"/>
      <w:jc w:val="left"/>
    </w:pPr>
    <w:rPr>
      <w:rFonts w:ascii="Times New Roman" w:hAnsi="Times New Roman"/>
      <w:kern w:val="0"/>
      <w:sz w:val="24"/>
      <w:szCs w:val="24"/>
    </w:rPr>
  </w:style>
  <w:style w:type="paragraph" w:styleId="23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glossaryDocument" Target="glossary/document.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3.jpeg"/><Relationship Id="rId21" Type="http://schemas.openxmlformats.org/officeDocument/2006/relationships/image" Target="media/image2.png"/><Relationship Id="rId20" Type="http://schemas.openxmlformats.org/officeDocument/2006/relationships/image" Target="media/image1.png"/><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C589A4EAF81941C5B0FE240F6576C4A4"/>
        <w:style w:val=""/>
        <w:category>
          <w:name w:val="常规"/>
          <w:gallery w:val="placeholder"/>
        </w:category>
        <w:types>
          <w:type w:val="bbPlcHdr"/>
        </w:types>
        <w:behaviors>
          <w:behavior w:val="content"/>
        </w:behaviors>
        <w:description w:val=""/>
        <w:guid w:val="{00D4A6F8-0E33-4F95-BF6B-0957F52FD4DD}"/>
      </w:docPartPr>
      <w:docPartBody>
        <w:p>
          <w:pPr>
            <w:pStyle w:val="5"/>
          </w:pPr>
          <w:r>
            <w:rPr>
              <w:rStyle w:val="4"/>
              <w:rFonts w:hint="eastAsia"/>
            </w:rPr>
            <w:t>单击或点击此处输入文字。</w:t>
          </w:r>
        </w:p>
      </w:docPartBody>
    </w:docPart>
    <w:docPart>
      <w:docPartPr>
        <w:name w:val="{1205b77b-34ed-4db5-968a-0adc2576d524}"/>
        <w:style w:val=""/>
        <w:category>
          <w:name w:val="常规"/>
          <w:gallery w:val="placeholder"/>
        </w:category>
        <w:types>
          <w:type w:val="bbPlcHdr"/>
        </w:types>
        <w:behaviors>
          <w:behavior w:val="content"/>
        </w:behaviors>
        <w:description w:val=""/>
        <w:guid w:val="{1205B77B-34ED-4DB5-968A-0ADC2576D524}"/>
      </w:docPartPr>
      <w:docPartBody>
        <w:p>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EFB"/>
    <w:rsid w:val="00003824"/>
    <w:rsid w:val="000112F6"/>
    <w:rsid w:val="00093C7F"/>
    <w:rsid w:val="001D0956"/>
    <w:rsid w:val="001F4A72"/>
    <w:rsid w:val="00436FB4"/>
    <w:rsid w:val="00445593"/>
    <w:rsid w:val="00574D61"/>
    <w:rsid w:val="006553BC"/>
    <w:rsid w:val="006D682E"/>
    <w:rsid w:val="008E225E"/>
    <w:rsid w:val="00A62E0A"/>
    <w:rsid w:val="00AA0E0F"/>
    <w:rsid w:val="00BB2407"/>
    <w:rsid w:val="00C71EFB"/>
    <w:rsid w:val="00D215CE"/>
    <w:rsid w:val="00D84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C589A4EAF81941C5B0FE240F6576C4A4"/>
    <w:autoRedefine/>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customStyle="1" w:styleId="6">
    <w:name w:val="4652D5ACE1224E9598C48E4E16B143F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datastoreItem>
</file>

<file path=docProps/app.xml><?xml version="1.0" encoding="utf-8"?>
<Properties xmlns="http://schemas.openxmlformats.org/officeDocument/2006/extended-properties" xmlns:vt="http://schemas.openxmlformats.org/officeDocument/2006/docPropsVTypes">
  <Template>Normal.dotm</Template>
  <Company>PCMI</Company>
  <Pages>7</Pages>
  <Words>806</Words>
  <Characters>4596</Characters>
  <Lines>38</Lines>
  <Paragraphs>10</Paragraphs>
  <TotalTime>55</TotalTime>
  <ScaleCrop>false</ScaleCrop>
  <LinksUpToDate>false</LinksUpToDate>
  <CharactersWithSpaces>5392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2023-07-18T07:17:00Z</dcterms:created>
  <dc:creator>xin</dc:creator>
  <dc:description>&lt;config cover="true" show_menu="true" version="1.0.0" doctype="SDKXY"&gt;_x000d_
&lt;/config&gt;</dc:description>
  <cp:lastModifiedBy>David</cp:lastModifiedBy>
  <cp:lastPrinted>2021-02-02T08:22:00Z</cp:lastPrinted>
  <dcterms:modified xsi:type="dcterms:W3CDTF">2024-02-05T09:20:29Z</dcterms:modified>
  <dc:title>团体标准</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True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2052-12.1.0.16250</vt:lpwstr>
  </property>
  <property fmtid="{D5CDD505-2E9C-101B-9397-08002B2CF9AE}" pid="15" name="ICV">
    <vt:lpwstr>C2E617C8780D4413B4A96133CC93B4C8_13</vt:lpwstr>
  </property>
  <property fmtid="{D5CDD505-2E9C-101B-9397-08002B2CF9AE}" pid="16" name="DoublePage">
    <vt:lpwstr>true</vt:lpwstr>
  </property>
</Properties>
</file>