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71.040.30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G 08</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highlight w:val="none"/>
        </w:rPr>
      </w:pPr>
    </w:p>
    <w:p>
      <w:pPr>
        <w:pStyle w:val="198"/>
        <w:framePr w:h="6974" w:hRule="exact" w:wrap="around" w:x="1419" w:anchorLock="1"/>
        <w:rPr>
          <w:highlight w:val="none"/>
        </w:rPr>
      </w:pPr>
      <w:r>
        <w:rPr>
          <w:highlight w:val="none"/>
        </w:rPr>
        <w:fldChar w:fldCharType="begin">
          <w:ffData>
            <w:name w:val="CSTD_NAME"/>
            <w:enabled/>
            <w:calcOnExit w:val="0"/>
            <w:textInput>
              <w:default w:val="点击此处添加标准名称"/>
            </w:textInput>
          </w:ffData>
        </w:fldChar>
      </w:r>
      <w:bookmarkStart w:id="9" w:name="CSTD_NAME"/>
      <w:r>
        <w:rPr>
          <w:highlight w:val="none"/>
        </w:rPr>
        <w:instrText xml:space="preserve"> FORMTEXT </w:instrText>
      </w:r>
      <w:r>
        <w:rPr>
          <w:highlight w:val="none"/>
        </w:rPr>
        <w:fldChar w:fldCharType="separate"/>
      </w:r>
      <w:r>
        <w:rPr>
          <w:highlight w:val="none"/>
        </w:rPr>
        <w:t>检验检测机构常用化学试剂储存管理规范</w:t>
      </w:r>
      <w:r>
        <w:rPr>
          <w:highlight w:val="none"/>
        </w:rPr>
        <w:fldChar w:fldCharType="end"/>
      </w:r>
      <w:bookmarkEnd w:id="9"/>
    </w:p>
    <w:p>
      <w:pPr>
        <w:framePr w:w="9639" w:h="6974" w:hRule="exact" w:wrap="around" w:vAnchor="page" w:hAnchor="page" w:x="1419" w:y="6408" w:anchorLock="1"/>
        <w:ind w:left="-1418"/>
        <w:rPr>
          <w:rFonts w:ascii="黑体" w:hAnsi="黑体" w:eastAsia="黑体"/>
          <w:highlight w:val="none"/>
        </w:rPr>
      </w:pPr>
    </w:p>
    <w:p>
      <w:pPr>
        <w:pStyle w:val="126"/>
        <w:framePr w:w="9639" w:h="6974" w:hRule="exact" w:wrap="around" w:vAnchor="page" w:hAnchor="page" w:x="1419" w:y="6408" w:anchorLock="1"/>
        <w:textAlignment w:val="bottom"/>
        <w:rPr>
          <w:rFonts w:eastAsia="黑体"/>
          <w:szCs w:val="28"/>
          <w:highlight w:val="none"/>
        </w:rPr>
      </w:pPr>
      <w:r>
        <w:rPr>
          <w:rFonts w:ascii="黑体" w:hAnsi="黑体" w:eastAsia="黑体"/>
          <w:szCs w:val="28"/>
          <w:highlight w:val="none"/>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highlight w:val="none"/>
        </w:rPr>
        <w:instrText xml:space="preserve"> FORMTEXT </w:instrText>
      </w:r>
      <w:r>
        <w:rPr>
          <w:rFonts w:ascii="黑体" w:hAnsi="黑体" w:eastAsia="黑体"/>
          <w:szCs w:val="28"/>
          <w:highlight w:val="none"/>
        </w:rPr>
        <w:fldChar w:fldCharType="separate"/>
      </w:r>
      <w:r>
        <w:rPr>
          <w:rFonts w:hint="eastAsia" w:ascii="黑体" w:hAnsi="黑体" w:eastAsia="黑体"/>
          <w:szCs w:val="28"/>
          <w:highlight w:val="none"/>
          <w:lang w:val="en-US" w:eastAsia="zh-CN"/>
        </w:rPr>
        <w:t>Specification for common chemical reagents storage management of inspection and testing institutions</w:t>
      </w:r>
      <w:r>
        <w:rPr>
          <w:rFonts w:ascii="黑体" w:hAnsi="黑体" w:eastAsia="黑体"/>
          <w:szCs w:val="28"/>
          <w:highlight w:val="none"/>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1" w:name="_Toc144387992"/>
      <w:bookmarkStart w:id="22" w:name="_Toc29835"/>
      <w:bookmarkStart w:id="23" w:name="_Toc140586540"/>
      <w:bookmarkStart w:id="24" w:name="_Toc144820003"/>
      <w:bookmarkStart w:id="25" w:name="_Toc140591452"/>
      <w:bookmarkStart w:id="26" w:name="BookMark2"/>
      <w:r>
        <w:rPr>
          <w:spacing w:val="320"/>
        </w:rPr>
        <w:t>前</w:t>
      </w:r>
      <w:r>
        <w:t>言</w:t>
      </w:r>
      <w:bookmarkEnd w:id="21"/>
      <w:bookmarkEnd w:id="22"/>
      <w:bookmarkEnd w:id="23"/>
      <w:bookmarkEnd w:id="24"/>
      <w:bookmarkEnd w:id="25"/>
    </w:p>
    <w:p>
      <w:pPr>
        <w:pStyle w:val="57"/>
        <w:ind w:firstLine="420"/>
      </w:pPr>
      <w:r>
        <w:rPr>
          <w:rFonts w:hint="eastAsia"/>
        </w:rPr>
        <w:t>本文件按照GB/T 1.1—2020《标准化工作导则  第1部分：标准化文件的结构和起草规则》的规定起草。</w:t>
      </w:r>
      <w:bookmarkStart w:id="67" w:name="_GoBack"/>
      <w:bookmarkEnd w:id="67"/>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本文件由广西壮族自治区产品质量检验研究院提出、归口并宣贯。</w:t>
      </w:r>
    </w:p>
    <w:p>
      <w:pPr>
        <w:pStyle w:val="57"/>
        <w:ind w:firstLine="420"/>
      </w:pPr>
      <w:r>
        <w:rPr>
          <w:rFonts w:hint="eastAsia"/>
        </w:rPr>
        <w:t>本文件起草单位：广西壮族自治区产品质量检验研究院、广西益谱检测技术有限公司、广西南宁信雄科技服务有限公司。</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C589A4EAF81941C5B0FE240F6576C4A4"/>
        </w:placeholder>
      </w:sdtPr>
      <w:sdtEndPr>
        <w:rPr>
          <w:rFonts w:hint="eastAsia"/>
        </w:rPr>
      </w:sdtEndPr>
      <w:sdtContent>
        <w:p>
          <w:pPr>
            <w:pStyle w:val="178"/>
            <w:spacing w:before="2" w:beforeLines="1" w:after="528" w:afterLines="220"/>
          </w:pPr>
          <w:bookmarkStart w:id="28" w:name="NEW_STAND_NAME"/>
          <w:r>
            <w:rPr>
              <w:rFonts w:hint="eastAsia"/>
            </w:rPr>
            <w:t>检验检测机构常用化学试剂储存管理规范</w:t>
          </w:r>
        </w:p>
      </w:sdtContent>
    </w:sdt>
    <w:bookmarkEnd w:id="28"/>
    <w:p>
      <w:pPr>
        <w:pStyle w:val="105"/>
        <w:spacing w:before="240" w:after="240"/>
      </w:pPr>
      <w:bookmarkStart w:id="29" w:name="_Toc26986530"/>
      <w:bookmarkStart w:id="30" w:name="_Toc97192964"/>
      <w:bookmarkStart w:id="31" w:name="_Toc140591453"/>
      <w:bookmarkStart w:id="32" w:name="_Toc26986771"/>
      <w:bookmarkStart w:id="33" w:name="_Toc26718930"/>
      <w:bookmarkStart w:id="34" w:name="_Toc24884218"/>
      <w:bookmarkStart w:id="35" w:name="_Toc24884211"/>
      <w:bookmarkStart w:id="36" w:name="_Toc144820004"/>
      <w:bookmarkStart w:id="37" w:name="_Toc17233333"/>
      <w:bookmarkStart w:id="38" w:name="_Toc26541"/>
      <w:bookmarkStart w:id="39" w:name="_Toc144387993"/>
      <w:bookmarkStart w:id="40" w:name="_Toc140586541"/>
      <w:bookmarkStart w:id="41" w:name="_Toc26648465"/>
      <w:bookmarkStart w:id="42" w:name="_Toc1723332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57"/>
        <w:ind w:firstLine="420"/>
      </w:pPr>
      <w:bookmarkStart w:id="43" w:name="_Toc17233334"/>
      <w:bookmarkStart w:id="44" w:name="_Toc26648466"/>
      <w:bookmarkStart w:id="45" w:name="_Toc17233326"/>
      <w:bookmarkStart w:id="46" w:name="_Toc24884219"/>
      <w:bookmarkStart w:id="47" w:name="_Toc24884212"/>
      <w:r>
        <w:rPr>
          <w:rFonts w:hint="eastAsia"/>
        </w:rPr>
        <w:t>本文件规定了检验检测机构常用化学试剂储存管理的基本要求、储存场所、使用管理、定期检查、应急处理要求的内容。</w:t>
      </w:r>
    </w:p>
    <w:p>
      <w:pPr>
        <w:pStyle w:val="57"/>
        <w:ind w:firstLine="420"/>
      </w:pPr>
      <w:r>
        <w:rPr>
          <w:rFonts w:hint="eastAsia"/>
        </w:rPr>
        <w:t>本文件适用于检验检测机构常用化学试剂的储存管理。</w:t>
      </w:r>
    </w:p>
    <w:p>
      <w:pPr>
        <w:pStyle w:val="105"/>
        <w:spacing w:before="240" w:after="240"/>
      </w:pPr>
      <w:bookmarkStart w:id="48" w:name="_Toc144387994"/>
      <w:bookmarkStart w:id="49" w:name="_Toc26718931"/>
      <w:bookmarkStart w:id="50" w:name="_Toc26986772"/>
      <w:bookmarkStart w:id="51" w:name="_Toc26986531"/>
      <w:bookmarkStart w:id="52" w:name="_Toc144820005"/>
      <w:bookmarkStart w:id="53" w:name="_Toc1700"/>
      <w:bookmarkStart w:id="54" w:name="_Toc97192965"/>
      <w:bookmarkStart w:id="55" w:name="_Toc140586542"/>
      <w:bookmarkStart w:id="56" w:name="_Toc140591454"/>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ed228731-cc16-45e9-b561-9466d537ec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bookmarkStart w:id="57" w:name="_Hlk58435836"/>
      <w:bookmarkStart w:id="58" w:name="_Toc97192966"/>
      <w:bookmarkStart w:id="59" w:name="_Toc140586543"/>
      <w:r>
        <w:rPr>
          <w:rFonts w:hint="eastAsia"/>
        </w:rPr>
        <w:t>GB 17914　易燃易爆性商品储藏养护技术条件</w:t>
      </w:r>
    </w:p>
    <w:p>
      <w:pPr>
        <w:pStyle w:val="57"/>
        <w:ind w:firstLine="420"/>
      </w:pPr>
      <w:r>
        <w:rPr>
          <w:rFonts w:hint="eastAsia"/>
        </w:rPr>
        <w:t>GB 17915　腐蚀性商品储存养护技术条件</w:t>
      </w:r>
    </w:p>
    <w:p>
      <w:pPr>
        <w:pStyle w:val="57"/>
        <w:ind w:firstLine="420"/>
      </w:pPr>
      <w:r>
        <w:rPr>
          <w:rFonts w:hint="eastAsia"/>
        </w:rPr>
        <w:t>GB 17916　毒害性商品储存养护技术条件</w:t>
      </w:r>
    </w:p>
    <w:p>
      <w:pPr>
        <w:pStyle w:val="57"/>
        <w:ind w:firstLine="420"/>
      </w:pPr>
      <w:r>
        <w:rPr>
          <w:rFonts w:hint="eastAsia"/>
        </w:rPr>
        <w:t>GB 39800.1　个体防护装备配备规范　总则</w:t>
      </w:r>
    </w:p>
    <w:p>
      <w:pPr>
        <w:pStyle w:val="57"/>
        <w:ind w:firstLine="420"/>
      </w:pPr>
      <w:r>
        <w:rPr>
          <w:rFonts w:hint="eastAsia"/>
        </w:rPr>
        <w:t>GA 1511　易制爆危险化学品储存场所治安防范要求</w:t>
      </w:r>
    </w:p>
    <w:p>
      <w:pPr>
        <w:pStyle w:val="57"/>
        <w:ind w:firstLine="420"/>
      </w:pPr>
      <w:r>
        <w:rPr>
          <w:rFonts w:hint="eastAsia"/>
        </w:rPr>
        <w:t>RB/T 214　检验检测机构资质认定能力评价　检验检测机构通用要求</w:t>
      </w:r>
    </w:p>
    <w:bookmarkEnd w:id="57"/>
    <w:p>
      <w:pPr>
        <w:pStyle w:val="105"/>
        <w:spacing w:before="240" w:after="240"/>
      </w:pPr>
      <w:bookmarkStart w:id="60" w:name="_Toc12446"/>
      <w:bookmarkStart w:id="61" w:name="_Toc144820006"/>
      <w:bookmarkStart w:id="62" w:name="_Toc140591455"/>
      <w:bookmarkStart w:id="63" w:name="_Toc144387995"/>
      <w:r>
        <w:rPr>
          <w:rFonts w:hint="eastAsia"/>
        </w:rPr>
        <w:t>术语和定义</w:t>
      </w:r>
      <w:bookmarkEnd w:id="58"/>
      <w:bookmarkEnd w:id="59"/>
      <w:bookmarkEnd w:id="60"/>
      <w:bookmarkEnd w:id="61"/>
      <w:bookmarkEnd w:id="62"/>
      <w:bookmarkEnd w:id="63"/>
      <w:bookmarkStart w:id="64" w:name="_Toc26986532"/>
      <w:bookmarkEnd w:id="64"/>
      <w:bookmarkStart w:id="65" w:name="_Toc140586544"/>
    </w:p>
    <w:sdt>
      <w:sdtPr>
        <w:rPr>
          <w:rFonts w:ascii="黑体" w:hAnsi="黑体" w:eastAsia="黑体"/>
        </w:rPr>
        <w:id w:val="-1909835108"/>
        <w:placeholder>
          <w:docPart w:val="{32da7198-8024-4aec-8b00-1512be2499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黑体" w:hAnsi="黑体" w:eastAsia="黑体"/>
        </w:rPr>
      </w:sdtEndPr>
      <w:sdtContent>
        <w:p>
          <w:pPr>
            <w:pStyle w:val="57"/>
            <w:ind w:firstLine="420"/>
            <w:rPr>
              <w:rFonts w:ascii="黑体" w:hAnsi="黑体" w:eastAsia="黑体"/>
            </w:rPr>
          </w:pPr>
          <w:r>
            <w:rPr>
              <w:rFonts w:ascii="黑体" w:hAnsi="黑体" w:eastAsia="黑体"/>
            </w:rP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不相容incompatible</w:t>
      </w:r>
    </w:p>
    <w:p>
      <w:pPr>
        <w:pStyle w:val="163"/>
        <w:numPr>
          <w:ilvl w:val="2"/>
          <w:numId w:val="0"/>
        </w:numPr>
        <w:ind w:firstLine="420" w:firstLineChars="200"/>
      </w:pPr>
      <w:r>
        <w:rPr>
          <w:rFonts w:hint="eastAsia"/>
        </w:rPr>
        <w:t>化学试剂如果混合后易于引起危险热量、气体放出或生成腐蚀性物质的现象。</w:t>
      </w:r>
    </w:p>
    <w:p>
      <w:pPr>
        <w:pStyle w:val="105"/>
        <w:spacing w:before="240" w:after="240"/>
        <w:rPr>
          <w:szCs w:val="21"/>
        </w:rPr>
      </w:pPr>
      <w:r>
        <w:rPr>
          <w:rFonts w:hint="eastAsia"/>
          <w:szCs w:val="21"/>
        </w:rPr>
        <w:t>基本要求</w:t>
      </w:r>
    </w:p>
    <w:p>
      <w:pPr>
        <w:pStyle w:val="163"/>
      </w:pPr>
      <w:r>
        <w:rPr>
          <w:rFonts w:hint="eastAsia"/>
        </w:rPr>
        <w:t>常用化学试剂储存管理应符合RB/T 214的要求。</w:t>
      </w:r>
    </w:p>
    <w:p>
      <w:pPr>
        <w:pStyle w:val="163"/>
      </w:pPr>
      <w:r>
        <w:rPr>
          <w:rFonts w:hint="eastAsia"/>
        </w:rPr>
        <w:t>应设立专门的化学试剂室，并根据化学试剂的性质和储存要求，配置适宜的试剂柜。</w:t>
      </w:r>
    </w:p>
    <w:p>
      <w:pPr>
        <w:pStyle w:val="163"/>
      </w:pPr>
      <w:r>
        <w:rPr>
          <w:rFonts w:hint="eastAsia"/>
        </w:rPr>
        <w:t>化学试剂应按照类别分区、分类储存。</w:t>
      </w:r>
    </w:p>
    <w:p>
      <w:pPr>
        <w:pStyle w:val="163"/>
      </w:pPr>
      <w:r>
        <w:rPr>
          <w:rFonts w:hint="eastAsia"/>
        </w:rPr>
        <w:t>应配备经过培训后上岗的化学试剂管理员，负责常用化学试剂的采购、入库、储存、出库、定期检查等工作，并定期培训、加强监督。</w:t>
      </w:r>
    </w:p>
    <w:p>
      <w:pPr>
        <w:pStyle w:val="163"/>
      </w:pPr>
      <w:r>
        <w:rPr>
          <w:rFonts w:hint="eastAsia"/>
        </w:rPr>
        <w:t>应建立化学试剂储存管理台账，宜使用化学试剂电子标签等自动识别技术，建立电子档案，采用智能化、可视化技术，提高化学试剂管理水平。</w:t>
      </w:r>
    </w:p>
    <w:p>
      <w:pPr>
        <w:pStyle w:val="105"/>
        <w:spacing w:before="240" w:after="240"/>
        <w:rPr>
          <w:szCs w:val="21"/>
        </w:rPr>
      </w:pPr>
      <w:r>
        <w:rPr>
          <w:rFonts w:hint="eastAsia"/>
          <w:szCs w:val="21"/>
        </w:rPr>
        <w:t>储存场所</w:t>
      </w:r>
    </w:p>
    <w:p>
      <w:pPr>
        <w:pStyle w:val="106"/>
        <w:spacing w:before="120" w:after="120"/>
      </w:pPr>
      <w:r>
        <w:rPr>
          <w:rFonts w:hint="eastAsia"/>
        </w:rPr>
        <w:t>场所</w:t>
      </w:r>
    </w:p>
    <w:p>
      <w:pPr>
        <w:pStyle w:val="166"/>
      </w:pPr>
      <w:r>
        <w:rPr>
          <w:rFonts w:hint="eastAsia"/>
        </w:rPr>
        <w:t>场所内地面应平整、防滑，墙壁材料防火、防潮，且不应存放其他杂物。</w:t>
      </w:r>
    </w:p>
    <w:p>
      <w:pPr>
        <w:pStyle w:val="166"/>
        <w:rPr>
          <w:color w:val="auto"/>
        </w:rPr>
      </w:pPr>
      <w:r>
        <w:rPr>
          <w:rFonts w:hint="eastAsia"/>
          <w:color w:val="auto"/>
        </w:rPr>
        <w:t>应在适当位置张贴或悬挂清晰、完整的标识，包括但不限于：</w:t>
      </w:r>
    </w:p>
    <w:p>
      <w:pPr>
        <w:pStyle w:val="133"/>
        <w:rPr>
          <w:color w:val="auto"/>
        </w:rPr>
      </w:pPr>
      <w:r>
        <w:rPr>
          <w:rFonts w:hint="eastAsia"/>
          <w:color w:val="auto"/>
        </w:rPr>
        <w:t>房间名称；</w:t>
      </w:r>
    </w:p>
    <w:p>
      <w:pPr>
        <w:pStyle w:val="133"/>
        <w:rPr>
          <w:color w:val="auto"/>
        </w:rPr>
      </w:pPr>
      <w:r>
        <w:rPr>
          <w:rFonts w:hint="eastAsia"/>
          <w:color w:val="auto"/>
        </w:rPr>
        <w:t>安全标识；</w:t>
      </w:r>
    </w:p>
    <w:p>
      <w:pPr>
        <w:pStyle w:val="133"/>
        <w:rPr>
          <w:color w:val="auto"/>
        </w:rPr>
      </w:pPr>
      <w:r>
        <w:rPr>
          <w:rFonts w:hint="eastAsia"/>
          <w:color w:val="auto"/>
        </w:rPr>
        <w:t>危险化学试剂警告标志；</w:t>
      </w:r>
    </w:p>
    <w:p>
      <w:pPr>
        <w:pStyle w:val="133"/>
        <w:rPr>
          <w:color w:val="auto"/>
        </w:rPr>
      </w:pPr>
      <w:r>
        <w:rPr>
          <w:rFonts w:hint="eastAsia"/>
          <w:color w:val="auto"/>
        </w:rPr>
        <w:t>平面布局图；</w:t>
      </w:r>
    </w:p>
    <w:p>
      <w:pPr>
        <w:pStyle w:val="133"/>
        <w:rPr>
          <w:color w:val="auto"/>
        </w:rPr>
      </w:pPr>
      <w:r>
        <w:rPr>
          <w:rFonts w:hint="eastAsia"/>
          <w:color w:val="auto"/>
        </w:rPr>
        <w:t>化学试剂管理流程图。</w:t>
      </w:r>
    </w:p>
    <w:p>
      <w:pPr>
        <w:pStyle w:val="133"/>
        <w:numPr>
          <w:ilvl w:val="0"/>
          <w:numId w:val="0"/>
        </w:numPr>
        <w:ind w:left="851"/>
      </w:pPr>
    </w:p>
    <w:p>
      <w:pPr>
        <w:pStyle w:val="106"/>
        <w:spacing w:before="120" w:after="120"/>
      </w:pPr>
      <w:r>
        <w:rPr>
          <w:rFonts w:hint="eastAsia"/>
        </w:rPr>
        <w:t>设施设备</w:t>
      </w:r>
    </w:p>
    <w:p>
      <w:pPr>
        <w:pStyle w:val="57"/>
        <w:ind w:firstLine="420"/>
        <w:rPr>
          <w:color w:val="auto"/>
        </w:rPr>
      </w:pPr>
      <w:r>
        <w:rPr>
          <w:rFonts w:hint="eastAsia"/>
          <w:color w:val="auto"/>
        </w:rPr>
        <w:t>储存场所内应配备以下设施设备：</w:t>
      </w:r>
    </w:p>
    <w:p>
      <w:pPr>
        <w:pStyle w:val="133"/>
        <w:rPr>
          <w:color w:val="auto"/>
        </w:rPr>
      </w:pPr>
      <w:r>
        <w:rPr>
          <w:rFonts w:hint="eastAsia"/>
          <w:color w:val="auto"/>
        </w:rPr>
        <w:t>空调及温湿度监控器，对环境温湿度实施有效控制；</w:t>
      </w:r>
    </w:p>
    <w:p>
      <w:pPr>
        <w:pStyle w:val="133"/>
        <w:rPr>
          <w:color w:val="auto"/>
        </w:rPr>
      </w:pPr>
      <w:r>
        <w:rPr>
          <w:rFonts w:hint="eastAsia"/>
          <w:color w:val="auto"/>
        </w:rPr>
        <w:t>安全报警装置，如火灾自动报警器、可燃气体报警器、有毒、有害气体报警器等；</w:t>
      </w:r>
    </w:p>
    <w:p>
      <w:pPr>
        <w:pStyle w:val="133"/>
        <w:rPr>
          <w:color w:val="auto"/>
        </w:rPr>
      </w:pPr>
      <w:r>
        <w:rPr>
          <w:rFonts w:hint="eastAsia"/>
          <w:color w:val="auto"/>
        </w:rPr>
        <w:t>视频监控设施，按照GA 1511的相关规定对危险化学试剂进行重点监控；</w:t>
      </w:r>
    </w:p>
    <w:p>
      <w:pPr>
        <w:pStyle w:val="133"/>
        <w:rPr>
          <w:color w:val="auto"/>
        </w:rPr>
      </w:pPr>
      <w:r>
        <w:rPr>
          <w:rFonts w:hint="eastAsia"/>
          <w:color w:val="auto"/>
        </w:rPr>
        <w:t>防爆灯和防爆开关；</w:t>
      </w:r>
    </w:p>
    <w:p>
      <w:pPr>
        <w:pStyle w:val="133"/>
        <w:rPr>
          <w:color w:val="auto"/>
        </w:rPr>
      </w:pPr>
      <w:r>
        <w:rPr>
          <w:rFonts w:hint="eastAsia"/>
          <w:color w:val="auto"/>
        </w:rPr>
        <w:t>通风换气设施，且化学试剂柜应有持续通风或定时通风功能；</w:t>
      </w:r>
    </w:p>
    <w:p>
      <w:pPr>
        <w:pStyle w:val="133"/>
        <w:rPr>
          <w:color w:val="auto"/>
        </w:rPr>
      </w:pPr>
      <w:r>
        <w:rPr>
          <w:rFonts w:hint="eastAsia"/>
          <w:color w:val="auto"/>
        </w:rPr>
        <w:t>相应的消防器材，按照GB 17914、GB 17915和GB 17916中规定的消防方法，结合化学试剂的危险性质，在明显和便于取用的位置设置以下消防器材：</w:t>
      </w:r>
    </w:p>
    <w:p>
      <w:pPr>
        <w:pStyle w:val="188"/>
        <w:rPr>
          <w:color w:val="auto"/>
        </w:rPr>
      </w:pPr>
      <w:r>
        <w:rPr>
          <w:rFonts w:hint="eastAsia"/>
          <w:color w:val="auto"/>
        </w:rPr>
        <w:t>消防水箱；</w:t>
      </w:r>
    </w:p>
    <w:p>
      <w:pPr>
        <w:pStyle w:val="188"/>
        <w:rPr>
          <w:color w:val="auto"/>
        </w:rPr>
      </w:pPr>
      <w:r>
        <w:rPr>
          <w:rFonts w:hint="eastAsia"/>
          <w:color w:val="auto"/>
        </w:rPr>
        <w:t>灭火器（干粉、泡沫、气体、水基）；</w:t>
      </w:r>
    </w:p>
    <w:p>
      <w:pPr>
        <w:pStyle w:val="188"/>
        <w:rPr>
          <w:color w:val="auto"/>
        </w:rPr>
      </w:pPr>
      <w:r>
        <w:rPr>
          <w:rFonts w:hint="eastAsia"/>
          <w:color w:val="auto"/>
        </w:rPr>
        <w:t>灭火毯；</w:t>
      </w:r>
    </w:p>
    <w:p>
      <w:pPr>
        <w:pStyle w:val="188"/>
        <w:rPr>
          <w:color w:val="auto"/>
        </w:rPr>
      </w:pPr>
      <w:r>
        <w:rPr>
          <w:rFonts w:hint="eastAsia"/>
          <w:color w:val="auto"/>
        </w:rPr>
        <w:t>灭火砂土箱；</w:t>
      </w:r>
    </w:p>
    <w:p>
      <w:pPr>
        <w:pStyle w:val="188"/>
        <w:rPr>
          <w:color w:val="auto"/>
        </w:rPr>
      </w:pPr>
      <w:r>
        <w:rPr>
          <w:rFonts w:hint="eastAsia"/>
          <w:color w:val="auto"/>
        </w:rPr>
        <w:t>消防铲；</w:t>
      </w:r>
    </w:p>
    <w:p>
      <w:pPr>
        <w:pStyle w:val="188"/>
        <w:rPr>
          <w:color w:val="auto"/>
        </w:rPr>
      </w:pPr>
      <w:r>
        <w:rPr>
          <w:rFonts w:hint="eastAsia"/>
          <w:color w:val="auto"/>
        </w:rPr>
        <w:t>毒气报警器；</w:t>
      </w:r>
    </w:p>
    <w:p>
      <w:pPr>
        <w:pStyle w:val="188"/>
        <w:rPr>
          <w:color w:val="auto"/>
        </w:rPr>
      </w:pPr>
      <w:r>
        <w:rPr>
          <w:rFonts w:hint="eastAsia"/>
          <w:color w:val="auto"/>
        </w:rPr>
        <w:t>其他必要消防器材。</w:t>
      </w:r>
    </w:p>
    <w:p>
      <w:pPr>
        <w:pStyle w:val="133"/>
        <w:rPr>
          <w:color w:val="auto"/>
        </w:rPr>
      </w:pPr>
      <w:r>
        <w:rPr>
          <w:rFonts w:hint="eastAsia"/>
          <w:color w:val="auto"/>
        </w:rPr>
        <w:t>按照GB 39800.1的规定，配备相应的个人防护用品，并在方便取用的地点设置急救箱或急救包。</w:t>
      </w:r>
    </w:p>
    <w:p>
      <w:pPr>
        <w:pStyle w:val="105"/>
        <w:spacing w:before="240" w:after="240"/>
      </w:pPr>
      <w:r>
        <w:rPr>
          <w:rFonts w:hint="eastAsia"/>
        </w:rPr>
        <w:t>使用管理</w:t>
      </w:r>
    </w:p>
    <w:p>
      <w:pPr>
        <w:pStyle w:val="106"/>
        <w:spacing w:before="120" w:after="120"/>
      </w:pPr>
      <w:r>
        <w:rPr>
          <w:rFonts w:hint="eastAsia"/>
        </w:rPr>
        <w:t>采购</w:t>
      </w:r>
    </w:p>
    <w:p>
      <w:pPr>
        <w:pStyle w:val="166"/>
      </w:pPr>
      <w:r>
        <w:rPr>
          <w:rFonts w:hint="eastAsia"/>
        </w:rPr>
        <w:t>应向具有合法资质的生产、经营单位采购，应保存所有化学试剂的釆购记录。</w:t>
      </w:r>
    </w:p>
    <w:p>
      <w:pPr>
        <w:pStyle w:val="166"/>
      </w:pPr>
      <w:r>
        <w:rPr>
          <w:rFonts w:hint="eastAsia"/>
        </w:rPr>
        <w:t>有特殊要求的化学试剂采购应符合行业相关要求。</w:t>
      </w:r>
    </w:p>
    <w:p>
      <w:pPr>
        <w:pStyle w:val="106"/>
        <w:spacing w:before="120" w:after="120"/>
      </w:pPr>
      <w:r>
        <w:rPr>
          <w:rFonts w:hint="eastAsia"/>
        </w:rPr>
        <w:t>入库</w:t>
      </w:r>
    </w:p>
    <w:p>
      <w:pPr>
        <w:pStyle w:val="166"/>
      </w:pPr>
      <w:r>
        <w:rPr>
          <w:rFonts w:hint="eastAsia"/>
        </w:rPr>
        <w:t>应检查化学试剂包装、封口、标签印刷等内容，标签应包括化学试剂名称、类别、储存条件、潜在危险性、防护措施等。</w:t>
      </w:r>
    </w:p>
    <w:p>
      <w:pPr>
        <w:pStyle w:val="166"/>
      </w:pPr>
      <w:r>
        <w:rPr>
          <w:rFonts w:hint="eastAsia"/>
        </w:rPr>
        <w:t>应根据安全技术说明书和安全标签，记录危险化学试剂的危险性、防护方法及应急处理方法，并将化学试剂分类储存。</w:t>
      </w:r>
    </w:p>
    <w:p>
      <w:pPr>
        <w:pStyle w:val="166"/>
      </w:pPr>
      <w:r>
        <w:rPr>
          <w:rFonts w:hint="eastAsia"/>
        </w:rPr>
        <w:t>应记录入库时间、化学试剂名称、规格型号、生产日期或生产批号、生产厂家、数量等信息。</w:t>
      </w:r>
    </w:p>
    <w:p>
      <w:pPr>
        <w:pStyle w:val="166"/>
      </w:pPr>
      <w:r>
        <w:rPr>
          <w:rFonts w:hint="eastAsia"/>
        </w:rPr>
        <w:t>应做好安全防护，佩戴好个人防护用品，轻拿轻放试剂。</w:t>
      </w:r>
    </w:p>
    <w:p>
      <w:pPr>
        <w:pStyle w:val="106"/>
        <w:spacing w:before="120" w:after="120"/>
      </w:pPr>
      <w:r>
        <w:rPr>
          <w:rFonts w:hint="eastAsia"/>
        </w:rPr>
        <w:t>储存</w:t>
      </w:r>
    </w:p>
    <w:p>
      <w:pPr>
        <w:pStyle w:val="66"/>
        <w:spacing w:before="120" w:after="120"/>
      </w:pPr>
      <w:r>
        <w:rPr>
          <w:rFonts w:hint="eastAsia"/>
        </w:rPr>
        <w:t>储存数量</w:t>
      </w:r>
    </w:p>
    <w:p>
      <w:pPr>
        <w:pStyle w:val="165"/>
      </w:pPr>
      <w:r>
        <w:rPr>
          <w:rFonts w:hint="eastAsia"/>
        </w:rPr>
        <w:t>不宜存放大量化学试剂，更不宜长期存放，存放数量和使用量对应，与保存期限相对应。</w:t>
      </w:r>
    </w:p>
    <w:p>
      <w:pPr>
        <w:pStyle w:val="165"/>
      </w:pPr>
      <w:r>
        <w:rPr>
          <w:rFonts w:hint="eastAsia"/>
        </w:rPr>
        <w:t>危险化学试剂宜按最小使用量存放。</w:t>
      </w:r>
    </w:p>
    <w:p>
      <w:pPr>
        <w:pStyle w:val="66"/>
        <w:spacing w:before="120" w:after="120"/>
      </w:pPr>
      <w:r>
        <w:rPr>
          <w:rFonts w:hint="eastAsia"/>
        </w:rPr>
        <w:t>储存方式</w:t>
      </w:r>
    </w:p>
    <w:p>
      <w:pPr>
        <w:pStyle w:val="95"/>
        <w:spacing w:before="120" w:after="120"/>
        <w:rPr>
          <w:highlight w:val="none"/>
        </w:rPr>
      </w:pPr>
      <w:r>
        <w:rPr>
          <w:rFonts w:hint="eastAsia"/>
          <w:highlight w:val="none"/>
        </w:rPr>
        <w:t>常规储存</w:t>
      </w:r>
    </w:p>
    <w:p>
      <w:pPr>
        <w:pStyle w:val="168"/>
      </w:pPr>
      <w:r>
        <w:rPr>
          <w:rFonts w:hint="eastAsia"/>
        </w:rPr>
        <w:t>化学试剂应存放于相应的试剂柜，其中固体试剂置于液体试剂的上方，液体试剂、大容量试剂宜低放。</w:t>
      </w:r>
    </w:p>
    <w:p>
      <w:pPr>
        <w:pStyle w:val="168"/>
      </w:pPr>
      <w:r>
        <w:rPr>
          <w:rFonts w:hint="eastAsia"/>
        </w:rPr>
        <w:t>化学试剂应摆放整齐、标签朝外，方便取用。</w:t>
      </w:r>
    </w:p>
    <w:p>
      <w:pPr>
        <w:pStyle w:val="168"/>
      </w:pPr>
      <w:r>
        <w:rPr>
          <w:rFonts w:hint="eastAsia"/>
        </w:rPr>
        <w:t>不相容的化学试剂分开存放，不相容的液体宜设立独立的液体溢出区。</w:t>
      </w:r>
    </w:p>
    <w:p>
      <w:pPr>
        <w:pStyle w:val="168"/>
      </w:pPr>
      <w:r>
        <w:rPr>
          <w:rFonts w:hint="eastAsia"/>
        </w:rPr>
        <w:t>氧化性试剂应与易被氧化试剂分开存放。</w:t>
      </w:r>
    </w:p>
    <w:p>
      <w:pPr>
        <w:pStyle w:val="168"/>
      </w:pPr>
      <w:r>
        <w:rPr>
          <w:rFonts w:hint="eastAsia"/>
        </w:rPr>
        <w:t>灭火方式不相同的化学试剂不宜存放于同一试剂柜。</w:t>
      </w:r>
    </w:p>
    <w:p>
      <w:pPr>
        <w:pStyle w:val="95"/>
        <w:spacing w:before="120" w:after="120"/>
        <w:rPr>
          <w:highlight w:val="none"/>
        </w:rPr>
      </w:pPr>
      <w:r>
        <w:rPr>
          <w:rFonts w:hint="eastAsia"/>
          <w:highlight w:val="none"/>
        </w:rPr>
        <w:t>特殊储存</w:t>
      </w:r>
    </w:p>
    <w:p>
      <w:pPr>
        <w:pStyle w:val="168"/>
      </w:pPr>
      <w:r>
        <w:rPr>
          <w:rFonts w:hint="eastAsia"/>
        </w:rPr>
        <w:t>要求低温储存的试剂应存放于低温冰箱</w:t>
      </w:r>
    </w:p>
    <w:p>
      <w:pPr>
        <w:pStyle w:val="168"/>
      </w:pPr>
      <w:r>
        <w:rPr>
          <w:rFonts w:hint="eastAsia"/>
        </w:rPr>
        <w:t>见光、受热易分解的试剂，装于棕色瓶中或用黑纸或黑布包好存于普通试剂柜的暗柜中，减少试剂与光接触。</w:t>
      </w:r>
    </w:p>
    <w:p>
      <w:pPr>
        <w:pStyle w:val="168"/>
      </w:pPr>
      <w:r>
        <w:rPr>
          <w:rFonts w:hint="eastAsia"/>
        </w:rPr>
        <w:t>易潮解、易冻结、易风化的试剂，经密封保存后，可存放于普通试剂柜中，并定期检查化学试剂外观。</w:t>
      </w:r>
    </w:p>
    <w:p>
      <w:pPr>
        <w:pStyle w:val="168"/>
      </w:pPr>
      <w:r>
        <w:rPr>
          <w:rFonts w:hint="eastAsia"/>
        </w:rPr>
        <w:t>易燃、易爆试剂单独存放于专用试剂柜内，柜体应有防静电接地装置，需要低温存放的易燃易爆试剂应存放于防爆冰箱中。</w:t>
      </w:r>
    </w:p>
    <w:p>
      <w:pPr>
        <w:pStyle w:val="168"/>
      </w:pPr>
      <w:r>
        <w:rPr>
          <w:rFonts w:hint="eastAsia"/>
          <w:highlight w:val="none"/>
        </w:rPr>
        <w:t>危险化学试剂、</w:t>
      </w:r>
      <w:r>
        <w:rPr>
          <w:rFonts w:hint="eastAsia"/>
        </w:rPr>
        <w:t>毒害性试剂应存放于各自专用的试剂柜内，并采取双人收发、双人记账、双人双锁、双人使用、双人运输的“五双制”。</w:t>
      </w:r>
    </w:p>
    <w:p>
      <w:pPr>
        <w:pStyle w:val="168"/>
      </w:pPr>
      <w:r>
        <w:rPr>
          <w:rFonts w:hint="eastAsia"/>
        </w:rPr>
        <w:t>腐蚀性试剂存放于耐酸碱、耐腐蚀并有防漏托盘的试剂柜中。</w:t>
      </w:r>
    </w:p>
    <w:p>
      <w:pPr>
        <w:pStyle w:val="106"/>
        <w:spacing w:before="120" w:after="120"/>
      </w:pPr>
      <w:r>
        <w:rPr>
          <w:rFonts w:hint="eastAsia"/>
        </w:rPr>
        <w:t>出库</w:t>
      </w:r>
    </w:p>
    <w:p>
      <w:pPr>
        <w:pStyle w:val="166"/>
      </w:pPr>
      <w:r>
        <w:rPr>
          <w:rFonts w:hint="eastAsia"/>
        </w:rPr>
        <w:t>遵循先进先出的原则。</w:t>
      </w:r>
    </w:p>
    <w:p>
      <w:pPr>
        <w:pStyle w:val="166"/>
      </w:pPr>
      <w:r>
        <w:rPr>
          <w:rFonts w:hint="eastAsia"/>
        </w:rPr>
        <w:t>做好出库记录，包括但不限于化学试剂的名称、规格型号、生产厂家、出库时间、领用人、数量及剩余数量、用途。</w:t>
      </w:r>
    </w:p>
    <w:p>
      <w:pPr>
        <w:pStyle w:val="105"/>
        <w:spacing w:before="240" w:after="240"/>
        <w:rPr>
          <w:szCs w:val="21"/>
        </w:rPr>
      </w:pPr>
      <w:r>
        <w:rPr>
          <w:rFonts w:hint="eastAsia"/>
          <w:szCs w:val="21"/>
        </w:rPr>
        <w:t>定期检查</w:t>
      </w:r>
    </w:p>
    <w:p>
      <w:pPr>
        <w:pStyle w:val="163"/>
      </w:pPr>
      <w:r>
        <w:rPr>
          <w:rFonts w:hint="eastAsia"/>
        </w:rPr>
        <w:t>定期检查化学试剂，包括但不限于包装、封口、衬垫、试剂状态、储存条件、存放位置等内容，发现问题应及时处理。</w:t>
      </w:r>
    </w:p>
    <w:p>
      <w:pPr>
        <w:pStyle w:val="163"/>
      </w:pPr>
      <w:r>
        <w:rPr>
          <w:rFonts w:hint="eastAsia"/>
        </w:rPr>
        <w:t>不稳定、易分解变质、易燃易爆等化学试剂，必要时可对试剂性能进行验证，发现过期、不稳定时应及时处理。</w:t>
      </w:r>
    </w:p>
    <w:p>
      <w:pPr>
        <w:pStyle w:val="163"/>
      </w:pPr>
      <w:r>
        <w:rPr>
          <w:rFonts w:hint="eastAsia"/>
        </w:rPr>
        <w:t>定期核对检查出入库台账。</w:t>
      </w:r>
    </w:p>
    <w:p>
      <w:pPr>
        <w:pStyle w:val="163"/>
      </w:pPr>
      <w:r>
        <w:rPr>
          <w:rFonts w:hint="eastAsia"/>
        </w:rPr>
        <w:t>定期检查环境设施、消防器材、防护用品的有效性。</w:t>
      </w:r>
    </w:p>
    <w:p>
      <w:pPr>
        <w:pStyle w:val="163"/>
      </w:pPr>
      <w:r>
        <w:rPr>
          <w:rFonts w:hint="eastAsia"/>
        </w:rPr>
        <w:t>遇极端天气、地震、水灾等，事件过后应及时检查。</w:t>
      </w:r>
    </w:p>
    <w:p>
      <w:pPr>
        <w:pStyle w:val="105"/>
        <w:spacing w:before="240" w:after="240"/>
        <w:rPr>
          <w:szCs w:val="21"/>
        </w:rPr>
      </w:pPr>
      <w:r>
        <w:rPr>
          <w:rFonts w:hint="eastAsia"/>
          <w:szCs w:val="21"/>
        </w:rPr>
        <w:t>应急要求</w:t>
      </w:r>
    </w:p>
    <w:p>
      <w:pPr>
        <w:pStyle w:val="163"/>
      </w:pPr>
      <w:r>
        <w:rPr>
          <w:rFonts w:hint="eastAsia"/>
        </w:rPr>
        <w:t>编制化学试剂储存应急处理预案，包括但不限于化学试剂腐蚀、泄露、火灾、爆炸等内容；定期进行应急预案演习，并做好演习记录。</w:t>
      </w:r>
    </w:p>
    <w:p>
      <w:pPr>
        <w:pStyle w:val="163"/>
      </w:pPr>
      <w:r>
        <w:rPr>
          <w:rFonts w:hint="eastAsia"/>
        </w:rPr>
        <w:t>应配备洗眼器、紧急喷淋装置、泄露处置物品等应急物品。</w:t>
      </w:r>
    </w:p>
    <w:bookmarkEnd w:id="27"/>
    <w:bookmarkEnd w:id="65"/>
    <w:p>
      <w:pPr>
        <w:pStyle w:val="57"/>
        <w:ind w:firstLine="0" w:firstLineChars="0"/>
        <w:jc w:val="center"/>
      </w:pPr>
      <w:bookmarkStart w:id="66" w:name="BookMark8"/>
      <w:r>
        <w:drawing>
          <wp:inline distT="0" distB="0" distL="0" distR="0">
            <wp:extent cx="1485900" cy="317500"/>
            <wp:effectExtent l="0" t="0" r="0" b="6350"/>
            <wp:docPr id="317577531" name="图片 1"/>
            <wp:cNvGraphicFramePr/>
            <a:graphic xmlns:a="http://schemas.openxmlformats.org/drawingml/2006/main">
              <a:graphicData uri="http://schemas.openxmlformats.org/drawingml/2006/picture">
                <pic:pic xmlns:pic="http://schemas.openxmlformats.org/drawingml/2006/picture">
                  <pic:nvPicPr>
                    <pic:cNvPr id="31757753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0NDljNDdiMjk1YTllMzQwMzk2OGM1OTI5ZjdmMDQifQ=="/>
  </w:docVars>
  <w:rsids>
    <w:rsidRoot w:val="00172A27"/>
    <w:rsid w:val="0000040A"/>
    <w:rsid w:val="00000A94"/>
    <w:rsid w:val="00001972"/>
    <w:rsid w:val="00001D9A"/>
    <w:rsid w:val="00007B3A"/>
    <w:rsid w:val="000107E0"/>
    <w:rsid w:val="00011FDE"/>
    <w:rsid w:val="00012FFD"/>
    <w:rsid w:val="00014162"/>
    <w:rsid w:val="00014340"/>
    <w:rsid w:val="00016A9C"/>
    <w:rsid w:val="00017163"/>
    <w:rsid w:val="00022184"/>
    <w:rsid w:val="00022762"/>
    <w:rsid w:val="000238E0"/>
    <w:rsid w:val="000249DB"/>
    <w:rsid w:val="0002595E"/>
    <w:rsid w:val="00026A58"/>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C07"/>
    <w:rsid w:val="001446C2"/>
    <w:rsid w:val="001457E7"/>
    <w:rsid w:val="00145D9D"/>
    <w:rsid w:val="00146388"/>
    <w:rsid w:val="001529E5"/>
    <w:rsid w:val="00152FB3"/>
    <w:rsid w:val="00153C7E"/>
    <w:rsid w:val="00156B25"/>
    <w:rsid w:val="00156E1A"/>
    <w:rsid w:val="00157894"/>
    <w:rsid w:val="00157B55"/>
    <w:rsid w:val="00162A14"/>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CC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23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17E"/>
    <w:rsid w:val="002515C2"/>
    <w:rsid w:val="0025194F"/>
    <w:rsid w:val="0026148A"/>
    <w:rsid w:val="00262696"/>
    <w:rsid w:val="00263D25"/>
    <w:rsid w:val="002643C3"/>
    <w:rsid w:val="00264A0C"/>
    <w:rsid w:val="00266EEB"/>
    <w:rsid w:val="00267EF4"/>
    <w:rsid w:val="00270CB8"/>
    <w:rsid w:val="00272B08"/>
    <w:rsid w:val="002735B1"/>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5523"/>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FB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859"/>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4A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80E"/>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B3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02F"/>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AA3"/>
    <w:rsid w:val="006640E5"/>
    <w:rsid w:val="006646F1"/>
    <w:rsid w:val="00664929"/>
    <w:rsid w:val="00664F62"/>
    <w:rsid w:val="006653AF"/>
    <w:rsid w:val="006655E1"/>
    <w:rsid w:val="00672060"/>
    <w:rsid w:val="00672BFD"/>
    <w:rsid w:val="006770F4"/>
    <w:rsid w:val="00677A84"/>
    <w:rsid w:val="0068026D"/>
    <w:rsid w:val="00680A27"/>
    <w:rsid w:val="006816A4"/>
    <w:rsid w:val="006819B8"/>
    <w:rsid w:val="006840A6"/>
    <w:rsid w:val="006850CD"/>
    <w:rsid w:val="00685AAB"/>
    <w:rsid w:val="006908F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806"/>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A82"/>
    <w:rsid w:val="007959E8"/>
    <w:rsid w:val="00795E9C"/>
    <w:rsid w:val="007A0521"/>
    <w:rsid w:val="007A2E12"/>
    <w:rsid w:val="007A3475"/>
    <w:rsid w:val="007A41C8"/>
    <w:rsid w:val="007A52AF"/>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CBF"/>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3C4"/>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AF5"/>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0E58"/>
    <w:rsid w:val="00975727"/>
    <w:rsid w:val="00977010"/>
    <w:rsid w:val="00977D02"/>
    <w:rsid w:val="00977FF9"/>
    <w:rsid w:val="009809BB"/>
    <w:rsid w:val="0098364B"/>
    <w:rsid w:val="00984EF8"/>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F9B"/>
    <w:rsid w:val="009C3152"/>
    <w:rsid w:val="009C3257"/>
    <w:rsid w:val="009C4CFA"/>
    <w:rsid w:val="009C5070"/>
    <w:rsid w:val="009D112C"/>
    <w:rsid w:val="009D1385"/>
    <w:rsid w:val="009D47FA"/>
    <w:rsid w:val="009D4C5B"/>
    <w:rsid w:val="009D50D2"/>
    <w:rsid w:val="009D6BCA"/>
    <w:rsid w:val="009E0074"/>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57"/>
    <w:rsid w:val="00A62208"/>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1C1"/>
    <w:rsid w:val="00B07242"/>
    <w:rsid w:val="00B10534"/>
    <w:rsid w:val="00B113DB"/>
    <w:rsid w:val="00B11D8A"/>
    <w:rsid w:val="00B12981"/>
    <w:rsid w:val="00B147DD"/>
    <w:rsid w:val="00B156FD"/>
    <w:rsid w:val="00B21F61"/>
    <w:rsid w:val="00B261F1"/>
    <w:rsid w:val="00B265BC"/>
    <w:rsid w:val="00B302CA"/>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AF1"/>
    <w:rsid w:val="00BC5D14"/>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E54"/>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082"/>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EC0"/>
    <w:rsid w:val="00CD2808"/>
    <w:rsid w:val="00CD28BF"/>
    <w:rsid w:val="00CD4092"/>
    <w:rsid w:val="00CD4A20"/>
    <w:rsid w:val="00CD50A1"/>
    <w:rsid w:val="00CD519E"/>
    <w:rsid w:val="00CE0C4F"/>
    <w:rsid w:val="00CE30EA"/>
    <w:rsid w:val="00CF048A"/>
    <w:rsid w:val="00CF155A"/>
    <w:rsid w:val="00CF2947"/>
    <w:rsid w:val="00CF5B94"/>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8D4"/>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D6E"/>
    <w:rsid w:val="00E202EF"/>
    <w:rsid w:val="00E210B5"/>
    <w:rsid w:val="00E22D2A"/>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ACB"/>
    <w:rsid w:val="00E664CC"/>
    <w:rsid w:val="00E70388"/>
    <w:rsid w:val="00E7065B"/>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5F"/>
    <w:rsid w:val="00EB1E69"/>
    <w:rsid w:val="00EB2086"/>
    <w:rsid w:val="00EB31ED"/>
    <w:rsid w:val="00EB5EDF"/>
    <w:rsid w:val="00EB60FE"/>
    <w:rsid w:val="00EB74DB"/>
    <w:rsid w:val="00EC5359"/>
    <w:rsid w:val="00EC562A"/>
    <w:rsid w:val="00ED004C"/>
    <w:rsid w:val="00ED067A"/>
    <w:rsid w:val="00ED2B50"/>
    <w:rsid w:val="00EE0350"/>
    <w:rsid w:val="00EE0719"/>
    <w:rsid w:val="00EE0E80"/>
    <w:rsid w:val="00EE613F"/>
    <w:rsid w:val="00EE7295"/>
    <w:rsid w:val="00EE7869"/>
    <w:rsid w:val="00EF036D"/>
    <w:rsid w:val="00EF054A"/>
    <w:rsid w:val="00EF2E27"/>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35A"/>
    <w:rsid w:val="00F417A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36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80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962B51"/>
    <w:rsid w:val="077961C6"/>
    <w:rsid w:val="08A23942"/>
    <w:rsid w:val="0F0767AD"/>
    <w:rsid w:val="0FDC38D4"/>
    <w:rsid w:val="1B8176D3"/>
    <w:rsid w:val="1D48363B"/>
    <w:rsid w:val="200D7EB9"/>
    <w:rsid w:val="216C1F58"/>
    <w:rsid w:val="22E429AC"/>
    <w:rsid w:val="25F37D76"/>
    <w:rsid w:val="28A21868"/>
    <w:rsid w:val="29403045"/>
    <w:rsid w:val="2B0E51AC"/>
    <w:rsid w:val="2B7B7EAF"/>
    <w:rsid w:val="2BB249DA"/>
    <w:rsid w:val="2C9139C3"/>
    <w:rsid w:val="35A973C7"/>
    <w:rsid w:val="39EF303B"/>
    <w:rsid w:val="3F5254AB"/>
    <w:rsid w:val="402927A7"/>
    <w:rsid w:val="424E37D0"/>
    <w:rsid w:val="44B93FF0"/>
    <w:rsid w:val="47E6777F"/>
    <w:rsid w:val="4C4C478B"/>
    <w:rsid w:val="4E451F2B"/>
    <w:rsid w:val="4F8C3528"/>
    <w:rsid w:val="52AD50FC"/>
    <w:rsid w:val="53220A8C"/>
    <w:rsid w:val="57651453"/>
    <w:rsid w:val="5A6B0F71"/>
    <w:rsid w:val="60520BF8"/>
    <w:rsid w:val="60830691"/>
    <w:rsid w:val="671D539B"/>
    <w:rsid w:val="6AED6BAC"/>
    <w:rsid w:val="6FB15896"/>
    <w:rsid w:val="728A78DC"/>
    <w:rsid w:val="79F2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qFormat/>
    <w:uiPriority w:val="99"/>
    <w:pPr>
      <w:adjustRightInd/>
      <w:spacing w:beforeAutospacing="1" w:afterAutospacing="1" w:line="240" w:lineRule="auto"/>
    </w:pPr>
    <w:rPr>
      <w:rFonts w:ascii="Times New Roman" w:hAnsi="Times New Roman"/>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character" w:customStyle="1" w:styleId="231">
    <w:name w:val="段 Char"/>
    <w:link w:val="232"/>
    <w:autoRedefine/>
    <w:qFormat/>
    <w:uiPriority w:val="0"/>
    <w:rPr>
      <w:rFonts w:ascii="宋体"/>
      <w:sz w:val="21"/>
    </w:rPr>
  </w:style>
  <w:style w:type="paragraph" w:customStyle="1" w:styleId="232">
    <w:name w:val="段"/>
    <w:link w:val="23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3">
    <w:name w:val="一级条标题"/>
    <w:next w:val="232"/>
    <w:autoRedefine/>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二级条标题"/>
    <w:basedOn w:val="233"/>
    <w:next w:val="232"/>
    <w:autoRedefine/>
    <w:qFormat/>
    <w:uiPriority w:val="0"/>
    <w:pPr>
      <w:spacing w:before="50" w:after="50"/>
      <w:outlineLvl w:val="3"/>
    </w:pPr>
  </w:style>
  <w:style w:type="paragraph" w:customStyle="1" w:styleId="235">
    <w:name w:val="章标题"/>
    <w:next w:val="232"/>
    <w:autoRedefine/>
    <w:qFormat/>
    <w:uiPriority w:val="0"/>
    <w:pPr>
      <w:spacing w:before="312" w:beforeLines="100" w:after="312" w:afterLines="100"/>
      <w:ind w:left="420" w:hanging="420"/>
      <w:jc w:val="both"/>
      <w:outlineLvl w:val="1"/>
    </w:pPr>
    <w:rPr>
      <w:rFonts w:ascii="黑体" w:hAnsi="Times New Roman" w:eastAsia="黑体" w:cs="Times New Roman"/>
      <w:sz w:val="21"/>
      <w:lang w:val="en-US" w:eastAsia="zh-CN" w:bidi="ar-SA"/>
    </w:rPr>
  </w:style>
  <w:style w:type="paragraph" w:customStyle="1" w:styleId="236">
    <w:name w:val="三级无"/>
    <w:basedOn w:val="1"/>
    <w:autoRedefine/>
    <w:qFormat/>
    <w:uiPriority w:val="0"/>
    <w:pPr>
      <w:widowControl/>
      <w:adjustRightInd/>
      <w:spacing w:line="240" w:lineRule="auto"/>
      <w:jc w:val="left"/>
      <w:outlineLvl w:val="4"/>
    </w:pPr>
    <w:rPr>
      <w:rFonts w:ascii="宋体" w:hAnsi="Times New Roman"/>
      <w:kern w:val="0"/>
    </w:rPr>
  </w:style>
  <w:style w:type="character" w:customStyle="1" w:styleId="237">
    <w:name w:val="正文文本 Char1"/>
    <w:autoRedefine/>
    <w:unhideWhenUsed/>
    <w:qFormat/>
    <w:locked/>
    <w:uiPriority w:val="99"/>
    <w:rPr>
      <w:rFonts w:ascii="宋体"/>
      <w:sz w:val="22"/>
    </w:rPr>
  </w:style>
  <w:style w:type="paragraph" w:customStyle="1" w:styleId="238">
    <w:name w:val="_Style 237"/>
    <w:basedOn w:val="1"/>
    <w:next w:val="239"/>
    <w:autoRedefine/>
    <w:qFormat/>
    <w:uiPriority w:val="1"/>
    <w:pPr>
      <w:autoSpaceDE w:val="0"/>
      <w:autoSpaceDN w:val="0"/>
      <w:spacing w:line="240" w:lineRule="auto"/>
      <w:ind w:left="118"/>
      <w:jc w:val="left"/>
    </w:pPr>
    <w:rPr>
      <w:rFonts w:ascii="Times New Roman" w:hAnsi="Times New Roman"/>
      <w:kern w:val="0"/>
      <w:sz w:val="24"/>
      <w:szCs w:val="24"/>
    </w:rPr>
  </w:style>
  <w:style w:type="paragraph" w:styleId="23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89A4EAF81941C5B0FE240F6576C4A4"/>
        <w:style w:val=""/>
        <w:category>
          <w:name w:val="常规"/>
          <w:gallery w:val="placeholder"/>
        </w:category>
        <w:types>
          <w:type w:val="bbPlcHdr"/>
        </w:types>
        <w:behaviors>
          <w:behavior w:val="content"/>
        </w:behaviors>
        <w:description w:val=""/>
        <w:guid w:val="{00D4A6F8-0E33-4F95-BF6B-0957F52FD4DD}"/>
      </w:docPartPr>
      <w:docPartBody>
        <w:p>
          <w:pPr>
            <w:pStyle w:val="5"/>
          </w:pPr>
          <w:r>
            <w:rPr>
              <w:rStyle w:val="4"/>
              <w:rFonts w:hint="eastAsia"/>
            </w:rPr>
            <w:t>单击或点击此处输入文字。</w:t>
          </w:r>
        </w:p>
      </w:docPartBody>
    </w:docPart>
    <w:docPart>
      <w:docPartPr>
        <w:name w:val="{ed228731-cc16-45e9-b561-9466d537ecd3}"/>
        <w:style w:val=""/>
        <w:category>
          <w:name w:val="常规"/>
          <w:gallery w:val="placeholder"/>
        </w:category>
        <w:types>
          <w:type w:val="bbPlcHdr"/>
        </w:types>
        <w:behaviors>
          <w:behavior w:val="content"/>
        </w:behaviors>
        <w:description w:val=""/>
        <w:guid w:val="{ED228731-CC16-45E9-B561-9466D537ECD3}"/>
      </w:docPartPr>
      <w:docPartBody>
        <w:p>
          <w:pPr>
            <w:pStyle w:val="6"/>
          </w:pPr>
          <w:r>
            <w:rPr>
              <w:rStyle w:val="4"/>
              <w:rFonts w:hint="eastAsia"/>
            </w:rPr>
            <w:t>选择一项。</w:t>
          </w:r>
        </w:p>
      </w:docPartBody>
    </w:docPart>
    <w:docPart>
      <w:docPartPr>
        <w:name w:val="{32da7198-8024-4aec-8b00-1512be2499ef}"/>
        <w:style w:val=""/>
        <w:category>
          <w:name w:val="常规"/>
          <w:gallery w:val="placeholder"/>
        </w:category>
        <w:types>
          <w:type w:val="bbPlcHdr"/>
        </w:types>
        <w:behaviors>
          <w:behavior w:val="content"/>
        </w:behaviors>
        <w:description w:val=""/>
        <w:guid w:val="{32DA7198-8024-4AEC-8B00-1512BE2499E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FB"/>
    <w:rsid w:val="00003824"/>
    <w:rsid w:val="00093C7F"/>
    <w:rsid w:val="001D0956"/>
    <w:rsid w:val="001F4A72"/>
    <w:rsid w:val="00436FB4"/>
    <w:rsid w:val="00574D61"/>
    <w:rsid w:val="006553BC"/>
    <w:rsid w:val="008E225E"/>
    <w:rsid w:val="009E14C7"/>
    <w:rsid w:val="00A62E0A"/>
    <w:rsid w:val="00AA0E0F"/>
    <w:rsid w:val="00BB2407"/>
    <w:rsid w:val="00C71EFB"/>
    <w:rsid w:val="00D215CE"/>
    <w:rsid w:val="00D84191"/>
    <w:rsid w:val="00F531D6"/>
    <w:rsid w:val="00FE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C589A4EAF81941C5B0FE240F6576C4A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1869926B858456F944B8ED6B04F7AD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3E4E201D3DB4FDCA7D4F3DB483B66D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5</Pages>
  <Words>438</Words>
  <Characters>2503</Characters>
  <Lines>20</Lines>
  <Paragraphs>5</Paragraphs>
  <TotalTime>62</TotalTime>
  <ScaleCrop>false</ScaleCrop>
  <LinksUpToDate>false</LinksUpToDate>
  <CharactersWithSpaces>2936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2023-07-18T07:17:00Z</dcterms:created>
  <dc:creator>xin</dc:creator>
  <dc:description>&lt;config cover="true" show_menu="true" version="1.0.0" doctype="SDKXY"&gt;_x000d_
&lt;/config&gt;</dc:description>
  <cp:lastModifiedBy>David</cp:lastModifiedBy>
  <cp:lastPrinted>2021-02-02T08:22:00Z</cp:lastPrinted>
  <dcterms:modified xsi:type="dcterms:W3CDTF">2024-02-05T09:06:20Z</dcterms:modified>
  <dc:title>团体标准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C2E617C8780D4413B4A96133CC93B4C8_13</vt:lpwstr>
  </property>
  <property fmtid="{D5CDD505-2E9C-101B-9397-08002B2CF9AE}" pid="16" name="DoublePage">
    <vt:lpwstr>true</vt:lpwstr>
  </property>
</Properties>
</file>