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hAnsi="黑体" w:eastAsia="方正小标宋简体" w:cs="黑体"/>
          <w:bCs/>
          <w:color w:val="000000"/>
          <w:sz w:val="44"/>
          <w:szCs w:val="44"/>
        </w:rPr>
      </w:pPr>
      <w:r>
        <w:rPr>
          <w:rFonts w:hint="eastAsia" w:ascii="方正小标宋简体" w:hAnsi="黑体" w:eastAsia="方正小标宋简体" w:cs="黑体"/>
          <w:bCs/>
          <w:color w:val="000000"/>
          <w:sz w:val="44"/>
          <w:szCs w:val="44"/>
        </w:rPr>
        <w:t>团体标准《</w:t>
      </w:r>
      <w:r>
        <w:rPr>
          <w:rFonts w:hint="eastAsia" w:ascii="方正小标宋简体" w:hAnsi="黑体" w:eastAsia="方正小标宋简体" w:cs="黑体"/>
          <w:bCs/>
          <w:color w:val="000000"/>
          <w:sz w:val="44"/>
          <w:szCs w:val="44"/>
          <w:lang w:eastAsia="zh-CN"/>
        </w:rPr>
        <w:t>六堡调味茶</w:t>
      </w:r>
      <w:r>
        <w:rPr>
          <w:rFonts w:hint="eastAsia" w:ascii="方正小标宋简体" w:hAnsi="黑体" w:eastAsia="方正小标宋简体" w:cs="黑体"/>
          <w:bCs/>
          <w:color w:val="000000"/>
          <w:sz w:val="44"/>
          <w:szCs w:val="44"/>
        </w:rPr>
        <w:t>》（</w:t>
      </w:r>
      <w:r>
        <w:rPr>
          <w:rFonts w:hint="eastAsia" w:ascii="方正小标宋简体" w:hAnsi="黑体" w:eastAsia="方正小标宋简体" w:cs="黑体"/>
          <w:bCs/>
          <w:color w:val="000000"/>
          <w:sz w:val="44"/>
          <w:szCs w:val="44"/>
          <w:lang w:val="en-US" w:eastAsia="zh-CN"/>
        </w:rPr>
        <w:t>征求意见稿</w:t>
      </w:r>
      <w:r>
        <w:rPr>
          <w:rFonts w:hint="eastAsia" w:ascii="方正小标宋简体" w:hAnsi="黑体" w:eastAsia="方正小标宋简体" w:cs="黑体"/>
          <w:bCs/>
          <w:color w:val="000000"/>
          <w:sz w:val="44"/>
          <w:szCs w:val="44"/>
        </w:rPr>
        <w:t>）</w:t>
      </w:r>
    </w:p>
    <w:p>
      <w:pPr>
        <w:spacing w:line="600" w:lineRule="exact"/>
        <w:jc w:val="center"/>
        <w:rPr>
          <w:rFonts w:ascii="方正小标宋简体" w:hAnsi="黑体" w:eastAsia="方正小标宋简体" w:cs="黑体"/>
          <w:bCs/>
          <w:color w:val="000000"/>
          <w:sz w:val="44"/>
          <w:szCs w:val="44"/>
        </w:rPr>
      </w:pPr>
      <w:r>
        <w:rPr>
          <w:rFonts w:hint="eastAsia" w:ascii="方正小标宋简体" w:hAnsi="黑体" w:eastAsia="方正小标宋简体" w:cs="黑体"/>
          <w:bCs/>
          <w:color w:val="000000"/>
          <w:sz w:val="44"/>
          <w:szCs w:val="44"/>
        </w:rPr>
        <w:t>编制说明</w:t>
      </w:r>
    </w:p>
    <w:p>
      <w:pPr>
        <w:spacing w:line="600" w:lineRule="exact"/>
        <w:jc w:val="center"/>
        <w:rPr>
          <w:rFonts w:ascii="方正小标宋简体" w:hAnsi="黑体" w:eastAsia="方正小标宋简体" w:cs="黑体"/>
          <w:bCs/>
          <w:color w:val="000000"/>
          <w:sz w:val="44"/>
          <w:szCs w:val="44"/>
        </w:rPr>
      </w:pP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w:t>
      </w:r>
      <w:r>
        <w:rPr>
          <w:rFonts w:ascii="黑体" w:hAnsi="黑体" w:eastAsia="黑体" w:cs="仿宋_GB2312"/>
          <w:sz w:val="32"/>
          <w:szCs w:val="32"/>
        </w:rPr>
        <w:t>、</w:t>
      </w:r>
      <w:r>
        <w:rPr>
          <w:rFonts w:hint="eastAsia" w:ascii="黑体" w:hAnsi="黑体" w:eastAsia="黑体" w:cs="仿宋_GB2312"/>
          <w:sz w:val="32"/>
          <w:szCs w:val="32"/>
        </w:rPr>
        <w:t>项目来源</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lang w:val="zh-CN"/>
        </w:rPr>
        <w:t>根据《广西茶业协会</w:t>
      </w:r>
      <w:r>
        <w:rPr>
          <w:rFonts w:hint="eastAsia" w:ascii="仿宋_GB2312" w:hAnsi="宋体" w:eastAsia="仿宋_GB2312"/>
          <w:sz w:val="32"/>
          <w:szCs w:val="32"/>
          <w:lang w:val="en-US" w:eastAsia="zh-CN"/>
        </w:rPr>
        <w:t>关于下达2023年第四批团体标准制修订项目计划的通知</w:t>
      </w:r>
      <w:r>
        <w:rPr>
          <w:rFonts w:hint="eastAsia" w:ascii="仿宋_GB2312" w:hAnsi="宋体" w:eastAsia="仿宋_GB2312"/>
          <w:sz w:val="32"/>
          <w:szCs w:val="32"/>
          <w:lang w:val="zh-CN"/>
        </w:rPr>
        <w:t>》（桂茶协字[</w:t>
      </w:r>
      <w:r>
        <w:rPr>
          <w:rFonts w:hint="eastAsia" w:ascii="仿宋_GB2312" w:hAnsi="宋体" w:eastAsia="仿宋_GB2312"/>
          <w:sz w:val="32"/>
          <w:szCs w:val="32"/>
          <w:lang w:val="en-US" w:eastAsia="zh-CN"/>
        </w:rPr>
        <w:t>2023</w:t>
      </w:r>
      <w:r>
        <w:rPr>
          <w:rFonts w:hint="eastAsia" w:ascii="仿宋_GB2312" w:hAnsi="宋体" w:eastAsia="仿宋_GB2312"/>
          <w:sz w:val="32"/>
          <w:szCs w:val="32"/>
          <w:lang w:val="zh-CN"/>
        </w:rPr>
        <w:t>]第</w:t>
      </w:r>
      <w:r>
        <w:rPr>
          <w:rFonts w:hint="eastAsia" w:ascii="仿宋_GB2312" w:hAnsi="宋体" w:eastAsia="仿宋_GB2312"/>
          <w:sz w:val="32"/>
          <w:szCs w:val="32"/>
          <w:lang w:val="en-US" w:eastAsia="zh-CN"/>
        </w:rPr>
        <w:t>42</w:t>
      </w:r>
      <w:r>
        <w:rPr>
          <w:rFonts w:hint="eastAsia" w:ascii="仿宋_GB2312" w:hAnsi="宋体" w:eastAsia="仿宋_GB2312"/>
          <w:sz w:val="32"/>
          <w:szCs w:val="32"/>
          <w:lang w:val="zh-CN"/>
        </w:rPr>
        <w:t>号）文件精神，由</w:t>
      </w:r>
      <w:r>
        <w:rPr>
          <w:rFonts w:hint="eastAsia" w:ascii="仿宋_GB2312" w:hAnsi="宋体" w:eastAsia="仿宋_GB2312"/>
          <w:sz w:val="32"/>
          <w:szCs w:val="32"/>
          <w:lang w:val="en-US" w:eastAsia="zh-CN"/>
        </w:rPr>
        <w:t>广西茶业协会</w:t>
      </w:r>
      <w:r>
        <w:rPr>
          <w:rFonts w:hint="eastAsia" w:ascii="仿宋_GB2312" w:hAnsi="宋体" w:eastAsia="仿宋_GB2312"/>
          <w:sz w:val="32"/>
          <w:szCs w:val="32"/>
          <w:lang w:val="zh-CN"/>
        </w:rPr>
        <w:t>提出，</w:t>
      </w:r>
      <w:r>
        <w:rPr>
          <w:rFonts w:hint="eastAsia" w:ascii="仿宋_GB2312" w:hAnsi="宋体" w:eastAsia="仿宋_GB2312"/>
          <w:sz w:val="32"/>
          <w:szCs w:val="32"/>
        </w:rPr>
        <w:t>广西梧州芙叶茶叶股份有限公司、梧州市吉祥韵茶叶有限公司、广西绿异茶树良种研究院、广西壮族自治区茶叶科学研究所、广西茶业协会、广西艺苑农业科技有限公司等</w:t>
      </w:r>
      <w:r>
        <w:rPr>
          <w:rFonts w:hint="eastAsia" w:ascii="仿宋_GB2312" w:hAnsi="宋体" w:eastAsia="仿宋_GB2312"/>
          <w:sz w:val="32"/>
          <w:szCs w:val="32"/>
          <w:lang w:val="en-US" w:eastAsia="zh-CN"/>
        </w:rPr>
        <w:t>单位</w:t>
      </w:r>
      <w:r>
        <w:rPr>
          <w:rFonts w:hint="eastAsia" w:ascii="仿宋_GB2312" w:hAnsi="宋体" w:eastAsia="仿宋_GB2312"/>
          <w:sz w:val="32"/>
          <w:szCs w:val="32"/>
          <w:lang w:val="zh-CN"/>
        </w:rPr>
        <w:t>共同起草的团体标准《</w:t>
      </w:r>
      <w:r>
        <w:rPr>
          <w:rFonts w:hint="eastAsia" w:ascii="仿宋_GB2312" w:hAnsi="宋体" w:eastAsia="仿宋_GB2312"/>
          <w:sz w:val="32"/>
          <w:szCs w:val="32"/>
          <w:lang w:eastAsia="zh-CN"/>
        </w:rPr>
        <w:t>六堡调味茶</w:t>
      </w:r>
      <w:r>
        <w:rPr>
          <w:rFonts w:hint="eastAsia" w:ascii="仿宋_GB2312" w:hAnsi="宋体" w:eastAsia="仿宋_GB2312"/>
          <w:sz w:val="32"/>
          <w:szCs w:val="32"/>
          <w:lang w:val="zh-CN"/>
        </w:rPr>
        <w:t>》。</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w:t>
      </w:r>
      <w:r>
        <w:rPr>
          <w:rFonts w:ascii="黑体" w:hAnsi="黑体" w:eastAsia="黑体" w:cs="仿宋_GB2312"/>
          <w:sz w:val="32"/>
          <w:szCs w:val="32"/>
        </w:rPr>
        <w:t>、</w:t>
      </w:r>
      <w:r>
        <w:rPr>
          <w:rFonts w:hint="eastAsia" w:ascii="黑体" w:hAnsi="黑体" w:eastAsia="黑体" w:cs="仿宋_GB2312"/>
          <w:sz w:val="32"/>
          <w:szCs w:val="32"/>
        </w:rPr>
        <w:t>项目背景及目的意义</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茶叶是世界三大无酒精饮料之一，在我国乃至世界经济中都占据着重要地位。随着现代经济的发展，尤其是新冠疫情之后，人们对于健康的需求越来越强烈，茶的健康属性也得到越来越多的人的认可。但是，纯茶的受众相对局限，大多数人对于口味与特异性风味的追求，促使了调味茶行业的发展，在电商与线下茶饮店繁荣发展下，各种各样的调味茶产品层出不穷，极大的满足了人们对茶饮的特异化需求。</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自古以来，国内饮茶习俗就有对茶加入香料等调味品，混合饮茶，唐代陆羽《茶经·五之煮》中便有记载，茶与盐烹煮；唐代樊绰《蛮书》也提到“茶出银生城界诸山，散收无采造法。蒙舍蛮以椒、姜、桂和烹而饮之”，这可能便是现代煮饮老白茶，加入枣片、陈皮等的雏形。聚焦当代，从陈皮普洱、小青柑等混合类茶产品的走红，到蜜桃乌龙、荔枝红茶等加香类茶产品的畅销，无不反映了调味茶行业的繁荣热度。</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调味茶根据添加物或加工工艺的不同，可分为加香调味茶、加料调味茶、混合调味茶、袋泡调味茶、紧压调味茶。加香调味茶仅添加适量食品级香料、香精等食品添加剂；加料调味茶仅添加适量其他食品级原料组分；而混合调味茶则是既添加适量食品级香料、香精等食品添加剂，又添加其他食品级原料组分；袋泡调味茶是从调味茶包装形式上进行分类区分；紧压调味茶则是以加工工艺进行区分。</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调味茶由于其市场准入门槛较低，从事企业生产技术水平参差不齐，另外，调味茶由于其加工技术原因，极易导致其不同批次产品的风味特征差异较大，产品的品质稳定性较差，这些都制约了调味茶行业的良性发展，影响消费者的复购体验。另外调味茶讲究产品的风味特征，一般不含或含有较少的食品添加剂，对于调味茶的产品风味品质特征的保存，对于贮存方式、物流运输均有较高的要求，这些都制约了调味茶产品线上推广以及新风味研发，但是对于线下店铺而言，可能也是一个机遇，不同的体验场景，给予消费者不同的品饮感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目前发布和实施的调味茶行业标准仅有GH/T 1247-2019《调味茶》、GH/T 1231-2018《加香调味茶》，对调味茶的理化性质、污染物等检测指标有了明确的技术要求，对规范调味茶市场具有积极作用。然而，由于调味茶行业标准实施时间较短，且对调味茶进行研究的文献也较少，目前调味茶行业仍存在一些问题，例如产品品类较少、同质化严重、茶叶口感欠佳等。同时，对于调味茶产品的安全性评价尚停留在传统茶阶段，但是调味茶由于其组成成分相对传统茶更为复杂，尤其是现今市场上大火的蜜桃乌龙等果粒加料调味茶，其中果粒成分高糖分，极易滋生微生物，导致产品劣化，潜在的食品安全隐患，仍参照传统茶的安全评价体系是不科学的，所以建立健全调味茶的安全评价体系是对调味茶市场做大做强的必要基石，高品质、高安全性的调味茶才是消费者真正需求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面对产品品类较少、同质化严重的问题，项目编制组改变思路以六堡茶为基茶，辅以菊花、薄荷、金银花、覆盆子、决明子、罗汉果、获苓、黄精、甘草、枸杞、姜、荷叶、木瓜陈皮《橘皮)、桑堪、余甘子、葛根、桂圆、五指毛桃、意米、荧实、栀子、赤小豆、桂花、白兰花、茉莉花、柠檬、二红柑、小青柑、养麦、黑米、大麦、山植、苹果、六堡茶花、玫瑰花、人参、蛹虫草、玛卡粉等材料，制得40余种风味独特的六堡调味茶；该项标准对感官要求、理化指标、微生物指标、食品添加剂进行规范，保障产品质量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制定团体标准《六堡调味茶》，以标准为抓手，统一规范产品分类、原辅料要求、感官要求、理化指标、微生物指标、食品添加剂等步骤，用标准化和规范化将更好地指导广西六堡调味茶的一体化建设，建立健全广西六堡茶标准化体系，提高六堡调味茶产品自主创新能力，深挖调味茶的健康属性，提升调味茶产品品质，打造广西六堡茶区域品牌，推动广西六堡茶产业高质量发展，助力乡村振兴具有重要意义。</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w:t>
      </w:r>
      <w:r>
        <w:rPr>
          <w:rFonts w:ascii="黑体" w:hAnsi="黑体" w:eastAsia="黑体" w:cs="仿宋_GB2312"/>
          <w:sz w:val="32"/>
          <w:szCs w:val="32"/>
        </w:rPr>
        <w:t>、</w:t>
      </w:r>
      <w:r>
        <w:rPr>
          <w:rFonts w:hint="eastAsia" w:ascii="黑体" w:hAnsi="黑体" w:eastAsia="黑体" w:cs="仿宋_GB2312"/>
          <w:sz w:val="32"/>
          <w:szCs w:val="32"/>
        </w:rPr>
        <w:t>标准编制过程</w:t>
      </w:r>
    </w:p>
    <w:p>
      <w:pPr>
        <w:adjustRightInd w:val="0"/>
        <w:snapToGrid w:val="0"/>
        <w:spacing w:before="156" w:beforeLines="50" w:after="156" w:afterLines="50" w:line="560" w:lineRule="exact"/>
        <w:ind w:left="505"/>
        <w:rPr>
          <w:rFonts w:ascii="楷体" w:hAnsi="楷体" w:eastAsia="楷体" w:cs="黑体"/>
          <w:bCs/>
          <w:sz w:val="32"/>
          <w:szCs w:val="32"/>
        </w:rPr>
      </w:pPr>
      <w:r>
        <w:rPr>
          <w:rFonts w:hint="eastAsia" w:ascii="楷体" w:hAnsi="楷体" w:eastAsia="楷体" w:cs="仿宋_GB2312"/>
          <w:b/>
          <w:sz w:val="32"/>
          <w:szCs w:val="32"/>
        </w:rPr>
        <w:t>（一）成立标准编制工作组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团体标准《</w:t>
      </w:r>
      <w:r>
        <w:rPr>
          <w:rFonts w:hint="eastAsia" w:ascii="仿宋_GB2312" w:hAnsi="宋体" w:eastAsia="仿宋_GB2312"/>
          <w:sz w:val="32"/>
          <w:szCs w:val="32"/>
          <w:lang w:val="zh-CN"/>
        </w:rPr>
        <w:t>六堡调味茶</w:t>
      </w:r>
      <w:r>
        <w:rPr>
          <w:rFonts w:hint="eastAsia" w:ascii="仿宋_GB2312" w:hAnsi="宋体" w:eastAsia="仿宋_GB2312"/>
          <w:sz w:val="32"/>
          <w:szCs w:val="32"/>
        </w:rPr>
        <w:t>》项目任务下达后，由</w:t>
      </w:r>
      <w:r>
        <w:rPr>
          <w:rFonts w:hint="eastAsia" w:ascii="仿宋_GB2312" w:hAnsi="宋体" w:eastAsia="仿宋_GB2312"/>
          <w:sz w:val="32"/>
          <w:szCs w:val="32"/>
          <w:lang w:val="en-US" w:eastAsia="zh-CN"/>
        </w:rPr>
        <w:t>广西茶业协会</w:t>
      </w:r>
      <w:r>
        <w:rPr>
          <w:rFonts w:hint="eastAsia" w:ascii="仿宋_GB2312" w:hAnsi="宋体" w:eastAsia="仿宋_GB2312"/>
          <w:sz w:val="32"/>
          <w:szCs w:val="32"/>
        </w:rPr>
        <w:t>组织成立了标准编制工作组，制定了标准编写方案，明确任务职责，确定工作技术路线，开展标准研制工作，具体标准编制工作由广西梧州芙叶茶叶股份有限公司、梧州市吉祥韵茶叶有限公司、广西绿异茶树良种研究院、广西壮族自治区茶叶科学研究所、广西茶业协会、广西艺苑农业科技有限公司等单位相关人员配合。</w:t>
      </w:r>
    </w:p>
    <w:p>
      <w:pPr>
        <w:spacing w:before="156" w:beforeLines="50" w:after="156" w:afterLines="50"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（二）收集整理文献资料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标准编制工作组收集了</w:t>
      </w:r>
      <w:r>
        <w:rPr>
          <w:rFonts w:hint="eastAsia" w:ascii="仿宋_GB2312" w:hAnsi="宋体" w:eastAsia="仿宋_GB2312"/>
          <w:sz w:val="32"/>
          <w:szCs w:val="32"/>
          <w:lang w:val="en-US" w:eastAsia="zh-CN"/>
        </w:rPr>
        <w:t>与</w:t>
      </w:r>
      <w:r>
        <w:rPr>
          <w:rFonts w:hint="eastAsia" w:ascii="仿宋_GB2312" w:hAnsi="宋体" w:eastAsia="仿宋_GB2312"/>
          <w:sz w:val="32"/>
          <w:szCs w:val="32"/>
        </w:rPr>
        <w:t>国内六堡</w:t>
      </w:r>
      <w:r>
        <w:rPr>
          <w:rFonts w:hint="eastAsia" w:ascii="仿宋_GB2312" w:hAnsi="宋体" w:eastAsia="仿宋_GB2312"/>
          <w:sz w:val="32"/>
          <w:szCs w:val="32"/>
          <w:lang w:val="en-US" w:eastAsia="zh-CN"/>
        </w:rPr>
        <w:t>调味</w:t>
      </w:r>
      <w:r>
        <w:rPr>
          <w:rFonts w:hint="eastAsia" w:ascii="仿宋_GB2312" w:hAnsi="宋体" w:eastAsia="仿宋_GB2312"/>
          <w:sz w:val="32"/>
          <w:szCs w:val="32"/>
        </w:rPr>
        <w:t>茶相关文献资料。主要有：</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191  包装储运图示标志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2760  食品安全国家标准  食品添加剂使用标准</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2761  食品安全国家标准  食品中真菌毒素限量</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2762  食品安全国家标准  食品中污染物限量</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2763  食品安全国家标准  食品中农药最大残留限量</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4789.1  食品安全国家标准  食品微生物学检验  总则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4789.4  食品安全国家标准  食品微生物学检验  沙门氏菌检验</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4789.10  食品安全国家标准  食品微生物学检验  金黄色葡萄球菌检验</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5009.3  食品安全国家标准  食品中水分的测定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5009.12  食品安全国家标准  食品中铅的测定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5009.22  食品安全国家标准  食品中黄曲霉毒素B族和G族的测定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5009.34  食品安全国家标准  食品中二氧化硫的测定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5009.185  食品安全国家标准  食品中展青霉素的测定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5749  生活饮用水卫生标准</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7718  食品安全国家标准  预包装食品标签通则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8302  茶  取样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8303  茶磨碎试样的制备及其干物质含量测定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 14881  食品安全国家标准  食品生产通用卫生规范</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GB/T 32719.4  黑茶  第4部分：六堡茶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DBS45/ 057  食品安全地方标准  六堡茶(传统工艺)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卫生部关于批准蛹虫草为新资源食品的公告（2009年第3号）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原中华人民共和国卫生部﹝2010﹞第3号公告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中华人民共和国卫生部公告2011第13号  关于批准玛咖粉作为新资源食品的公告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原中华人民共和国卫生部﹝2010﹞第17号公告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原中华人民共和国药典  一部（2020版）</w:t>
      </w:r>
    </w:p>
    <w:p>
      <w:pPr>
        <w:spacing w:before="156" w:beforeLines="50" w:after="156" w:afterLines="50"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（三）研讨确定标准主体内容</w:t>
      </w:r>
    </w:p>
    <w:p>
      <w:pPr>
        <w:spacing w:line="560" w:lineRule="exact"/>
        <w:ind w:firstLine="640" w:firstLineChars="200"/>
        <w:rPr>
          <w:rFonts w:hint="eastAsia" w:ascii="仿宋_GB2312" w:hAnsi="宋体" w:eastAsia="仿宋_GB2312"/>
          <w:color w:val="auto"/>
          <w:sz w:val="32"/>
          <w:szCs w:val="32"/>
          <w:lang w:eastAsia="zh-CN"/>
        </w:rPr>
      </w:pPr>
      <w:r>
        <w:rPr>
          <w:rFonts w:hint="eastAsia" w:ascii="仿宋_GB2312" w:hAnsi="宋体" w:eastAsia="仿宋_GB2312"/>
          <w:sz w:val="32"/>
          <w:szCs w:val="32"/>
        </w:rPr>
        <w:t>标准编制工作组在对收集的资料进行整理研究之后，召开了标准编制会议，对标准的整体框架结构进行了研究，并对标准的关键性</w:t>
      </w:r>
      <w:r>
        <w:rPr>
          <w:rFonts w:hint="eastAsia" w:ascii="仿宋_GB2312" w:hAnsi="宋体" w:eastAsia="仿宋_GB2312"/>
          <w:color w:val="auto"/>
          <w:sz w:val="32"/>
          <w:szCs w:val="32"/>
        </w:rPr>
        <w:t>内容进行了初步探讨。经过研究，标准的主体内容确定为术语和定义</w:t>
      </w:r>
      <w:r>
        <w:rPr>
          <w:rFonts w:hint="eastAsia" w:ascii="仿宋_GB2312" w:hAnsi="宋体" w:eastAsia="仿宋_GB2312"/>
          <w:color w:val="auto"/>
          <w:sz w:val="32"/>
          <w:szCs w:val="32"/>
          <w:lang w:eastAsia="zh-CN"/>
        </w:rPr>
        <w:t>、产品分类、质量、食品添加剂、加工卫生、标志、标签、包装、运输、贮存、试验方法和检验规则。</w:t>
      </w:r>
    </w:p>
    <w:p>
      <w:pPr>
        <w:spacing w:before="156" w:beforeLines="50" w:after="156" w:afterLines="50" w:line="560" w:lineRule="exact"/>
        <w:ind w:firstLine="643" w:firstLineChars="200"/>
        <w:rPr>
          <w:rFonts w:hint="default" w:ascii="楷体" w:hAnsi="楷体" w:eastAsia="楷体" w:cs="仿宋_GB2312"/>
          <w:b/>
          <w:color w:val="auto"/>
          <w:sz w:val="32"/>
          <w:szCs w:val="32"/>
          <w:lang w:val="en-US" w:eastAsia="zh-CN"/>
        </w:rPr>
      </w:pPr>
      <w:r>
        <w:rPr>
          <w:rFonts w:hint="eastAsia" w:ascii="楷体" w:hAnsi="楷体" w:eastAsia="楷体" w:cs="仿宋_GB2312"/>
          <w:b/>
          <w:color w:val="auto"/>
          <w:sz w:val="32"/>
          <w:szCs w:val="32"/>
        </w:rPr>
        <w:t>（四）调研、形成文本草案、征求意见稿</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0</w:t>
      </w:r>
      <w:r>
        <w:rPr>
          <w:rFonts w:hint="eastAsia" w:ascii="仿宋_GB2312" w:hAnsi="宋体" w:eastAsia="仿宋_GB2312"/>
          <w:sz w:val="32"/>
          <w:szCs w:val="32"/>
        </w:rPr>
        <w:t>年</w:t>
      </w:r>
      <w:r>
        <w:rPr>
          <w:rFonts w:hint="eastAsia" w:ascii="仿宋_GB2312" w:hAnsi="宋体" w:eastAsia="仿宋_GB2312"/>
          <w:sz w:val="32"/>
          <w:szCs w:val="32"/>
          <w:lang w:val="en-US" w:eastAsia="zh-CN"/>
        </w:rPr>
        <w:t>1月</w:t>
      </w:r>
      <w:r>
        <w:rPr>
          <w:rFonts w:hint="eastAsia" w:ascii="仿宋_GB2312" w:hAnsi="宋体" w:eastAsia="仿宋_GB2312"/>
          <w:color w:val="auto"/>
          <w:sz w:val="32"/>
          <w:szCs w:val="32"/>
        </w:rPr>
        <w:t>～</w:t>
      </w:r>
      <w:r>
        <w:rPr>
          <w:rFonts w:hint="eastAsia" w:ascii="仿宋_GB2312" w:hAnsi="宋体" w:eastAsia="仿宋_GB2312"/>
          <w:color w:val="auto"/>
          <w:sz w:val="32"/>
          <w:szCs w:val="32"/>
          <w:lang w:val="en-US" w:eastAsia="zh-CN"/>
        </w:rPr>
        <w:t>2023年12月</w:t>
      </w:r>
      <w:r>
        <w:rPr>
          <w:rFonts w:hint="eastAsia" w:ascii="仿宋_GB2312" w:hAnsi="宋体" w:eastAsia="仿宋_GB2312"/>
          <w:sz w:val="32"/>
          <w:szCs w:val="32"/>
        </w:rPr>
        <w:t>，标准起草工作小组进行了广泛实地调研工作，查阅了大量的国内外文献资料，对</w:t>
      </w:r>
      <w:r>
        <w:rPr>
          <w:rFonts w:hint="eastAsia" w:ascii="仿宋_GB2312" w:hAnsi="宋体" w:eastAsia="仿宋_GB2312"/>
          <w:sz w:val="32"/>
          <w:szCs w:val="32"/>
          <w:lang w:val="en-US" w:eastAsia="zh-CN"/>
        </w:rPr>
        <w:t>六堡茶调味茶产品分类、质量要求</w:t>
      </w:r>
      <w:r>
        <w:rPr>
          <w:rFonts w:hint="eastAsia" w:ascii="仿宋_GB2312" w:hAnsi="宋体" w:eastAsia="仿宋_GB2312"/>
          <w:sz w:val="32"/>
          <w:szCs w:val="32"/>
        </w:rPr>
        <w:t>进行系统总结。经编制组反复讨论，形成了标准的基本构架，对主要内容进行了讨论并对项目的工作进行了部署和安排。</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sz w:val="32"/>
          <w:szCs w:val="32"/>
        </w:rPr>
        <w:t>20</w:t>
      </w:r>
      <w:r>
        <w:rPr>
          <w:rFonts w:hint="eastAsia" w:ascii="仿宋_GB2312" w:hAnsi="宋体" w:eastAsia="仿宋_GB2312"/>
          <w:color w:val="auto"/>
          <w:sz w:val="32"/>
          <w:szCs w:val="32"/>
        </w:rPr>
        <w:t>2</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val="en-US" w:eastAsia="zh-CN"/>
        </w:rPr>
        <w:t>12</w:t>
      </w:r>
      <w:r>
        <w:rPr>
          <w:rFonts w:hint="eastAsia" w:ascii="仿宋_GB2312" w:hAnsi="宋体" w:eastAsia="仿宋_GB2312"/>
          <w:color w:val="auto"/>
          <w:sz w:val="32"/>
          <w:szCs w:val="32"/>
        </w:rPr>
        <w:t>月，在前期工作的基础之上，通过理清逻辑脉络，整合已有的参考资料中有关</w:t>
      </w:r>
      <w:r>
        <w:rPr>
          <w:rFonts w:hint="eastAsia" w:ascii="仿宋_GB2312" w:hAnsi="宋体" w:eastAsia="仿宋_GB2312"/>
          <w:color w:val="auto"/>
          <w:sz w:val="32"/>
          <w:szCs w:val="32"/>
          <w:lang w:val="en-US" w:eastAsia="zh-CN"/>
        </w:rPr>
        <w:t>六堡调味茶加工、质量安全等方面的</w:t>
      </w:r>
      <w:r>
        <w:rPr>
          <w:rFonts w:hint="eastAsia" w:ascii="仿宋_GB2312" w:hAnsi="宋体" w:eastAsia="仿宋_GB2312"/>
          <w:color w:val="auto"/>
          <w:sz w:val="32"/>
          <w:szCs w:val="32"/>
        </w:rPr>
        <w:t>资料，并结合区内</w:t>
      </w:r>
      <w:r>
        <w:rPr>
          <w:rFonts w:hint="eastAsia" w:ascii="仿宋_GB2312" w:hAnsi="宋体" w:eastAsia="仿宋_GB2312"/>
          <w:color w:val="auto"/>
          <w:sz w:val="32"/>
          <w:szCs w:val="32"/>
          <w:lang w:val="en-US" w:eastAsia="zh-CN"/>
        </w:rPr>
        <w:t>特有加料种类口味要求、品质要求</w:t>
      </w:r>
      <w:r>
        <w:rPr>
          <w:rFonts w:hint="eastAsia" w:ascii="仿宋_GB2312" w:hAnsi="宋体" w:eastAsia="仿宋_GB2312"/>
          <w:color w:val="auto"/>
          <w:sz w:val="32"/>
          <w:szCs w:val="32"/>
        </w:rPr>
        <w:t>的基础上，按照简化、统一等原则编制完成团体标准《</w:t>
      </w:r>
      <w:r>
        <w:rPr>
          <w:rFonts w:hint="eastAsia" w:ascii="仿宋_GB2312" w:hAnsi="宋体" w:eastAsia="仿宋_GB2312"/>
          <w:color w:val="auto"/>
          <w:sz w:val="32"/>
          <w:szCs w:val="32"/>
          <w:lang w:eastAsia="zh-CN"/>
        </w:rPr>
        <w:t>六堡调味茶</w:t>
      </w:r>
      <w:r>
        <w:rPr>
          <w:rFonts w:hint="eastAsia" w:ascii="仿宋_GB2312" w:hAnsi="宋体" w:eastAsia="仿宋_GB2312"/>
          <w:color w:val="auto"/>
          <w:sz w:val="32"/>
          <w:szCs w:val="32"/>
        </w:rPr>
        <w:t>》（草案）。</w:t>
      </w:r>
    </w:p>
    <w:p>
      <w:pPr>
        <w:spacing w:line="560" w:lineRule="exact"/>
        <w:ind w:firstLine="640" w:firstLineChars="200"/>
        <w:rPr>
          <w:rFonts w:hint="eastAsia" w:ascii="仿宋_GB2312" w:hAnsi="宋体" w:eastAsia="仿宋_GB2312"/>
          <w:color w:val="auto"/>
          <w:sz w:val="32"/>
          <w:szCs w:val="32"/>
        </w:rPr>
      </w:pPr>
      <w:r>
        <w:rPr>
          <w:rFonts w:hint="eastAsia" w:ascii="仿宋_GB2312" w:hAnsi="宋体" w:eastAsia="仿宋_GB2312"/>
          <w:color w:val="auto"/>
          <w:sz w:val="32"/>
          <w:szCs w:val="32"/>
        </w:rPr>
        <w:t>202</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val="en-US" w:eastAsia="zh-CN"/>
        </w:rPr>
        <w:t>01</w:t>
      </w:r>
      <w:r>
        <w:rPr>
          <w:rFonts w:hint="eastAsia" w:ascii="仿宋_GB2312" w:hAnsi="宋体" w:eastAsia="仿宋_GB2312"/>
          <w:color w:val="auto"/>
          <w:sz w:val="32"/>
          <w:szCs w:val="32"/>
        </w:rPr>
        <w:t>月，深入</w:t>
      </w:r>
      <w:r>
        <w:rPr>
          <w:rFonts w:hint="eastAsia" w:ascii="仿宋_GB2312" w:hAnsi="宋体" w:eastAsia="仿宋_GB2312"/>
          <w:color w:val="auto"/>
          <w:sz w:val="32"/>
          <w:szCs w:val="32"/>
          <w:lang w:val="en-US" w:eastAsia="zh-CN"/>
        </w:rPr>
        <w:t>六堡调味茶加工企业</w:t>
      </w:r>
      <w:r>
        <w:rPr>
          <w:rFonts w:hint="eastAsia" w:ascii="仿宋_GB2312" w:hAnsi="宋体" w:eastAsia="仿宋_GB2312"/>
          <w:color w:val="auto"/>
          <w:sz w:val="32"/>
          <w:szCs w:val="32"/>
          <w:lang w:val="zh-CN"/>
        </w:rPr>
        <w:t>及</w:t>
      </w:r>
      <w:r>
        <w:rPr>
          <w:rFonts w:hint="eastAsia" w:ascii="仿宋_GB2312" w:hAnsi="宋体" w:eastAsia="仿宋_GB2312"/>
          <w:color w:val="auto"/>
          <w:sz w:val="32"/>
          <w:szCs w:val="32"/>
          <w:lang w:val="en-US" w:eastAsia="zh-CN"/>
        </w:rPr>
        <w:t>科研院所</w:t>
      </w:r>
      <w:r>
        <w:rPr>
          <w:rFonts w:hint="eastAsia" w:ascii="仿宋_GB2312" w:hAnsi="宋体" w:eastAsia="仿宋_GB2312"/>
          <w:color w:val="auto"/>
          <w:sz w:val="32"/>
          <w:szCs w:val="32"/>
          <w:lang w:val="zh-CN"/>
        </w:rPr>
        <w:t>，针对</w:t>
      </w:r>
      <w:r>
        <w:rPr>
          <w:rFonts w:hint="eastAsia" w:ascii="仿宋_GB2312" w:hAnsi="宋体" w:eastAsia="仿宋_GB2312"/>
          <w:color w:val="auto"/>
          <w:sz w:val="32"/>
          <w:szCs w:val="32"/>
          <w:lang w:val="en-US" w:eastAsia="zh-CN"/>
        </w:rPr>
        <w:t>不同加料六堡茶的感官特点、理化指标进行品鉴，</w:t>
      </w:r>
      <w:r>
        <w:rPr>
          <w:rFonts w:hint="eastAsia" w:ascii="仿宋_GB2312" w:hAnsi="宋体" w:eastAsia="仿宋_GB2312"/>
          <w:color w:val="auto"/>
          <w:sz w:val="32"/>
          <w:szCs w:val="32"/>
          <w:lang w:val="zh-CN"/>
        </w:rPr>
        <w:t>创制出</w:t>
      </w:r>
      <w:r>
        <w:rPr>
          <w:rFonts w:hint="eastAsia" w:ascii="仿宋_GB2312" w:hAnsi="宋体" w:eastAsia="仿宋_GB2312"/>
          <w:color w:val="auto"/>
          <w:sz w:val="32"/>
          <w:szCs w:val="32"/>
          <w:lang w:val="en-US" w:eastAsia="zh-CN"/>
        </w:rPr>
        <w:t>六堡调味茶</w:t>
      </w:r>
      <w:r>
        <w:rPr>
          <w:rFonts w:hint="eastAsia" w:ascii="仿宋_GB2312" w:hAnsi="宋体" w:eastAsia="仿宋_GB2312"/>
          <w:color w:val="auto"/>
          <w:sz w:val="32"/>
          <w:szCs w:val="32"/>
          <w:lang w:val="zh-CN"/>
        </w:rPr>
        <w:t>的新茶类、新产品</w:t>
      </w:r>
      <w:r>
        <w:rPr>
          <w:rFonts w:hint="eastAsia" w:ascii="仿宋_GB2312" w:hAnsi="宋体" w:eastAsia="仿宋_GB2312"/>
          <w:color w:val="auto"/>
          <w:sz w:val="32"/>
          <w:szCs w:val="32"/>
        </w:rPr>
        <w:t>。标准编制工作组多次召开会议，对标准草案进行了反复修改和研究讨论，最终形成了团体标准《</w:t>
      </w:r>
      <w:r>
        <w:rPr>
          <w:rFonts w:hint="eastAsia" w:ascii="仿宋_GB2312" w:hAnsi="宋体" w:eastAsia="仿宋_GB2312"/>
          <w:color w:val="auto"/>
          <w:sz w:val="32"/>
          <w:szCs w:val="32"/>
          <w:lang w:eastAsia="zh-CN"/>
        </w:rPr>
        <w:t>六堡调味茶</w:t>
      </w:r>
      <w:r>
        <w:rPr>
          <w:rFonts w:hint="eastAsia" w:ascii="仿宋_GB2312" w:hAnsi="宋体" w:eastAsia="仿宋_GB2312"/>
          <w:color w:val="auto"/>
          <w:sz w:val="32"/>
          <w:szCs w:val="32"/>
        </w:rPr>
        <w:t>》（征求意见稿）和（征求意见稿）编制说明。</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color w:val="auto"/>
          <w:sz w:val="32"/>
          <w:szCs w:val="32"/>
          <w:highlight w:val="none"/>
        </w:rPr>
      </w:pPr>
      <w:bookmarkStart w:id="0" w:name="_Toc526940083"/>
      <w:r>
        <w:rPr>
          <w:rFonts w:hint="eastAsia" w:ascii="黑体" w:hAnsi="黑体" w:eastAsia="黑体" w:cs="仿宋_GB2312"/>
          <w:color w:val="auto"/>
          <w:sz w:val="32"/>
          <w:szCs w:val="32"/>
          <w:highlight w:val="none"/>
        </w:rPr>
        <w:t>四、标准制定原则</w:t>
      </w:r>
      <w:bookmarkEnd w:id="0"/>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（一）实用性原则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本标准是在充分收集相关资料和文献，分析区内</w:t>
      </w:r>
      <w:r>
        <w:rPr>
          <w:rFonts w:hint="eastAsia" w:ascii="仿宋_GB2312" w:hAnsi="宋体" w:eastAsia="仿宋_GB2312"/>
          <w:color w:val="auto"/>
          <w:sz w:val="32"/>
          <w:szCs w:val="32"/>
          <w:lang w:val="en-US" w:eastAsia="zh-CN"/>
        </w:rPr>
        <w:t>六堡茶销售的</w:t>
      </w:r>
      <w:r>
        <w:rPr>
          <w:rFonts w:hint="eastAsia" w:ascii="仿宋_GB2312" w:hAnsi="宋体" w:eastAsia="仿宋_GB2312"/>
          <w:color w:val="auto"/>
          <w:sz w:val="32"/>
          <w:szCs w:val="32"/>
        </w:rPr>
        <w:t>综合评价</w:t>
      </w:r>
      <w:r>
        <w:rPr>
          <w:rFonts w:hint="eastAsia" w:ascii="仿宋_GB2312" w:hAnsi="宋体" w:eastAsia="仿宋_GB2312"/>
          <w:color w:val="auto"/>
          <w:sz w:val="32"/>
          <w:szCs w:val="32"/>
          <w:lang w:val="zh-CN"/>
        </w:rPr>
        <w:t>现状，在现有国家、行业标准、</w:t>
      </w:r>
      <w:r>
        <w:rPr>
          <w:rFonts w:hint="eastAsia" w:ascii="仿宋_GB2312" w:hAnsi="宋体" w:eastAsia="仿宋_GB2312"/>
          <w:color w:val="auto"/>
          <w:sz w:val="32"/>
          <w:szCs w:val="32"/>
          <w:lang w:val="en-US" w:eastAsia="zh-CN"/>
        </w:rPr>
        <w:t>地方标准</w:t>
      </w:r>
      <w:r>
        <w:rPr>
          <w:rFonts w:hint="eastAsia" w:ascii="仿宋_GB2312" w:hAnsi="宋体" w:eastAsia="仿宋_GB2312"/>
          <w:color w:val="auto"/>
          <w:sz w:val="32"/>
          <w:szCs w:val="32"/>
          <w:lang w:val="zh-CN"/>
        </w:rPr>
        <w:t>相关</w:t>
      </w:r>
      <w:r>
        <w:rPr>
          <w:rFonts w:hint="eastAsia" w:ascii="仿宋_GB2312" w:hAnsi="宋体" w:eastAsia="仿宋_GB2312"/>
          <w:color w:val="auto"/>
          <w:sz w:val="32"/>
          <w:szCs w:val="32"/>
          <w:lang w:val="en-US" w:eastAsia="zh-CN"/>
        </w:rPr>
        <w:t>调味茶质量要求</w:t>
      </w:r>
      <w:r>
        <w:rPr>
          <w:rFonts w:hint="eastAsia" w:ascii="仿宋_GB2312" w:hAnsi="宋体" w:eastAsia="仿宋_GB2312"/>
          <w:color w:val="auto"/>
          <w:sz w:val="32"/>
          <w:szCs w:val="32"/>
          <w:lang w:val="zh-CN"/>
        </w:rPr>
        <w:t>的基础上，结合多年经验而总结起草的。符合当前</w:t>
      </w:r>
      <w:r>
        <w:rPr>
          <w:rFonts w:hint="eastAsia" w:ascii="仿宋_GB2312" w:hAnsi="宋体" w:eastAsia="仿宋_GB2312"/>
          <w:color w:val="auto"/>
          <w:sz w:val="32"/>
          <w:szCs w:val="32"/>
          <w:lang w:val="en-US" w:eastAsia="zh-CN"/>
        </w:rPr>
        <w:t>广西六堡茶发展</w:t>
      </w:r>
      <w:r>
        <w:rPr>
          <w:rFonts w:hint="eastAsia" w:ascii="仿宋_GB2312" w:hAnsi="宋体" w:eastAsia="仿宋_GB2312"/>
          <w:color w:val="auto"/>
          <w:sz w:val="32"/>
          <w:szCs w:val="32"/>
          <w:lang w:val="zh-CN"/>
        </w:rPr>
        <w:t>的要求，有利于行业的长远发展，具有较强的实用性和可操作性。</w:t>
      </w:r>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（二）协调性原则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本标准编写过程中注意了</w:t>
      </w:r>
      <w:r>
        <w:rPr>
          <w:rFonts w:hint="eastAsia" w:ascii="仿宋_GB2312" w:hAnsi="宋体" w:eastAsia="仿宋_GB2312"/>
          <w:color w:val="auto"/>
          <w:sz w:val="32"/>
          <w:szCs w:val="32"/>
          <w:lang w:val="en-US" w:eastAsia="zh-CN"/>
        </w:rPr>
        <w:t>六堡调味茶原辅料要求、感官要求、理化指标</w:t>
      </w:r>
      <w:r>
        <w:rPr>
          <w:rFonts w:hint="eastAsia" w:ascii="仿宋_GB2312" w:hAnsi="宋体" w:eastAsia="仿宋_GB2312"/>
          <w:color w:val="auto"/>
          <w:sz w:val="32"/>
          <w:szCs w:val="32"/>
          <w:lang w:val="zh-CN"/>
        </w:rPr>
        <w:t>与相关法律法规的协调问题，在内容上与现行法律法规、标准协调一致。</w:t>
      </w:r>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（三）规范性原则</w:t>
      </w:r>
    </w:p>
    <w:p>
      <w:pPr>
        <w:spacing w:line="560" w:lineRule="exact"/>
        <w:ind w:firstLine="640" w:firstLineChars="20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本标准严格按照GB/T 1.1—2020《标准化工作导则 第1部分：标准的结构和编写》的要求和规定编写相关内容，保证标准的编写质量。</w:t>
      </w:r>
    </w:p>
    <w:p>
      <w:p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（四）前瞻性原则</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本标准兼顾当前</w:t>
      </w:r>
      <w:r>
        <w:rPr>
          <w:rFonts w:hint="eastAsia" w:ascii="仿宋_GB2312" w:hAnsi="宋体" w:eastAsia="仿宋_GB2312"/>
          <w:color w:val="auto"/>
          <w:sz w:val="32"/>
          <w:szCs w:val="32"/>
          <w:lang w:val="en-US" w:eastAsia="zh-CN"/>
        </w:rPr>
        <w:t>六堡茶、调味茶质量的</w:t>
      </w:r>
      <w:r>
        <w:rPr>
          <w:rFonts w:hint="eastAsia" w:ascii="仿宋_GB2312" w:hAnsi="宋体" w:eastAsia="仿宋_GB2312"/>
          <w:color w:val="auto"/>
          <w:sz w:val="32"/>
          <w:szCs w:val="32"/>
        </w:rPr>
        <w:t>同时，还考虑到推动广西特色产品向品牌化、品质化、规模化发展的趋势和需求，在标准中体现了个别特色性、前瞻性和先进性条款，作为对</w:t>
      </w:r>
      <w:r>
        <w:rPr>
          <w:rFonts w:hint="eastAsia" w:ascii="仿宋_GB2312" w:hAnsi="宋体" w:eastAsia="仿宋_GB2312"/>
          <w:color w:val="auto"/>
          <w:sz w:val="32"/>
          <w:szCs w:val="32"/>
          <w:lang w:val="en-US" w:eastAsia="zh-CN"/>
        </w:rPr>
        <w:t>六堡调味茶质量</w:t>
      </w:r>
      <w:r>
        <w:rPr>
          <w:rFonts w:hint="eastAsia" w:ascii="仿宋_GB2312" w:hAnsi="宋体" w:eastAsia="仿宋_GB2312"/>
          <w:color w:val="auto"/>
          <w:sz w:val="32"/>
          <w:szCs w:val="32"/>
        </w:rPr>
        <w:t>的指导。</w:t>
      </w:r>
    </w:p>
    <w:p>
      <w:pPr>
        <w:autoSpaceDE w:val="0"/>
        <w:autoSpaceDN w:val="0"/>
        <w:adjustRightInd w:val="0"/>
        <w:spacing w:before="156" w:beforeLines="50" w:after="156" w:afterLines="50" w:line="560" w:lineRule="exact"/>
        <w:ind w:firstLine="640" w:firstLineChars="200"/>
        <w:jc w:val="left"/>
        <w:rPr>
          <w:rFonts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rPr>
        <w:t>五</w:t>
      </w:r>
      <w:r>
        <w:rPr>
          <w:rFonts w:ascii="黑体" w:hAnsi="黑体" w:eastAsia="黑体" w:cs="仿宋_GB2312"/>
          <w:color w:val="auto"/>
          <w:sz w:val="32"/>
          <w:szCs w:val="32"/>
          <w:highlight w:val="none"/>
        </w:rPr>
        <w:t>、</w:t>
      </w:r>
      <w:r>
        <w:rPr>
          <w:rFonts w:hint="eastAsia" w:ascii="黑体" w:hAnsi="黑体" w:eastAsia="黑体" w:cs="仿宋_GB2312"/>
          <w:color w:val="auto"/>
          <w:sz w:val="32"/>
          <w:szCs w:val="32"/>
          <w:highlight w:val="none"/>
        </w:rPr>
        <w:t>标准主要章节内容及确定依据</w:t>
      </w:r>
    </w:p>
    <w:p>
      <w:pPr>
        <w:spacing w:line="560" w:lineRule="exact"/>
        <w:ind w:firstLine="640" w:firstLineChars="200"/>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val="zh-CN"/>
        </w:rPr>
        <w:t>团体标准《六堡调味茶》主要内容包括</w:t>
      </w:r>
      <w:r>
        <w:rPr>
          <w:rFonts w:hint="eastAsia" w:ascii="仿宋_GB2312" w:hAnsi="宋体" w:eastAsia="仿宋_GB2312"/>
          <w:color w:val="auto"/>
          <w:sz w:val="32"/>
          <w:szCs w:val="32"/>
        </w:rPr>
        <w:t>术语和定义、产品分类、质量、食品添加剂、加工卫生、标志、标签、包装、运输、贮存、试验方法和检验规则</w:t>
      </w:r>
      <w:r>
        <w:rPr>
          <w:rFonts w:hint="eastAsia" w:ascii="仿宋_GB2312" w:hAnsi="宋体" w:eastAsia="仿宋_GB2312"/>
          <w:color w:val="auto"/>
          <w:sz w:val="32"/>
          <w:szCs w:val="32"/>
          <w:lang w:eastAsia="zh-CN"/>
        </w:rPr>
        <w:t>。广西自治区农业农村厅积极落实自治区党委、政府关于促进我区茶产业高质量发展的战略部署，紧紧围绕打造千亿元茶产业的目标，先后出台《关于促进广西茶产业高质量发展的若干意见》《加快推进广西六堡茶及优势特色茶产业高质量发展实施方案》等多项指导性、政策性文件，从资金、项目、科技、人才、市场、品牌等各要素为茶产业的高质量发展保驾护航。随着现代食品行业的发展，对于茶叶吸香特性的研究愈发深入，标准编制组通过对六堡茶加料调味，丰富了六堡茶风味，增加了受众群体，为六堡茶市场带来了新的增长点。研究调味茶的发展以及未来趋势，对于六堡茶调味茶行业的发展以及从事调味茶产品开发的企业就很有益处。</w:t>
      </w:r>
    </w:p>
    <w:p>
      <w:pPr>
        <w:numPr>
          <w:ilvl w:val="0"/>
          <w:numId w:val="4"/>
        </w:numPr>
        <w:spacing w:before="156" w:beforeLines="50" w:after="156" w:afterLines="50" w:line="560" w:lineRule="exact"/>
        <w:ind w:firstLine="643" w:firstLineChars="200"/>
        <w:rPr>
          <w:rFonts w:ascii="楷体" w:hAnsi="楷体" w:eastAsia="楷体"/>
          <w:b/>
          <w:color w:val="auto"/>
          <w:sz w:val="32"/>
          <w:szCs w:val="32"/>
        </w:rPr>
      </w:pPr>
      <w:r>
        <w:rPr>
          <w:rFonts w:hint="eastAsia" w:ascii="楷体" w:hAnsi="楷体" w:eastAsia="楷体"/>
          <w:b/>
          <w:color w:val="auto"/>
          <w:sz w:val="32"/>
          <w:szCs w:val="32"/>
        </w:rPr>
        <w:t>术语</w:t>
      </w:r>
      <w:r>
        <w:rPr>
          <w:rFonts w:ascii="楷体" w:hAnsi="楷体" w:eastAsia="楷体"/>
          <w:b/>
          <w:color w:val="auto"/>
          <w:sz w:val="32"/>
          <w:szCs w:val="32"/>
        </w:rPr>
        <w:t>和定义</w:t>
      </w:r>
    </w:p>
    <w:p>
      <w:pPr>
        <w:spacing w:line="560" w:lineRule="exact"/>
        <w:ind w:firstLine="640" w:firstLineChars="200"/>
        <w:rPr>
          <w:rFonts w:hint="default"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术语和定义参考GB/T 32719.4—2016《黑茶  第4部分：六堡茶》与GH/T 1247-2019《调味茶》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宋体" w:eastAsia="仿宋_GB2312"/>
          <w:color w:val="FF0000"/>
          <w:sz w:val="32"/>
          <w:szCs w:val="32"/>
          <w:lang w:val="en-US" w:eastAsia="zh-CN"/>
        </w:rPr>
      </w:pPr>
      <w:r>
        <w:rPr>
          <w:rFonts w:hint="default" w:ascii="仿宋_GB2312" w:hAnsi="宋体" w:eastAsia="仿宋_GB2312"/>
          <w:color w:val="FF0000"/>
          <w:sz w:val="32"/>
          <w:szCs w:val="32"/>
          <w:lang w:val="en-US" w:eastAsia="zh-CN"/>
        </w:rPr>
        <w:drawing>
          <wp:inline distT="0" distB="0" distL="114300" distR="114300">
            <wp:extent cx="5680710" cy="2702560"/>
            <wp:effectExtent l="9525" t="9525" r="9525" b="15875"/>
            <wp:docPr id="5" name="图片 5" descr="de8c3b2b79e3f4dea765d41be67b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8c3b2b79e3f4dea765d41be67ba76"/>
                    <pic:cNvPicPr>
                      <a:picLocks noChangeAspect="1"/>
                    </pic:cNvPicPr>
                  </pic:nvPicPr>
                  <pic:blipFill>
                    <a:blip r:embed="rId5"/>
                    <a:stretch>
                      <a:fillRect/>
                    </a:stretch>
                  </pic:blipFill>
                  <pic:spPr>
                    <a:xfrm>
                      <a:off x="0" y="0"/>
                      <a:ext cx="5680710" cy="2702560"/>
                    </a:xfrm>
                    <a:prstGeom prst="rect">
                      <a:avLst/>
                    </a:prstGeom>
                    <a:ln>
                      <a:solidFill>
                        <a:schemeClr val="tx1"/>
                      </a:solidFill>
                    </a:ln>
                  </pic:spPr>
                </pic:pic>
              </a:graphicData>
            </a:graphic>
          </wp:inline>
        </w:drawing>
      </w:r>
    </w:p>
    <w:p>
      <w:pPr>
        <w:numPr>
          <w:ilvl w:val="0"/>
          <w:numId w:val="0"/>
        </w:numPr>
        <w:spacing w:line="560" w:lineRule="exact"/>
        <w:jc w:val="center"/>
        <w:rPr>
          <w:rFonts w:hint="default" w:ascii="仿宋_GB2312" w:hAnsi="宋体" w:eastAsia="仿宋_GB2312"/>
          <w:color w:val="auto"/>
          <w:sz w:val="32"/>
          <w:szCs w:val="32"/>
          <w:lang w:val="en-US" w:eastAsia="zh-CN"/>
        </w:rPr>
      </w:pPr>
      <w:r>
        <w:rPr>
          <w:rFonts w:hint="default" w:ascii="仿宋_GB2312" w:hAnsi="宋体" w:eastAsia="仿宋_GB2312"/>
          <w:color w:val="auto"/>
          <w:sz w:val="32"/>
          <w:szCs w:val="32"/>
          <w:lang w:val="en-US" w:eastAsia="zh-CN"/>
        </w:rPr>
        <w:t>GB/T 32719.4—2016《黑茶  第4部分：六堡茶》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drawing>
          <wp:inline distT="0" distB="0" distL="114300" distR="114300">
            <wp:extent cx="5681345" cy="2172970"/>
            <wp:effectExtent l="9525" t="9525" r="24130" b="12065"/>
            <wp:docPr id="6" name="图片 6" descr="cebf53d6a6ad54c0894bcbbc0029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bf53d6a6ad54c0894bcbbc0029d2b"/>
                    <pic:cNvPicPr>
                      <a:picLocks noChangeAspect="1"/>
                    </pic:cNvPicPr>
                  </pic:nvPicPr>
                  <pic:blipFill>
                    <a:blip r:embed="rId6"/>
                    <a:stretch>
                      <a:fillRect/>
                    </a:stretch>
                  </pic:blipFill>
                  <pic:spPr>
                    <a:xfrm>
                      <a:off x="0" y="0"/>
                      <a:ext cx="5681345" cy="2172970"/>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drawing>
          <wp:inline distT="0" distB="0" distL="114300" distR="114300">
            <wp:extent cx="5682615" cy="2522855"/>
            <wp:effectExtent l="9525" t="9525" r="22860" b="12700"/>
            <wp:docPr id="7" name="图片 7" descr="e3a4eab3c72d0a10af4cf4747670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a4eab3c72d0a10af4cf474767017f"/>
                    <pic:cNvPicPr>
                      <a:picLocks noChangeAspect="1"/>
                    </pic:cNvPicPr>
                  </pic:nvPicPr>
                  <pic:blipFill>
                    <a:blip r:embed="rId7"/>
                    <a:stretch>
                      <a:fillRect/>
                    </a:stretch>
                  </pic:blipFill>
                  <pic:spPr>
                    <a:xfrm>
                      <a:off x="0" y="0"/>
                      <a:ext cx="5682615" cy="2522855"/>
                    </a:xfrm>
                    <a:prstGeom prst="rect">
                      <a:avLst/>
                    </a:prstGeom>
                    <a:ln>
                      <a:solidFill>
                        <a:schemeClr val="tx1"/>
                      </a:solidFill>
                    </a:ln>
                  </pic:spPr>
                </pic:pic>
              </a:graphicData>
            </a:graphic>
          </wp:inline>
        </w:drawing>
      </w:r>
    </w:p>
    <w:p>
      <w:pPr>
        <w:numPr>
          <w:ilvl w:val="0"/>
          <w:numId w:val="0"/>
        </w:numPr>
        <w:spacing w:line="560" w:lineRule="exact"/>
        <w:jc w:val="center"/>
        <w:rPr>
          <w:rFonts w:hint="eastAsia" w:ascii="仿宋_GB2312" w:hAnsi="宋体" w:eastAsia="仿宋_GB2312"/>
          <w:color w:val="FF0000"/>
          <w:sz w:val="32"/>
          <w:szCs w:val="32"/>
          <w:lang w:val="en-US" w:eastAsia="zh-CN"/>
        </w:rPr>
      </w:pPr>
      <w:r>
        <w:rPr>
          <w:rFonts w:hint="eastAsia" w:ascii="仿宋_GB2312" w:hAnsi="宋体" w:eastAsia="仿宋_GB2312"/>
          <w:color w:val="auto"/>
          <w:sz w:val="32"/>
          <w:szCs w:val="32"/>
          <w:lang w:val="en-US" w:eastAsia="zh-CN"/>
        </w:rPr>
        <w:t>GH/T 1247-2019《调味茶》</w:t>
      </w:r>
    </w:p>
    <w:p>
      <w:pPr>
        <w:numPr>
          <w:ilvl w:val="0"/>
          <w:numId w:val="4"/>
        </w:numPr>
        <w:spacing w:before="156" w:beforeLines="50" w:after="156" w:afterLines="50" w:line="560" w:lineRule="exact"/>
        <w:ind w:firstLine="643" w:firstLineChars="200"/>
        <w:rPr>
          <w:rFonts w:hint="default" w:ascii="楷体" w:hAnsi="楷体" w:eastAsia="楷体"/>
          <w:b/>
          <w:color w:val="auto"/>
          <w:sz w:val="32"/>
          <w:szCs w:val="32"/>
          <w:lang w:val="en-US" w:eastAsia="zh-CN"/>
        </w:rPr>
      </w:pPr>
      <w:r>
        <w:rPr>
          <w:rFonts w:hint="eastAsia" w:ascii="楷体" w:hAnsi="楷体" w:eastAsia="楷体"/>
          <w:b/>
          <w:color w:val="auto"/>
          <w:sz w:val="32"/>
          <w:szCs w:val="32"/>
          <w:lang w:val="en-US" w:eastAsia="zh-CN"/>
        </w:rPr>
        <w:t>产品分类</w:t>
      </w:r>
    </w:p>
    <w:p>
      <w:pPr>
        <w:spacing w:line="560" w:lineRule="exact"/>
        <w:ind w:firstLine="640" w:firstLineChars="200"/>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按原料不同进行分类。以六堡茶与陈皮(橘皮)、菊花、桂花、玫瑰花(重瓣红玫瑰)、覆盆子、山楂、甘草、金银花、姜、枸杞一种或多种药食同源食品组合、经挑选、分筛或不分筛、按比例混合，拼配、成型或不成型、包装等工艺加工制成的可按茶叶冲泡方式饮用的六堡调味茶。</w:t>
      </w:r>
    </w:p>
    <w:p>
      <w:pPr>
        <w:numPr>
          <w:ilvl w:val="0"/>
          <w:numId w:val="4"/>
        </w:numPr>
        <w:spacing w:before="156" w:beforeLines="50" w:after="156" w:afterLines="50" w:line="560" w:lineRule="exact"/>
        <w:ind w:firstLine="643" w:firstLineChars="200"/>
        <w:rPr>
          <w:rFonts w:hint="default" w:ascii="楷体" w:hAnsi="楷体" w:eastAsia="楷体"/>
          <w:b/>
          <w:color w:val="auto"/>
          <w:sz w:val="32"/>
          <w:szCs w:val="32"/>
          <w:lang w:val="en-US" w:eastAsia="zh-CN"/>
        </w:rPr>
      </w:pPr>
      <w:r>
        <w:rPr>
          <w:rFonts w:hint="eastAsia" w:ascii="楷体" w:hAnsi="楷体" w:eastAsia="楷体"/>
          <w:b/>
          <w:color w:val="auto"/>
          <w:sz w:val="32"/>
          <w:szCs w:val="32"/>
          <w:lang w:val="en-US" w:eastAsia="zh-CN"/>
        </w:rPr>
        <w:t>质量要求（同企标已在卫健委备案）</w:t>
      </w:r>
    </w:p>
    <w:p>
      <w:pPr>
        <w:pStyle w:val="7"/>
        <w:keepNext w:val="0"/>
        <w:keepLines w:val="0"/>
        <w:widowControl/>
        <w:suppressLineNumbers w:val="0"/>
        <w:autoSpaceDE w:val="0"/>
        <w:autoSpaceDN w:val="0"/>
        <w:adjustRightInd/>
        <w:spacing w:before="0" w:beforeAutospacing="0" w:after="0" w:afterAutospacing="0" w:line="240" w:lineRule="auto"/>
        <w:ind w:left="0" w:right="0" w:firstLine="643" w:firstLineChars="200"/>
        <w:jc w:val="both"/>
        <w:rPr>
          <w:rFonts w:hint="eastAsia" w:ascii="仿宋_GB2312" w:eastAsia="仿宋_GB2312" w:cs="Times New Roman"/>
          <w:b/>
          <w:bCs/>
          <w:color w:val="auto"/>
          <w:kern w:val="2"/>
          <w:sz w:val="32"/>
          <w:szCs w:val="32"/>
          <w:lang w:val="en-US" w:eastAsia="zh-CN" w:bidi="ar-SA"/>
        </w:rPr>
      </w:pPr>
      <w:r>
        <w:rPr>
          <w:rFonts w:hint="eastAsia" w:ascii="仿宋_GB2312" w:eastAsia="仿宋_GB2312" w:cs="Times New Roman"/>
          <w:b/>
          <w:bCs/>
          <w:color w:val="auto"/>
          <w:kern w:val="2"/>
          <w:sz w:val="32"/>
          <w:szCs w:val="32"/>
          <w:lang w:val="en-US" w:eastAsia="zh-CN" w:bidi="ar-SA"/>
        </w:rPr>
        <w:t>1、六堡茶</w:t>
      </w:r>
    </w:p>
    <w:p>
      <w:pPr>
        <w:pStyle w:val="7"/>
        <w:keepNext w:val="0"/>
        <w:keepLines w:val="0"/>
        <w:widowControl/>
        <w:suppressLineNumbers w:val="0"/>
        <w:autoSpaceDE w:val="0"/>
        <w:autoSpaceDN w:val="0"/>
        <w:adjustRightInd/>
        <w:spacing w:before="0" w:beforeAutospacing="0" w:after="0" w:afterAutospacing="0" w:line="240" w:lineRule="auto"/>
        <w:ind w:left="0" w:right="0" w:firstLine="640" w:firstLineChars="200"/>
        <w:jc w:val="both"/>
        <w:rPr>
          <w:rFonts w:hint="default" w:ascii="仿宋_GB2312" w:hAnsi="宋体" w:eastAsia="仿宋_GB2312" w:cs="Times New Roman"/>
          <w:color w:val="auto"/>
          <w:kern w:val="2"/>
          <w:sz w:val="32"/>
          <w:szCs w:val="32"/>
          <w:lang w:val="en-US" w:eastAsia="zh-CN" w:bidi="ar-SA"/>
        </w:rPr>
      </w:pPr>
      <w:r>
        <w:rPr>
          <w:rFonts w:hint="eastAsia" w:ascii="仿宋_GB2312" w:eastAsia="仿宋_GB2312" w:cs="Times New Roman"/>
          <w:color w:val="auto"/>
          <w:kern w:val="2"/>
          <w:sz w:val="32"/>
          <w:szCs w:val="32"/>
          <w:lang w:val="en-US" w:eastAsia="zh-CN" w:bidi="ar-SA"/>
        </w:rPr>
        <w:t>应符合</w:t>
      </w:r>
      <w:r>
        <w:rPr>
          <w:rFonts w:hint="eastAsia" w:ascii="仿宋_GB2312" w:hAnsi="宋体" w:eastAsia="仿宋_GB2312" w:cs="Times New Roman"/>
          <w:color w:val="auto"/>
          <w:kern w:val="2"/>
          <w:sz w:val="32"/>
          <w:szCs w:val="32"/>
          <w:lang w:val="en-US" w:eastAsia="zh-CN" w:bidi="ar-SA"/>
        </w:rPr>
        <w:t>DBS45/ 057  食品安全地方标准  六堡茶(传统工艺)</w:t>
      </w:r>
      <w:r>
        <w:rPr>
          <w:rFonts w:hint="eastAsia" w:ascii="仿宋_GB2312" w:eastAsia="仿宋_GB2312" w:cs="Times New Roman"/>
          <w:color w:val="auto"/>
          <w:kern w:val="2"/>
          <w:sz w:val="32"/>
          <w:szCs w:val="32"/>
          <w:lang w:val="en-US" w:eastAsia="zh-CN" w:bidi="ar-SA"/>
        </w:rPr>
        <w:t>、</w:t>
      </w:r>
      <w:r>
        <w:rPr>
          <w:rFonts w:hint="default" w:ascii="仿宋_GB2312" w:hAnsi="宋体" w:eastAsia="仿宋_GB2312"/>
          <w:color w:val="auto"/>
          <w:sz w:val="32"/>
          <w:szCs w:val="32"/>
          <w:lang w:val="en-US" w:eastAsia="zh-CN"/>
        </w:rPr>
        <w:t>GB/T 32719.4—2016《黑茶  第4部分：六堡茶》</w:t>
      </w:r>
      <w:r>
        <w:rPr>
          <w:rFonts w:hint="eastAsia" w:ascii="仿宋_GB2312" w:eastAsia="仿宋_GB2312"/>
          <w:color w:val="auto"/>
          <w:sz w:val="32"/>
          <w:szCs w:val="32"/>
          <w:lang w:val="en-US" w:eastAsia="zh-CN"/>
        </w:rPr>
        <w:t>的要求。</w:t>
      </w:r>
    </w:p>
    <w:p>
      <w:pPr>
        <w:pStyle w:val="7"/>
        <w:keepNext w:val="0"/>
        <w:keepLines w:val="0"/>
        <w:widowControl/>
        <w:suppressLineNumbers w:val="0"/>
        <w:autoSpaceDE w:val="0"/>
        <w:autoSpaceDN w:val="0"/>
        <w:adjustRightInd/>
        <w:spacing w:before="0" w:beforeAutospacing="0" w:after="0" w:afterAutospacing="0" w:line="240" w:lineRule="auto"/>
        <w:ind w:left="0" w:right="0" w:firstLine="643" w:firstLineChars="200"/>
        <w:jc w:val="both"/>
        <w:rPr>
          <w:rFonts w:hint="default" w:ascii="仿宋_GB2312" w:eastAsia="仿宋_GB2312" w:cs="Times New Roman"/>
          <w:b/>
          <w:bCs/>
          <w:color w:val="auto"/>
          <w:kern w:val="2"/>
          <w:sz w:val="32"/>
          <w:szCs w:val="32"/>
          <w:lang w:val="en-US" w:eastAsia="zh-CN" w:bidi="ar-SA"/>
        </w:rPr>
      </w:pPr>
      <w:r>
        <w:rPr>
          <w:rFonts w:hint="eastAsia" w:ascii="仿宋_GB2312" w:eastAsia="仿宋_GB2312" w:cs="Times New Roman"/>
          <w:b/>
          <w:bCs/>
          <w:color w:val="auto"/>
          <w:kern w:val="2"/>
          <w:sz w:val="32"/>
          <w:szCs w:val="32"/>
          <w:lang w:val="en-US" w:eastAsia="zh-CN" w:bidi="ar-SA"/>
        </w:rPr>
        <w:t>2、菊花、薄荷、金银花、覆盆子、决明子、罗汉果、茯苓、黄精、甘草、枸杞、姜、荷叶、木瓜、陈皮、桑椹、余甘子、葛根、桂圆（龙眼）、薏米（薏苡仁）、芡实、栀子、赤小豆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t>以上原料质量应符合</w:t>
      </w:r>
      <w:r>
        <w:rPr>
          <w:rFonts w:hint="eastAsia" w:ascii="仿宋_GB2312" w:hAnsi="宋体" w:eastAsia="仿宋_GB2312" w:cs="Times New Roman"/>
          <w:b/>
          <w:bCs/>
          <w:color w:val="auto"/>
          <w:kern w:val="2"/>
          <w:sz w:val="32"/>
          <w:szCs w:val="32"/>
          <w:lang w:val="en-US" w:eastAsia="zh-CN" w:bidi="ar-SA"/>
        </w:rPr>
        <w:t>《中华人民共和国药典》一部</w:t>
      </w:r>
      <w:r>
        <w:rPr>
          <w:rFonts w:hint="eastAsia" w:ascii="仿宋_GB2312" w:hAnsi="宋体" w:eastAsia="仿宋_GB2312" w:cs="Times New Roman"/>
          <w:color w:val="auto"/>
          <w:kern w:val="2"/>
          <w:sz w:val="32"/>
          <w:szCs w:val="32"/>
          <w:lang w:val="en-US" w:eastAsia="zh-CN" w:bidi="ar-SA"/>
        </w:rPr>
        <w:t>（2020年版）的规定。真菌毒素限量、污染物限量及农药最大残留限量应分别符合GB 2761、GB 2762和GB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t>在药典中编号如下：490菊花、602薄荷.342金银花、611覆盆子、223决明子、328罗汉果、374茯苓、484黄精、126甘草、390枸杞子、16干姜、434荷叶、87木瓜、293陈皮、475桑椹、277余甘子、527葛根、141桂圆（龙眼）、601薏米（薏苡仁）、252芡实、388栀子、243赤小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_GB2312" w:hAnsi="宋体" w:eastAsia="仿宋_GB2312" w:cs="Times New Roman"/>
          <w:color w:val="auto"/>
          <w:kern w:val="2"/>
          <w:sz w:val="32"/>
          <w:szCs w:val="32"/>
          <w:lang w:val="en-US" w:eastAsia="zh-CN" w:bidi="ar-SA"/>
        </w:rPr>
      </w:pPr>
      <w:r>
        <w:rPr>
          <w:rFonts w:hint="eastAsia" w:ascii="仿宋_GB2312" w:hAnsi="宋体" w:eastAsia="仿宋_GB2312" w:cs="Times New Roman"/>
          <w:color w:val="auto"/>
          <w:kern w:val="2"/>
          <w:sz w:val="32"/>
          <w:szCs w:val="32"/>
          <w:lang w:val="en-US" w:eastAsia="zh-CN" w:bidi="ar-SA"/>
        </w:rPr>
        <w:drawing>
          <wp:inline distT="0" distB="0" distL="114300" distR="114300">
            <wp:extent cx="5687060" cy="3846195"/>
            <wp:effectExtent l="9525" t="9525" r="18415" b="15240"/>
            <wp:docPr id="8" name="图片 8" descr="c8a6dec575cd01d1acefda70343c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8a6dec575cd01d1acefda70343c30e"/>
                    <pic:cNvPicPr>
                      <a:picLocks noChangeAspect="1"/>
                    </pic:cNvPicPr>
                  </pic:nvPicPr>
                  <pic:blipFill>
                    <a:blip r:embed="rId8"/>
                    <a:stretch>
                      <a:fillRect/>
                    </a:stretch>
                  </pic:blipFill>
                  <pic:spPr>
                    <a:xfrm>
                      <a:off x="0" y="0"/>
                      <a:ext cx="5687060" cy="384619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cs="Times New Roman"/>
          <w:b/>
          <w:bCs/>
          <w:color w:val="auto"/>
          <w:kern w:val="2"/>
          <w:sz w:val="32"/>
          <w:szCs w:val="32"/>
          <w:lang w:val="en-US" w:eastAsia="zh-CN" w:bidi="ar-SA"/>
        </w:rPr>
      </w:pPr>
      <w:r>
        <w:rPr>
          <w:rFonts w:hint="eastAsia" w:ascii="仿宋_GB2312" w:hAnsi="宋体" w:eastAsia="仿宋_GB2312" w:cs="Times New Roman"/>
          <w:b/>
          <w:bCs/>
          <w:color w:val="auto"/>
          <w:kern w:val="2"/>
          <w:sz w:val="32"/>
          <w:szCs w:val="32"/>
          <w:lang w:val="en-US" w:eastAsia="zh-CN" w:bidi="ar-SA"/>
        </w:rPr>
        <w:t>3.桂花、白兰花、茉莉花、柠檬、二红柑、小青柑、荞麦、黑米、大麦、山楂、苹果、六堡茶花、五指毛桃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应质好，无杂质，无霉变，污染物限量应符合GB 2762的规定，农药最大残留限量应符合GB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cs="Times New Roman"/>
          <w:b/>
          <w:bCs/>
          <w:color w:val="auto"/>
          <w:kern w:val="2"/>
          <w:sz w:val="32"/>
          <w:szCs w:val="32"/>
          <w:lang w:val="en-US" w:eastAsia="zh-CN" w:bidi="ar-SA"/>
        </w:rPr>
      </w:pPr>
      <w:r>
        <w:rPr>
          <w:rFonts w:hint="eastAsia" w:ascii="仿宋_GB2312" w:hAnsi="宋体" w:eastAsia="仿宋_GB2312" w:cs="Times New Roman"/>
          <w:b/>
          <w:bCs/>
          <w:color w:val="auto"/>
          <w:kern w:val="2"/>
          <w:sz w:val="32"/>
          <w:szCs w:val="32"/>
          <w:lang w:val="en-US" w:eastAsia="zh-CN" w:bidi="ar-SA"/>
        </w:rPr>
        <w:t>4.玫瑰花(Rose rugosa cv.Plena)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重瓣玫瑰花应符合原卫生部公告﹝2010﹞第3号的规定。污染物限量应符合GB 2762的规定，农药最大残留限量应符合GB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b/>
          <w:bCs/>
          <w:color w:val="auto"/>
          <w:sz w:val="32"/>
          <w:szCs w:val="32"/>
          <w:lang w:val="en-US" w:eastAsia="zh-CN"/>
        </w:rPr>
      </w:pPr>
      <w:r>
        <w:rPr>
          <w:rFonts w:hint="eastAsia" w:ascii="仿宋_GB2312" w:hAnsi="宋体" w:eastAsia="仿宋_GB2312"/>
          <w:b/>
          <w:bCs/>
          <w:color w:val="auto"/>
          <w:sz w:val="32"/>
          <w:szCs w:val="32"/>
          <w:lang w:val="en-US" w:eastAsia="zh-CN"/>
        </w:rPr>
        <w:t>5.人参(人工种植)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应符合原卫生部公告(2012)第17号的规定。污染物限量应符合GB 2762的规定，农药最大残留限量应符合GB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b/>
          <w:bCs/>
          <w:color w:val="auto"/>
          <w:sz w:val="32"/>
          <w:szCs w:val="32"/>
          <w:lang w:val="en-US" w:eastAsia="zh-CN"/>
        </w:rPr>
      </w:pPr>
      <w:r>
        <w:rPr>
          <w:rFonts w:hint="eastAsia" w:ascii="仿宋_GB2312" w:hAnsi="宋体" w:eastAsia="仿宋_GB2312"/>
          <w:b/>
          <w:bCs/>
          <w:color w:val="auto"/>
          <w:sz w:val="32"/>
          <w:szCs w:val="32"/>
          <w:lang w:val="en-US" w:eastAsia="zh-CN"/>
        </w:rPr>
        <w:t>6.蛹虫草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应符合原卫生部关于批准蛹虫草为新资源食品的公告（2009年第3号）的规定。污染物限量应符合GB 2762的规定，农药最大残留限量应符合GB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b/>
          <w:bCs/>
          <w:color w:val="auto"/>
          <w:sz w:val="32"/>
          <w:szCs w:val="32"/>
          <w:lang w:val="en-US" w:eastAsia="zh-CN"/>
        </w:rPr>
      </w:pPr>
      <w:r>
        <w:rPr>
          <w:rFonts w:hint="eastAsia" w:ascii="仿宋_GB2312" w:hAnsi="宋体" w:eastAsia="仿宋_GB2312"/>
          <w:b/>
          <w:bCs/>
          <w:color w:val="auto"/>
          <w:sz w:val="32"/>
          <w:szCs w:val="32"/>
          <w:lang w:val="en-US" w:eastAsia="zh-CN"/>
        </w:rPr>
        <w:t>7.玛咖粉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应干燥、无霉变，质量应符合原卫生部公告[2011]第13号的规定，污染物限量应符合GB 2762的规定，农药最大残留限量应符合GB 2763的规定。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drawing>
          <wp:inline distT="0" distB="0" distL="114300" distR="114300">
            <wp:extent cx="2672080" cy="3762375"/>
            <wp:effectExtent l="9525" t="9525" r="15875" b="22860"/>
            <wp:docPr id="9" name="图片 9" descr="79853325ea2a31b3cd85b1813700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853325ea2a31b3cd85b1813700d1b"/>
                    <pic:cNvPicPr>
                      <a:picLocks noChangeAspect="1"/>
                    </pic:cNvPicPr>
                  </pic:nvPicPr>
                  <pic:blipFill>
                    <a:blip r:embed="rId9"/>
                    <a:stretch>
                      <a:fillRect/>
                    </a:stretch>
                  </pic:blipFill>
                  <pic:spPr>
                    <a:xfrm>
                      <a:off x="0" y="0"/>
                      <a:ext cx="2672080" cy="3762375"/>
                    </a:xfrm>
                    <a:prstGeom prst="rect">
                      <a:avLst/>
                    </a:prstGeom>
                    <a:ln>
                      <a:solidFill>
                        <a:schemeClr val="tx1"/>
                      </a:solidFill>
                    </a:ln>
                  </pic:spPr>
                </pic:pic>
              </a:graphicData>
            </a:graphic>
          </wp:inline>
        </w:drawing>
      </w:r>
      <w:r>
        <w:rPr>
          <w:rFonts w:hint="eastAsia" w:ascii="仿宋_GB2312" w:hAnsi="宋体" w:eastAsia="仿宋_GB2312"/>
          <w:color w:val="FF0000"/>
          <w:sz w:val="32"/>
          <w:szCs w:val="32"/>
          <w:lang w:val="en-US" w:eastAsia="zh-CN"/>
        </w:rPr>
        <w:drawing>
          <wp:inline distT="0" distB="0" distL="114300" distR="114300">
            <wp:extent cx="2660015" cy="3766820"/>
            <wp:effectExtent l="9525" t="9525" r="12700" b="18415"/>
            <wp:docPr id="10" name="图片 10" descr="dcc91471ec9a3d6f57346c5b9ee4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cc91471ec9a3d6f57346c5b9ee42ab"/>
                    <pic:cNvPicPr>
                      <a:picLocks noChangeAspect="1"/>
                    </pic:cNvPicPr>
                  </pic:nvPicPr>
                  <pic:blipFill>
                    <a:blip r:embed="rId10"/>
                    <a:stretch>
                      <a:fillRect/>
                    </a:stretch>
                  </pic:blipFill>
                  <pic:spPr>
                    <a:xfrm>
                      <a:off x="0" y="0"/>
                      <a:ext cx="2660015" cy="3766820"/>
                    </a:xfrm>
                    <a:prstGeom prst="rect">
                      <a:avLst/>
                    </a:prstGeom>
                    <a:ln>
                      <a:solidFill>
                        <a:schemeClr val="tx1"/>
                      </a:solidFill>
                    </a:ln>
                  </pic:spPr>
                </pic:pic>
              </a:graphicData>
            </a:graphic>
          </wp:inline>
        </w:drawing>
      </w:r>
    </w:p>
    <w:p>
      <w:pPr>
        <w:numPr>
          <w:ilvl w:val="0"/>
          <w:numId w:val="4"/>
        </w:numPr>
        <w:spacing w:before="156" w:beforeLines="50" w:after="156" w:afterLines="50" w:line="560" w:lineRule="exact"/>
        <w:ind w:firstLine="643" w:firstLineChars="200"/>
        <w:rPr>
          <w:rFonts w:hint="eastAsia" w:ascii="楷体" w:hAnsi="楷体" w:eastAsia="楷体"/>
          <w:b/>
          <w:color w:val="auto"/>
          <w:sz w:val="32"/>
          <w:szCs w:val="32"/>
          <w:lang w:val="en-US" w:eastAsia="zh-CN"/>
        </w:rPr>
      </w:pPr>
      <w:r>
        <w:rPr>
          <w:rFonts w:hint="eastAsia" w:ascii="楷体" w:hAnsi="楷体" w:eastAsia="楷体"/>
          <w:b/>
          <w:color w:val="auto"/>
          <w:sz w:val="32"/>
          <w:szCs w:val="32"/>
          <w:lang w:val="en-US" w:eastAsia="zh-CN"/>
        </w:rPr>
        <w:t>感官要求、理化指标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参考GH/T 1247-2019《调味茶》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宋体" w:eastAsia="仿宋_GB2312"/>
          <w:color w:val="FF0000"/>
          <w:sz w:val="32"/>
          <w:szCs w:val="32"/>
          <w:lang w:val="en-US" w:eastAsia="zh-CN"/>
        </w:rPr>
      </w:pPr>
      <w:r>
        <w:rPr>
          <w:rFonts w:hint="default" w:ascii="仿宋_GB2312" w:hAnsi="宋体" w:eastAsia="仿宋_GB2312"/>
          <w:color w:val="FF0000"/>
          <w:sz w:val="32"/>
          <w:szCs w:val="32"/>
          <w:lang w:val="en-US" w:eastAsia="zh-CN"/>
        </w:rPr>
        <w:drawing>
          <wp:inline distT="0" distB="0" distL="114300" distR="114300">
            <wp:extent cx="5564505" cy="4603750"/>
            <wp:effectExtent l="9525" t="9525" r="19050" b="19685"/>
            <wp:docPr id="2" name="图片 2" descr="c722cc75614885abd144a0460fcb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22cc75614885abd144a0460fcb056"/>
                    <pic:cNvPicPr>
                      <a:picLocks noChangeAspect="1"/>
                    </pic:cNvPicPr>
                  </pic:nvPicPr>
                  <pic:blipFill>
                    <a:blip r:embed="rId11"/>
                    <a:stretch>
                      <a:fillRect/>
                    </a:stretch>
                  </pic:blipFill>
                  <pic:spPr>
                    <a:xfrm>
                      <a:off x="0" y="0"/>
                      <a:ext cx="5564505" cy="4603750"/>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宋体" w:eastAsia="仿宋_GB2312"/>
          <w:color w:val="FF0000"/>
          <w:sz w:val="32"/>
          <w:szCs w:val="32"/>
          <w:lang w:val="en-US" w:eastAsia="zh-CN"/>
        </w:rPr>
      </w:pPr>
      <w:r>
        <w:rPr>
          <w:rFonts w:hint="default" w:ascii="仿宋_GB2312" w:hAnsi="宋体" w:eastAsia="仿宋_GB2312"/>
          <w:color w:val="FF0000"/>
          <w:sz w:val="32"/>
          <w:szCs w:val="32"/>
          <w:lang w:val="en-US" w:eastAsia="zh-CN"/>
        </w:rPr>
        <w:drawing>
          <wp:inline distT="0" distB="0" distL="114300" distR="114300">
            <wp:extent cx="4445000" cy="2863850"/>
            <wp:effectExtent l="0" t="0" r="0" b="0"/>
            <wp:docPr id="3" name="图片 3" descr="cc22745d47dab588449d390652b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22745d47dab588449d390652b9583"/>
                    <pic:cNvPicPr>
                      <a:picLocks noChangeAspect="1"/>
                    </pic:cNvPicPr>
                  </pic:nvPicPr>
                  <pic:blipFill>
                    <a:blip r:embed="rId12"/>
                    <a:srcRect l="7325" t="32703" r="14515" b="15601"/>
                    <a:stretch>
                      <a:fillRect/>
                    </a:stretch>
                  </pic:blipFill>
                  <pic:spPr>
                    <a:xfrm>
                      <a:off x="0" y="0"/>
                      <a:ext cx="4445000" cy="2863850"/>
                    </a:xfrm>
                    <a:prstGeom prst="rect">
                      <a:avLst/>
                    </a:prstGeom>
                  </pic:spPr>
                </pic:pic>
              </a:graphicData>
            </a:graphic>
          </wp:inline>
        </w:drawing>
      </w:r>
      <w:r>
        <w:rPr>
          <w:rFonts w:hint="default" w:ascii="仿宋_GB2312" w:hAnsi="宋体" w:eastAsia="仿宋_GB2312"/>
          <w:color w:val="FF0000"/>
          <w:sz w:val="32"/>
          <w:szCs w:val="32"/>
          <w:lang w:val="en-US" w:eastAsia="zh-CN"/>
        </w:rPr>
        <w:drawing>
          <wp:inline distT="0" distB="0" distL="114300" distR="114300">
            <wp:extent cx="2658745" cy="4855210"/>
            <wp:effectExtent l="0" t="0" r="0" b="0"/>
            <wp:docPr id="4" name="图片 4" descr="50daa9925b219255ed302db33b3d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daa9925b219255ed302db33b3d0aa"/>
                    <pic:cNvPicPr>
                      <a:picLocks noChangeAspect="1"/>
                    </pic:cNvPicPr>
                  </pic:nvPicPr>
                  <pic:blipFill>
                    <a:blip r:embed="rId13"/>
                    <a:srcRect l="26687" t="8908" r="26542" b="10396"/>
                    <a:stretch>
                      <a:fillRect/>
                    </a:stretch>
                  </pic:blipFill>
                  <pic:spPr>
                    <a:xfrm>
                      <a:off x="0" y="0"/>
                      <a:ext cx="2658745" cy="4855210"/>
                    </a:xfrm>
                    <a:prstGeom prst="rect">
                      <a:avLst/>
                    </a:prstGeom>
                  </pic:spPr>
                </pic:pic>
              </a:graphicData>
            </a:graphic>
          </wp:inline>
        </w:drawing>
      </w:r>
    </w:p>
    <w:p>
      <w:pPr>
        <w:adjustRightInd w:val="0"/>
        <w:snapToGrid w:val="0"/>
        <w:spacing w:before="156" w:beforeLines="50" w:after="156" w:afterLines="50"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六</w:t>
      </w:r>
      <w:r>
        <w:rPr>
          <w:rFonts w:ascii="黑体" w:hAnsi="黑体" w:eastAsia="黑体" w:cs="黑体"/>
          <w:bCs/>
          <w:color w:val="auto"/>
          <w:sz w:val="32"/>
          <w:szCs w:val="32"/>
        </w:rPr>
        <w:t>、</w:t>
      </w:r>
      <w:r>
        <w:rPr>
          <w:rFonts w:hint="eastAsia" w:ascii="黑体" w:hAnsi="黑体" w:eastAsia="黑体" w:cs="黑体"/>
          <w:bCs/>
          <w:color w:val="auto"/>
          <w:sz w:val="32"/>
          <w:szCs w:val="32"/>
        </w:rPr>
        <w:t>国内外同类标准制修订情况及与法律法规、强制性标准关系</w:t>
      </w:r>
    </w:p>
    <w:p>
      <w:pPr>
        <w:spacing w:line="560" w:lineRule="exact"/>
        <w:ind w:firstLine="640" w:firstLineChars="200"/>
        <w:rPr>
          <w:rFonts w:hint="eastAsia" w:ascii="仿宋_GB2312" w:hAnsi="宋体" w:eastAsia="仿宋_GB2312"/>
          <w:color w:val="auto"/>
          <w:sz w:val="32"/>
          <w:szCs w:val="32"/>
          <w:lang w:val="zh-CN"/>
        </w:rPr>
      </w:pPr>
      <w:r>
        <w:rPr>
          <w:rFonts w:hint="eastAsia" w:ascii="仿宋_GB2312" w:hAnsi="宋体" w:eastAsia="仿宋_GB2312"/>
          <w:color w:val="auto"/>
          <w:sz w:val="32"/>
          <w:szCs w:val="32"/>
          <w:lang w:val="zh-CN"/>
        </w:rPr>
        <w:t>经查阅，与六堡调味茶相关的法律、国家标准、行业标准、地方标准和团体标准有：GH/T 1247-2019《调味茶》、GH/T 1231-2018《加香调味茶》、DBS45/ 006-2018《食品安全地方标准 代用茶和调味茶》、DB45/T 554-2008《代用茶及调味茶质量安全要求》分别对加料调味茶、加香调味茶、混合调味茶、袋泡调味茶、紧压调味茶的原辅料、感官、理化指标进行规范，但对于调味茶加料种类未进行详细说明，以上标准未指定以六堡茶为基础茶叶，故与本团标存在较大差异；GB/T 32719.4-2016《黑茶  第四部分：六堡茶》、DB45/T 581-2009《六堡茶》、DB45/T 1114-2014《地理标志产品  六堡茶》、DBS45 057-2018《食品安全地方标准  六堡茶（传统工艺）》，以上标准分别为国家与广西对于六堡茶产品质量进行规范，均未涉及调味茶相关内容。</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lang w:val="zh-CN"/>
        </w:rPr>
        <w:t>本标准的内容与现行的法律、法规及强制性标准无冲突，标准的编写符合</w:t>
      </w:r>
      <w:r>
        <w:rPr>
          <w:rFonts w:hint="eastAsia" w:ascii="仿宋_GB2312" w:hAnsi="宋体" w:eastAsia="仿宋_GB2312"/>
          <w:color w:val="auto"/>
          <w:sz w:val="32"/>
          <w:szCs w:val="32"/>
        </w:rPr>
        <w:t>GB/T</w:t>
      </w:r>
      <w:r>
        <w:rPr>
          <w:rFonts w:ascii="仿宋_GB2312" w:hAnsi="宋体" w:eastAsia="仿宋_GB2312"/>
          <w:color w:val="auto"/>
          <w:sz w:val="32"/>
          <w:szCs w:val="32"/>
        </w:rPr>
        <w:t xml:space="preserve"> </w:t>
      </w:r>
      <w:r>
        <w:rPr>
          <w:rFonts w:hint="eastAsia" w:ascii="仿宋_GB2312" w:hAnsi="宋体" w:eastAsia="仿宋_GB2312"/>
          <w:color w:val="auto"/>
          <w:sz w:val="32"/>
          <w:szCs w:val="32"/>
        </w:rPr>
        <w:t>1.1-2020的要求。</w:t>
      </w:r>
    </w:p>
    <w:p>
      <w:pPr>
        <w:adjustRightInd w:val="0"/>
        <w:snapToGrid w:val="0"/>
        <w:spacing w:before="156" w:beforeLines="50" w:after="156" w:afterLines="50"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七、重大分歧意见</w:t>
      </w:r>
      <w:r>
        <w:rPr>
          <w:rFonts w:hint="eastAsia" w:ascii="黑体" w:hAnsi="黑体" w:eastAsia="黑体" w:cs="黑体"/>
          <w:bCs/>
          <w:color w:val="auto"/>
          <w:sz w:val="32"/>
          <w:szCs w:val="32"/>
          <w:lang w:val="en-US" w:eastAsia="zh-CN"/>
        </w:rPr>
        <w:t>与</w:t>
      </w:r>
      <w:r>
        <w:rPr>
          <w:rFonts w:hint="eastAsia" w:ascii="黑体" w:hAnsi="黑体" w:eastAsia="黑体" w:cs="黑体"/>
          <w:bCs/>
          <w:color w:val="auto"/>
          <w:sz w:val="32"/>
          <w:szCs w:val="32"/>
        </w:rPr>
        <w:t>处理经过和依据</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本标准研制过程中无重大分歧意见。</w:t>
      </w:r>
    </w:p>
    <w:p>
      <w:pPr>
        <w:spacing w:before="156" w:beforeLines="50" w:after="156" w:afterLines="50"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八</w:t>
      </w:r>
      <w:r>
        <w:rPr>
          <w:rFonts w:ascii="黑体" w:hAnsi="黑体" w:eastAsia="黑体"/>
          <w:color w:val="auto"/>
          <w:sz w:val="32"/>
          <w:szCs w:val="32"/>
        </w:rPr>
        <w:t>、自我承诺</w:t>
      </w:r>
    </w:p>
    <w:p>
      <w:pPr>
        <w:spacing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本标准内容与各项指标不低于国家强制性标准、推荐性国家标准和行业标准。</w:t>
      </w:r>
    </w:p>
    <w:p>
      <w:pPr>
        <w:spacing w:line="560" w:lineRule="exact"/>
        <w:rPr>
          <w:rFonts w:ascii="仿宋_GB2312" w:hAnsi="宋体" w:eastAsia="仿宋_GB2312"/>
          <w:color w:val="auto"/>
          <w:sz w:val="32"/>
          <w:szCs w:val="32"/>
          <w:lang w:val="zh-CN"/>
        </w:rPr>
      </w:pPr>
    </w:p>
    <w:p>
      <w:pPr>
        <w:spacing w:line="560" w:lineRule="exact"/>
        <w:rPr>
          <w:rFonts w:ascii="仿宋_GB2312" w:hAnsi="宋体" w:eastAsia="仿宋_GB2312"/>
          <w:color w:val="auto"/>
          <w:sz w:val="32"/>
          <w:szCs w:val="32"/>
          <w:lang w:val="zh-CN"/>
        </w:rPr>
      </w:pPr>
    </w:p>
    <w:p>
      <w:pPr>
        <w:spacing w:line="560" w:lineRule="exact"/>
        <w:ind w:firstLine="640" w:firstLineChars="200"/>
        <w:jc w:val="right"/>
        <w:outlineLvl w:val="0"/>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团体标准《六堡调味茶》</w:t>
      </w:r>
    </w:p>
    <w:p>
      <w:pPr>
        <w:spacing w:line="560" w:lineRule="exact"/>
        <w:ind w:firstLine="5920" w:firstLineChars="1850"/>
        <w:jc w:val="right"/>
        <w:rPr>
          <w:rFonts w:ascii="仿宋_GB2312" w:hAnsi="宋体" w:eastAsia="仿宋_GB2312"/>
          <w:color w:val="auto"/>
          <w:sz w:val="32"/>
          <w:szCs w:val="32"/>
          <w:lang w:val="zh-CN"/>
        </w:rPr>
      </w:pPr>
      <w:r>
        <w:rPr>
          <w:rFonts w:hint="eastAsia" w:ascii="仿宋_GB2312" w:hAnsi="宋体" w:eastAsia="仿宋_GB2312"/>
          <w:color w:val="auto"/>
          <w:sz w:val="32"/>
          <w:szCs w:val="32"/>
          <w:lang w:val="zh-CN"/>
        </w:rPr>
        <w:t>标准编制</w:t>
      </w:r>
      <w:r>
        <w:rPr>
          <w:rFonts w:hint="eastAsia" w:ascii="仿宋_GB2312" w:hAnsi="宋体" w:eastAsia="仿宋_GB2312"/>
          <w:color w:val="auto"/>
          <w:sz w:val="32"/>
          <w:szCs w:val="32"/>
          <w:lang w:val="en-US" w:eastAsia="zh-CN"/>
        </w:rPr>
        <w:t>工作</w:t>
      </w:r>
      <w:r>
        <w:rPr>
          <w:rFonts w:hint="eastAsia" w:ascii="仿宋_GB2312" w:hAnsi="宋体" w:eastAsia="仿宋_GB2312"/>
          <w:color w:val="auto"/>
          <w:sz w:val="32"/>
          <w:szCs w:val="32"/>
          <w:lang w:val="zh-CN"/>
        </w:rPr>
        <w:t>组</w:t>
      </w:r>
    </w:p>
    <w:p>
      <w:pPr>
        <w:spacing w:line="560" w:lineRule="exact"/>
        <w:ind w:firstLine="640" w:firstLineChars="200"/>
        <w:jc w:val="right"/>
        <w:rPr>
          <w:rFonts w:ascii="仿宋_GB2312" w:hAnsi="宋体" w:eastAsia="仿宋_GB2312"/>
          <w:color w:val="auto"/>
          <w:sz w:val="32"/>
          <w:szCs w:val="32"/>
        </w:rPr>
      </w:pPr>
      <w:r>
        <w:rPr>
          <w:rFonts w:hint="eastAsia" w:ascii="仿宋_GB2312" w:hAnsi="宋体" w:eastAsia="仿宋_GB2312"/>
          <w:color w:val="auto"/>
          <w:sz w:val="32"/>
          <w:szCs w:val="32"/>
          <w:lang w:val="en-US" w:eastAsia="zh-CN"/>
        </w:rPr>
        <w:t>2024</w:t>
      </w:r>
      <w:r>
        <w:rPr>
          <w:rFonts w:hint="eastAsia" w:ascii="仿宋_GB2312" w:hAnsi="宋体" w:eastAsia="仿宋_GB2312"/>
          <w:color w:val="auto"/>
          <w:sz w:val="32"/>
          <w:szCs w:val="32"/>
          <w:lang w:val="zh-CN"/>
        </w:rPr>
        <w:t>年</w:t>
      </w:r>
      <w:r>
        <w:rPr>
          <w:rFonts w:hint="eastAsia" w:ascii="仿宋_GB2312" w:hAnsi="宋体" w:eastAsia="仿宋_GB2312"/>
          <w:color w:val="auto"/>
          <w:sz w:val="32"/>
          <w:szCs w:val="32"/>
          <w:lang w:val="en-US" w:eastAsia="zh-CN"/>
        </w:rPr>
        <w:t>02</w:t>
      </w:r>
      <w:r>
        <w:rPr>
          <w:rFonts w:hint="eastAsia" w:ascii="仿宋_GB2312" w:hAnsi="宋体" w:eastAsia="仿宋_GB2312"/>
          <w:color w:val="auto"/>
          <w:sz w:val="32"/>
          <w:szCs w:val="32"/>
          <w:lang w:val="zh-CN"/>
        </w:rPr>
        <w:t>月</w:t>
      </w:r>
      <w:r>
        <w:rPr>
          <w:rFonts w:hint="eastAsia" w:ascii="仿宋_GB2312" w:hAnsi="宋体" w:eastAsia="仿宋_GB2312"/>
          <w:color w:val="auto"/>
          <w:sz w:val="32"/>
          <w:szCs w:val="32"/>
          <w:lang w:val="en-US" w:eastAsia="zh-CN"/>
        </w:rPr>
        <w:t>03</w:t>
      </w:r>
      <w:bookmarkStart w:id="1" w:name="_GoBack"/>
      <w:bookmarkEnd w:id="1"/>
      <w:r>
        <w:rPr>
          <w:rFonts w:hint="eastAsia" w:ascii="仿宋_GB2312" w:hAnsi="宋体" w:eastAsia="仿宋_GB2312"/>
          <w:color w:val="auto"/>
          <w:sz w:val="32"/>
          <w:szCs w:val="32"/>
        </w:rPr>
        <w:t>日</w:t>
      </w:r>
    </w:p>
    <w:p>
      <w:pPr>
        <w:spacing w:line="560" w:lineRule="exact"/>
        <w:rPr>
          <w:sz w:val="32"/>
          <w:szCs w:val="32"/>
        </w:rPr>
      </w:pPr>
    </w:p>
    <w:sectPr>
      <w:footerReference r:id="rId3" w:type="default"/>
      <w:pgSz w:w="11906" w:h="16838"/>
      <w:pgMar w:top="1474" w:right="1474"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B355A1-989F-40A4-9786-B700342977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4A6DFFC-4A43-4AE4-8590-201E035F5CE2}"/>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1FAF8146-0CD3-4559-8C40-50DEB8FB8121}"/>
  </w:font>
  <w:font w:name="仿宋_GB2312">
    <w:panose1 w:val="02010609030101010101"/>
    <w:charset w:val="86"/>
    <w:family w:val="auto"/>
    <w:pitch w:val="default"/>
    <w:sig w:usb0="00000001" w:usb1="080E0000" w:usb2="00000000" w:usb3="00000000" w:csb0="00040000" w:csb1="00000000"/>
    <w:embedRegular r:id="rId4" w:fontKey="{0C38EEA3-969C-4B21-8CC0-F3F19687B10E}"/>
  </w:font>
  <w:font w:name="楷体">
    <w:panose1 w:val="02010609060101010101"/>
    <w:charset w:val="86"/>
    <w:family w:val="modern"/>
    <w:pitch w:val="default"/>
    <w:sig w:usb0="800002BF" w:usb1="38CF7CFA" w:usb2="00000016" w:usb3="00000000" w:csb0="00040001" w:csb1="00000000"/>
    <w:embedRegular r:id="rId5" w:fontKey="{A74AC73A-61E3-4185-AA9D-BD79A482D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EC27CF"/>
    <w:multiLevelType w:val="singleLevel"/>
    <w:tmpl w:val="F7EC27CF"/>
    <w:lvl w:ilvl="0" w:tentative="0">
      <w:start w:val="4"/>
      <w:numFmt w:val="chineseCounting"/>
      <w:suff w:val="nothing"/>
      <w:lvlText w:val="（%1）"/>
      <w:lvlJc w:val="left"/>
      <w:rPr>
        <w:rFonts w:hint="eastAsia"/>
      </w:rPr>
    </w:lvl>
  </w:abstractNum>
  <w:abstractNum w:abstractNumId="1">
    <w:nsid w:val="540415D3"/>
    <w:multiLevelType w:val="singleLevel"/>
    <w:tmpl w:val="540415D3"/>
    <w:lvl w:ilvl="0" w:tentative="0">
      <w:start w:val="1"/>
      <w:numFmt w:val="chineseCounting"/>
      <w:suff w:val="nothing"/>
      <w:lvlText w:val="（%1）"/>
      <w:lvlJc w:val="left"/>
      <w:rPr>
        <w:rFonts w:hint="eastAsia"/>
      </w:rPr>
    </w:lvl>
  </w:abstractNum>
  <w:abstractNum w:abstractNumId="2">
    <w:nsid w:val="6CEA2025"/>
    <w:multiLevelType w:val="multilevel"/>
    <w:tmpl w:val="6CEA2025"/>
    <w:lvl w:ilvl="0" w:tentative="0">
      <w:start w:val="1"/>
      <w:numFmt w:val="none"/>
      <w:pStyle w:val="25"/>
      <w:suff w:val="nothing"/>
      <w:lvlText w:val="%1"/>
      <w:lvlJc w:val="left"/>
      <w:pPr>
        <w:ind w:left="0" w:firstLine="0"/>
      </w:pPr>
      <w:rPr>
        <w:rFonts w:hint="eastAsia"/>
      </w:rPr>
    </w:lvl>
    <w:lvl w:ilvl="1" w:tentative="0">
      <w:start w:val="1"/>
      <w:numFmt w:val="decimal"/>
      <w:pStyle w:val="23"/>
      <w:suff w:val="nothing"/>
      <w:lvlText w:val="%1%2　"/>
      <w:lvlJc w:val="left"/>
      <w:pPr>
        <w:ind w:left="0" w:firstLine="0"/>
      </w:pPr>
      <w:rPr>
        <w:rFonts w:hint="eastAsia" w:ascii="黑体" w:eastAsia="黑体"/>
        <w:b w:val="0"/>
        <w:i w:val="0"/>
        <w:sz w:val="21"/>
      </w:rPr>
    </w:lvl>
    <w:lvl w:ilvl="2" w:tentative="0">
      <w:start w:val="1"/>
      <w:numFmt w:val="decimal"/>
      <w:pStyle w:val="24"/>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pStyle w:val="20"/>
      <w:suff w:val="nothing"/>
      <w:lvlText w:val="%1%2.%3.%4.%5　"/>
      <w:lvlJc w:val="left"/>
      <w:pPr>
        <w:ind w:left="0" w:firstLine="0"/>
      </w:pPr>
      <w:rPr>
        <w:rFonts w:hint="eastAsia" w:ascii="黑体" w:eastAsia="黑体"/>
        <w:b w:val="0"/>
        <w:i w:val="0"/>
        <w:sz w:val="21"/>
      </w:rPr>
    </w:lvl>
    <w:lvl w:ilvl="5" w:tentative="0">
      <w:start w:val="1"/>
      <w:numFmt w:val="decimal"/>
      <w:pStyle w:val="21"/>
      <w:suff w:val="nothing"/>
      <w:lvlText w:val="%1%2.%3.%4.%5.%6　"/>
      <w:lvlJc w:val="left"/>
      <w:pPr>
        <w:ind w:left="0" w:firstLine="0"/>
      </w:pPr>
      <w:rPr>
        <w:rFonts w:hint="eastAsia" w:ascii="黑体" w:eastAsia="黑体"/>
        <w:b w:val="0"/>
        <w:i w:val="0"/>
        <w:sz w:val="21"/>
      </w:rPr>
    </w:lvl>
    <w:lvl w:ilvl="6" w:tentative="0">
      <w:start w:val="1"/>
      <w:numFmt w:val="decimal"/>
      <w:pStyle w:val="22"/>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4664EEB"/>
    <w:multiLevelType w:val="multilevel"/>
    <w:tmpl w:val="74664EEB"/>
    <w:lvl w:ilvl="0" w:tentative="0">
      <w:start w:val="1"/>
      <w:numFmt w:val="japaneseCounting"/>
      <w:pStyle w:val="27"/>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NTFmNmI4YWVkZTlmN2VhZjJlZmI3NzYxNzk5MWIifQ=="/>
  </w:docVars>
  <w:rsids>
    <w:rsidRoot w:val="52F40A7A"/>
    <w:rsid w:val="00007A3B"/>
    <w:rsid w:val="0001362E"/>
    <w:rsid w:val="000301E7"/>
    <w:rsid w:val="000357FD"/>
    <w:rsid w:val="00042DA8"/>
    <w:rsid w:val="00045229"/>
    <w:rsid w:val="000512D3"/>
    <w:rsid w:val="00056E03"/>
    <w:rsid w:val="00060EB2"/>
    <w:rsid w:val="000647D8"/>
    <w:rsid w:val="000736B7"/>
    <w:rsid w:val="00085266"/>
    <w:rsid w:val="000909BA"/>
    <w:rsid w:val="00094F6B"/>
    <w:rsid w:val="000A38AA"/>
    <w:rsid w:val="000A39DF"/>
    <w:rsid w:val="000B69C7"/>
    <w:rsid w:val="000B6C8F"/>
    <w:rsid w:val="000C482C"/>
    <w:rsid w:val="000C5EA5"/>
    <w:rsid w:val="000C73B6"/>
    <w:rsid w:val="000D4AA2"/>
    <w:rsid w:val="000D4D34"/>
    <w:rsid w:val="000E0033"/>
    <w:rsid w:val="000E1F56"/>
    <w:rsid w:val="000F666F"/>
    <w:rsid w:val="001008A6"/>
    <w:rsid w:val="001117EC"/>
    <w:rsid w:val="0011425E"/>
    <w:rsid w:val="00136612"/>
    <w:rsid w:val="00137598"/>
    <w:rsid w:val="001379D8"/>
    <w:rsid w:val="001404BA"/>
    <w:rsid w:val="0014131C"/>
    <w:rsid w:val="001441AB"/>
    <w:rsid w:val="00153708"/>
    <w:rsid w:val="001538F1"/>
    <w:rsid w:val="00160605"/>
    <w:rsid w:val="001643A4"/>
    <w:rsid w:val="0018765E"/>
    <w:rsid w:val="00192652"/>
    <w:rsid w:val="001B3206"/>
    <w:rsid w:val="001C0310"/>
    <w:rsid w:val="001C450D"/>
    <w:rsid w:val="001C7DA7"/>
    <w:rsid w:val="001D20FE"/>
    <w:rsid w:val="001E0C5E"/>
    <w:rsid w:val="001E22DF"/>
    <w:rsid w:val="001F2328"/>
    <w:rsid w:val="00201A81"/>
    <w:rsid w:val="0020586B"/>
    <w:rsid w:val="00210294"/>
    <w:rsid w:val="002111F4"/>
    <w:rsid w:val="00214B36"/>
    <w:rsid w:val="00216C5F"/>
    <w:rsid w:val="002172C1"/>
    <w:rsid w:val="002219A2"/>
    <w:rsid w:val="00224154"/>
    <w:rsid w:val="002276C5"/>
    <w:rsid w:val="00231022"/>
    <w:rsid w:val="00240039"/>
    <w:rsid w:val="002461EE"/>
    <w:rsid w:val="002556C0"/>
    <w:rsid w:val="00266580"/>
    <w:rsid w:val="002714FB"/>
    <w:rsid w:val="00285DB4"/>
    <w:rsid w:val="0029495C"/>
    <w:rsid w:val="002978BA"/>
    <w:rsid w:val="002A1A2A"/>
    <w:rsid w:val="002A4693"/>
    <w:rsid w:val="002B5A2F"/>
    <w:rsid w:val="002E078A"/>
    <w:rsid w:val="002E08EB"/>
    <w:rsid w:val="002E26A4"/>
    <w:rsid w:val="002E4500"/>
    <w:rsid w:val="002E73C7"/>
    <w:rsid w:val="002F331F"/>
    <w:rsid w:val="002F4911"/>
    <w:rsid w:val="0030021B"/>
    <w:rsid w:val="00300939"/>
    <w:rsid w:val="003114F8"/>
    <w:rsid w:val="003213AB"/>
    <w:rsid w:val="00330246"/>
    <w:rsid w:val="00335065"/>
    <w:rsid w:val="003356FD"/>
    <w:rsid w:val="00341840"/>
    <w:rsid w:val="00344DCA"/>
    <w:rsid w:val="003610C1"/>
    <w:rsid w:val="00361BA1"/>
    <w:rsid w:val="00362592"/>
    <w:rsid w:val="00364D16"/>
    <w:rsid w:val="0036618D"/>
    <w:rsid w:val="00371892"/>
    <w:rsid w:val="0039281A"/>
    <w:rsid w:val="00395C01"/>
    <w:rsid w:val="003A4307"/>
    <w:rsid w:val="003A7559"/>
    <w:rsid w:val="003A7E9E"/>
    <w:rsid w:val="003B1821"/>
    <w:rsid w:val="003C1FC4"/>
    <w:rsid w:val="003C468C"/>
    <w:rsid w:val="003C75FC"/>
    <w:rsid w:val="003D4CDC"/>
    <w:rsid w:val="003E1857"/>
    <w:rsid w:val="003E3205"/>
    <w:rsid w:val="003E3A46"/>
    <w:rsid w:val="003F3405"/>
    <w:rsid w:val="00401A7C"/>
    <w:rsid w:val="00402FE1"/>
    <w:rsid w:val="00404CED"/>
    <w:rsid w:val="0040560F"/>
    <w:rsid w:val="00414DF4"/>
    <w:rsid w:val="00433889"/>
    <w:rsid w:val="00466A67"/>
    <w:rsid w:val="004706BD"/>
    <w:rsid w:val="004711AC"/>
    <w:rsid w:val="0047343A"/>
    <w:rsid w:val="0047535D"/>
    <w:rsid w:val="00477774"/>
    <w:rsid w:val="00482E23"/>
    <w:rsid w:val="0048798C"/>
    <w:rsid w:val="0049553A"/>
    <w:rsid w:val="004A13E8"/>
    <w:rsid w:val="004B216E"/>
    <w:rsid w:val="004B317A"/>
    <w:rsid w:val="004B3F62"/>
    <w:rsid w:val="004B56E1"/>
    <w:rsid w:val="004C7DEA"/>
    <w:rsid w:val="004D1112"/>
    <w:rsid w:val="004D5DCC"/>
    <w:rsid w:val="004E44D8"/>
    <w:rsid w:val="004E55AB"/>
    <w:rsid w:val="004E5D6B"/>
    <w:rsid w:val="00505174"/>
    <w:rsid w:val="005261CB"/>
    <w:rsid w:val="00527551"/>
    <w:rsid w:val="0052788B"/>
    <w:rsid w:val="00530A33"/>
    <w:rsid w:val="005338ED"/>
    <w:rsid w:val="005353A9"/>
    <w:rsid w:val="00537D26"/>
    <w:rsid w:val="005424FE"/>
    <w:rsid w:val="0054308F"/>
    <w:rsid w:val="00547792"/>
    <w:rsid w:val="0055275D"/>
    <w:rsid w:val="00570517"/>
    <w:rsid w:val="00592480"/>
    <w:rsid w:val="005968B3"/>
    <w:rsid w:val="005973A7"/>
    <w:rsid w:val="00597CAF"/>
    <w:rsid w:val="005B135F"/>
    <w:rsid w:val="005B1C23"/>
    <w:rsid w:val="005B5599"/>
    <w:rsid w:val="005B6BA9"/>
    <w:rsid w:val="005C47DF"/>
    <w:rsid w:val="005D150E"/>
    <w:rsid w:val="005D444C"/>
    <w:rsid w:val="005D714D"/>
    <w:rsid w:val="005D7BE4"/>
    <w:rsid w:val="005E1CDE"/>
    <w:rsid w:val="005E4DE7"/>
    <w:rsid w:val="006069FF"/>
    <w:rsid w:val="00611246"/>
    <w:rsid w:val="00613ED1"/>
    <w:rsid w:val="006212CB"/>
    <w:rsid w:val="00626D7F"/>
    <w:rsid w:val="00634B08"/>
    <w:rsid w:val="00641417"/>
    <w:rsid w:val="00657545"/>
    <w:rsid w:val="00661B2F"/>
    <w:rsid w:val="00661FEE"/>
    <w:rsid w:val="0066301B"/>
    <w:rsid w:val="00665425"/>
    <w:rsid w:val="006722D3"/>
    <w:rsid w:val="006816C4"/>
    <w:rsid w:val="006957E0"/>
    <w:rsid w:val="006A5906"/>
    <w:rsid w:val="006A5B11"/>
    <w:rsid w:val="006A5D0E"/>
    <w:rsid w:val="006B7A71"/>
    <w:rsid w:val="006D70EC"/>
    <w:rsid w:val="006D73AF"/>
    <w:rsid w:val="006E2BD2"/>
    <w:rsid w:val="006E7197"/>
    <w:rsid w:val="006F1440"/>
    <w:rsid w:val="006F5BA6"/>
    <w:rsid w:val="006F7E09"/>
    <w:rsid w:val="0070740B"/>
    <w:rsid w:val="00707437"/>
    <w:rsid w:val="00707815"/>
    <w:rsid w:val="00716104"/>
    <w:rsid w:val="00721EE2"/>
    <w:rsid w:val="00727E29"/>
    <w:rsid w:val="00730E6C"/>
    <w:rsid w:val="00733A36"/>
    <w:rsid w:val="00734529"/>
    <w:rsid w:val="007452B3"/>
    <w:rsid w:val="007609B8"/>
    <w:rsid w:val="007671C3"/>
    <w:rsid w:val="007702EA"/>
    <w:rsid w:val="007851EF"/>
    <w:rsid w:val="007A2869"/>
    <w:rsid w:val="007A5579"/>
    <w:rsid w:val="007A5904"/>
    <w:rsid w:val="007B5CA8"/>
    <w:rsid w:val="007D0A53"/>
    <w:rsid w:val="007E2316"/>
    <w:rsid w:val="007F37EE"/>
    <w:rsid w:val="007F67A8"/>
    <w:rsid w:val="007F78F7"/>
    <w:rsid w:val="00800EA9"/>
    <w:rsid w:val="00803B2B"/>
    <w:rsid w:val="00806142"/>
    <w:rsid w:val="008072A2"/>
    <w:rsid w:val="00812919"/>
    <w:rsid w:val="00826793"/>
    <w:rsid w:val="00833836"/>
    <w:rsid w:val="0084042F"/>
    <w:rsid w:val="0085556B"/>
    <w:rsid w:val="0085613D"/>
    <w:rsid w:val="00892A87"/>
    <w:rsid w:val="00893ACB"/>
    <w:rsid w:val="00897C11"/>
    <w:rsid w:val="008A532F"/>
    <w:rsid w:val="008C04B5"/>
    <w:rsid w:val="008D28FA"/>
    <w:rsid w:val="008D7526"/>
    <w:rsid w:val="008E0B5B"/>
    <w:rsid w:val="00904836"/>
    <w:rsid w:val="00906298"/>
    <w:rsid w:val="00906AA1"/>
    <w:rsid w:val="009129EC"/>
    <w:rsid w:val="00915E8E"/>
    <w:rsid w:val="0092390B"/>
    <w:rsid w:val="0092409D"/>
    <w:rsid w:val="00927C4E"/>
    <w:rsid w:val="009332A7"/>
    <w:rsid w:val="00940E4F"/>
    <w:rsid w:val="00943C3E"/>
    <w:rsid w:val="00947E26"/>
    <w:rsid w:val="0095139E"/>
    <w:rsid w:val="00954336"/>
    <w:rsid w:val="009630F8"/>
    <w:rsid w:val="00964CC9"/>
    <w:rsid w:val="009700A1"/>
    <w:rsid w:val="0097489A"/>
    <w:rsid w:val="0098137C"/>
    <w:rsid w:val="00982776"/>
    <w:rsid w:val="00982B8F"/>
    <w:rsid w:val="00986AD3"/>
    <w:rsid w:val="00987678"/>
    <w:rsid w:val="00990039"/>
    <w:rsid w:val="009916B1"/>
    <w:rsid w:val="009A4578"/>
    <w:rsid w:val="009A5BF2"/>
    <w:rsid w:val="009B0913"/>
    <w:rsid w:val="009B5417"/>
    <w:rsid w:val="009B75B2"/>
    <w:rsid w:val="009B77F5"/>
    <w:rsid w:val="009C049D"/>
    <w:rsid w:val="009C08B7"/>
    <w:rsid w:val="009C11C1"/>
    <w:rsid w:val="009D6D29"/>
    <w:rsid w:val="009E1582"/>
    <w:rsid w:val="009F4746"/>
    <w:rsid w:val="009F69DB"/>
    <w:rsid w:val="00A10B97"/>
    <w:rsid w:val="00A23FE8"/>
    <w:rsid w:val="00A259E3"/>
    <w:rsid w:val="00A32C7C"/>
    <w:rsid w:val="00A3458B"/>
    <w:rsid w:val="00A36849"/>
    <w:rsid w:val="00A37326"/>
    <w:rsid w:val="00A417F6"/>
    <w:rsid w:val="00A42957"/>
    <w:rsid w:val="00A470EC"/>
    <w:rsid w:val="00A53B59"/>
    <w:rsid w:val="00A859D0"/>
    <w:rsid w:val="00A900D7"/>
    <w:rsid w:val="00A90F2C"/>
    <w:rsid w:val="00A92BE3"/>
    <w:rsid w:val="00A96D05"/>
    <w:rsid w:val="00AB1B65"/>
    <w:rsid w:val="00AB2810"/>
    <w:rsid w:val="00AB4B0C"/>
    <w:rsid w:val="00AC2B04"/>
    <w:rsid w:val="00AD6D77"/>
    <w:rsid w:val="00AE25AA"/>
    <w:rsid w:val="00AF6E67"/>
    <w:rsid w:val="00B000B8"/>
    <w:rsid w:val="00B1503E"/>
    <w:rsid w:val="00B2687B"/>
    <w:rsid w:val="00B304E9"/>
    <w:rsid w:val="00B31C41"/>
    <w:rsid w:val="00B32326"/>
    <w:rsid w:val="00B422CE"/>
    <w:rsid w:val="00B56C0E"/>
    <w:rsid w:val="00B61237"/>
    <w:rsid w:val="00B6564B"/>
    <w:rsid w:val="00B719E5"/>
    <w:rsid w:val="00B75A61"/>
    <w:rsid w:val="00B93639"/>
    <w:rsid w:val="00BA054B"/>
    <w:rsid w:val="00BA5404"/>
    <w:rsid w:val="00BB01EB"/>
    <w:rsid w:val="00BB5DDA"/>
    <w:rsid w:val="00BB76F5"/>
    <w:rsid w:val="00BC6524"/>
    <w:rsid w:val="00BD4DFD"/>
    <w:rsid w:val="00BD6F78"/>
    <w:rsid w:val="00BE6649"/>
    <w:rsid w:val="00BF1961"/>
    <w:rsid w:val="00BF1DF2"/>
    <w:rsid w:val="00BF604E"/>
    <w:rsid w:val="00C03406"/>
    <w:rsid w:val="00C15ABB"/>
    <w:rsid w:val="00C451C2"/>
    <w:rsid w:val="00C46F59"/>
    <w:rsid w:val="00C53598"/>
    <w:rsid w:val="00C55561"/>
    <w:rsid w:val="00C61BCC"/>
    <w:rsid w:val="00C710D6"/>
    <w:rsid w:val="00C747B0"/>
    <w:rsid w:val="00C7773D"/>
    <w:rsid w:val="00C827F8"/>
    <w:rsid w:val="00C9265B"/>
    <w:rsid w:val="00C955FD"/>
    <w:rsid w:val="00C96EC0"/>
    <w:rsid w:val="00CA2AA3"/>
    <w:rsid w:val="00CA41A5"/>
    <w:rsid w:val="00CA5B30"/>
    <w:rsid w:val="00CB7EB8"/>
    <w:rsid w:val="00CC2DD8"/>
    <w:rsid w:val="00CC4D3B"/>
    <w:rsid w:val="00CD3D7E"/>
    <w:rsid w:val="00CD4D3D"/>
    <w:rsid w:val="00CD6DF7"/>
    <w:rsid w:val="00CF0438"/>
    <w:rsid w:val="00CF4E8E"/>
    <w:rsid w:val="00D0257C"/>
    <w:rsid w:val="00D063E1"/>
    <w:rsid w:val="00D0661A"/>
    <w:rsid w:val="00D16560"/>
    <w:rsid w:val="00D317D7"/>
    <w:rsid w:val="00D4074E"/>
    <w:rsid w:val="00D40E63"/>
    <w:rsid w:val="00D441ED"/>
    <w:rsid w:val="00D5295D"/>
    <w:rsid w:val="00D64197"/>
    <w:rsid w:val="00D66176"/>
    <w:rsid w:val="00D66403"/>
    <w:rsid w:val="00D70F1A"/>
    <w:rsid w:val="00D73E8B"/>
    <w:rsid w:val="00D770C9"/>
    <w:rsid w:val="00D802E2"/>
    <w:rsid w:val="00D8255C"/>
    <w:rsid w:val="00D838AC"/>
    <w:rsid w:val="00D8739D"/>
    <w:rsid w:val="00D94E61"/>
    <w:rsid w:val="00DA7B3E"/>
    <w:rsid w:val="00DB220F"/>
    <w:rsid w:val="00DC111F"/>
    <w:rsid w:val="00DC1721"/>
    <w:rsid w:val="00DC4821"/>
    <w:rsid w:val="00DC6E56"/>
    <w:rsid w:val="00DD0F41"/>
    <w:rsid w:val="00DD42DA"/>
    <w:rsid w:val="00DD60F9"/>
    <w:rsid w:val="00DE13CB"/>
    <w:rsid w:val="00DF2F5D"/>
    <w:rsid w:val="00DF671D"/>
    <w:rsid w:val="00E01A17"/>
    <w:rsid w:val="00E04336"/>
    <w:rsid w:val="00E05C37"/>
    <w:rsid w:val="00E07EA3"/>
    <w:rsid w:val="00E10161"/>
    <w:rsid w:val="00E1662A"/>
    <w:rsid w:val="00E20A22"/>
    <w:rsid w:val="00E21951"/>
    <w:rsid w:val="00E34CA8"/>
    <w:rsid w:val="00E41663"/>
    <w:rsid w:val="00E43B41"/>
    <w:rsid w:val="00E54505"/>
    <w:rsid w:val="00E62F29"/>
    <w:rsid w:val="00E643E8"/>
    <w:rsid w:val="00E64DE5"/>
    <w:rsid w:val="00E92A02"/>
    <w:rsid w:val="00E933D9"/>
    <w:rsid w:val="00E93758"/>
    <w:rsid w:val="00E953C2"/>
    <w:rsid w:val="00EA3E66"/>
    <w:rsid w:val="00EB0332"/>
    <w:rsid w:val="00EB0B12"/>
    <w:rsid w:val="00EB1EE2"/>
    <w:rsid w:val="00EC3B6C"/>
    <w:rsid w:val="00EC65F7"/>
    <w:rsid w:val="00ED018B"/>
    <w:rsid w:val="00EE08EB"/>
    <w:rsid w:val="00EE51E0"/>
    <w:rsid w:val="00EE7D8E"/>
    <w:rsid w:val="00EF0605"/>
    <w:rsid w:val="00EF2897"/>
    <w:rsid w:val="00EF372E"/>
    <w:rsid w:val="00F14412"/>
    <w:rsid w:val="00F14D9D"/>
    <w:rsid w:val="00F20BCD"/>
    <w:rsid w:val="00F22D23"/>
    <w:rsid w:val="00F33457"/>
    <w:rsid w:val="00F340BE"/>
    <w:rsid w:val="00F343D6"/>
    <w:rsid w:val="00F41AE8"/>
    <w:rsid w:val="00F4639D"/>
    <w:rsid w:val="00F51113"/>
    <w:rsid w:val="00F51F15"/>
    <w:rsid w:val="00F5631A"/>
    <w:rsid w:val="00F62630"/>
    <w:rsid w:val="00F6264F"/>
    <w:rsid w:val="00F66419"/>
    <w:rsid w:val="00F70BB2"/>
    <w:rsid w:val="00F72AF7"/>
    <w:rsid w:val="00F81084"/>
    <w:rsid w:val="00F829D1"/>
    <w:rsid w:val="00F909A0"/>
    <w:rsid w:val="00F9381B"/>
    <w:rsid w:val="00F94EB5"/>
    <w:rsid w:val="00F96393"/>
    <w:rsid w:val="00F977D5"/>
    <w:rsid w:val="00FA53CB"/>
    <w:rsid w:val="00FB0950"/>
    <w:rsid w:val="00FB142D"/>
    <w:rsid w:val="00FC1B41"/>
    <w:rsid w:val="00FC1BC7"/>
    <w:rsid w:val="00FC37C1"/>
    <w:rsid w:val="00FC53EA"/>
    <w:rsid w:val="00FE0893"/>
    <w:rsid w:val="00FE40D9"/>
    <w:rsid w:val="00FE558E"/>
    <w:rsid w:val="00FE658D"/>
    <w:rsid w:val="00FF58FD"/>
    <w:rsid w:val="012073A2"/>
    <w:rsid w:val="01973053"/>
    <w:rsid w:val="01CE7107"/>
    <w:rsid w:val="02033A02"/>
    <w:rsid w:val="02160BB9"/>
    <w:rsid w:val="027E74CA"/>
    <w:rsid w:val="03846660"/>
    <w:rsid w:val="03946FB6"/>
    <w:rsid w:val="040E2447"/>
    <w:rsid w:val="04714CC0"/>
    <w:rsid w:val="04AD3F7A"/>
    <w:rsid w:val="04DB3C44"/>
    <w:rsid w:val="05E901FB"/>
    <w:rsid w:val="06025F00"/>
    <w:rsid w:val="063A7C18"/>
    <w:rsid w:val="06BC4688"/>
    <w:rsid w:val="06CC7423"/>
    <w:rsid w:val="06D36EDF"/>
    <w:rsid w:val="07436F98"/>
    <w:rsid w:val="0791652A"/>
    <w:rsid w:val="07944EF9"/>
    <w:rsid w:val="079D6347"/>
    <w:rsid w:val="091740CA"/>
    <w:rsid w:val="099A4C40"/>
    <w:rsid w:val="0AF11A10"/>
    <w:rsid w:val="0B0401B9"/>
    <w:rsid w:val="0B3722E9"/>
    <w:rsid w:val="0B42743F"/>
    <w:rsid w:val="0B6F477F"/>
    <w:rsid w:val="0B820F05"/>
    <w:rsid w:val="0BE94AFA"/>
    <w:rsid w:val="0C114D3A"/>
    <w:rsid w:val="0C5305F4"/>
    <w:rsid w:val="0CE25932"/>
    <w:rsid w:val="0CF43C8A"/>
    <w:rsid w:val="0D4967B3"/>
    <w:rsid w:val="0DA87EC0"/>
    <w:rsid w:val="0E802E54"/>
    <w:rsid w:val="0E911E04"/>
    <w:rsid w:val="0F447B05"/>
    <w:rsid w:val="0FAB789B"/>
    <w:rsid w:val="0FE44295"/>
    <w:rsid w:val="0FEC3E14"/>
    <w:rsid w:val="10806873"/>
    <w:rsid w:val="10BE6ECD"/>
    <w:rsid w:val="11705D3A"/>
    <w:rsid w:val="11860F94"/>
    <w:rsid w:val="121B7F8B"/>
    <w:rsid w:val="12A53D1F"/>
    <w:rsid w:val="12F45FA8"/>
    <w:rsid w:val="12F655BF"/>
    <w:rsid w:val="134C146A"/>
    <w:rsid w:val="13D702FD"/>
    <w:rsid w:val="14377FD0"/>
    <w:rsid w:val="14856F74"/>
    <w:rsid w:val="148808AC"/>
    <w:rsid w:val="149C0C39"/>
    <w:rsid w:val="14A27C03"/>
    <w:rsid w:val="153C3623"/>
    <w:rsid w:val="158840E2"/>
    <w:rsid w:val="15C0748F"/>
    <w:rsid w:val="15D12138"/>
    <w:rsid w:val="15E47C88"/>
    <w:rsid w:val="16174E54"/>
    <w:rsid w:val="16BE53A8"/>
    <w:rsid w:val="16E37F6D"/>
    <w:rsid w:val="16EC742F"/>
    <w:rsid w:val="17480A93"/>
    <w:rsid w:val="17A35DDF"/>
    <w:rsid w:val="182F7669"/>
    <w:rsid w:val="18787EC5"/>
    <w:rsid w:val="18CC2B8B"/>
    <w:rsid w:val="18EF1C9B"/>
    <w:rsid w:val="19BF3DD7"/>
    <w:rsid w:val="19DA7DEE"/>
    <w:rsid w:val="19DC4E83"/>
    <w:rsid w:val="19E84073"/>
    <w:rsid w:val="1A7368C8"/>
    <w:rsid w:val="1A976BB9"/>
    <w:rsid w:val="1AE72CD3"/>
    <w:rsid w:val="1AEF3D03"/>
    <w:rsid w:val="1B7E0E69"/>
    <w:rsid w:val="1BE0460E"/>
    <w:rsid w:val="1C136E65"/>
    <w:rsid w:val="1C4C4278"/>
    <w:rsid w:val="1C542249"/>
    <w:rsid w:val="1C9E476B"/>
    <w:rsid w:val="1CA8000B"/>
    <w:rsid w:val="1CC031EA"/>
    <w:rsid w:val="1D1111C8"/>
    <w:rsid w:val="1D796A5E"/>
    <w:rsid w:val="1D800998"/>
    <w:rsid w:val="1D96232B"/>
    <w:rsid w:val="1DDF2CB1"/>
    <w:rsid w:val="1E264EB2"/>
    <w:rsid w:val="1E6264E0"/>
    <w:rsid w:val="1EA66084"/>
    <w:rsid w:val="1EFA407E"/>
    <w:rsid w:val="1F126151"/>
    <w:rsid w:val="1F61417A"/>
    <w:rsid w:val="1F7B2EE6"/>
    <w:rsid w:val="1FF068CA"/>
    <w:rsid w:val="20363170"/>
    <w:rsid w:val="208A027D"/>
    <w:rsid w:val="20C7244E"/>
    <w:rsid w:val="210F504D"/>
    <w:rsid w:val="214925D1"/>
    <w:rsid w:val="217B59B6"/>
    <w:rsid w:val="21B878C1"/>
    <w:rsid w:val="21DF74EB"/>
    <w:rsid w:val="22723962"/>
    <w:rsid w:val="22AD1641"/>
    <w:rsid w:val="23DD07B1"/>
    <w:rsid w:val="23F33414"/>
    <w:rsid w:val="241C4DDC"/>
    <w:rsid w:val="24545B5D"/>
    <w:rsid w:val="24552C6E"/>
    <w:rsid w:val="24CD0EEF"/>
    <w:rsid w:val="24D067A5"/>
    <w:rsid w:val="25017CFB"/>
    <w:rsid w:val="25386DCA"/>
    <w:rsid w:val="25CC1EB0"/>
    <w:rsid w:val="25D030D9"/>
    <w:rsid w:val="26DA4AFE"/>
    <w:rsid w:val="27B95C35"/>
    <w:rsid w:val="27F25F7B"/>
    <w:rsid w:val="28DB3980"/>
    <w:rsid w:val="28F13D86"/>
    <w:rsid w:val="29017971"/>
    <w:rsid w:val="29204D61"/>
    <w:rsid w:val="29794AC9"/>
    <w:rsid w:val="298939F2"/>
    <w:rsid w:val="29F349D6"/>
    <w:rsid w:val="29F563F0"/>
    <w:rsid w:val="2A897264"/>
    <w:rsid w:val="2A9A65A6"/>
    <w:rsid w:val="2AB10CDE"/>
    <w:rsid w:val="2AE93A6E"/>
    <w:rsid w:val="2B4C581C"/>
    <w:rsid w:val="2B5E4C67"/>
    <w:rsid w:val="2B97780B"/>
    <w:rsid w:val="2C623B4C"/>
    <w:rsid w:val="2CCB46E5"/>
    <w:rsid w:val="2D0434AE"/>
    <w:rsid w:val="2D2410CF"/>
    <w:rsid w:val="2D344C00"/>
    <w:rsid w:val="2D923C8D"/>
    <w:rsid w:val="2E2A5CB9"/>
    <w:rsid w:val="2E6073FD"/>
    <w:rsid w:val="2E956FE0"/>
    <w:rsid w:val="2EA475C2"/>
    <w:rsid w:val="2EE20276"/>
    <w:rsid w:val="2F0C37CF"/>
    <w:rsid w:val="2F24002C"/>
    <w:rsid w:val="2F4D09D0"/>
    <w:rsid w:val="2F5A1514"/>
    <w:rsid w:val="2F6A6545"/>
    <w:rsid w:val="2FC25D27"/>
    <w:rsid w:val="2FE77C32"/>
    <w:rsid w:val="302C0C9F"/>
    <w:rsid w:val="30C817CC"/>
    <w:rsid w:val="30C84030"/>
    <w:rsid w:val="30EC66DF"/>
    <w:rsid w:val="30FE2122"/>
    <w:rsid w:val="31727782"/>
    <w:rsid w:val="318227E8"/>
    <w:rsid w:val="31AE15C3"/>
    <w:rsid w:val="31E60C8B"/>
    <w:rsid w:val="31FF6CE2"/>
    <w:rsid w:val="32456CC4"/>
    <w:rsid w:val="3311445F"/>
    <w:rsid w:val="33865CDD"/>
    <w:rsid w:val="345E6D06"/>
    <w:rsid w:val="34AC423B"/>
    <w:rsid w:val="34D15C68"/>
    <w:rsid w:val="353A3782"/>
    <w:rsid w:val="3542414B"/>
    <w:rsid w:val="35860E50"/>
    <w:rsid w:val="35BB3EF4"/>
    <w:rsid w:val="367D4D61"/>
    <w:rsid w:val="369C4E13"/>
    <w:rsid w:val="36A8469E"/>
    <w:rsid w:val="36B1619C"/>
    <w:rsid w:val="36EC52A3"/>
    <w:rsid w:val="36F84CBD"/>
    <w:rsid w:val="37B16457"/>
    <w:rsid w:val="384D7457"/>
    <w:rsid w:val="386B0FD9"/>
    <w:rsid w:val="38A72476"/>
    <w:rsid w:val="3933479C"/>
    <w:rsid w:val="393869BB"/>
    <w:rsid w:val="396D1326"/>
    <w:rsid w:val="39BC21E0"/>
    <w:rsid w:val="39E4102F"/>
    <w:rsid w:val="3A7C039E"/>
    <w:rsid w:val="3A8328DC"/>
    <w:rsid w:val="3B1F04CB"/>
    <w:rsid w:val="3B5222CB"/>
    <w:rsid w:val="3BB5469A"/>
    <w:rsid w:val="3C5B215B"/>
    <w:rsid w:val="3D9E4506"/>
    <w:rsid w:val="3DA60433"/>
    <w:rsid w:val="3ED50BDE"/>
    <w:rsid w:val="3EE1042C"/>
    <w:rsid w:val="3EE2552D"/>
    <w:rsid w:val="3F295722"/>
    <w:rsid w:val="40233A00"/>
    <w:rsid w:val="40607FBD"/>
    <w:rsid w:val="408F1B38"/>
    <w:rsid w:val="4165602A"/>
    <w:rsid w:val="416B0F76"/>
    <w:rsid w:val="417E0D3F"/>
    <w:rsid w:val="42B40A8B"/>
    <w:rsid w:val="431472BE"/>
    <w:rsid w:val="43154769"/>
    <w:rsid w:val="43EB17DA"/>
    <w:rsid w:val="449E6649"/>
    <w:rsid w:val="450C4D75"/>
    <w:rsid w:val="45546028"/>
    <w:rsid w:val="45D8152E"/>
    <w:rsid w:val="46184524"/>
    <w:rsid w:val="46ED03C2"/>
    <w:rsid w:val="47777325"/>
    <w:rsid w:val="47973076"/>
    <w:rsid w:val="4818629E"/>
    <w:rsid w:val="484F252F"/>
    <w:rsid w:val="4862180D"/>
    <w:rsid w:val="48CB7DE0"/>
    <w:rsid w:val="48DE3F2D"/>
    <w:rsid w:val="497F5F49"/>
    <w:rsid w:val="49E1340B"/>
    <w:rsid w:val="4A0237E4"/>
    <w:rsid w:val="4A8A1CA2"/>
    <w:rsid w:val="4B011028"/>
    <w:rsid w:val="4B2F3FE8"/>
    <w:rsid w:val="4B5D3AD9"/>
    <w:rsid w:val="4BF62B9B"/>
    <w:rsid w:val="4C661C38"/>
    <w:rsid w:val="4C69402E"/>
    <w:rsid w:val="4C695DDB"/>
    <w:rsid w:val="4C9A5EA5"/>
    <w:rsid w:val="4CDF3A61"/>
    <w:rsid w:val="4D1225FB"/>
    <w:rsid w:val="4D222EA7"/>
    <w:rsid w:val="4D6B36ED"/>
    <w:rsid w:val="4D9A3B9B"/>
    <w:rsid w:val="4DD528AB"/>
    <w:rsid w:val="4DF026E8"/>
    <w:rsid w:val="4E003582"/>
    <w:rsid w:val="4E3C045A"/>
    <w:rsid w:val="4E755E5F"/>
    <w:rsid w:val="4EE2079C"/>
    <w:rsid w:val="4F0E378C"/>
    <w:rsid w:val="4F3D6BB8"/>
    <w:rsid w:val="4F4E509D"/>
    <w:rsid w:val="503467D7"/>
    <w:rsid w:val="503D5B3F"/>
    <w:rsid w:val="509715B3"/>
    <w:rsid w:val="51885345"/>
    <w:rsid w:val="52C21214"/>
    <w:rsid w:val="52F40A7A"/>
    <w:rsid w:val="53AB37CE"/>
    <w:rsid w:val="54295E4B"/>
    <w:rsid w:val="54706EE3"/>
    <w:rsid w:val="54781D67"/>
    <w:rsid w:val="54BA6FAE"/>
    <w:rsid w:val="54BC4A49"/>
    <w:rsid w:val="55013876"/>
    <w:rsid w:val="55050666"/>
    <w:rsid w:val="55297417"/>
    <w:rsid w:val="553D7C77"/>
    <w:rsid w:val="55527E49"/>
    <w:rsid w:val="555F515E"/>
    <w:rsid w:val="56B93F99"/>
    <w:rsid w:val="56C27DEF"/>
    <w:rsid w:val="56F85BDB"/>
    <w:rsid w:val="56FA72B4"/>
    <w:rsid w:val="57322BDA"/>
    <w:rsid w:val="57827D4C"/>
    <w:rsid w:val="579529A0"/>
    <w:rsid w:val="57C3245A"/>
    <w:rsid w:val="57EB02E7"/>
    <w:rsid w:val="57EE6D4B"/>
    <w:rsid w:val="58A62F16"/>
    <w:rsid w:val="58BE7A1C"/>
    <w:rsid w:val="59772169"/>
    <w:rsid w:val="5A451F5C"/>
    <w:rsid w:val="5ABA692B"/>
    <w:rsid w:val="5B20154B"/>
    <w:rsid w:val="5BF4727D"/>
    <w:rsid w:val="5C4C5F63"/>
    <w:rsid w:val="5C751E24"/>
    <w:rsid w:val="5CF30946"/>
    <w:rsid w:val="5D014110"/>
    <w:rsid w:val="5D1330D6"/>
    <w:rsid w:val="5DA3099B"/>
    <w:rsid w:val="5DB11630"/>
    <w:rsid w:val="5E0A1CB3"/>
    <w:rsid w:val="5EB85928"/>
    <w:rsid w:val="5ED013E9"/>
    <w:rsid w:val="5F0437D4"/>
    <w:rsid w:val="5F563DE3"/>
    <w:rsid w:val="5FBE15F0"/>
    <w:rsid w:val="5FCE4878"/>
    <w:rsid w:val="5FFE39FF"/>
    <w:rsid w:val="60090E87"/>
    <w:rsid w:val="60721153"/>
    <w:rsid w:val="60AD2485"/>
    <w:rsid w:val="61154026"/>
    <w:rsid w:val="616855EF"/>
    <w:rsid w:val="61906C44"/>
    <w:rsid w:val="62B738DE"/>
    <w:rsid w:val="62C45871"/>
    <w:rsid w:val="62E269BE"/>
    <w:rsid w:val="63273FE2"/>
    <w:rsid w:val="633C4553"/>
    <w:rsid w:val="635E1DC8"/>
    <w:rsid w:val="637847A3"/>
    <w:rsid w:val="63AF35C2"/>
    <w:rsid w:val="63B306FF"/>
    <w:rsid w:val="63DB6CD0"/>
    <w:rsid w:val="63E30C56"/>
    <w:rsid w:val="63F8153B"/>
    <w:rsid w:val="641A1FE0"/>
    <w:rsid w:val="648A3DC7"/>
    <w:rsid w:val="64986500"/>
    <w:rsid w:val="64B91750"/>
    <w:rsid w:val="64E84C0B"/>
    <w:rsid w:val="666A2CEB"/>
    <w:rsid w:val="666C3C15"/>
    <w:rsid w:val="66B5037B"/>
    <w:rsid w:val="66BF71C4"/>
    <w:rsid w:val="676F0FA5"/>
    <w:rsid w:val="6790410F"/>
    <w:rsid w:val="67BF0790"/>
    <w:rsid w:val="680A63DF"/>
    <w:rsid w:val="683407E6"/>
    <w:rsid w:val="68A1291D"/>
    <w:rsid w:val="68B76BCA"/>
    <w:rsid w:val="68D12C7B"/>
    <w:rsid w:val="68EA387A"/>
    <w:rsid w:val="68FC3CE7"/>
    <w:rsid w:val="693646B5"/>
    <w:rsid w:val="69660EC1"/>
    <w:rsid w:val="69B721C8"/>
    <w:rsid w:val="69D35D2D"/>
    <w:rsid w:val="69D45F41"/>
    <w:rsid w:val="69DF6309"/>
    <w:rsid w:val="6A9B3230"/>
    <w:rsid w:val="6AB6350D"/>
    <w:rsid w:val="6B4E3F01"/>
    <w:rsid w:val="6BEE5365"/>
    <w:rsid w:val="6C311C1B"/>
    <w:rsid w:val="6C5F2CAF"/>
    <w:rsid w:val="6CEA3ABA"/>
    <w:rsid w:val="6D833919"/>
    <w:rsid w:val="6E0C603E"/>
    <w:rsid w:val="6E5720A4"/>
    <w:rsid w:val="6F100594"/>
    <w:rsid w:val="6F3E221D"/>
    <w:rsid w:val="6F4A519B"/>
    <w:rsid w:val="6F657C10"/>
    <w:rsid w:val="6FAF1154"/>
    <w:rsid w:val="6FB05B67"/>
    <w:rsid w:val="7003626C"/>
    <w:rsid w:val="70241AA7"/>
    <w:rsid w:val="705F3713"/>
    <w:rsid w:val="707E05FA"/>
    <w:rsid w:val="72C76B03"/>
    <w:rsid w:val="73041F38"/>
    <w:rsid w:val="73103D4F"/>
    <w:rsid w:val="73222030"/>
    <w:rsid w:val="73290958"/>
    <w:rsid w:val="73580236"/>
    <w:rsid w:val="738003D8"/>
    <w:rsid w:val="760E35F4"/>
    <w:rsid w:val="76552FDB"/>
    <w:rsid w:val="76B722F6"/>
    <w:rsid w:val="76E62152"/>
    <w:rsid w:val="76EC3085"/>
    <w:rsid w:val="77A46809"/>
    <w:rsid w:val="77EE4ADF"/>
    <w:rsid w:val="78B57F31"/>
    <w:rsid w:val="78B86B4F"/>
    <w:rsid w:val="78D02FBC"/>
    <w:rsid w:val="78ED11E9"/>
    <w:rsid w:val="79C42846"/>
    <w:rsid w:val="7A123434"/>
    <w:rsid w:val="7A5B26E7"/>
    <w:rsid w:val="7A610B9B"/>
    <w:rsid w:val="7A6275CC"/>
    <w:rsid w:val="7AB768AA"/>
    <w:rsid w:val="7AFA5663"/>
    <w:rsid w:val="7BF65A6C"/>
    <w:rsid w:val="7C686567"/>
    <w:rsid w:val="7C7C2E72"/>
    <w:rsid w:val="7CE0598F"/>
    <w:rsid w:val="7D0B1632"/>
    <w:rsid w:val="7DA37707"/>
    <w:rsid w:val="7DAB739D"/>
    <w:rsid w:val="7DE5123F"/>
    <w:rsid w:val="7E2327CC"/>
    <w:rsid w:val="7E565709"/>
    <w:rsid w:val="7E9D55BD"/>
    <w:rsid w:val="7EBB4BE7"/>
    <w:rsid w:val="7ED20D09"/>
    <w:rsid w:val="7EF316DC"/>
    <w:rsid w:val="7F6A4D24"/>
    <w:rsid w:val="7FB976B6"/>
    <w:rsid w:val="7FBF1496"/>
    <w:rsid w:val="7FDA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semiHidden/>
    <w:unhideWhenUsed/>
    <w:qFormat/>
    <w:uiPriority w:val="0"/>
    <w:pPr>
      <w:spacing w:beforeAutospacing="1" w:afterAutospacing="1"/>
      <w:jc w:val="left"/>
      <w:outlineLvl w:val="2"/>
    </w:pPr>
    <w:rPr>
      <w:rFonts w:hint="eastAsia"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Document Map"/>
    <w:basedOn w:val="1"/>
    <w:link w:val="18"/>
    <w:autoRedefine/>
    <w:qFormat/>
    <w:uiPriority w:val="0"/>
    <w:rPr>
      <w:rFonts w:ascii="宋体"/>
      <w:sz w:val="18"/>
      <w:szCs w:val="18"/>
    </w:rPr>
  </w:style>
  <w:style w:type="paragraph" w:styleId="4">
    <w:name w:val="Balloon Text"/>
    <w:basedOn w:val="1"/>
    <w:link w:val="17"/>
    <w:autoRedefine/>
    <w:qFormat/>
    <w:uiPriority w:val="0"/>
    <w:rPr>
      <w:sz w:val="18"/>
      <w:szCs w:val="18"/>
    </w:rPr>
  </w:style>
  <w:style w:type="paragraph" w:styleId="5">
    <w:name w:val="footer"/>
    <w:basedOn w:val="1"/>
    <w:link w:val="16"/>
    <w:autoRedefine/>
    <w:qFormat/>
    <w:uiPriority w:val="0"/>
    <w:pPr>
      <w:tabs>
        <w:tab w:val="center" w:pos="4153"/>
        <w:tab w:val="right" w:pos="8306"/>
      </w:tabs>
      <w:snapToGrid w:val="0"/>
      <w:jc w:val="left"/>
    </w:pPr>
    <w:rPr>
      <w:sz w:val="18"/>
      <w:szCs w:val="18"/>
    </w:rPr>
  </w:style>
  <w:style w:type="paragraph" w:styleId="6">
    <w:name w:val="header"/>
    <w:basedOn w:val="1"/>
    <w:link w:val="15"/>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autoRedefine/>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paragraph" w:styleId="12">
    <w:name w:val="List Paragraph"/>
    <w:basedOn w:val="1"/>
    <w:autoRedefine/>
    <w:qFormat/>
    <w:uiPriority w:val="34"/>
    <w:pPr>
      <w:ind w:firstLine="420" w:firstLineChars="200"/>
    </w:pPr>
    <w:rPr>
      <w:szCs w:val="22"/>
    </w:rPr>
  </w:style>
  <w:style w:type="paragraph" w:customStyle="1" w:styleId="13">
    <w:name w:val="标准文件_段"/>
    <w:link w:val="1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
    <w:name w:val="标准文件_段 Char"/>
    <w:link w:val="13"/>
    <w:autoRedefine/>
    <w:qFormat/>
    <w:uiPriority w:val="0"/>
    <w:rPr>
      <w:rFonts w:ascii="宋体"/>
      <w:sz w:val="21"/>
    </w:rPr>
  </w:style>
  <w:style w:type="character" w:customStyle="1" w:styleId="15">
    <w:name w:val="页眉 字符"/>
    <w:basedOn w:val="10"/>
    <w:link w:val="6"/>
    <w:autoRedefine/>
    <w:qFormat/>
    <w:uiPriority w:val="0"/>
    <w:rPr>
      <w:rFonts w:ascii="Times New Roman" w:hAnsi="Times New Roman"/>
      <w:kern w:val="2"/>
      <w:sz w:val="18"/>
      <w:szCs w:val="18"/>
    </w:rPr>
  </w:style>
  <w:style w:type="character" w:customStyle="1" w:styleId="16">
    <w:name w:val="页脚 字符"/>
    <w:basedOn w:val="10"/>
    <w:link w:val="5"/>
    <w:autoRedefine/>
    <w:qFormat/>
    <w:uiPriority w:val="0"/>
    <w:rPr>
      <w:rFonts w:ascii="Times New Roman" w:hAnsi="Times New Roman"/>
      <w:kern w:val="2"/>
      <w:sz w:val="18"/>
      <w:szCs w:val="18"/>
    </w:rPr>
  </w:style>
  <w:style w:type="character" w:customStyle="1" w:styleId="17">
    <w:name w:val="批注框文本 字符"/>
    <w:basedOn w:val="10"/>
    <w:link w:val="4"/>
    <w:autoRedefine/>
    <w:qFormat/>
    <w:uiPriority w:val="0"/>
    <w:rPr>
      <w:rFonts w:ascii="Times New Roman" w:hAnsi="Times New Roman"/>
      <w:kern w:val="2"/>
      <w:sz w:val="18"/>
      <w:szCs w:val="18"/>
    </w:rPr>
  </w:style>
  <w:style w:type="character" w:customStyle="1" w:styleId="18">
    <w:name w:val="文档结构图 字符"/>
    <w:basedOn w:val="10"/>
    <w:link w:val="3"/>
    <w:autoRedefine/>
    <w:qFormat/>
    <w:uiPriority w:val="0"/>
    <w:rPr>
      <w:rFonts w:ascii="宋体"/>
      <w:kern w:val="2"/>
      <w:sz w:val="18"/>
      <w:szCs w:val="18"/>
    </w:rPr>
  </w:style>
  <w:style w:type="paragraph" w:customStyle="1" w:styleId="19">
    <w:name w:val="标准文件_二级条标题"/>
    <w:next w:val="13"/>
    <w:autoRedefine/>
    <w:qFormat/>
    <w:uiPriority w:val="0"/>
    <w:pPr>
      <w:widowControl w:val="0"/>
      <w:numPr>
        <w:ilvl w:val="3"/>
        <w:numId w:val="1"/>
      </w:numPr>
      <w:spacing w:beforeLines="50" w:afterLines="50"/>
      <w:jc w:val="both"/>
      <w:outlineLvl w:val="2"/>
    </w:pPr>
    <w:rPr>
      <w:rFonts w:ascii="黑体" w:hAnsi="Times New Roman" w:eastAsia="黑体" w:cs="Times New Roman"/>
      <w:sz w:val="21"/>
      <w:lang w:val="en-US" w:eastAsia="zh-CN" w:bidi="ar-SA"/>
    </w:rPr>
  </w:style>
  <w:style w:type="paragraph" w:customStyle="1" w:styleId="20">
    <w:name w:val="标准文件_三级条标题"/>
    <w:basedOn w:val="19"/>
    <w:next w:val="13"/>
    <w:autoRedefine/>
    <w:qFormat/>
    <w:uiPriority w:val="0"/>
    <w:pPr>
      <w:widowControl/>
      <w:numPr>
        <w:ilvl w:val="4"/>
      </w:numPr>
      <w:outlineLvl w:val="3"/>
    </w:pPr>
  </w:style>
  <w:style w:type="paragraph" w:customStyle="1" w:styleId="21">
    <w:name w:val="标准文件_四级条标题"/>
    <w:next w:val="13"/>
    <w:autoRedefine/>
    <w:qFormat/>
    <w:uiPriority w:val="0"/>
    <w:pPr>
      <w:widowControl w:val="0"/>
      <w:numPr>
        <w:ilvl w:val="5"/>
        <w:numId w:val="1"/>
      </w:numPr>
      <w:spacing w:beforeLines="50" w:afterLines="50"/>
      <w:jc w:val="both"/>
      <w:outlineLvl w:val="4"/>
    </w:pPr>
    <w:rPr>
      <w:rFonts w:ascii="黑体" w:hAnsi="Times New Roman" w:eastAsia="黑体" w:cs="Times New Roman"/>
      <w:sz w:val="21"/>
      <w:lang w:val="en-US" w:eastAsia="zh-CN" w:bidi="ar-SA"/>
    </w:rPr>
  </w:style>
  <w:style w:type="paragraph" w:customStyle="1" w:styleId="22">
    <w:name w:val="标准文件_五级条标题"/>
    <w:next w:val="13"/>
    <w:autoRedefine/>
    <w:qFormat/>
    <w:uiPriority w:val="0"/>
    <w:pPr>
      <w:widowControl w:val="0"/>
      <w:numPr>
        <w:ilvl w:val="6"/>
        <w:numId w:val="1"/>
      </w:numPr>
      <w:spacing w:beforeLines="50" w:afterLines="50"/>
      <w:jc w:val="both"/>
      <w:outlineLvl w:val="5"/>
    </w:pPr>
    <w:rPr>
      <w:rFonts w:ascii="黑体" w:hAnsi="Times New Roman" w:eastAsia="黑体" w:cs="Times New Roman"/>
      <w:sz w:val="21"/>
      <w:lang w:val="en-US" w:eastAsia="zh-CN" w:bidi="ar-SA"/>
    </w:rPr>
  </w:style>
  <w:style w:type="paragraph" w:customStyle="1" w:styleId="23">
    <w:name w:val="标准文件_章标题"/>
    <w:next w:val="13"/>
    <w:autoRedefine/>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paragraph" w:customStyle="1" w:styleId="24">
    <w:name w:val="标准文件_一级条标题"/>
    <w:basedOn w:val="23"/>
    <w:next w:val="13"/>
    <w:autoRedefine/>
    <w:qFormat/>
    <w:uiPriority w:val="0"/>
    <w:pPr>
      <w:numPr>
        <w:ilvl w:val="2"/>
      </w:numPr>
      <w:spacing w:beforeLines="50" w:afterLines="50"/>
      <w:outlineLvl w:val="1"/>
    </w:pPr>
  </w:style>
  <w:style w:type="paragraph" w:customStyle="1" w:styleId="25">
    <w:name w:val="前言标题"/>
    <w:next w:val="1"/>
    <w:autoRedefine/>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6">
    <w:name w:val="标准文件_术语条一"/>
    <w:basedOn w:val="1"/>
    <w:next w:val="13"/>
    <w:autoRedefine/>
    <w:qFormat/>
    <w:uiPriority w:val="0"/>
    <w:pPr>
      <w:widowControl/>
      <w:numPr>
        <w:ilvl w:val="2"/>
        <w:numId w:val="2"/>
      </w:numPr>
    </w:pPr>
    <w:rPr>
      <w:rFonts w:ascii="宋体"/>
      <w:kern w:val="0"/>
      <w:szCs w:val="20"/>
    </w:rPr>
  </w:style>
  <w:style w:type="paragraph" w:customStyle="1" w:styleId="27">
    <w:name w:val="列项——（一级）"/>
    <w:autoRedefine/>
    <w:qFormat/>
    <w:uiPriority w:val="0"/>
    <w:pPr>
      <w:widowControl w:val="0"/>
      <w:numPr>
        <w:ilvl w:val="0"/>
        <w:numId w:val="3"/>
      </w:numPr>
      <w:jc w:val="both"/>
    </w:pPr>
    <w:rPr>
      <w:rFonts w:ascii="宋体" w:hAnsi="Times New Roman" w:eastAsia="宋体" w:cs="Times New Roman"/>
      <w:sz w:val="21"/>
      <w:lang w:val="en-US" w:eastAsia="zh-CN" w:bidi="ar-SA"/>
    </w:rPr>
  </w:style>
  <w:style w:type="character" w:customStyle="1" w:styleId="28">
    <w:name w:val="font21"/>
    <w:basedOn w:val="10"/>
    <w:autoRedefine/>
    <w:qFormat/>
    <w:uiPriority w:val="0"/>
    <w:rPr>
      <w:rFonts w:hint="eastAsia" w:ascii="等线" w:hAnsi="等线" w:eastAsia="等线"/>
      <w:color w:val="FF0000"/>
      <w:sz w:val="20"/>
      <w:szCs w:val="20"/>
      <w:u w:val="none"/>
    </w:rPr>
  </w:style>
  <w:style w:type="character" w:customStyle="1" w:styleId="29">
    <w:name w:val="font01"/>
    <w:basedOn w:val="10"/>
    <w:autoRedefine/>
    <w:qFormat/>
    <w:uiPriority w:val="0"/>
    <w:rPr>
      <w:rFonts w:hint="eastAsia" w:ascii="等线" w:hAnsi="等线" w:eastAsia="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89A769-1F83-43BB-9EA6-3E14933BBB2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1017</Words>
  <Characters>5802</Characters>
  <Lines>48</Lines>
  <Paragraphs>13</Paragraphs>
  <TotalTime>58</TotalTime>
  <ScaleCrop>false</ScaleCrop>
  <LinksUpToDate>false</LinksUpToDate>
  <CharactersWithSpaces>6806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2021-11-23T02:52:00Z</dcterms:created>
  <dc:creator>Administrator</dc:creator>
  <cp:lastModifiedBy>何嘉楠</cp:lastModifiedBy>
  <dcterms:modified xsi:type="dcterms:W3CDTF">2024-02-03T06:34:45Z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9E9A9BDCCD0F4BB4B780F1C67A16302C</vt:lpwstr>
  </property>
</Properties>
</file>