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rPr>
        <w:t>团体标准《</w:t>
      </w:r>
      <w:r>
        <w:rPr>
          <w:rFonts w:hint="eastAsia" w:ascii="方正小标宋简体" w:hAnsi="黑体" w:eastAsia="方正小标宋简体" w:cs="黑体"/>
          <w:bCs/>
          <w:color w:val="000000"/>
          <w:sz w:val="44"/>
          <w:szCs w:val="44"/>
          <w:lang w:eastAsia="zh-CN"/>
        </w:rPr>
        <w:t>广西复合六堡茶加工技术规程</w:t>
      </w:r>
      <w:r>
        <w:rPr>
          <w:rFonts w:hint="eastAsia" w:ascii="方正小标宋简体" w:hAnsi="黑体" w:eastAsia="方正小标宋简体" w:cs="黑体"/>
          <w:bCs/>
          <w:color w:val="000000"/>
          <w:sz w:val="44"/>
          <w:szCs w:val="44"/>
        </w:rPr>
        <w:t>》（</w:t>
      </w:r>
      <w:r>
        <w:rPr>
          <w:rFonts w:hint="eastAsia" w:ascii="方正小标宋简体" w:hAnsi="黑体" w:eastAsia="方正小标宋简体" w:cs="黑体"/>
          <w:bCs/>
          <w:color w:val="000000"/>
          <w:sz w:val="44"/>
          <w:szCs w:val="44"/>
          <w:lang w:val="en-US" w:eastAsia="zh-CN"/>
        </w:rPr>
        <w:t>征求意见稿</w:t>
      </w:r>
      <w:r>
        <w:rPr>
          <w:rFonts w:hint="eastAsia" w:ascii="方正小标宋简体" w:hAnsi="黑体" w:eastAsia="方正小标宋简体" w:cs="黑体"/>
          <w:bCs/>
          <w:color w:val="000000"/>
          <w:sz w:val="44"/>
          <w:szCs w:val="44"/>
        </w:rPr>
        <w:t>）编制说明</w:t>
      </w:r>
    </w:p>
    <w:p>
      <w:pPr>
        <w:spacing w:line="600" w:lineRule="exact"/>
        <w:jc w:val="center"/>
        <w:rPr>
          <w:rFonts w:ascii="方正小标宋简体" w:hAnsi="黑体" w:eastAsia="方正小标宋简体" w:cs="黑体"/>
          <w:bCs/>
          <w:color w:val="000000"/>
          <w:sz w:val="44"/>
          <w:szCs w:val="44"/>
        </w:rPr>
      </w:pP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w:t>
      </w:r>
      <w:r>
        <w:rPr>
          <w:rFonts w:hint="eastAsia" w:ascii="黑体" w:hAnsi="黑体" w:eastAsia="黑体" w:cs="仿宋_GB2312"/>
          <w:sz w:val="32"/>
          <w:szCs w:val="32"/>
        </w:rPr>
        <w:t>项目来源</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zh-CN"/>
        </w:rPr>
        <w:t>根据《广西茶业协会</w:t>
      </w:r>
      <w:r>
        <w:rPr>
          <w:rFonts w:hint="eastAsia" w:ascii="仿宋_GB2312" w:hAnsi="宋体" w:eastAsia="仿宋_GB2312"/>
          <w:sz w:val="32"/>
          <w:szCs w:val="32"/>
          <w:lang w:val="en-US" w:eastAsia="zh-CN"/>
        </w:rPr>
        <w:t>关于下达2023年第四批团体标准制修订项目计划的通知</w:t>
      </w:r>
      <w:r>
        <w:rPr>
          <w:rFonts w:hint="eastAsia" w:ascii="仿宋_GB2312" w:hAnsi="宋体" w:eastAsia="仿宋_GB2312"/>
          <w:sz w:val="32"/>
          <w:szCs w:val="32"/>
          <w:lang w:val="zh-CN"/>
        </w:rPr>
        <w:t>》（桂茶协字[</w:t>
      </w:r>
      <w:r>
        <w:rPr>
          <w:rFonts w:hint="eastAsia" w:ascii="仿宋_GB2312" w:hAnsi="宋体" w:eastAsia="仿宋_GB2312"/>
          <w:sz w:val="32"/>
          <w:szCs w:val="32"/>
          <w:lang w:val="en-US" w:eastAsia="zh-CN"/>
        </w:rPr>
        <w:t>2023</w:t>
      </w:r>
      <w:r>
        <w:rPr>
          <w:rFonts w:hint="eastAsia" w:ascii="仿宋_GB2312" w:hAnsi="宋体" w:eastAsia="仿宋_GB2312"/>
          <w:sz w:val="32"/>
          <w:szCs w:val="32"/>
          <w:lang w:val="zh-CN"/>
        </w:rPr>
        <w:t>]第</w:t>
      </w:r>
      <w:r>
        <w:rPr>
          <w:rFonts w:hint="eastAsia" w:ascii="仿宋_GB2312" w:hAnsi="宋体" w:eastAsia="仿宋_GB2312"/>
          <w:sz w:val="32"/>
          <w:szCs w:val="32"/>
          <w:lang w:val="en-US" w:eastAsia="zh-CN"/>
        </w:rPr>
        <w:t>42</w:t>
      </w:r>
      <w:r>
        <w:rPr>
          <w:rFonts w:hint="eastAsia" w:ascii="仿宋_GB2312" w:hAnsi="宋体" w:eastAsia="仿宋_GB2312"/>
          <w:sz w:val="32"/>
          <w:szCs w:val="32"/>
          <w:lang w:val="zh-CN"/>
        </w:rPr>
        <w:t>号）文件精神，由</w:t>
      </w:r>
      <w:r>
        <w:rPr>
          <w:rFonts w:hint="eastAsia" w:ascii="仿宋_GB2312" w:hAnsi="宋体" w:eastAsia="仿宋_GB2312"/>
          <w:sz w:val="32"/>
          <w:szCs w:val="32"/>
        </w:rPr>
        <w:t>百色市茶业发展中心</w:t>
      </w:r>
      <w:r>
        <w:rPr>
          <w:rFonts w:hint="eastAsia" w:ascii="仿宋_GB2312" w:hAnsi="宋体" w:eastAsia="仿宋_GB2312"/>
          <w:sz w:val="32"/>
          <w:szCs w:val="32"/>
          <w:lang w:val="zh-CN"/>
        </w:rPr>
        <w:t>提出，</w:t>
      </w:r>
      <w:r>
        <w:rPr>
          <w:rFonts w:hint="eastAsia" w:ascii="仿宋_GB2312" w:hAnsi="宋体" w:eastAsia="仿宋_GB2312"/>
          <w:sz w:val="32"/>
          <w:szCs w:val="32"/>
        </w:rPr>
        <w:t>百色市茶业发展中心、广西绿异茶树良种研究院、西林县茶叶发展服务中心、广西凌云县金字塔白毫茶业有限公司、广西正道茶业有限公司、广西龙云山茶业集团有限公司、广西艺苑农业科技有限公司、广西凌云一尖茶业有限公司、广西八桂凌云茶业有限公司、西林县农村投资有限公司、广西茶业协会、广西平果市古州茶业有限公司等</w:t>
      </w:r>
      <w:r>
        <w:rPr>
          <w:rFonts w:hint="eastAsia" w:ascii="仿宋_GB2312" w:hAnsi="宋体" w:eastAsia="仿宋_GB2312"/>
          <w:sz w:val="32"/>
          <w:szCs w:val="32"/>
          <w:lang w:val="en-US" w:eastAsia="zh-CN"/>
        </w:rPr>
        <w:t>单位</w:t>
      </w:r>
      <w:r>
        <w:rPr>
          <w:rFonts w:hint="eastAsia" w:ascii="仿宋_GB2312" w:hAnsi="宋体" w:eastAsia="仿宋_GB2312"/>
          <w:sz w:val="32"/>
          <w:szCs w:val="32"/>
          <w:lang w:val="zh-CN"/>
        </w:rPr>
        <w:t>共同起草的团体标准《</w:t>
      </w:r>
      <w:r>
        <w:rPr>
          <w:rFonts w:hint="eastAsia" w:ascii="仿宋_GB2312" w:hAnsi="宋体" w:eastAsia="仿宋_GB2312"/>
          <w:sz w:val="32"/>
          <w:szCs w:val="32"/>
          <w:lang w:eastAsia="zh-CN"/>
        </w:rPr>
        <w:t>广西复合六堡茶加工技术规程</w:t>
      </w:r>
      <w:r>
        <w:rPr>
          <w:rFonts w:hint="eastAsia" w:ascii="仿宋_GB2312" w:hAnsi="宋体" w:eastAsia="仿宋_GB2312"/>
          <w:sz w:val="32"/>
          <w:szCs w:val="32"/>
          <w:lang w:val="zh-CN"/>
        </w:rPr>
        <w:t>》。</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w:t>
      </w:r>
      <w:r>
        <w:rPr>
          <w:rFonts w:hint="eastAsia" w:ascii="黑体" w:hAnsi="黑体" w:eastAsia="黑体" w:cs="仿宋_GB2312"/>
          <w:sz w:val="32"/>
          <w:szCs w:val="32"/>
        </w:rPr>
        <w:t>项目背景及目的意义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堡茶属于黑茶类，作为历史悠久的广西名茶，因原产于广西苍梧县六堡镇而得名，以“红、浓、陈、醇”为显著的品质特色。发展至今，其产业已成为一二三产业有机融合的广西特色优势农业产业，促进广西六堡茶产业的高质量发展是推动广西乡村振兴与产业扶贫政策的重要把手。近年来，六堡茶产业发展迅速，其种植面积与品牌价值不断攀升。</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2020年，《广西壮族自治区人民政府办公厅关于促进广西茶产业高质量发展的若干意见》提出要提高茶叶加工水平，加快构建标准体系，完善六堡茶生产技术标准：“完善六堡茶生产加工、质量标准，明确生产销售六堡茶的要求和条件。支持使用现代工艺标准的六堡茶生产经营主体扩大产能及提高产品品质，鼓励使用传统工艺标准的六堡茶生产经营主体发展生产”。2022年1月，广西壮族自治区农业农村厅关于印发《加快推进广西六堡茶及特色优势茶产业高质量发展实施方案的通知》(桂农厅发〔2022〕13号)提出：“力争到2025年，全区茶园面积发展到300万亩左右，其中适制六堡茶茶园面积140万亩；一产产值200亿元，二产产值300亿元（其中，规上企业产值100亿元），三产产值500亿元，综合产值突破1000亿元，其中梧州六堡茶综合产值达到550亿元”的发展目标，提出实施标准体系和质量安全提升工程等措施，加强从茶园到茶杯的全产业链标准体系建设，形成国家标准、地方标准和行业标准以及团体标准全覆盖的茶业标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红茶加工工艺与传统黑茶加工工艺结合加工黑茶，丰富了茶叶加工理论，推动黑茶产业发展。成果的工艺技术、产品为国内外首创。利用红茶为原料在控温控湿条件下，加工黑茶，最佳堆温度45°C一50°C、湿度80%一90%、堆15天一20天，比传统工艺加工黑茶(六堡茶)握堆时间50一70天，缩短握堆时间 35一50 天。利用凌云白毫茶红茶为原料在控温控湿条件下，加工黑茶的工艺研究填补广西同类技术自主研究的空白。为凌云白毫茶品种的开发提供科技支撑。</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通过制定团体标准《广西复合六堡茶加工技术规程》，以标准为抓手，统一规范广西</w:t>
      </w:r>
      <w:r>
        <w:rPr>
          <w:rFonts w:hint="eastAsia" w:ascii="仿宋_GB2312" w:hAnsi="宋体" w:eastAsia="仿宋_GB2312"/>
          <w:sz w:val="32"/>
          <w:szCs w:val="32"/>
          <w:lang w:val="en-US" w:eastAsia="zh-CN"/>
        </w:rPr>
        <w:t>复合</w:t>
      </w:r>
      <w:r>
        <w:rPr>
          <w:rFonts w:hint="eastAsia" w:ascii="仿宋_GB2312" w:hAnsi="宋体" w:eastAsia="仿宋_GB2312"/>
          <w:sz w:val="32"/>
          <w:szCs w:val="32"/>
        </w:rPr>
        <w:t>六堡茶加工质量安要求，规范广西</w:t>
      </w:r>
      <w:r>
        <w:rPr>
          <w:rFonts w:hint="eastAsia" w:ascii="仿宋_GB2312" w:hAnsi="宋体" w:eastAsia="仿宋_GB2312"/>
          <w:sz w:val="32"/>
          <w:szCs w:val="32"/>
          <w:lang w:val="en-US" w:eastAsia="zh-CN"/>
        </w:rPr>
        <w:t>复合</w:t>
      </w:r>
      <w:r>
        <w:rPr>
          <w:rFonts w:hint="eastAsia" w:ascii="仿宋_GB2312" w:hAnsi="宋体" w:eastAsia="仿宋_GB2312"/>
          <w:sz w:val="32"/>
          <w:szCs w:val="32"/>
        </w:rPr>
        <w:t>六堡茶加工过程等内容，用标准化和规范化将更好的确保广西</w:t>
      </w:r>
      <w:r>
        <w:rPr>
          <w:rFonts w:hint="eastAsia" w:ascii="仿宋_GB2312" w:hAnsi="宋体" w:eastAsia="仿宋_GB2312"/>
          <w:sz w:val="32"/>
          <w:szCs w:val="32"/>
          <w:lang w:val="en-US" w:eastAsia="zh-CN"/>
        </w:rPr>
        <w:t>复合</w:t>
      </w:r>
      <w:r>
        <w:rPr>
          <w:rFonts w:hint="eastAsia" w:ascii="仿宋_GB2312" w:hAnsi="宋体" w:eastAsia="仿宋_GB2312"/>
          <w:sz w:val="32"/>
          <w:szCs w:val="32"/>
        </w:rPr>
        <w:t>六堡茶产品质量，对</w:t>
      </w:r>
      <w:r>
        <w:rPr>
          <w:rFonts w:hint="eastAsia" w:ascii="仿宋_GB2312" w:hAnsi="宋体" w:eastAsia="仿宋_GB2312"/>
          <w:sz w:val="32"/>
          <w:szCs w:val="32"/>
          <w:lang w:val="en-US" w:eastAsia="zh-CN"/>
        </w:rPr>
        <w:t>增加六堡茶产品品类，</w:t>
      </w:r>
      <w:r>
        <w:rPr>
          <w:rFonts w:hint="eastAsia" w:ascii="仿宋_GB2312" w:hAnsi="宋体" w:eastAsia="仿宋_GB2312"/>
          <w:sz w:val="32"/>
          <w:szCs w:val="32"/>
        </w:rPr>
        <w:t>持续提升广西六堡茶的加工质量安全，打造广西六堡茶区域品牌，推动广西六堡茶产业高质量发展，助力乡村振兴具有重要意义。</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三</w:t>
      </w:r>
      <w:r>
        <w:rPr>
          <w:rFonts w:ascii="黑体" w:hAnsi="黑体" w:eastAsia="黑体" w:cs="仿宋_GB2312"/>
          <w:sz w:val="32"/>
          <w:szCs w:val="32"/>
        </w:rPr>
        <w:t>、</w:t>
      </w:r>
      <w:r>
        <w:rPr>
          <w:rFonts w:hint="eastAsia" w:ascii="黑体" w:hAnsi="黑体" w:eastAsia="黑体" w:cs="仿宋_GB2312"/>
          <w:sz w:val="32"/>
          <w:szCs w:val="32"/>
        </w:rPr>
        <w:t>标准编制过程</w:t>
      </w:r>
    </w:p>
    <w:p>
      <w:pPr>
        <w:adjustRightInd w:val="0"/>
        <w:snapToGrid w:val="0"/>
        <w:spacing w:before="156" w:beforeLines="50" w:after="156" w:afterLines="50" w:line="560" w:lineRule="exact"/>
        <w:ind w:left="505"/>
        <w:rPr>
          <w:rFonts w:ascii="楷体" w:hAnsi="楷体" w:eastAsia="楷体" w:cs="黑体"/>
          <w:bCs/>
          <w:sz w:val="32"/>
          <w:szCs w:val="32"/>
        </w:rPr>
      </w:pPr>
      <w:r>
        <w:rPr>
          <w:rFonts w:hint="eastAsia" w:ascii="楷体" w:hAnsi="楷体" w:eastAsia="楷体" w:cs="仿宋_GB2312"/>
          <w:b/>
          <w:sz w:val="32"/>
          <w:szCs w:val="32"/>
        </w:rPr>
        <w:t>（一）成立标准编制工作组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团体标准《</w:t>
      </w:r>
      <w:r>
        <w:rPr>
          <w:rFonts w:hint="eastAsia" w:ascii="仿宋_GB2312" w:hAnsi="宋体" w:eastAsia="仿宋_GB2312"/>
          <w:sz w:val="32"/>
          <w:szCs w:val="32"/>
          <w:lang w:val="zh-CN"/>
        </w:rPr>
        <w:t>广西复合六堡茶加工技术规程</w:t>
      </w:r>
      <w:r>
        <w:rPr>
          <w:rFonts w:hint="eastAsia" w:ascii="仿宋_GB2312" w:hAnsi="宋体" w:eastAsia="仿宋_GB2312"/>
          <w:sz w:val="32"/>
          <w:szCs w:val="32"/>
        </w:rPr>
        <w:t>》项目任务下达后，由广西壮族自治区茶叶科学研究所组织成立了标准编制工作组，制定了标准编写方案，明确任务职责，确定工作技术路线，开展标准研制工作，具体标准编制工作由</w:t>
      </w:r>
      <w:r>
        <w:rPr>
          <w:rFonts w:hint="eastAsia" w:ascii="仿宋_GB2312" w:hAnsi="宋体" w:eastAsia="仿宋_GB2312"/>
          <w:sz w:val="32"/>
          <w:szCs w:val="32"/>
          <w:lang w:eastAsia="zh-CN"/>
        </w:rPr>
        <w:t>广西壮族自治区茶叶科学研究所、广西八桂凌云茶业有限公司、广西广茗投资有限公司、广西梧州芙叶茶叶股份有限公司等</w:t>
      </w:r>
      <w:r>
        <w:rPr>
          <w:rFonts w:hint="eastAsia" w:ascii="仿宋_GB2312" w:hAnsi="宋体" w:eastAsia="仿宋_GB2312"/>
          <w:sz w:val="32"/>
          <w:szCs w:val="32"/>
          <w:lang w:val="en-US" w:eastAsia="zh-CN"/>
        </w:rPr>
        <w:t>单位</w:t>
      </w:r>
      <w:r>
        <w:rPr>
          <w:rFonts w:hint="eastAsia" w:ascii="仿宋_GB2312" w:hAnsi="宋体" w:eastAsia="仿宋_GB2312"/>
          <w:sz w:val="32"/>
          <w:szCs w:val="32"/>
        </w:rPr>
        <w:t>相关人员配合。</w:t>
      </w:r>
    </w:p>
    <w:p>
      <w:pPr>
        <w:spacing w:before="156" w:beforeLines="50" w:after="156" w:afterLines="50"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（二）收集整理文献资料</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标准编制工作组收集了</w:t>
      </w:r>
      <w:r>
        <w:rPr>
          <w:rFonts w:hint="eastAsia" w:ascii="仿宋_GB2312" w:hAnsi="宋体" w:eastAsia="仿宋_GB2312"/>
          <w:sz w:val="32"/>
          <w:szCs w:val="32"/>
          <w:lang w:val="en-US" w:eastAsia="zh-CN"/>
        </w:rPr>
        <w:t>与</w:t>
      </w:r>
      <w:r>
        <w:rPr>
          <w:rFonts w:hint="eastAsia" w:ascii="仿宋_GB2312" w:hAnsi="宋体" w:eastAsia="仿宋_GB2312"/>
          <w:sz w:val="32"/>
          <w:szCs w:val="32"/>
        </w:rPr>
        <w:t>国内六堡茶</w:t>
      </w:r>
      <w:r>
        <w:rPr>
          <w:rFonts w:hint="eastAsia" w:ascii="仿宋_GB2312" w:hAnsi="宋体" w:eastAsia="仿宋_GB2312"/>
          <w:sz w:val="32"/>
          <w:szCs w:val="32"/>
          <w:lang w:val="en-US" w:eastAsia="zh-CN"/>
        </w:rPr>
        <w:t>加工</w:t>
      </w:r>
      <w:r>
        <w:rPr>
          <w:rFonts w:hint="eastAsia" w:ascii="仿宋_GB2312" w:hAnsi="宋体" w:eastAsia="仿宋_GB2312"/>
          <w:sz w:val="32"/>
          <w:szCs w:val="32"/>
        </w:rPr>
        <w:t>相关文献资料。主要有：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GB/T 32719.1-2016《黑茶  第1部分：基本要求》</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GB/T 32719.4-2016《黑茶  第4部分：六堡茶》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GB 14881</w:t>
      </w:r>
      <w:r>
        <w:rPr>
          <w:rFonts w:hint="eastAsia" w:ascii="仿宋_GB2312" w:hAnsi="宋体" w:eastAsia="仿宋_GB2312"/>
          <w:sz w:val="32"/>
          <w:szCs w:val="32"/>
          <w:lang w:eastAsia="zh-CN"/>
        </w:rPr>
        <w:t>《</w:t>
      </w:r>
      <w:r>
        <w:rPr>
          <w:rFonts w:hint="eastAsia" w:ascii="仿宋_GB2312" w:hAnsi="宋体" w:eastAsia="仿宋_GB2312"/>
          <w:sz w:val="32"/>
          <w:szCs w:val="32"/>
        </w:rPr>
        <w:t>食品安全国家标准  食品生产通用卫生规范</w:t>
      </w:r>
      <w:r>
        <w:rPr>
          <w:rFonts w:hint="eastAsia" w:ascii="仿宋_GB2312" w:hAnsi="宋体" w:eastAsia="仿宋_GB2312"/>
          <w:sz w:val="32"/>
          <w:szCs w:val="32"/>
          <w:lang w:eastAsia="zh-CN"/>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DBS45/ 057-2018《食品安全地方标准  六堡茶（传统工艺）》</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2073-2019《六堡茶仓储基本要求》</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2071-2019《六堡茶初制场地环境条件》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1648-2017《六堡茶包装标识与运输贮存技术规范》</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DB45/T 479</w:t>
      </w:r>
      <w:r>
        <w:rPr>
          <w:rFonts w:hint="eastAsia" w:ascii="仿宋_GB2312" w:hAnsi="宋体" w:eastAsia="仿宋_GB2312"/>
          <w:sz w:val="32"/>
          <w:szCs w:val="32"/>
          <w:lang w:eastAsia="zh-CN"/>
        </w:rPr>
        <w:t>《</w:t>
      </w:r>
      <w:r>
        <w:rPr>
          <w:rFonts w:hint="eastAsia" w:ascii="仿宋_GB2312" w:hAnsi="宋体" w:eastAsia="仿宋_GB2312"/>
          <w:sz w:val="32"/>
          <w:szCs w:val="32"/>
        </w:rPr>
        <w:t>六堡茶加工技术规程</w:t>
      </w:r>
      <w:r>
        <w:rPr>
          <w:rFonts w:hint="eastAsia" w:ascii="仿宋_GB2312" w:hAnsi="宋体" w:eastAsia="仿宋_GB2312"/>
          <w:sz w:val="32"/>
          <w:szCs w:val="32"/>
          <w:lang w:eastAsia="zh-CN"/>
        </w:rPr>
        <w:t>》</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GB/T 23776《茶叶感官审评方法》</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1291-2016《六堡茶加工与感官审评术语》</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T/GXAS 116-2020《广西优质六堡茶》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T/WZCR 001-2023《金花六堡茶加工技术规程》</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T/CGAPA 017-2023《六堡茶陈化工艺技术规程》</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T/GXAS 310-2022《地理标志农产品广西六堡茶加工技术规程》</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T/LPTRA 1.7-2018《茶船古道  六堡茶 第7部分：加工技术规程》</w:t>
      </w:r>
    </w:p>
    <w:p>
      <w:pPr>
        <w:spacing w:before="156" w:beforeLines="50" w:after="156" w:afterLines="50"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（三）研讨确定标准主体内容</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标准编制工作组在对收集的资料进行整理研究之后，召开了标准编制会议，对标准的整体框架结构进行了研究，并对标准的关键性</w:t>
      </w:r>
      <w:r>
        <w:rPr>
          <w:rFonts w:hint="eastAsia" w:ascii="仿宋_GB2312" w:hAnsi="宋体" w:eastAsia="仿宋_GB2312"/>
          <w:color w:val="auto"/>
          <w:sz w:val="32"/>
          <w:szCs w:val="32"/>
        </w:rPr>
        <w:t>内容进行了初步探讨。经过研究，标准的主体内容确定为术语和定义</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加工过程要求、设备及工具要求、原料要求、加工用水、加工工艺、包装与贮存</w:t>
      </w:r>
      <w:r>
        <w:rPr>
          <w:rFonts w:hint="eastAsia" w:ascii="仿宋_GB2312" w:hAnsi="宋体" w:eastAsia="仿宋_GB2312"/>
          <w:color w:val="auto"/>
          <w:sz w:val="32"/>
          <w:szCs w:val="32"/>
        </w:rPr>
        <w:t>。</w:t>
      </w:r>
    </w:p>
    <w:p>
      <w:pPr>
        <w:spacing w:before="156" w:beforeLines="50" w:after="156" w:afterLines="50" w:line="560" w:lineRule="exact"/>
        <w:ind w:firstLine="643" w:firstLineChars="200"/>
        <w:rPr>
          <w:rFonts w:hint="default" w:ascii="楷体" w:hAnsi="楷体" w:eastAsia="楷体" w:cs="仿宋_GB2312"/>
          <w:b/>
          <w:color w:val="auto"/>
          <w:sz w:val="32"/>
          <w:szCs w:val="32"/>
          <w:lang w:val="en-US" w:eastAsia="zh-CN"/>
        </w:rPr>
      </w:pPr>
      <w:r>
        <w:rPr>
          <w:rFonts w:hint="eastAsia" w:ascii="楷体" w:hAnsi="楷体" w:eastAsia="楷体" w:cs="仿宋_GB2312"/>
          <w:b/>
          <w:color w:val="auto"/>
          <w:sz w:val="32"/>
          <w:szCs w:val="32"/>
        </w:rPr>
        <w:t>（四）调研、形成文本草案、征求意见稿</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1月</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2023年11月</w:t>
      </w:r>
      <w:r>
        <w:rPr>
          <w:rFonts w:hint="eastAsia" w:ascii="仿宋_GB2312" w:hAnsi="宋体" w:eastAsia="仿宋_GB2312"/>
          <w:sz w:val="32"/>
          <w:szCs w:val="32"/>
        </w:rPr>
        <w:t>，标准起草工作小组进行了广泛实地调研工作，查阅了大量的国内外文献资料，对</w:t>
      </w:r>
      <w:r>
        <w:rPr>
          <w:rFonts w:hint="eastAsia" w:ascii="仿宋_GB2312" w:hAnsi="宋体" w:eastAsia="仿宋_GB2312"/>
          <w:sz w:val="32"/>
          <w:szCs w:val="32"/>
          <w:lang w:val="en-US" w:eastAsia="zh-CN"/>
        </w:rPr>
        <w:t>复合六堡茶加工制作方法</w:t>
      </w:r>
      <w:r>
        <w:rPr>
          <w:rFonts w:hint="eastAsia" w:ascii="仿宋_GB2312" w:hAnsi="宋体" w:eastAsia="仿宋_GB2312"/>
          <w:sz w:val="32"/>
          <w:szCs w:val="32"/>
        </w:rPr>
        <w:t>进行系统总结。经编制组反复讨论，形成了标准的基本构架，对主要内容进行了讨论并对项目的工作进行了部署和安排。</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sz w:val="32"/>
          <w:szCs w:val="32"/>
        </w:rPr>
        <w:t>20</w:t>
      </w: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月，在前期工作的基础之上，通过理清逻辑脉络，整合已有的参考资料中有关</w:t>
      </w:r>
      <w:r>
        <w:rPr>
          <w:rFonts w:hint="eastAsia" w:ascii="仿宋_GB2312" w:hAnsi="宋体" w:eastAsia="仿宋_GB2312"/>
          <w:color w:val="auto"/>
          <w:sz w:val="32"/>
          <w:szCs w:val="32"/>
          <w:lang w:val="en-US" w:eastAsia="zh-CN"/>
        </w:rPr>
        <w:t>黑茶加工、六堡茶加工等方面的</w:t>
      </w:r>
      <w:r>
        <w:rPr>
          <w:rFonts w:hint="eastAsia" w:ascii="仿宋_GB2312" w:hAnsi="宋体" w:eastAsia="仿宋_GB2312"/>
          <w:color w:val="auto"/>
          <w:sz w:val="32"/>
          <w:szCs w:val="32"/>
        </w:rPr>
        <w:t>资料，并结合区内</w:t>
      </w:r>
      <w:r>
        <w:rPr>
          <w:rFonts w:hint="eastAsia" w:ascii="仿宋_GB2312" w:hAnsi="宋体" w:eastAsia="仿宋_GB2312"/>
          <w:color w:val="auto"/>
          <w:sz w:val="32"/>
          <w:szCs w:val="32"/>
          <w:lang w:val="en-US" w:eastAsia="zh-CN"/>
        </w:rPr>
        <w:t>茶树品种、常规工艺、口味要求、品质要求</w:t>
      </w:r>
      <w:r>
        <w:rPr>
          <w:rFonts w:hint="eastAsia" w:ascii="仿宋_GB2312" w:hAnsi="宋体" w:eastAsia="仿宋_GB2312"/>
          <w:color w:val="auto"/>
          <w:sz w:val="32"/>
          <w:szCs w:val="32"/>
        </w:rPr>
        <w:t>的基础上，按照简化、统一等原则编制完成团体标准《</w:t>
      </w:r>
      <w:r>
        <w:rPr>
          <w:rFonts w:hint="eastAsia" w:ascii="仿宋_GB2312" w:hAnsi="宋体" w:eastAsia="仿宋_GB2312"/>
          <w:color w:val="auto"/>
          <w:sz w:val="32"/>
          <w:szCs w:val="32"/>
          <w:lang w:eastAsia="zh-CN"/>
        </w:rPr>
        <w:t>广西复合六堡茶加工技术规程</w:t>
      </w:r>
      <w:r>
        <w:rPr>
          <w:rFonts w:hint="eastAsia" w:ascii="仿宋_GB2312" w:hAnsi="宋体" w:eastAsia="仿宋_GB2312"/>
          <w:color w:val="auto"/>
          <w:sz w:val="32"/>
          <w:szCs w:val="32"/>
        </w:rPr>
        <w:t>》（草案）。</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-2024年2月</w:t>
      </w:r>
      <w:r>
        <w:rPr>
          <w:rFonts w:hint="eastAsia" w:ascii="仿宋_GB2312" w:hAnsi="宋体" w:eastAsia="仿宋_GB2312"/>
          <w:color w:val="auto"/>
          <w:sz w:val="32"/>
          <w:szCs w:val="32"/>
        </w:rPr>
        <w:t>，深入</w:t>
      </w:r>
      <w:r>
        <w:rPr>
          <w:rFonts w:hint="eastAsia" w:ascii="仿宋_GB2312" w:hAnsi="宋体" w:eastAsia="仿宋_GB2312"/>
          <w:color w:val="auto"/>
          <w:sz w:val="32"/>
          <w:szCs w:val="32"/>
          <w:lang w:val="en-US" w:eastAsia="zh-CN"/>
        </w:rPr>
        <w:t>六堡茶加工企业</w:t>
      </w:r>
      <w:r>
        <w:rPr>
          <w:rFonts w:hint="eastAsia" w:ascii="仿宋_GB2312" w:hAnsi="宋体" w:eastAsia="仿宋_GB2312"/>
          <w:color w:val="auto"/>
          <w:sz w:val="32"/>
          <w:szCs w:val="32"/>
          <w:lang w:val="zh-CN"/>
        </w:rPr>
        <w:t>及</w:t>
      </w:r>
      <w:r>
        <w:rPr>
          <w:rFonts w:hint="eastAsia" w:ascii="仿宋_GB2312" w:hAnsi="宋体" w:eastAsia="仿宋_GB2312"/>
          <w:color w:val="auto"/>
          <w:sz w:val="32"/>
          <w:szCs w:val="32"/>
          <w:lang w:val="en-US" w:eastAsia="zh-CN"/>
        </w:rPr>
        <w:t>科研院所</w:t>
      </w:r>
      <w:r>
        <w:rPr>
          <w:rFonts w:hint="eastAsia" w:ascii="仿宋_GB2312" w:hAnsi="宋体" w:eastAsia="仿宋_GB2312"/>
          <w:color w:val="auto"/>
          <w:sz w:val="32"/>
          <w:szCs w:val="32"/>
          <w:lang w:val="zh-CN"/>
        </w:rPr>
        <w:t>，针对红茶“发酵”及黑茶“涩堆”机理和特点，进行加工工艺的创新研究，将红茶加工工艺与黑茶加工工艺有机结合，创制出凌云黑茶的新茶类、新产品</w:t>
      </w:r>
      <w:r>
        <w:rPr>
          <w:rFonts w:hint="eastAsia" w:ascii="仿宋_GB2312" w:hAnsi="宋体" w:eastAsia="仿宋_GB2312"/>
          <w:color w:val="auto"/>
          <w:sz w:val="32"/>
          <w:szCs w:val="32"/>
        </w:rPr>
        <w:t>。标准编制工作组多次召开会议，对标准草案进行了反复修改和研究讨论，最终形成了团体标准《</w:t>
      </w:r>
      <w:r>
        <w:rPr>
          <w:rFonts w:hint="eastAsia" w:ascii="仿宋_GB2312" w:hAnsi="宋体" w:eastAsia="仿宋_GB2312"/>
          <w:color w:val="auto"/>
          <w:sz w:val="32"/>
          <w:szCs w:val="32"/>
          <w:lang w:eastAsia="zh-CN"/>
        </w:rPr>
        <w:t>广西复合六堡茶加工技术规程</w:t>
      </w:r>
      <w:r>
        <w:rPr>
          <w:rFonts w:hint="eastAsia" w:ascii="仿宋_GB2312" w:hAnsi="宋体" w:eastAsia="仿宋_GB2312"/>
          <w:color w:val="auto"/>
          <w:sz w:val="32"/>
          <w:szCs w:val="32"/>
        </w:rPr>
        <w:t>》（征求意见稿）和（征求意见稿）编制说明。</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auto"/>
          <w:sz w:val="32"/>
          <w:szCs w:val="32"/>
          <w:highlight w:val="none"/>
        </w:rPr>
      </w:pPr>
      <w:bookmarkStart w:id="0" w:name="_Toc526940083"/>
      <w:r>
        <w:rPr>
          <w:rFonts w:hint="eastAsia" w:ascii="黑体" w:hAnsi="黑体" w:eastAsia="黑体" w:cs="仿宋_GB2312"/>
          <w:color w:val="auto"/>
          <w:sz w:val="32"/>
          <w:szCs w:val="32"/>
          <w:highlight w:val="none"/>
        </w:rPr>
        <w:t>四、标准制定原则</w:t>
      </w:r>
      <w:bookmarkEnd w:id="0"/>
    </w:p>
    <w:p>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（一）实用性原则</w:t>
      </w:r>
    </w:p>
    <w:p>
      <w:pPr>
        <w:spacing w:line="56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本标准是在充分收集相关资料和文献，分析区内</w:t>
      </w:r>
      <w:r>
        <w:rPr>
          <w:rFonts w:hint="eastAsia" w:ascii="仿宋_GB2312" w:hAnsi="宋体" w:eastAsia="仿宋_GB2312"/>
          <w:color w:val="auto"/>
          <w:sz w:val="32"/>
          <w:szCs w:val="32"/>
          <w:lang w:val="en-US" w:eastAsia="zh-CN"/>
        </w:rPr>
        <w:t>六堡茶加工机销售的</w:t>
      </w:r>
      <w:r>
        <w:rPr>
          <w:rFonts w:hint="eastAsia" w:ascii="仿宋_GB2312" w:hAnsi="宋体" w:eastAsia="仿宋_GB2312"/>
          <w:color w:val="auto"/>
          <w:sz w:val="32"/>
          <w:szCs w:val="32"/>
        </w:rPr>
        <w:t>综合评价</w:t>
      </w:r>
      <w:r>
        <w:rPr>
          <w:rFonts w:hint="eastAsia" w:ascii="仿宋_GB2312" w:hAnsi="宋体" w:eastAsia="仿宋_GB2312"/>
          <w:color w:val="auto"/>
          <w:sz w:val="32"/>
          <w:szCs w:val="32"/>
          <w:lang w:val="zh-CN"/>
        </w:rPr>
        <w:t>现状，在现有国家、行业标准、</w:t>
      </w:r>
      <w:r>
        <w:rPr>
          <w:rFonts w:hint="eastAsia" w:ascii="仿宋_GB2312" w:hAnsi="宋体" w:eastAsia="仿宋_GB2312"/>
          <w:color w:val="auto"/>
          <w:sz w:val="32"/>
          <w:szCs w:val="32"/>
          <w:lang w:val="en-US" w:eastAsia="zh-CN"/>
        </w:rPr>
        <w:t>地方标准</w:t>
      </w:r>
      <w:r>
        <w:rPr>
          <w:rFonts w:hint="eastAsia" w:ascii="仿宋_GB2312" w:hAnsi="宋体" w:eastAsia="仿宋_GB2312"/>
          <w:color w:val="auto"/>
          <w:sz w:val="32"/>
          <w:szCs w:val="32"/>
          <w:lang w:val="zh-CN"/>
        </w:rPr>
        <w:t>相关</w:t>
      </w:r>
      <w:r>
        <w:rPr>
          <w:rFonts w:hint="eastAsia" w:ascii="仿宋_GB2312" w:hAnsi="宋体" w:eastAsia="仿宋_GB2312"/>
          <w:color w:val="auto"/>
          <w:sz w:val="32"/>
          <w:szCs w:val="32"/>
          <w:lang w:val="en-US" w:eastAsia="zh-CN"/>
        </w:rPr>
        <w:t>六堡茶质量要求</w:t>
      </w:r>
      <w:r>
        <w:rPr>
          <w:rFonts w:hint="eastAsia" w:ascii="仿宋_GB2312" w:hAnsi="宋体" w:eastAsia="仿宋_GB2312"/>
          <w:color w:val="auto"/>
          <w:sz w:val="32"/>
          <w:szCs w:val="32"/>
          <w:lang w:val="zh-CN"/>
        </w:rPr>
        <w:t>的基础上，结合多年经验而总结起草的。符合当前</w:t>
      </w:r>
      <w:r>
        <w:rPr>
          <w:rFonts w:hint="eastAsia" w:ascii="仿宋_GB2312" w:hAnsi="宋体" w:eastAsia="仿宋_GB2312"/>
          <w:color w:val="auto"/>
          <w:sz w:val="32"/>
          <w:szCs w:val="32"/>
          <w:lang w:val="en-US" w:eastAsia="zh-CN"/>
        </w:rPr>
        <w:t>广西六堡茶发展</w:t>
      </w:r>
      <w:r>
        <w:rPr>
          <w:rFonts w:hint="eastAsia" w:ascii="仿宋_GB2312" w:hAnsi="宋体" w:eastAsia="仿宋_GB2312"/>
          <w:color w:val="auto"/>
          <w:sz w:val="32"/>
          <w:szCs w:val="32"/>
          <w:lang w:val="zh-CN"/>
        </w:rPr>
        <w:t>的要求，有利于行业的长远发展，具有较强的实用性和可操作性。</w:t>
      </w:r>
    </w:p>
    <w:p>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（二）协调性原则</w:t>
      </w:r>
    </w:p>
    <w:p>
      <w:pPr>
        <w:spacing w:line="56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本标准编写过程中注意了</w:t>
      </w:r>
      <w:r>
        <w:rPr>
          <w:rFonts w:hint="eastAsia" w:ascii="仿宋_GB2312" w:hAnsi="宋体" w:eastAsia="仿宋_GB2312"/>
          <w:color w:val="auto"/>
          <w:sz w:val="32"/>
          <w:szCs w:val="32"/>
          <w:lang w:val="en-US" w:eastAsia="zh-CN"/>
        </w:rPr>
        <w:t>复合六堡茶质量要求的</w:t>
      </w:r>
      <w:r>
        <w:rPr>
          <w:rFonts w:hint="eastAsia" w:ascii="仿宋_GB2312" w:hAnsi="宋体" w:eastAsia="仿宋_GB2312"/>
          <w:color w:val="auto"/>
          <w:sz w:val="32"/>
          <w:szCs w:val="32"/>
          <w:lang w:val="zh-CN"/>
        </w:rPr>
        <w:t>技术要求与相关法律法规的协调问题，在内容上与现行法律法规、标准协调一致。</w:t>
      </w:r>
    </w:p>
    <w:p>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（三）规范性原则</w:t>
      </w:r>
    </w:p>
    <w:p>
      <w:pPr>
        <w:spacing w:line="56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本标准严格按照GB/T 1.1—2020《标准化工作导则 第1部分：标准的结构和编写》的要求和规定编写相关内容，保证标准的编写质量。</w:t>
      </w:r>
    </w:p>
    <w:p>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（四）前瞻性原则</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本标准兼顾当前</w:t>
      </w:r>
      <w:r>
        <w:rPr>
          <w:rFonts w:hint="eastAsia" w:ascii="仿宋_GB2312" w:hAnsi="宋体" w:eastAsia="仿宋_GB2312"/>
          <w:color w:val="auto"/>
          <w:sz w:val="32"/>
          <w:szCs w:val="32"/>
          <w:lang w:val="en-US" w:eastAsia="zh-CN"/>
        </w:rPr>
        <w:t>六堡茶产品质量的</w:t>
      </w:r>
      <w:r>
        <w:rPr>
          <w:rFonts w:hint="eastAsia" w:ascii="仿宋_GB2312" w:hAnsi="宋体" w:eastAsia="仿宋_GB2312"/>
          <w:color w:val="auto"/>
          <w:sz w:val="32"/>
          <w:szCs w:val="32"/>
        </w:rPr>
        <w:t>同时，还考虑到推动广西特色产品向品牌化、品质化、规模化发展的趋势和需求，在标准中体现了个别特色性、前瞻性和先进性条款，作为对</w:t>
      </w:r>
      <w:r>
        <w:rPr>
          <w:rFonts w:hint="eastAsia" w:ascii="仿宋_GB2312" w:hAnsi="宋体" w:eastAsia="仿宋_GB2312"/>
          <w:color w:val="auto"/>
          <w:sz w:val="32"/>
          <w:szCs w:val="32"/>
          <w:lang w:val="en-US" w:eastAsia="zh-CN"/>
        </w:rPr>
        <w:t>广西复合六堡茶质量</w:t>
      </w:r>
      <w:r>
        <w:rPr>
          <w:rFonts w:hint="eastAsia" w:ascii="仿宋_GB2312" w:hAnsi="宋体" w:eastAsia="仿宋_GB2312"/>
          <w:color w:val="auto"/>
          <w:sz w:val="32"/>
          <w:szCs w:val="32"/>
        </w:rPr>
        <w:t>的指导。</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五</w:t>
      </w:r>
      <w:r>
        <w:rPr>
          <w:rFonts w:ascii="黑体" w:hAnsi="黑体" w:eastAsia="黑体" w:cs="仿宋_GB2312"/>
          <w:color w:val="auto"/>
          <w:sz w:val="32"/>
          <w:szCs w:val="32"/>
          <w:highlight w:val="none"/>
        </w:rPr>
        <w:t>、</w:t>
      </w:r>
      <w:r>
        <w:rPr>
          <w:rFonts w:hint="eastAsia" w:ascii="黑体" w:hAnsi="黑体" w:eastAsia="黑体" w:cs="仿宋_GB2312"/>
          <w:color w:val="auto"/>
          <w:sz w:val="32"/>
          <w:szCs w:val="32"/>
          <w:highlight w:val="none"/>
        </w:rPr>
        <w:t>标准主要章节内容及确定依据</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zh-CN"/>
        </w:rPr>
        <w:t>团体标准《广西复合六堡茶加工技术规程》主要内容包括</w:t>
      </w:r>
      <w:r>
        <w:rPr>
          <w:rFonts w:hint="eastAsia" w:ascii="仿宋_GB2312" w:hAnsi="宋体" w:eastAsia="仿宋_GB2312"/>
          <w:color w:val="auto"/>
          <w:sz w:val="32"/>
          <w:szCs w:val="32"/>
        </w:rPr>
        <w:t>术语和定义、加工过程卫生、设备及工具、原料、加工用水</w:t>
      </w:r>
      <w:r>
        <w:rPr>
          <w:rFonts w:hint="eastAsia" w:ascii="仿宋_GB2312" w:hAnsi="宋体" w:eastAsia="仿宋_GB2312"/>
          <w:color w:val="auto"/>
          <w:sz w:val="32"/>
          <w:szCs w:val="32"/>
          <w:lang w:eastAsia="zh-CN"/>
        </w:rPr>
        <w:t>、初制加工工艺、精制加工工艺。</w:t>
      </w:r>
      <w:r>
        <w:rPr>
          <w:rFonts w:hint="eastAsia" w:ascii="仿宋_GB2312" w:hAnsi="宋体" w:eastAsia="仿宋_GB2312"/>
          <w:color w:val="auto"/>
          <w:sz w:val="32"/>
          <w:szCs w:val="32"/>
        </w:rPr>
        <w:t>本标准加工技术跳出传统六大茶类加工工艺模式，利用红茶“发酵”及黑茶“涩堆”机理和特点，进行加工工艺的创新研究，将红茶加工工艺与黑茶加工工艺有机结合，创制出凌云黑茶的新茶类、新产品，提高凌云白毫茶综合效益，促进凌云白毫茶发展，也为我国茶类的创新发展提供技术支撑。</w:t>
      </w:r>
    </w:p>
    <w:p>
      <w:pPr>
        <w:numPr>
          <w:ilvl w:val="0"/>
          <w:numId w:val="4"/>
        </w:num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术语</w:t>
      </w:r>
      <w:r>
        <w:rPr>
          <w:rFonts w:ascii="楷体" w:hAnsi="楷体" w:eastAsia="楷体"/>
          <w:b/>
          <w:color w:val="auto"/>
          <w:sz w:val="32"/>
          <w:szCs w:val="32"/>
        </w:rPr>
        <w:t>和定义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复合六堡茶</w:t>
      </w:r>
      <w:r>
        <w:rPr>
          <w:rFonts w:hint="eastAsia" w:ascii="仿宋_GB2312" w:hAnsi="宋体" w:eastAsia="仿宋_GB2312"/>
          <w:color w:val="auto"/>
          <w:sz w:val="32"/>
          <w:szCs w:val="32"/>
          <w:lang w:val="en-US" w:eastAsia="zh-CN"/>
        </w:rPr>
        <w:t>：</w:t>
      </w:r>
      <w:r>
        <w:rPr>
          <w:rFonts w:hint="default" w:ascii="仿宋_GB2312" w:hAnsi="宋体" w:eastAsia="仿宋_GB2312"/>
          <w:color w:val="auto"/>
          <w:sz w:val="32"/>
          <w:szCs w:val="32"/>
          <w:lang w:val="en-US" w:eastAsia="zh-CN"/>
        </w:rPr>
        <w:t>采用红茶轻发酵工艺将不同的茶树品种原料加工成六堡毛茶后经拼配再渥堆发酵成六堡茶的成品。</w:t>
      </w:r>
    </w:p>
    <w:p>
      <w:pPr>
        <w:numPr>
          <w:ilvl w:val="0"/>
          <w:numId w:val="4"/>
        </w:num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lang w:val="en-US" w:eastAsia="zh-CN"/>
        </w:rPr>
        <w:t>加工过程卫生要求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应符合GB 14881的相关规定。</w:t>
      </w:r>
    </w:p>
    <w:p>
      <w:pPr>
        <w:numPr>
          <w:ilvl w:val="0"/>
          <w:numId w:val="4"/>
        </w:num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lang w:val="en-US" w:eastAsia="zh-CN"/>
        </w:rPr>
        <w:t>设备工具、加工用水要求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w:t>
      </w:r>
      <w:r>
        <w:rPr>
          <w:rFonts w:hint="default" w:ascii="仿宋_GB2312" w:hAnsi="宋体" w:eastAsia="仿宋_GB2312"/>
          <w:color w:val="auto"/>
          <w:sz w:val="32"/>
          <w:szCs w:val="32"/>
          <w:lang w:val="en-US" w:eastAsia="zh-CN"/>
        </w:rPr>
        <w:t>复合型六堡茶初制加工设备：揉捻机、发酵机、解块机、烘干机。精制加工设备：筛分机、风选机、色选机、蒸制机、压制机、包装机等。</w:t>
      </w:r>
      <w:r>
        <w:rPr>
          <w:rFonts w:hint="eastAsia" w:ascii="仿宋_GB2312" w:hAnsi="宋体" w:eastAsia="仿宋_GB2312"/>
          <w:color w:val="auto"/>
          <w:sz w:val="32"/>
          <w:szCs w:val="32"/>
          <w:lang w:val="en-US" w:eastAsia="zh-CN"/>
        </w:rPr>
        <w:t>不需准备制备绿茶设备。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w:t>
      </w:r>
      <w:r>
        <w:rPr>
          <w:rFonts w:hint="default" w:ascii="仿宋_GB2312" w:hAnsi="宋体" w:eastAsia="仿宋_GB2312"/>
          <w:color w:val="auto"/>
          <w:sz w:val="32"/>
          <w:szCs w:val="32"/>
          <w:lang w:val="en-US" w:eastAsia="zh-CN"/>
        </w:rPr>
        <w:t>加工设备应符合NY/T 5019的规定，与食品接触的设备与工具应符合GB 14881及国家相关规定的要求。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3.加工用水</w:t>
      </w:r>
      <w:r>
        <w:rPr>
          <w:rFonts w:hint="default" w:ascii="仿宋_GB2312" w:hAnsi="宋体" w:eastAsia="仿宋_GB2312"/>
          <w:color w:val="auto"/>
          <w:sz w:val="32"/>
          <w:szCs w:val="32"/>
          <w:lang w:val="en-US" w:eastAsia="zh-CN"/>
        </w:rPr>
        <w:t>应符合GB 5749的规定。</w:t>
      </w:r>
    </w:p>
    <w:p>
      <w:pPr>
        <w:numPr>
          <w:ilvl w:val="0"/>
          <w:numId w:val="4"/>
        </w:num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lang w:val="en-US" w:eastAsia="zh-CN"/>
        </w:rPr>
        <w:t>原料要求（参考GXAS310-2022  地理标志农产品广西六堡茶加工技术规程）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w:t>
      </w:r>
      <w:r>
        <w:rPr>
          <w:rFonts w:hint="default" w:ascii="仿宋_GB2312" w:hAnsi="宋体" w:eastAsia="仿宋_GB2312"/>
          <w:color w:val="auto"/>
          <w:sz w:val="32"/>
          <w:szCs w:val="32"/>
          <w:lang w:val="en-US" w:eastAsia="zh-CN"/>
        </w:rPr>
        <w:t>芽叶应新鲜、完整，无红变叶、腐败变质叶及杂物等。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w:t>
      </w:r>
      <w:r>
        <w:rPr>
          <w:rFonts w:hint="default" w:ascii="仿宋_GB2312" w:hAnsi="宋体" w:eastAsia="仿宋_GB2312"/>
          <w:color w:val="auto"/>
          <w:sz w:val="32"/>
          <w:szCs w:val="32"/>
          <w:lang w:val="en-US" w:eastAsia="zh-CN"/>
        </w:rPr>
        <w:t>原料依据鲜叶嫩度分四级，具体要求如下：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w:t>
      </w:r>
      <w:r>
        <w:rPr>
          <w:rFonts w:hint="default" w:ascii="仿宋_GB2312" w:hAnsi="宋体" w:eastAsia="仿宋_GB2312"/>
          <w:color w:val="auto"/>
          <w:sz w:val="32"/>
          <w:szCs w:val="32"/>
          <w:lang w:val="en-US" w:eastAsia="zh-CN"/>
        </w:rPr>
        <w:t>特级茶原料中，一芽二叶、同等嫩度的对夹叶及以上的比例应不低于90％，芽叶匀整；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w:t>
      </w:r>
      <w:r>
        <w:rPr>
          <w:rFonts w:hint="default" w:ascii="仿宋_GB2312" w:hAnsi="宋体" w:eastAsia="仿宋_GB2312"/>
          <w:color w:val="auto"/>
          <w:sz w:val="32"/>
          <w:szCs w:val="32"/>
          <w:lang w:val="en-US" w:eastAsia="zh-CN"/>
        </w:rPr>
        <w:t>一级茶原料中，一芽三叶、同等嫩度的对夹叶及以上的比例应不低于90％，芽叶匀整；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w:t>
      </w:r>
      <w:r>
        <w:rPr>
          <w:rFonts w:hint="default" w:ascii="仿宋_GB2312" w:hAnsi="宋体" w:eastAsia="仿宋_GB2312"/>
          <w:color w:val="auto"/>
          <w:sz w:val="32"/>
          <w:szCs w:val="32"/>
          <w:lang w:val="en-US" w:eastAsia="zh-CN"/>
        </w:rPr>
        <w:t>二级茶原料中，一芽四叶、同等嫩度的对夹叶及以上的比例应不低于90％；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w:t>
      </w:r>
      <w:r>
        <w:rPr>
          <w:rFonts w:hint="default" w:ascii="仿宋_GB2312" w:hAnsi="宋体" w:eastAsia="仿宋_GB2312"/>
          <w:color w:val="auto"/>
          <w:sz w:val="32"/>
          <w:szCs w:val="32"/>
          <w:lang w:val="en-US" w:eastAsia="zh-CN"/>
        </w:rPr>
        <w:t>三级茶原料中，一芽四叶、同等嫩度的对夹叶及以上的比例应不低于60％。</w:t>
      </w:r>
    </w:p>
    <w:p>
      <w:pPr>
        <w:numPr>
          <w:ilvl w:val="0"/>
          <w:numId w:val="4"/>
        </w:numPr>
        <w:spacing w:before="156" w:beforeLines="50" w:after="156" w:afterLines="50" w:line="560" w:lineRule="exact"/>
        <w:ind w:firstLine="643" w:firstLineChars="200"/>
        <w:rPr>
          <w:rFonts w:hint="default" w:ascii="楷体" w:hAnsi="楷体" w:eastAsia="楷体"/>
          <w:b/>
          <w:color w:val="auto"/>
          <w:sz w:val="32"/>
          <w:szCs w:val="32"/>
          <w:lang w:val="en-US" w:eastAsia="zh-CN"/>
        </w:rPr>
      </w:pPr>
      <w:r>
        <w:rPr>
          <w:rFonts w:hint="eastAsia" w:ascii="楷体" w:hAnsi="楷体" w:eastAsia="楷体"/>
          <w:b/>
          <w:color w:val="auto"/>
          <w:sz w:val="32"/>
          <w:szCs w:val="32"/>
          <w:lang w:val="en-US" w:eastAsia="zh-CN"/>
        </w:rPr>
        <w:t>加工工艺</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鲜叶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采摘一芽一叶至一芽三、四叶及同等嫩度的对夹叶。鲜叶原料应保持新鲜，分级摊晾,当天加工完毕。主要按原料要求中所提出的分级要求进行茶叶的采摘、摊晾，为保证加工原料的新鲜度及加工出来的六堡茶产品的高质量，采摘下来的鲜叶原料应当天加工完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2.工艺流程图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drawing>
          <wp:inline distT="0" distB="0" distL="114300" distR="114300">
            <wp:extent cx="5742305" cy="2712085"/>
            <wp:effectExtent l="9525" t="9525" r="24130" b="21590"/>
            <wp:docPr id="1" name="图片 1" descr="bb1fdc658f023d898deadb9b90e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1fdc658f023d898deadb9b90e4467"/>
                    <pic:cNvPicPr>
                      <a:picLocks noChangeAspect="1"/>
                    </pic:cNvPicPr>
                  </pic:nvPicPr>
                  <pic:blipFill>
                    <a:blip r:embed="rId4"/>
                    <a:srcRect l="5884" b="6502"/>
                    <a:stretch>
                      <a:fillRect/>
                    </a:stretch>
                  </pic:blipFill>
                  <pic:spPr>
                    <a:xfrm>
                      <a:off x="0" y="0"/>
                      <a:ext cx="5742305" cy="2712085"/>
                    </a:xfrm>
                    <a:prstGeom prst="rect">
                      <a:avLst/>
                    </a:prstGeom>
                    <a:ln>
                      <a:solidFill>
                        <a:schemeClr val="tx1"/>
                      </a:solid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3.初制加工具体操作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1）萎凋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萎凋是红茶红条茶加工的基础工序，鲜叶在一定的条件下，均匀地蒸发一部分水分，减少细胞张力，使叶质柔软，韧性增强，为揉捻成形创造条件。同时，伴随水分散失，细胞液浓缩，细胞膜透性增强，酶活性增强，为发酵过程中的酶促氧化打好基础。另外，鲜叶在萎凋过程中，内含物质也发生一系列的缓慢变化，有利于红茶香气、滋味的形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萎凋应在</w:t>
      </w:r>
      <w:r>
        <w:rPr>
          <w:rFonts w:hint="default" w:ascii="仿宋_GB2312" w:hAnsi="宋体" w:eastAsia="仿宋_GB2312"/>
          <w:color w:val="auto"/>
          <w:sz w:val="32"/>
          <w:szCs w:val="32"/>
          <w:lang w:val="en-US" w:eastAsia="zh-CN"/>
        </w:rPr>
        <w:t>清洁、通风、阴凉</w:t>
      </w:r>
      <w:r>
        <w:rPr>
          <w:rFonts w:hint="eastAsia" w:ascii="仿宋_GB2312" w:hAnsi="宋体" w:eastAsia="仿宋_GB2312"/>
          <w:color w:val="auto"/>
          <w:sz w:val="32"/>
          <w:szCs w:val="32"/>
          <w:lang w:val="en-US" w:eastAsia="zh-CN"/>
        </w:rPr>
        <w:t>环境中进行</w:t>
      </w:r>
      <w:r>
        <w:rPr>
          <w:rFonts w:hint="default" w:ascii="仿宋_GB2312" w:hAnsi="宋体" w:eastAsia="仿宋_GB2312"/>
          <w:color w:val="auto"/>
          <w:sz w:val="32"/>
          <w:szCs w:val="32"/>
          <w:lang w:val="en-US" w:eastAsia="zh-CN"/>
        </w:rPr>
        <w:t>，相对湿度宜</w:t>
      </w:r>
      <w:r>
        <w:rPr>
          <w:rFonts w:hint="eastAsia" w:ascii="仿宋_GB2312" w:hAnsi="宋体" w:eastAsia="仿宋_GB2312"/>
          <w:color w:val="auto"/>
          <w:sz w:val="32"/>
          <w:szCs w:val="32"/>
          <w:lang w:val="en-US" w:eastAsia="zh-CN"/>
        </w:rPr>
        <w:t>为</w:t>
      </w:r>
      <w:r>
        <w:rPr>
          <w:rFonts w:hint="default" w:ascii="仿宋_GB2312" w:hAnsi="宋体" w:eastAsia="仿宋_GB2312"/>
          <w:color w:val="auto"/>
          <w:sz w:val="32"/>
          <w:szCs w:val="32"/>
          <w:lang w:val="en-US" w:eastAsia="zh-CN"/>
        </w:rPr>
        <w:t>60％～70％，温度宜为20℃～30℃，摊叶厚度3cm～5cm</w:t>
      </w:r>
      <w:r>
        <w:rPr>
          <w:rFonts w:hint="eastAsia" w:ascii="仿宋_GB2312" w:hAnsi="宋体" w:eastAsia="仿宋_GB2312"/>
          <w:color w:val="auto"/>
          <w:sz w:val="32"/>
          <w:szCs w:val="32"/>
          <w:lang w:val="en-US" w:eastAsia="zh-CN"/>
        </w:rPr>
        <w:t>。</w:t>
      </w:r>
      <w:r>
        <w:rPr>
          <w:rFonts w:hint="default" w:ascii="仿宋_GB2312" w:hAnsi="宋体" w:eastAsia="仿宋_GB2312"/>
          <w:color w:val="auto"/>
          <w:sz w:val="32"/>
          <w:szCs w:val="32"/>
          <w:lang w:val="en-US" w:eastAsia="zh-CN"/>
        </w:rPr>
        <w:t>以叶片由鲜绿转为暗绿，表面光泽消失，青草气减退，叶形稍萎缩，叶质柔软，叶梗萎软，萎凋叶含水量降至68％～70％为宜，萎凋时间宜6 h～10 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w:t>
      </w:r>
      <w:r>
        <w:rPr>
          <w:rFonts w:hint="default" w:ascii="仿宋_GB2312" w:hAnsi="宋体" w:eastAsia="仿宋_GB2312"/>
          <w:color w:val="auto"/>
          <w:sz w:val="32"/>
          <w:szCs w:val="32"/>
          <w:lang w:val="en-US" w:eastAsia="zh-CN"/>
        </w:rPr>
        <w:t>揉捻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A.</w:t>
      </w:r>
      <w:r>
        <w:rPr>
          <w:rFonts w:hint="default" w:ascii="仿宋_GB2312" w:hAnsi="宋体" w:eastAsia="仿宋_GB2312"/>
          <w:color w:val="auto"/>
          <w:sz w:val="32"/>
          <w:szCs w:val="32"/>
          <w:lang w:val="en-US" w:eastAsia="zh-CN"/>
        </w:rPr>
        <w:t>揉捻目的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揉捻对红茶外形的塑造及内质的形成至关重要。萎凋叶经过揉捻后，改变叶子的物理状态，卷成条索，外形紧结美观；揉捻使叶组织和细胞破损，膜性增强，茶汁外溢，使多酚氧化酶与内含成分和氧气充分混合反应，以及一系列物质变化，为形成红条茶的品质奠定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B.</w:t>
      </w:r>
      <w:r>
        <w:rPr>
          <w:rFonts w:hint="default" w:ascii="仿宋_GB2312" w:hAnsi="宋体" w:eastAsia="仿宋_GB2312"/>
          <w:color w:val="auto"/>
          <w:sz w:val="32"/>
          <w:szCs w:val="32"/>
          <w:lang w:val="en-US" w:eastAsia="zh-CN"/>
        </w:rPr>
        <w:t>揉捻技术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揉捻的好坏跟投叶量、揉捻时间、加压程度等因素有关。投满揉捻桶为宜；揉捻时间</w:t>
      </w:r>
      <w:r>
        <w:rPr>
          <w:rFonts w:hint="eastAsia" w:ascii="仿宋_GB2312" w:hAnsi="宋体" w:eastAsia="仿宋_GB2312"/>
          <w:color w:val="auto"/>
          <w:sz w:val="32"/>
          <w:szCs w:val="32"/>
          <w:lang w:val="en-US" w:eastAsia="zh-CN"/>
        </w:rPr>
        <w:t>在55-75min</w:t>
      </w:r>
      <w:r>
        <w:rPr>
          <w:rFonts w:hint="default" w:ascii="仿宋_GB2312" w:hAnsi="宋体" w:eastAsia="仿宋_GB2312"/>
          <w:color w:val="auto"/>
          <w:sz w:val="32"/>
          <w:szCs w:val="32"/>
          <w:lang w:val="en-US" w:eastAsia="zh-CN"/>
        </w:rPr>
        <w:t>；加压掌握“轻、重、轻”的原则。揉捻过程：空压5min～10min、轻压10min～20min、中压20min～25min、重压5min～10min、轻压5min、松压5min进行。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C.</w:t>
      </w:r>
      <w:r>
        <w:rPr>
          <w:rFonts w:hint="default" w:ascii="仿宋_GB2312" w:hAnsi="宋体" w:eastAsia="仿宋_GB2312"/>
          <w:color w:val="auto"/>
          <w:sz w:val="32"/>
          <w:szCs w:val="32"/>
          <w:lang w:val="en-US" w:eastAsia="zh-CN"/>
        </w:rPr>
        <w:t>揉捻程度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揉捻适度是红条茶条索美观及发酵良好的必要条件，揉捻适度一般为细胞组织破碎率达80%以上，叶片有90%以上条索紧卷成条，茶汁充分外溢，粘附于叶表面，用手紧握，茶汁溢而不成滴流。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w:t>
      </w:r>
      <w:r>
        <w:rPr>
          <w:rFonts w:hint="default" w:ascii="仿宋_GB2312" w:hAnsi="宋体" w:eastAsia="仿宋_GB2312"/>
          <w:color w:val="auto"/>
          <w:sz w:val="32"/>
          <w:szCs w:val="32"/>
          <w:lang w:val="en-US" w:eastAsia="zh-CN"/>
        </w:rPr>
        <w:t>发酵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A.</w:t>
      </w:r>
      <w:r>
        <w:rPr>
          <w:rFonts w:hint="default" w:ascii="仿宋_GB2312" w:hAnsi="宋体" w:eastAsia="仿宋_GB2312"/>
          <w:color w:val="auto"/>
          <w:sz w:val="32"/>
          <w:szCs w:val="32"/>
          <w:lang w:val="en-US" w:eastAsia="zh-CN"/>
        </w:rPr>
        <w:t>发酵目的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在酶促作用下，多酚类化合物发生氧化聚合反应，形成红茶特有的品质特征。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B.</w:t>
      </w:r>
      <w:r>
        <w:rPr>
          <w:rFonts w:hint="default" w:ascii="仿宋_GB2312" w:hAnsi="宋体" w:eastAsia="仿宋_GB2312"/>
          <w:color w:val="auto"/>
          <w:sz w:val="32"/>
          <w:szCs w:val="32"/>
          <w:lang w:val="en-US" w:eastAsia="zh-CN"/>
        </w:rPr>
        <w:t>温度</w:t>
      </w:r>
      <w:r>
        <w:rPr>
          <w:rFonts w:hint="eastAsia" w:ascii="仿宋_GB2312" w:hAnsi="宋体" w:eastAsia="仿宋_GB2312"/>
          <w:color w:val="auto"/>
          <w:sz w:val="32"/>
          <w:szCs w:val="32"/>
          <w:lang w:val="en-US" w:eastAsia="zh-CN"/>
        </w:rPr>
        <w:t>/湿度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一般发酵室温度以2</w:t>
      </w:r>
      <w:r>
        <w:rPr>
          <w:rFonts w:hint="eastAsia" w:ascii="仿宋_GB2312" w:hAnsi="宋体" w:eastAsia="仿宋_GB2312"/>
          <w:color w:val="auto"/>
          <w:sz w:val="32"/>
          <w:szCs w:val="32"/>
          <w:lang w:val="en-US" w:eastAsia="zh-CN"/>
        </w:rPr>
        <w:t>5</w:t>
      </w:r>
      <w:r>
        <w:rPr>
          <w:rFonts w:hint="default" w:ascii="仿宋_GB2312" w:hAnsi="宋体" w:eastAsia="仿宋_GB2312"/>
          <w:color w:val="auto"/>
          <w:sz w:val="32"/>
          <w:szCs w:val="32"/>
          <w:lang w:val="en-US" w:eastAsia="zh-CN"/>
        </w:rPr>
        <w:t>～28℃，叶温30～3</w:t>
      </w:r>
      <w:r>
        <w:rPr>
          <w:rFonts w:hint="eastAsia" w:ascii="仿宋_GB2312" w:hAnsi="宋体" w:eastAsia="仿宋_GB2312"/>
          <w:color w:val="auto"/>
          <w:sz w:val="32"/>
          <w:szCs w:val="32"/>
          <w:lang w:val="en-US" w:eastAsia="zh-CN"/>
        </w:rPr>
        <w:t>6</w:t>
      </w:r>
      <w:r>
        <w:rPr>
          <w:rFonts w:hint="default" w:ascii="仿宋_GB2312" w:hAnsi="宋体" w:eastAsia="仿宋_GB2312"/>
          <w:color w:val="auto"/>
          <w:sz w:val="32"/>
          <w:szCs w:val="32"/>
          <w:lang w:val="en-US" w:eastAsia="zh-CN"/>
        </w:rPr>
        <w:t>℃为宜</w:t>
      </w:r>
      <w:r>
        <w:rPr>
          <w:rFonts w:hint="eastAsia" w:ascii="仿宋_GB2312" w:hAnsi="宋体" w:eastAsia="仿宋_GB2312"/>
          <w:color w:val="auto"/>
          <w:sz w:val="32"/>
          <w:szCs w:val="32"/>
          <w:lang w:val="en-US" w:eastAsia="zh-CN"/>
        </w:rPr>
        <w:t>，相对湿度80%以上。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温度是影响发酵进行的重要因素，直接影响着酶的活性，从而影响茶色素的形成。温度包括发酵室温度与发酵叶温度，而发酵室温度直接影响着发酵叶的温度，一般发酵叶的温度比发酵室高2～6℃。发酵叶在一定的温度下进行发酵，才有利于物质的转化，温度过高，酶促氧化反应过于激烈，多酚类化合物氧化缩合成不溶性的物质过多，会导致成品香气低，滋味淡薄，汤色发暗等；温度过低，多酚氧化酶活性弱，酶促氧化反应慢，发酵时间长，物质转化缓慢且不能充分转化，会形成红茶香气闷，不愉悦，滋味苦涩，汤色暗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C.</w:t>
      </w:r>
      <w:r>
        <w:rPr>
          <w:rFonts w:hint="default" w:ascii="仿宋_GB2312" w:hAnsi="宋体" w:eastAsia="仿宋_GB2312"/>
          <w:color w:val="auto"/>
          <w:sz w:val="32"/>
          <w:szCs w:val="32"/>
          <w:lang w:val="en-US" w:eastAsia="zh-CN"/>
        </w:rPr>
        <w:t>堆叶高度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发酵室定时打开门窗或安装排气扇使空气流通，保证有充足的氧气流通；堆高宜在50cm～70cm，中间形成一个凹形。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D.</w:t>
      </w:r>
      <w:r>
        <w:rPr>
          <w:rFonts w:hint="default" w:ascii="仿宋_GB2312" w:hAnsi="宋体" w:eastAsia="仿宋_GB2312"/>
          <w:color w:val="auto"/>
          <w:sz w:val="32"/>
          <w:szCs w:val="32"/>
          <w:lang w:val="en-US" w:eastAsia="zh-CN"/>
        </w:rPr>
        <w:t>发酵时间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根据鲜叶老嫩，季节气温调节，一芽一二叶春季发酵时间宜在4h～5h，夏季宜在2h～3 h，中途隔1h翻动一次，有60％～70％发酵叶红变即可终止。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w:t>
      </w:r>
      <w:r>
        <w:rPr>
          <w:rFonts w:hint="default" w:ascii="仿宋_GB2312" w:hAnsi="宋体" w:eastAsia="仿宋_GB2312"/>
          <w:color w:val="auto"/>
          <w:sz w:val="32"/>
          <w:szCs w:val="32"/>
          <w:lang w:val="en-US" w:eastAsia="zh-CN"/>
        </w:rPr>
        <w:t>毛火</w:t>
      </w:r>
      <w:r>
        <w:rPr>
          <w:rFonts w:hint="eastAsia" w:ascii="仿宋_GB2312" w:hAnsi="宋体" w:eastAsia="仿宋_GB2312"/>
          <w:color w:val="auto"/>
          <w:sz w:val="32"/>
          <w:szCs w:val="32"/>
          <w:lang w:val="en-US" w:eastAsia="zh-CN"/>
        </w:rPr>
        <w:t>、</w:t>
      </w:r>
      <w:r>
        <w:rPr>
          <w:rFonts w:hint="default" w:ascii="仿宋_GB2312" w:hAnsi="宋体" w:eastAsia="仿宋_GB2312"/>
          <w:color w:val="auto"/>
          <w:sz w:val="32"/>
          <w:szCs w:val="32"/>
          <w:lang w:val="en-US" w:eastAsia="zh-CN"/>
        </w:rPr>
        <w:t>摊凉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发酵结束应及时打毛火。温度110℃～120℃，摊叶厚度1 cm～2 cm，烘至含水量10％～15％为宜，以茶叶条索稍紧结、略感刺手为适度。通过干燥，高温纯化多酚氧化酶的活性，终止发酵，固定发酵工序中形成的品质</w:t>
      </w:r>
      <w:r>
        <w:rPr>
          <w:rFonts w:hint="eastAsia" w:ascii="仿宋_GB2312" w:hAnsi="宋体" w:eastAsia="仿宋_GB2312"/>
          <w:color w:val="auto"/>
          <w:sz w:val="32"/>
          <w:szCs w:val="32"/>
          <w:lang w:val="en-US" w:eastAsia="zh-CN"/>
        </w:rPr>
        <w:t>。毛火后</w:t>
      </w:r>
      <w:r>
        <w:rPr>
          <w:rFonts w:hint="default" w:ascii="仿宋_GB2312" w:hAnsi="宋体" w:eastAsia="仿宋_GB2312"/>
          <w:color w:val="auto"/>
          <w:sz w:val="32"/>
          <w:szCs w:val="32"/>
          <w:lang w:val="en-US" w:eastAsia="zh-CN"/>
        </w:rPr>
        <w:t>应将茶叶均匀摊开，叶温降至室温。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4.精制加工具体操作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w:t>
      </w:r>
      <w:r>
        <w:rPr>
          <w:rFonts w:hint="default" w:ascii="仿宋_GB2312" w:hAnsi="宋体" w:eastAsia="仿宋_GB2312"/>
          <w:color w:val="auto"/>
          <w:sz w:val="32"/>
          <w:szCs w:val="32"/>
          <w:lang w:val="en-US" w:eastAsia="zh-CN"/>
        </w:rPr>
        <w:t>毛茶筛选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将毛茶通过筛分、风选、拣剔，除去梗、片及非茶类物质，进行分级、拼配</w:t>
      </w:r>
      <w:r>
        <w:rPr>
          <w:rFonts w:hint="eastAsia" w:ascii="仿宋_GB2312" w:hAnsi="宋体" w:eastAsia="仿宋_GB2312"/>
          <w:color w:val="auto"/>
          <w:sz w:val="32"/>
          <w:szCs w:val="32"/>
          <w:lang w:val="en-US" w:eastAsia="zh-CN"/>
        </w:rPr>
        <w:t>，保证制备六堡茶的前段原料质量。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2）堆渥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渥堆是形成</w:t>
      </w:r>
      <w:r>
        <w:rPr>
          <w:rFonts w:hint="eastAsia" w:ascii="仿宋_GB2312" w:hAnsi="宋体" w:eastAsia="仿宋_GB2312"/>
          <w:color w:val="auto"/>
          <w:sz w:val="32"/>
          <w:szCs w:val="32"/>
          <w:lang w:val="en-US" w:eastAsia="zh-CN"/>
        </w:rPr>
        <w:t>复合型</w:t>
      </w:r>
      <w:r>
        <w:rPr>
          <w:rFonts w:hint="default" w:ascii="仿宋_GB2312" w:hAnsi="宋体" w:eastAsia="仿宋_GB2312"/>
          <w:color w:val="auto"/>
          <w:sz w:val="32"/>
          <w:szCs w:val="32"/>
          <w:lang w:val="en-US" w:eastAsia="zh-CN"/>
        </w:rPr>
        <w:t>六堡茶独特品质的关键工序，主要考虑翻堆不及时，茶叶转化不同步，发酵不均匀，甚至烧堆变质，出来的产品品质不佳，同时高温高热的茶叶中会形成茶块，重发酵的老茶头不具备很好的后期存储价值。目的主要是通过湿热反应和酶促反应等，利用温、湿度培养微生物，微生物产生热能与分泌的酶进行化学反应，氧化产生茶黄素及茶红素等，并将蛋白质水解成为味道甘甜的氨基酸，使茶汤橙红、滋味醇厚，达到六堡茶的特有品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本标准采用</w:t>
      </w:r>
      <w:r>
        <w:rPr>
          <w:rFonts w:hint="default" w:ascii="仿宋_GB2312" w:hAnsi="宋体" w:eastAsia="仿宋_GB2312"/>
          <w:color w:val="auto"/>
          <w:sz w:val="32"/>
          <w:szCs w:val="32"/>
          <w:lang w:val="en-US" w:eastAsia="zh-CN"/>
        </w:rPr>
        <w:t>加冷水渥堆，根据茶叶的含水情况，合理确定茶水比例，均匀加水，茶叶含水量宜控制在20％～25％。堆高80cm～100cm，相对湿度80％～90％，堆温宜为50℃～55℃。</w:t>
      </w:r>
      <w:r>
        <w:rPr>
          <w:rFonts w:hint="eastAsia" w:ascii="仿宋_GB2312" w:hAnsi="宋体" w:eastAsia="仿宋_GB2312"/>
          <w:color w:val="auto"/>
          <w:sz w:val="32"/>
          <w:szCs w:val="32"/>
          <w:lang w:val="en-US" w:eastAsia="zh-CN"/>
        </w:rPr>
        <w:t>季节不同，堆渥时间稍有差异，</w:t>
      </w:r>
      <w:r>
        <w:rPr>
          <w:rFonts w:hint="default" w:ascii="仿宋_GB2312" w:hAnsi="宋体" w:eastAsia="仿宋_GB2312"/>
          <w:color w:val="auto"/>
          <w:sz w:val="32"/>
          <w:szCs w:val="32"/>
          <w:lang w:val="en-US" w:eastAsia="zh-CN"/>
        </w:rPr>
        <w:t>春季40d～50d、夏季30d～40d、冬季50d～60d，每2d～3d翻堆1次，待叶色变褐，发出醇香即可。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w:t>
      </w:r>
      <w:r>
        <w:rPr>
          <w:rFonts w:hint="default" w:ascii="仿宋_GB2312" w:hAnsi="宋体" w:eastAsia="仿宋_GB2312"/>
          <w:color w:val="auto"/>
          <w:sz w:val="32"/>
          <w:szCs w:val="32"/>
          <w:lang w:val="en-US" w:eastAsia="zh-CN"/>
        </w:rPr>
        <w:t>摊放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开堆摊晾至茶叶水分降到15％以下。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w:t>
      </w:r>
      <w:r>
        <w:rPr>
          <w:rFonts w:hint="default" w:ascii="仿宋_GB2312" w:hAnsi="宋体" w:eastAsia="仿宋_GB2312"/>
          <w:color w:val="auto"/>
          <w:sz w:val="32"/>
          <w:szCs w:val="32"/>
          <w:lang w:val="en-US" w:eastAsia="zh-CN"/>
        </w:rPr>
        <w:t>汽蒸</w:t>
      </w:r>
      <w:r>
        <w:rPr>
          <w:rFonts w:hint="eastAsia" w:ascii="仿宋_GB2312" w:hAnsi="宋体" w:eastAsia="仿宋_GB2312"/>
          <w:color w:val="auto"/>
          <w:sz w:val="32"/>
          <w:szCs w:val="32"/>
          <w:lang w:val="en-US" w:eastAsia="zh-CN"/>
        </w:rPr>
        <w:t>、压制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汽蒸器具应保持清洁，蒸前应测量每批预制茶（渥堆适度茶）含水量并计算确定称茶量。将茶叶经蒸汽蒸软2min～3min，形成散茶。目的是杀死低温的细菌、杂菌，保证六堡茶的香气纯净</w:t>
      </w:r>
      <w:r>
        <w:rPr>
          <w:rFonts w:hint="eastAsia" w:ascii="仿宋_GB2312" w:hAnsi="宋体" w:eastAsia="仿宋_GB2312"/>
          <w:color w:val="auto"/>
          <w:sz w:val="32"/>
          <w:szCs w:val="32"/>
          <w:lang w:val="en-US" w:eastAsia="zh-CN"/>
        </w:rPr>
        <w:t>，</w:t>
      </w:r>
      <w:r>
        <w:rPr>
          <w:rFonts w:hint="default" w:ascii="仿宋_GB2312" w:hAnsi="宋体" w:eastAsia="仿宋_GB2312"/>
          <w:color w:val="auto"/>
          <w:sz w:val="32"/>
          <w:szCs w:val="32"/>
          <w:lang w:val="en-US" w:eastAsia="zh-CN"/>
        </w:rPr>
        <w:t>使茶坯在水热作用下，进行发酵，使部分多酚类化合物非酶性氧化，使茶叶色泽红褐，汤色橙红，口感更醇和。</w:t>
      </w:r>
      <w:r>
        <w:rPr>
          <w:rFonts w:hint="eastAsia" w:ascii="仿宋_GB2312" w:hAnsi="宋体" w:eastAsia="仿宋_GB2312"/>
          <w:color w:val="auto"/>
          <w:sz w:val="32"/>
          <w:szCs w:val="32"/>
          <w:lang w:val="en-US" w:eastAsia="zh-CN"/>
        </w:rPr>
        <w:t>根据市场需求</w:t>
      </w:r>
      <w:r>
        <w:rPr>
          <w:rFonts w:hint="default" w:ascii="仿宋_GB2312" w:hAnsi="宋体" w:eastAsia="仿宋_GB2312"/>
          <w:color w:val="auto"/>
          <w:sz w:val="32"/>
          <w:szCs w:val="32"/>
          <w:lang w:val="en-US" w:eastAsia="zh-CN"/>
        </w:rPr>
        <w:t>趁热将散茶压成篓、砖、饼、沱等形状。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w:t>
      </w:r>
      <w:r>
        <w:rPr>
          <w:rFonts w:hint="default" w:ascii="仿宋_GB2312" w:hAnsi="宋体" w:eastAsia="仿宋_GB2312"/>
          <w:color w:val="auto"/>
          <w:sz w:val="32"/>
          <w:szCs w:val="32"/>
          <w:lang w:val="en-US" w:eastAsia="zh-CN"/>
        </w:rPr>
        <w:t>陈化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将茶叶置于清洁、阴凉、通风、无异杂味的环境内晾置，待茶叶温度降至室温，茶叶含水量降至18％以下，移至清洁、无异杂味、相对湿度在70％～75％、温度在25 ℃～28 ℃的环境中陈化。陈化时间不少于180 d。陈化起始日期应从渥堆结束开始计算。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陈化是重要的后期储存过程，“相对湿度在</w:t>
      </w:r>
      <w:r>
        <w:rPr>
          <w:rFonts w:hint="eastAsia" w:ascii="仿宋_GB2312" w:hAnsi="宋体" w:eastAsia="仿宋_GB2312"/>
          <w:color w:val="auto"/>
          <w:sz w:val="32"/>
          <w:szCs w:val="32"/>
          <w:lang w:val="en-US" w:eastAsia="zh-CN"/>
        </w:rPr>
        <w:t>7</w:t>
      </w:r>
      <w:r>
        <w:rPr>
          <w:rFonts w:hint="default" w:ascii="仿宋_GB2312" w:hAnsi="宋体" w:eastAsia="仿宋_GB2312"/>
          <w:color w:val="auto"/>
          <w:sz w:val="32"/>
          <w:szCs w:val="32"/>
          <w:lang w:val="en-US" w:eastAsia="zh-CN"/>
        </w:rPr>
        <w:t>0％～</w:t>
      </w:r>
      <w:r>
        <w:rPr>
          <w:rFonts w:hint="eastAsia" w:ascii="仿宋_GB2312" w:hAnsi="宋体" w:eastAsia="仿宋_GB2312"/>
          <w:color w:val="auto"/>
          <w:sz w:val="32"/>
          <w:szCs w:val="32"/>
          <w:lang w:val="en-US" w:eastAsia="zh-CN"/>
        </w:rPr>
        <w:t>75</w:t>
      </w:r>
      <w:r>
        <w:rPr>
          <w:rFonts w:hint="default" w:ascii="仿宋_GB2312" w:hAnsi="宋体" w:eastAsia="仿宋_GB2312"/>
          <w:color w:val="auto"/>
          <w:sz w:val="32"/>
          <w:szCs w:val="32"/>
          <w:lang w:val="en-US" w:eastAsia="zh-CN"/>
        </w:rPr>
        <w:t>％、温度在2</w:t>
      </w:r>
      <w:r>
        <w:rPr>
          <w:rFonts w:hint="eastAsia" w:ascii="仿宋_GB2312" w:hAnsi="宋体" w:eastAsia="仿宋_GB2312"/>
          <w:color w:val="auto"/>
          <w:sz w:val="32"/>
          <w:szCs w:val="32"/>
          <w:lang w:val="en-US" w:eastAsia="zh-CN"/>
        </w:rPr>
        <w:t>5</w:t>
      </w:r>
      <w:r>
        <w:rPr>
          <w:rFonts w:hint="default" w:ascii="仿宋_GB2312" w:hAnsi="宋体" w:eastAsia="仿宋_GB2312"/>
          <w:color w:val="auto"/>
          <w:sz w:val="32"/>
          <w:szCs w:val="32"/>
          <w:lang w:val="en-US" w:eastAsia="zh-CN"/>
        </w:rPr>
        <w:t>℃～28℃”，</w:t>
      </w:r>
      <w:r>
        <w:rPr>
          <w:rFonts w:hint="eastAsia" w:ascii="仿宋_GB2312" w:hAnsi="宋体" w:eastAsia="仿宋_GB2312"/>
          <w:color w:val="auto"/>
          <w:sz w:val="32"/>
          <w:szCs w:val="32"/>
          <w:lang w:val="en-US" w:eastAsia="zh-CN"/>
        </w:rPr>
        <w:t>总结复合型六堡茶生产经验做得该制备条件，</w:t>
      </w:r>
      <w:r>
        <w:rPr>
          <w:rFonts w:hint="default" w:ascii="仿宋_GB2312" w:hAnsi="宋体" w:eastAsia="仿宋_GB2312"/>
          <w:color w:val="auto"/>
          <w:sz w:val="32"/>
          <w:szCs w:val="32"/>
          <w:lang w:val="en-US" w:eastAsia="zh-CN"/>
        </w:rPr>
        <w:t>考虑到适宜六堡茶中独特和纯化的微生物群（有益菌类）的生长繁殖，促进茶叶内含物质的转化，使六堡茶香气纯正、口感醇正，具有独特的“六堡茶韵”。茶叶极易吸收异味，影响六堡茶的味道，故应无异杂味。“阴凉”是为了减少强光线照晒六堡茶的影响，高温易使六堡茶失去活性，不利于其本身的陈化，广西地区常存高温高湿的气候，故应移至阴凉干爽的仓库陈化。180 d是六堡茶陈化时间规定的最低标准，市面上常见的六堡茶产品的陈化时间一般都在1年以上。后发酵的六堡茶越陈越香，没有经过长时间的陈化，六堡茶的汤色滋味就达不到“红、浓、陈、醇”的特点。</w:t>
      </w:r>
    </w:p>
    <w:p>
      <w:pPr>
        <w:adjustRightInd w:val="0"/>
        <w:snapToGrid w:val="0"/>
        <w:spacing w:before="156" w:beforeLines="50" w:after="156" w:afterLines="50" w:line="560" w:lineRule="exact"/>
        <w:ind w:firstLine="640" w:firstLineChars="200"/>
        <w:rPr>
          <w:rFonts w:ascii="黑体" w:hAnsi="黑体" w:eastAsia="黑体" w:cs="黑体"/>
          <w:bCs/>
          <w:color w:val="auto"/>
          <w:sz w:val="32"/>
          <w:szCs w:val="32"/>
        </w:rPr>
      </w:pPr>
      <w:bookmarkStart w:id="1" w:name="_GoBack"/>
      <w:bookmarkEnd w:id="1"/>
      <w:r>
        <w:rPr>
          <w:rFonts w:hint="eastAsia" w:ascii="黑体" w:hAnsi="黑体" w:eastAsia="黑体" w:cs="黑体"/>
          <w:bCs/>
          <w:color w:val="auto"/>
          <w:sz w:val="32"/>
          <w:szCs w:val="32"/>
        </w:rPr>
        <w:t>六</w:t>
      </w:r>
      <w:r>
        <w:rPr>
          <w:rFonts w:ascii="黑体" w:hAnsi="黑体" w:eastAsia="黑体" w:cs="黑体"/>
          <w:bCs/>
          <w:color w:val="auto"/>
          <w:sz w:val="32"/>
          <w:szCs w:val="32"/>
        </w:rPr>
        <w:t>、</w:t>
      </w:r>
      <w:r>
        <w:rPr>
          <w:rFonts w:hint="eastAsia" w:ascii="黑体" w:hAnsi="黑体" w:eastAsia="黑体" w:cs="黑体"/>
          <w:bCs/>
          <w:color w:val="auto"/>
          <w:sz w:val="32"/>
          <w:szCs w:val="32"/>
        </w:rPr>
        <w:t>国内外同类标准制修订情况及与法律法规、强制性标准关系</w:t>
      </w:r>
    </w:p>
    <w:p>
      <w:p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经查阅，与广西复合六堡茶有关的国家标准、行业标准、地方标准、团体标准有GB/T 32719.1-2016《黑茶  第1部分：基本要求》、GB/T 32719.4-2016《黑茶  第4部分：六堡茶》、DBS45/ 057-2018《食品安全地方标准  六堡茶（传统工艺）》、DB45/T 2073-2019《六堡茶仓储基本要求》、DB45/T 2071-2019《六堡茶初制场地环境条件》、T/GXAS 116-2020《广西优质六堡茶》、DB45/T 1648-2017《六堡茶包装标识与运输贮存技术规范》、DB45/T 1291-2016《六堡茶加工与感官审评术语》，以上标准分别针对传统六堡茶制作工艺、仓储要求、包装要求、产品质量要求等进行规范；T/WZCR 001-2023《金花六堡茶加工技术规程》、T/CGAPA 017-2023《六堡茶陈化工艺技术规程》、T/GXAS 310-2022《地理标志农产品广西六堡茶加工技术规程》、T/LPTRA 1.7-2018《茶船古道  六堡茶 第7部分：加工技术规程》等</w:t>
      </w:r>
      <w:r>
        <w:rPr>
          <w:rFonts w:hint="eastAsia" w:ascii="仿宋_GB2312" w:hAnsi="宋体" w:eastAsia="仿宋_GB2312"/>
          <w:color w:val="auto"/>
          <w:sz w:val="32"/>
          <w:szCs w:val="32"/>
          <w:lang w:val="en-US" w:eastAsia="zh-CN"/>
        </w:rPr>
        <w:t>以上标准为以绿茶为原料制作黑茶的传统工艺，本标准将红茶加工工艺与传统黑茶加工工艺相结合，研制出新黑茶，新产品品质达到了传统黑茶的品质要求，丰富了茶叶加工理论，对茶产业的科研、生产和教学具有较大的指导意义。</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综上所述，</w:t>
      </w:r>
      <w:r>
        <w:rPr>
          <w:rFonts w:hint="eastAsia" w:ascii="仿宋_GB2312" w:hAnsi="宋体" w:eastAsia="仿宋_GB2312"/>
          <w:color w:val="auto"/>
          <w:sz w:val="32"/>
          <w:szCs w:val="32"/>
          <w:lang w:val="zh-CN"/>
        </w:rPr>
        <w:t>以上标准</w:t>
      </w:r>
      <w:r>
        <w:rPr>
          <w:rFonts w:hint="eastAsia" w:ascii="仿宋_GB2312" w:hAnsi="宋体" w:eastAsia="仿宋_GB2312"/>
          <w:color w:val="auto"/>
          <w:sz w:val="32"/>
          <w:szCs w:val="32"/>
          <w:lang w:val="en-US" w:eastAsia="zh-CN"/>
        </w:rPr>
        <w:t>均未对复合六堡茶加工技术</w:t>
      </w:r>
      <w:r>
        <w:rPr>
          <w:rFonts w:hint="eastAsia" w:ascii="仿宋_GB2312" w:hAnsi="宋体" w:eastAsia="仿宋_GB2312"/>
          <w:color w:val="auto"/>
          <w:sz w:val="32"/>
          <w:szCs w:val="32"/>
          <w:lang w:val="zh-CN"/>
        </w:rPr>
        <w:t>作出要求，</w:t>
      </w:r>
      <w:r>
        <w:rPr>
          <w:rFonts w:hint="eastAsia" w:ascii="仿宋_GB2312" w:hAnsi="宋体" w:eastAsia="仿宋_GB2312"/>
          <w:color w:val="auto"/>
          <w:sz w:val="32"/>
          <w:szCs w:val="32"/>
          <w:lang w:val="en-US" w:eastAsia="zh-CN"/>
        </w:rPr>
        <w:t>均</w:t>
      </w:r>
      <w:r>
        <w:rPr>
          <w:rFonts w:hint="eastAsia" w:ascii="仿宋_GB2312" w:hAnsi="宋体" w:eastAsia="仿宋_GB2312"/>
          <w:color w:val="auto"/>
          <w:sz w:val="32"/>
          <w:szCs w:val="32"/>
        </w:rPr>
        <w:t>无法满足</w:t>
      </w:r>
      <w:r>
        <w:rPr>
          <w:rFonts w:hint="eastAsia" w:ascii="仿宋_GB2312" w:hAnsi="宋体" w:eastAsia="仿宋_GB2312"/>
          <w:color w:val="auto"/>
          <w:sz w:val="32"/>
          <w:szCs w:val="32"/>
          <w:lang w:val="en-US" w:eastAsia="zh-CN"/>
        </w:rPr>
        <w:t>广西复合六堡茶生产工作</w:t>
      </w:r>
      <w:r>
        <w:rPr>
          <w:rFonts w:hint="eastAsia" w:ascii="仿宋_GB2312" w:hAnsi="宋体" w:eastAsia="仿宋_GB2312"/>
          <w:color w:val="auto"/>
          <w:sz w:val="32"/>
          <w:szCs w:val="32"/>
        </w:rPr>
        <w:t>。</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zh-CN"/>
        </w:rPr>
        <w:t>本标准的内容与现行的法律、法规及强制性标准无冲突，标准的编写符合</w:t>
      </w:r>
      <w:r>
        <w:rPr>
          <w:rFonts w:hint="eastAsia" w:ascii="仿宋_GB2312" w:hAnsi="宋体" w:eastAsia="仿宋_GB2312"/>
          <w:color w:val="auto"/>
          <w:sz w:val="32"/>
          <w:szCs w:val="32"/>
        </w:rPr>
        <w:t>GB/T</w:t>
      </w:r>
      <w:r>
        <w:rPr>
          <w:rFonts w:ascii="仿宋_GB2312" w:hAnsi="宋体" w:eastAsia="仿宋_GB2312"/>
          <w:color w:val="auto"/>
          <w:sz w:val="32"/>
          <w:szCs w:val="32"/>
        </w:rPr>
        <w:t xml:space="preserve"> </w:t>
      </w:r>
      <w:r>
        <w:rPr>
          <w:rFonts w:hint="eastAsia" w:ascii="仿宋_GB2312" w:hAnsi="宋体" w:eastAsia="仿宋_GB2312"/>
          <w:color w:val="auto"/>
          <w:sz w:val="32"/>
          <w:szCs w:val="32"/>
        </w:rPr>
        <w:t>1.1-2020的要求。</w:t>
      </w:r>
    </w:p>
    <w:p>
      <w:pPr>
        <w:adjustRightInd w:val="0"/>
        <w:snapToGrid w:val="0"/>
        <w:spacing w:before="156" w:beforeLines="50" w:after="156" w:afterLines="50"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七、重大分歧意见</w:t>
      </w:r>
      <w:r>
        <w:rPr>
          <w:rFonts w:hint="eastAsia" w:ascii="黑体" w:hAnsi="黑体" w:eastAsia="黑体" w:cs="黑体"/>
          <w:bCs/>
          <w:color w:val="auto"/>
          <w:sz w:val="32"/>
          <w:szCs w:val="32"/>
          <w:lang w:val="en-US" w:eastAsia="zh-CN"/>
        </w:rPr>
        <w:t>与</w:t>
      </w:r>
      <w:r>
        <w:rPr>
          <w:rFonts w:hint="eastAsia" w:ascii="黑体" w:hAnsi="黑体" w:eastAsia="黑体" w:cs="黑体"/>
          <w:bCs/>
          <w:color w:val="auto"/>
          <w:sz w:val="32"/>
          <w:szCs w:val="32"/>
        </w:rPr>
        <w:t>处理经过和依据</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本标准研制过程中无重大分歧意见。</w:t>
      </w:r>
    </w:p>
    <w:p>
      <w:pPr>
        <w:spacing w:before="156" w:beforeLines="50" w:after="156" w:afterLines="50"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w:t>
      </w:r>
      <w:r>
        <w:rPr>
          <w:rFonts w:ascii="黑体" w:hAnsi="黑体" w:eastAsia="黑体"/>
          <w:color w:val="auto"/>
          <w:sz w:val="32"/>
          <w:szCs w:val="32"/>
        </w:rPr>
        <w:t>、自我承诺</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本标准内容与各项指标不低于国家强制性标准、推荐性国家标准和行业标准。</w:t>
      </w:r>
    </w:p>
    <w:p>
      <w:pPr>
        <w:spacing w:line="560" w:lineRule="exact"/>
        <w:rPr>
          <w:rFonts w:ascii="仿宋_GB2312" w:hAnsi="宋体" w:eastAsia="仿宋_GB2312"/>
          <w:color w:val="auto"/>
          <w:sz w:val="32"/>
          <w:szCs w:val="32"/>
          <w:lang w:val="zh-CN"/>
        </w:rPr>
      </w:pPr>
    </w:p>
    <w:p>
      <w:pPr>
        <w:spacing w:line="560" w:lineRule="exact"/>
        <w:rPr>
          <w:rFonts w:ascii="仿宋_GB2312" w:hAnsi="宋体" w:eastAsia="仿宋_GB2312"/>
          <w:color w:val="auto"/>
          <w:sz w:val="32"/>
          <w:szCs w:val="32"/>
          <w:lang w:val="zh-CN"/>
        </w:rPr>
      </w:pPr>
    </w:p>
    <w:p>
      <w:pPr>
        <w:spacing w:line="560" w:lineRule="exact"/>
        <w:ind w:firstLine="640" w:firstLineChars="200"/>
        <w:jc w:val="right"/>
        <w:outlineLvl w:val="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团体标准《广西复合六堡茶加工技术规程》</w:t>
      </w:r>
    </w:p>
    <w:p>
      <w:pPr>
        <w:spacing w:line="560" w:lineRule="exact"/>
        <w:ind w:firstLine="5920" w:firstLineChars="1850"/>
        <w:jc w:val="right"/>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标准编制</w:t>
      </w:r>
      <w:r>
        <w:rPr>
          <w:rFonts w:hint="eastAsia" w:ascii="仿宋_GB2312" w:hAnsi="宋体" w:eastAsia="仿宋_GB2312"/>
          <w:color w:val="auto"/>
          <w:sz w:val="32"/>
          <w:szCs w:val="32"/>
          <w:lang w:val="en-US" w:eastAsia="zh-CN"/>
        </w:rPr>
        <w:t>工作</w:t>
      </w:r>
      <w:r>
        <w:rPr>
          <w:rFonts w:hint="eastAsia" w:ascii="仿宋_GB2312" w:hAnsi="宋体" w:eastAsia="仿宋_GB2312"/>
          <w:color w:val="auto"/>
          <w:sz w:val="32"/>
          <w:szCs w:val="32"/>
          <w:lang w:val="zh-CN"/>
        </w:rPr>
        <w:t>组</w:t>
      </w:r>
    </w:p>
    <w:p>
      <w:pPr>
        <w:spacing w:line="560" w:lineRule="exact"/>
        <w:ind w:firstLine="640" w:firstLineChars="200"/>
        <w:jc w:val="right"/>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2024</w:t>
      </w:r>
      <w:r>
        <w:rPr>
          <w:rFonts w:hint="eastAsia" w:ascii="仿宋_GB2312" w:hAnsi="宋体" w:eastAsia="仿宋_GB2312"/>
          <w:color w:val="auto"/>
          <w:sz w:val="32"/>
          <w:szCs w:val="32"/>
          <w:lang w:val="zh-CN"/>
        </w:rPr>
        <w:t>年</w:t>
      </w:r>
      <w:r>
        <w:rPr>
          <w:rFonts w:hint="eastAsia" w:ascii="仿宋_GB2312" w:hAnsi="宋体" w:eastAsia="仿宋_GB2312"/>
          <w:color w:val="auto"/>
          <w:sz w:val="32"/>
          <w:szCs w:val="32"/>
          <w:lang w:val="en-US" w:eastAsia="zh-CN"/>
        </w:rPr>
        <w:t>02</w:t>
      </w:r>
      <w:r>
        <w:rPr>
          <w:rFonts w:hint="eastAsia" w:ascii="仿宋_GB2312" w:hAnsi="宋体" w:eastAsia="仿宋_GB2312"/>
          <w:color w:val="auto"/>
          <w:sz w:val="32"/>
          <w:szCs w:val="32"/>
          <w:lang w:val="zh-CN"/>
        </w:rPr>
        <w:t>月</w:t>
      </w:r>
      <w:r>
        <w:rPr>
          <w:rFonts w:hint="eastAsia" w:ascii="仿宋_GB2312" w:hAnsi="宋体" w:eastAsia="仿宋_GB2312"/>
          <w:color w:val="auto"/>
          <w:sz w:val="32"/>
          <w:szCs w:val="32"/>
          <w:lang w:val="en-US" w:eastAsia="zh-CN"/>
        </w:rPr>
        <w:t>03</w:t>
      </w:r>
      <w:r>
        <w:rPr>
          <w:rFonts w:hint="eastAsia" w:ascii="仿宋_GB2312" w:hAnsi="宋体" w:eastAsia="仿宋_GB2312"/>
          <w:color w:val="auto"/>
          <w:sz w:val="32"/>
          <w:szCs w:val="32"/>
        </w:rPr>
        <w:t>日</w:t>
      </w:r>
    </w:p>
    <w:p>
      <w:pPr>
        <w:spacing w:line="560" w:lineRule="exact"/>
        <w:rPr>
          <w:sz w:val="32"/>
          <w:szCs w:val="32"/>
        </w:rPr>
      </w:pPr>
    </w:p>
    <w:sectPr>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1CD01B-60D3-487E-A0D9-76D741F5DD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F29B75-4C7A-489C-9C69-1A97F5FE1632}"/>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63EDB769-DCB5-434B-8832-164E983DD0ED}"/>
  </w:font>
  <w:font w:name="仿宋_GB2312">
    <w:panose1 w:val="02010609030101010101"/>
    <w:charset w:val="86"/>
    <w:family w:val="auto"/>
    <w:pitch w:val="default"/>
    <w:sig w:usb0="00000001" w:usb1="080E0000" w:usb2="00000000" w:usb3="00000000" w:csb0="00040000" w:csb1="00000000"/>
    <w:embedRegular r:id="rId4" w:fontKey="{EDF8B883-E160-422C-9A16-C3D03ECDCF39}"/>
  </w:font>
  <w:font w:name="楷体">
    <w:panose1 w:val="02010609060101010101"/>
    <w:charset w:val="86"/>
    <w:family w:val="modern"/>
    <w:pitch w:val="default"/>
    <w:sig w:usb0="800002BF" w:usb1="38CF7CFA" w:usb2="00000016" w:usb3="00000000" w:csb0="00040001" w:csb1="00000000"/>
    <w:embedRegular r:id="rId5" w:fontKey="{E2386538-FA9F-4B90-9912-C20C46E3F158}"/>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71ACE"/>
    <w:multiLevelType w:val="singleLevel"/>
    <w:tmpl w:val="EBE71ACE"/>
    <w:lvl w:ilvl="0" w:tentative="0">
      <w:start w:val="1"/>
      <w:numFmt w:val="decimal"/>
      <w:lvlText w:val="%1."/>
      <w:lvlJc w:val="left"/>
      <w:pPr>
        <w:tabs>
          <w:tab w:val="left" w:pos="312"/>
        </w:tabs>
      </w:pPr>
    </w:lvl>
  </w:abstractNum>
  <w:abstractNum w:abstractNumId="1">
    <w:nsid w:val="F7EC27CF"/>
    <w:multiLevelType w:val="singleLevel"/>
    <w:tmpl w:val="F7EC27CF"/>
    <w:lvl w:ilvl="0" w:tentative="0">
      <w:start w:val="4"/>
      <w:numFmt w:val="chineseCounting"/>
      <w:suff w:val="nothing"/>
      <w:lvlText w:val="（%1）"/>
      <w:lvlJc w:val="left"/>
      <w:rPr>
        <w:rFonts w:hint="eastAsia"/>
      </w:rPr>
    </w:lvl>
  </w:abstractNum>
  <w:abstractNum w:abstractNumId="2">
    <w:nsid w:val="540415D3"/>
    <w:multiLevelType w:val="singleLevel"/>
    <w:tmpl w:val="540415D3"/>
    <w:lvl w:ilvl="0" w:tentative="0">
      <w:start w:val="1"/>
      <w:numFmt w:val="chineseCounting"/>
      <w:suff w:val="nothing"/>
      <w:lvlText w:val="（%1）"/>
      <w:lvlJc w:val="left"/>
      <w:rPr>
        <w:rFonts w:hint="eastAsia"/>
      </w:rPr>
    </w:lvl>
  </w:abstractNum>
  <w:abstractNum w:abstractNumId="3">
    <w:nsid w:val="6CEA2025"/>
    <w:multiLevelType w:val="multilevel"/>
    <w:tmpl w:val="6CEA2025"/>
    <w:lvl w:ilvl="0" w:tentative="0">
      <w:start w:val="1"/>
      <w:numFmt w:val="none"/>
      <w:pStyle w:val="25"/>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20"/>
      <w:suff w:val="nothing"/>
      <w:lvlText w:val="%1%2.%3.%4.%5　"/>
      <w:lvlJc w:val="left"/>
      <w:pPr>
        <w:ind w:left="0" w:firstLine="0"/>
      </w:pPr>
      <w:rPr>
        <w:rFonts w:hint="eastAsia" w:ascii="黑体" w:eastAsia="黑体"/>
        <w:b w:val="0"/>
        <w:i w:val="0"/>
        <w:sz w:val="21"/>
      </w:rPr>
    </w:lvl>
    <w:lvl w:ilvl="5" w:tentative="0">
      <w:start w:val="1"/>
      <w:numFmt w:val="decimal"/>
      <w:pStyle w:val="21"/>
      <w:suff w:val="nothing"/>
      <w:lvlText w:val="%1%2.%3.%4.%5.%6　"/>
      <w:lvlJc w:val="left"/>
      <w:pPr>
        <w:ind w:left="0" w:firstLine="0"/>
      </w:pPr>
      <w:rPr>
        <w:rFonts w:hint="eastAsia" w:ascii="黑体" w:eastAsia="黑体"/>
        <w:b w:val="0"/>
        <w:i w:val="0"/>
        <w:sz w:val="21"/>
      </w:rPr>
    </w:lvl>
    <w:lvl w:ilvl="6" w:tentative="0">
      <w:start w:val="1"/>
      <w:numFmt w:val="decimal"/>
      <w:pStyle w:val="2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4664EEB"/>
    <w:multiLevelType w:val="multilevel"/>
    <w:tmpl w:val="74664EEB"/>
    <w:lvl w:ilvl="0" w:tentative="0">
      <w:start w:val="1"/>
      <w:numFmt w:val="japaneseCounting"/>
      <w:pStyle w:val="27"/>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NTFmNmI4YWVkZTlmN2VhZjJlZmI3NzYxNzk5MWIifQ=="/>
  </w:docVars>
  <w:rsids>
    <w:rsidRoot w:val="52F40A7A"/>
    <w:rsid w:val="00007A3B"/>
    <w:rsid w:val="0001362E"/>
    <w:rsid w:val="000301E7"/>
    <w:rsid w:val="000357FD"/>
    <w:rsid w:val="00042DA8"/>
    <w:rsid w:val="00045229"/>
    <w:rsid w:val="000512D3"/>
    <w:rsid w:val="00056E03"/>
    <w:rsid w:val="00060EB2"/>
    <w:rsid w:val="000647D8"/>
    <w:rsid w:val="000736B7"/>
    <w:rsid w:val="00085266"/>
    <w:rsid w:val="000909BA"/>
    <w:rsid w:val="00094F6B"/>
    <w:rsid w:val="000A38AA"/>
    <w:rsid w:val="000A39DF"/>
    <w:rsid w:val="000B69C7"/>
    <w:rsid w:val="000B6C8F"/>
    <w:rsid w:val="000C482C"/>
    <w:rsid w:val="000C5EA5"/>
    <w:rsid w:val="000C73B6"/>
    <w:rsid w:val="000D4AA2"/>
    <w:rsid w:val="000D4D34"/>
    <w:rsid w:val="000E0033"/>
    <w:rsid w:val="000E1F56"/>
    <w:rsid w:val="000F666F"/>
    <w:rsid w:val="001008A6"/>
    <w:rsid w:val="001117EC"/>
    <w:rsid w:val="0011425E"/>
    <w:rsid w:val="00136612"/>
    <w:rsid w:val="00137598"/>
    <w:rsid w:val="001379D8"/>
    <w:rsid w:val="001404BA"/>
    <w:rsid w:val="0014131C"/>
    <w:rsid w:val="001441AB"/>
    <w:rsid w:val="00153708"/>
    <w:rsid w:val="001538F1"/>
    <w:rsid w:val="00160605"/>
    <w:rsid w:val="001643A4"/>
    <w:rsid w:val="0018765E"/>
    <w:rsid w:val="00192652"/>
    <w:rsid w:val="001B3206"/>
    <w:rsid w:val="001C0310"/>
    <w:rsid w:val="001C450D"/>
    <w:rsid w:val="001C7DA7"/>
    <w:rsid w:val="001D20FE"/>
    <w:rsid w:val="001E0C5E"/>
    <w:rsid w:val="001E22DF"/>
    <w:rsid w:val="001F2328"/>
    <w:rsid w:val="00201A81"/>
    <w:rsid w:val="0020586B"/>
    <w:rsid w:val="00210294"/>
    <w:rsid w:val="002111F4"/>
    <w:rsid w:val="00214B36"/>
    <w:rsid w:val="00216C5F"/>
    <w:rsid w:val="002172C1"/>
    <w:rsid w:val="002219A2"/>
    <w:rsid w:val="00224154"/>
    <w:rsid w:val="002276C5"/>
    <w:rsid w:val="00231022"/>
    <w:rsid w:val="00240039"/>
    <w:rsid w:val="002461EE"/>
    <w:rsid w:val="002556C0"/>
    <w:rsid w:val="00266580"/>
    <w:rsid w:val="002714FB"/>
    <w:rsid w:val="00285DB4"/>
    <w:rsid w:val="0029495C"/>
    <w:rsid w:val="002978BA"/>
    <w:rsid w:val="002A1A2A"/>
    <w:rsid w:val="002A4693"/>
    <w:rsid w:val="002B5A2F"/>
    <w:rsid w:val="002E078A"/>
    <w:rsid w:val="002E08EB"/>
    <w:rsid w:val="002E26A4"/>
    <w:rsid w:val="002E4500"/>
    <w:rsid w:val="002E73C7"/>
    <w:rsid w:val="002F331F"/>
    <w:rsid w:val="002F4911"/>
    <w:rsid w:val="0030021B"/>
    <w:rsid w:val="00300939"/>
    <w:rsid w:val="003114F8"/>
    <w:rsid w:val="003213AB"/>
    <w:rsid w:val="00330246"/>
    <w:rsid w:val="00335065"/>
    <w:rsid w:val="003356FD"/>
    <w:rsid w:val="00341840"/>
    <w:rsid w:val="00344DCA"/>
    <w:rsid w:val="003610C1"/>
    <w:rsid w:val="00361BA1"/>
    <w:rsid w:val="00362592"/>
    <w:rsid w:val="00364D16"/>
    <w:rsid w:val="0036618D"/>
    <w:rsid w:val="00371892"/>
    <w:rsid w:val="0039281A"/>
    <w:rsid w:val="00395C01"/>
    <w:rsid w:val="003A4307"/>
    <w:rsid w:val="003A7559"/>
    <w:rsid w:val="003A7E9E"/>
    <w:rsid w:val="003B1821"/>
    <w:rsid w:val="003C1FC4"/>
    <w:rsid w:val="003C468C"/>
    <w:rsid w:val="003C75FC"/>
    <w:rsid w:val="003D4CDC"/>
    <w:rsid w:val="003E1857"/>
    <w:rsid w:val="003E3205"/>
    <w:rsid w:val="003E3A46"/>
    <w:rsid w:val="003F3405"/>
    <w:rsid w:val="00401A7C"/>
    <w:rsid w:val="00402FE1"/>
    <w:rsid w:val="00404CED"/>
    <w:rsid w:val="0040560F"/>
    <w:rsid w:val="00414DF4"/>
    <w:rsid w:val="00433889"/>
    <w:rsid w:val="00466A67"/>
    <w:rsid w:val="004706BD"/>
    <w:rsid w:val="004711AC"/>
    <w:rsid w:val="0047343A"/>
    <w:rsid w:val="0047535D"/>
    <w:rsid w:val="00477774"/>
    <w:rsid w:val="00482E23"/>
    <w:rsid w:val="0048798C"/>
    <w:rsid w:val="0049553A"/>
    <w:rsid w:val="004A13E8"/>
    <w:rsid w:val="004B216E"/>
    <w:rsid w:val="004B317A"/>
    <w:rsid w:val="004B3F62"/>
    <w:rsid w:val="004B56E1"/>
    <w:rsid w:val="004C7DEA"/>
    <w:rsid w:val="004D1112"/>
    <w:rsid w:val="004D5DCC"/>
    <w:rsid w:val="004E44D8"/>
    <w:rsid w:val="004E55AB"/>
    <w:rsid w:val="004E5D6B"/>
    <w:rsid w:val="00505174"/>
    <w:rsid w:val="005261CB"/>
    <w:rsid w:val="00527551"/>
    <w:rsid w:val="0052788B"/>
    <w:rsid w:val="00530A33"/>
    <w:rsid w:val="005338ED"/>
    <w:rsid w:val="005353A9"/>
    <w:rsid w:val="00537D26"/>
    <w:rsid w:val="005424FE"/>
    <w:rsid w:val="0054308F"/>
    <w:rsid w:val="00547792"/>
    <w:rsid w:val="0055275D"/>
    <w:rsid w:val="00570517"/>
    <w:rsid w:val="00592480"/>
    <w:rsid w:val="005968B3"/>
    <w:rsid w:val="005973A7"/>
    <w:rsid w:val="00597CAF"/>
    <w:rsid w:val="005B135F"/>
    <w:rsid w:val="005B1C23"/>
    <w:rsid w:val="005B5599"/>
    <w:rsid w:val="005B6BA9"/>
    <w:rsid w:val="005C47DF"/>
    <w:rsid w:val="005D150E"/>
    <w:rsid w:val="005D444C"/>
    <w:rsid w:val="005D714D"/>
    <w:rsid w:val="005D7BE4"/>
    <w:rsid w:val="005E1CDE"/>
    <w:rsid w:val="005E4DE7"/>
    <w:rsid w:val="006069FF"/>
    <w:rsid w:val="00611246"/>
    <w:rsid w:val="00613ED1"/>
    <w:rsid w:val="006212CB"/>
    <w:rsid w:val="00626D7F"/>
    <w:rsid w:val="00634B08"/>
    <w:rsid w:val="00641417"/>
    <w:rsid w:val="00657545"/>
    <w:rsid w:val="00661B2F"/>
    <w:rsid w:val="00661FEE"/>
    <w:rsid w:val="0066301B"/>
    <w:rsid w:val="00665425"/>
    <w:rsid w:val="006722D3"/>
    <w:rsid w:val="006816C4"/>
    <w:rsid w:val="006957E0"/>
    <w:rsid w:val="006A5906"/>
    <w:rsid w:val="006A5B11"/>
    <w:rsid w:val="006A5D0E"/>
    <w:rsid w:val="006B7A71"/>
    <w:rsid w:val="006D70EC"/>
    <w:rsid w:val="006D73AF"/>
    <w:rsid w:val="006E2BD2"/>
    <w:rsid w:val="006E7197"/>
    <w:rsid w:val="006F1440"/>
    <w:rsid w:val="006F5BA6"/>
    <w:rsid w:val="006F7E09"/>
    <w:rsid w:val="0070740B"/>
    <w:rsid w:val="00707437"/>
    <w:rsid w:val="00707815"/>
    <w:rsid w:val="00721EE2"/>
    <w:rsid w:val="00727E29"/>
    <w:rsid w:val="00730E6C"/>
    <w:rsid w:val="00733A36"/>
    <w:rsid w:val="00734529"/>
    <w:rsid w:val="007452B3"/>
    <w:rsid w:val="007609B8"/>
    <w:rsid w:val="007671C3"/>
    <w:rsid w:val="007702EA"/>
    <w:rsid w:val="007851EF"/>
    <w:rsid w:val="007A2869"/>
    <w:rsid w:val="007A5579"/>
    <w:rsid w:val="007A5904"/>
    <w:rsid w:val="007B5CA8"/>
    <w:rsid w:val="007D0A53"/>
    <w:rsid w:val="007E2316"/>
    <w:rsid w:val="007F37EE"/>
    <w:rsid w:val="007F67A8"/>
    <w:rsid w:val="007F78F7"/>
    <w:rsid w:val="00800EA9"/>
    <w:rsid w:val="00803B2B"/>
    <w:rsid w:val="00806142"/>
    <w:rsid w:val="008072A2"/>
    <w:rsid w:val="00812919"/>
    <w:rsid w:val="00826793"/>
    <w:rsid w:val="00833836"/>
    <w:rsid w:val="0084042F"/>
    <w:rsid w:val="0085556B"/>
    <w:rsid w:val="0085613D"/>
    <w:rsid w:val="00892A87"/>
    <w:rsid w:val="00893ACB"/>
    <w:rsid w:val="00897C11"/>
    <w:rsid w:val="008A532F"/>
    <w:rsid w:val="008C04B5"/>
    <w:rsid w:val="008D28FA"/>
    <w:rsid w:val="008D7526"/>
    <w:rsid w:val="008E0B5B"/>
    <w:rsid w:val="00904836"/>
    <w:rsid w:val="00906298"/>
    <w:rsid w:val="00906AA1"/>
    <w:rsid w:val="009129EC"/>
    <w:rsid w:val="00915E8E"/>
    <w:rsid w:val="0092390B"/>
    <w:rsid w:val="0092409D"/>
    <w:rsid w:val="00927C4E"/>
    <w:rsid w:val="009332A7"/>
    <w:rsid w:val="00940E4F"/>
    <w:rsid w:val="00943C3E"/>
    <w:rsid w:val="00947E26"/>
    <w:rsid w:val="0095139E"/>
    <w:rsid w:val="00954336"/>
    <w:rsid w:val="009630F8"/>
    <w:rsid w:val="00964CC9"/>
    <w:rsid w:val="009700A1"/>
    <w:rsid w:val="0097489A"/>
    <w:rsid w:val="0098137C"/>
    <w:rsid w:val="00982776"/>
    <w:rsid w:val="00982B8F"/>
    <w:rsid w:val="00986AD3"/>
    <w:rsid w:val="00987678"/>
    <w:rsid w:val="00990039"/>
    <w:rsid w:val="009916B1"/>
    <w:rsid w:val="009A4578"/>
    <w:rsid w:val="009A5BF2"/>
    <w:rsid w:val="009B0913"/>
    <w:rsid w:val="009B5417"/>
    <w:rsid w:val="009B75B2"/>
    <w:rsid w:val="009B77F5"/>
    <w:rsid w:val="009C049D"/>
    <w:rsid w:val="009C08B7"/>
    <w:rsid w:val="009C11C1"/>
    <w:rsid w:val="009D6D29"/>
    <w:rsid w:val="009E1582"/>
    <w:rsid w:val="009F4746"/>
    <w:rsid w:val="009F69DB"/>
    <w:rsid w:val="00A10B97"/>
    <w:rsid w:val="00A23FE8"/>
    <w:rsid w:val="00A259E3"/>
    <w:rsid w:val="00A32C7C"/>
    <w:rsid w:val="00A3458B"/>
    <w:rsid w:val="00A36849"/>
    <w:rsid w:val="00A37326"/>
    <w:rsid w:val="00A417F6"/>
    <w:rsid w:val="00A42957"/>
    <w:rsid w:val="00A470EC"/>
    <w:rsid w:val="00A53B59"/>
    <w:rsid w:val="00A859D0"/>
    <w:rsid w:val="00A900D7"/>
    <w:rsid w:val="00A90F2C"/>
    <w:rsid w:val="00A92BE3"/>
    <w:rsid w:val="00A96D05"/>
    <w:rsid w:val="00AB1B65"/>
    <w:rsid w:val="00AB2810"/>
    <w:rsid w:val="00AB4B0C"/>
    <w:rsid w:val="00AC2B04"/>
    <w:rsid w:val="00AD6D77"/>
    <w:rsid w:val="00AE25AA"/>
    <w:rsid w:val="00AF6E67"/>
    <w:rsid w:val="00B000B8"/>
    <w:rsid w:val="00B1503E"/>
    <w:rsid w:val="00B2687B"/>
    <w:rsid w:val="00B304E9"/>
    <w:rsid w:val="00B31C41"/>
    <w:rsid w:val="00B32326"/>
    <w:rsid w:val="00B422CE"/>
    <w:rsid w:val="00B56C0E"/>
    <w:rsid w:val="00B61237"/>
    <w:rsid w:val="00B6564B"/>
    <w:rsid w:val="00B719E5"/>
    <w:rsid w:val="00B75A61"/>
    <w:rsid w:val="00B93639"/>
    <w:rsid w:val="00BA054B"/>
    <w:rsid w:val="00BA5404"/>
    <w:rsid w:val="00BB01EB"/>
    <w:rsid w:val="00BB5DDA"/>
    <w:rsid w:val="00BB76F5"/>
    <w:rsid w:val="00BC6524"/>
    <w:rsid w:val="00BD4DFD"/>
    <w:rsid w:val="00BD6F78"/>
    <w:rsid w:val="00BE6649"/>
    <w:rsid w:val="00BF1961"/>
    <w:rsid w:val="00BF1DF2"/>
    <w:rsid w:val="00BF604E"/>
    <w:rsid w:val="00C03406"/>
    <w:rsid w:val="00C15ABB"/>
    <w:rsid w:val="00C451C2"/>
    <w:rsid w:val="00C46F59"/>
    <w:rsid w:val="00C53598"/>
    <w:rsid w:val="00C55561"/>
    <w:rsid w:val="00C61BCC"/>
    <w:rsid w:val="00C710D6"/>
    <w:rsid w:val="00C747B0"/>
    <w:rsid w:val="00C7773D"/>
    <w:rsid w:val="00C827F8"/>
    <w:rsid w:val="00C9265B"/>
    <w:rsid w:val="00C955FD"/>
    <w:rsid w:val="00C96EC0"/>
    <w:rsid w:val="00CA2AA3"/>
    <w:rsid w:val="00CA41A5"/>
    <w:rsid w:val="00CA5B30"/>
    <w:rsid w:val="00CB7EB8"/>
    <w:rsid w:val="00CC2DD8"/>
    <w:rsid w:val="00CC4D3B"/>
    <w:rsid w:val="00CD3D7E"/>
    <w:rsid w:val="00CD4D3D"/>
    <w:rsid w:val="00CD6DF7"/>
    <w:rsid w:val="00CF0438"/>
    <w:rsid w:val="00CF4E8E"/>
    <w:rsid w:val="00D0257C"/>
    <w:rsid w:val="00D063E1"/>
    <w:rsid w:val="00D0661A"/>
    <w:rsid w:val="00D16560"/>
    <w:rsid w:val="00D317D7"/>
    <w:rsid w:val="00D4074E"/>
    <w:rsid w:val="00D40E63"/>
    <w:rsid w:val="00D441ED"/>
    <w:rsid w:val="00D5295D"/>
    <w:rsid w:val="00D64197"/>
    <w:rsid w:val="00D66176"/>
    <w:rsid w:val="00D66403"/>
    <w:rsid w:val="00D70F1A"/>
    <w:rsid w:val="00D73E8B"/>
    <w:rsid w:val="00D770C9"/>
    <w:rsid w:val="00D802E2"/>
    <w:rsid w:val="00D8255C"/>
    <w:rsid w:val="00D838AC"/>
    <w:rsid w:val="00D8739D"/>
    <w:rsid w:val="00D94E61"/>
    <w:rsid w:val="00DA7B3E"/>
    <w:rsid w:val="00DB220F"/>
    <w:rsid w:val="00DC111F"/>
    <w:rsid w:val="00DC1721"/>
    <w:rsid w:val="00DC4821"/>
    <w:rsid w:val="00DC6E56"/>
    <w:rsid w:val="00DD0F41"/>
    <w:rsid w:val="00DD42DA"/>
    <w:rsid w:val="00DD60F9"/>
    <w:rsid w:val="00DE13CB"/>
    <w:rsid w:val="00DF2F5D"/>
    <w:rsid w:val="00DF671D"/>
    <w:rsid w:val="00E01A17"/>
    <w:rsid w:val="00E04336"/>
    <w:rsid w:val="00E05C37"/>
    <w:rsid w:val="00E07EA3"/>
    <w:rsid w:val="00E10161"/>
    <w:rsid w:val="00E1662A"/>
    <w:rsid w:val="00E20A22"/>
    <w:rsid w:val="00E21951"/>
    <w:rsid w:val="00E34CA8"/>
    <w:rsid w:val="00E41663"/>
    <w:rsid w:val="00E43B41"/>
    <w:rsid w:val="00E54505"/>
    <w:rsid w:val="00E62F29"/>
    <w:rsid w:val="00E643E8"/>
    <w:rsid w:val="00E64DE5"/>
    <w:rsid w:val="00E92A02"/>
    <w:rsid w:val="00E933D9"/>
    <w:rsid w:val="00E93758"/>
    <w:rsid w:val="00E953C2"/>
    <w:rsid w:val="00EA3E66"/>
    <w:rsid w:val="00EB0332"/>
    <w:rsid w:val="00EB0B12"/>
    <w:rsid w:val="00EB1EE2"/>
    <w:rsid w:val="00EC3B6C"/>
    <w:rsid w:val="00EC65F7"/>
    <w:rsid w:val="00ED018B"/>
    <w:rsid w:val="00EE08EB"/>
    <w:rsid w:val="00EE51E0"/>
    <w:rsid w:val="00EE7D8E"/>
    <w:rsid w:val="00EF0605"/>
    <w:rsid w:val="00EF2897"/>
    <w:rsid w:val="00EF372E"/>
    <w:rsid w:val="00F14412"/>
    <w:rsid w:val="00F14D9D"/>
    <w:rsid w:val="00F20BCD"/>
    <w:rsid w:val="00F22D23"/>
    <w:rsid w:val="00F33457"/>
    <w:rsid w:val="00F340BE"/>
    <w:rsid w:val="00F343D6"/>
    <w:rsid w:val="00F41AE8"/>
    <w:rsid w:val="00F4639D"/>
    <w:rsid w:val="00F51113"/>
    <w:rsid w:val="00F51F15"/>
    <w:rsid w:val="00F5631A"/>
    <w:rsid w:val="00F62630"/>
    <w:rsid w:val="00F6264F"/>
    <w:rsid w:val="00F66419"/>
    <w:rsid w:val="00F70BB2"/>
    <w:rsid w:val="00F72AF7"/>
    <w:rsid w:val="00F81084"/>
    <w:rsid w:val="00F829D1"/>
    <w:rsid w:val="00F909A0"/>
    <w:rsid w:val="00F9381B"/>
    <w:rsid w:val="00F94EB5"/>
    <w:rsid w:val="00F96393"/>
    <w:rsid w:val="00F977D5"/>
    <w:rsid w:val="00FA53CB"/>
    <w:rsid w:val="00FB0950"/>
    <w:rsid w:val="00FB142D"/>
    <w:rsid w:val="00FC1B41"/>
    <w:rsid w:val="00FC1BC7"/>
    <w:rsid w:val="00FC37C1"/>
    <w:rsid w:val="00FC53EA"/>
    <w:rsid w:val="00FE0893"/>
    <w:rsid w:val="00FE40D9"/>
    <w:rsid w:val="00FE558E"/>
    <w:rsid w:val="00FE658D"/>
    <w:rsid w:val="00FF58FD"/>
    <w:rsid w:val="012073A2"/>
    <w:rsid w:val="01973053"/>
    <w:rsid w:val="01CE7107"/>
    <w:rsid w:val="02033A02"/>
    <w:rsid w:val="02160BB9"/>
    <w:rsid w:val="027E74CA"/>
    <w:rsid w:val="03846660"/>
    <w:rsid w:val="03946FB6"/>
    <w:rsid w:val="040E2447"/>
    <w:rsid w:val="04714CC0"/>
    <w:rsid w:val="04AD3F7A"/>
    <w:rsid w:val="04DB3C44"/>
    <w:rsid w:val="05E901FB"/>
    <w:rsid w:val="06025F00"/>
    <w:rsid w:val="063A7C18"/>
    <w:rsid w:val="06BC4688"/>
    <w:rsid w:val="06CC7423"/>
    <w:rsid w:val="06D36EDF"/>
    <w:rsid w:val="070B6B66"/>
    <w:rsid w:val="07436F98"/>
    <w:rsid w:val="0791652A"/>
    <w:rsid w:val="07944EF9"/>
    <w:rsid w:val="091740CA"/>
    <w:rsid w:val="099A4C40"/>
    <w:rsid w:val="0AF11A10"/>
    <w:rsid w:val="0B0401B9"/>
    <w:rsid w:val="0B3722E9"/>
    <w:rsid w:val="0B42743F"/>
    <w:rsid w:val="0B6F477F"/>
    <w:rsid w:val="0B820F05"/>
    <w:rsid w:val="0BE94AFA"/>
    <w:rsid w:val="0C114D3A"/>
    <w:rsid w:val="0C5305F4"/>
    <w:rsid w:val="0CE25932"/>
    <w:rsid w:val="0CF43C8A"/>
    <w:rsid w:val="0D4967B3"/>
    <w:rsid w:val="0DA87EC0"/>
    <w:rsid w:val="0E802E54"/>
    <w:rsid w:val="0E911E04"/>
    <w:rsid w:val="0F447B05"/>
    <w:rsid w:val="0FAB789B"/>
    <w:rsid w:val="0FE44295"/>
    <w:rsid w:val="0FEC3E14"/>
    <w:rsid w:val="10806873"/>
    <w:rsid w:val="10BE6ECD"/>
    <w:rsid w:val="11705D3A"/>
    <w:rsid w:val="11860F94"/>
    <w:rsid w:val="11911C01"/>
    <w:rsid w:val="121B7F8B"/>
    <w:rsid w:val="12A53D1F"/>
    <w:rsid w:val="12F45FA8"/>
    <w:rsid w:val="12F655BF"/>
    <w:rsid w:val="134C146A"/>
    <w:rsid w:val="13D702FD"/>
    <w:rsid w:val="14377FD0"/>
    <w:rsid w:val="14856F74"/>
    <w:rsid w:val="148808AC"/>
    <w:rsid w:val="149C0C39"/>
    <w:rsid w:val="14A27C03"/>
    <w:rsid w:val="151A266A"/>
    <w:rsid w:val="153C3623"/>
    <w:rsid w:val="158840E2"/>
    <w:rsid w:val="15C0748F"/>
    <w:rsid w:val="15D12138"/>
    <w:rsid w:val="15E47C88"/>
    <w:rsid w:val="16174E54"/>
    <w:rsid w:val="16BE53A8"/>
    <w:rsid w:val="16E37F6D"/>
    <w:rsid w:val="16EC742F"/>
    <w:rsid w:val="17480A93"/>
    <w:rsid w:val="17A35DDF"/>
    <w:rsid w:val="182F7669"/>
    <w:rsid w:val="18787EC5"/>
    <w:rsid w:val="18CC2B8B"/>
    <w:rsid w:val="18EF1C9B"/>
    <w:rsid w:val="19BF3DD7"/>
    <w:rsid w:val="19DA7DEE"/>
    <w:rsid w:val="19DC4E83"/>
    <w:rsid w:val="19E84073"/>
    <w:rsid w:val="1A7368C8"/>
    <w:rsid w:val="1A976BB9"/>
    <w:rsid w:val="1AE72CD3"/>
    <w:rsid w:val="1AEF3D03"/>
    <w:rsid w:val="1B7E0E69"/>
    <w:rsid w:val="1BE0460E"/>
    <w:rsid w:val="1C136E65"/>
    <w:rsid w:val="1C4C4278"/>
    <w:rsid w:val="1C542249"/>
    <w:rsid w:val="1C9E476B"/>
    <w:rsid w:val="1CA8000B"/>
    <w:rsid w:val="1CC031EA"/>
    <w:rsid w:val="1D1111C8"/>
    <w:rsid w:val="1D796A5E"/>
    <w:rsid w:val="1D800998"/>
    <w:rsid w:val="1D96232B"/>
    <w:rsid w:val="1DDF2CB1"/>
    <w:rsid w:val="1E6264E0"/>
    <w:rsid w:val="1EA66084"/>
    <w:rsid w:val="1EFA407E"/>
    <w:rsid w:val="1F126151"/>
    <w:rsid w:val="1F61417A"/>
    <w:rsid w:val="1F7B2EE6"/>
    <w:rsid w:val="1FF068CA"/>
    <w:rsid w:val="20363170"/>
    <w:rsid w:val="208A027D"/>
    <w:rsid w:val="210F504D"/>
    <w:rsid w:val="214925D1"/>
    <w:rsid w:val="217B59B6"/>
    <w:rsid w:val="21B878C1"/>
    <w:rsid w:val="21DF74EB"/>
    <w:rsid w:val="22723962"/>
    <w:rsid w:val="22AD1641"/>
    <w:rsid w:val="23CF1C1E"/>
    <w:rsid w:val="23DD07B1"/>
    <w:rsid w:val="23F33414"/>
    <w:rsid w:val="241C4DDC"/>
    <w:rsid w:val="24545B5D"/>
    <w:rsid w:val="24CD0EEF"/>
    <w:rsid w:val="24D067A5"/>
    <w:rsid w:val="25386DCA"/>
    <w:rsid w:val="253C4BBE"/>
    <w:rsid w:val="25D030D9"/>
    <w:rsid w:val="26DA4AFE"/>
    <w:rsid w:val="27B95C35"/>
    <w:rsid w:val="27F25F7B"/>
    <w:rsid w:val="28DB3980"/>
    <w:rsid w:val="28F13D86"/>
    <w:rsid w:val="29204D61"/>
    <w:rsid w:val="29794AC9"/>
    <w:rsid w:val="298939F2"/>
    <w:rsid w:val="29F349D6"/>
    <w:rsid w:val="29F563F0"/>
    <w:rsid w:val="2A897264"/>
    <w:rsid w:val="2A9A65A6"/>
    <w:rsid w:val="2AB10CDE"/>
    <w:rsid w:val="2B4C581C"/>
    <w:rsid w:val="2B5E4C67"/>
    <w:rsid w:val="2B97780B"/>
    <w:rsid w:val="2BC8116D"/>
    <w:rsid w:val="2C623B4C"/>
    <w:rsid w:val="2CCB46E5"/>
    <w:rsid w:val="2D0434AE"/>
    <w:rsid w:val="2D2410CF"/>
    <w:rsid w:val="2D344C00"/>
    <w:rsid w:val="2D923C8D"/>
    <w:rsid w:val="2E2A5CB9"/>
    <w:rsid w:val="2E6073FD"/>
    <w:rsid w:val="2E956FE0"/>
    <w:rsid w:val="2EA475C2"/>
    <w:rsid w:val="2EE20276"/>
    <w:rsid w:val="2F0C37CF"/>
    <w:rsid w:val="2F24002C"/>
    <w:rsid w:val="2F4D09D0"/>
    <w:rsid w:val="2F5A1514"/>
    <w:rsid w:val="2F5B5D05"/>
    <w:rsid w:val="2F6A6545"/>
    <w:rsid w:val="2FAC1724"/>
    <w:rsid w:val="2FC25D27"/>
    <w:rsid w:val="2FE77C32"/>
    <w:rsid w:val="3012047D"/>
    <w:rsid w:val="302C0C9F"/>
    <w:rsid w:val="30C817CC"/>
    <w:rsid w:val="30C84030"/>
    <w:rsid w:val="30EC66DF"/>
    <w:rsid w:val="30FE2122"/>
    <w:rsid w:val="31727782"/>
    <w:rsid w:val="318227E8"/>
    <w:rsid w:val="31AE15C3"/>
    <w:rsid w:val="31E60C8B"/>
    <w:rsid w:val="31FF6CE2"/>
    <w:rsid w:val="32456CC4"/>
    <w:rsid w:val="3311445F"/>
    <w:rsid w:val="33865CDD"/>
    <w:rsid w:val="345E6D06"/>
    <w:rsid w:val="34AC423B"/>
    <w:rsid w:val="34D15C68"/>
    <w:rsid w:val="353A3782"/>
    <w:rsid w:val="3542414B"/>
    <w:rsid w:val="354973A6"/>
    <w:rsid w:val="35860E50"/>
    <w:rsid w:val="35BB3EF4"/>
    <w:rsid w:val="369C4E13"/>
    <w:rsid w:val="36A8469E"/>
    <w:rsid w:val="36B1619C"/>
    <w:rsid w:val="36EC52A3"/>
    <w:rsid w:val="36F84CBD"/>
    <w:rsid w:val="37B16457"/>
    <w:rsid w:val="384D7457"/>
    <w:rsid w:val="386B0FD9"/>
    <w:rsid w:val="3933479C"/>
    <w:rsid w:val="393869BB"/>
    <w:rsid w:val="396D1326"/>
    <w:rsid w:val="39BC21E0"/>
    <w:rsid w:val="39E4102F"/>
    <w:rsid w:val="3A7C039E"/>
    <w:rsid w:val="3A8328DC"/>
    <w:rsid w:val="3B1F04CB"/>
    <w:rsid w:val="3B5222CB"/>
    <w:rsid w:val="3BB5469A"/>
    <w:rsid w:val="3C5B215B"/>
    <w:rsid w:val="3CA40658"/>
    <w:rsid w:val="3D9E4506"/>
    <w:rsid w:val="3DA60433"/>
    <w:rsid w:val="3ED50BDE"/>
    <w:rsid w:val="3EE1042C"/>
    <w:rsid w:val="3EE2552D"/>
    <w:rsid w:val="3F295722"/>
    <w:rsid w:val="40233A00"/>
    <w:rsid w:val="40607FBD"/>
    <w:rsid w:val="408F1B38"/>
    <w:rsid w:val="4165602A"/>
    <w:rsid w:val="416B0F76"/>
    <w:rsid w:val="417E0D3F"/>
    <w:rsid w:val="42B40A8B"/>
    <w:rsid w:val="431472BE"/>
    <w:rsid w:val="43154769"/>
    <w:rsid w:val="43EB17DA"/>
    <w:rsid w:val="449E6649"/>
    <w:rsid w:val="450C4D75"/>
    <w:rsid w:val="45546028"/>
    <w:rsid w:val="45D8152E"/>
    <w:rsid w:val="46184524"/>
    <w:rsid w:val="46ED03C2"/>
    <w:rsid w:val="47973076"/>
    <w:rsid w:val="4818629E"/>
    <w:rsid w:val="484F252F"/>
    <w:rsid w:val="4862180D"/>
    <w:rsid w:val="48CB7DE0"/>
    <w:rsid w:val="48DE3F2D"/>
    <w:rsid w:val="497F5F49"/>
    <w:rsid w:val="49E1340B"/>
    <w:rsid w:val="49ED257B"/>
    <w:rsid w:val="4A0237E4"/>
    <w:rsid w:val="4A8A1CA2"/>
    <w:rsid w:val="4B011028"/>
    <w:rsid w:val="4B2F3FE8"/>
    <w:rsid w:val="4B5D3AD9"/>
    <w:rsid w:val="4BF62B9B"/>
    <w:rsid w:val="4C661C38"/>
    <w:rsid w:val="4C69402E"/>
    <w:rsid w:val="4C695DDB"/>
    <w:rsid w:val="4C9A5EA5"/>
    <w:rsid w:val="4CDF3A61"/>
    <w:rsid w:val="4D1225FB"/>
    <w:rsid w:val="4D222EA7"/>
    <w:rsid w:val="4D6B36ED"/>
    <w:rsid w:val="4D9A3B9B"/>
    <w:rsid w:val="4DD528AB"/>
    <w:rsid w:val="4DF026E8"/>
    <w:rsid w:val="4E003582"/>
    <w:rsid w:val="4E3C045A"/>
    <w:rsid w:val="4E755E5F"/>
    <w:rsid w:val="4EE2079C"/>
    <w:rsid w:val="4F0E378C"/>
    <w:rsid w:val="4F3D6BB8"/>
    <w:rsid w:val="4F4E509D"/>
    <w:rsid w:val="503467D7"/>
    <w:rsid w:val="503D5B3F"/>
    <w:rsid w:val="509715B3"/>
    <w:rsid w:val="51885345"/>
    <w:rsid w:val="52C21214"/>
    <w:rsid w:val="52F40A7A"/>
    <w:rsid w:val="53AB37CE"/>
    <w:rsid w:val="54295E4B"/>
    <w:rsid w:val="54706EE3"/>
    <w:rsid w:val="54781D67"/>
    <w:rsid w:val="54BA6FAE"/>
    <w:rsid w:val="54BC4A49"/>
    <w:rsid w:val="55013876"/>
    <w:rsid w:val="55050666"/>
    <w:rsid w:val="55297417"/>
    <w:rsid w:val="553D7C77"/>
    <w:rsid w:val="55527E49"/>
    <w:rsid w:val="555F515E"/>
    <w:rsid w:val="56B93F99"/>
    <w:rsid w:val="56C27DEF"/>
    <w:rsid w:val="56F85BDB"/>
    <w:rsid w:val="56FA72B4"/>
    <w:rsid w:val="57322BDA"/>
    <w:rsid w:val="57827D4C"/>
    <w:rsid w:val="579529A0"/>
    <w:rsid w:val="57C3245A"/>
    <w:rsid w:val="57CD32DE"/>
    <w:rsid w:val="57EB02E7"/>
    <w:rsid w:val="57EE6D4B"/>
    <w:rsid w:val="58A62F16"/>
    <w:rsid w:val="58BE7A1C"/>
    <w:rsid w:val="59772169"/>
    <w:rsid w:val="59EB6DA7"/>
    <w:rsid w:val="5A451F5C"/>
    <w:rsid w:val="5ABA692B"/>
    <w:rsid w:val="5B20154B"/>
    <w:rsid w:val="5BF4727D"/>
    <w:rsid w:val="5C4C5F63"/>
    <w:rsid w:val="5CF30946"/>
    <w:rsid w:val="5D014110"/>
    <w:rsid w:val="5D1330D6"/>
    <w:rsid w:val="5D5F36ED"/>
    <w:rsid w:val="5DA3099B"/>
    <w:rsid w:val="5DB11630"/>
    <w:rsid w:val="5E0A1CB3"/>
    <w:rsid w:val="5EB85928"/>
    <w:rsid w:val="5ED013E9"/>
    <w:rsid w:val="5F0437D4"/>
    <w:rsid w:val="5F563DE3"/>
    <w:rsid w:val="5F9D097E"/>
    <w:rsid w:val="5FBE15F0"/>
    <w:rsid w:val="5FFE39FF"/>
    <w:rsid w:val="60090E87"/>
    <w:rsid w:val="60721153"/>
    <w:rsid w:val="60AD2485"/>
    <w:rsid w:val="61154026"/>
    <w:rsid w:val="616855EF"/>
    <w:rsid w:val="61906C44"/>
    <w:rsid w:val="62B738DE"/>
    <w:rsid w:val="62C45871"/>
    <w:rsid w:val="62E269BE"/>
    <w:rsid w:val="63273FE2"/>
    <w:rsid w:val="633C4553"/>
    <w:rsid w:val="635E1DC8"/>
    <w:rsid w:val="637847A3"/>
    <w:rsid w:val="63AF35C2"/>
    <w:rsid w:val="63B306FF"/>
    <w:rsid w:val="63DB6CD0"/>
    <w:rsid w:val="63E30C56"/>
    <w:rsid w:val="63F8153B"/>
    <w:rsid w:val="641A1FE0"/>
    <w:rsid w:val="648A3DC7"/>
    <w:rsid w:val="64986500"/>
    <w:rsid w:val="64E84C0B"/>
    <w:rsid w:val="666A2CEB"/>
    <w:rsid w:val="666C3C15"/>
    <w:rsid w:val="66B5037B"/>
    <w:rsid w:val="66BF71C4"/>
    <w:rsid w:val="676F0FA5"/>
    <w:rsid w:val="6790410F"/>
    <w:rsid w:val="67BF0790"/>
    <w:rsid w:val="680A63DF"/>
    <w:rsid w:val="683407E6"/>
    <w:rsid w:val="68A1291D"/>
    <w:rsid w:val="68B76BCA"/>
    <w:rsid w:val="68D12C7B"/>
    <w:rsid w:val="68EA387A"/>
    <w:rsid w:val="68FC3CE7"/>
    <w:rsid w:val="693646B5"/>
    <w:rsid w:val="69660EC1"/>
    <w:rsid w:val="69B721C8"/>
    <w:rsid w:val="69D35D2D"/>
    <w:rsid w:val="69D45F41"/>
    <w:rsid w:val="69DF6309"/>
    <w:rsid w:val="6A5A14D1"/>
    <w:rsid w:val="6A9B3230"/>
    <w:rsid w:val="6AB6350D"/>
    <w:rsid w:val="6B4E3F01"/>
    <w:rsid w:val="6BEE5365"/>
    <w:rsid w:val="6C5F2CAF"/>
    <w:rsid w:val="6CEA3ABA"/>
    <w:rsid w:val="6D833919"/>
    <w:rsid w:val="6E0C603E"/>
    <w:rsid w:val="6E5720A4"/>
    <w:rsid w:val="6F100594"/>
    <w:rsid w:val="6F3E221D"/>
    <w:rsid w:val="6F657C10"/>
    <w:rsid w:val="6FAF1154"/>
    <w:rsid w:val="6FB05B67"/>
    <w:rsid w:val="7003626C"/>
    <w:rsid w:val="70241AA7"/>
    <w:rsid w:val="705F3713"/>
    <w:rsid w:val="707E05FA"/>
    <w:rsid w:val="72BD7A32"/>
    <w:rsid w:val="72C76B03"/>
    <w:rsid w:val="73041F38"/>
    <w:rsid w:val="73222030"/>
    <w:rsid w:val="73290958"/>
    <w:rsid w:val="73580236"/>
    <w:rsid w:val="738003D8"/>
    <w:rsid w:val="760E35F4"/>
    <w:rsid w:val="76552FDB"/>
    <w:rsid w:val="76B722F6"/>
    <w:rsid w:val="76E62152"/>
    <w:rsid w:val="76EC3085"/>
    <w:rsid w:val="77A46809"/>
    <w:rsid w:val="77EE4ADF"/>
    <w:rsid w:val="78B57F31"/>
    <w:rsid w:val="78ED11E9"/>
    <w:rsid w:val="79C42846"/>
    <w:rsid w:val="7A123434"/>
    <w:rsid w:val="7A5B26E7"/>
    <w:rsid w:val="7A610B9B"/>
    <w:rsid w:val="7A6275CC"/>
    <w:rsid w:val="7AB768AA"/>
    <w:rsid w:val="7AFA5663"/>
    <w:rsid w:val="7BF65A6C"/>
    <w:rsid w:val="7C686567"/>
    <w:rsid w:val="7C7C2E72"/>
    <w:rsid w:val="7CE0598F"/>
    <w:rsid w:val="7D0B1632"/>
    <w:rsid w:val="7DA37707"/>
    <w:rsid w:val="7DAB739D"/>
    <w:rsid w:val="7DE5123F"/>
    <w:rsid w:val="7E2327CC"/>
    <w:rsid w:val="7E565709"/>
    <w:rsid w:val="7E9D55BD"/>
    <w:rsid w:val="7EBB4BE7"/>
    <w:rsid w:val="7ED20D09"/>
    <w:rsid w:val="7EF316DC"/>
    <w:rsid w:val="7F6A4D24"/>
    <w:rsid w:val="7FB976B6"/>
    <w:rsid w:val="7FBF1496"/>
    <w:rsid w:val="7FDA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Document Map"/>
    <w:basedOn w:val="1"/>
    <w:link w:val="18"/>
    <w:autoRedefine/>
    <w:qFormat/>
    <w:uiPriority w:val="0"/>
    <w:rPr>
      <w:rFonts w:ascii="宋体"/>
      <w:sz w:val="18"/>
      <w:szCs w:val="18"/>
    </w:rPr>
  </w:style>
  <w:style w:type="paragraph" w:styleId="4">
    <w:name w:val="Balloon Text"/>
    <w:basedOn w:val="1"/>
    <w:link w:val="17"/>
    <w:autoRedefine/>
    <w:qFormat/>
    <w:uiPriority w:val="0"/>
    <w:rPr>
      <w:sz w:val="18"/>
      <w:szCs w:val="18"/>
    </w:r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styleId="12">
    <w:name w:val="List Paragraph"/>
    <w:basedOn w:val="1"/>
    <w:autoRedefine/>
    <w:qFormat/>
    <w:uiPriority w:val="34"/>
    <w:pPr>
      <w:ind w:firstLine="420" w:firstLineChars="200"/>
    </w:pPr>
    <w:rPr>
      <w:szCs w:val="22"/>
    </w:rPr>
  </w:style>
  <w:style w:type="paragraph" w:customStyle="1" w:styleId="13">
    <w:name w:val="标准文件_段"/>
    <w:link w:val="1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标准文件_段 Char"/>
    <w:link w:val="13"/>
    <w:autoRedefine/>
    <w:qFormat/>
    <w:uiPriority w:val="0"/>
    <w:rPr>
      <w:rFonts w:ascii="宋体"/>
      <w:sz w:val="21"/>
    </w:rPr>
  </w:style>
  <w:style w:type="character" w:customStyle="1" w:styleId="15">
    <w:name w:val="页眉 字符"/>
    <w:basedOn w:val="10"/>
    <w:link w:val="6"/>
    <w:autoRedefine/>
    <w:qFormat/>
    <w:uiPriority w:val="0"/>
    <w:rPr>
      <w:rFonts w:ascii="Times New Roman" w:hAnsi="Times New Roman"/>
      <w:kern w:val="2"/>
      <w:sz w:val="18"/>
      <w:szCs w:val="18"/>
    </w:rPr>
  </w:style>
  <w:style w:type="character" w:customStyle="1" w:styleId="16">
    <w:name w:val="页脚 字符"/>
    <w:basedOn w:val="10"/>
    <w:link w:val="5"/>
    <w:autoRedefine/>
    <w:qFormat/>
    <w:uiPriority w:val="0"/>
    <w:rPr>
      <w:rFonts w:ascii="Times New Roman" w:hAnsi="Times New Roman"/>
      <w:kern w:val="2"/>
      <w:sz w:val="18"/>
      <w:szCs w:val="18"/>
    </w:rPr>
  </w:style>
  <w:style w:type="character" w:customStyle="1" w:styleId="17">
    <w:name w:val="批注框文本 字符"/>
    <w:basedOn w:val="10"/>
    <w:link w:val="4"/>
    <w:autoRedefine/>
    <w:qFormat/>
    <w:uiPriority w:val="0"/>
    <w:rPr>
      <w:rFonts w:ascii="Times New Roman" w:hAnsi="Times New Roman"/>
      <w:kern w:val="2"/>
      <w:sz w:val="18"/>
      <w:szCs w:val="18"/>
    </w:rPr>
  </w:style>
  <w:style w:type="character" w:customStyle="1" w:styleId="18">
    <w:name w:val="文档结构图 字符"/>
    <w:basedOn w:val="10"/>
    <w:link w:val="3"/>
    <w:autoRedefine/>
    <w:qFormat/>
    <w:uiPriority w:val="0"/>
    <w:rPr>
      <w:rFonts w:ascii="宋体"/>
      <w:kern w:val="2"/>
      <w:sz w:val="18"/>
      <w:szCs w:val="18"/>
    </w:rPr>
  </w:style>
  <w:style w:type="paragraph" w:customStyle="1" w:styleId="19">
    <w:name w:val="标准文件_二级条标题"/>
    <w:next w:val="13"/>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0">
    <w:name w:val="标准文件_三级条标题"/>
    <w:basedOn w:val="19"/>
    <w:next w:val="13"/>
    <w:autoRedefine/>
    <w:qFormat/>
    <w:uiPriority w:val="0"/>
    <w:pPr>
      <w:widowControl/>
      <w:numPr>
        <w:ilvl w:val="4"/>
      </w:numPr>
      <w:outlineLvl w:val="3"/>
    </w:pPr>
  </w:style>
  <w:style w:type="paragraph" w:customStyle="1" w:styleId="21">
    <w:name w:val="标准文件_四级条标题"/>
    <w:next w:val="13"/>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22">
    <w:name w:val="标准文件_五级条标题"/>
    <w:next w:val="13"/>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23">
    <w:name w:val="标准文件_章标题"/>
    <w:next w:val="13"/>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4">
    <w:name w:val="标准文件_一级条标题"/>
    <w:basedOn w:val="23"/>
    <w:next w:val="13"/>
    <w:autoRedefine/>
    <w:qFormat/>
    <w:uiPriority w:val="0"/>
    <w:pPr>
      <w:numPr>
        <w:ilvl w:val="2"/>
      </w:numPr>
      <w:spacing w:beforeLines="50" w:afterLines="50"/>
      <w:outlineLvl w:val="1"/>
    </w:pPr>
  </w:style>
  <w:style w:type="paragraph" w:customStyle="1" w:styleId="25">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6">
    <w:name w:val="标准文件_术语条一"/>
    <w:basedOn w:val="1"/>
    <w:next w:val="13"/>
    <w:autoRedefine/>
    <w:qFormat/>
    <w:uiPriority w:val="0"/>
    <w:pPr>
      <w:widowControl/>
      <w:numPr>
        <w:ilvl w:val="2"/>
        <w:numId w:val="2"/>
      </w:numPr>
    </w:pPr>
    <w:rPr>
      <w:rFonts w:ascii="宋体"/>
      <w:kern w:val="0"/>
      <w:szCs w:val="20"/>
    </w:rPr>
  </w:style>
  <w:style w:type="paragraph" w:customStyle="1" w:styleId="27">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character" w:customStyle="1" w:styleId="28">
    <w:name w:val="font21"/>
    <w:basedOn w:val="10"/>
    <w:autoRedefine/>
    <w:qFormat/>
    <w:uiPriority w:val="0"/>
    <w:rPr>
      <w:rFonts w:hint="eastAsia" w:ascii="等线" w:hAnsi="等线" w:eastAsia="等线"/>
      <w:color w:val="FF0000"/>
      <w:sz w:val="20"/>
      <w:szCs w:val="20"/>
      <w:u w:val="none"/>
    </w:rPr>
  </w:style>
  <w:style w:type="character" w:customStyle="1" w:styleId="29">
    <w:name w:val="font01"/>
    <w:basedOn w:val="10"/>
    <w:autoRedefine/>
    <w:qFormat/>
    <w:uiPriority w:val="0"/>
    <w:rPr>
      <w:rFonts w:hint="eastAsia" w:ascii="等线" w:hAnsi="等线" w:eastAsia="等线"/>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89A769-1F83-43BB-9EA6-3E14933BBB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1017</Words>
  <Characters>5802</Characters>
  <Lines>48</Lines>
  <Paragraphs>13</Paragraphs>
  <TotalTime>5</TotalTime>
  <ScaleCrop>false</ScaleCrop>
  <LinksUpToDate>false</LinksUpToDate>
  <CharactersWithSpaces>6806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2021-11-23T02:52:00Z</dcterms:created>
  <dc:creator>Administrator</dc:creator>
  <cp:lastModifiedBy>何嘉楠</cp:lastModifiedBy>
  <dcterms:modified xsi:type="dcterms:W3CDTF">2024-02-03T07:37:49Z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9E9A9BDCCD0F4BB4B780F1C67A16302C</vt:lpwstr>
  </property>
</Properties>
</file>