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黑体" w:eastAsia="方正小标宋简体" w:cs="黑体"/>
          <w:bCs/>
          <w:color w:val="000000"/>
          <w:sz w:val="44"/>
          <w:szCs w:val="44"/>
        </w:rPr>
      </w:pPr>
      <w:r>
        <w:rPr>
          <w:rFonts w:hint="eastAsia" w:ascii="方正小标宋简体" w:hAnsi="黑体" w:eastAsia="方正小标宋简体" w:cs="黑体"/>
          <w:bCs/>
          <w:color w:val="000000"/>
          <w:sz w:val="44"/>
          <w:szCs w:val="44"/>
        </w:rPr>
        <w:t>团体标准《</w:t>
      </w:r>
      <w:r>
        <w:rPr>
          <w:rFonts w:hint="eastAsia" w:ascii="方正小标宋简体" w:hAnsi="黑体" w:eastAsia="方正小标宋简体" w:cs="黑体"/>
          <w:bCs/>
          <w:color w:val="000000"/>
          <w:sz w:val="44"/>
          <w:szCs w:val="44"/>
          <w:lang w:eastAsia="zh-CN"/>
        </w:rPr>
        <w:t>地理标志农产品  百色红茶</w:t>
      </w:r>
      <w:r>
        <w:rPr>
          <w:rFonts w:hint="eastAsia" w:ascii="方正小标宋简体" w:hAnsi="黑体" w:eastAsia="方正小标宋简体" w:cs="黑体"/>
          <w:bCs/>
          <w:color w:val="000000"/>
          <w:sz w:val="44"/>
          <w:szCs w:val="44"/>
        </w:rPr>
        <w:t>》（</w:t>
      </w:r>
      <w:r>
        <w:rPr>
          <w:rFonts w:hint="eastAsia" w:ascii="方正小标宋简体" w:hAnsi="黑体" w:eastAsia="方正小标宋简体" w:cs="黑体"/>
          <w:bCs/>
          <w:color w:val="000000"/>
          <w:sz w:val="44"/>
          <w:szCs w:val="44"/>
          <w:lang w:val="en-US" w:eastAsia="zh-CN"/>
        </w:rPr>
        <w:t>征求意见稿</w:t>
      </w:r>
      <w:r>
        <w:rPr>
          <w:rFonts w:hint="eastAsia" w:ascii="方正小标宋简体" w:hAnsi="黑体" w:eastAsia="方正小标宋简体" w:cs="黑体"/>
          <w:bCs/>
          <w:color w:val="000000"/>
          <w:sz w:val="44"/>
          <w:szCs w:val="44"/>
        </w:rPr>
        <w:t>）编制说明</w:t>
      </w:r>
    </w:p>
    <w:p>
      <w:pPr>
        <w:spacing w:line="600" w:lineRule="exact"/>
        <w:jc w:val="center"/>
        <w:rPr>
          <w:rFonts w:ascii="方正小标宋简体" w:hAnsi="黑体" w:eastAsia="方正小标宋简体" w:cs="黑体"/>
          <w:bCs/>
          <w:color w:val="000000"/>
          <w:sz w:val="44"/>
          <w:szCs w:val="44"/>
        </w:rPr>
      </w:pP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w:t>
      </w:r>
      <w:r>
        <w:rPr>
          <w:rFonts w:ascii="黑体" w:hAnsi="黑体" w:eastAsia="黑体" w:cs="仿宋_GB2312"/>
          <w:sz w:val="32"/>
          <w:szCs w:val="32"/>
        </w:rPr>
        <w:t>、</w:t>
      </w:r>
      <w:r>
        <w:rPr>
          <w:rFonts w:hint="eastAsia" w:ascii="黑体" w:hAnsi="黑体" w:eastAsia="黑体" w:cs="仿宋_GB2312"/>
          <w:sz w:val="32"/>
          <w:szCs w:val="32"/>
        </w:rPr>
        <w:t>项目来源</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lang w:val="zh-CN"/>
        </w:rPr>
        <w:t>根</w:t>
      </w:r>
      <w:r>
        <w:rPr>
          <w:rFonts w:hint="eastAsia" w:ascii="仿宋_GB2312" w:hAnsi="宋体" w:eastAsia="仿宋_GB2312"/>
          <w:color w:val="auto"/>
          <w:sz w:val="32"/>
          <w:szCs w:val="32"/>
          <w:lang w:val="zh-CN"/>
        </w:rPr>
        <w:t>据《广西茶业协会</w:t>
      </w:r>
      <w:r>
        <w:rPr>
          <w:rFonts w:hint="eastAsia" w:ascii="仿宋_GB2312" w:hAnsi="宋体" w:eastAsia="仿宋_GB2312"/>
          <w:color w:val="auto"/>
          <w:sz w:val="32"/>
          <w:szCs w:val="32"/>
          <w:lang w:val="en-US" w:eastAsia="zh-CN"/>
        </w:rPr>
        <w:t>关于下达2023年第四批团体标准制修订项目计划的通知</w:t>
      </w:r>
      <w:r>
        <w:rPr>
          <w:rFonts w:hint="eastAsia" w:ascii="仿宋_GB2312" w:hAnsi="宋体" w:eastAsia="仿宋_GB2312"/>
          <w:color w:val="auto"/>
          <w:sz w:val="32"/>
          <w:szCs w:val="32"/>
          <w:lang w:val="zh-CN"/>
        </w:rPr>
        <w:t>》（桂茶协字[202</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lang w:val="zh-CN"/>
        </w:rPr>
        <w:t>]第</w:t>
      </w:r>
      <w:r>
        <w:rPr>
          <w:rFonts w:hint="eastAsia" w:ascii="仿宋_GB2312" w:hAnsi="宋体" w:eastAsia="仿宋_GB2312"/>
          <w:color w:val="auto"/>
          <w:sz w:val="32"/>
          <w:szCs w:val="32"/>
          <w:lang w:val="en-US" w:eastAsia="zh-CN"/>
        </w:rPr>
        <w:t>42</w:t>
      </w:r>
      <w:r>
        <w:rPr>
          <w:rFonts w:hint="eastAsia" w:ascii="仿宋_GB2312" w:hAnsi="宋体" w:eastAsia="仿宋_GB2312"/>
          <w:color w:val="auto"/>
          <w:sz w:val="32"/>
          <w:szCs w:val="32"/>
          <w:lang w:val="zh-CN"/>
        </w:rPr>
        <w:t>号）文件精神，由</w:t>
      </w:r>
      <w:r>
        <w:rPr>
          <w:rFonts w:hint="eastAsia" w:ascii="仿宋_GB2312" w:hAnsi="宋体" w:eastAsia="仿宋_GB2312"/>
          <w:color w:val="auto"/>
          <w:sz w:val="32"/>
          <w:szCs w:val="32"/>
          <w:lang w:val="en-US" w:eastAsia="zh-CN"/>
        </w:rPr>
        <w:t>百色市茶业发展中心</w:t>
      </w:r>
      <w:r>
        <w:rPr>
          <w:rFonts w:hint="eastAsia" w:ascii="仿宋_GB2312" w:hAnsi="宋体" w:eastAsia="仿宋_GB2312"/>
          <w:color w:val="auto"/>
          <w:sz w:val="32"/>
          <w:szCs w:val="32"/>
          <w:lang w:val="zh-CN"/>
        </w:rPr>
        <w:t>提出，</w:t>
      </w:r>
      <w:r>
        <w:rPr>
          <w:rFonts w:hint="eastAsia" w:ascii="仿宋_GB2312" w:hAnsi="宋体" w:eastAsia="仿宋_GB2312"/>
          <w:color w:val="auto"/>
          <w:sz w:val="32"/>
          <w:szCs w:val="32"/>
          <w:lang w:val="en-US" w:eastAsia="zh-CN"/>
        </w:rPr>
        <w:t>百色市茶业发展中心、广西绿异茶树良种研究院、广西壮族自治区茶叶科学研究所、乐业县茶叶生产管理中心、凌云县经济作物发展中心、平果市经济作物工作站、西林县茶叶发展服务中心、广西茶业协会、广西隆林三冲茶业有限公司、广西凌云县金字塔白毫茶业有限公司、广西西林九龙山茶业有限公司、广西正道茶业有限公司、广西龙云山茶业集团有限公司、广西凌云一尖茶业有限公司、广西八桂凌云茶业有限公司、广西艺苑农业科技有限公司等单位</w:t>
      </w:r>
      <w:r>
        <w:rPr>
          <w:rFonts w:hint="eastAsia" w:ascii="仿宋_GB2312" w:hAnsi="宋体" w:eastAsia="仿宋_GB2312"/>
          <w:color w:val="auto"/>
          <w:sz w:val="32"/>
          <w:szCs w:val="32"/>
          <w:lang w:val="zh-CN"/>
        </w:rPr>
        <w:t>共同起草的团体标准《</w:t>
      </w:r>
      <w:r>
        <w:rPr>
          <w:rFonts w:hint="eastAsia" w:ascii="仿宋_GB2312" w:hAnsi="宋体" w:eastAsia="仿宋_GB2312"/>
          <w:color w:val="auto"/>
          <w:sz w:val="32"/>
          <w:szCs w:val="32"/>
          <w:lang w:eastAsia="zh-CN"/>
        </w:rPr>
        <w:t>地理标志农产品  百色红茶</w:t>
      </w:r>
      <w:r>
        <w:rPr>
          <w:rFonts w:hint="eastAsia" w:ascii="仿宋_GB2312" w:hAnsi="宋体" w:eastAsia="仿宋_GB2312"/>
          <w:color w:val="auto"/>
          <w:sz w:val="32"/>
          <w:szCs w:val="32"/>
          <w:lang w:val="zh-CN"/>
        </w:rPr>
        <w:t>》。</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w:t>
      </w:r>
      <w:r>
        <w:rPr>
          <w:rFonts w:ascii="黑体" w:hAnsi="黑体" w:eastAsia="黑体" w:cs="仿宋_GB2312"/>
          <w:sz w:val="32"/>
          <w:szCs w:val="32"/>
        </w:rPr>
        <w:t>、</w:t>
      </w:r>
      <w:r>
        <w:rPr>
          <w:rFonts w:hint="eastAsia" w:ascii="黑体" w:hAnsi="黑体" w:eastAsia="黑体" w:cs="仿宋_GB2312"/>
          <w:sz w:val="32"/>
          <w:szCs w:val="32"/>
        </w:rPr>
        <w:t>项目背景及目的意义</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2022年4月，自治区农业农村厅办公室《关于印发2022年全区“三品一标”发展工作方案的通知》(桂农厅办发〔2022〕59号)，提出以“稳发展优供给、强品牌、增效益”为目标，大力扩大“三品一标”规模，增加“三品一标”产品供给，培育“三品一标”品牌，确保“三品一标”质量，为全面推进乡村振兴、推动高质量发展、促进共同富裕提供有力支撑。广西自治区农业农村厅积极落实自治区党委、政府关于促进我区茶产业高质量发展的战略部署，紧紧围绕打造千亿元茶产业的目标，出台《关于促进广西茶产业高质量发展的若干意见》等多项指导性、政策性文件，从资金、项目、科技、人才、市场、品牌等各要素为茶产业的高质量发展保驾护航。</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广西百色市茶叶种植有历史记载始于明孝宗弘治(1488年)年间，现在辖区还存活大量野生老茶树。百色红茶原料以本地特有茶叶品种—凌云白毫茶加工而成，该品种1985年全国农作物品种审定委员会认定为第一批国家级茶树良种一华茶26号，编号GS13026-1985，上世纪7080年代，百色作为“全国红碎茶出口生产基地”，代表了中国红茶的优秀品质。2009-2013年第八届～第十届“中茶杯”全国名优茶评比，红茶类产品特等奖全国79个，百色红茶占15个。2010～2014年第一届～第三届"国饮杯”全国名优茶评比，红茶类产品特等奖全国42个，百色红茶占15个。2001年第三回国际名茶评比“功夫红茶(一级)“获国际名茶金奖。百色红茶农产品地理标志保护范围在东经104º42、～107º48、，北纬22.53～25.02之间，虽属亚热带季风气候区，但茶叶主要种情在海拔600～1800米山地，气候温凉，土壤富硒，空气清新、云雾缠绕。在此环境种植的本地特有的古老茶树品种—凌云白室茶(华茶26号“GSCT2”》，叶质较薄而柔软，白毫特多，芽头粗壮。百色红茶成品具有乌润多毫、汤色红亮、甜醇回甘、耐泡、富硒、内含物丰富等独特品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近年来，百色市政府通过招商引资，先后引进多家红茶加工企业，公司与茶农签订收购协议，以“茶业公司+贫困户”的扶贫模式，建立标准化茶园，通过茶农统一种植、管理、采摘，茶厂统一收购、加工、销售的模式完善产业链，提高茶叶产业的经济效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本标准是在充分收集相关资料和文献，分析地理标志农产品百色红茶当前现状，调研地理标志农产品百色红茶市场情况，在现有国家、行业标准相关地理标志农产品百色红茶产品要求的基础上，结合农产品地理标志质量控制技术规范及百色红茶实际而总结起草的，符合当前百色红茶产品发展方向与市场需求，有利于行业的长远发展，有利于提高百色红茶质量和商品经济价值，提高农民经济效益，对推动百色红茶产业健康发展，促进农民增收致富，具有较强的实用性和可操作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目前尚未有统一的百色红茶产品标准对市场上百色红茶产品进行规范化管理，百色红茶产品无相关标准可依据，百色红茶的产品质量难以得到保障，参差不齐，在没有标准化运作下便大规模的外销，会对百色红茶地理标志的地位、品牌和百色红茶产业的健康持续、高质量发展构成威胁。因此，通过制定团体标准《地理标志农产品  百色红茶》，完善百色红茶标准化体系构建，提高百色红茶产品质量水平，促进百色红茶向标准化、规模化和产业化方向发展具有重要意义。</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w:t>
      </w:r>
      <w:r>
        <w:rPr>
          <w:rFonts w:ascii="黑体" w:hAnsi="黑体" w:eastAsia="黑体" w:cs="仿宋_GB2312"/>
          <w:sz w:val="32"/>
          <w:szCs w:val="32"/>
        </w:rPr>
        <w:t>、</w:t>
      </w:r>
      <w:r>
        <w:rPr>
          <w:rFonts w:hint="eastAsia" w:ascii="黑体" w:hAnsi="黑体" w:eastAsia="黑体" w:cs="仿宋_GB2312"/>
          <w:sz w:val="32"/>
          <w:szCs w:val="32"/>
        </w:rPr>
        <w:t>标准编制过程</w:t>
      </w:r>
    </w:p>
    <w:p>
      <w:pPr>
        <w:adjustRightInd w:val="0"/>
        <w:snapToGrid w:val="0"/>
        <w:spacing w:before="156" w:beforeLines="50" w:after="156" w:afterLines="50" w:line="560" w:lineRule="exact"/>
        <w:ind w:left="505"/>
        <w:rPr>
          <w:rFonts w:ascii="楷体" w:hAnsi="楷体" w:eastAsia="楷体" w:cs="黑体"/>
          <w:bCs/>
          <w:sz w:val="32"/>
          <w:szCs w:val="32"/>
        </w:rPr>
      </w:pPr>
      <w:r>
        <w:rPr>
          <w:rFonts w:hint="eastAsia" w:ascii="楷体" w:hAnsi="楷体" w:eastAsia="楷体" w:cs="仿宋_GB2312"/>
          <w:b/>
          <w:sz w:val="32"/>
          <w:szCs w:val="32"/>
        </w:rPr>
        <w:t>（一）成立标准编制工作组</w:t>
      </w:r>
    </w:p>
    <w:p>
      <w:pPr>
        <w:spacing w:line="560" w:lineRule="exact"/>
        <w:ind w:firstLine="640" w:firstLineChars="200"/>
        <w:rPr>
          <w:rFonts w:hint="eastAsia" w:ascii="仿宋_GB2312" w:hAnsi="宋体" w:eastAsia="仿宋_GB2312"/>
          <w:color w:val="auto"/>
          <w:sz w:val="32"/>
          <w:szCs w:val="32"/>
        </w:rPr>
      </w:pPr>
      <w:r>
        <w:rPr>
          <w:rFonts w:hint="eastAsia" w:ascii="仿宋_GB2312" w:hAnsi="宋体" w:eastAsia="仿宋_GB2312"/>
          <w:color w:val="auto"/>
          <w:sz w:val="32"/>
          <w:szCs w:val="32"/>
        </w:rPr>
        <w:t>团体标准《</w:t>
      </w:r>
      <w:r>
        <w:rPr>
          <w:rFonts w:hint="eastAsia" w:ascii="仿宋_GB2312" w:hAnsi="宋体" w:eastAsia="仿宋_GB2312"/>
          <w:color w:val="auto"/>
          <w:sz w:val="32"/>
          <w:szCs w:val="32"/>
          <w:lang w:val="zh-CN"/>
        </w:rPr>
        <w:t>地理标志农产品  百色红茶</w:t>
      </w:r>
      <w:r>
        <w:rPr>
          <w:rFonts w:hint="eastAsia" w:ascii="仿宋_GB2312" w:hAnsi="宋体" w:eastAsia="仿宋_GB2312"/>
          <w:color w:val="auto"/>
          <w:sz w:val="32"/>
          <w:szCs w:val="32"/>
        </w:rPr>
        <w:t>》项目任务下达后，由</w:t>
      </w:r>
      <w:r>
        <w:rPr>
          <w:rFonts w:hint="eastAsia" w:ascii="仿宋_GB2312" w:hAnsi="宋体" w:eastAsia="仿宋_GB2312"/>
          <w:color w:val="auto"/>
          <w:sz w:val="32"/>
          <w:szCs w:val="32"/>
          <w:lang w:val="en-US" w:eastAsia="zh-CN"/>
        </w:rPr>
        <w:t>百色市茶业发展中心</w:t>
      </w:r>
      <w:r>
        <w:rPr>
          <w:rFonts w:hint="eastAsia" w:ascii="仿宋_GB2312" w:hAnsi="宋体" w:eastAsia="仿宋_GB2312"/>
          <w:color w:val="auto"/>
          <w:sz w:val="32"/>
          <w:szCs w:val="32"/>
        </w:rPr>
        <w:t>组织成立了标准编制工作组，制定了标准编写方案，明确任务职责，确定工作技术路线，开展标准研制工作，具体标准编制工作由</w:t>
      </w:r>
      <w:r>
        <w:rPr>
          <w:rFonts w:hint="eastAsia" w:ascii="仿宋_GB2312" w:hAnsi="宋体" w:eastAsia="仿宋_GB2312"/>
          <w:color w:val="auto"/>
          <w:sz w:val="32"/>
          <w:szCs w:val="32"/>
          <w:lang w:val="en-US" w:eastAsia="zh-CN"/>
        </w:rPr>
        <w:t>百色市茶业发展中心、广西绿异茶树良种研究院、广西壮族自治区茶叶科学研究所、乐业县茶叶生产管理中心、凌云县经济作物发展中心、平果市经济作物工作站、西林县茶叶发展服务中心、广西茶业协会、广西隆林三冲茶业有限公司、广西凌云县金字塔白毫茶业有限公司、广西西林九龙山茶业有限公司、广西正道茶业有限公司、广西龙云山茶业集团有限公司、广西凌云一尖茶业有限公司、广西八桂凌云茶业有限公司、广西艺苑农业科技有限公司等 单位</w:t>
      </w:r>
      <w:r>
        <w:rPr>
          <w:rFonts w:hint="eastAsia" w:ascii="仿宋_GB2312" w:hAnsi="宋体" w:eastAsia="仿宋_GB2312"/>
          <w:color w:val="auto"/>
          <w:sz w:val="32"/>
          <w:szCs w:val="32"/>
        </w:rPr>
        <w:t>相关人员配合。</w:t>
      </w:r>
    </w:p>
    <w:p>
      <w:pPr>
        <w:spacing w:before="156" w:beforeLines="50" w:after="156" w:afterLines="50" w:line="56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（二）收集整理文献资料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标准编制工作组收集了</w:t>
      </w:r>
      <w:r>
        <w:rPr>
          <w:rFonts w:hint="eastAsia" w:ascii="仿宋_GB2312" w:hAnsi="宋体" w:eastAsia="仿宋_GB2312"/>
          <w:sz w:val="32"/>
          <w:szCs w:val="32"/>
          <w:lang w:val="en-US" w:eastAsia="zh-CN"/>
        </w:rPr>
        <w:t>与红茶加工</w:t>
      </w:r>
      <w:r>
        <w:rPr>
          <w:rFonts w:hint="eastAsia" w:ascii="仿宋_GB2312" w:hAnsi="宋体" w:eastAsia="仿宋_GB2312"/>
          <w:sz w:val="32"/>
          <w:szCs w:val="32"/>
        </w:rPr>
        <w:t>相关文献资料。主要有：</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13738.1-2017《红茶 第1部分：红碎茶》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13738.2-2017《红茶 第2部分：工夫红茶》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13738.3-2012《红茶 第3部分：小种红茶》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35810-2018《红茶加工技术规范》</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GH/T 1178-2019《祁门工夫红茶》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GH/T 1297-2020《茉莉红茶》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NY/T 780-2004《红茶》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NY/T 3222-2018《工夫红茶加工技术规范》</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GH/T 1296-2020《花果香型红茶加工技术规程》</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DB45/T 1431-2016《有机工夫红茶加工技术规程》</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DB45/T 809-2012《工夫红茶发酵适度的确定方法》</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T/GXAS 111-2020《地理标志农产品 金秀红茶》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T/GXAS 251-2021《广西优质野生红茶》</w:t>
      </w:r>
    </w:p>
    <w:p>
      <w:pPr>
        <w:spacing w:before="156" w:beforeLines="50" w:after="156" w:afterLines="50" w:line="56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（三）研讨确定标准主体内容</w:t>
      </w:r>
    </w:p>
    <w:p>
      <w:pPr>
        <w:spacing w:line="560" w:lineRule="exact"/>
        <w:ind w:firstLine="640" w:firstLineChars="200"/>
        <w:rPr>
          <w:rFonts w:hint="eastAsia" w:ascii="仿宋_GB2312" w:hAnsi="宋体" w:eastAsia="仿宋_GB2312"/>
          <w:color w:val="auto"/>
          <w:sz w:val="32"/>
          <w:szCs w:val="32"/>
          <w:lang w:eastAsia="zh-CN"/>
        </w:rPr>
      </w:pPr>
      <w:r>
        <w:rPr>
          <w:rFonts w:hint="eastAsia" w:ascii="仿宋_GB2312" w:hAnsi="宋体" w:eastAsia="仿宋_GB2312"/>
          <w:sz w:val="32"/>
          <w:szCs w:val="32"/>
        </w:rPr>
        <w:t>标准编制工作组在对收集的资料进行整理研究之后，召开了标准编制会议，对标准的整体框架结构进行了研究，并对标准的关键性</w:t>
      </w:r>
      <w:r>
        <w:rPr>
          <w:rFonts w:hint="eastAsia" w:ascii="仿宋_GB2312" w:hAnsi="宋体" w:eastAsia="仿宋_GB2312"/>
          <w:color w:val="auto"/>
          <w:sz w:val="32"/>
          <w:szCs w:val="32"/>
        </w:rPr>
        <w:t>内容进行了初步探讨。经过研究，标准的主体内容确定为术语和定义、地域保护范围、特定生产要求</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质量要求</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检验方法</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检验规则，标志、标签、包装、运输和贮存</w:t>
      </w:r>
      <w:r>
        <w:rPr>
          <w:rFonts w:hint="eastAsia" w:ascii="仿宋_GB2312" w:hAnsi="宋体" w:eastAsia="仿宋_GB2312"/>
          <w:color w:val="auto"/>
          <w:sz w:val="32"/>
          <w:szCs w:val="32"/>
          <w:lang w:eastAsia="zh-CN"/>
        </w:rPr>
        <w:t>。</w:t>
      </w:r>
    </w:p>
    <w:p>
      <w:pPr>
        <w:spacing w:before="156" w:beforeLines="50" w:after="156" w:afterLines="50" w:line="560" w:lineRule="exact"/>
        <w:ind w:firstLine="643" w:firstLineChars="200"/>
        <w:rPr>
          <w:rFonts w:hint="default" w:ascii="楷体" w:hAnsi="楷体" w:eastAsia="楷体" w:cs="仿宋_GB2312"/>
          <w:b/>
          <w:color w:val="auto"/>
          <w:sz w:val="32"/>
          <w:szCs w:val="32"/>
          <w:lang w:val="en-US" w:eastAsia="zh-CN"/>
        </w:rPr>
      </w:pPr>
      <w:r>
        <w:rPr>
          <w:rFonts w:hint="eastAsia" w:ascii="楷体" w:hAnsi="楷体" w:eastAsia="楷体" w:cs="仿宋_GB2312"/>
          <w:b/>
          <w:color w:val="auto"/>
          <w:sz w:val="32"/>
          <w:szCs w:val="32"/>
        </w:rPr>
        <w:t>（四）调研、形成文本草案、征求意见稿</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0</w:t>
      </w:r>
      <w:r>
        <w:rPr>
          <w:rFonts w:hint="eastAsia" w:ascii="仿宋_GB2312" w:hAnsi="宋体" w:eastAsia="仿宋_GB2312"/>
          <w:sz w:val="32"/>
          <w:szCs w:val="32"/>
        </w:rPr>
        <w:t>年</w:t>
      </w:r>
      <w:r>
        <w:rPr>
          <w:rFonts w:hint="eastAsia" w:ascii="仿宋_GB2312" w:hAnsi="宋体" w:eastAsia="仿宋_GB2312"/>
          <w:sz w:val="32"/>
          <w:szCs w:val="32"/>
          <w:lang w:val="en-US" w:eastAsia="zh-CN"/>
        </w:rPr>
        <w:t>1月</w:t>
      </w:r>
      <w:r>
        <w:rPr>
          <w:rFonts w:hint="eastAsia" w:ascii="仿宋_GB2312" w:hAnsi="宋体" w:eastAsia="仿宋_GB2312"/>
          <w:color w:val="auto"/>
          <w:sz w:val="32"/>
          <w:szCs w:val="32"/>
        </w:rPr>
        <w:t>～</w:t>
      </w:r>
      <w:r>
        <w:rPr>
          <w:rFonts w:hint="eastAsia" w:ascii="仿宋_GB2312" w:hAnsi="宋体" w:eastAsia="仿宋_GB2312"/>
          <w:color w:val="auto"/>
          <w:sz w:val="32"/>
          <w:szCs w:val="32"/>
          <w:lang w:val="en-US" w:eastAsia="zh-CN"/>
        </w:rPr>
        <w:t>2023年10月</w:t>
      </w:r>
      <w:r>
        <w:rPr>
          <w:rFonts w:hint="eastAsia" w:ascii="仿宋_GB2312" w:hAnsi="宋体" w:eastAsia="仿宋_GB2312"/>
          <w:sz w:val="32"/>
          <w:szCs w:val="32"/>
        </w:rPr>
        <w:t>，标准起草工作小组进行了广泛实地调研工作，查阅了大量的国内外文献资料，对</w:t>
      </w:r>
      <w:r>
        <w:rPr>
          <w:rFonts w:hint="eastAsia" w:ascii="仿宋_GB2312" w:hAnsi="宋体" w:eastAsia="仿宋_GB2312"/>
          <w:sz w:val="32"/>
          <w:szCs w:val="32"/>
          <w:lang w:val="en-US" w:eastAsia="zh-CN"/>
        </w:rPr>
        <w:t>百色红茶种植技术、产品特点</w:t>
      </w:r>
      <w:r>
        <w:rPr>
          <w:rFonts w:hint="eastAsia" w:ascii="仿宋_GB2312" w:hAnsi="宋体" w:eastAsia="仿宋_GB2312"/>
          <w:sz w:val="32"/>
          <w:szCs w:val="32"/>
        </w:rPr>
        <w:t>进行系统总结。经编制组反复讨论，形成了标准的基本构架，对主要内容进行了讨论并对项目的工作进行了部署和安排。</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sz w:val="32"/>
          <w:szCs w:val="32"/>
        </w:rPr>
        <w:t>20</w:t>
      </w:r>
      <w:r>
        <w:rPr>
          <w:rFonts w:hint="eastAsia" w:ascii="仿宋_GB2312" w:hAnsi="宋体" w:eastAsia="仿宋_GB2312"/>
          <w:color w:val="auto"/>
          <w:sz w:val="32"/>
          <w:szCs w:val="32"/>
        </w:rPr>
        <w:t>2</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年</w:t>
      </w:r>
      <w:r>
        <w:rPr>
          <w:rFonts w:hint="eastAsia" w:ascii="仿宋_GB2312" w:hAnsi="宋体" w:eastAsia="仿宋_GB2312"/>
          <w:color w:val="auto"/>
          <w:sz w:val="32"/>
          <w:szCs w:val="32"/>
          <w:lang w:val="en-US" w:eastAsia="zh-CN"/>
        </w:rPr>
        <w:t>11</w:t>
      </w:r>
      <w:r>
        <w:rPr>
          <w:rFonts w:hint="eastAsia" w:ascii="仿宋_GB2312" w:hAnsi="宋体" w:eastAsia="仿宋_GB2312"/>
          <w:color w:val="auto"/>
          <w:sz w:val="32"/>
          <w:szCs w:val="32"/>
        </w:rPr>
        <w:t>月，在前期工作的基础之上，通过理清逻辑脉络，整合已有的参考资料中有关</w:t>
      </w:r>
      <w:r>
        <w:rPr>
          <w:rFonts w:hint="eastAsia" w:ascii="仿宋_GB2312" w:hAnsi="宋体" w:eastAsia="仿宋_GB2312"/>
          <w:color w:val="auto"/>
          <w:sz w:val="32"/>
          <w:szCs w:val="32"/>
          <w:lang w:val="en-US" w:eastAsia="zh-CN"/>
        </w:rPr>
        <w:t>红茶产品质量方面的</w:t>
      </w:r>
      <w:r>
        <w:rPr>
          <w:rFonts w:hint="eastAsia" w:ascii="仿宋_GB2312" w:hAnsi="宋体" w:eastAsia="仿宋_GB2312"/>
          <w:color w:val="auto"/>
          <w:sz w:val="32"/>
          <w:szCs w:val="32"/>
        </w:rPr>
        <w:t>资料，并结合</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中华人民共和国农产品地理标志质量控制技术规范</w:t>
      </w:r>
      <w:r>
        <w:rPr>
          <w:rFonts w:hint="eastAsia" w:ascii="仿宋_GB2312" w:hAnsi="宋体" w:eastAsia="仿宋_GB2312"/>
          <w:color w:val="auto"/>
          <w:sz w:val="32"/>
          <w:szCs w:val="32"/>
          <w:lang w:val="en-US" w:eastAsia="zh-CN"/>
        </w:rPr>
        <w:t xml:space="preserve">  </w:t>
      </w:r>
      <w:r>
        <w:rPr>
          <w:rFonts w:hint="eastAsia" w:ascii="仿宋_GB2312" w:hAnsi="宋体" w:eastAsia="仿宋_GB2312"/>
          <w:color w:val="auto"/>
          <w:sz w:val="32"/>
          <w:szCs w:val="32"/>
        </w:rPr>
        <w:t>百色红茶</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公告</w:t>
      </w:r>
      <w:r>
        <w:rPr>
          <w:rFonts w:hint="eastAsia" w:ascii="仿宋_GB2312" w:hAnsi="宋体" w:eastAsia="仿宋_GB2312"/>
          <w:color w:val="auto"/>
          <w:sz w:val="32"/>
          <w:szCs w:val="32"/>
        </w:rPr>
        <w:t>的基础上，按照简化、统一等原则编制完成团体标准《</w:t>
      </w:r>
      <w:r>
        <w:rPr>
          <w:rFonts w:hint="eastAsia" w:ascii="仿宋_GB2312" w:hAnsi="宋体" w:eastAsia="仿宋_GB2312"/>
          <w:color w:val="auto"/>
          <w:sz w:val="32"/>
          <w:szCs w:val="32"/>
          <w:lang w:eastAsia="zh-CN"/>
        </w:rPr>
        <w:t>地理标志农产品  百色红茶</w:t>
      </w:r>
      <w:r>
        <w:rPr>
          <w:rFonts w:hint="eastAsia" w:ascii="仿宋_GB2312" w:hAnsi="宋体" w:eastAsia="仿宋_GB2312"/>
          <w:color w:val="auto"/>
          <w:sz w:val="32"/>
          <w:szCs w:val="32"/>
        </w:rPr>
        <w:t>》（草案）。</w:t>
      </w:r>
    </w:p>
    <w:p>
      <w:pPr>
        <w:spacing w:line="560" w:lineRule="exact"/>
        <w:ind w:firstLine="640" w:firstLineChars="200"/>
        <w:rPr>
          <w:rFonts w:hint="eastAsia" w:ascii="仿宋_GB2312" w:hAnsi="宋体" w:eastAsia="仿宋_GB2312"/>
          <w:color w:val="auto"/>
          <w:sz w:val="32"/>
          <w:szCs w:val="32"/>
        </w:rPr>
      </w:pPr>
      <w:r>
        <w:rPr>
          <w:rFonts w:hint="eastAsia" w:ascii="仿宋_GB2312" w:hAnsi="宋体" w:eastAsia="仿宋_GB2312"/>
          <w:color w:val="auto"/>
          <w:sz w:val="32"/>
          <w:szCs w:val="32"/>
        </w:rPr>
        <w:t>202</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年</w:t>
      </w:r>
      <w:r>
        <w:rPr>
          <w:rFonts w:hint="eastAsia" w:ascii="仿宋_GB2312" w:hAnsi="宋体" w:eastAsia="仿宋_GB2312"/>
          <w:color w:val="auto"/>
          <w:sz w:val="32"/>
          <w:szCs w:val="32"/>
          <w:lang w:val="en-US" w:eastAsia="zh-CN"/>
        </w:rPr>
        <w:t>12</w:t>
      </w:r>
      <w:r>
        <w:rPr>
          <w:rFonts w:hint="eastAsia" w:ascii="仿宋_GB2312" w:hAnsi="宋体" w:eastAsia="仿宋_GB2312"/>
          <w:color w:val="auto"/>
          <w:sz w:val="32"/>
          <w:szCs w:val="32"/>
        </w:rPr>
        <w:t>月</w:t>
      </w:r>
      <w:r>
        <w:rPr>
          <w:rFonts w:hint="eastAsia" w:ascii="仿宋_GB2312" w:hAnsi="宋体" w:eastAsia="仿宋_GB2312"/>
          <w:color w:val="auto"/>
          <w:sz w:val="32"/>
          <w:szCs w:val="32"/>
          <w:lang w:val="en-US" w:eastAsia="zh-CN"/>
        </w:rPr>
        <w:t>-2024年1月</w:t>
      </w:r>
      <w:r>
        <w:rPr>
          <w:rFonts w:hint="eastAsia" w:ascii="仿宋_GB2312" w:hAnsi="宋体" w:eastAsia="仿宋_GB2312"/>
          <w:color w:val="auto"/>
          <w:sz w:val="32"/>
          <w:szCs w:val="32"/>
        </w:rPr>
        <w:t>，深入</w:t>
      </w:r>
      <w:r>
        <w:rPr>
          <w:rFonts w:hint="eastAsia" w:ascii="仿宋_GB2312" w:hAnsi="宋体" w:eastAsia="仿宋_GB2312"/>
          <w:color w:val="auto"/>
          <w:sz w:val="32"/>
          <w:szCs w:val="32"/>
          <w:lang w:val="en-US" w:eastAsia="zh-CN"/>
        </w:rPr>
        <w:t>百色红茶</w:t>
      </w:r>
      <w:r>
        <w:rPr>
          <w:rFonts w:hint="eastAsia" w:ascii="仿宋_GB2312" w:hAnsi="宋体" w:eastAsia="仿宋_GB2312"/>
          <w:color w:val="auto"/>
          <w:sz w:val="32"/>
          <w:szCs w:val="32"/>
          <w:lang w:val="zh-CN"/>
        </w:rPr>
        <w:t>产区及加工工厂，针对</w:t>
      </w:r>
      <w:r>
        <w:rPr>
          <w:rFonts w:hint="eastAsia" w:ascii="仿宋_GB2312" w:hAnsi="宋体" w:eastAsia="仿宋_GB2312"/>
          <w:color w:val="auto"/>
          <w:sz w:val="32"/>
          <w:szCs w:val="32"/>
          <w:lang w:val="en-US" w:eastAsia="zh-CN"/>
        </w:rPr>
        <w:t>百色红茶种植、理化指标、感官要求等方面</w:t>
      </w:r>
      <w:r>
        <w:rPr>
          <w:rFonts w:hint="eastAsia" w:ascii="仿宋_GB2312" w:hAnsi="宋体" w:eastAsia="仿宋_GB2312"/>
          <w:color w:val="auto"/>
          <w:sz w:val="32"/>
          <w:szCs w:val="32"/>
        </w:rPr>
        <w:t>进行分组实地调研。标准编制工作组多次召开会议，对标准草案进行了反复修改和研究讨论，最终形成了团体标准《</w:t>
      </w:r>
      <w:r>
        <w:rPr>
          <w:rFonts w:hint="eastAsia" w:ascii="仿宋_GB2312" w:hAnsi="宋体" w:eastAsia="仿宋_GB2312"/>
          <w:color w:val="auto"/>
          <w:sz w:val="32"/>
          <w:szCs w:val="32"/>
          <w:lang w:eastAsia="zh-CN"/>
        </w:rPr>
        <w:t>地理标志农产品  百色红茶</w:t>
      </w:r>
      <w:r>
        <w:rPr>
          <w:rFonts w:hint="eastAsia" w:ascii="仿宋_GB2312" w:hAnsi="宋体" w:eastAsia="仿宋_GB2312"/>
          <w:color w:val="auto"/>
          <w:sz w:val="32"/>
          <w:szCs w:val="32"/>
        </w:rPr>
        <w:t>》（征求意见稿）和（征求意见稿）编制说明。</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color w:val="auto"/>
          <w:sz w:val="32"/>
          <w:szCs w:val="32"/>
        </w:rPr>
      </w:pPr>
      <w:bookmarkStart w:id="0" w:name="_Toc526940083"/>
      <w:r>
        <w:rPr>
          <w:rFonts w:hint="eastAsia" w:ascii="黑体" w:hAnsi="黑体" w:eastAsia="黑体" w:cs="仿宋_GB2312"/>
          <w:color w:val="auto"/>
          <w:sz w:val="32"/>
          <w:szCs w:val="32"/>
        </w:rPr>
        <w:t>四、标准制定原则</w:t>
      </w:r>
      <w:bookmarkEnd w:id="0"/>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（一）实用性原则</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本标准是在充分收集相关资料和文献，分析区内</w:t>
      </w:r>
      <w:r>
        <w:rPr>
          <w:rFonts w:hint="eastAsia" w:ascii="仿宋_GB2312" w:hAnsi="宋体" w:eastAsia="仿宋_GB2312"/>
          <w:color w:val="auto"/>
          <w:sz w:val="32"/>
          <w:szCs w:val="32"/>
          <w:lang w:val="en-US" w:eastAsia="zh-CN"/>
        </w:rPr>
        <w:t>百色红茶原料特性、产品质量要求的</w:t>
      </w:r>
      <w:r>
        <w:rPr>
          <w:rFonts w:hint="eastAsia" w:ascii="仿宋_GB2312" w:hAnsi="宋体" w:eastAsia="仿宋_GB2312"/>
          <w:color w:val="auto"/>
          <w:sz w:val="32"/>
          <w:szCs w:val="32"/>
        </w:rPr>
        <w:t>综合评价</w:t>
      </w:r>
      <w:r>
        <w:rPr>
          <w:rFonts w:hint="eastAsia" w:ascii="仿宋_GB2312" w:hAnsi="宋体" w:eastAsia="仿宋_GB2312"/>
          <w:color w:val="auto"/>
          <w:sz w:val="32"/>
          <w:szCs w:val="32"/>
          <w:lang w:val="zh-CN"/>
        </w:rPr>
        <w:t>现状，在现有国家、行业标准相关</w:t>
      </w:r>
      <w:r>
        <w:rPr>
          <w:rFonts w:hint="eastAsia" w:ascii="仿宋_GB2312" w:hAnsi="宋体" w:eastAsia="仿宋_GB2312"/>
          <w:color w:val="auto"/>
          <w:sz w:val="32"/>
          <w:szCs w:val="32"/>
          <w:lang w:val="en-US" w:eastAsia="zh-CN"/>
        </w:rPr>
        <w:t>红茶加工</w:t>
      </w:r>
      <w:r>
        <w:rPr>
          <w:rFonts w:hint="eastAsia" w:ascii="仿宋_GB2312" w:hAnsi="宋体" w:eastAsia="仿宋_GB2312"/>
          <w:color w:val="auto"/>
          <w:sz w:val="32"/>
          <w:szCs w:val="32"/>
          <w:lang w:val="zh-CN"/>
        </w:rPr>
        <w:t>的基础上，结合多年经验而总结起草的。符合当前</w:t>
      </w:r>
      <w:r>
        <w:rPr>
          <w:rFonts w:hint="eastAsia" w:ascii="仿宋_GB2312" w:hAnsi="宋体" w:eastAsia="仿宋_GB2312"/>
          <w:color w:val="auto"/>
          <w:sz w:val="32"/>
          <w:szCs w:val="32"/>
          <w:lang w:val="en-US" w:eastAsia="zh-CN"/>
        </w:rPr>
        <w:t>百色红茶产品质量</w:t>
      </w:r>
      <w:r>
        <w:rPr>
          <w:rFonts w:hint="eastAsia" w:ascii="仿宋_GB2312" w:hAnsi="宋体" w:eastAsia="仿宋_GB2312"/>
          <w:color w:val="auto"/>
          <w:sz w:val="32"/>
          <w:szCs w:val="32"/>
          <w:lang w:val="zh-CN"/>
        </w:rPr>
        <w:t>要求，有利于行业的长远发展，具有较强的实用性和可操作性。</w:t>
      </w:r>
    </w:p>
    <w:p>
      <w:pPr>
        <w:spacing w:before="156" w:beforeLines="50" w:after="156" w:afterLines="50" w:line="560" w:lineRule="exact"/>
        <w:ind w:firstLine="643" w:firstLineChars="200"/>
        <w:rPr>
          <w:rFonts w:ascii="楷体" w:hAnsi="楷体" w:eastAsia="楷体"/>
          <w:b/>
          <w:color w:val="auto"/>
          <w:sz w:val="32"/>
          <w:szCs w:val="32"/>
          <w:highlight w:val="none"/>
        </w:rPr>
      </w:pPr>
      <w:r>
        <w:rPr>
          <w:rFonts w:hint="eastAsia" w:ascii="楷体" w:hAnsi="楷体" w:eastAsia="楷体"/>
          <w:b/>
          <w:color w:val="auto"/>
          <w:sz w:val="32"/>
          <w:szCs w:val="32"/>
          <w:highlight w:val="none"/>
        </w:rPr>
        <w:t>（二）协调性原则</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本标准编写过程中注意了</w:t>
      </w:r>
      <w:r>
        <w:rPr>
          <w:rFonts w:hint="eastAsia" w:ascii="仿宋_GB2312" w:hAnsi="宋体" w:eastAsia="仿宋_GB2312"/>
          <w:color w:val="auto"/>
          <w:sz w:val="32"/>
          <w:szCs w:val="32"/>
          <w:lang w:val="en-US" w:eastAsia="zh-CN"/>
        </w:rPr>
        <w:t>百色红茶质量</w:t>
      </w:r>
      <w:r>
        <w:rPr>
          <w:rFonts w:hint="eastAsia" w:ascii="仿宋_GB2312" w:hAnsi="宋体" w:eastAsia="仿宋_GB2312"/>
          <w:color w:val="auto"/>
          <w:sz w:val="32"/>
          <w:szCs w:val="32"/>
          <w:lang w:val="zh-CN"/>
        </w:rPr>
        <w:t>要求与相关法律法规的协调问题，在内容上与现行法律法规、标准协调一致。</w:t>
      </w:r>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（三）规范性原则</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本标准严格按照GB/T 1.1—2020《标准化工作导则 第1部分：标准的结构和编写》的要求和规定编写相关内容，保证标准的编写质量。</w:t>
      </w:r>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（四）前瞻性原则</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rPr>
        <w:t>本标准兼顾当前</w:t>
      </w:r>
      <w:r>
        <w:rPr>
          <w:rFonts w:hint="eastAsia" w:ascii="仿宋_GB2312" w:hAnsi="宋体" w:eastAsia="仿宋_GB2312"/>
          <w:color w:val="auto"/>
          <w:sz w:val="32"/>
          <w:szCs w:val="32"/>
          <w:lang w:val="en-US" w:eastAsia="zh-CN"/>
        </w:rPr>
        <w:t>百色红茶种植技术、产品质量特点</w:t>
      </w:r>
      <w:r>
        <w:rPr>
          <w:rFonts w:hint="eastAsia" w:ascii="仿宋_GB2312" w:hAnsi="宋体" w:eastAsia="仿宋_GB2312"/>
          <w:color w:val="auto"/>
          <w:sz w:val="32"/>
          <w:szCs w:val="32"/>
        </w:rPr>
        <w:t>的同时，提出</w:t>
      </w:r>
      <w:r>
        <w:rPr>
          <w:rFonts w:hint="eastAsia" w:ascii="仿宋_GB2312" w:hAnsi="宋体" w:eastAsia="仿宋_GB2312"/>
          <w:color w:val="auto"/>
          <w:sz w:val="32"/>
          <w:szCs w:val="32"/>
          <w:lang w:val="en-US" w:eastAsia="zh-CN"/>
        </w:rPr>
        <w:t>地理标志农产品百色红茶质量规范</w:t>
      </w:r>
      <w:r>
        <w:rPr>
          <w:rFonts w:hint="eastAsia" w:ascii="仿宋_GB2312" w:hAnsi="宋体" w:eastAsia="仿宋_GB2312"/>
          <w:color w:val="auto"/>
          <w:sz w:val="32"/>
          <w:szCs w:val="32"/>
        </w:rPr>
        <w:t>，在标准中体现了个别特色性、前瞻性和先进性条款，作为对</w:t>
      </w:r>
      <w:r>
        <w:rPr>
          <w:rFonts w:hint="eastAsia" w:ascii="仿宋_GB2312" w:hAnsi="宋体" w:eastAsia="仿宋_GB2312"/>
          <w:color w:val="auto"/>
          <w:sz w:val="32"/>
          <w:szCs w:val="32"/>
          <w:lang w:val="en-US" w:eastAsia="zh-CN"/>
        </w:rPr>
        <w:t>地理标志农产品百色红茶</w:t>
      </w:r>
      <w:r>
        <w:rPr>
          <w:rFonts w:hint="eastAsia" w:ascii="仿宋_GB2312" w:hAnsi="宋体" w:eastAsia="仿宋_GB2312"/>
          <w:color w:val="auto"/>
          <w:sz w:val="32"/>
          <w:szCs w:val="32"/>
        </w:rPr>
        <w:t>的指导。</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五</w:t>
      </w:r>
      <w:r>
        <w:rPr>
          <w:rFonts w:ascii="黑体" w:hAnsi="黑体" w:eastAsia="黑体" w:cs="仿宋_GB2312"/>
          <w:color w:val="auto"/>
          <w:sz w:val="32"/>
          <w:szCs w:val="32"/>
          <w:highlight w:val="none"/>
        </w:rPr>
        <w:t>、</w:t>
      </w:r>
      <w:r>
        <w:rPr>
          <w:rFonts w:hint="eastAsia" w:ascii="黑体" w:hAnsi="黑体" w:eastAsia="黑体" w:cs="仿宋_GB2312"/>
          <w:color w:val="auto"/>
          <w:sz w:val="32"/>
          <w:szCs w:val="32"/>
          <w:highlight w:val="none"/>
        </w:rPr>
        <w:t>标准主要章节内容及确定依据</w:t>
      </w:r>
    </w:p>
    <w:p>
      <w:pPr>
        <w:spacing w:line="560" w:lineRule="exact"/>
        <w:ind w:firstLine="640" w:firstLineChars="200"/>
        <w:rPr>
          <w:rFonts w:hint="eastAsia" w:ascii="仿宋_GB2312" w:hAnsi="宋体" w:eastAsia="仿宋_GB2312"/>
          <w:color w:val="auto"/>
          <w:sz w:val="32"/>
          <w:szCs w:val="32"/>
        </w:rPr>
      </w:pPr>
      <w:r>
        <w:rPr>
          <w:rFonts w:hint="eastAsia" w:ascii="仿宋_GB2312" w:hAnsi="宋体" w:eastAsia="仿宋_GB2312"/>
          <w:color w:val="auto"/>
          <w:sz w:val="32"/>
          <w:szCs w:val="32"/>
          <w:lang w:val="zh-CN"/>
        </w:rPr>
        <w:t>团体标准《地理标志农产品  百色红茶》主要内容包括</w:t>
      </w:r>
      <w:r>
        <w:rPr>
          <w:rFonts w:hint="eastAsia" w:ascii="仿宋_GB2312" w:hAnsi="宋体" w:eastAsia="仿宋_GB2312"/>
          <w:color w:val="auto"/>
          <w:sz w:val="32"/>
          <w:szCs w:val="32"/>
        </w:rPr>
        <w:t>术语和定义、地域保护范围、特定生产要求、质量要求、检验方法、检验规则，标志、标签、包装、运输和贮存</w:t>
      </w:r>
    </w:p>
    <w:p>
      <w:pPr>
        <w:spacing w:before="156" w:beforeLines="50" w:after="156" w:afterLines="50" w:line="560" w:lineRule="exact"/>
        <w:ind w:firstLine="643" w:firstLineChars="200"/>
        <w:rPr>
          <w:rFonts w:hint="eastAsia" w:ascii="楷体" w:hAnsi="楷体" w:eastAsia="楷体"/>
          <w:b/>
          <w:color w:val="auto"/>
          <w:sz w:val="32"/>
          <w:szCs w:val="32"/>
        </w:rPr>
      </w:pPr>
      <w:r>
        <w:rPr>
          <w:rFonts w:hint="eastAsia" w:ascii="楷体" w:hAnsi="楷体" w:eastAsia="楷体"/>
          <w:b/>
          <w:color w:val="auto"/>
          <w:sz w:val="32"/>
          <w:szCs w:val="32"/>
        </w:rPr>
        <w:t>（一）术语和定义</w:t>
      </w:r>
    </w:p>
    <w:p>
      <w:pPr>
        <w:spacing w:before="156" w:beforeLines="50" w:after="156" w:afterLines="50" w:line="560" w:lineRule="exact"/>
        <w:ind w:firstLine="640" w:firstLineChars="200"/>
        <w:rPr>
          <w:rFonts w:hint="eastAsia" w:ascii="仿宋_GB2312" w:hAnsi="宋体" w:eastAsia="仿宋_GB2312"/>
          <w:color w:val="auto"/>
          <w:sz w:val="32"/>
          <w:szCs w:val="32"/>
        </w:rPr>
      </w:pPr>
      <w:r>
        <w:rPr>
          <w:rFonts w:hint="eastAsia" w:ascii="仿宋_GB2312" w:hAnsi="宋体" w:eastAsia="仿宋_GB2312"/>
          <w:color w:val="auto"/>
          <w:sz w:val="32"/>
          <w:szCs w:val="32"/>
        </w:rPr>
        <w:t>地理标志农产品百色红茶</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在</w:t>
      </w:r>
      <w:r>
        <w:rPr>
          <w:rFonts w:hint="eastAsia" w:ascii="仿宋_GB2312" w:hAnsi="宋体" w:eastAsia="仿宋_GB2312"/>
          <w:color w:val="auto"/>
          <w:sz w:val="32"/>
          <w:szCs w:val="32"/>
          <w:lang w:val="en-US" w:eastAsia="zh-CN"/>
        </w:rPr>
        <w:t>地域</w:t>
      </w:r>
      <w:r>
        <w:rPr>
          <w:rFonts w:hint="eastAsia" w:ascii="仿宋_GB2312" w:hAnsi="宋体" w:eastAsia="仿宋_GB2312"/>
          <w:color w:val="auto"/>
          <w:sz w:val="32"/>
          <w:szCs w:val="32"/>
        </w:rPr>
        <w:t>保护范围内，按</w:t>
      </w:r>
      <w:r>
        <w:rPr>
          <w:rFonts w:hint="eastAsia" w:ascii="仿宋_GB2312" w:hAnsi="宋体" w:eastAsia="仿宋_GB2312"/>
          <w:color w:val="auto"/>
          <w:sz w:val="32"/>
          <w:szCs w:val="32"/>
          <w:lang w:val="en-US" w:eastAsia="zh-CN"/>
        </w:rPr>
        <w:t>特定生产方式</w:t>
      </w:r>
      <w:r>
        <w:rPr>
          <w:rFonts w:hint="eastAsia" w:ascii="仿宋_GB2312" w:hAnsi="宋体" w:eastAsia="仿宋_GB2312"/>
          <w:color w:val="auto"/>
          <w:sz w:val="32"/>
          <w:szCs w:val="32"/>
        </w:rPr>
        <w:t>生产，产品质量符合本文件规定的红茶。</w:t>
      </w:r>
    </w:p>
    <w:p>
      <w:pPr>
        <w:spacing w:before="156" w:beforeLines="50" w:after="156" w:afterLines="50" w:line="560" w:lineRule="exact"/>
        <w:ind w:firstLine="643" w:firstLineChars="200"/>
        <w:rPr>
          <w:rFonts w:hint="default" w:ascii="楷体" w:hAnsi="楷体" w:eastAsia="楷体"/>
          <w:b/>
          <w:color w:val="auto"/>
          <w:sz w:val="32"/>
          <w:szCs w:val="32"/>
          <w:lang w:val="en-US" w:eastAsia="zh-CN"/>
        </w:rPr>
      </w:pPr>
      <w:r>
        <w:rPr>
          <w:rFonts w:hint="eastAsia" w:ascii="楷体" w:hAnsi="楷体" w:eastAsia="楷体"/>
          <w:b/>
          <w:color w:val="auto"/>
          <w:sz w:val="32"/>
          <w:szCs w:val="32"/>
        </w:rPr>
        <w:t>（二）</w:t>
      </w:r>
      <w:r>
        <w:rPr>
          <w:rFonts w:hint="eastAsia" w:ascii="楷体" w:hAnsi="楷体" w:eastAsia="楷体"/>
          <w:b/>
          <w:color w:val="auto"/>
          <w:sz w:val="32"/>
          <w:szCs w:val="32"/>
          <w:lang w:val="en-US" w:eastAsia="zh-CN"/>
        </w:rPr>
        <w:t>地域保护范围</w:t>
      </w:r>
    </w:p>
    <w:p>
      <w:pPr>
        <w:spacing w:line="560" w:lineRule="exact"/>
        <w:ind w:firstLine="640" w:firstLineChars="200"/>
        <w:rPr>
          <w:rFonts w:hint="eastAsia" w:ascii="仿宋_GB2312" w:hAnsi="宋体" w:eastAsia="仿宋_GB2312"/>
          <w:color w:val="auto"/>
          <w:sz w:val="32"/>
          <w:szCs w:val="32"/>
        </w:rPr>
      </w:pPr>
      <w:r>
        <w:rPr>
          <w:rFonts w:hint="eastAsia" w:ascii="仿宋_GB2312" w:hAnsi="宋体" w:eastAsia="仿宋_GB2312"/>
          <w:color w:val="auto"/>
          <w:sz w:val="32"/>
          <w:szCs w:val="32"/>
        </w:rPr>
        <w:t>百色红茶农产品地理标志地域保护范围包括：广西壮族自治区百色市行政区域内的右江、平果、德保、靖西、那坡、凌云、乐业、田林、隆林、西林10个县（区）的39个乡镇，118个行政村。地域保护范围位于东经104°42＇～107°48＇，北纬22°53＇～25°02＇之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宋体" w:eastAsia="仿宋_GB2312"/>
          <w:color w:val="auto"/>
          <w:sz w:val="32"/>
          <w:szCs w:val="32"/>
        </w:rPr>
      </w:pPr>
      <w:r>
        <w:rPr>
          <w:color w:val="auto"/>
        </w:rPr>
        <w:drawing>
          <wp:inline distT="0" distB="0" distL="114300" distR="114300">
            <wp:extent cx="5687695" cy="4788535"/>
            <wp:effectExtent l="9525" t="9525" r="177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87695" cy="4788535"/>
                    </a:xfrm>
                    <a:prstGeom prst="rect">
                      <a:avLst/>
                    </a:prstGeom>
                    <a:noFill/>
                    <a:ln>
                      <a:solidFill>
                        <a:schemeClr val="tx1"/>
                      </a:solidFill>
                    </a:ln>
                  </pic:spPr>
                </pic:pic>
              </a:graphicData>
            </a:graphic>
          </wp:inline>
        </w:drawing>
      </w:r>
    </w:p>
    <w:p>
      <w:pPr>
        <w:spacing w:line="560" w:lineRule="exact"/>
        <w:ind w:firstLine="562" w:firstLineChars="200"/>
        <w:jc w:val="center"/>
        <w:rPr>
          <w:rFonts w:hint="eastAsia" w:ascii="仿宋_GB2312" w:hAnsi="宋体" w:eastAsia="仿宋_GB2312"/>
          <w:b/>
          <w:bCs/>
          <w:color w:val="auto"/>
          <w:sz w:val="28"/>
          <w:szCs w:val="28"/>
        </w:rPr>
      </w:pPr>
      <w:r>
        <w:rPr>
          <w:rFonts w:hint="eastAsia" w:ascii="仿宋_GB2312" w:hAnsi="宋体" w:eastAsia="仿宋_GB2312"/>
          <w:b/>
          <w:bCs/>
          <w:color w:val="auto"/>
          <w:sz w:val="28"/>
          <w:szCs w:val="28"/>
        </w:rPr>
        <w:t>图1 地理标志农产品百色红茶地域保护图</w:t>
      </w:r>
    </w:p>
    <w:p>
      <w:pPr>
        <w:spacing w:before="156" w:beforeLines="50" w:after="156" w:afterLines="50" w:line="560" w:lineRule="exact"/>
        <w:ind w:firstLine="643" w:firstLineChars="200"/>
        <w:rPr>
          <w:rFonts w:hint="eastAsia" w:ascii="楷体" w:hAnsi="楷体" w:eastAsia="楷体"/>
          <w:b/>
          <w:color w:val="auto"/>
          <w:sz w:val="32"/>
          <w:szCs w:val="32"/>
          <w:lang w:val="en-US" w:eastAsia="zh-CN"/>
        </w:rPr>
      </w:pPr>
      <w:r>
        <w:rPr>
          <w:rFonts w:hint="eastAsia" w:ascii="楷体" w:hAnsi="楷体" w:eastAsia="楷体"/>
          <w:b/>
          <w:color w:val="auto"/>
          <w:sz w:val="32"/>
          <w:szCs w:val="32"/>
        </w:rPr>
        <w:t>（</w:t>
      </w:r>
      <w:r>
        <w:rPr>
          <w:rFonts w:hint="eastAsia" w:ascii="楷体" w:hAnsi="楷体" w:eastAsia="楷体"/>
          <w:b/>
          <w:color w:val="auto"/>
          <w:sz w:val="32"/>
          <w:szCs w:val="32"/>
          <w:lang w:val="en-US" w:eastAsia="zh-CN"/>
        </w:rPr>
        <w:t>三</w:t>
      </w:r>
      <w:r>
        <w:rPr>
          <w:rFonts w:hint="eastAsia" w:ascii="楷体" w:hAnsi="楷体" w:eastAsia="楷体"/>
          <w:b/>
          <w:color w:val="auto"/>
          <w:sz w:val="32"/>
          <w:szCs w:val="32"/>
        </w:rPr>
        <w:t>）</w:t>
      </w:r>
      <w:r>
        <w:rPr>
          <w:rFonts w:hint="eastAsia" w:ascii="楷体" w:hAnsi="楷体" w:eastAsia="楷体"/>
          <w:b/>
          <w:color w:val="auto"/>
          <w:sz w:val="32"/>
          <w:szCs w:val="32"/>
          <w:lang w:val="en-US" w:eastAsia="zh-CN"/>
        </w:rPr>
        <w:t>特定生产方式（地理标志农产品公告）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drawing>
          <wp:inline distT="0" distB="0" distL="114300" distR="114300">
            <wp:extent cx="5458460" cy="7766050"/>
            <wp:effectExtent l="9525" t="9525" r="18415" b="12065"/>
            <wp:docPr id="3" name="图片 3" descr="c066ee196445fe8cccf08f20e4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66ee196445fe8cccf08f20e473027"/>
                    <pic:cNvPicPr>
                      <a:picLocks noChangeAspect="1"/>
                    </pic:cNvPicPr>
                  </pic:nvPicPr>
                  <pic:blipFill>
                    <a:blip r:embed="rId6"/>
                    <a:stretch>
                      <a:fillRect/>
                    </a:stretch>
                  </pic:blipFill>
                  <pic:spPr>
                    <a:xfrm>
                      <a:off x="0" y="0"/>
                      <a:ext cx="5458460" cy="77660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drawing>
          <wp:inline distT="0" distB="0" distL="114300" distR="114300">
            <wp:extent cx="5341620" cy="7658735"/>
            <wp:effectExtent l="9525" t="9525" r="13335" b="12700"/>
            <wp:docPr id="4" name="图片 4" descr="4bde1cfe088e7c1a2493636c3b6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bde1cfe088e7c1a2493636c3b60594"/>
                    <pic:cNvPicPr>
                      <a:picLocks noChangeAspect="1"/>
                    </pic:cNvPicPr>
                  </pic:nvPicPr>
                  <pic:blipFill>
                    <a:blip r:embed="rId7"/>
                    <a:stretch>
                      <a:fillRect/>
                    </a:stretch>
                  </pic:blipFill>
                  <pic:spPr>
                    <a:xfrm>
                      <a:off x="0" y="0"/>
                      <a:ext cx="5341620" cy="7658735"/>
                    </a:xfrm>
                    <a:prstGeom prst="rect">
                      <a:avLst/>
                    </a:prstGeom>
                    <a:ln>
                      <a:solidFill>
                        <a:schemeClr val="tx1"/>
                      </a:solidFill>
                    </a:ln>
                  </pic:spPr>
                </pic:pic>
              </a:graphicData>
            </a:graphic>
          </wp:inline>
        </w:drawing>
      </w:r>
      <w:r>
        <w:rPr>
          <w:rFonts w:hint="eastAsia" w:ascii="仿宋_GB2312" w:hAnsi="宋体" w:eastAsia="仿宋_GB2312"/>
          <w:b w:val="0"/>
          <w:bCs w:val="0"/>
          <w:color w:val="auto"/>
          <w:sz w:val="32"/>
          <w:szCs w:val="32"/>
          <w:lang w:val="en-US" w:eastAsia="zh-CN"/>
        </w:rPr>
        <w:drawing>
          <wp:inline distT="0" distB="0" distL="114300" distR="114300">
            <wp:extent cx="5473700" cy="7778750"/>
            <wp:effectExtent l="9525" t="9525" r="18415" b="14605"/>
            <wp:docPr id="5" name="图片 5" descr="92ec4f6614de24f6c9b5c78b61d2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ec4f6614de24f6c9b5c78b61d216f"/>
                    <pic:cNvPicPr>
                      <a:picLocks noChangeAspect="1"/>
                    </pic:cNvPicPr>
                  </pic:nvPicPr>
                  <pic:blipFill>
                    <a:blip r:embed="rId8"/>
                    <a:stretch>
                      <a:fillRect/>
                    </a:stretch>
                  </pic:blipFill>
                  <pic:spPr>
                    <a:xfrm>
                      <a:off x="0" y="0"/>
                      <a:ext cx="5473700" cy="77787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drawing>
          <wp:inline distT="0" distB="0" distL="114300" distR="114300">
            <wp:extent cx="5477510" cy="7730490"/>
            <wp:effectExtent l="9525" t="9525" r="14605" b="17145"/>
            <wp:docPr id="6" name="图片 6" descr="1cae8608a49547c4715a8da13718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ae8608a49547c4715a8da13718ef7"/>
                    <pic:cNvPicPr>
                      <a:picLocks noChangeAspect="1"/>
                    </pic:cNvPicPr>
                  </pic:nvPicPr>
                  <pic:blipFill>
                    <a:blip r:embed="rId9"/>
                    <a:stretch>
                      <a:fillRect/>
                    </a:stretch>
                  </pic:blipFill>
                  <pic:spPr>
                    <a:xfrm>
                      <a:off x="0" y="0"/>
                      <a:ext cx="5477510" cy="773049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宋体" w:eastAsia="仿宋_GB2312"/>
          <w:b w:val="0"/>
          <w:bCs w:val="0"/>
          <w:color w:val="auto"/>
          <w:sz w:val="32"/>
          <w:szCs w:val="32"/>
          <w:lang w:val="en-US" w:eastAsia="zh-CN"/>
        </w:rPr>
      </w:pPr>
    </w:p>
    <w:p>
      <w:pPr>
        <w:spacing w:before="156" w:beforeLines="50" w:after="156" w:afterLines="50" w:line="560" w:lineRule="exact"/>
        <w:ind w:firstLine="643" w:firstLineChars="200"/>
        <w:rPr>
          <w:rFonts w:hint="eastAsia" w:ascii="楷体" w:hAnsi="楷体" w:eastAsia="楷体"/>
          <w:b/>
          <w:color w:val="auto"/>
          <w:sz w:val="32"/>
          <w:szCs w:val="32"/>
          <w:lang w:val="en-US" w:eastAsia="zh-CN"/>
        </w:rPr>
      </w:pPr>
      <w:r>
        <w:rPr>
          <w:rFonts w:hint="eastAsia" w:ascii="楷体" w:hAnsi="楷体" w:eastAsia="楷体"/>
          <w:b/>
          <w:color w:val="auto"/>
          <w:sz w:val="32"/>
          <w:szCs w:val="32"/>
        </w:rPr>
        <w:t>（</w:t>
      </w:r>
      <w:r>
        <w:rPr>
          <w:rFonts w:hint="eastAsia" w:ascii="楷体" w:hAnsi="楷体" w:eastAsia="楷体"/>
          <w:b/>
          <w:color w:val="auto"/>
          <w:sz w:val="32"/>
          <w:szCs w:val="32"/>
          <w:lang w:val="en-US" w:eastAsia="zh-CN"/>
        </w:rPr>
        <w:t>四</w:t>
      </w:r>
      <w:r>
        <w:rPr>
          <w:rFonts w:hint="eastAsia" w:ascii="楷体" w:hAnsi="楷体" w:eastAsia="楷体"/>
          <w:b/>
          <w:color w:val="auto"/>
          <w:sz w:val="32"/>
          <w:szCs w:val="32"/>
        </w:rPr>
        <w:t>）</w:t>
      </w:r>
      <w:r>
        <w:rPr>
          <w:rFonts w:hint="eastAsia" w:ascii="楷体" w:hAnsi="楷体" w:eastAsia="楷体"/>
          <w:b/>
          <w:color w:val="auto"/>
          <w:sz w:val="32"/>
          <w:szCs w:val="32"/>
          <w:lang w:val="en-US" w:eastAsia="zh-CN"/>
        </w:rPr>
        <w:t>感官要求、理化指标（参考地理标志农产品公告）</w:t>
      </w:r>
    </w:p>
    <w:p>
      <w:pPr>
        <w:pStyle w:val="30"/>
        <w:widowControl/>
        <w:numPr>
          <w:ilvl w:val="0"/>
          <w:numId w:val="4"/>
        </w:numPr>
        <w:spacing w:before="120" w:beforeLines="50" w:beforeAutospacing="0" w:after="120" w:afterLines="50" w:afterAutospacing="0"/>
        <w:ind w:left="0" w:right="0" w:firstLine="0"/>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eastAsia="zh-CN"/>
        </w:rPr>
        <w:t>感官要求</w:t>
      </w:r>
    </w:p>
    <w:tbl>
      <w:tblPr>
        <w:tblStyle w:val="9"/>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85"/>
        <w:gridCol w:w="458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single" w:color="auto" w:sz="6" w:space="0"/>
              <w:left w:val="single" w:color="auto" w:sz="6" w:space="0"/>
              <w:bottom w:val="single" w:color="auto" w:sz="6"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项  目</w:t>
            </w:r>
          </w:p>
        </w:tc>
        <w:tc>
          <w:tcPr>
            <w:tcW w:w="4672" w:type="dxa"/>
            <w:tcBorders>
              <w:top w:val="single" w:color="auto" w:sz="6" w:space="0"/>
              <w:left w:val="single" w:color="auto" w:sz="4" w:space="0"/>
              <w:bottom w:val="single" w:color="auto" w:sz="6"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要  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外形</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金毫显露，条索紧结肥壮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色泽</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乌润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汤色</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红艳明亮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香气</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甜香，浓毫香显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滋味</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浓强鲜爽，甜醇回甘</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672" w:type="dxa"/>
            <w:tcBorders>
              <w:top w:val="single" w:color="auto" w:sz="4" w:space="0"/>
              <w:left w:val="single" w:color="auto" w:sz="6" w:space="0"/>
              <w:bottom w:val="single" w:color="auto" w:sz="6"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叶底</w:t>
            </w:r>
          </w:p>
        </w:tc>
        <w:tc>
          <w:tcPr>
            <w:tcW w:w="4672" w:type="dxa"/>
            <w:tcBorders>
              <w:top w:val="single" w:color="auto" w:sz="4" w:space="0"/>
              <w:left w:val="single" w:color="auto" w:sz="4" w:space="0"/>
              <w:bottom w:val="single" w:color="auto" w:sz="6"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红亮匀整</w:t>
            </w:r>
          </w:p>
        </w:tc>
      </w:tr>
    </w:tbl>
    <w:p>
      <w:pPr>
        <w:pStyle w:val="30"/>
        <w:widowControl/>
        <w:numPr>
          <w:ilvl w:val="0"/>
          <w:numId w:val="4"/>
        </w:numPr>
        <w:spacing w:before="120" w:beforeLines="50" w:beforeAutospacing="0" w:after="120" w:afterLines="50" w:afterAutospacing="0"/>
        <w:ind w:left="0" w:right="0" w:firstLine="0"/>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理化指标</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88"/>
        <w:gridCol w:w="458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6"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项  目</w:t>
            </w:r>
          </w:p>
        </w:tc>
        <w:tc>
          <w:tcPr>
            <w:tcW w:w="4672" w:type="dxa"/>
            <w:tcBorders>
              <w:top w:val="single" w:color="auto" w:sz="6" w:space="0"/>
              <w:left w:val="single" w:color="auto" w:sz="4" w:space="0"/>
              <w:bottom w:val="single" w:color="auto" w:sz="6"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指  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水分/（％）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7.0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总灰分/（％）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粉末/（％）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水浸出物/（％）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41.3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水溶性灰分，占总灰分（％）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水溶性灰分碱度（以KOH计）/（％）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≥1.0</w:t>
            </w:r>
            <w:r>
              <w:rPr>
                <w:rFonts w:hint="eastAsia" w:ascii="仿宋_GB2312" w:hAnsi="仿宋_GB2312" w:eastAsia="仿宋_GB2312" w:cs="仿宋_GB2312"/>
                <w:kern w:val="0"/>
                <w:sz w:val="24"/>
                <w:szCs w:val="24"/>
                <w:vertAlign w:val="superscript"/>
                <w:lang w:val="en-US" w:eastAsia="zh-CN" w:bidi="ar"/>
              </w:rPr>
              <w:t>a</w:t>
            </w:r>
            <w:r>
              <w:rPr>
                <w:rFonts w:hint="eastAsia" w:ascii="仿宋_GB2312" w:hAnsi="仿宋_GB2312" w:eastAsia="仿宋_GB2312" w:cs="仿宋_GB2312"/>
                <w:kern w:val="0"/>
                <w:sz w:val="24"/>
                <w:szCs w:val="24"/>
                <w:lang w:val="en-US" w:eastAsia="zh-CN" w:bidi="ar"/>
              </w:rPr>
              <w:t>；≤3.0</w:t>
            </w:r>
            <w:r>
              <w:rPr>
                <w:rFonts w:hint="eastAsia" w:ascii="仿宋_GB2312" w:hAnsi="仿宋_GB2312" w:eastAsia="仿宋_GB2312" w:cs="仿宋_GB2312"/>
                <w:kern w:val="0"/>
                <w:sz w:val="24"/>
                <w:szCs w:val="24"/>
                <w:vertAlign w:val="superscript"/>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酸不溶灰分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72" w:type="dxa"/>
            <w:tcBorders>
              <w:top w:val="single" w:color="auto" w:sz="6"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粗纤维/（％）                  ≤</w:t>
            </w:r>
          </w:p>
        </w:tc>
        <w:tc>
          <w:tcPr>
            <w:tcW w:w="4672" w:type="dxa"/>
            <w:tcBorders>
              <w:top w:val="single" w:color="auto" w:sz="6"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茶多酚/（％）                  ≥</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咖啡碱/（％）                  ≥</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3.69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氨基酸/（％）                  ≥</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3.1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2" w:type="dxa"/>
            <w:tcBorders>
              <w:top w:val="single" w:color="auto" w:sz="4" w:space="0"/>
              <w:left w:val="single" w:color="auto" w:sz="6" w:space="0"/>
              <w:bottom w:val="single" w:color="auto" w:sz="4"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茶红素TR/（％）                ≥</w:t>
            </w:r>
          </w:p>
        </w:tc>
        <w:tc>
          <w:tcPr>
            <w:tcW w:w="4672" w:type="dxa"/>
            <w:tcBorders>
              <w:top w:val="single" w:color="auto" w:sz="4" w:space="0"/>
              <w:left w:val="single" w:color="auto" w:sz="4" w:space="0"/>
              <w:bottom w:val="single" w:color="auto" w:sz="4"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3.6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72" w:type="dxa"/>
            <w:tcBorders>
              <w:top w:val="single" w:color="auto" w:sz="4" w:space="0"/>
              <w:left w:val="single" w:color="auto" w:sz="6" w:space="0"/>
              <w:bottom w:val="single" w:color="auto" w:sz="6" w:space="0"/>
              <w:right w:val="single" w:color="auto" w:sz="4"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茶黄素TF/（％）                ≥</w:t>
            </w:r>
          </w:p>
        </w:tc>
        <w:tc>
          <w:tcPr>
            <w:tcW w:w="4672" w:type="dxa"/>
            <w:tcBorders>
              <w:top w:val="single" w:color="auto" w:sz="4" w:space="0"/>
              <w:left w:val="single" w:color="auto" w:sz="4" w:space="0"/>
              <w:bottom w:val="single" w:color="auto" w:sz="6" w:space="0"/>
              <w:right w:val="single" w:color="auto" w:sz="6" w:space="0"/>
            </w:tcBorders>
            <w:shd w:val="clear" w:color="auto" w:fill="auto"/>
            <w:vAlign w:val="top"/>
          </w:tcPr>
          <w:p>
            <w:pPr>
              <w:pStyle w:val="7"/>
              <w:keepNext w:val="0"/>
              <w:keepLines w:val="0"/>
              <w:widowControl/>
              <w:suppressLineNumbers w:val="0"/>
              <w:autoSpaceDE w:val="0"/>
              <w:autoSpaceDN w:val="0"/>
              <w:adjustRightInd/>
              <w:spacing w:before="0" w:beforeAutospacing="0" w:after="0" w:afterAutospacing="0" w:line="240" w:lineRule="auto"/>
              <w:ind w:left="0" w:right="0" w:firstLine="0" w:firstLineChars="0"/>
              <w:jc w:val="center"/>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0.3</w:t>
            </w:r>
          </w:p>
        </w:tc>
      </w:tr>
    </w:tbl>
    <w:p>
      <w:pPr>
        <w:spacing w:line="560" w:lineRule="exact"/>
        <w:rPr>
          <w:rFonts w:hint="default"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除符合公告外，理化指标还应符合GB/T 13738.2-2017《红茶 第2部分：工夫红茶》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drawing>
          <wp:inline distT="0" distB="0" distL="114300" distR="114300">
            <wp:extent cx="5682615" cy="3674110"/>
            <wp:effectExtent l="9525" t="9525" r="22860" b="19685"/>
            <wp:docPr id="7" name="图片 7" descr="b711d00080e0d88e961f9b6c1210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711d00080e0d88e961f9b6c121056b"/>
                    <pic:cNvPicPr>
                      <a:picLocks noChangeAspect="1"/>
                    </pic:cNvPicPr>
                  </pic:nvPicPr>
                  <pic:blipFill>
                    <a:blip r:embed="rId10"/>
                    <a:stretch>
                      <a:fillRect/>
                    </a:stretch>
                  </pic:blipFill>
                  <pic:spPr>
                    <a:xfrm>
                      <a:off x="0" y="0"/>
                      <a:ext cx="5682615" cy="3674110"/>
                    </a:xfrm>
                    <a:prstGeom prst="rect">
                      <a:avLst/>
                    </a:prstGeom>
                    <a:ln>
                      <a:solidFill>
                        <a:schemeClr val="tx1"/>
                      </a:solidFill>
                    </a:ln>
                  </pic:spPr>
                </pic:pic>
              </a:graphicData>
            </a:graphic>
          </wp:inline>
        </w:drawing>
      </w:r>
    </w:p>
    <w:p>
      <w:pPr>
        <w:adjustRightInd w:val="0"/>
        <w:snapToGrid w:val="0"/>
        <w:spacing w:before="156" w:beforeLines="50" w:after="156" w:afterLines="50" w:line="560" w:lineRule="exact"/>
        <w:ind w:firstLine="640" w:firstLineChars="200"/>
        <w:rPr>
          <w:rFonts w:ascii="黑体" w:hAnsi="黑体" w:eastAsia="黑体" w:cs="黑体"/>
          <w:bCs/>
          <w:color w:val="auto"/>
          <w:sz w:val="32"/>
          <w:szCs w:val="32"/>
        </w:rPr>
      </w:pPr>
      <w:r>
        <w:rPr>
          <w:rFonts w:hint="eastAsia" w:ascii="黑体" w:hAnsi="黑体" w:eastAsia="黑体" w:cs="黑体"/>
          <w:bCs/>
          <w:color w:val="auto"/>
          <w:sz w:val="32"/>
          <w:szCs w:val="32"/>
        </w:rPr>
        <w:t>六</w:t>
      </w:r>
      <w:r>
        <w:rPr>
          <w:rFonts w:ascii="黑体" w:hAnsi="黑体" w:eastAsia="黑体" w:cs="黑体"/>
          <w:bCs/>
          <w:color w:val="auto"/>
          <w:sz w:val="32"/>
          <w:szCs w:val="32"/>
        </w:rPr>
        <w:t>、</w:t>
      </w:r>
      <w:r>
        <w:rPr>
          <w:rFonts w:hint="eastAsia" w:ascii="黑体" w:hAnsi="黑体" w:eastAsia="黑体" w:cs="黑体"/>
          <w:bCs/>
          <w:color w:val="auto"/>
          <w:sz w:val="32"/>
          <w:szCs w:val="32"/>
        </w:rPr>
        <w:t>国内外同类标准制修订情况及与法律法规、强制性标准关系</w:t>
      </w:r>
    </w:p>
    <w:p>
      <w:pPr>
        <w:spacing w:line="560" w:lineRule="exact"/>
        <w:ind w:firstLine="640" w:firstLineChars="200"/>
        <w:rPr>
          <w:rFonts w:hint="eastAsia" w:ascii="仿宋_GB2312" w:hAnsi="宋体" w:eastAsia="仿宋_GB2312"/>
          <w:color w:val="auto"/>
          <w:sz w:val="32"/>
          <w:szCs w:val="32"/>
          <w:lang w:val="zh-CN"/>
        </w:rPr>
      </w:pPr>
      <w:r>
        <w:rPr>
          <w:rFonts w:hint="eastAsia" w:ascii="仿宋_GB2312" w:hAnsi="宋体" w:eastAsia="仿宋_GB2312"/>
          <w:color w:val="auto"/>
          <w:sz w:val="32"/>
          <w:szCs w:val="32"/>
          <w:lang w:val="zh-CN"/>
        </w:rPr>
        <w:t>经查阅，与百色红茶</w:t>
      </w:r>
      <w:r>
        <w:rPr>
          <w:rFonts w:hint="eastAsia" w:ascii="仿宋_GB2312" w:hAnsi="宋体" w:eastAsia="仿宋_GB2312"/>
          <w:color w:val="auto"/>
          <w:sz w:val="32"/>
          <w:szCs w:val="32"/>
          <w:lang w:val="en-US" w:eastAsia="zh-CN"/>
        </w:rPr>
        <w:t>加工</w:t>
      </w:r>
      <w:r>
        <w:rPr>
          <w:rFonts w:hint="eastAsia" w:ascii="仿宋_GB2312" w:hAnsi="宋体" w:eastAsia="仿宋_GB2312"/>
          <w:color w:val="auto"/>
          <w:sz w:val="32"/>
          <w:szCs w:val="32"/>
          <w:lang w:val="zh-CN"/>
        </w:rPr>
        <w:t>相关的的国家标准、行业标准GB/T 13738.1-2017《红茶 第1部分：红碎茶》、GB/T 13738.2-2017《红茶 第2部分：工夫红茶》、GB/T 13738.3-2012《红茶 第3部分：小种红茶》、GB/T 35810-2018《红茶加工技术规范》、GH/T 1090-2014《富硒茶》、GH/T 1091-2014《代用茶》、GH/T 1178-2019《祁门工夫红茶》、GH/T 1297-2020《茉莉红茶》、NY/T 780-2004《红茶》、NY/T 3222-2018《工夫红茶加工技术规范》、GH/T 1296-2020《花果香型红茶加工技术规程》等；广西红茶相关地方标准、团体标准有：DB45/T 1431-2016《有机工夫红茶加工技术规程》、DB45/T 809-2012《工夫红茶发酵适度的确定方法》、T/GXAS 111-2020《地理标志农产品 金秀红茶》、T/GXAS 251-2021《广西优质野生红茶》等。</w:t>
      </w:r>
    </w:p>
    <w:p>
      <w:pPr>
        <w:spacing w:line="560" w:lineRule="exact"/>
        <w:ind w:firstLine="640" w:firstLineChars="200"/>
        <w:rPr>
          <w:rFonts w:hint="eastAsia" w:ascii="仿宋_GB2312" w:hAnsi="宋体" w:eastAsia="仿宋_GB2312"/>
          <w:color w:val="auto"/>
          <w:sz w:val="32"/>
          <w:szCs w:val="32"/>
          <w:lang w:val="zh-CN"/>
        </w:rPr>
      </w:pPr>
      <w:r>
        <w:rPr>
          <w:rFonts w:hint="eastAsia" w:ascii="仿宋_GB2312" w:hAnsi="宋体" w:eastAsia="仿宋_GB2312"/>
          <w:color w:val="auto"/>
          <w:sz w:val="32"/>
          <w:szCs w:val="32"/>
          <w:lang w:val="zh-CN"/>
        </w:rPr>
        <w:t>百色红茶感官上：外形：百色红茶干茶色泽乌润，金毫显露，条索紧结肥壮；香气甜香，浓毫香显；汤色红艳明亮；气味：滋味浓强鲜爽，甜醇回甘；叶底红亮匀整。理化指标为：茶多酚含量≥12.9%，水浸出物≥41.3%，咖啡碱含量3.69g/100g，茶红素≥3.6%，茶黄素≥0.3%。上述标准均未对百色红茶有关的特色特征指标做要求，不能指导百色红茶的贴标用标，也不能体现百色红茶的产品特色，并且广西也未制定有《地理标志农产品  百色红茶》相关标准。</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lang w:val="zh-CN"/>
        </w:rPr>
        <w:t>本标准的内容与现行的法律、法规及强制性标准无冲突，标准的编写符合</w:t>
      </w:r>
      <w:r>
        <w:rPr>
          <w:rFonts w:hint="eastAsia" w:ascii="仿宋_GB2312" w:hAnsi="宋体" w:eastAsia="仿宋_GB2312"/>
          <w:color w:val="auto"/>
          <w:sz w:val="32"/>
          <w:szCs w:val="32"/>
        </w:rPr>
        <w:t>GB/T</w:t>
      </w:r>
      <w:r>
        <w:rPr>
          <w:rFonts w:ascii="仿宋_GB2312" w:hAnsi="宋体" w:eastAsia="仿宋_GB2312"/>
          <w:color w:val="auto"/>
          <w:sz w:val="32"/>
          <w:szCs w:val="32"/>
        </w:rPr>
        <w:t xml:space="preserve"> </w:t>
      </w:r>
      <w:r>
        <w:rPr>
          <w:rFonts w:hint="eastAsia" w:ascii="仿宋_GB2312" w:hAnsi="宋体" w:eastAsia="仿宋_GB2312"/>
          <w:color w:val="auto"/>
          <w:sz w:val="32"/>
          <w:szCs w:val="32"/>
        </w:rPr>
        <w:t>1.1-2020的要求。</w:t>
      </w:r>
    </w:p>
    <w:p>
      <w:pPr>
        <w:adjustRightInd w:val="0"/>
        <w:snapToGrid w:val="0"/>
        <w:spacing w:before="156" w:beforeLines="50" w:after="156" w:afterLines="50" w:line="560" w:lineRule="exact"/>
        <w:ind w:firstLine="640" w:firstLineChars="200"/>
        <w:rPr>
          <w:rFonts w:ascii="黑体" w:hAnsi="黑体" w:eastAsia="黑体" w:cs="黑体"/>
          <w:bCs/>
          <w:color w:val="auto"/>
          <w:sz w:val="32"/>
          <w:szCs w:val="32"/>
        </w:rPr>
      </w:pPr>
      <w:r>
        <w:rPr>
          <w:rFonts w:hint="eastAsia" w:ascii="黑体" w:hAnsi="黑体" w:eastAsia="黑体" w:cs="黑体"/>
          <w:bCs/>
          <w:color w:val="auto"/>
          <w:sz w:val="32"/>
          <w:szCs w:val="32"/>
        </w:rPr>
        <w:t>七、重大分歧意见</w:t>
      </w:r>
      <w:r>
        <w:rPr>
          <w:rFonts w:hint="eastAsia" w:ascii="黑体" w:hAnsi="黑体" w:eastAsia="黑体" w:cs="黑体"/>
          <w:bCs/>
          <w:color w:val="auto"/>
          <w:sz w:val="32"/>
          <w:szCs w:val="32"/>
          <w:lang w:val="en-US" w:eastAsia="zh-CN"/>
        </w:rPr>
        <w:t>与</w:t>
      </w:r>
      <w:r>
        <w:rPr>
          <w:rFonts w:hint="eastAsia" w:ascii="黑体" w:hAnsi="黑体" w:eastAsia="黑体" w:cs="黑体"/>
          <w:bCs/>
          <w:color w:val="auto"/>
          <w:sz w:val="32"/>
          <w:szCs w:val="32"/>
        </w:rPr>
        <w:t>处理经过和依据</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rPr>
        <w:t>本标准研制过程中无重大分歧意见。</w:t>
      </w:r>
    </w:p>
    <w:p>
      <w:pPr>
        <w:spacing w:before="156" w:beforeLines="50" w:after="156" w:afterLines="50"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八</w:t>
      </w:r>
      <w:r>
        <w:rPr>
          <w:rFonts w:ascii="黑体" w:hAnsi="黑体" w:eastAsia="黑体"/>
          <w:color w:val="auto"/>
          <w:sz w:val="32"/>
          <w:szCs w:val="32"/>
        </w:rPr>
        <w:t>、自我承诺</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rPr>
        <w:t>本标准内容与各项指标不低于国家强制性标准、推荐性国家标准和行业标准。</w:t>
      </w:r>
    </w:p>
    <w:p>
      <w:pPr>
        <w:spacing w:line="560" w:lineRule="exact"/>
        <w:rPr>
          <w:rFonts w:ascii="仿宋_GB2312" w:hAnsi="宋体" w:eastAsia="仿宋_GB2312"/>
          <w:color w:val="auto"/>
          <w:sz w:val="32"/>
          <w:szCs w:val="32"/>
          <w:lang w:val="zh-CN"/>
        </w:rPr>
      </w:pPr>
    </w:p>
    <w:p>
      <w:pPr>
        <w:spacing w:line="560" w:lineRule="exact"/>
        <w:ind w:firstLine="640" w:firstLineChars="200"/>
        <w:jc w:val="right"/>
        <w:outlineLvl w:val="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团体标准《</w:t>
      </w:r>
      <w:r>
        <w:rPr>
          <w:rFonts w:hint="eastAsia" w:ascii="仿宋_GB2312" w:hAnsi="宋体" w:eastAsia="仿宋_GB2312"/>
          <w:color w:val="auto"/>
          <w:sz w:val="32"/>
          <w:szCs w:val="32"/>
          <w:lang w:val="en-US" w:eastAsia="zh-CN"/>
        </w:rPr>
        <w:t>地理标志农产品  百色红茶</w:t>
      </w:r>
      <w:r>
        <w:rPr>
          <w:rFonts w:hint="eastAsia" w:ascii="仿宋_GB2312" w:hAnsi="宋体" w:eastAsia="仿宋_GB2312"/>
          <w:color w:val="auto"/>
          <w:sz w:val="32"/>
          <w:szCs w:val="32"/>
          <w:lang w:val="zh-CN"/>
        </w:rPr>
        <w:t>》</w:t>
      </w:r>
    </w:p>
    <w:p>
      <w:pPr>
        <w:spacing w:line="560" w:lineRule="exact"/>
        <w:ind w:firstLine="5920" w:firstLineChars="1850"/>
        <w:jc w:val="right"/>
        <w:rPr>
          <w:rFonts w:hint="eastAsia" w:ascii="仿宋_GB2312" w:hAnsi="宋体" w:eastAsia="仿宋_GB2312"/>
          <w:color w:val="auto"/>
          <w:sz w:val="32"/>
          <w:szCs w:val="32"/>
          <w:lang w:val="zh-CN" w:eastAsia="zh-CN"/>
        </w:rPr>
      </w:pPr>
      <w:r>
        <w:rPr>
          <w:rFonts w:hint="eastAsia" w:ascii="仿宋_GB2312" w:hAnsi="宋体" w:eastAsia="仿宋_GB2312"/>
          <w:color w:val="auto"/>
          <w:sz w:val="32"/>
          <w:szCs w:val="32"/>
          <w:lang w:val="zh-CN"/>
        </w:rPr>
        <w:t>标准编制</w:t>
      </w:r>
      <w:r>
        <w:rPr>
          <w:rFonts w:hint="eastAsia" w:ascii="仿宋_GB2312" w:hAnsi="宋体" w:eastAsia="仿宋_GB2312"/>
          <w:color w:val="auto"/>
          <w:sz w:val="32"/>
          <w:szCs w:val="32"/>
          <w:lang w:val="en-US" w:eastAsia="zh-CN"/>
        </w:rPr>
        <w:t>工作组</w:t>
      </w:r>
    </w:p>
    <w:p>
      <w:pPr>
        <w:spacing w:line="560" w:lineRule="exact"/>
        <w:ind w:firstLine="640" w:firstLineChars="200"/>
        <w:jc w:val="right"/>
        <w:rPr>
          <w:rFonts w:ascii="仿宋_GB2312" w:hAnsi="宋体" w:eastAsia="仿宋_GB2312"/>
          <w:color w:val="auto"/>
          <w:sz w:val="32"/>
          <w:szCs w:val="32"/>
        </w:rPr>
      </w:pPr>
      <w:r>
        <w:rPr>
          <w:rFonts w:hint="eastAsia" w:ascii="仿宋_GB2312" w:hAnsi="宋体" w:eastAsia="仿宋_GB2312"/>
          <w:color w:val="auto"/>
          <w:sz w:val="32"/>
          <w:szCs w:val="32"/>
        </w:rPr>
        <w:t>202</w:t>
      </w:r>
      <w:r>
        <w:rPr>
          <w:rFonts w:hint="eastAsia" w:ascii="仿宋_GB2312" w:hAnsi="宋体" w:eastAsia="仿宋_GB2312"/>
          <w:color w:val="auto"/>
          <w:sz w:val="32"/>
          <w:szCs w:val="32"/>
          <w:lang w:val="en-US" w:eastAsia="zh-CN"/>
        </w:rPr>
        <w:t>4</w:t>
      </w:r>
      <w:r>
        <w:rPr>
          <w:rFonts w:hint="eastAsia" w:ascii="仿宋_GB2312" w:hAnsi="宋体" w:eastAsia="仿宋_GB2312"/>
          <w:color w:val="auto"/>
          <w:sz w:val="32"/>
          <w:szCs w:val="32"/>
          <w:lang w:val="zh-CN"/>
        </w:rPr>
        <w:t>年</w:t>
      </w:r>
      <w:r>
        <w:rPr>
          <w:rFonts w:hint="eastAsia" w:ascii="仿宋_GB2312" w:hAnsi="宋体" w:eastAsia="仿宋_GB2312"/>
          <w:color w:val="auto"/>
          <w:sz w:val="32"/>
          <w:szCs w:val="32"/>
          <w:lang w:val="en-US" w:eastAsia="zh-CN"/>
        </w:rPr>
        <w:t>02</w:t>
      </w:r>
      <w:r>
        <w:rPr>
          <w:rFonts w:hint="eastAsia" w:ascii="仿宋_GB2312" w:hAnsi="宋体" w:eastAsia="仿宋_GB2312"/>
          <w:color w:val="auto"/>
          <w:sz w:val="32"/>
          <w:szCs w:val="32"/>
          <w:lang w:val="zh-CN"/>
        </w:rPr>
        <w:t>月</w:t>
      </w:r>
      <w:r>
        <w:rPr>
          <w:rFonts w:hint="eastAsia" w:ascii="仿宋_GB2312" w:hAnsi="宋体" w:eastAsia="仿宋_GB2312"/>
          <w:color w:val="auto"/>
          <w:sz w:val="32"/>
          <w:szCs w:val="32"/>
          <w:lang w:val="en-US" w:eastAsia="zh-CN"/>
        </w:rPr>
        <w:t>03</w:t>
      </w:r>
      <w:bookmarkStart w:id="1" w:name="_GoBack"/>
      <w:bookmarkEnd w:id="1"/>
      <w:r>
        <w:rPr>
          <w:rFonts w:hint="eastAsia" w:ascii="仿宋_GB2312" w:hAnsi="宋体" w:eastAsia="仿宋_GB2312"/>
          <w:color w:val="auto"/>
          <w:sz w:val="32"/>
          <w:szCs w:val="32"/>
        </w:rPr>
        <w:t>日</w:t>
      </w:r>
    </w:p>
    <w:sectPr>
      <w:footerReference r:id="rId3" w:type="default"/>
      <w:pgSz w:w="11906" w:h="16838"/>
      <w:pgMar w:top="1474" w:right="1474"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EE7D09-715E-4304-ADB5-6C6CEC5645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5D9D9C3-2CE3-4E88-9889-EF2636ACF9A1}"/>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45BB0984-26B7-431F-8366-FC093F621EA6}"/>
  </w:font>
  <w:font w:name="仿宋_GB2312">
    <w:panose1 w:val="02010609030101010101"/>
    <w:charset w:val="86"/>
    <w:family w:val="auto"/>
    <w:pitch w:val="default"/>
    <w:sig w:usb0="00000001" w:usb1="080E0000" w:usb2="00000000" w:usb3="00000000" w:csb0="00040000" w:csb1="00000000"/>
    <w:embedRegular r:id="rId4" w:fontKey="{331BA346-D4F1-408F-B26E-05081DA8BCC6}"/>
  </w:font>
  <w:font w:name="楷体">
    <w:panose1 w:val="02010609060101010101"/>
    <w:charset w:val="86"/>
    <w:family w:val="modern"/>
    <w:pitch w:val="default"/>
    <w:sig w:usb0="800002BF" w:usb1="38CF7CFA" w:usb2="00000016" w:usb3="00000000" w:csb0="00040001" w:csb1="00000000"/>
    <w:embedRegular r:id="rId5" w:fontKey="{38D504D7-327A-4F81-8BC1-E7EAF06E8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2E1AF3"/>
    <w:multiLevelType w:val="multilevel"/>
    <w:tmpl w:val="C42E1AF3"/>
    <w:lvl w:ilvl="0" w:tentative="0">
      <w:start w:val="1"/>
      <w:numFmt w:val="decimal"/>
      <w:pStyle w:val="30"/>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5"/>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
    <w:nsid w:val="F7EC27CF"/>
    <w:multiLevelType w:val="singleLevel"/>
    <w:tmpl w:val="F7EC27CF"/>
    <w:lvl w:ilvl="0" w:tentative="0">
      <w:start w:val="4"/>
      <w:numFmt w:val="chineseCounting"/>
      <w:suff w:val="nothing"/>
      <w:lvlText w:val="（%1）"/>
      <w:lvlJc w:val="left"/>
      <w:rPr>
        <w:rFonts w:hint="eastAsia"/>
      </w:rPr>
    </w:lvl>
  </w:abstractNum>
  <w:abstractNum w:abstractNumId="2">
    <w:nsid w:val="6CEA2025"/>
    <w:multiLevelType w:val="multilevel"/>
    <w:tmpl w:val="6CEA2025"/>
    <w:lvl w:ilvl="0" w:tentative="0">
      <w:start w:val="1"/>
      <w:numFmt w:val="none"/>
      <w:pStyle w:val="25"/>
      <w:suff w:val="nothing"/>
      <w:lvlText w:val="%1"/>
      <w:lvlJc w:val="left"/>
      <w:pPr>
        <w:ind w:left="0" w:firstLine="0"/>
      </w:pPr>
      <w:rPr>
        <w:rFonts w:hint="eastAsia"/>
      </w:rPr>
    </w:lvl>
    <w:lvl w:ilvl="1" w:tentative="0">
      <w:start w:val="1"/>
      <w:numFmt w:val="decimal"/>
      <w:pStyle w:val="23"/>
      <w:suff w:val="nothing"/>
      <w:lvlText w:val="%1%2　"/>
      <w:lvlJc w:val="left"/>
      <w:pPr>
        <w:ind w:left="0" w:firstLine="0"/>
      </w:pPr>
      <w:rPr>
        <w:rFonts w:hint="eastAsia" w:ascii="黑体" w:eastAsia="黑体"/>
        <w:b w:val="0"/>
        <w:i w:val="0"/>
        <w:sz w:val="21"/>
      </w:rPr>
    </w:lvl>
    <w:lvl w:ilvl="2" w:tentative="0">
      <w:start w:val="1"/>
      <w:numFmt w:val="decimal"/>
      <w:pStyle w:val="24"/>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19"/>
      <w:suff w:val="nothing"/>
      <w:lvlText w:val="%1%2.%3.%4　"/>
      <w:lvlJc w:val="left"/>
      <w:pPr>
        <w:ind w:left="0" w:firstLine="0"/>
      </w:pPr>
      <w:rPr>
        <w:rFonts w:hint="eastAsia" w:ascii="黑体" w:eastAsia="黑体"/>
        <w:b w:val="0"/>
        <w:i w:val="0"/>
        <w:sz w:val="21"/>
      </w:rPr>
    </w:lvl>
    <w:lvl w:ilvl="4" w:tentative="0">
      <w:start w:val="1"/>
      <w:numFmt w:val="decimal"/>
      <w:pStyle w:val="20"/>
      <w:suff w:val="nothing"/>
      <w:lvlText w:val="%1%2.%3.%4.%5　"/>
      <w:lvlJc w:val="left"/>
      <w:pPr>
        <w:ind w:left="0" w:firstLine="0"/>
      </w:pPr>
      <w:rPr>
        <w:rFonts w:hint="eastAsia" w:ascii="黑体" w:eastAsia="黑体"/>
        <w:b w:val="0"/>
        <w:i w:val="0"/>
        <w:sz w:val="21"/>
      </w:rPr>
    </w:lvl>
    <w:lvl w:ilvl="5" w:tentative="0">
      <w:start w:val="1"/>
      <w:numFmt w:val="decimal"/>
      <w:pStyle w:val="21"/>
      <w:suff w:val="nothing"/>
      <w:lvlText w:val="%1%2.%3.%4.%5.%6　"/>
      <w:lvlJc w:val="left"/>
      <w:pPr>
        <w:ind w:left="0" w:firstLine="0"/>
      </w:pPr>
      <w:rPr>
        <w:rFonts w:hint="eastAsia" w:ascii="黑体" w:eastAsia="黑体"/>
        <w:b w:val="0"/>
        <w:i w:val="0"/>
        <w:sz w:val="21"/>
      </w:rPr>
    </w:lvl>
    <w:lvl w:ilvl="6" w:tentative="0">
      <w:start w:val="1"/>
      <w:numFmt w:val="decimal"/>
      <w:pStyle w:val="22"/>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4664EEB"/>
    <w:multiLevelType w:val="multilevel"/>
    <w:tmpl w:val="74664EEB"/>
    <w:lvl w:ilvl="0" w:tentative="0">
      <w:start w:val="1"/>
      <w:numFmt w:val="japaneseCounting"/>
      <w:pStyle w:val="27"/>
      <w:lvlText w:val="%1、"/>
      <w:lvlJc w:val="left"/>
      <w:pPr>
        <w:ind w:left="504" w:hanging="50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NTFmNmI4YWVkZTlmN2VhZjJlZmI3NzYxNzk5MWIifQ=="/>
  </w:docVars>
  <w:rsids>
    <w:rsidRoot w:val="52F40A7A"/>
    <w:rsid w:val="00007A3B"/>
    <w:rsid w:val="0001362E"/>
    <w:rsid w:val="000301E7"/>
    <w:rsid w:val="000357FD"/>
    <w:rsid w:val="00042DA8"/>
    <w:rsid w:val="00045229"/>
    <w:rsid w:val="000512D3"/>
    <w:rsid w:val="00056E03"/>
    <w:rsid w:val="00060EB2"/>
    <w:rsid w:val="000647D8"/>
    <w:rsid w:val="000736B7"/>
    <w:rsid w:val="00085266"/>
    <w:rsid w:val="000909BA"/>
    <w:rsid w:val="00094F6B"/>
    <w:rsid w:val="000A38AA"/>
    <w:rsid w:val="000A39DF"/>
    <w:rsid w:val="000B69C7"/>
    <w:rsid w:val="000B6C8F"/>
    <w:rsid w:val="000C482C"/>
    <w:rsid w:val="000C5EA5"/>
    <w:rsid w:val="000C73B6"/>
    <w:rsid w:val="000D4AA2"/>
    <w:rsid w:val="000D4D34"/>
    <w:rsid w:val="000E0033"/>
    <w:rsid w:val="000E1F56"/>
    <w:rsid w:val="000F666F"/>
    <w:rsid w:val="001008A6"/>
    <w:rsid w:val="001117EC"/>
    <w:rsid w:val="0011425E"/>
    <w:rsid w:val="00136612"/>
    <w:rsid w:val="00137598"/>
    <w:rsid w:val="001379D8"/>
    <w:rsid w:val="001404BA"/>
    <w:rsid w:val="0014131C"/>
    <w:rsid w:val="001441AB"/>
    <w:rsid w:val="00153708"/>
    <w:rsid w:val="001538F1"/>
    <w:rsid w:val="00160605"/>
    <w:rsid w:val="001643A4"/>
    <w:rsid w:val="0018765E"/>
    <w:rsid w:val="00192652"/>
    <w:rsid w:val="001B3206"/>
    <w:rsid w:val="001C0310"/>
    <w:rsid w:val="001C450D"/>
    <w:rsid w:val="001C7DA7"/>
    <w:rsid w:val="001D20FE"/>
    <w:rsid w:val="001E0C5E"/>
    <w:rsid w:val="001E22DF"/>
    <w:rsid w:val="001F2328"/>
    <w:rsid w:val="00201A81"/>
    <w:rsid w:val="0020586B"/>
    <w:rsid w:val="00210294"/>
    <w:rsid w:val="002111F4"/>
    <w:rsid w:val="00214B36"/>
    <w:rsid w:val="00216C5F"/>
    <w:rsid w:val="002172C1"/>
    <w:rsid w:val="002219A2"/>
    <w:rsid w:val="00224154"/>
    <w:rsid w:val="002276C5"/>
    <w:rsid w:val="00231022"/>
    <w:rsid w:val="00240039"/>
    <w:rsid w:val="002461EE"/>
    <w:rsid w:val="002556C0"/>
    <w:rsid w:val="00266580"/>
    <w:rsid w:val="002714FB"/>
    <w:rsid w:val="00285DB4"/>
    <w:rsid w:val="0029495C"/>
    <w:rsid w:val="002978BA"/>
    <w:rsid w:val="002A1A2A"/>
    <w:rsid w:val="002A4693"/>
    <w:rsid w:val="002B5A2F"/>
    <w:rsid w:val="002E078A"/>
    <w:rsid w:val="002E08EB"/>
    <w:rsid w:val="002E26A4"/>
    <w:rsid w:val="002E4500"/>
    <w:rsid w:val="002E73C7"/>
    <w:rsid w:val="002F331F"/>
    <w:rsid w:val="002F4911"/>
    <w:rsid w:val="0030021B"/>
    <w:rsid w:val="00300939"/>
    <w:rsid w:val="003114F8"/>
    <w:rsid w:val="003213AB"/>
    <w:rsid w:val="00330246"/>
    <w:rsid w:val="00335065"/>
    <w:rsid w:val="003356FD"/>
    <w:rsid w:val="00341840"/>
    <w:rsid w:val="00344DCA"/>
    <w:rsid w:val="003610C1"/>
    <w:rsid w:val="00361BA1"/>
    <w:rsid w:val="00362592"/>
    <w:rsid w:val="00364D16"/>
    <w:rsid w:val="0036618D"/>
    <w:rsid w:val="00371892"/>
    <w:rsid w:val="0039281A"/>
    <w:rsid w:val="00395C01"/>
    <w:rsid w:val="003A4307"/>
    <w:rsid w:val="003A7559"/>
    <w:rsid w:val="003A7E9E"/>
    <w:rsid w:val="003B1821"/>
    <w:rsid w:val="003C1FC4"/>
    <w:rsid w:val="003C75FC"/>
    <w:rsid w:val="003D4CDC"/>
    <w:rsid w:val="003E1857"/>
    <w:rsid w:val="003E3205"/>
    <w:rsid w:val="003E3A46"/>
    <w:rsid w:val="003F3405"/>
    <w:rsid w:val="00401A7C"/>
    <w:rsid w:val="00402FE1"/>
    <w:rsid w:val="00404CED"/>
    <w:rsid w:val="0040560F"/>
    <w:rsid w:val="00414DF4"/>
    <w:rsid w:val="00433889"/>
    <w:rsid w:val="00466A67"/>
    <w:rsid w:val="004706BD"/>
    <w:rsid w:val="004711AC"/>
    <w:rsid w:val="0047343A"/>
    <w:rsid w:val="0047535D"/>
    <w:rsid w:val="00477774"/>
    <w:rsid w:val="00482E23"/>
    <w:rsid w:val="0048798C"/>
    <w:rsid w:val="0049553A"/>
    <w:rsid w:val="004A13E8"/>
    <w:rsid w:val="004B216E"/>
    <w:rsid w:val="004B317A"/>
    <w:rsid w:val="004B3F62"/>
    <w:rsid w:val="004B56E1"/>
    <w:rsid w:val="004C7DEA"/>
    <w:rsid w:val="004D1112"/>
    <w:rsid w:val="004D5DCC"/>
    <w:rsid w:val="004E44D8"/>
    <w:rsid w:val="004E55AB"/>
    <w:rsid w:val="004E5D6B"/>
    <w:rsid w:val="00505174"/>
    <w:rsid w:val="005261CB"/>
    <w:rsid w:val="00527551"/>
    <w:rsid w:val="0052788B"/>
    <w:rsid w:val="00530A33"/>
    <w:rsid w:val="005338ED"/>
    <w:rsid w:val="005353A9"/>
    <w:rsid w:val="00537D26"/>
    <w:rsid w:val="005424FE"/>
    <w:rsid w:val="0054308F"/>
    <w:rsid w:val="00547792"/>
    <w:rsid w:val="0055275D"/>
    <w:rsid w:val="00570517"/>
    <w:rsid w:val="00592480"/>
    <w:rsid w:val="005968B3"/>
    <w:rsid w:val="005973A7"/>
    <w:rsid w:val="00597CAF"/>
    <w:rsid w:val="005B135F"/>
    <w:rsid w:val="005B1C23"/>
    <w:rsid w:val="005B5599"/>
    <w:rsid w:val="005B6BA9"/>
    <w:rsid w:val="005C47DF"/>
    <w:rsid w:val="005D150E"/>
    <w:rsid w:val="005D444C"/>
    <w:rsid w:val="005D714D"/>
    <w:rsid w:val="005D7BE4"/>
    <w:rsid w:val="005E1CDE"/>
    <w:rsid w:val="005E4DE7"/>
    <w:rsid w:val="006069FF"/>
    <w:rsid w:val="00611246"/>
    <w:rsid w:val="00613ED1"/>
    <w:rsid w:val="006212CB"/>
    <w:rsid w:val="00626D7F"/>
    <w:rsid w:val="00634B08"/>
    <w:rsid w:val="00641417"/>
    <w:rsid w:val="00657545"/>
    <w:rsid w:val="00661B2F"/>
    <w:rsid w:val="00661FEE"/>
    <w:rsid w:val="0066301B"/>
    <w:rsid w:val="00665425"/>
    <w:rsid w:val="006722D3"/>
    <w:rsid w:val="006816C4"/>
    <w:rsid w:val="006957E0"/>
    <w:rsid w:val="006A5906"/>
    <w:rsid w:val="006A5B11"/>
    <w:rsid w:val="006A5D0E"/>
    <w:rsid w:val="006B7A71"/>
    <w:rsid w:val="006D70EC"/>
    <w:rsid w:val="006D73AF"/>
    <w:rsid w:val="006E2BD2"/>
    <w:rsid w:val="006E7197"/>
    <w:rsid w:val="006F1440"/>
    <w:rsid w:val="006F5BA6"/>
    <w:rsid w:val="006F7E09"/>
    <w:rsid w:val="0070740B"/>
    <w:rsid w:val="00707437"/>
    <w:rsid w:val="00707815"/>
    <w:rsid w:val="00721EE2"/>
    <w:rsid w:val="00727E29"/>
    <w:rsid w:val="00730E6C"/>
    <w:rsid w:val="00733A36"/>
    <w:rsid w:val="00734529"/>
    <w:rsid w:val="007452B3"/>
    <w:rsid w:val="007609B8"/>
    <w:rsid w:val="007671C3"/>
    <w:rsid w:val="007702EA"/>
    <w:rsid w:val="007851EF"/>
    <w:rsid w:val="007A2869"/>
    <w:rsid w:val="007A5579"/>
    <w:rsid w:val="007A5904"/>
    <w:rsid w:val="007B5CA8"/>
    <w:rsid w:val="007D0A53"/>
    <w:rsid w:val="007E2316"/>
    <w:rsid w:val="007F37EE"/>
    <w:rsid w:val="007F67A8"/>
    <w:rsid w:val="007F78F7"/>
    <w:rsid w:val="00800EA9"/>
    <w:rsid w:val="00803B2B"/>
    <w:rsid w:val="00806142"/>
    <w:rsid w:val="008072A2"/>
    <w:rsid w:val="00812919"/>
    <w:rsid w:val="00826793"/>
    <w:rsid w:val="00833836"/>
    <w:rsid w:val="0084042F"/>
    <w:rsid w:val="0085556B"/>
    <w:rsid w:val="0085613D"/>
    <w:rsid w:val="00892A87"/>
    <w:rsid w:val="00893ACB"/>
    <w:rsid w:val="00897C11"/>
    <w:rsid w:val="008A532F"/>
    <w:rsid w:val="008C04B5"/>
    <w:rsid w:val="008D28FA"/>
    <w:rsid w:val="008D7526"/>
    <w:rsid w:val="008E0B5B"/>
    <w:rsid w:val="00904836"/>
    <w:rsid w:val="00906298"/>
    <w:rsid w:val="00906AA1"/>
    <w:rsid w:val="009129EC"/>
    <w:rsid w:val="00915E8E"/>
    <w:rsid w:val="0092390B"/>
    <w:rsid w:val="0092409D"/>
    <w:rsid w:val="00927C4E"/>
    <w:rsid w:val="009332A7"/>
    <w:rsid w:val="00940E4F"/>
    <w:rsid w:val="00943C3E"/>
    <w:rsid w:val="00947E26"/>
    <w:rsid w:val="0095139E"/>
    <w:rsid w:val="00954336"/>
    <w:rsid w:val="009630F8"/>
    <w:rsid w:val="00964CC9"/>
    <w:rsid w:val="009700A1"/>
    <w:rsid w:val="0097489A"/>
    <w:rsid w:val="0098137C"/>
    <w:rsid w:val="00982776"/>
    <w:rsid w:val="00982B8F"/>
    <w:rsid w:val="00986AD3"/>
    <w:rsid w:val="00987678"/>
    <w:rsid w:val="00990039"/>
    <w:rsid w:val="009916B1"/>
    <w:rsid w:val="009A4578"/>
    <w:rsid w:val="009A5BF2"/>
    <w:rsid w:val="009B0913"/>
    <w:rsid w:val="009B5417"/>
    <w:rsid w:val="009B75B2"/>
    <w:rsid w:val="009B77F5"/>
    <w:rsid w:val="009C049D"/>
    <w:rsid w:val="009C08B7"/>
    <w:rsid w:val="009C11C1"/>
    <w:rsid w:val="009D6D29"/>
    <w:rsid w:val="009E1582"/>
    <w:rsid w:val="009F4746"/>
    <w:rsid w:val="009F69DB"/>
    <w:rsid w:val="00A10B97"/>
    <w:rsid w:val="00A23FE8"/>
    <w:rsid w:val="00A259E3"/>
    <w:rsid w:val="00A32C7C"/>
    <w:rsid w:val="00A3458B"/>
    <w:rsid w:val="00A36849"/>
    <w:rsid w:val="00A37326"/>
    <w:rsid w:val="00A417F6"/>
    <w:rsid w:val="00A42957"/>
    <w:rsid w:val="00A470EC"/>
    <w:rsid w:val="00A53B59"/>
    <w:rsid w:val="00A859D0"/>
    <w:rsid w:val="00A900D7"/>
    <w:rsid w:val="00A90F2C"/>
    <w:rsid w:val="00A92BE3"/>
    <w:rsid w:val="00A96D05"/>
    <w:rsid w:val="00AB1B65"/>
    <w:rsid w:val="00AB2810"/>
    <w:rsid w:val="00AB4B0C"/>
    <w:rsid w:val="00AC2B04"/>
    <w:rsid w:val="00AD6D77"/>
    <w:rsid w:val="00AE25AA"/>
    <w:rsid w:val="00AF6E67"/>
    <w:rsid w:val="00B000B8"/>
    <w:rsid w:val="00B1503E"/>
    <w:rsid w:val="00B2687B"/>
    <w:rsid w:val="00B304E9"/>
    <w:rsid w:val="00B31C41"/>
    <w:rsid w:val="00B32326"/>
    <w:rsid w:val="00B422CE"/>
    <w:rsid w:val="00B56C0E"/>
    <w:rsid w:val="00B61237"/>
    <w:rsid w:val="00B6564B"/>
    <w:rsid w:val="00B719E5"/>
    <w:rsid w:val="00B75A61"/>
    <w:rsid w:val="00B93639"/>
    <w:rsid w:val="00BA054B"/>
    <w:rsid w:val="00BA5404"/>
    <w:rsid w:val="00BB01EB"/>
    <w:rsid w:val="00BB5DDA"/>
    <w:rsid w:val="00BB76F5"/>
    <w:rsid w:val="00BC6524"/>
    <w:rsid w:val="00BD4DFD"/>
    <w:rsid w:val="00BD6F78"/>
    <w:rsid w:val="00BE6649"/>
    <w:rsid w:val="00BF1961"/>
    <w:rsid w:val="00BF1DF2"/>
    <w:rsid w:val="00BF604E"/>
    <w:rsid w:val="00C03406"/>
    <w:rsid w:val="00C15ABB"/>
    <w:rsid w:val="00C451C2"/>
    <w:rsid w:val="00C46F59"/>
    <w:rsid w:val="00C53598"/>
    <w:rsid w:val="00C55561"/>
    <w:rsid w:val="00C61BCC"/>
    <w:rsid w:val="00C710D6"/>
    <w:rsid w:val="00C747B0"/>
    <w:rsid w:val="00C7773D"/>
    <w:rsid w:val="00C827F8"/>
    <w:rsid w:val="00C9265B"/>
    <w:rsid w:val="00C955FD"/>
    <w:rsid w:val="00C96EC0"/>
    <w:rsid w:val="00CA2AA3"/>
    <w:rsid w:val="00CA41A5"/>
    <w:rsid w:val="00CA5B30"/>
    <w:rsid w:val="00CB7EB8"/>
    <w:rsid w:val="00CC2DD8"/>
    <w:rsid w:val="00CC4D3B"/>
    <w:rsid w:val="00CD3D7E"/>
    <w:rsid w:val="00CD4D3D"/>
    <w:rsid w:val="00CD6DF7"/>
    <w:rsid w:val="00CF0438"/>
    <w:rsid w:val="00CF4E8E"/>
    <w:rsid w:val="00D0257C"/>
    <w:rsid w:val="00D063E1"/>
    <w:rsid w:val="00D0661A"/>
    <w:rsid w:val="00D16560"/>
    <w:rsid w:val="00D317D7"/>
    <w:rsid w:val="00D4074E"/>
    <w:rsid w:val="00D40E63"/>
    <w:rsid w:val="00D441ED"/>
    <w:rsid w:val="00D5295D"/>
    <w:rsid w:val="00D64197"/>
    <w:rsid w:val="00D66176"/>
    <w:rsid w:val="00D66403"/>
    <w:rsid w:val="00D70F1A"/>
    <w:rsid w:val="00D73E8B"/>
    <w:rsid w:val="00D770C9"/>
    <w:rsid w:val="00D802E2"/>
    <w:rsid w:val="00D8255C"/>
    <w:rsid w:val="00D838AC"/>
    <w:rsid w:val="00D8739D"/>
    <w:rsid w:val="00D94E61"/>
    <w:rsid w:val="00DA7B3E"/>
    <w:rsid w:val="00DB220F"/>
    <w:rsid w:val="00DC111F"/>
    <w:rsid w:val="00DC1721"/>
    <w:rsid w:val="00DC4821"/>
    <w:rsid w:val="00DC6E56"/>
    <w:rsid w:val="00DD0F41"/>
    <w:rsid w:val="00DD42DA"/>
    <w:rsid w:val="00DD60F9"/>
    <w:rsid w:val="00DE13CB"/>
    <w:rsid w:val="00DF2F5D"/>
    <w:rsid w:val="00DF671D"/>
    <w:rsid w:val="00E01A17"/>
    <w:rsid w:val="00E04336"/>
    <w:rsid w:val="00E05C37"/>
    <w:rsid w:val="00E07EA3"/>
    <w:rsid w:val="00E10161"/>
    <w:rsid w:val="00E1662A"/>
    <w:rsid w:val="00E20A22"/>
    <w:rsid w:val="00E21951"/>
    <w:rsid w:val="00E34CA8"/>
    <w:rsid w:val="00E41663"/>
    <w:rsid w:val="00E43B41"/>
    <w:rsid w:val="00E54505"/>
    <w:rsid w:val="00E62F29"/>
    <w:rsid w:val="00E643E8"/>
    <w:rsid w:val="00E64DE5"/>
    <w:rsid w:val="00E92A02"/>
    <w:rsid w:val="00E933D9"/>
    <w:rsid w:val="00E93758"/>
    <w:rsid w:val="00E953C2"/>
    <w:rsid w:val="00EA3E66"/>
    <w:rsid w:val="00EB0332"/>
    <w:rsid w:val="00EB0B12"/>
    <w:rsid w:val="00EB1EE2"/>
    <w:rsid w:val="00EC3B6C"/>
    <w:rsid w:val="00EC65F7"/>
    <w:rsid w:val="00ED018B"/>
    <w:rsid w:val="00EE08EB"/>
    <w:rsid w:val="00EE51E0"/>
    <w:rsid w:val="00EE7D8E"/>
    <w:rsid w:val="00EF0605"/>
    <w:rsid w:val="00EF2897"/>
    <w:rsid w:val="00EF372E"/>
    <w:rsid w:val="00F14412"/>
    <w:rsid w:val="00F14D9D"/>
    <w:rsid w:val="00F20BCD"/>
    <w:rsid w:val="00F22D23"/>
    <w:rsid w:val="00F33457"/>
    <w:rsid w:val="00F340BE"/>
    <w:rsid w:val="00F343D6"/>
    <w:rsid w:val="00F41AE8"/>
    <w:rsid w:val="00F4639D"/>
    <w:rsid w:val="00F51113"/>
    <w:rsid w:val="00F51F15"/>
    <w:rsid w:val="00F5631A"/>
    <w:rsid w:val="00F62630"/>
    <w:rsid w:val="00F6264F"/>
    <w:rsid w:val="00F66419"/>
    <w:rsid w:val="00F70BB2"/>
    <w:rsid w:val="00F72AF7"/>
    <w:rsid w:val="00F81084"/>
    <w:rsid w:val="00F829D1"/>
    <w:rsid w:val="00F909A0"/>
    <w:rsid w:val="00F9381B"/>
    <w:rsid w:val="00F94EB5"/>
    <w:rsid w:val="00F96393"/>
    <w:rsid w:val="00F977D5"/>
    <w:rsid w:val="00FA53CB"/>
    <w:rsid w:val="00FB0950"/>
    <w:rsid w:val="00FB142D"/>
    <w:rsid w:val="00FC1B41"/>
    <w:rsid w:val="00FC1BC7"/>
    <w:rsid w:val="00FC37C1"/>
    <w:rsid w:val="00FC53EA"/>
    <w:rsid w:val="00FE0893"/>
    <w:rsid w:val="00FE40D9"/>
    <w:rsid w:val="00FE558E"/>
    <w:rsid w:val="00FE658D"/>
    <w:rsid w:val="00FF58FD"/>
    <w:rsid w:val="012073A2"/>
    <w:rsid w:val="01580157"/>
    <w:rsid w:val="01973053"/>
    <w:rsid w:val="01CE7107"/>
    <w:rsid w:val="01D37BC5"/>
    <w:rsid w:val="02033A02"/>
    <w:rsid w:val="02160BB9"/>
    <w:rsid w:val="027E74CA"/>
    <w:rsid w:val="02A54A7E"/>
    <w:rsid w:val="03846660"/>
    <w:rsid w:val="03946FB6"/>
    <w:rsid w:val="03C11E41"/>
    <w:rsid w:val="040E2447"/>
    <w:rsid w:val="04714CC0"/>
    <w:rsid w:val="04AD3F7A"/>
    <w:rsid w:val="04DB3C44"/>
    <w:rsid w:val="05C479AC"/>
    <w:rsid w:val="05E901FB"/>
    <w:rsid w:val="06025F00"/>
    <w:rsid w:val="063A7C18"/>
    <w:rsid w:val="06BC4688"/>
    <w:rsid w:val="06CC7423"/>
    <w:rsid w:val="07436F98"/>
    <w:rsid w:val="091740CA"/>
    <w:rsid w:val="099A4C40"/>
    <w:rsid w:val="0A8B1058"/>
    <w:rsid w:val="0B0401B9"/>
    <w:rsid w:val="0B3722E9"/>
    <w:rsid w:val="0B6F477F"/>
    <w:rsid w:val="0BE94AFA"/>
    <w:rsid w:val="0BFD19CB"/>
    <w:rsid w:val="0C114D3A"/>
    <w:rsid w:val="0C5305F4"/>
    <w:rsid w:val="0CE25932"/>
    <w:rsid w:val="0CEE049E"/>
    <w:rsid w:val="0CF43C8A"/>
    <w:rsid w:val="0D4967B3"/>
    <w:rsid w:val="0DA87EC0"/>
    <w:rsid w:val="0E274886"/>
    <w:rsid w:val="0E5F3078"/>
    <w:rsid w:val="0E802E54"/>
    <w:rsid w:val="0E911E04"/>
    <w:rsid w:val="0F447B05"/>
    <w:rsid w:val="0FAB789B"/>
    <w:rsid w:val="0FE44295"/>
    <w:rsid w:val="0FEC3E14"/>
    <w:rsid w:val="100B56B7"/>
    <w:rsid w:val="10426FF1"/>
    <w:rsid w:val="10806873"/>
    <w:rsid w:val="11705D3A"/>
    <w:rsid w:val="11860F94"/>
    <w:rsid w:val="121B7F8B"/>
    <w:rsid w:val="12A53D1F"/>
    <w:rsid w:val="12F45FA8"/>
    <w:rsid w:val="12F655BF"/>
    <w:rsid w:val="134C146A"/>
    <w:rsid w:val="13D702FD"/>
    <w:rsid w:val="14377FD0"/>
    <w:rsid w:val="14856F74"/>
    <w:rsid w:val="148808AC"/>
    <w:rsid w:val="149C0C39"/>
    <w:rsid w:val="153C3623"/>
    <w:rsid w:val="158840E2"/>
    <w:rsid w:val="15C0748F"/>
    <w:rsid w:val="15D12138"/>
    <w:rsid w:val="15E47C88"/>
    <w:rsid w:val="16174E54"/>
    <w:rsid w:val="163D2096"/>
    <w:rsid w:val="16BE53A8"/>
    <w:rsid w:val="16E37F6D"/>
    <w:rsid w:val="16EC742F"/>
    <w:rsid w:val="17480A93"/>
    <w:rsid w:val="17A35DDF"/>
    <w:rsid w:val="182F7669"/>
    <w:rsid w:val="18787EC5"/>
    <w:rsid w:val="18CC2B8B"/>
    <w:rsid w:val="18EF1C9B"/>
    <w:rsid w:val="195D57D8"/>
    <w:rsid w:val="19BF3DD7"/>
    <w:rsid w:val="19DA7DEE"/>
    <w:rsid w:val="19DC4E83"/>
    <w:rsid w:val="19E84073"/>
    <w:rsid w:val="1A7368C8"/>
    <w:rsid w:val="1A976BB9"/>
    <w:rsid w:val="1AC47300"/>
    <w:rsid w:val="1AE72CD3"/>
    <w:rsid w:val="1AEF3D03"/>
    <w:rsid w:val="1B7E0E69"/>
    <w:rsid w:val="1B862807"/>
    <w:rsid w:val="1C136E65"/>
    <w:rsid w:val="1C4C4278"/>
    <w:rsid w:val="1C9E476B"/>
    <w:rsid w:val="1CA8000B"/>
    <w:rsid w:val="1CC031EA"/>
    <w:rsid w:val="1CDB3660"/>
    <w:rsid w:val="1D1111C8"/>
    <w:rsid w:val="1D763241"/>
    <w:rsid w:val="1D796A5E"/>
    <w:rsid w:val="1D800998"/>
    <w:rsid w:val="1D96232B"/>
    <w:rsid w:val="1DDF2CB1"/>
    <w:rsid w:val="1E3D2E3C"/>
    <w:rsid w:val="1E6264E0"/>
    <w:rsid w:val="1EFA407E"/>
    <w:rsid w:val="1F126151"/>
    <w:rsid w:val="1F61417A"/>
    <w:rsid w:val="1F773206"/>
    <w:rsid w:val="1F7B2EE6"/>
    <w:rsid w:val="1FD232BB"/>
    <w:rsid w:val="1FF068CA"/>
    <w:rsid w:val="20363170"/>
    <w:rsid w:val="208A027D"/>
    <w:rsid w:val="214925D1"/>
    <w:rsid w:val="21B878C1"/>
    <w:rsid w:val="21DF74EB"/>
    <w:rsid w:val="226D2A32"/>
    <w:rsid w:val="22723962"/>
    <w:rsid w:val="22AD1641"/>
    <w:rsid w:val="23DD07B1"/>
    <w:rsid w:val="23F33414"/>
    <w:rsid w:val="241C4DDC"/>
    <w:rsid w:val="24545B5D"/>
    <w:rsid w:val="24CD0EEF"/>
    <w:rsid w:val="24D067A5"/>
    <w:rsid w:val="25386DCA"/>
    <w:rsid w:val="25D030D9"/>
    <w:rsid w:val="26DA4AFE"/>
    <w:rsid w:val="27B95C35"/>
    <w:rsid w:val="27F25F7B"/>
    <w:rsid w:val="28DB3980"/>
    <w:rsid w:val="28F13D86"/>
    <w:rsid w:val="29204D61"/>
    <w:rsid w:val="29CD1C48"/>
    <w:rsid w:val="29F349D6"/>
    <w:rsid w:val="29F563F0"/>
    <w:rsid w:val="2A897264"/>
    <w:rsid w:val="2A9A65A6"/>
    <w:rsid w:val="2AB10CDE"/>
    <w:rsid w:val="2B5E4C67"/>
    <w:rsid w:val="2B947715"/>
    <w:rsid w:val="2B96179A"/>
    <w:rsid w:val="2B97780B"/>
    <w:rsid w:val="2CCB46E5"/>
    <w:rsid w:val="2D2410CF"/>
    <w:rsid w:val="2D344C00"/>
    <w:rsid w:val="2D923C8D"/>
    <w:rsid w:val="2E2A5CB9"/>
    <w:rsid w:val="2E6073FD"/>
    <w:rsid w:val="2E956FE0"/>
    <w:rsid w:val="2EA475C2"/>
    <w:rsid w:val="2F0C37CF"/>
    <w:rsid w:val="2F24002C"/>
    <w:rsid w:val="2F4D09D0"/>
    <w:rsid w:val="2F5A1514"/>
    <w:rsid w:val="2F6A6545"/>
    <w:rsid w:val="2FE77C32"/>
    <w:rsid w:val="302C0C9F"/>
    <w:rsid w:val="303E3EB8"/>
    <w:rsid w:val="30C817CC"/>
    <w:rsid w:val="30C84030"/>
    <w:rsid w:val="30DC0647"/>
    <w:rsid w:val="30EC66DF"/>
    <w:rsid w:val="30FE2122"/>
    <w:rsid w:val="31727782"/>
    <w:rsid w:val="31AE15C3"/>
    <w:rsid w:val="31E60C8B"/>
    <w:rsid w:val="31FF6CE2"/>
    <w:rsid w:val="32456CC4"/>
    <w:rsid w:val="3311445F"/>
    <w:rsid w:val="33865CDD"/>
    <w:rsid w:val="3449749D"/>
    <w:rsid w:val="345E6D06"/>
    <w:rsid w:val="34AC423B"/>
    <w:rsid w:val="34D15C68"/>
    <w:rsid w:val="3512281F"/>
    <w:rsid w:val="353A3782"/>
    <w:rsid w:val="3542414B"/>
    <w:rsid w:val="35860E50"/>
    <w:rsid w:val="35BB3EF4"/>
    <w:rsid w:val="369C4E13"/>
    <w:rsid w:val="36A8469E"/>
    <w:rsid w:val="36B1619C"/>
    <w:rsid w:val="36EC52A3"/>
    <w:rsid w:val="36F84CBD"/>
    <w:rsid w:val="37624689"/>
    <w:rsid w:val="37F63D50"/>
    <w:rsid w:val="384D7457"/>
    <w:rsid w:val="386B0FD9"/>
    <w:rsid w:val="3933479C"/>
    <w:rsid w:val="393869BB"/>
    <w:rsid w:val="396D1326"/>
    <w:rsid w:val="39BC21E0"/>
    <w:rsid w:val="39E4102F"/>
    <w:rsid w:val="3A56463F"/>
    <w:rsid w:val="3B5222CB"/>
    <w:rsid w:val="3B8F601D"/>
    <w:rsid w:val="3BB5469A"/>
    <w:rsid w:val="3D9E4506"/>
    <w:rsid w:val="3DA60433"/>
    <w:rsid w:val="3E524BEF"/>
    <w:rsid w:val="3ED50BDE"/>
    <w:rsid w:val="3EE1042C"/>
    <w:rsid w:val="3EE2552D"/>
    <w:rsid w:val="3F295722"/>
    <w:rsid w:val="3FD93355"/>
    <w:rsid w:val="408F1B38"/>
    <w:rsid w:val="4165602A"/>
    <w:rsid w:val="416B0F76"/>
    <w:rsid w:val="417E0D3F"/>
    <w:rsid w:val="42B40A8B"/>
    <w:rsid w:val="431472BE"/>
    <w:rsid w:val="43154769"/>
    <w:rsid w:val="43EB17DA"/>
    <w:rsid w:val="449E6649"/>
    <w:rsid w:val="450C4D75"/>
    <w:rsid w:val="45FF375F"/>
    <w:rsid w:val="46184524"/>
    <w:rsid w:val="46ED03C2"/>
    <w:rsid w:val="484F252F"/>
    <w:rsid w:val="4862180D"/>
    <w:rsid w:val="48CB7DE0"/>
    <w:rsid w:val="48DE3F2D"/>
    <w:rsid w:val="49084F87"/>
    <w:rsid w:val="497F5F49"/>
    <w:rsid w:val="49E1340B"/>
    <w:rsid w:val="4A0237E4"/>
    <w:rsid w:val="4A133849"/>
    <w:rsid w:val="4A8A1CA2"/>
    <w:rsid w:val="4B011028"/>
    <w:rsid w:val="4BF62B9B"/>
    <w:rsid w:val="4C220955"/>
    <w:rsid w:val="4C661C38"/>
    <w:rsid w:val="4C695DDB"/>
    <w:rsid w:val="4C9A5EA5"/>
    <w:rsid w:val="4CDF3A61"/>
    <w:rsid w:val="4D1225FB"/>
    <w:rsid w:val="4D9A3B9B"/>
    <w:rsid w:val="4DD528AB"/>
    <w:rsid w:val="4DF026E8"/>
    <w:rsid w:val="4E003582"/>
    <w:rsid w:val="4E3C045A"/>
    <w:rsid w:val="4E755E5F"/>
    <w:rsid w:val="4EB45655"/>
    <w:rsid w:val="4EE2079C"/>
    <w:rsid w:val="4F0E378C"/>
    <w:rsid w:val="4F3D6BB8"/>
    <w:rsid w:val="4F4E509D"/>
    <w:rsid w:val="503D5B3F"/>
    <w:rsid w:val="509715B3"/>
    <w:rsid w:val="51885345"/>
    <w:rsid w:val="52F40A7A"/>
    <w:rsid w:val="53AB37CE"/>
    <w:rsid w:val="544A72D5"/>
    <w:rsid w:val="54706EE3"/>
    <w:rsid w:val="54781D67"/>
    <w:rsid w:val="54BA6FAE"/>
    <w:rsid w:val="55013876"/>
    <w:rsid w:val="55297417"/>
    <w:rsid w:val="553D7C77"/>
    <w:rsid w:val="55527E49"/>
    <w:rsid w:val="555F515E"/>
    <w:rsid w:val="558251DE"/>
    <w:rsid w:val="56B93F99"/>
    <w:rsid w:val="56C27DEF"/>
    <w:rsid w:val="56FA72B4"/>
    <w:rsid w:val="57322BDA"/>
    <w:rsid w:val="575916D9"/>
    <w:rsid w:val="579529A0"/>
    <w:rsid w:val="57DE0CFA"/>
    <w:rsid w:val="57EB02E7"/>
    <w:rsid w:val="58141314"/>
    <w:rsid w:val="582E3D9C"/>
    <w:rsid w:val="58A62F16"/>
    <w:rsid w:val="58BE7A1C"/>
    <w:rsid w:val="59772169"/>
    <w:rsid w:val="5ABA692B"/>
    <w:rsid w:val="5B20154B"/>
    <w:rsid w:val="5C4C5F63"/>
    <w:rsid w:val="5CF30946"/>
    <w:rsid w:val="5D014110"/>
    <w:rsid w:val="5D1330D6"/>
    <w:rsid w:val="5D21449F"/>
    <w:rsid w:val="5D45351D"/>
    <w:rsid w:val="5DA3099B"/>
    <w:rsid w:val="5DB11630"/>
    <w:rsid w:val="5E0A1CB3"/>
    <w:rsid w:val="5EB85928"/>
    <w:rsid w:val="5ED013E9"/>
    <w:rsid w:val="5F0437D4"/>
    <w:rsid w:val="5F563DE3"/>
    <w:rsid w:val="5FBE15F0"/>
    <w:rsid w:val="5FC460E7"/>
    <w:rsid w:val="5FD52554"/>
    <w:rsid w:val="5FFE39FF"/>
    <w:rsid w:val="60090E87"/>
    <w:rsid w:val="60721153"/>
    <w:rsid w:val="60AD2485"/>
    <w:rsid w:val="61154026"/>
    <w:rsid w:val="6165040E"/>
    <w:rsid w:val="616855EF"/>
    <w:rsid w:val="62B738DE"/>
    <w:rsid w:val="62C45871"/>
    <w:rsid w:val="62E269BE"/>
    <w:rsid w:val="63273FE2"/>
    <w:rsid w:val="633C4553"/>
    <w:rsid w:val="635E1DC8"/>
    <w:rsid w:val="63B306FF"/>
    <w:rsid w:val="63DB6CD0"/>
    <w:rsid w:val="63F8153B"/>
    <w:rsid w:val="648A3DC7"/>
    <w:rsid w:val="64986500"/>
    <w:rsid w:val="64E84C0B"/>
    <w:rsid w:val="66692932"/>
    <w:rsid w:val="666A2CEB"/>
    <w:rsid w:val="666C3C15"/>
    <w:rsid w:val="66A25E88"/>
    <w:rsid w:val="66B5037B"/>
    <w:rsid w:val="66BF71C4"/>
    <w:rsid w:val="676F0FA5"/>
    <w:rsid w:val="67BF0790"/>
    <w:rsid w:val="67CB721E"/>
    <w:rsid w:val="67F46F2B"/>
    <w:rsid w:val="680A63DF"/>
    <w:rsid w:val="68A1291D"/>
    <w:rsid w:val="68B76BCA"/>
    <w:rsid w:val="68D12C7B"/>
    <w:rsid w:val="68EA387A"/>
    <w:rsid w:val="68FC3CE7"/>
    <w:rsid w:val="693646B5"/>
    <w:rsid w:val="69B721C8"/>
    <w:rsid w:val="69D35D2D"/>
    <w:rsid w:val="69D45F41"/>
    <w:rsid w:val="6A331379"/>
    <w:rsid w:val="6A897D07"/>
    <w:rsid w:val="6A9B3230"/>
    <w:rsid w:val="6AB6350D"/>
    <w:rsid w:val="6B3569DF"/>
    <w:rsid w:val="6BEE5365"/>
    <w:rsid w:val="6C5F2CAF"/>
    <w:rsid w:val="6D833919"/>
    <w:rsid w:val="6E0C603E"/>
    <w:rsid w:val="6E5720A4"/>
    <w:rsid w:val="6F100594"/>
    <w:rsid w:val="6F3E221D"/>
    <w:rsid w:val="6F657C10"/>
    <w:rsid w:val="6F6819AA"/>
    <w:rsid w:val="6FAF1154"/>
    <w:rsid w:val="6FB05B67"/>
    <w:rsid w:val="6FBA70BB"/>
    <w:rsid w:val="7003626C"/>
    <w:rsid w:val="70241AA7"/>
    <w:rsid w:val="705F3713"/>
    <w:rsid w:val="707E05FA"/>
    <w:rsid w:val="73041F38"/>
    <w:rsid w:val="73222030"/>
    <w:rsid w:val="73580236"/>
    <w:rsid w:val="738003D8"/>
    <w:rsid w:val="74E4013D"/>
    <w:rsid w:val="75B856CA"/>
    <w:rsid w:val="76552FDB"/>
    <w:rsid w:val="76B722F6"/>
    <w:rsid w:val="76C233C3"/>
    <w:rsid w:val="76EC3085"/>
    <w:rsid w:val="76FE18C8"/>
    <w:rsid w:val="773D7C31"/>
    <w:rsid w:val="776E5674"/>
    <w:rsid w:val="77A46809"/>
    <w:rsid w:val="77EE4ADF"/>
    <w:rsid w:val="78114A5F"/>
    <w:rsid w:val="78B57F31"/>
    <w:rsid w:val="78ED11E9"/>
    <w:rsid w:val="79A45372"/>
    <w:rsid w:val="79C42846"/>
    <w:rsid w:val="7A123434"/>
    <w:rsid w:val="7A5B26E7"/>
    <w:rsid w:val="7A610B9B"/>
    <w:rsid w:val="7A6275CC"/>
    <w:rsid w:val="7AB768AA"/>
    <w:rsid w:val="7AFA5663"/>
    <w:rsid w:val="7BF65A6C"/>
    <w:rsid w:val="7C5C33D9"/>
    <w:rsid w:val="7C686567"/>
    <w:rsid w:val="7CE0598F"/>
    <w:rsid w:val="7D0B1632"/>
    <w:rsid w:val="7DA37707"/>
    <w:rsid w:val="7DAB739D"/>
    <w:rsid w:val="7DE5123F"/>
    <w:rsid w:val="7E565709"/>
    <w:rsid w:val="7E9D55BD"/>
    <w:rsid w:val="7EBB4BE7"/>
    <w:rsid w:val="7EF316DC"/>
    <w:rsid w:val="7F6A4D24"/>
    <w:rsid w:val="7FB976B6"/>
    <w:rsid w:val="7FBF1496"/>
    <w:rsid w:val="7FDA4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autoRedefine/>
    <w:semiHidden/>
    <w:unhideWhenUsed/>
    <w:qFormat/>
    <w:uiPriority w:val="0"/>
    <w:pPr>
      <w:spacing w:beforeAutospacing="1" w:afterAutospacing="1"/>
      <w:jc w:val="left"/>
      <w:outlineLvl w:val="2"/>
    </w:pPr>
    <w:rPr>
      <w:rFonts w:hint="eastAsia" w:ascii="宋体" w:hAnsi="宋体"/>
      <w:b/>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3">
    <w:name w:val="Document Map"/>
    <w:basedOn w:val="1"/>
    <w:link w:val="18"/>
    <w:autoRedefine/>
    <w:qFormat/>
    <w:uiPriority w:val="0"/>
    <w:rPr>
      <w:rFonts w:ascii="宋体"/>
      <w:sz w:val="18"/>
      <w:szCs w:val="18"/>
    </w:rPr>
  </w:style>
  <w:style w:type="paragraph" w:styleId="4">
    <w:name w:val="Balloon Text"/>
    <w:basedOn w:val="1"/>
    <w:link w:val="17"/>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autoRedefine/>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paragraph" w:styleId="12">
    <w:name w:val="List Paragraph"/>
    <w:basedOn w:val="1"/>
    <w:autoRedefine/>
    <w:qFormat/>
    <w:uiPriority w:val="34"/>
    <w:pPr>
      <w:ind w:firstLine="420" w:firstLineChars="200"/>
    </w:pPr>
    <w:rPr>
      <w:szCs w:val="22"/>
    </w:rPr>
  </w:style>
  <w:style w:type="paragraph" w:customStyle="1" w:styleId="13">
    <w:name w:val="标准文件_段"/>
    <w:link w:val="14"/>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
    <w:name w:val="标准文件_段 Char"/>
    <w:link w:val="13"/>
    <w:autoRedefine/>
    <w:qFormat/>
    <w:uiPriority w:val="0"/>
    <w:rPr>
      <w:rFonts w:ascii="宋体"/>
      <w:sz w:val="21"/>
    </w:rPr>
  </w:style>
  <w:style w:type="character" w:customStyle="1" w:styleId="15">
    <w:name w:val="页眉 字符"/>
    <w:basedOn w:val="10"/>
    <w:link w:val="6"/>
    <w:autoRedefine/>
    <w:qFormat/>
    <w:uiPriority w:val="0"/>
    <w:rPr>
      <w:rFonts w:ascii="Times New Roman" w:hAnsi="Times New Roman"/>
      <w:kern w:val="2"/>
      <w:sz w:val="18"/>
      <w:szCs w:val="18"/>
    </w:rPr>
  </w:style>
  <w:style w:type="character" w:customStyle="1" w:styleId="16">
    <w:name w:val="页脚 字符"/>
    <w:basedOn w:val="10"/>
    <w:link w:val="5"/>
    <w:autoRedefine/>
    <w:qFormat/>
    <w:uiPriority w:val="0"/>
    <w:rPr>
      <w:rFonts w:ascii="Times New Roman" w:hAnsi="Times New Roman"/>
      <w:kern w:val="2"/>
      <w:sz w:val="18"/>
      <w:szCs w:val="18"/>
    </w:rPr>
  </w:style>
  <w:style w:type="character" w:customStyle="1" w:styleId="17">
    <w:name w:val="批注框文本 字符"/>
    <w:basedOn w:val="10"/>
    <w:link w:val="4"/>
    <w:autoRedefine/>
    <w:qFormat/>
    <w:uiPriority w:val="0"/>
    <w:rPr>
      <w:rFonts w:ascii="Times New Roman" w:hAnsi="Times New Roman"/>
      <w:kern w:val="2"/>
      <w:sz w:val="18"/>
      <w:szCs w:val="18"/>
    </w:rPr>
  </w:style>
  <w:style w:type="character" w:customStyle="1" w:styleId="18">
    <w:name w:val="文档结构图 字符"/>
    <w:basedOn w:val="10"/>
    <w:link w:val="3"/>
    <w:autoRedefine/>
    <w:qFormat/>
    <w:uiPriority w:val="0"/>
    <w:rPr>
      <w:rFonts w:ascii="宋体"/>
      <w:kern w:val="2"/>
      <w:sz w:val="18"/>
      <w:szCs w:val="18"/>
    </w:rPr>
  </w:style>
  <w:style w:type="paragraph" w:customStyle="1" w:styleId="19">
    <w:name w:val="标准文件_二级条标题"/>
    <w:next w:val="13"/>
    <w:autoRedefine/>
    <w:qFormat/>
    <w:uiPriority w:val="0"/>
    <w:pPr>
      <w:widowControl w:val="0"/>
      <w:numPr>
        <w:ilvl w:val="3"/>
        <w:numId w:val="1"/>
      </w:numPr>
      <w:spacing w:beforeLines="50" w:afterLines="50"/>
      <w:jc w:val="both"/>
      <w:outlineLvl w:val="2"/>
    </w:pPr>
    <w:rPr>
      <w:rFonts w:ascii="黑体" w:hAnsi="Times New Roman" w:eastAsia="黑体" w:cs="Times New Roman"/>
      <w:sz w:val="21"/>
      <w:lang w:val="en-US" w:eastAsia="zh-CN" w:bidi="ar-SA"/>
    </w:rPr>
  </w:style>
  <w:style w:type="paragraph" w:customStyle="1" w:styleId="20">
    <w:name w:val="标准文件_三级条标题"/>
    <w:basedOn w:val="19"/>
    <w:next w:val="13"/>
    <w:autoRedefine/>
    <w:qFormat/>
    <w:uiPriority w:val="0"/>
    <w:pPr>
      <w:widowControl/>
      <w:numPr>
        <w:ilvl w:val="4"/>
      </w:numPr>
      <w:outlineLvl w:val="3"/>
    </w:pPr>
  </w:style>
  <w:style w:type="paragraph" w:customStyle="1" w:styleId="21">
    <w:name w:val="标准文件_四级条标题"/>
    <w:next w:val="13"/>
    <w:autoRedefine/>
    <w:qFormat/>
    <w:uiPriority w:val="0"/>
    <w:pPr>
      <w:widowControl w:val="0"/>
      <w:numPr>
        <w:ilvl w:val="5"/>
        <w:numId w:val="1"/>
      </w:numPr>
      <w:spacing w:beforeLines="50" w:afterLines="50"/>
      <w:jc w:val="both"/>
      <w:outlineLvl w:val="4"/>
    </w:pPr>
    <w:rPr>
      <w:rFonts w:ascii="黑体" w:hAnsi="Times New Roman" w:eastAsia="黑体" w:cs="Times New Roman"/>
      <w:sz w:val="21"/>
      <w:lang w:val="en-US" w:eastAsia="zh-CN" w:bidi="ar-SA"/>
    </w:rPr>
  </w:style>
  <w:style w:type="paragraph" w:customStyle="1" w:styleId="22">
    <w:name w:val="标准文件_五级条标题"/>
    <w:next w:val="13"/>
    <w:autoRedefine/>
    <w:qFormat/>
    <w:uiPriority w:val="0"/>
    <w:pPr>
      <w:widowControl w:val="0"/>
      <w:numPr>
        <w:ilvl w:val="6"/>
        <w:numId w:val="1"/>
      </w:numPr>
      <w:spacing w:beforeLines="50" w:afterLines="50"/>
      <w:jc w:val="both"/>
      <w:outlineLvl w:val="5"/>
    </w:pPr>
    <w:rPr>
      <w:rFonts w:ascii="黑体" w:hAnsi="Times New Roman" w:eastAsia="黑体" w:cs="Times New Roman"/>
      <w:sz w:val="21"/>
      <w:lang w:val="en-US" w:eastAsia="zh-CN" w:bidi="ar-SA"/>
    </w:rPr>
  </w:style>
  <w:style w:type="paragraph" w:customStyle="1" w:styleId="23">
    <w:name w:val="标准文件_章标题"/>
    <w:next w:val="13"/>
    <w:autoRedefine/>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 w:type="paragraph" w:customStyle="1" w:styleId="24">
    <w:name w:val="标准文件_一级条标题"/>
    <w:basedOn w:val="23"/>
    <w:next w:val="13"/>
    <w:autoRedefine/>
    <w:qFormat/>
    <w:uiPriority w:val="0"/>
    <w:pPr>
      <w:numPr>
        <w:ilvl w:val="2"/>
      </w:numPr>
      <w:spacing w:beforeLines="50" w:afterLines="50"/>
      <w:outlineLvl w:val="1"/>
    </w:pPr>
  </w:style>
  <w:style w:type="paragraph" w:customStyle="1" w:styleId="25">
    <w:name w:val="前言标题"/>
    <w:next w:val="1"/>
    <w:autoRedefine/>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6">
    <w:name w:val="标准文件_术语条一"/>
    <w:basedOn w:val="1"/>
    <w:next w:val="13"/>
    <w:autoRedefine/>
    <w:qFormat/>
    <w:uiPriority w:val="0"/>
    <w:pPr>
      <w:widowControl/>
      <w:numPr>
        <w:ilvl w:val="2"/>
        <w:numId w:val="2"/>
      </w:numPr>
    </w:pPr>
    <w:rPr>
      <w:rFonts w:ascii="宋体"/>
      <w:kern w:val="0"/>
      <w:szCs w:val="20"/>
    </w:rPr>
  </w:style>
  <w:style w:type="paragraph" w:customStyle="1" w:styleId="27">
    <w:name w:val="列项——（一级）"/>
    <w:autoRedefine/>
    <w:qFormat/>
    <w:uiPriority w:val="0"/>
    <w:pPr>
      <w:widowControl w:val="0"/>
      <w:numPr>
        <w:ilvl w:val="0"/>
        <w:numId w:val="3"/>
      </w:numPr>
      <w:jc w:val="both"/>
    </w:pPr>
    <w:rPr>
      <w:rFonts w:ascii="宋体" w:hAnsi="Times New Roman" w:eastAsia="宋体" w:cs="Times New Roman"/>
      <w:sz w:val="21"/>
      <w:lang w:val="en-US" w:eastAsia="zh-CN" w:bidi="ar-SA"/>
    </w:rPr>
  </w:style>
  <w:style w:type="character" w:customStyle="1" w:styleId="28">
    <w:name w:val="font21"/>
    <w:basedOn w:val="10"/>
    <w:autoRedefine/>
    <w:qFormat/>
    <w:uiPriority w:val="0"/>
    <w:rPr>
      <w:rFonts w:hint="eastAsia" w:ascii="等线" w:hAnsi="等线" w:eastAsia="等线"/>
      <w:color w:val="FF0000"/>
      <w:sz w:val="20"/>
      <w:szCs w:val="20"/>
      <w:u w:val="none"/>
    </w:rPr>
  </w:style>
  <w:style w:type="character" w:customStyle="1" w:styleId="29">
    <w:name w:val="font01"/>
    <w:basedOn w:val="10"/>
    <w:autoRedefine/>
    <w:qFormat/>
    <w:uiPriority w:val="0"/>
    <w:rPr>
      <w:rFonts w:hint="eastAsia" w:ascii="等线" w:hAnsi="等线" w:eastAsia="等线"/>
      <w:color w:val="000000"/>
      <w:sz w:val="22"/>
      <w:szCs w:val="22"/>
      <w:u w:val="none"/>
    </w:rPr>
  </w:style>
  <w:style w:type="paragraph" w:customStyle="1" w:styleId="30">
    <w:name w:val="标准文件_正文表标题"/>
    <w:basedOn w:val="1"/>
    <w:autoRedefine/>
    <w:qFormat/>
    <w:uiPriority w:val="0"/>
    <w:pPr>
      <w:keepNext w:val="0"/>
      <w:keepLines w:val="0"/>
      <w:widowControl/>
      <w:numPr>
        <w:ilvl w:val="0"/>
        <w:numId w:val="4"/>
      </w:numPr>
      <w:suppressLineNumbers w:val="0"/>
      <w:tabs>
        <w:tab w:val="left" w:pos="0"/>
      </w:tabs>
      <w:adjustRightInd/>
      <w:spacing w:before="50" w:beforeLines="50" w:beforeAutospacing="0" w:after="50" w:afterLines="50" w:afterAutospacing="0" w:line="240" w:lineRule="auto"/>
      <w:ind w:left="0" w:right="0" w:firstLine="0"/>
      <w:jc w:val="center"/>
    </w:pPr>
    <w:rPr>
      <w:rFonts w:hint="eastAsia" w:ascii="黑体" w:hAnsi="Times New Roman" w:eastAsia="黑体" w:cs="Times New Roman"/>
      <w:kern w:val="0"/>
      <w:sz w:val="21"/>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89A769-1F83-43BB-9EA6-3E14933BBB2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1017</Words>
  <Characters>5802</Characters>
  <Lines>48</Lines>
  <Paragraphs>13</Paragraphs>
  <TotalTime>19</TotalTime>
  <ScaleCrop>false</ScaleCrop>
  <LinksUpToDate>false</LinksUpToDate>
  <CharactersWithSpaces>6806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2021-11-23T02:52:00Z</dcterms:created>
  <dc:creator>Administrator</dc:creator>
  <cp:lastModifiedBy>何嘉楠</cp:lastModifiedBy>
  <dcterms:modified xsi:type="dcterms:W3CDTF">2024-02-03T06:15:00Z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9E9A9BDCCD0F4BB4B780F1C67A16302C</vt:lpwstr>
  </property>
</Properties>
</file>