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地震滑坡概率危险性评估技术规范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Specification </w:t>
      </w:r>
      <w:r>
        <w:rPr>
          <w:rFonts w:hint="eastAsia" w:eastAsia="黑体"/>
          <w:szCs w:val="28"/>
        </w:rPr>
        <w:t>for</w:t>
      </w:r>
      <w:r>
        <w:rPr>
          <w:rFonts w:eastAsia="黑体"/>
          <w:szCs w:val="28"/>
        </w:rPr>
        <w:t xml:space="preserve"> Probability Seismic Landslide Hazard Assessment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中国灾害防御协会</w:t>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"_Toc156205859" </w:instrText>
      </w:r>
      <w:r>
        <w:fldChar w:fldCharType="separate"/>
      </w:r>
      <w:r>
        <w:rPr>
          <w:rStyle w:val="32"/>
          <w:spacing w:val="320"/>
        </w:rPr>
        <w:t>前</w:t>
      </w:r>
      <w:r>
        <w:rPr>
          <w:rStyle w:val="32"/>
        </w:rPr>
        <w:t>言</w:t>
      </w:r>
      <w:r>
        <w:tab/>
      </w:r>
      <w:r>
        <w:fldChar w:fldCharType="begin"/>
      </w:r>
      <w:r>
        <w:instrText xml:space="preserve"> PAGEREF _Toc156205859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"_Toc156205860" </w:instrText>
      </w:r>
      <w:r>
        <w:fldChar w:fldCharType="separate"/>
      </w:r>
      <w:r>
        <w:rPr>
          <w:rStyle w:val="32"/>
          <w:spacing w:val="320"/>
        </w:rPr>
        <w:t>引</w:t>
      </w:r>
      <w:r>
        <w:rPr>
          <w:rStyle w:val="32"/>
        </w:rPr>
        <w:t>言</w:t>
      </w:r>
      <w:r>
        <w:tab/>
      </w:r>
      <w:r>
        <w:fldChar w:fldCharType="begin"/>
      </w:r>
      <w:r>
        <w:instrText xml:space="preserve"> PAGEREF _Toc156205860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"_Toc156205861" </w:instrText>
      </w:r>
      <w:r>
        <w:fldChar w:fldCharType="separate"/>
      </w:r>
      <w:r>
        <w:rPr>
          <w:rStyle w:val="32"/>
        </w:rPr>
        <w:t>1 范围</w:t>
      </w:r>
      <w:r>
        <w:tab/>
      </w:r>
      <w:r>
        <w:fldChar w:fldCharType="begin"/>
      </w:r>
      <w:r>
        <w:instrText xml:space="preserve"> PAGEREF _Toc156205861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"_Toc156205862" </w:instrText>
      </w:r>
      <w:r>
        <w:fldChar w:fldCharType="separate"/>
      </w:r>
      <w:r>
        <w:rPr>
          <w:rStyle w:val="32"/>
        </w:rPr>
        <w:t>2 规范性引用文件</w:t>
      </w:r>
      <w:r>
        <w:tab/>
      </w:r>
      <w:r>
        <w:fldChar w:fldCharType="begin"/>
      </w:r>
      <w:r>
        <w:instrText xml:space="preserve"> PAGEREF _Toc156205862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"_Toc156205863" </w:instrText>
      </w:r>
      <w:r>
        <w:fldChar w:fldCharType="separate"/>
      </w:r>
      <w:r>
        <w:rPr>
          <w:rStyle w:val="32"/>
        </w:rPr>
        <w:t>3 术语和定义</w:t>
      </w:r>
      <w:r>
        <w:tab/>
      </w:r>
      <w:r>
        <w:fldChar w:fldCharType="begin"/>
      </w:r>
      <w:r>
        <w:instrText xml:space="preserve"> PAGEREF _Toc156205863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"_Toc156205864" </w:instrText>
      </w:r>
      <w:r>
        <w:fldChar w:fldCharType="separate"/>
      </w:r>
      <w:r>
        <w:rPr>
          <w:rStyle w:val="32"/>
        </w:rPr>
        <w:t>4 技术要求</w:t>
      </w:r>
      <w:r>
        <w:tab/>
      </w:r>
      <w:r>
        <w:fldChar w:fldCharType="begin"/>
      </w:r>
      <w:r>
        <w:instrText xml:space="preserve"> PAGEREF _Toc156205864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"_Toc156205865" </w:instrText>
      </w:r>
      <w:r>
        <w:fldChar w:fldCharType="separate"/>
      </w:r>
      <w:r>
        <w:rPr>
          <w:rStyle w:val="32"/>
          <w:spacing w:val="105"/>
        </w:rPr>
        <w:t>参考文</w:t>
      </w:r>
      <w:r>
        <w:rPr>
          <w:rStyle w:val="32"/>
        </w:rPr>
        <w:t>献</w:t>
      </w:r>
      <w:r>
        <w:tab/>
      </w:r>
      <w:r>
        <w:fldChar w:fldCharType="begin"/>
      </w:r>
      <w:r>
        <w:instrText xml:space="preserve"> PAGEREF _Toc156205865 \h </w:instrText>
      </w:r>
      <w:r>
        <w:fldChar w:fldCharType="separate"/>
      </w:r>
      <w:r>
        <w:t>4</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before="900" w:after="360"/>
      </w:pPr>
      <w:bookmarkStart w:id="22" w:name="_Toc156205859"/>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本文件由中国灾害防御协会提出。</w:t>
      </w:r>
    </w:p>
    <w:p>
      <w:pPr>
        <w:pStyle w:val="56"/>
        <w:ind w:firstLine="420"/>
      </w:pPr>
      <w:r>
        <w:rPr>
          <w:rFonts w:hint="eastAsia"/>
        </w:rPr>
        <w:t>本文件由中国灾害防御协会归口。</w:t>
      </w:r>
    </w:p>
    <w:p>
      <w:pPr>
        <w:pStyle w:val="56"/>
        <w:ind w:firstLine="420"/>
      </w:pPr>
      <w:r>
        <w:rPr>
          <w:rFonts w:hint="eastAsia"/>
        </w:rPr>
        <w:t>本文件主要起草单位：应急管理部国家自然灾害防治研究院、中国地震局地质研究所、中国地质大学（北京）。</w:t>
      </w:r>
    </w:p>
    <w:p>
      <w:pPr>
        <w:pStyle w:val="56"/>
        <w:ind w:firstLine="420"/>
      </w:pPr>
      <w:r>
        <w:rPr>
          <w:rFonts w:hint="eastAsia"/>
        </w:rPr>
        <w:t>本文件参与起草单位：四川省地震局、河北省地震局、云南省地震局、青海省地震局、宁夏回族自治区地震局、新疆维吾尔自治区地震局、甘肃省地震局、安徽省地震局、贵州省地震局、陕西省地震局、山西省地震局、西藏自治区地震局、中国电力科学研究院有限公司、中国长江三峡集团有限公司、中国地震局地震预测研究所、中国地震局地球物理研究所、中国地质科学院地质力学研究所、同济大学、西安科技大学、成都理工大学、西安交通大学、西北大学。</w:t>
      </w:r>
    </w:p>
    <w:p>
      <w:pPr>
        <w:pStyle w:val="56"/>
        <w:ind w:firstLine="420"/>
      </w:pPr>
      <w:r>
        <w:rPr>
          <w:rFonts w:hint="eastAsia"/>
        </w:rPr>
        <w:t>本文件主要起草人：。</w:t>
      </w:r>
    </w:p>
    <w:p>
      <w:pPr>
        <w:pStyle w:val="56"/>
        <w:ind w:firstLine="420"/>
      </w:pPr>
      <w:r>
        <w:rPr>
          <w:rFonts w:hint="eastAsia"/>
        </w:rPr>
        <w:t>本文件由中国灾害防御协会负责解释。</w:t>
      </w:r>
    </w:p>
    <w:p>
      <w:pPr>
        <w:pStyle w:val="56"/>
        <w:ind w:firstLine="0" w:firstLineChars="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bookmarkStart w:id="76" w:name="_GoBack"/>
      <w:bookmarkEnd w:id="76"/>
    </w:p>
    <w:bookmarkEnd w:id="23"/>
    <w:p>
      <w:pPr>
        <w:pStyle w:val="89"/>
        <w:spacing w:after="360"/>
      </w:pPr>
      <w:bookmarkStart w:id="24" w:name="_Toc156205860"/>
      <w:bookmarkStart w:id="25" w:name="BookMark3"/>
      <w:r>
        <w:rPr>
          <w:spacing w:val="320"/>
        </w:rPr>
        <w:t>引</w:t>
      </w:r>
      <w:r>
        <w:t>言</w:t>
      </w:r>
      <w:bookmarkEnd w:id="24"/>
    </w:p>
    <w:p>
      <w:pPr>
        <w:pStyle w:val="56"/>
        <w:ind w:firstLine="420"/>
        <w:rPr>
          <w:rFonts w:ascii="Times New Roman" w:eastAsia="方正仿宋_GBK"/>
          <w:sz w:val="28"/>
          <w:szCs w:val="32"/>
        </w:rPr>
      </w:pPr>
      <w:r>
        <w:rPr>
          <w:rFonts w:hint="eastAsia"/>
        </w:rPr>
        <w:t>大地震往往触发大量的同震滑坡，而这些同震往往是造成重大的人员伤亡与财产损失的重要原因。开展滑坡预测概率分布的研究是指在地震影响下，研究区内在当地地形地质等条件下发生滑坡的可能性大小，通过预测滑坡空间概率的分布，可以对滑坡高易发区域进行预测和预防，可以有效的开展受灾区域的防灾减灾工作。机器学习模型作为目前国际上较为流行的一种预测滑坡概率的评估方法，被广泛应用到多个区域地震滑坡评估工作中。区域地震滑坡评价是减轻灾害的一种重要方式，通过制定《地震滑坡概率危险性评估技术规范》（以下简称“本标准”），可以提供区域背景下地震滑坡的发生可能性大小，为减轻灾害提供支撑。</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4B74B3223B164E24912DE23C55927155"/>
        </w:placeholder>
      </w:sdtPr>
      <w:sdtContent>
        <w:p>
          <w:pPr>
            <w:pStyle w:val="177"/>
          </w:pPr>
          <w:bookmarkStart w:id="27" w:name="NEW_STAND_NAME"/>
          <w:r>
            <w:rPr>
              <w:rFonts w:hint="eastAsia"/>
            </w:rPr>
            <w:t>地震滑坡概率危险性评估技术规范</w:t>
          </w:r>
        </w:p>
      </w:sdtContent>
    </w:sdt>
    <w:bookmarkEnd w:id="27"/>
    <w:p>
      <w:pPr>
        <w:pStyle w:val="104"/>
        <w:spacing w:before="240" w:after="240"/>
      </w:pPr>
      <w:bookmarkStart w:id="28" w:name="_Toc26718930"/>
      <w:bookmarkStart w:id="29" w:name="_Toc26986771"/>
      <w:bookmarkStart w:id="30" w:name="_Toc156205861"/>
      <w:bookmarkStart w:id="31" w:name="_Toc97192964"/>
      <w:bookmarkStart w:id="32" w:name="_Toc26648465"/>
      <w:bookmarkStart w:id="33" w:name="_Toc24884218"/>
      <w:bookmarkStart w:id="34" w:name="_Toc26986530"/>
      <w:bookmarkStart w:id="35" w:name="_Toc24884211"/>
      <w:bookmarkStart w:id="36" w:name="_Toc17233333"/>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pPr>
      <w:bookmarkStart w:id="38" w:name="_Toc24884219"/>
      <w:bookmarkStart w:id="39" w:name="_Toc17233326"/>
      <w:bookmarkStart w:id="40" w:name="_Toc17233334"/>
      <w:bookmarkStart w:id="41" w:name="_Toc24884212"/>
      <w:bookmarkStart w:id="42" w:name="_Toc26648466"/>
      <w:r>
        <w:rPr>
          <w:rFonts w:hint="eastAsia"/>
        </w:rPr>
        <w:t>本部分规定了针对单次地震事件的滑坡概率危险性评估的技术流程、效果评价等方面的要求。</w:t>
      </w:r>
    </w:p>
    <w:p>
      <w:pPr>
        <w:pStyle w:val="56"/>
        <w:ind w:firstLine="420"/>
      </w:pPr>
      <w:r>
        <w:rPr>
          <w:rFonts w:hint="eastAsia"/>
        </w:rPr>
        <w:t>本部分适用于在获取地震灾区全面详细的同震滑坡数据情况下，基于机器学习模型与概率方法得到地震滑坡概率危险性评估结果。</w:t>
      </w:r>
    </w:p>
    <w:p>
      <w:pPr>
        <w:pStyle w:val="104"/>
        <w:spacing w:before="240" w:after="240"/>
      </w:pPr>
      <w:bookmarkStart w:id="43" w:name="_Toc26718931"/>
      <w:bookmarkStart w:id="44" w:name="_Toc97192965"/>
      <w:bookmarkStart w:id="45" w:name="_Toc26986772"/>
      <w:bookmarkStart w:id="46" w:name="_Toc26986531"/>
      <w:bookmarkStart w:id="47" w:name="_Toc15620586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1B9F0A87FF374F1B89675B412EBFA6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p>
    <w:p>
      <w:pPr>
        <w:pStyle w:val="104"/>
        <w:spacing w:before="240" w:after="240"/>
      </w:pPr>
      <w:bookmarkStart w:id="48" w:name="_Toc156205863"/>
      <w:bookmarkStart w:id="49" w:name="_Toc97192966"/>
      <w:r>
        <w:rPr>
          <w:rFonts w:hint="eastAsia"/>
          <w:szCs w:val="21"/>
        </w:rPr>
        <w:t>术语和定义</w:t>
      </w:r>
      <w:bookmarkEnd w:id="48"/>
      <w:bookmarkEnd w:id="49"/>
    </w:p>
    <w:sdt>
      <w:sdtPr>
        <w:id w:val="-1909835108"/>
        <w:placeholder>
          <w:docPart w:val="6BE2362F0AB245C895EC2B080D55321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t>下列术语和定义适用于本文件。</w:t>
          </w:r>
        </w:p>
      </w:sdtContent>
    </w:sdt>
    <w:p>
      <w:pPr>
        <w:pStyle w:val="56"/>
        <w:ind w:firstLine="0" w:firstLineChars="0"/>
        <w:rPr>
          <w:rFonts w:ascii="黑体" w:hAnsi="黑体" w:eastAsia="黑体"/>
        </w:rPr>
      </w:pPr>
      <w:r>
        <w:rPr>
          <w:rFonts w:hint="eastAsia" w:ascii="黑体" w:hAnsi="黑体" w:eastAsia="黑体"/>
        </w:rPr>
        <w:t>3.1 地震地质灾害  earthquake-induced geological disaster</w:t>
      </w:r>
    </w:p>
    <w:p>
      <w:pPr>
        <w:pStyle w:val="56"/>
        <w:ind w:firstLine="420"/>
      </w:pPr>
      <w:r>
        <w:rPr>
          <w:rFonts w:hint="eastAsia"/>
        </w:rPr>
        <w:t>在地震作用下，地质体变形和破坏所引起的灾害。[GB17741-2005，定义3.23]</w:t>
      </w:r>
    </w:p>
    <w:p>
      <w:pPr>
        <w:pStyle w:val="56"/>
        <w:ind w:firstLine="0" w:firstLineChars="0"/>
        <w:rPr>
          <w:rFonts w:ascii="黑体" w:hAnsi="黑体" w:eastAsia="黑体"/>
        </w:rPr>
      </w:pPr>
      <w:r>
        <w:rPr>
          <w:rFonts w:hint="eastAsia" w:ascii="黑体" w:hAnsi="黑体" w:eastAsia="黑体"/>
        </w:rPr>
        <w:t xml:space="preserve">3.2崩塌灾害  avalanche disaster </w:t>
      </w:r>
    </w:p>
    <w:p>
      <w:pPr>
        <w:pStyle w:val="56"/>
        <w:ind w:firstLine="420"/>
      </w:pPr>
      <w:r>
        <w:rPr>
          <w:rFonts w:hint="eastAsia"/>
        </w:rPr>
        <w:t>指陡峻斜坡上的岩土体在地震作用下突然脱离母体，迅速崩落滚动，而后堆积在坡脚或沟谷，危害人类生命财产安全的灾害。[DZ 0238-2004,定义3.6]</w:t>
      </w:r>
    </w:p>
    <w:p>
      <w:pPr>
        <w:pStyle w:val="56"/>
        <w:ind w:firstLine="0" w:firstLineChars="0"/>
        <w:rPr>
          <w:rFonts w:ascii="黑体" w:hAnsi="黑体" w:eastAsia="黑体"/>
        </w:rPr>
      </w:pPr>
      <w:r>
        <w:rPr>
          <w:rFonts w:hint="eastAsia" w:ascii="黑体" w:hAnsi="黑体" w:eastAsia="黑体"/>
        </w:rPr>
        <w:t>3.3 地震滑坡危险性评估 probabilistic seismic landslide hazard assessment</w:t>
      </w:r>
    </w:p>
    <w:p>
      <w:pPr>
        <w:pStyle w:val="56"/>
        <w:ind w:firstLine="420"/>
      </w:pPr>
      <w:r>
        <w:rPr>
          <w:rFonts w:hint="eastAsia"/>
        </w:rPr>
        <w:t>地震滑坡危险性评估是指在地震影响下，研究区内在当地地形地质等条件下发生滑坡的可能性大小，通过预测滑坡空间概率的分布，有效开展地震滑坡防灾减灾救灾工作。</w:t>
      </w:r>
    </w:p>
    <w:p>
      <w:pPr>
        <w:pStyle w:val="56"/>
        <w:ind w:firstLine="0" w:firstLineChars="0"/>
        <w:rPr>
          <w:rFonts w:ascii="黑体" w:hAnsi="黑体" w:eastAsia="黑体"/>
        </w:rPr>
      </w:pPr>
      <w:r>
        <w:rPr>
          <w:rFonts w:hint="eastAsia" w:ascii="黑体" w:hAnsi="黑体" w:eastAsia="黑体"/>
        </w:rPr>
        <w:t>3.4 地震滑坡发生概率the occurrence probability of coseismic landslides</w:t>
      </w:r>
    </w:p>
    <w:p>
      <w:pPr>
        <w:pStyle w:val="56"/>
        <w:ind w:firstLine="420"/>
      </w:pPr>
      <w:r>
        <w:rPr>
          <w:rFonts w:hint="eastAsia"/>
        </w:rPr>
        <w:t>地震事件所触发的所有的滑坡总面积与滑坡分布面积的比值。得到的地震滑坡发生概率，是表达预测滑坡的区域范围的大小。换句话说，滑坡发生概率与空间范围相关。</w:t>
      </w:r>
    </w:p>
    <w:p>
      <w:pPr>
        <w:pStyle w:val="56"/>
        <w:ind w:firstLine="0" w:firstLineChars="0"/>
        <w:rPr>
          <w:rFonts w:ascii="黑体" w:hAnsi="黑体" w:eastAsia="黑体"/>
        </w:rPr>
      </w:pPr>
      <w:r>
        <w:rPr>
          <w:rFonts w:hint="eastAsia" w:ascii="黑体" w:hAnsi="黑体" w:eastAsia="黑体"/>
        </w:rPr>
        <w:t>3.5机器学习 machine learning</w:t>
      </w:r>
    </w:p>
    <w:p>
      <w:pPr>
        <w:pStyle w:val="56"/>
        <w:ind w:firstLine="420"/>
      </w:pPr>
      <w:r>
        <w:rPr>
          <w:rFonts w:hint="eastAsia"/>
        </w:rPr>
        <w:t>机器学习是一门人工智能的科学，该领域的主要研究对象是人工智能，特别是如何在经验学习中改善具体算法的性能。</w:t>
      </w:r>
    </w:p>
    <w:p>
      <w:pPr>
        <w:pStyle w:val="56"/>
        <w:ind w:firstLine="0" w:firstLineChars="0"/>
        <w:rPr>
          <w:rFonts w:ascii="黑体" w:hAnsi="黑体" w:eastAsia="黑体"/>
        </w:rPr>
      </w:pPr>
      <w:r>
        <w:rPr>
          <w:rFonts w:hint="eastAsia" w:ascii="黑体" w:hAnsi="黑体" w:eastAsia="黑体"/>
        </w:rPr>
        <w:t>3.6 贝叶斯概率思想 Bayesian probability</w:t>
      </w:r>
    </w:p>
    <w:p>
      <w:pPr>
        <w:pStyle w:val="56"/>
        <w:ind w:firstLine="420"/>
      </w:pPr>
      <w:r>
        <w:rPr>
          <w:rFonts w:hint="eastAsia"/>
        </w:rPr>
        <w:t>通过经验、客观数据甚至是主观数值来设定“先验概率”，观察到某种“行为”，并且根据这种行为对先验概率造成的影响来设定“条件概率”，根据观察到的行为，排除先验概率中的某些可能性最后将先验概率更新为“后验概率”。</w:t>
      </w:r>
    </w:p>
    <w:p>
      <w:pPr>
        <w:pStyle w:val="56"/>
        <w:ind w:firstLine="0" w:firstLineChars="0"/>
        <w:rPr>
          <w:rFonts w:ascii="黑体" w:hAnsi="黑体" w:eastAsia="黑体"/>
        </w:rPr>
      </w:pPr>
      <w:r>
        <w:rPr>
          <w:rFonts w:hint="eastAsia" w:ascii="黑体" w:hAnsi="黑体" w:eastAsia="黑体"/>
        </w:rPr>
        <w:t>3.7 地震滑坡易发性分级Earthquake-induced landslide susceptibility classification</w:t>
      </w:r>
    </w:p>
    <w:p>
      <w:pPr>
        <w:pStyle w:val="56"/>
        <w:ind w:firstLine="420"/>
      </w:pPr>
      <w:r>
        <w:rPr>
          <w:rFonts w:hint="eastAsia"/>
        </w:rPr>
        <w:t>以等级的方式划分地震造成的地质灾害活动程度基本规定。</w:t>
      </w:r>
    </w:p>
    <w:p>
      <w:pPr>
        <w:pStyle w:val="104"/>
        <w:spacing w:before="240" w:after="240"/>
        <w:rPr>
          <w:szCs w:val="21"/>
        </w:rPr>
      </w:pPr>
      <w:bookmarkStart w:id="51" w:name="_Toc156205864"/>
      <w:r>
        <w:rPr>
          <w:rFonts w:hint="eastAsia"/>
          <w:szCs w:val="21"/>
        </w:rPr>
        <w:t>技术要求</w:t>
      </w:r>
      <w:bookmarkEnd w:id="51"/>
    </w:p>
    <w:p>
      <w:pPr>
        <w:pStyle w:val="233"/>
        <w:numPr>
          <w:ilvl w:val="0"/>
          <w:numId w:val="0"/>
        </w:numPr>
        <w:spacing w:before="240" w:after="240"/>
        <w:rPr>
          <w:rFonts w:ascii="Times New Roman"/>
        </w:rPr>
      </w:pPr>
      <w:bookmarkStart w:id="52" w:name="_Toc16916"/>
      <w:bookmarkStart w:id="53" w:name="_Toc29173"/>
      <w:bookmarkStart w:id="54" w:name="_Toc11634_WPSOffice_Level2"/>
      <w:bookmarkStart w:id="55" w:name="_Toc155875491"/>
      <w:bookmarkStart w:id="56" w:name="_Toc24907"/>
      <w:bookmarkStart w:id="57" w:name="_Toc10975"/>
      <w:bookmarkStart w:id="58" w:name="_Toc350500203"/>
      <w:bookmarkStart w:id="59" w:name="_Toc349737940"/>
      <w:r>
        <w:rPr>
          <w:rFonts w:hint="eastAsia" w:ascii="Times New Roman"/>
        </w:rPr>
        <w:t>4.</w:t>
      </w:r>
      <w:r>
        <w:rPr>
          <w:rFonts w:ascii="Times New Roman"/>
        </w:rPr>
        <w:t>1</w:t>
      </w:r>
      <w:r>
        <w:rPr>
          <w:rFonts w:hint="eastAsia" w:ascii="Times New Roman"/>
        </w:rPr>
        <w:t xml:space="preserve"> 地震情景确定</w:t>
      </w:r>
      <w:bookmarkEnd w:id="52"/>
      <w:bookmarkEnd w:id="53"/>
      <w:bookmarkEnd w:id="54"/>
      <w:bookmarkEnd w:id="55"/>
      <w:bookmarkEnd w:id="56"/>
      <w:bookmarkEnd w:id="57"/>
    </w:p>
    <w:p>
      <w:pPr>
        <w:pStyle w:val="230"/>
      </w:pPr>
      <w:r>
        <w:rPr>
          <w:rFonts w:hint="eastAsia"/>
        </w:rPr>
        <w:t>收集地震信息，应包含烈度分布数据、震中位置、震级大小、发震断层等信息。</w:t>
      </w:r>
    </w:p>
    <w:bookmarkEnd w:id="58"/>
    <w:bookmarkEnd w:id="59"/>
    <w:p>
      <w:pPr>
        <w:pStyle w:val="232"/>
        <w:numPr>
          <w:ilvl w:val="1"/>
          <w:numId w:val="0"/>
        </w:numPr>
        <w:spacing w:before="120" w:after="120"/>
        <w:outlineLvl w:val="1"/>
        <w:rPr>
          <w:rFonts w:hAnsi="黑体"/>
          <w:szCs w:val="24"/>
        </w:rPr>
      </w:pPr>
      <w:bookmarkStart w:id="60" w:name="_Toc4738"/>
      <w:bookmarkStart w:id="61" w:name="_Toc25344"/>
      <w:bookmarkStart w:id="62" w:name="_Toc2009"/>
      <w:bookmarkStart w:id="63" w:name="_Toc32723_WPSOffice_Level2"/>
      <w:bookmarkStart w:id="64" w:name="_Toc13842"/>
      <w:bookmarkStart w:id="65" w:name="_Toc155875492"/>
      <w:bookmarkStart w:id="66" w:name="_Hlk155788647"/>
      <w:r>
        <w:rPr>
          <w:rFonts w:hint="eastAsia" w:hAnsi="黑体"/>
          <w:szCs w:val="24"/>
        </w:rPr>
        <w:t>4.</w:t>
      </w:r>
      <w:bookmarkEnd w:id="60"/>
      <w:bookmarkEnd w:id="61"/>
      <w:bookmarkEnd w:id="62"/>
      <w:bookmarkEnd w:id="63"/>
      <w:bookmarkEnd w:id="64"/>
      <w:r>
        <w:rPr>
          <w:rFonts w:hAnsi="黑体"/>
          <w:szCs w:val="24"/>
        </w:rPr>
        <w:t xml:space="preserve">2 </w:t>
      </w:r>
      <w:r>
        <w:rPr>
          <w:rFonts w:hint="eastAsia" w:hAnsi="黑体"/>
          <w:szCs w:val="24"/>
        </w:rPr>
        <w:t>工作程序</w:t>
      </w:r>
      <w:bookmarkEnd w:id="65"/>
    </w:p>
    <w:p>
      <w:pPr>
        <w:pStyle w:val="230"/>
      </w:pPr>
      <w:r>
        <w:rPr>
          <w:rFonts w:hint="eastAsia"/>
        </w:rPr>
        <w:t>地震概率危险性评估工作程序如下：</w:t>
      </w:r>
    </w:p>
    <w:p>
      <w:pPr>
        <w:pStyle w:val="230"/>
      </w:pPr>
      <w:r>
        <w:rPr>
          <w:rFonts w:hint="eastAsia"/>
        </w:rPr>
        <w:t>——地震滑坡数据的筛选和处理；</w:t>
      </w:r>
    </w:p>
    <w:p>
      <w:pPr>
        <w:pStyle w:val="230"/>
      </w:pPr>
      <w:r>
        <w:rPr>
          <w:rFonts w:hint="eastAsia"/>
        </w:rPr>
        <w:t>——地震滑坡因子选择与处理；</w:t>
      </w:r>
    </w:p>
    <w:p>
      <w:pPr>
        <w:pStyle w:val="230"/>
      </w:pPr>
      <w:r>
        <w:rPr>
          <w:rFonts w:hint="eastAsia"/>
        </w:rPr>
        <w:t>——基于机器学习模型的地震滑坡概率危险性分析；</w:t>
      </w:r>
    </w:p>
    <w:p>
      <w:pPr>
        <w:pStyle w:val="230"/>
      </w:pPr>
      <w:r>
        <w:rPr>
          <w:rFonts w:hint="eastAsia"/>
        </w:rPr>
        <w:t>——模型精度检验。</w:t>
      </w:r>
    </w:p>
    <w:bookmarkEnd w:id="66"/>
    <w:p>
      <w:pPr>
        <w:pStyle w:val="232"/>
        <w:numPr>
          <w:ilvl w:val="1"/>
          <w:numId w:val="0"/>
        </w:numPr>
        <w:spacing w:before="120" w:after="120"/>
        <w:outlineLvl w:val="1"/>
        <w:rPr>
          <w:rFonts w:hAnsi="黑体"/>
          <w:szCs w:val="24"/>
        </w:rPr>
      </w:pPr>
      <w:bookmarkStart w:id="67" w:name="_Toc155875493"/>
      <w:r>
        <w:rPr>
          <w:rFonts w:hint="eastAsia" w:hAnsi="黑体"/>
          <w:szCs w:val="24"/>
        </w:rPr>
        <w:t>4.</w:t>
      </w:r>
      <w:r>
        <w:rPr>
          <w:rFonts w:hAnsi="黑体"/>
          <w:szCs w:val="24"/>
        </w:rPr>
        <w:t>3</w:t>
      </w:r>
      <w:r>
        <w:rPr>
          <w:rFonts w:hint="eastAsia" w:hAnsi="黑体"/>
          <w:szCs w:val="24"/>
        </w:rPr>
        <w:t>研究区域的选择与界定</w:t>
      </w:r>
      <w:bookmarkEnd w:id="67"/>
    </w:p>
    <w:p>
      <w:pPr>
        <w:pStyle w:val="230"/>
      </w:pPr>
      <w:r>
        <w:rPr>
          <w:rFonts w:hint="eastAsia"/>
        </w:rPr>
        <w:t>根据烈度分布数据确定评估区域的范围。所有数据统一坐标。</w:t>
      </w:r>
    </w:p>
    <w:p>
      <w:pPr>
        <w:pStyle w:val="230"/>
      </w:pPr>
      <w:r>
        <w:rPr>
          <w:rFonts w:hint="eastAsia"/>
        </w:rPr>
        <w:t>明确研究区域的地理范围，确保包含了可能受到地震滑坡影响的所有地区。</w:t>
      </w:r>
    </w:p>
    <w:p>
      <w:pPr>
        <w:pStyle w:val="230"/>
      </w:pPr>
      <w:r>
        <w:rPr>
          <w:rFonts w:hint="eastAsia"/>
        </w:rPr>
        <w:t>考虑地质、地形、降雨等因素，以确定评估的空间范围。</w:t>
      </w:r>
    </w:p>
    <w:p>
      <w:pPr>
        <w:widowControl/>
        <w:spacing w:before="120" w:beforeLines="50" w:after="120" w:afterLines="50"/>
        <w:outlineLvl w:val="3"/>
        <w:rPr>
          <w:rFonts w:ascii="黑体" w:hAnsi="黑体" w:eastAsia="黑体" w:cs="黑体"/>
          <w:kern w:val="0"/>
        </w:rPr>
      </w:pPr>
      <w:r>
        <w:rPr>
          <w:rFonts w:hint="eastAsia" w:ascii="黑体" w:hAnsi="黑体" w:eastAsia="黑体" w:cs="黑体"/>
          <w:kern w:val="0"/>
        </w:rPr>
        <w:t>4.</w:t>
      </w:r>
      <w:r>
        <w:rPr>
          <w:rFonts w:ascii="黑体" w:hAnsi="黑体" w:eastAsia="黑体" w:cs="黑体"/>
          <w:kern w:val="0"/>
        </w:rPr>
        <w:t>3.1</w:t>
      </w:r>
      <w:r>
        <w:rPr>
          <w:rFonts w:hint="eastAsia" w:ascii="黑体" w:hAnsi="黑体" w:eastAsia="黑体" w:cs="黑体"/>
          <w:kern w:val="0"/>
        </w:rPr>
        <w:t xml:space="preserve"> 地震滑坡数据处理</w:t>
      </w:r>
    </w:p>
    <w:p>
      <w:pPr>
        <w:pStyle w:val="230"/>
      </w:pPr>
      <w:r>
        <w:rPr>
          <w:rFonts w:hint="eastAsia"/>
        </w:rPr>
        <w:t>收集高分辨率的地形数据、地质地图、地震活动数据等。</w:t>
      </w:r>
    </w:p>
    <w:p>
      <w:pPr>
        <w:pStyle w:val="230"/>
      </w:pPr>
      <w:r>
        <w:rPr>
          <w:rFonts w:hint="eastAsia"/>
        </w:rPr>
        <w:t>对数据进行质量控制，处理噪声、缺失值和不一致性。确保数据的时效性和完整性。</w:t>
      </w:r>
    </w:p>
    <w:p>
      <w:pPr>
        <w:pStyle w:val="230"/>
      </w:pPr>
      <w:r>
        <w:rPr>
          <w:rFonts w:hint="eastAsia"/>
        </w:rPr>
        <w:t>同震滑坡分布数据为面要素标识的数据，不区分地震滑坡的源区、运动区与堆积区，地震滑坡数据不应当存在地震滑坡调查空区，应当真实、客观、全面的反映地震滑坡的情况。</w:t>
      </w:r>
    </w:p>
    <w:p>
      <w:pPr>
        <w:pStyle w:val="230"/>
      </w:pPr>
      <w:r>
        <w:rPr>
          <w:rFonts w:hint="eastAsia"/>
        </w:rPr>
        <w:t>将</w:t>
      </w:r>
      <w:r>
        <w:t>滑坡</w:t>
      </w:r>
      <w:r>
        <w:rPr>
          <w:rFonts w:hint="eastAsia"/>
        </w:rPr>
        <w:t>区域</w:t>
      </w:r>
      <w:r>
        <w:t>赋值为</w:t>
      </w:r>
      <w:r>
        <w:rPr>
          <w:rFonts w:hint="eastAsia"/>
        </w:rPr>
        <w:t>1，</w:t>
      </w:r>
      <w:r>
        <w:t>将非滑坡区域赋值为</w:t>
      </w:r>
      <w:r>
        <w:rPr>
          <w:rFonts w:hint="eastAsia"/>
        </w:rPr>
        <w:t>0。</w:t>
      </w:r>
    </w:p>
    <w:p>
      <w:pPr>
        <w:widowControl/>
        <w:spacing w:before="120" w:beforeLines="50" w:after="120" w:afterLines="50"/>
        <w:outlineLvl w:val="3"/>
        <w:rPr>
          <w:rFonts w:ascii="黑体" w:hAnsi="黑体" w:eastAsia="黑体" w:cs="黑体"/>
          <w:kern w:val="0"/>
        </w:rPr>
      </w:pPr>
      <w:r>
        <w:rPr>
          <w:rFonts w:hint="eastAsia" w:ascii="黑体" w:hAnsi="黑体" w:eastAsia="黑体" w:cs="黑体"/>
          <w:kern w:val="0"/>
        </w:rPr>
        <w:t>4.</w:t>
      </w:r>
      <w:r>
        <w:rPr>
          <w:rFonts w:ascii="黑体" w:hAnsi="黑体" w:eastAsia="黑体" w:cs="黑体"/>
          <w:kern w:val="0"/>
        </w:rPr>
        <w:t>3.2</w:t>
      </w:r>
      <w:r>
        <w:rPr>
          <w:rFonts w:hint="eastAsia" w:ascii="黑体" w:hAnsi="黑体" w:eastAsia="黑体" w:cs="黑体"/>
          <w:kern w:val="0"/>
        </w:rPr>
        <w:t xml:space="preserve"> 地震滑坡影响因子选择</w:t>
      </w:r>
    </w:p>
    <w:p>
      <w:pPr>
        <w:pStyle w:val="230"/>
      </w:pPr>
      <w:r>
        <w:rPr>
          <w:rFonts w:hint="eastAsia"/>
        </w:rPr>
        <w:t>地震滑坡影响因子选择对概率危险性评估结果十分重要，应综合考虑地形、地质、地震、构造、地貌、水文等多个影响因素。对于岩性等数据，可处理为分类变量数据</w:t>
      </w:r>
    </w:p>
    <w:p>
      <w:pPr>
        <w:pStyle w:val="232"/>
        <w:numPr>
          <w:ilvl w:val="1"/>
          <w:numId w:val="0"/>
        </w:numPr>
        <w:spacing w:before="120" w:after="120"/>
        <w:outlineLvl w:val="1"/>
        <w:rPr>
          <w:rFonts w:hAnsi="黑体"/>
          <w:szCs w:val="24"/>
        </w:rPr>
      </w:pPr>
      <w:bookmarkStart w:id="68" w:name="_Toc155875494"/>
      <w:r>
        <w:rPr>
          <w:rFonts w:hint="eastAsia" w:hAnsi="黑体"/>
          <w:szCs w:val="24"/>
        </w:rPr>
        <w:t>4.</w:t>
      </w:r>
      <w:r>
        <w:rPr>
          <w:rFonts w:hAnsi="黑体"/>
          <w:szCs w:val="24"/>
        </w:rPr>
        <w:t>4</w:t>
      </w:r>
      <w:r>
        <w:rPr>
          <w:rFonts w:hint="eastAsia" w:hAnsi="黑体"/>
          <w:szCs w:val="24"/>
        </w:rPr>
        <w:t xml:space="preserve"> 地震滑坡概率危险性评估训练样本的选择</w:t>
      </w:r>
      <w:bookmarkEnd w:id="68"/>
    </w:p>
    <w:p>
      <w:pPr>
        <w:pStyle w:val="230"/>
      </w:pPr>
      <w:r>
        <w:rPr>
          <w:rFonts w:hint="eastAsia"/>
        </w:rPr>
        <w:t>模型的训练样本选择需要保证滑坡样本与不滑样本的比例与实际区域中滑坡面积与未发生滑坡面积的比例相一致，这样得到的概率才是地震滑坡的绝对概率。</w:t>
      </w:r>
    </w:p>
    <w:p>
      <w:pPr>
        <w:pStyle w:val="230"/>
      </w:pPr>
      <w:r>
        <w:rPr>
          <w:rFonts w:hint="eastAsia"/>
        </w:rPr>
        <w:t>采用在整个研究区内随机选点的方式，样本点落在滑坡面要素内的即为滑坡样本点，落在滑坡面之外的样本点为非滑坡样本点。训练样本的密度应保证每平方公里大于1</w:t>
      </w:r>
      <w:r>
        <w:t>0</w:t>
      </w:r>
      <w:r>
        <w:rPr>
          <w:rFonts w:hint="eastAsia"/>
        </w:rPr>
        <w:t>个样本，这样能够保证概率危险性评估计算结果的稳定性。</w:t>
      </w:r>
    </w:p>
    <w:p>
      <w:pPr>
        <w:pStyle w:val="232"/>
        <w:numPr>
          <w:ilvl w:val="1"/>
          <w:numId w:val="0"/>
        </w:numPr>
        <w:spacing w:before="120" w:after="120"/>
        <w:outlineLvl w:val="1"/>
        <w:rPr>
          <w:rFonts w:hAnsi="黑体"/>
          <w:szCs w:val="24"/>
        </w:rPr>
      </w:pPr>
      <w:bookmarkStart w:id="69" w:name="_Toc155875495"/>
      <w:r>
        <w:rPr>
          <w:rFonts w:hint="eastAsia" w:hAnsi="黑体"/>
          <w:szCs w:val="24"/>
        </w:rPr>
        <w:t>4.</w:t>
      </w:r>
      <w:r>
        <w:rPr>
          <w:rFonts w:hAnsi="黑体"/>
          <w:szCs w:val="24"/>
        </w:rPr>
        <w:t xml:space="preserve">5 </w:t>
      </w:r>
      <w:r>
        <w:rPr>
          <w:rFonts w:hint="eastAsia" w:hAnsi="黑体"/>
          <w:szCs w:val="24"/>
        </w:rPr>
        <w:t>地震滑坡概率危险性评估方法选择</w:t>
      </w:r>
      <w:bookmarkEnd w:id="69"/>
    </w:p>
    <w:p>
      <w:pPr>
        <w:pStyle w:val="230"/>
      </w:pPr>
      <w:r>
        <w:rPr>
          <w:rFonts w:hint="eastAsia"/>
        </w:rPr>
        <w:t>选择适当的地震滑坡概率模型，考虑模型的适用性和可靠性。</w:t>
      </w:r>
    </w:p>
    <w:p>
      <w:pPr>
        <w:pStyle w:val="230"/>
      </w:pPr>
      <w:r>
        <w:rPr>
          <w:rFonts w:hint="eastAsia"/>
        </w:rPr>
        <w:t>在模型选择时，考虑地质条件、地形特征、历史地震事件等因素</w:t>
      </w:r>
    </w:p>
    <w:p>
      <w:pPr>
        <w:pStyle w:val="230"/>
      </w:pPr>
      <w:r>
        <w:rPr>
          <w:rFonts w:hint="eastAsia"/>
        </w:rPr>
        <w:t>常用机器学习模型都可作为地震滑坡概率危险性评估的模型选择，这里以常用的逻辑回归方法为代表介绍。</w:t>
      </w:r>
    </w:p>
    <w:p>
      <w:pPr>
        <w:pStyle w:val="230"/>
      </w:pPr>
      <w:r>
        <w:rPr>
          <w:rFonts w:hint="eastAsia"/>
        </w:rPr>
        <w:t>地震滑坡概率危险性评估方法应考虑滑坡与其环境影响因子的关系，结合GIS空间分析功能，采用机器学习模型建立二者之间的关系，开展定量化分析研究，得到定量关系式，进而推广到整个研究区得到概率危险性分析结果。</w:t>
      </w:r>
    </w:p>
    <w:p>
      <w:pPr>
        <w:pStyle w:val="230"/>
      </w:pPr>
      <w:r>
        <w:rPr>
          <w:rFonts w:hint="eastAsia"/>
        </w:rPr>
        <w:t>以逻辑回归模型为例，该模型考虑一个二分类名义变量，例如将滑坡的触发和未触发，可以用1和0代表两种不同的状态。滑坡发生的概率函数</w:t>
      </w:r>
      <m:oMath>
        <m:r>
          <m:rPr>
            <m:sty m:val="p"/>
          </m:rPr>
          <w:rPr>
            <w:rFonts w:ascii="Cambria Math" w:hAnsi="Cambria Math"/>
          </w:rPr>
          <m:t>f(z)</m:t>
        </m:r>
      </m:oMath>
      <w:r>
        <w:rPr>
          <w:rFonts w:hint="eastAsia"/>
        </w:rPr>
        <w:t>的数值介于0~1之间，将其视为因变量（滑坡影响因子）的条件概率分布，得到式（</w:t>
      </w:r>
      <w:r>
        <w:t>1</w:t>
      </w:r>
      <w:r>
        <w:rPr>
          <w:rFonts w:hint="eastAsia"/>
        </w:rPr>
        <w:t>）和式（</w:t>
      </w:r>
      <w:r>
        <w:t>2</w:t>
      </w:r>
      <w:r>
        <w:rPr>
          <w:rFonts w:hint="eastAsia"/>
        </w:rPr>
        <w:t>）</w:t>
      </w:r>
    </w:p>
    <w:p>
      <w:pPr>
        <w:spacing w:line="276" w:lineRule="auto"/>
        <w:ind w:firstLine="2835" w:firstLineChars="1350"/>
        <w:rPr>
          <w:rFonts w:ascii="宋体" w:hAnsi="Times New Roman"/>
          <w:kern w:val="0"/>
          <w:szCs w:val="20"/>
        </w:rPr>
      </w:pPr>
      <m:oMath>
        <m:r>
          <m:rPr>
            <m:sty m:val="p"/>
          </m:rPr>
          <w:rPr>
            <w:rFonts w:ascii="Cambria Math" w:hAnsi="Cambria Math"/>
            <w:kern w:val="0"/>
            <w:szCs w:val="20"/>
          </w:rPr>
          <m:t>Z=</m:t>
        </m:r>
        <m:r>
          <m:rPr/>
          <w:rPr>
            <w:rFonts w:ascii="Cambria Math" w:hAnsi="Cambria Math"/>
            <w:kern w:val="0"/>
            <w:szCs w:val="20"/>
          </w:rPr>
          <m:t>a</m:t>
        </m:r>
        <m:r>
          <m:rPr>
            <m:sty m:val="p"/>
          </m:rPr>
          <w:rPr>
            <w:rFonts w:ascii="Cambria Math" w:hAnsi="Cambria Math"/>
            <w:kern w:val="0"/>
            <w:szCs w:val="20"/>
          </w:rPr>
          <m:t>+</m:t>
        </m:r>
        <m:nary>
          <m:naryPr>
            <m:chr m:val="∑"/>
            <m:limLoc m:val="undOvr"/>
            <m:supHide m:val="1"/>
            <m:ctrlPr>
              <w:rPr>
                <w:rFonts w:ascii="Cambria Math" w:hAnsi="Cambria Math"/>
                <w:kern w:val="0"/>
                <w:szCs w:val="20"/>
              </w:rPr>
            </m:ctrlPr>
          </m:naryPr>
          <m:sub>
            <m:r>
              <m:rPr/>
              <w:rPr>
                <w:rFonts w:ascii="Cambria Math" w:hAnsi="Cambria Math"/>
                <w:kern w:val="0"/>
                <w:szCs w:val="20"/>
              </w:rPr>
              <m:t>j</m:t>
            </m:r>
            <m:ctrlPr>
              <w:rPr>
                <w:rFonts w:ascii="Cambria Math" w:hAnsi="Cambria Math"/>
                <w:kern w:val="0"/>
                <w:szCs w:val="20"/>
              </w:rPr>
            </m:ctrlPr>
          </m:sub>
          <m:sup>
            <m:ctrlPr>
              <w:rPr>
                <w:rFonts w:ascii="Cambria Math" w:hAnsi="Cambria Math"/>
                <w:kern w:val="0"/>
                <w:szCs w:val="20"/>
              </w:rPr>
            </m:ctrlPr>
          </m:sup>
          <m:e>
            <m:sSub>
              <m:sSubPr>
                <m:ctrlPr>
                  <w:rPr>
                    <w:rFonts w:ascii="Cambria Math" w:hAnsi="Cambria Math"/>
                    <w:kern w:val="0"/>
                    <w:szCs w:val="20"/>
                  </w:rPr>
                </m:ctrlPr>
              </m:sSubPr>
              <m:e>
                <m:r>
                  <m:rPr/>
                  <w:rPr>
                    <w:rFonts w:ascii="Cambria Math" w:hAnsi="Cambria Math"/>
                    <w:kern w:val="0"/>
                    <w:szCs w:val="20"/>
                  </w:rPr>
                  <m:t>b</m:t>
                </m:r>
                <m:ctrlPr>
                  <w:rPr>
                    <w:rFonts w:ascii="Cambria Math" w:hAnsi="Cambria Math"/>
                    <w:kern w:val="0"/>
                    <w:szCs w:val="20"/>
                  </w:rPr>
                </m:ctrlPr>
              </m:e>
              <m:sub>
                <m:r>
                  <m:rPr/>
                  <w:rPr>
                    <w:rFonts w:ascii="Cambria Math" w:hAnsi="Cambria Math"/>
                    <w:kern w:val="0"/>
                    <w:szCs w:val="20"/>
                  </w:rPr>
                  <m:t>j</m:t>
                </m:r>
                <m:ctrlPr>
                  <w:rPr>
                    <w:rFonts w:ascii="Cambria Math" w:hAnsi="Cambria Math"/>
                    <w:kern w:val="0"/>
                    <w:szCs w:val="20"/>
                  </w:rPr>
                </m:ctrlPr>
              </m:sub>
            </m:sSub>
            <m:sSub>
              <m:sSubPr>
                <m:ctrlPr>
                  <w:rPr>
                    <w:rFonts w:ascii="Cambria Math" w:hAnsi="Cambria Math"/>
                    <w:kern w:val="0"/>
                    <w:szCs w:val="20"/>
                  </w:rPr>
                </m:ctrlPr>
              </m:sSubPr>
              <m:e>
                <m:r>
                  <m:rPr/>
                  <w:rPr>
                    <w:rFonts w:ascii="Cambria Math" w:hAnsi="Cambria Math"/>
                    <w:kern w:val="0"/>
                    <w:szCs w:val="20"/>
                  </w:rPr>
                  <m:t>x</m:t>
                </m:r>
                <m:ctrlPr>
                  <w:rPr>
                    <w:rFonts w:ascii="Cambria Math" w:hAnsi="Cambria Math"/>
                    <w:kern w:val="0"/>
                    <w:szCs w:val="20"/>
                  </w:rPr>
                </m:ctrlPr>
              </m:e>
              <m:sub>
                <m:r>
                  <m:rPr/>
                  <w:rPr>
                    <w:rFonts w:ascii="Cambria Math" w:hAnsi="Cambria Math"/>
                    <w:kern w:val="0"/>
                    <w:szCs w:val="20"/>
                  </w:rPr>
                  <m:t>j</m:t>
                </m:r>
                <m:ctrlPr>
                  <w:rPr>
                    <w:rFonts w:ascii="Cambria Math" w:hAnsi="Cambria Math"/>
                    <w:kern w:val="0"/>
                    <w:szCs w:val="20"/>
                  </w:rPr>
                </m:ctrlPr>
              </m:sub>
            </m:sSub>
            <m:ctrlPr>
              <w:rPr>
                <w:rFonts w:ascii="Cambria Math" w:hAnsi="Cambria Math"/>
                <w:kern w:val="0"/>
                <w:szCs w:val="20"/>
              </w:rPr>
            </m:ctrlPr>
          </m:e>
        </m:nary>
      </m:oMath>
      <w:r>
        <w:rPr>
          <w:rFonts w:hint="eastAsia" w:ascii="宋体" w:hAnsi="Times New Roman"/>
          <w:kern w:val="0"/>
          <w:szCs w:val="20"/>
        </w:rPr>
        <w:t xml:space="preserve"> </w:t>
      </w:r>
      <m:oMath>
        <m:r>
          <m:rPr>
            <m:sty m:val="p"/>
          </m:rPr>
          <w:rPr>
            <w:rFonts w:ascii="Cambria Math" w:hAnsi="Cambria Math"/>
            <w:kern w:val="0"/>
            <w:szCs w:val="20"/>
          </w:rPr>
          <m:t>j=1,2,…m</m:t>
        </m:r>
      </m:oMath>
      <w:r>
        <w:rPr>
          <w:rFonts w:hint="eastAsia" w:ascii="宋体" w:hAnsi="Times New Roman"/>
          <w:kern w:val="0"/>
          <w:szCs w:val="20"/>
        </w:rPr>
        <w:t xml:space="preserve"> （</w:t>
      </w:r>
      <w:r>
        <w:rPr>
          <w:rFonts w:ascii="宋体" w:hAnsi="Times New Roman"/>
          <w:kern w:val="0"/>
          <w:szCs w:val="20"/>
        </w:rPr>
        <w:t>1</w:t>
      </w:r>
      <w:r>
        <w:rPr>
          <w:rFonts w:hint="eastAsia" w:ascii="宋体" w:hAnsi="Times New Roman"/>
          <w:kern w:val="0"/>
          <w:szCs w:val="20"/>
        </w:rPr>
        <w:t>）</w:t>
      </w:r>
    </w:p>
    <w:p>
      <w:pPr>
        <w:spacing w:line="276" w:lineRule="auto"/>
        <w:ind w:firstLine="2940" w:firstLineChars="1400"/>
        <w:rPr>
          <w:rFonts w:ascii="宋体" w:hAnsi="Times New Roman"/>
          <w:kern w:val="0"/>
          <w:szCs w:val="20"/>
        </w:rPr>
      </w:pPr>
      <m:oMath>
        <m:r>
          <m:rPr/>
          <w:rPr>
            <w:rFonts w:ascii="Cambria Math" w:hAnsi="Cambria Math"/>
            <w:kern w:val="0"/>
            <w:szCs w:val="20"/>
          </w:rPr>
          <m:t>f</m:t>
        </m:r>
        <m:d>
          <m:dPr>
            <m:ctrlPr>
              <w:rPr>
                <w:rFonts w:ascii="Cambria Math" w:hAnsi="Cambria Math"/>
                <w:kern w:val="0"/>
                <w:szCs w:val="20"/>
              </w:rPr>
            </m:ctrlPr>
          </m:dPr>
          <m:e>
            <m:r>
              <m:rPr/>
              <w:rPr>
                <w:rFonts w:ascii="Cambria Math" w:hAnsi="Cambria Math"/>
                <w:kern w:val="0"/>
                <w:szCs w:val="20"/>
              </w:rPr>
              <m:t>z</m:t>
            </m:r>
            <m:ctrlPr>
              <w:rPr>
                <w:rFonts w:ascii="Cambria Math" w:hAnsi="Cambria Math"/>
                <w:kern w:val="0"/>
                <w:szCs w:val="20"/>
              </w:rPr>
            </m:ctrlPr>
          </m:e>
        </m:d>
        <m:r>
          <m:rPr>
            <m:sty m:val="p"/>
          </m:rPr>
          <w:rPr>
            <w:rFonts w:ascii="Cambria Math" w:hAnsi="Cambria Math"/>
            <w:kern w:val="0"/>
            <w:szCs w:val="20"/>
          </w:rPr>
          <m:t>=</m:t>
        </m:r>
        <m:f>
          <m:fPr>
            <m:ctrlPr>
              <w:rPr>
                <w:rFonts w:ascii="Cambria Math" w:hAnsi="Cambria Math"/>
                <w:kern w:val="0"/>
                <w:szCs w:val="20"/>
              </w:rPr>
            </m:ctrlPr>
          </m:fPr>
          <m:num>
            <m:r>
              <m:rPr>
                <m:sty m:val="p"/>
              </m:rPr>
              <w:rPr>
                <w:rFonts w:ascii="Cambria Math" w:hAnsi="Cambria Math"/>
                <w:kern w:val="0"/>
                <w:szCs w:val="20"/>
              </w:rPr>
              <m:t>1</m:t>
            </m:r>
            <m:ctrlPr>
              <w:rPr>
                <w:rFonts w:ascii="Cambria Math" w:hAnsi="Cambria Math"/>
                <w:kern w:val="0"/>
                <w:szCs w:val="20"/>
              </w:rPr>
            </m:ctrlPr>
          </m:num>
          <m:den>
            <m:r>
              <m:rPr>
                <m:sty m:val="p"/>
              </m:rPr>
              <w:rPr>
                <w:rFonts w:ascii="Cambria Math" w:hAnsi="Cambria Math"/>
                <w:kern w:val="0"/>
                <w:szCs w:val="20"/>
              </w:rPr>
              <m:t>1+</m:t>
            </m:r>
            <m:sSup>
              <m:sSupPr>
                <m:ctrlPr>
                  <w:rPr>
                    <w:rFonts w:ascii="Cambria Math" w:hAnsi="Cambria Math"/>
                    <w:kern w:val="0"/>
                    <w:szCs w:val="20"/>
                  </w:rPr>
                </m:ctrlPr>
              </m:sSupPr>
              <m:e>
                <m:r>
                  <m:rPr/>
                  <w:rPr>
                    <w:rFonts w:ascii="Cambria Math" w:hAnsi="Cambria Math"/>
                    <w:kern w:val="0"/>
                    <w:szCs w:val="20"/>
                  </w:rPr>
                  <m:t>e</m:t>
                </m:r>
                <m:ctrlPr>
                  <w:rPr>
                    <w:rFonts w:ascii="Cambria Math" w:hAnsi="Cambria Math"/>
                    <w:kern w:val="0"/>
                    <w:szCs w:val="20"/>
                  </w:rPr>
                </m:ctrlPr>
              </m:e>
              <m:sup>
                <m:r>
                  <m:rPr>
                    <m:sty m:val="p"/>
                  </m:rPr>
                  <w:rPr>
                    <w:rFonts w:ascii="Cambria Math" w:hAnsi="Cambria Math"/>
                    <w:kern w:val="0"/>
                    <w:szCs w:val="20"/>
                  </w:rPr>
                  <m:t>−(</m:t>
                </m:r>
                <m:r>
                  <m:rPr/>
                  <w:rPr>
                    <w:rFonts w:hint="eastAsia" w:ascii="Cambria Math" w:hAnsi="Cambria Math"/>
                    <w:kern w:val="0"/>
                    <w:szCs w:val="20"/>
                  </w:rPr>
                  <m:t>z</m:t>
                </m:r>
                <m:r>
                  <m:rPr>
                    <m:sty m:val="p"/>
                  </m:rPr>
                  <w:rPr>
                    <w:rFonts w:ascii="Cambria Math" w:hAnsi="Cambria Math"/>
                    <w:kern w:val="0"/>
                    <w:szCs w:val="20"/>
                  </w:rPr>
                  <m:t>)</m:t>
                </m:r>
                <m:ctrlPr>
                  <w:rPr>
                    <w:rFonts w:ascii="Cambria Math" w:hAnsi="Cambria Math"/>
                    <w:kern w:val="0"/>
                    <w:szCs w:val="20"/>
                  </w:rPr>
                </m:ctrlPr>
              </m:sup>
            </m:sSup>
            <m:ctrlPr>
              <w:rPr>
                <w:rFonts w:ascii="Cambria Math" w:hAnsi="Cambria Math"/>
                <w:kern w:val="0"/>
                <w:szCs w:val="20"/>
              </w:rPr>
            </m:ctrlPr>
          </m:den>
        </m:f>
        <m:r>
          <m:rPr>
            <m:sty m:val="p"/>
          </m:rPr>
          <w:rPr>
            <w:rFonts w:ascii="Cambria Math" w:hAnsi="Cambria Math"/>
            <w:kern w:val="0"/>
            <w:szCs w:val="20"/>
          </w:rPr>
          <m:t xml:space="preserve">  </m:t>
        </m:r>
      </m:oMath>
      <w:r>
        <w:rPr>
          <w:rFonts w:hint="eastAsia" w:ascii="宋体" w:hAnsi="Times New Roman"/>
          <w:kern w:val="0"/>
          <w:szCs w:val="20"/>
        </w:rPr>
        <w:t xml:space="preserve">          （</w:t>
      </w:r>
      <w:r>
        <w:rPr>
          <w:rFonts w:ascii="宋体" w:hAnsi="Times New Roman"/>
          <w:kern w:val="0"/>
          <w:szCs w:val="20"/>
        </w:rPr>
        <w:t>2</w:t>
      </w:r>
      <w:r>
        <w:rPr>
          <w:rFonts w:hint="eastAsia" w:ascii="宋体" w:hAnsi="Times New Roman"/>
          <w:kern w:val="0"/>
          <w:szCs w:val="20"/>
        </w:rPr>
        <w:t>）</w:t>
      </w:r>
    </w:p>
    <w:p>
      <w:pPr>
        <w:spacing w:line="360" w:lineRule="auto"/>
        <w:ind w:firstLine="420" w:firstLineChars="200"/>
        <w:rPr>
          <w:rFonts w:ascii="宋体" w:hAnsi="Times New Roman"/>
          <w:kern w:val="0"/>
          <w:szCs w:val="20"/>
        </w:rPr>
      </w:pPr>
      <w:r>
        <w:rPr>
          <w:rFonts w:hint="eastAsia" w:ascii="宋体" w:hAnsi="Times New Roman"/>
          <w:kern w:val="0"/>
          <w:szCs w:val="20"/>
        </w:rPr>
        <w:t>其中，</w:t>
      </w:r>
      <m:oMath>
        <m:r>
          <m:rPr>
            <m:sty m:val="p"/>
          </m:rPr>
          <w:rPr>
            <w:rFonts w:ascii="Cambria Math" w:hAnsi="Cambria Math"/>
            <w:kern w:val="0"/>
            <w:szCs w:val="20"/>
          </w:rPr>
          <m:t>f</m:t>
        </m:r>
        <m:d>
          <m:dPr>
            <m:ctrlPr>
              <w:rPr>
                <w:rFonts w:ascii="Cambria Math" w:hAnsi="Cambria Math"/>
                <w:kern w:val="0"/>
                <w:szCs w:val="20"/>
              </w:rPr>
            </m:ctrlPr>
          </m:dPr>
          <m:e>
            <m:r>
              <m:rPr>
                <m:sty m:val="p"/>
              </m:rPr>
              <w:rPr>
                <w:rFonts w:ascii="Cambria Math" w:hAnsi="Cambria Math"/>
                <w:kern w:val="0"/>
                <w:szCs w:val="20"/>
              </w:rPr>
              <m:t>z</m:t>
            </m:r>
            <m:ctrlPr>
              <w:rPr>
                <w:rFonts w:ascii="Cambria Math" w:hAnsi="Cambria Math"/>
                <w:kern w:val="0"/>
                <w:szCs w:val="20"/>
              </w:rPr>
            </m:ctrlPr>
          </m:e>
        </m:d>
      </m:oMath>
      <w:r>
        <w:rPr>
          <w:rFonts w:hint="eastAsia" w:ascii="宋体" w:hAnsi="Times New Roman"/>
          <w:kern w:val="0"/>
          <w:szCs w:val="20"/>
        </w:rPr>
        <w:t>代表滑坡发生的概率，</w:t>
      </w:r>
      <m:oMath>
        <m:sSub>
          <m:sSubPr>
            <m:ctrlPr>
              <w:rPr>
                <w:rFonts w:ascii="Cambria Math" w:hAnsi="Cambria Math"/>
                <w:kern w:val="0"/>
                <w:szCs w:val="20"/>
              </w:rPr>
            </m:ctrlPr>
          </m:sSubPr>
          <m:e>
            <m:r>
              <m:rPr>
                <m:sty m:val="p"/>
              </m:rPr>
              <w:rPr>
                <w:rFonts w:ascii="Cambria Math" w:hAnsi="Cambria Math"/>
                <w:kern w:val="0"/>
                <w:szCs w:val="20"/>
              </w:rPr>
              <m:t>x</m:t>
            </m:r>
            <m:ctrlPr>
              <w:rPr>
                <w:rFonts w:ascii="Cambria Math" w:hAnsi="Cambria Math"/>
                <w:kern w:val="0"/>
                <w:szCs w:val="20"/>
              </w:rPr>
            </m:ctrlPr>
          </m:e>
          <m:sub>
            <m:r>
              <m:rPr>
                <m:sty m:val="p"/>
              </m:rPr>
              <w:rPr>
                <w:rFonts w:ascii="Cambria Math" w:hAnsi="Cambria Math"/>
                <w:kern w:val="0"/>
                <w:szCs w:val="20"/>
              </w:rPr>
              <m:t>j</m:t>
            </m:r>
            <m:ctrlPr>
              <w:rPr>
                <w:rFonts w:ascii="Cambria Math" w:hAnsi="Cambria Math"/>
                <w:kern w:val="0"/>
                <w:szCs w:val="20"/>
              </w:rPr>
            </m:ctrlPr>
          </m:sub>
        </m:sSub>
      </m:oMath>
      <w:r>
        <w:rPr>
          <w:rFonts w:hint="eastAsia" w:ascii="宋体" w:hAnsi="Times New Roman"/>
          <w:kern w:val="0"/>
          <w:szCs w:val="20"/>
        </w:rPr>
        <w:t>代表各个影响因子，</w:t>
      </w:r>
      <m:oMath>
        <m:sSub>
          <m:sSubPr>
            <m:ctrlPr>
              <w:rPr>
                <w:rFonts w:ascii="Cambria Math" w:hAnsi="Cambria Math"/>
                <w:kern w:val="0"/>
                <w:szCs w:val="20"/>
              </w:rPr>
            </m:ctrlPr>
          </m:sSubPr>
          <m:e>
            <m:r>
              <m:rPr>
                <m:sty m:val="p"/>
              </m:rPr>
              <w:rPr>
                <w:rFonts w:ascii="Cambria Math" w:hAnsi="Cambria Math"/>
                <w:kern w:val="0"/>
                <w:szCs w:val="20"/>
              </w:rPr>
              <m:t>b</m:t>
            </m:r>
            <m:ctrlPr>
              <w:rPr>
                <w:rFonts w:ascii="Cambria Math" w:hAnsi="Cambria Math"/>
                <w:kern w:val="0"/>
                <w:szCs w:val="20"/>
              </w:rPr>
            </m:ctrlPr>
          </m:e>
          <m:sub>
            <m:r>
              <m:rPr>
                <m:sty m:val="p"/>
              </m:rPr>
              <w:rPr>
                <w:rFonts w:ascii="Cambria Math" w:hAnsi="Cambria Math"/>
                <w:kern w:val="0"/>
                <w:szCs w:val="20"/>
              </w:rPr>
              <m:t>j</m:t>
            </m:r>
            <m:ctrlPr>
              <w:rPr>
                <w:rFonts w:ascii="Cambria Math" w:hAnsi="Cambria Math"/>
                <w:kern w:val="0"/>
                <w:szCs w:val="20"/>
              </w:rPr>
            </m:ctrlPr>
          </m:sub>
        </m:sSub>
      </m:oMath>
      <w:r>
        <w:rPr>
          <w:rFonts w:hint="eastAsia" w:ascii="宋体" w:hAnsi="Times New Roman"/>
          <w:kern w:val="0"/>
          <w:szCs w:val="20"/>
        </w:rPr>
        <w:t>是逻辑回归系数, Z代表变量叠加后的线性权重值。</w:t>
      </w:r>
    </w:p>
    <w:p>
      <w:pPr>
        <w:pStyle w:val="230"/>
      </w:pPr>
      <w:r>
        <w:rPr>
          <w:rFonts w:hint="eastAsia"/>
        </w:rPr>
        <w:t>得到各个滑坡影响因子的权重系数，基于模型的公式，得到地震滑坡概率危险性评估结果。</w:t>
      </w:r>
    </w:p>
    <w:p>
      <w:pPr>
        <w:pStyle w:val="232"/>
        <w:numPr>
          <w:ilvl w:val="1"/>
          <w:numId w:val="0"/>
        </w:numPr>
        <w:spacing w:before="120" w:after="120"/>
        <w:outlineLvl w:val="1"/>
        <w:rPr>
          <w:rFonts w:hAnsi="黑体"/>
          <w:szCs w:val="24"/>
        </w:rPr>
      </w:pPr>
      <w:bookmarkStart w:id="70" w:name="_Toc155875496"/>
      <w:r>
        <w:rPr>
          <w:rFonts w:hint="eastAsia" w:hAnsi="黑体"/>
          <w:szCs w:val="24"/>
        </w:rPr>
        <w:t>4.</w:t>
      </w:r>
      <w:r>
        <w:rPr>
          <w:rFonts w:hAnsi="黑体"/>
          <w:szCs w:val="24"/>
        </w:rPr>
        <w:t xml:space="preserve">6 </w:t>
      </w:r>
      <w:r>
        <w:rPr>
          <w:rFonts w:hint="eastAsia" w:hAnsi="黑体"/>
          <w:szCs w:val="24"/>
        </w:rPr>
        <w:t>模型参数设置</w:t>
      </w:r>
      <w:bookmarkEnd w:id="70"/>
    </w:p>
    <w:p>
      <w:pPr>
        <w:pStyle w:val="230"/>
      </w:pPr>
      <w:r>
        <w:rPr>
          <w:rFonts w:hint="eastAsia"/>
        </w:rPr>
        <w:t>设置地震滑坡概率模型的输入参数，包括地质属性、地形因子、降雨条件等。</w:t>
      </w:r>
    </w:p>
    <w:p>
      <w:pPr>
        <w:pStyle w:val="230"/>
      </w:pPr>
      <w:r>
        <w:rPr>
          <w:rFonts w:hint="eastAsia"/>
        </w:rPr>
        <w:t>根据研究区域的特点，调整和优化模型参数</w:t>
      </w:r>
    </w:p>
    <w:p>
      <w:pPr>
        <w:pStyle w:val="232"/>
        <w:numPr>
          <w:ilvl w:val="1"/>
          <w:numId w:val="0"/>
        </w:numPr>
        <w:spacing w:before="120" w:after="120"/>
        <w:outlineLvl w:val="1"/>
        <w:rPr>
          <w:rFonts w:hAnsi="黑体"/>
          <w:szCs w:val="24"/>
        </w:rPr>
      </w:pPr>
      <w:bookmarkStart w:id="71" w:name="_Toc155875497"/>
      <w:r>
        <w:rPr>
          <w:rFonts w:hint="eastAsia" w:hAnsi="黑体"/>
          <w:szCs w:val="24"/>
        </w:rPr>
        <w:t>4.</w:t>
      </w:r>
      <w:r>
        <w:rPr>
          <w:rFonts w:hAnsi="黑体"/>
          <w:szCs w:val="24"/>
        </w:rPr>
        <w:t>7</w:t>
      </w:r>
      <w:r>
        <w:rPr>
          <w:rFonts w:hint="eastAsia" w:hAnsi="黑体"/>
          <w:szCs w:val="24"/>
        </w:rPr>
        <w:t>概率危险性结果综合分析</w:t>
      </w:r>
      <w:bookmarkEnd w:id="71"/>
    </w:p>
    <w:p>
      <w:pPr>
        <w:pStyle w:val="230"/>
        <w:spacing w:before="120" w:after="120"/>
      </w:pPr>
      <w:r>
        <w:rPr>
          <w:rFonts w:hint="eastAsia"/>
        </w:rPr>
        <w:t>根据朴素贝叶斯概率思想，对于一次地震事件来说，其滑坡发生概率可以被定义为：该次地震事件所触发的所有的滑坡总面积与滑坡分布面积的比值。该比值可类似于同震滑坡发生的先验概率，也可被成为滑坡面积百分比。那么某一区域内同震滑坡的发生概率可以定义为该区域内同震滑坡总面积除以该区域总面积。应用上述方法得到的地震滑坡发生概率，是表达预测滑坡的区域范围的大小。滑坡发生概率与空间范围相关。</w:t>
      </w:r>
    </w:p>
    <w:p>
      <w:pPr>
        <w:widowControl/>
        <w:spacing w:before="120" w:beforeLines="50" w:after="120" w:afterLines="50"/>
        <w:outlineLvl w:val="3"/>
        <w:rPr>
          <w:rFonts w:ascii="黑体" w:hAnsi="黑体" w:eastAsia="黑体" w:cs="黑体"/>
          <w:kern w:val="0"/>
        </w:rPr>
      </w:pPr>
      <w:r>
        <w:rPr>
          <w:rFonts w:hint="eastAsia" w:ascii="黑体" w:hAnsi="黑体" w:eastAsia="黑体" w:cs="黑体"/>
          <w:kern w:val="0"/>
        </w:rPr>
        <w:t>4.</w:t>
      </w:r>
      <w:r>
        <w:rPr>
          <w:rFonts w:ascii="黑体" w:hAnsi="黑体" w:eastAsia="黑体" w:cs="黑体"/>
          <w:kern w:val="0"/>
        </w:rPr>
        <w:t>7</w:t>
      </w:r>
      <w:r>
        <w:rPr>
          <w:rFonts w:hint="eastAsia" w:ascii="黑体" w:hAnsi="黑体" w:eastAsia="黑体" w:cs="黑体"/>
          <w:kern w:val="0"/>
        </w:rPr>
        <w:t>.</w:t>
      </w:r>
      <w:r>
        <w:rPr>
          <w:rFonts w:ascii="黑体" w:hAnsi="黑体" w:eastAsia="黑体" w:cs="黑体"/>
          <w:kern w:val="0"/>
        </w:rPr>
        <w:t xml:space="preserve">1 </w:t>
      </w:r>
      <w:r>
        <w:rPr>
          <w:rFonts w:hint="eastAsia" w:ascii="黑体" w:hAnsi="黑体" w:eastAsia="黑体" w:cs="黑体"/>
          <w:kern w:val="0"/>
        </w:rPr>
        <w:t>地震滑坡发生概率解读</w:t>
      </w:r>
    </w:p>
    <w:p>
      <w:pPr>
        <w:pStyle w:val="230"/>
        <w:spacing w:before="120" w:after="120"/>
      </w:pPr>
      <w:r>
        <w:rPr>
          <w:rFonts w:hint="eastAsia"/>
        </w:rPr>
        <w:t>使用训练样本和机器学习模型，计算得到滑坡危险性指数图。其值越接近0表示发生滑坡灾害的可能性越小，越接近1表示该发生滑坡灾害的可能性越大。</w:t>
      </w:r>
    </w:p>
    <w:p>
      <w:pPr>
        <w:widowControl/>
        <w:spacing w:before="120" w:beforeLines="50" w:after="120" w:afterLines="50"/>
        <w:outlineLvl w:val="3"/>
        <w:rPr>
          <w:i/>
        </w:rPr>
      </w:pPr>
      <w:r>
        <w:rPr>
          <w:rFonts w:hint="eastAsia" w:ascii="黑体" w:hAnsi="黑体" w:eastAsia="黑体" w:cs="黑体"/>
          <w:kern w:val="0"/>
        </w:rPr>
        <w:t>4.</w:t>
      </w:r>
      <w:r>
        <w:rPr>
          <w:rFonts w:ascii="黑体" w:hAnsi="黑体" w:eastAsia="黑体" w:cs="黑体"/>
          <w:kern w:val="0"/>
        </w:rPr>
        <w:t>7</w:t>
      </w:r>
      <w:r>
        <w:rPr>
          <w:rFonts w:hint="eastAsia" w:ascii="黑体" w:hAnsi="黑体" w:eastAsia="黑体" w:cs="黑体"/>
          <w:kern w:val="0"/>
        </w:rPr>
        <w:t>.</w:t>
      </w:r>
      <w:r>
        <w:rPr>
          <w:rFonts w:ascii="黑体" w:hAnsi="黑体" w:eastAsia="黑体" w:cs="黑体"/>
          <w:kern w:val="0"/>
        </w:rPr>
        <w:t xml:space="preserve">2 </w:t>
      </w:r>
      <w:r>
        <w:rPr>
          <w:rFonts w:hint="eastAsia" w:ascii="黑体" w:hAnsi="黑体" w:eastAsia="黑体" w:cs="黑体"/>
          <w:kern w:val="0"/>
        </w:rPr>
        <w:t>地震滑坡概率危险性分区</w:t>
      </w:r>
    </w:p>
    <w:p>
      <w:pPr>
        <w:pStyle w:val="230"/>
        <w:spacing w:before="120" w:after="120"/>
      </w:pPr>
      <w:r>
        <w:rPr>
          <w:rFonts w:hint="eastAsia"/>
        </w:rPr>
        <w:t>按照地震滑坡概率值，将</w:t>
      </w:r>
      <w:r>
        <w:rPr>
          <w:rFonts w:hint="eastAsia"/>
          <w:color w:val="000000"/>
        </w:rPr>
        <w:t>概率值＜</w:t>
      </w:r>
      <w:r>
        <w:rPr>
          <w:color w:val="000000"/>
        </w:rPr>
        <w:t>0.01%</w:t>
      </w:r>
      <w:r>
        <w:rPr>
          <w:rFonts w:hint="eastAsia"/>
        </w:rPr>
        <w:t>的区域定义为地震滑坡极低危险区，将</w:t>
      </w:r>
      <w:r>
        <w:rPr>
          <w:color w:val="000000"/>
        </w:rPr>
        <w:t>0.01%</w:t>
      </w:r>
      <w:r>
        <w:rPr>
          <w:rFonts w:hint="eastAsia"/>
          <w:color w:val="000000"/>
        </w:rPr>
        <w:t>≤概率值＜</w:t>
      </w:r>
      <w:r>
        <w:rPr>
          <w:color w:val="000000"/>
        </w:rPr>
        <w:t>0.1%</w:t>
      </w:r>
      <w:r>
        <w:rPr>
          <w:rFonts w:hint="eastAsia"/>
        </w:rPr>
        <w:t>的区域定义为低危险区，将</w:t>
      </w:r>
      <w:r>
        <w:rPr>
          <w:color w:val="000000"/>
        </w:rPr>
        <w:t>0.1%</w:t>
      </w:r>
      <w:r>
        <w:rPr>
          <w:rFonts w:hint="eastAsia"/>
          <w:color w:val="000000"/>
        </w:rPr>
        <w:t>≤概率值＜</w:t>
      </w:r>
      <w:r>
        <w:rPr>
          <w:color w:val="000000"/>
        </w:rPr>
        <w:t>1%</w:t>
      </w:r>
      <w:r>
        <w:rPr>
          <w:rFonts w:hint="eastAsia"/>
        </w:rPr>
        <w:t>的区域定义为中危险区，将</w:t>
      </w:r>
      <w:r>
        <w:rPr>
          <w:color w:val="000000"/>
        </w:rPr>
        <w:t>1%</w:t>
      </w:r>
      <w:r>
        <w:rPr>
          <w:rFonts w:hint="eastAsia"/>
          <w:color w:val="000000"/>
        </w:rPr>
        <w:t>≤概率值＜</w:t>
      </w:r>
      <w:r>
        <w:rPr>
          <w:color w:val="000000"/>
        </w:rPr>
        <w:t>10%</w:t>
      </w:r>
      <w:r>
        <w:rPr>
          <w:rFonts w:hint="eastAsia"/>
          <w:color w:val="000000"/>
        </w:rPr>
        <w:t>的区域</w:t>
      </w:r>
      <w:r>
        <w:rPr>
          <w:rFonts w:hint="eastAsia"/>
        </w:rPr>
        <w:t>定义为高危险区，将</w:t>
      </w:r>
      <w:r>
        <w:rPr>
          <w:rFonts w:hint="eastAsia"/>
          <w:color w:val="000000"/>
        </w:rPr>
        <w:t>概率值≥1</w:t>
      </w:r>
      <w:r>
        <w:rPr>
          <w:color w:val="000000"/>
        </w:rPr>
        <w:t>0%</w:t>
      </w:r>
      <w:r>
        <w:rPr>
          <w:rFonts w:hint="eastAsia"/>
        </w:rPr>
        <w:t>的区域定义为极高危险区</w:t>
      </w:r>
    </w:p>
    <w:p>
      <w:pPr>
        <w:widowControl/>
        <w:spacing w:before="120" w:beforeLines="50" w:after="120" w:afterLines="50"/>
        <w:outlineLvl w:val="3"/>
        <w:rPr>
          <w:i/>
        </w:rPr>
      </w:pPr>
      <w:r>
        <w:rPr>
          <w:rFonts w:hint="eastAsia" w:ascii="黑体" w:hAnsi="黑体" w:eastAsia="黑体" w:cs="黑体"/>
          <w:kern w:val="0"/>
        </w:rPr>
        <w:t>4.</w:t>
      </w:r>
      <w:r>
        <w:rPr>
          <w:rFonts w:ascii="黑体" w:hAnsi="黑体" w:eastAsia="黑体" w:cs="黑体"/>
          <w:kern w:val="0"/>
        </w:rPr>
        <w:t>7</w:t>
      </w:r>
      <w:r>
        <w:rPr>
          <w:rFonts w:hint="eastAsia" w:ascii="黑体" w:hAnsi="黑体" w:eastAsia="黑体" w:cs="黑体"/>
          <w:kern w:val="0"/>
        </w:rPr>
        <w:t>.</w:t>
      </w:r>
      <w:r>
        <w:rPr>
          <w:rFonts w:ascii="黑体" w:hAnsi="黑体" w:eastAsia="黑体" w:cs="黑体"/>
          <w:kern w:val="0"/>
        </w:rPr>
        <w:t xml:space="preserve">3 </w:t>
      </w:r>
      <w:r>
        <w:rPr>
          <w:rFonts w:hint="eastAsia" w:ascii="黑体" w:hAnsi="黑体" w:eastAsia="黑体" w:cs="黑体"/>
          <w:kern w:val="0"/>
        </w:rPr>
        <w:t>地震滑坡概率危险性分区面积统计</w:t>
      </w:r>
    </w:p>
    <w:p>
      <w:pPr>
        <w:pStyle w:val="230"/>
      </w:pPr>
      <w:r>
        <w:rPr>
          <w:rFonts w:hint="eastAsia"/>
        </w:rPr>
        <w:t>分析各个地震滑坡概率危险性分区的分布面积、滑坡发生概率。分区内滑坡发生总概率计算方式为分区内所有栅格的滑坡概率的平均值。</w:t>
      </w:r>
    </w:p>
    <w:p>
      <w:pPr>
        <w:pStyle w:val="232"/>
        <w:numPr>
          <w:ilvl w:val="1"/>
          <w:numId w:val="0"/>
        </w:numPr>
        <w:spacing w:before="120" w:after="120"/>
        <w:outlineLvl w:val="1"/>
        <w:rPr>
          <w:rFonts w:hAnsi="黑体"/>
          <w:szCs w:val="24"/>
        </w:rPr>
      </w:pPr>
      <w:bookmarkStart w:id="72" w:name="_Toc155875498"/>
      <w:r>
        <w:rPr>
          <w:rFonts w:hint="eastAsia" w:hAnsi="黑体"/>
          <w:szCs w:val="24"/>
        </w:rPr>
        <w:t>4.</w:t>
      </w:r>
      <w:r>
        <w:rPr>
          <w:rFonts w:hAnsi="黑体"/>
          <w:szCs w:val="24"/>
        </w:rPr>
        <w:t xml:space="preserve">8 </w:t>
      </w:r>
      <w:r>
        <w:rPr>
          <w:rFonts w:hint="eastAsia" w:hAnsi="黑体"/>
          <w:szCs w:val="24"/>
        </w:rPr>
        <w:t>地震滑坡易发性模型检验</w:t>
      </w:r>
      <w:bookmarkEnd w:id="72"/>
    </w:p>
    <w:p>
      <w:pPr>
        <w:rPr>
          <w:rFonts w:ascii="黑体" w:hAnsi="黑体" w:eastAsia="黑体" w:cs="黑体"/>
          <w:kern w:val="0"/>
        </w:rPr>
      </w:pPr>
      <w:r>
        <w:rPr>
          <w:rFonts w:hint="eastAsia" w:ascii="黑体" w:hAnsi="黑体" w:eastAsia="黑体" w:cs="黑体"/>
          <w:kern w:val="0"/>
        </w:rPr>
        <w:t>4</w:t>
      </w:r>
      <w:r>
        <w:rPr>
          <w:rFonts w:ascii="黑体" w:hAnsi="黑体" w:eastAsia="黑体" w:cs="黑体"/>
          <w:kern w:val="0"/>
        </w:rPr>
        <w:t>.8.1不确定性分析</w:t>
      </w:r>
    </w:p>
    <w:p>
      <w:pPr>
        <w:ind w:firstLine="420" w:firstLineChars="200"/>
        <w:rPr>
          <w:rFonts w:ascii="宋体" w:hAnsi="Times New Roman"/>
          <w:kern w:val="0"/>
          <w:szCs w:val="20"/>
        </w:rPr>
      </w:pPr>
      <w:r>
        <w:rPr>
          <w:rFonts w:hint="eastAsia" w:ascii="宋体" w:hAnsi="Times New Roman"/>
          <w:kern w:val="0"/>
          <w:szCs w:val="20"/>
        </w:rPr>
        <w:t>进行地震滑坡概率模型的不确定性分析，评估模型输出的可靠性。</w:t>
      </w:r>
    </w:p>
    <w:p>
      <w:pPr>
        <w:ind w:firstLine="420" w:firstLineChars="200"/>
        <w:rPr>
          <w:rFonts w:ascii="宋体" w:hAnsi="Times New Roman"/>
          <w:kern w:val="0"/>
          <w:szCs w:val="20"/>
        </w:rPr>
      </w:pPr>
      <w:r>
        <w:rPr>
          <w:rFonts w:hint="eastAsia" w:ascii="宋体" w:hAnsi="Times New Roman"/>
          <w:kern w:val="0"/>
          <w:szCs w:val="20"/>
        </w:rPr>
        <w:t>考虑参数不确定性、模型结构不确定性等因素，提供不确定性的范围和概率。</w:t>
      </w:r>
    </w:p>
    <w:p>
      <w:pPr>
        <w:rPr>
          <w:rFonts w:ascii="黑体" w:hAnsi="黑体" w:eastAsia="黑体" w:cs="黑体"/>
          <w:kern w:val="0"/>
        </w:rPr>
      </w:pPr>
      <w:r>
        <w:rPr>
          <w:rFonts w:hint="eastAsia" w:ascii="黑体" w:hAnsi="黑体" w:eastAsia="黑体" w:cs="黑体"/>
          <w:kern w:val="0"/>
        </w:rPr>
        <w:t>4</w:t>
      </w:r>
      <w:r>
        <w:rPr>
          <w:rFonts w:ascii="黑体" w:hAnsi="黑体" w:eastAsia="黑体" w:cs="黑体"/>
          <w:kern w:val="0"/>
        </w:rPr>
        <w:t>.8.1</w:t>
      </w:r>
      <w:r>
        <w:rPr>
          <w:rFonts w:hint="eastAsia" w:ascii="黑体" w:hAnsi="黑体" w:eastAsia="黑体" w:cs="黑体"/>
          <w:kern w:val="0"/>
        </w:rPr>
        <w:t>评估结果精度</w:t>
      </w:r>
      <w:r>
        <w:rPr>
          <w:rFonts w:ascii="黑体" w:hAnsi="黑体" w:eastAsia="黑体" w:cs="黑体"/>
          <w:kern w:val="0"/>
        </w:rPr>
        <w:t>分析</w:t>
      </w:r>
    </w:p>
    <w:p>
      <w:pPr>
        <w:pStyle w:val="230"/>
        <w:spacing w:before="120" w:after="120"/>
      </w:pPr>
      <w:r>
        <w:t>ROC</w:t>
      </w:r>
      <w:r>
        <w:rPr>
          <w:rFonts w:hint="eastAsia"/>
        </w:rPr>
        <w:t>（R</w:t>
      </w:r>
      <w:r>
        <w:t>eceiver Operating Characteristic</w:t>
      </w:r>
      <w:r>
        <w:rPr>
          <w:rFonts w:hint="eastAsia"/>
        </w:rPr>
        <w:t>）曲线的曲线下面积（</w:t>
      </w:r>
      <w:r>
        <w:t>Area Under Curve</w:t>
      </w:r>
      <w:r>
        <w:rPr>
          <w:rFonts w:hint="eastAsia"/>
        </w:rPr>
        <w:t>，</w:t>
      </w:r>
      <w:r>
        <w:t>AUC</w:t>
      </w:r>
      <w:r>
        <w:rPr>
          <w:rFonts w:hint="eastAsia"/>
        </w:rPr>
        <w:t>）作为评价模型好坏的指标，</w:t>
      </w:r>
      <w:r>
        <w:t>AUC</w:t>
      </w:r>
      <w:r>
        <w:rPr>
          <w:rFonts w:hint="eastAsia"/>
        </w:rPr>
        <w:t>值范围为</w:t>
      </w:r>
      <w:r>
        <w:t>0-1</w:t>
      </w:r>
      <w:r>
        <w:rPr>
          <w:rFonts w:hint="eastAsia"/>
        </w:rPr>
        <w:t>，</w:t>
      </w:r>
      <w:r>
        <w:t>AUC</w:t>
      </w:r>
      <w:r>
        <w:rPr>
          <w:rFonts w:hint="eastAsia"/>
        </w:rPr>
        <w:t>值越大，表明模型性能越好，也即模型表达滑坡分布的效果越好；</w:t>
      </w:r>
      <w:r>
        <w:t>AUC</w:t>
      </w:r>
      <w:r>
        <w:rPr>
          <w:rFonts w:hint="eastAsia"/>
        </w:rPr>
        <w:t>值在</w:t>
      </w:r>
      <w:r>
        <w:t>0.5</w:t>
      </w:r>
      <w:r>
        <w:rPr>
          <w:rFonts w:hint="eastAsia"/>
        </w:rPr>
        <w:t>左右时，表示模型的预测性能完全属于随机的。采用R</w:t>
      </w:r>
      <w:r>
        <w:t>OC</w:t>
      </w:r>
      <w:r>
        <w:rPr>
          <w:rFonts w:hint="eastAsia"/>
        </w:rPr>
        <w:t>曲线判断预测模型的好坏，其评判标准为：当</w:t>
      </w:r>
      <w:r>
        <w:t>AUC</w:t>
      </w:r>
      <w:r>
        <w:rPr>
          <w:rFonts w:hint="eastAsia"/>
        </w:rPr>
        <w:t>为</w:t>
      </w:r>
      <w:r>
        <w:t>0</w:t>
      </w:r>
      <w:r>
        <w:rPr>
          <w:rFonts w:hint="eastAsia"/>
        </w:rPr>
        <w:t>.</w:t>
      </w:r>
      <w:r>
        <w:t>5</w:t>
      </w:r>
      <w:r>
        <w:rPr>
          <w:rFonts w:hint="eastAsia"/>
        </w:rPr>
        <w:t>-</w:t>
      </w:r>
      <w:r>
        <w:t>0</w:t>
      </w:r>
      <w:r>
        <w:rPr>
          <w:rFonts w:hint="eastAsia"/>
        </w:rPr>
        <w:t>.</w:t>
      </w:r>
      <w:r>
        <w:t>6</w:t>
      </w:r>
      <w:r>
        <w:rPr>
          <w:rFonts w:hint="eastAsia"/>
        </w:rPr>
        <w:t>时，模型预测结果准确度极低；</w:t>
      </w:r>
      <w:r>
        <w:t>AUC</w:t>
      </w:r>
      <w:r>
        <w:rPr>
          <w:rFonts w:hint="eastAsia"/>
        </w:rPr>
        <w:t>为</w:t>
      </w:r>
      <w:r>
        <w:t>0</w:t>
      </w:r>
      <w:r>
        <w:rPr>
          <w:rFonts w:hint="eastAsia"/>
        </w:rPr>
        <w:t>.</w:t>
      </w:r>
      <w:r>
        <w:t>6</w:t>
      </w:r>
      <w:r>
        <w:rPr>
          <w:rFonts w:hint="eastAsia"/>
        </w:rPr>
        <w:t>-</w:t>
      </w:r>
      <w:r>
        <w:t>0</w:t>
      </w:r>
      <w:r>
        <w:rPr>
          <w:rFonts w:hint="eastAsia"/>
        </w:rPr>
        <w:t>.</w:t>
      </w:r>
      <w:r>
        <w:t>7</w:t>
      </w:r>
      <w:r>
        <w:rPr>
          <w:rFonts w:hint="eastAsia"/>
        </w:rPr>
        <w:t>时，模型预测结果准确度低；</w:t>
      </w:r>
      <w:r>
        <w:t>AUC</w:t>
      </w:r>
      <w:r>
        <w:rPr>
          <w:rFonts w:hint="eastAsia"/>
        </w:rPr>
        <w:t>为</w:t>
      </w:r>
      <w:r>
        <w:t>0</w:t>
      </w:r>
      <w:r>
        <w:rPr>
          <w:rFonts w:hint="eastAsia"/>
        </w:rPr>
        <w:t>.</w:t>
      </w:r>
      <w:r>
        <w:t>7</w:t>
      </w:r>
      <w:r>
        <w:rPr>
          <w:rFonts w:hint="eastAsia"/>
        </w:rPr>
        <w:t>-</w:t>
      </w:r>
      <w:r>
        <w:t>0</w:t>
      </w:r>
      <w:r>
        <w:rPr>
          <w:rFonts w:hint="eastAsia"/>
        </w:rPr>
        <w:t>.</w:t>
      </w:r>
      <w:r>
        <w:t>8</w:t>
      </w:r>
      <w:r>
        <w:rPr>
          <w:rFonts w:hint="eastAsia"/>
        </w:rPr>
        <w:t>时，模型预测结果准确度中等；</w:t>
      </w:r>
      <w:r>
        <w:t>AUC</w:t>
      </w:r>
      <w:r>
        <w:rPr>
          <w:rFonts w:hint="eastAsia"/>
        </w:rPr>
        <w:t>为</w:t>
      </w:r>
      <w:r>
        <w:t>0</w:t>
      </w:r>
      <w:r>
        <w:rPr>
          <w:rFonts w:hint="eastAsia"/>
        </w:rPr>
        <w:t>.</w:t>
      </w:r>
      <w:r>
        <w:t>8-0</w:t>
      </w:r>
      <w:r>
        <w:rPr>
          <w:rFonts w:hint="eastAsia"/>
        </w:rPr>
        <w:t>.</w:t>
      </w:r>
      <w:r>
        <w:t>9</w:t>
      </w:r>
      <w:r>
        <w:rPr>
          <w:rFonts w:hint="eastAsia"/>
        </w:rPr>
        <w:t>时，模型预测结果准确度高；</w:t>
      </w:r>
      <w:r>
        <w:t>AUC</w:t>
      </w:r>
      <w:r>
        <w:rPr>
          <w:rFonts w:hint="eastAsia"/>
        </w:rPr>
        <w:t>大于</w:t>
      </w:r>
      <w:r>
        <w:t>0</w:t>
      </w:r>
      <w:r>
        <w:rPr>
          <w:rFonts w:hint="eastAsia"/>
        </w:rPr>
        <w:t>.</w:t>
      </w:r>
      <w:r>
        <w:t>9</w:t>
      </w:r>
      <w:r>
        <w:rPr>
          <w:rFonts w:hint="eastAsia"/>
        </w:rPr>
        <w:t>时，模型预测结果准确度极高。需要指出的是，结果AUC受研究区、训练样本、滑坡影响因素、模型等多个因素的确定，AUC值的高低也不能直接和评估工作质量对等起来。</w:t>
      </w:r>
    </w:p>
    <w:p>
      <w:pPr>
        <w:pStyle w:val="230"/>
        <w:spacing w:before="120" w:after="120"/>
      </w:pPr>
    </w:p>
    <w:p>
      <w:pPr>
        <w:pStyle w:val="56"/>
        <w:ind w:firstLine="420"/>
      </w:pPr>
    </w:p>
    <w:p>
      <w:pPr>
        <w:pStyle w:val="56"/>
        <w:ind w:firstLine="420"/>
      </w:pPr>
    </w:p>
    <w:p>
      <w:pPr>
        <w:pStyle w:val="56"/>
        <w:ind w:firstLine="420"/>
      </w:pPr>
    </w:p>
    <w:bookmarkEnd w:id="26"/>
    <w:p>
      <w:pPr>
        <w:pStyle w:val="56"/>
        <w:ind w:firstLine="420"/>
        <w:sectPr>
          <w:pgSz w:w="11906" w:h="16838"/>
          <w:pgMar w:top="1928" w:right="1134" w:bottom="1134" w:left="1134" w:header="1418" w:footer="1134" w:gutter="284"/>
          <w:pgNumType w:start="1"/>
          <w:cols w:space="425" w:num="1"/>
          <w:formProt w:val="0"/>
          <w:docGrid w:linePitch="312" w:charSpace="0"/>
        </w:sectPr>
      </w:pPr>
      <w:bookmarkStart w:id="73" w:name="BookMark6"/>
    </w:p>
    <w:p>
      <w:pPr>
        <w:pStyle w:val="63"/>
        <w:spacing w:after="120"/>
      </w:pPr>
      <w:bookmarkStart w:id="74" w:name="_Toc156205865"/>
      <w:r>
        <w:rPr>
          <w:rFonts w:hint="eastAsia"/>
          <w:spacing w:val="105"/>
        </w:rPr>
        <w:t>参考文</w:t>
      </w:r>
      <w:r>
        <w:rPr>
          <w:rFonts w:hint="eastAsia"/>
        </w:rPr>
        <w:t>献</w:t>
      </w:r>
      <w:bookmarkEnd w:id="74"/>
    </w:p>
    <w:p>
      <w:pPr>
        <w:numPr>
          <w:ilvl w:val="0"/>
          <w:numId w:val="33"/>
        </w:numPr>
        <w:adjustRightInd/>
        <w:spacing w:line="240" w:lineRule="auto"/>
      </w:pPr>
      <w:r>
        <w:rPr>
          <w:rFonts w:hint="eastAsia"/>
        </w:rPr>
        <w:t>许冲, 徐锡伟, 周本刚, 沈玲玲 (2019) 同震滑坡发生概率研究——新一代地震滑坡危险性模型. 工程地质学报, 27(5): 1121-1129.</w:t>
      </w:r>
    </w:p>
    <w:p>
      <w:pPr>
        <w:numPr>
          <w:ilvl w:val="0"/>
          <w:numId w:val="33"/>
        </w:numPr>
        <w:adjustRightInd/>
        <w:spacing w:line="240" w:lineRule="auto"/>
      </w:pPr>
      <w:r>
        <w:t>Shao X, Ma S, Xu C, Zhou Q (2020) Effects of sampling intensity and non-slide/slide sample ratio on the occurrence probability of coseismic landslides. Geomorphology, 363(107222): 12 pages.</w:t>
      </w:r>
    </w:p>
    <w:p>
      <w:pPr>
        <w:numPr>
          <w:ilvl w:val="0"/>
          <w:numId w:val="33"/>
        </w:numPr>
        <w:adjustRightInd/>
        <w:spacing w:line="240" w:lineRule="auto"/>
      </w:pPr>
      <w:r>
        <w:rPr>
          <w:rFonts w:hint="eastAsia"/>
        </w:rPr>
        <w:t>许冲 (2012) 汶川地震滑坡详细编录及其与全球其他地震滑坡事件对比. 科技导报, 30(25): 18-26.</w:t>
      </w:r>
    </w:p>
    <w:p>
      <w:pPr>
        <w:numPr>
          <w:ilvl w:val="0"/>
          <w:numId w:val="33"/>
        </w:numPr>
        <w:adjustRightInd/>
        <w:spacing w:line="240" w:lineRule="auto"/>
      </w:pPr>
      <w:r>
        <w:rPr>
          <w:rFonts w:hint="eastAsia"/>
        </w:rPr>
        <w:t>许冲, 徐锡伟 (2014) 21世纪初几次大地震事件触发滑坡基础数据建设. 地震地质, 36(1): 90-104.</w:t>
      </w:r>
    </w:p>
    <w:p>
      <w:pPr>
        <w:numPr>
          <w:ilvl w:val="0"/>
          <w:numId w:val="33"/>
        </w:numPr>
        <w:adjustRightInd/>
        <w:spacing w:line="240" w:lineRule="auto"/>
      </w:pPr>
      <w:r>
        <w:t>Xu C, Xu X, Yao X, Dai F (2014) Three (nearly) complete inventories of landslides triggered by the May 12, 2008 Wenchuan Mw 7.9 earthquake of China and their spatial distribution statistical analysis. Landslides, 11(3): 441-461.</w:t>
      </w:r>
    </w:p>
    <w:p>
      <w:pPr>
        <w:numPr>
          <w:ilvl w:val="0"/>
          <w:numId w:val="33"/>
        </w:numPr>
        <w:adjustRightInd/>
        <w:spacing w:line="240" w:lineRule="auto"/>
      </w:pPr>
      <w:r>
        <w:rPr>
          <w:rFonts w:hint="eastAsia"/>
        </w:rPr>
        <w:t>许冲 (2018) 环境地球科学之滑坡地震地质学. 工程地质学报, 26(1): 207-222.</w:t>
      </w:r>
    </w:p>
    <w:p>
      <w:pPr>
        <w:pStyle w:val="56"/>
        <w:ind w:firstLine="420"/>
      </w:pPr>
    </w:p>
    <w:p>
      <w:pPr>
        <w:pStyle w:val="56"/>
        <w:ind w:firstLine="420"/>
      </w:pPr>
    </w:p>
    <w:p>
      <w:pPr>
        <w:pStyle w:val="56"/>
        <w:ind w:firstLine="420"/>
      </w:pPr>
    </w:p>
    <w:p>
      <w:pPr>
        <w:pStyle w:val="56"/>
        <w:ind w:firstLine="420"/>
      </w:pPr>
    </w:p>
    <w:p>
      <w:pPr>
        <w:pStyle w:val="56"/>
        <w:ind w:firstLine="420"/>
      </w:pPr>
    </w:p>
    <w:bookmarkEnd w:id="73"/>
    <w:p>
      <w:pPr>
        <w:pStyle w:val="56"/>
        <w:ind w:firstLine="199" w:firstLineChars="95"/>
        <w:sectPr>
          <w:pgSz w:w="11906" w:h="16838"/>
          <w:pgMar w:top="1928" w:right="1134" w:bottom="1134" w:left="1134" w:header="1418" w:footer="1134" w:gutter="284"/>
          <w:cols w:space="425" w:num="1"/>
          <w:formProt w:val="0"/>
          <w:docGrid w:linePitch="312" w:charSpace="0"/>
        </w:sectPr>
      </w:pPr>
      <w:bookmarkStart w:id="75" w:name="BookMark7"/>
    </w:p>
    <w:p>
      <w:pPr>
        <w:pStyle w:val="56"/>
        <w:ind w:firstLine="0" w:firstLineChars="0"/>
      </w:pPr>
    </w:p>
    <w:p>
      <w:pPr>
        <w:pStyle w:val="56"/>
        <w:ind w:firstLine="420"/>
      </w:pPr>
    </w:p>
    <w:bookmarkEnd w:id="75"/>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0E657B"/>
    <w:multiLevelType w:val="multilevel"/>
    <w:tmpl w:val="240E657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svjvwZRtPytZZNTMuAFVg23ljtEy62F8NhfWbuzIX0x992FBFfp5WxptOw2pH2NTBeJvSvndK1BPa4pLj6rDxA==" w:salt="nUbKCuboqFCq0Xh8h8mn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NDhiODhjNWZlNjBiMGMzZGM2ZjY4ZWFiMmFiNTAifQ=="/>
  </w:docVars>
  <w:rsids>
    <w:rsidRoot w:val="001534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FD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09"/>
    <w:rsid w:val="000D753B"/>
    <w:rsid w:val="000E3C35"/>
    <w:rsid w:val="000E4C9E"/>
    <w:rsid w:val="000E6FD7"/>
    <w:rsid w:val="000E7144"/>
    <w:rsid w:val="000F06E1"/>
    <w:rsid w:val="000F0E3C"/>
    <w:rsid w:val="000F19D5"/>
    <w:rsid w:val="000F4050"/>
    <w:rsid w:val="000F4AEA"/>
    <w:rsid w:val="000F67E9"/>
    <w:rsid w:val="00104926"/>
    <w:rsid w:val="00112483"/>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4E9"/>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56A"/>
    <w:rsid w:val="001C2C03"/>
    <w:rsid w:val="001C42F7"/>
    <w:rsid w:val="001C49E5"/>
    <w:rsid w:val="001C680C"/>
    <w:rsid w:val="001C689B"/>
    <w:rsid w:val="001C7FEA"/>
    <w:rsid w:val="001D0499"/>
    <w:rsid w:val="001D097A"/>
    <w:rsid w:val="001D0BBE"/>
    <w:rsid w:val="001D0ED4"/>
    <w:rsid w:val="001D212F"/>
    <w:rsid w:val="001D29D7"/>
    <w:rsid w:val="001D2DE7"/>
    <w:rsid w:val="001D411C"/>
    <w:rsid w:val="001E1B51"/>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BDE"/>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27C"/>
    <w:rsid w:val="002E6326"/>
    <w:rsid w:val="002F30E0"/>
    <w:rsid w:val="002F35E4"/>
    <w:rsid w:val="002F3730"/>
    <w:rsid w:val="002F38E1"/>
    <w:rsid w:val="002F7AF6"/>
    <w:rsid w:val="00300E63"/>
    <w:rsid w:val="003022FB"/>
    <w:rsid w:val="00302F5F"/>
    <w:rsid w:val="0030441D"/>
    <w:rsid w:val="00306063"/>
    <w:rsid w:val="00313B85"/>
    <w:rsid w:val="00317988"/>
    <w:rsid w:val="003221B4"/>
    <w:rsid w:val="0032258D"/>
    <w:rsid w:val="00322E62"/>
    <w:rsid w:val="00324D13"/>
    <w:rsid w:val="00324EDD"/>
    <w:rsid w:val="003331E4"/>
    <w:rsid w:val="00335617"/>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4A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45A"/>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661E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B92"/>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CC7"/>
    <w:rsid w:val="005479DA"/>
    <w:rsid w:val="00547BCC"/>
    <w:rsid w:val="0055013B"/>
    <w:rsid w:val="00551F6F"/>
    <w:rsid w:val="00555044"/>
    <w:rsid w:val="00561475"/>
    <w:rsid w:val="00562308"/>
    <w:rsid w:val="00563A8A"/>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6E3"/>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2B0"/>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00D"/>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0EC4"/>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2F1"/>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1626"/>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6D5"/>
    <w:rsid w:val="009D112C"/>
    <w:rsid w:val="009D1385"/>
    <w:rsid w:val="009D47FA"/>
    <w:rsid w:val="009D4C5B"/>
    <w:rsid w:val="009D50D2"/>
    <w:rsid w:val="009D51E3"/>
    <w:rsid w:val="009D6BCA"/>
    <w:rsid w:val="009E0F62"/>
    <w:rsid w:val="009E4A58"/>
    <w:rsid w:val="009E5A2D"/>
    <w:rsid w:val="009E5AB2"/>
    <w:rsid w:val="009E6219"/>
    <w:rsid w:val="009F03B3"/>
    <w:rsid w:val="009F2CF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964"/>
    <w:rsid w:val="00A648CD"/>
    <w:rsid w:val="00A6537A"/>
    <w:rsid w:val="00A67866"/>
    <w:rsid w:val="00A70B07"/>
    <w:rsid w:val="00A723F8"/>
    <w:rsid w:val="00A77CCB"/>
    <w:rsid w:val="00A809D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1017"/>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1D1"/>
    <w:rsid w:val="00C103E5"/>
    <w:rsid w:val="00C13319"/>
    <w:rsid w:val="00C13EE9"/>
    <w:rsid w:val="00C21540"/>
    <w:rsid w:val="00C21906"/>
    <w:rsid w:val="00C21BFA"/>
    <w:rsid w:val="00C24C8D"/>
    <w:rsid w:val="00C25FE2"/>
    <w:rsid w:val="00C26B53"/>
    <w:rsid w:val="00C279B2"/>
    <w:rsid w:val="00C32EB7"/>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91B"/>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35F"/>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60DA"/>
    <w:rsid w:val="00E202EF"/>
    <w:rsid w:val="00E210B5"/>
    <w:rsid w:val="00E2552F"/>
    <w:rsid w:val="00E3137A"/>
    <w:rsid w:val="00E32056"/>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5C2"/>
    <w:rsid w:val="00F84FD0"/>
    <w:rsid w:val="00F859A8"/>
    <w:rsid w:val="00F86D87"/>
    <w:rsid w:val="00F9108B"/>
    <w:rsid w:val="00F91349"/>
    <w:rsid w:val="00F936F3"/>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59B2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一级条标题"/>
    <w:next w:val="230"/>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四级条标题"/>
    <w:basedOn w:val="235"/>
    <w:next w:val="230"/>
    <w:autoRedefine/>
    <w:qFormat/>
    <w:uiPriority w:val="0"/>
    <w:pPr>
      <w:numPr>
        <w:ilvl w:val="4"/>
      </w:numPr>
      <w:outlineLvl w:val="5"/>
    </w:pPr>
  </w:style>
  <w:style w:type="paragraph" w:customStyle="1" w:styleId="237">
    <w:name w:val="五级条标题"/>
    <w:basedOn w:val="236"/>
    <w:next w:val="230"/>
    <w:autoRedefine/>
    <w:qFormat/>
    <w:uiPriority w:val="0"/>
    <w:pPr>
      <w:numPr>
        <w:ilvl w:val="5"/>
      </w:numPr>
      <w:outlineLvl w:val="6"/>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74B3223B164E24912DE23C55927155"/>
        <w:style w:val=""/>
        <w:category>
          <w:name w:val="常规"/>
          <w:gallery w:val="placeholder"/>
        </w:category>
        <w:types>
          <w:type w:val="bbPlcHdr"/>
        </w:types>
        <w:behaviors>
          <w:behavior w:val="content"/>
        </w:behaviors>
        <w:description w:val=""/>
        <w:guid w:val="{AA11E64E-245B-42B3-82EA-955A5B406D9E}"/>
      </w:docPartPr>
      <w:docPartBody>
        <w:p>
          <w:pPr>
            <w:pStyle w:val="5"/>
          </w:pPr>
          <w:r>
            <w:rPr>
              <w:rStyle w:val="4"/>
              <w:rFonts w:hint="eastAsia"/>
            </w:rPr>
            <w:t>单击或点击此处输入文字。</w:t>
          </w:r>
        </w:p>
      </w:docPartBody>
    </w:docPart>
    <w:docPart>
      <w:docPartPr>
        <w:name w:val="1B9F0A87FF374F1B89675B412EBFA6B4"/>
        <w:style w:val=""/>
        <w:category>
          <w:name w:val="常规"/>
          <w:gallery w:val="placeholder"/>
        </w:category>
        <w:types>
          <w:type w:val="bbPlcHdr"/>
        </w:types>
        <w:behaviors>
          <w:behavior w:val="content"/>
        </w:behaviors>
        <w:description w:val=""/>
        <w:guid w:val="{451669A5-702F-4363-AB6C-915FDAEFD25A}"/>
      </w:docPartPr>
      <w:docPartBody>
        <w:p>
          <w:pPr>
            <w:pStyle w:val="6"/>
          </w:pPr>
          <w:r>
            <w:rPr>
              <w:rStyle w:val="4"/>
              <w:rFonts w:hint="eastAsia"/>
            </w:rPr>
            <w:t>选择一项。</w:t>
          </w:r>
        </w:p>
      </w:docPartBody>
    </w:docPart>
    <w:docPart>
      <w:docPartPr>
        <w:name w:val="6BE2362F0AB245C895EC2B080D55321F"/>
        <w:style w:val=""/>
        <w:category>
          <w:name w:val="常规"/>
          <w:gallery w:val="placeholder"/>
        </w:category>
        <w:types>
          <w:type w:val="bbPlcHdr"/>
        </w:types>
        <w:behaviors>
          <w:behavior w:val="content"/>
        </w:behaviors>
        <w:description w:val=""/>
        <w:guid w:val="{421A8E8B-3E0F-4F40-A275-64D63565082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CB"/>
    <w:rsid w:val="000D07EB"/>
    <w:rsid w:val="00173845"/>
    <w:rsid w:val="002A05C6"/>
    <w:rsid w:val="003C3876"/>
    <w:rsid w:val="004729BC"/>
    <w:rsid w:val="005005A5"/>
    <w:rsid w:val="008029CB"/>
    <w:rsid w:val="00A30D3A"/>
    <w:rsid w:val="00DF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uiPriority w:val="99"/>
    <w:rPr>
      <w:color w:val="808080"/>
    </w:rPr>
  </w:style>
  <w:style w:type="paragraph" w:customStyle="1" w:styleId="5">
    <w:name w:val="4B74B3223B164E24912DE23C5592715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1B9F0A87FF374F1B89675B412EBFA6B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BE2362F0AB245C895EC2B080D55321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880</Words>
  <Characters>5017</Characters>
  <Lines>41</Lines>
  <Paragraphs>11</Paragraphs>
  <TotalTime>45</TotalTime>
  <ScaleCrop>false</ScaleCrop>
  <LinksUpToDate>false</LinksUpToDate>
  <CharactersWithSpaces>5886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张成</dc:creator>
  <dc:description>&lt;config cover="true" show_menu="true" version="1.0.0" doctype="SDKXY"&gt;_x000d_
&lt;/config&gt;</dc:description>
  <cp:lastModifiedBy>心如止水-张睿成</cp:lastModifiedBy>
  <cp:lastPrinted>2021-02-02T08:22:00Z</cp:lastPrinted>
  <dcterms:modified xsi:type="dcterms:W3CDTF">2024-02-04T03:47:15Z</dcterms:modified>
  <dc:title>团体标准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ECAC99A58D8F4FE5A880486F8A2F5E0F_12</vt:lpwstr>
  </property>
</Properties>
</file>