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791" w:rsidRDefault="00C12BFF">
      <w:pPr>
        <w:pStyle w:val="affffff1"/>
        <w:framePr w:wrap="around"/>
      </w:pPr>
      <w:r>
        <w:rPr>
          <w:rFonts w:ascii="Times New Roman"/>
        </w:rPr>
        <w:t>ICS</w:t>
      </w:r>
      <w:r>
        <w:rPr>
          <w:rFonts w:ascii="MS Mincho" w:eastAsia="MS Mincho" w:hAnsi="MS Mincho" w:cs="MS Mincho" w:hint="eastAsia"/>
        </w:rPr>
        <w:t> </w:t>
      </w:r>
    </w:p>
    <w:p w:rsidR="00C11791" w:rsidRDefault="00C12BFF">
      <w:pPr>
        <w:pStyle w:val="affffff1"/>
        <w:framePr w:wrap="around"/>
      </w:pPr>
      <w:r>
        <w:rPr>
          <w:rFonts w:hint="eastAsia"/>
        </w:rPr>
        <w:t xml:space="preserve">CCS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8"/>
      </w:tblGrid>
      <w:tr w:rsidR="00C11791">
        <w:tc>
          <w:tcPr>
            <w:tcW w:w="9854" w:type="dxa"/>
            <w:tcBorders>
              <w:top w:val="nil"/>
              <w:left w:val="nil"/>
              <w:bottom w:val="nil"/>
              <w:right w:val="nil"/>
            </w:tcBorders>
          </w:tcPr>
          <w:p w:rsidR="00C11791" w:rsidRDefault="00C12BFF">
            <w:pPr>
              <w:pStyle w:val="affffff1"/>
              <w:framePr w:wrap="around"/>
            </w:pPr>
            <w:r>
              <w:rPr>
                <w:noProof/>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a:effectLst/>
                            </wps:spPr>
                            <wps:bodyPr wrap="square" upright="1"/>
                          </wps:wsp>
                        </a:graphicData>
                      </a:graphic>
                    </wp:anchor>
                  </w:drawing>
                </mc:Choice>
                <mc:Fallback>
                  <w:pict>
                    <v:rect w14:anchorId="18A389E8" id="BAH" o:spid="_x0000_s1026" style="position:absolute;left:0;text-align:left;margin-left:-5.25pt;margin-top:0;width:68.25pt;height:15.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" stroked="f"/>
                  </w:pict>
                </mc:Fallback>
              </mc:AlternateContent>
            </w:r>
          </w:p>
        </w:tc>
      </w:tr>
    </w:tbl>
    <w:p w:rsidR="00C11791" w:rsidRDefault="00C11791">
      <w:pPr>
        <w:pStyle w:val="afffff6"/>
        <w:framePr w:wrap="around"/>
      </w:pPr>
    </w:p>
    <w:p w:rsidR="00C11791" w:rsidRDefault="00C12BFF">
      <w:pPr>
        <w:pStyle w:val="afffff7"/>
        <w:framePr w:wrap="around"/>
        <w:rPr>
          <w:rFonts w:ascii="Times New Roman" w:hAnsi="Times New Roman"/>
        </w:rPr>
      </w:pPr>
      <w:r>
        <w:rPr>
          <w:rFonts w:hint="eastAsia"/>
        </w:rPr>
        <w:t>团体标</w:t>
      </w:r>
      <w:r>
        <w:rPr>
          <w:rFonts w:ascii="Times New Roman" w:hAnsi="Times New Roman" w:hint="eastAsia"/>
        </w:rPr>
        <w:t>准</w:t>
      </w:r>
    </w:p>
    <w:p w:rsidR="00C11791" w:rsidRDefault="00C12BFF">
      <w:pPr>
        <w:pStyle w:val="21"/>
        <w:framePr w:wrap="around"/>
        <w:rPr>
          <w:rFonts w:hAnsi="黑体"/>
        </w:rPr>
      </w:pPr>
      <w:r>
        <w:rPr>
          <w:rFonts w:hAnsi="黑体" w:hint="eastAsia"/>
        </w:rPr>
        <w:t>T</w:t>
      </w:r>
      <w:r>
        <w:rPr>
          <w:rFonts w:hAnsi="黑体"/>
        </w:rPr>
        <w:t>/</w:t>
      </w:r>
      <w:r w:rsidR="00703F5B">
        <w:rPr>
          <w:rFonts w:hAnsi="黑体"/>
        </w:rPr>
        <w:t>DGGSX</w:t>
      </w:r>
      <w:r>
        <w:rPr>
          <w:rFonts w:hAnsi="黑体"/>
        </w:rPr>
        <w:t xml:space="preserve"> </w:t>
      </w:r>
      <w:r>
        <w:rPr>
          <w:rFonts w:hAnsi="黑体" w:hint="eastAsia"/>
        </w:rPr>
        <w:t>001</w:t>
      </w:r>
      <w:r>
        <w:rPr>
          <w:rFonts w:hAnsi="黑体"/>
        </w:rPr>
        <w:t>—</w:t>
      </w:r>
      <w:r>
        <w:rPr>
          <w:rFonts w:hAnsi="黑体" w:hint="eastAsia"/>
        </w:rPr>
        <w:t>2024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C11791">
        <w:tc>
          <w:tcPr>
            <w:tcW w:w="9356" w:type="dxa"/>
            <w:tcBorders>
              <w:top w:val="nil"/>
              <w:left w:val="nil"/>
              <w:bottom w:val="nil"/>
              <w:right w:val="nil"/>
            </w:tcBorders>
          </w:tcPr>
          <w:bookmarkStart w:id="0" w:name="DT"/>
          <w:p w:rsidR="00C11791" w:rsidRDefault="00C12BFF">
            <w:pPr>
              <w:pStyle w:val="affff4"/>
              <w:framePr w:wrap="around"/>
            </w:pPr>
            <w:r>
              <w:rPr>
                <w:noProof/>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a:effectLst/>
                            </wps:spPr>
                            <wps:bodyPr wrap="square" upright="1"/>
                          </wps:wsp>
                        </a:graphicData>
                      </a:graphic>
                    </wp:anchor>
                  </w:drawing>
                </mc:Choice>
                <mc:Fallback>
                  <w:pict>
                    <v:rect w14:anchorId="00F2F4D5" id="DT" o:spid="_x0000_s1026" style="position:absolute;left:0;text-align:left;margin-left:372.8pt;margin-top:2.7pt;width:90pt;height:1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" stroked="f"/>
                  </w:pict>
                </mc:Fallback>
              </mc:AlternateContent>
            </w:r>
            <w:bookmarkEnd w:id="0"/>
          </w:p>
        </w:tc>
      </w:tr>
    </w:tbl>
    <w:p w:rsidR="00C11791" w:rsidRDefault="00C11791">
      <w:pPr>
        <w:pStyle w:val="21"/>
        <w:framePr w:wrap="around"/>
        <w:rPr>
          <w:rFonts w:hAnsi="黑体"/>
        </w:rPr>
      </w:pPr>
    </w:p>
    <w:p w:rsidR="00C11791" w:rsidRDefault="00C11791">
      <w:pPr>
        <w:pStyle w:val="21"/>
        <w:framePr w:wrap="around"/>
        <w:rPr>
          <w:rFonts w:hAnsi="黑体"/>
        </w:rPr>
      </w:pPr>
    </w:p>
    <w:p w:rsidR="00C11791" w:rsidRDefault="00C12BFF">
      <w:pPr>
        <w:pStyle w:val="affff5"/>
        <w:framePr w:wrap="around"/>
      </w:pPr>
      <w:r>
        <w:rPr>
          <w:rFonts w:hint="eastAsia"/>
        </w:rPr>
        <w:t>东莞优品企业评价规范</w:t>
      </w:r>
    </w:p>
    <w:p w:rsidR="00C11791" w:rsidRDefault="00C12BFF">
      <w:pPr>
        <w:pStyle w:val="affff7"/>
        <w:framePr w:wrap="around"/>
        <w:rPr>
          <w:sz w:val="24"/>
          <w:szCs w:val="24"/>
        </w:rPr>
      </w:pPr>
      <w:r>
        <w:rPr>
          <w:rFonts w:hint="eastAsia"/>
        </w:rPr>
        <w:t>Evaluation specification for high quality enterprise of Dongguan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C11791">
        <w:tc>
          <w:tcPr>
            <w:tcW w:w="9855" w:type="dxa"/>
            <w:tcBorders>
              <w:top w:val="nil"/>
              <w:left w:val="nil"/>
              <w:bottom w:val="nil"/>
              <w:right w:val="nil"/>
            </w:tcBorders>
          </w:tcPr>
          <w:p w:rsidR="00C11791" w:rsidRDefault="00C12BFF">
            <w:pPr>
              <w:pStyle w:val="affff8"/>
              <w:framePr w:wrap="around"/>
            </w:pPr>
            <w:r>
              <w:rPr>
                <w:szCs w:val="24"/>
              </w:rPr>
              <w:t>（</w:t>
            </w:r>
            <w:r>
              <w:rPr>
                <w:rFonts w:hint="eastAsia"/>
                <w:szCs w:val="24"/>
              </w:rPr>
              <w:t>征求意见稿</w:t>
            </w:r>
            <w:r>
              <w:rPr>
                <w:szCs w:val="24"/>
              </w:rPr>
              <w:t>）</w:t>
            </w:r>
            <w:r>
              <w:rPr>
                <w:noProof/>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a:effectLst/>
                            </wps:spPr>
                            <wps:bodyPr wrap="square" upright="1"/>
                          </wps:wsp>
                        </a:graphicData>
                      </a:graphic>
                    </wp:anchor>
                  </w:drawing>
                </mc:Choice>
                <mc:Fallback>
                  <w:pict>
                    <v:rect w14:anchorId="65E52720" id="RQ" o:spid="_x0000_s1026" style="position:absolute;left:0;text-align:left;margin-left:173.3pt;margin-top:45.15pt;width:150pt;height:20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" stroked="f">
                      <w10:anchorlock/>
                    </v:rect>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a:effectLst/>
                            </wps:spPr>
                            <wps:bodyPr wrap="square" upright="1"/>
                          </wps:wsp>
                        </a:graphicData>
                      </a:graphic>
                    </wp:anchor>
                  </w:drawing>
                </mc:Choice>
                <mc:Fallback>
                  <w:pict>
                    <v:rect w14:anchorId="05A3A886" id="LB" o:spid="_x0000_s1026" style="position:absolute;left:0;text-align:left;margin-left:193.3pt;margin-top:20.15pt;width:100pt;height:2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" stroked="f"/>
                  </w:pict>
                </mc:Fallback>
              </mc:AlternateContent>
            </w:r>
          </w:p>
        </w:tc>
      </w:tr>
      <w:tr w:rsidR="00C11791">
        <w:tc>
          <w:tcPr>
            <w:tcW w:w="9855" w:type="dxa"/>
            <w:tcBorders>
              <w:top w:val="nil"/>
              <w:left w:val="nil"/>
              <w:bottom w:val="nil"/>
              <w:right w:val="nil"/>
            </w:tcBorders>
          </w:tcPr>
          <w:p w:rsidR="00C11791" w:rsidRDefault="00C11791">
            <w:pPr>
              <w:pStyle w:val="affff9"/>
              <w:framePr w:wrap="around"/>
            </w:pPr>
          </w:p>
        </w:tc>
      </w:tr>
    </w:tbl>
    <w:p w:rsidR="00C11791" w:rsidRDefault="00C12BFF">
      <w:pPr>
        <w:pStyle w:val="affffff6"/>
        <w:framePr w:wrap="around" w:hAnchor="page" w:x="1524" w:y="14140"/>
      </w:pPr>
      <w:r>
        <w:rPr>
          <w:rFonts w:ascii="黑体" w:hint="eastAsia"/>
        </w:rPr>
        <w:t>2024</w:t>
      </w:r>
      <w:r>
        <w:t xml:space="preserve"> </w:t>
      </w:r>
      <w:r>
        <w:rPr>
          <w:rFonts w:ascii="黑体"/>
        </w:rPr>
        <w:t>-</w:t>
      </w:r>
      <w:r>
        <w:t xml:space="preserve"> </w:t>
      </w:r>
      <w:r>
        <w:rPr>
          <w:rFonts w:ascii="黑体" w:hint="eastAsia"/>
        </w:rPr>
        <w:t>03</w:t>
      </w:r>
      <w:r>
        <w:t xml:space="preserve"> </w:t>
      </w:r>
      <w:r>
        <w:rPr>
          <w:rFonts w:ascii="黑体"/>
        </w:rPr>
        <w:t>-</w:t>
      </w:r>
      <w:r>
        <w:t xml:space="preserve"> </w:t>
      </w:r>
      <w:r>
        <w:rPr>
          <w:rFonts w:ascii="黑体" w:hint="eastAsia"/>
        </w:rPr>
        <w:t>15</w:t>
      </w:r>
      <w:r>
        <w:rPr>
          <w:rFonts w:hint="eastAsia"/>
        </w:rPr>
        <w:t>发布</w:t>
      </w:r>
      <w:r>
        <w:rPr>
          <w:noProof/>
        </w:rP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9275445</wp:posOffset>
                </wp:positionV>
                <wp:extent cx="6120130" cy="0"/>
                <wp:effectExtent l="0" t="4445" r="0" b="5080"/>
                <wp:wrapNone/>
                <wp:docPr id="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104035F5" id="直线 10"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page" from="-.05pt,730.35pt" to="481.85pt,7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">
                <w10:wrap anchory="page"/>
                <w10:anchorlock/>
              </v:line>
            </w:pict>
          </mc:Fallback>
        </mc:AlternateContent>
      </w:r>
    </w:p>
    <w:p w:rsidR="00C11791" w:rsidRDefault="00C12BFF">
      <w:pPr>
        <w:pStyle w:val="affffff7"/>
        <w:framePr w:wrap="around" w:hAnchor="page" w:x="7194" w:y="14140"/>
      </w:pPr>
      <w:r>
        <w:rPr>
          <w:rFonts w:ascii="黑体" w:hint="eastAsia"/>
        </w:rPr>
        <w:t>2024</w:t>
      </w:r>
      <w:r>
        <w:t xml:space="preserve"> </w:t>
      </w:r>
      <w:r>
        <w:rPr>
          <w:rFonts w:ascii="黑体"/>
        </w:rPr>
        <w:t>-</w:t>
      </w:r>
      <w:r>
        <w:t xml:space="preserve"> </w:t>
      </w:r>
      <w:r>
        <w:rPr>
          <w:rFonts w:ascii="黑体" w:hint="eastAsia"/>
        </w:rPr>
        <w:t>04</w:t>
      </w:r>
      <w:r>
        <w:t xml:space="preserve"> </w:t>
      </w:r>
      <w:r>
        <w:rPr>
          <w:rFonts w:ascii="黑体"/>
        </w:rPr>
        <w:t>-</w:t>
      </w:r>
      <w:r>
        <w:t xml:space="preserve"> </w:t>
      </w:r>
      <w:r>
        <w:rPr>
          <w:rFonts w:ascii="黑体" w:hint="eastAsia"/>
        </w:rPr>
        <w:t>15</w:t>
      </w:r>
      <w:r>
        <w:rPr>
          <w:rFonts w:hint="eastAsia"/>
        </w:rPr>
        <w:t>实施</w:t>
      </w:r>
    </w:p>
    <w:p w:rsidR="00C11791" w:rsidRDefault="009F7095">
      <w:pPr>
        <w:pStyle w:val="afffff8"/>
        <w:framePr w:wrap="around"/>
      </w:pPr>
      <w:r w:rsidRPr="009F7095">
        <w:rPr>
          <w:rFonts w:hint="eastAsia"/>
        </w:rPr>
        <w:t>东莞市私营企业协会</w:t>
      </w:r>
      <w:r w:rsidR="00C12BFF">
        <w:rPr>
          <w:rFonts w:ascii="MS Mincho" w:eastAsia="MS Mincho" w:hAnsi="MS Mincho" w:cs="MS Mincho" w:hint="eastAsia"/>
        </w:rPr>
        <w:t>   </w:t>
      </w:r>
      <w:r w:rsidR="00C12BFF">
        <w:rPr>
          <w:rStyle w:val="affff1"/>
          <w:rFonts w:hint="eastAsia"/>
        </w:rPr>
        <w:t>发布</w:t>
      </w:r>
    </w:p>
    <w:p w:rsidR="00C11791" w:rsidRDefault="00C12BFF">
      <w:pPr>
        <w:pStyle w:val="affd"/>
        <w:sectPr w:rsidR="00C11791">
          <w:pgSz w:w="11906" w:h="16838"/>
          <w:pgMar w:top="567" w:right="850" w:bottom="1134" w:left="1418" w:header="0" w:footer="0" w:gutter="0"/>
          <w:pgNumType w:start="1"/>
          <w:cols w:space="720"/>
          <w:docGrid w:type="lines" w:linePitch="312"/>
        </w:sectPr>
      </w:pPr>
      <w:r>
        <w:rPr>
          <w:noProof/>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0" t="4445" r="0" b="5080"/>
                <wp:wrapNone/>
                <wp:docPr id="6"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0D9157B7" id="直线 1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"/>
            </w:pict>
          </mc:Fallback>
        </mc:AlternateContent>
      </w:r>
    </w:p>
    <w:p w:rsidR="00C11791" w:rsidRDefault="00C12BFF">
      <w:pPr>
        <w:pStyle w:val="afffff9"/>
      </w:pPr>
      <w:r>
        <w:rPr>
          <w:rFonts w:hint="eastAsia"/>
        </w:rPr>
        <w:lastRenderedPageBreak/>
        <w:t>前</w:t>
      </w:r>
      <w:bookmarkStart w:id="1" w:name="BKQY"/>
      <w:r>
        <w:rPr>
          <w:rFonts w:ascii="MS Mincho" w:eastAsia="MS Mincho" w:hAnsi="MS Mincho" w:cs="MS Mincho" w:hint="eastAsia"/>
        </w:rPr>
        <w:t>  </w:t>
      </w:r>
      <w:r>
        <w:rPr>
          <w:rFonts w:hint="eastAsia"/>
        </w:rPr>
        <w:t>言</w:t>
      </w:r>
      <w:bookmarkEnd w:id="1"/>
    </w:p>
    <w:p w:rsidR="00C11791" w:rsidRDefault="00C12BFF">
      <w:pPr>
        <w:pStyle w:val="affd"/>
        <w:rPr>
          <w:color w:val="000000"/>
        </w:rPr>
      </w:pPr>
      <w:r>
        <w:rPr>
          <w:rFonts w:hint="eastAsia"/>
          <w:color w:val="000000"/>
        </w:rPr>
        <w:t>本文件按照GB/T 1.1－20</w:t>
      </w:r>
      <w:r>
        <w:rPr>
          <w:color w:val="000000"/>
        </w:rPr>
        <w:t>20</w:t>
      </w:r>
      <w:r>
        <w:rPr>
          <w:rFonts w:hint="eastAsia"/>
          <w:color w:val="000000"/>
        </w:rPr>
        <w:t>《标准化工作导则 第1部分：标准化文件的结构和起草规则》的规定起草。</w:t>
      </w:r>
    </w:p>
    <w:p w:rsidR="00C11791" w:rsidRDefault="00C12BFF">
      <w:pPr>
        <w:pStyle w:val="affd"/>
      </w:pPr>
      <w:r>
        <w:rPr>
          <w:rFonts w:hint="eastAsia"/>
        </w:rPr>
        <w:t>请注意本文件的某些内容可能涉及专利。本文件发布机构不承担识别专利的责任。</w:t>
      </w:r>
    </w:p>
    <w:p w:rsidR="00C11791" w:rsidRDefault="00C12BFF">
      <w:pPr>
        <w:pStyle w:val="affd"/>
      </w:pPr>
      <w:r>
        <w:rPr>
          <w:rFonts w:hint="eastAsia"/>
        </w:rPr>
        <w:t>本文件主要起草单位: 。</w:t>
      </w:r>
    </w:p>
    <w:p w:rsidR="00C11791" w:rsidRDefault="00C12BFF">
      <w:pPr>
        <w:pStyle w:val="affd"/>
      </w:pPr>
      <w:r>
        <w:rPr>
          <w:rFonts w:hint="eastAsia"/>
        </w:rPr>
        <w:t>本文件主要起草人:。</w:t>
      </w:r>
    </w:p>
    <w:p w:rsidR="00C11791" w:rsidRDefault="00C12BFF">
      <w:pPr>
        <w:pStyle w:val="affd"/>
      </w:pPr>
      <w:r>
        <w:rPr>
          <w:rFonts w:hint="eastAsia"/>
        </w:rPr>
        <w:t>本文件为首次发布。</w:t>
      </w:r>
    </w:p>
    <w:p w:rsidR="00C11791" w:rsidRDefault="00C11791">
      <w:pPr>
        <w:pStyle w:val="affd"/>
        <w:sectPr w:rsidR="00C11791">
          <w:headerReference w:type="default" r:id="rId9"/>
          <w:footerReference w:type="default" r:id="rId10"/>
          <w:pgSz w:w="11906" w:h="16838"/>
          <w:pgMar w:top="567" w:right="1134" w:bottom="1134" w:left="1418" w:header="1418" w:footer="1134" w:gutter="0"/>
          <w:pgNumType w:fmt="upperRoman" w:start="1"/>
          <w:cols w:space="720"/>
          <w:formProt w:val="0"/>
          <w:docGrid w:type="lines" w:linePitch="312"/>
        </w:sectPr>
      </w:pPr>
    </w:p>
    <w:p w:rsidR="00C11791" w:rsidRDefault="00C12BFF">
      <w:pPr>
        <w:pStyle w:val="afff6"/>
      </w:pPr>
      <w:r>
        <w:rPr>
          <w:rFonts w:hint="eastAsia"/>
        </w:rPr>
        <w:lastRenderedPageBreak/>
        <w:t>东莞优品企业评价规范</w:t>
      </w:r>
    </w:p>
    <w:p w:rsidR="00C11791" w:rsidRDefault="00C12BFF">
      <w:pPr>
        <w:pStyle w:val="a3"/>
        <w:spacing w:before="312" w:after="312"/>
      </w:pPr>
      <w:r>
        <w:rPr>
          <w:rFonts w:hint="eastAsia"/>
        </w:rPr>
        <w:t>范围</w:t>
      </w:r>
    </w:p>
    <w:p w:rsidR="00C11791" w:rsidRDefault="00C12BFF">
      <w:pPr>
        <w:pStyle w:val="affd"/>
      </w:pPr>
      <w:r>
        <w:rPr>
          <w:rFonts w:hint="eastAsia"/>
        </w:rPr>
        <w:t>本文件规定了东莞优品企业评价的术语和定义、评价原则、评价对象、评价指标、评价方法与流程、评价结果的公开及使用、评价文档管理和评价质量的持续改进。</w:t>
      </w:r>
    </w:p>
    <w:p w:rsidR="00C11791" w:rsidRDefault="00C12BFF">
      <w:pPr>
        <w:pStyle w:val="affd"/>
      </w:pPr>
      <w:r>
        <w:rPr>
          <w:rFonts w:hint="eastAsia"/>
        </w:rPr>
        <w:t>本文件适用于东莞优品企业评价的相关活动。</w:t>
      </w:r>
    </w:p>
    <w:p w:rsidR="00C11791" w:rsidRDefault="00C12BFF">
      <w:pPr>
        <w:pStyle w:val="a3"/>
        <w:spacing w:before="312" w:after="312"/>
      </w:pPr>
      <w:r>
        <w:rPr>
          <w:rFonts w:hint="eastAsia"/>
        </w:rPr>
        <w:t>规范性引用文件</w:t>
      </w:r>
      <w:bookmarkStart w:id="2" w:name="_GoBack"/>
      <w:bookmarkEnd w:id="2"/>
    </w:p>
    <w:p w:rsidR="00C11791" w:rsidRDefault="00C12BFF">
      <w:pPr>
        <w:pStyle w:val="affd"/>
      </w:pPr>
      <w:r>
        <w:rPr>
          <w:rFonts w:hint="eastAsia"/>
        </w:rPr>
        <w:t>本文件无规范性引用文件。</w:t>
      </w:r>
    </w:p>
    <w:p w:rsidR="00C11791" w:rsidRDefault="00C12BFF">
      <w:pPr>
        <w:pStyle w:val="a3"/>
        <w:spacing w:before="312" w:after="312"/>
      </w:pPr>
      <w:r>
        <w:rPr>
          <w:rFonts w:hint="eastAsia"/>
        </w:rPr>
        <w:t>术语和定义</w:t>
      </w:r>
    </w:p>
    <w:p w:rsidR="00C11791" w:rsidRDefault="00C12BFF">
      <w:pPr>
        <w:pStyle w:val="affd"/>
      </w:pPr>
      <w:r>
        <w:rPr>
          <w:rFonts w:hint="eastAsia"/>
        </w:rPr>
        <w:t>下列术语和定义适用于本文件。</w:t>
      </w:r>
    </w:p>
    <w:p w:rsidR="00C11791" w:rsidRDefault="00C11791">
      <w:pPr>
        <w:pStyle w:val="a4"/>
        <w:spacing w:before="156" w:after="156"/>
      </w:pPr>
    </w:p>
    <w:p w:rsidR="00C11791" w:rsidRDefault="00C12BFF">
      <w:pPr>
        <w:pStyle w:val="a4"/>
        <w:numPr>
          <w:ilvl w:val="0"/>
          <w:numId w:val="0"/>
        </w:numPr>
        <w:spacing w:before="156" w:after="156"/>
        <w:ind w:firstLineChars="200" w:firstLine="420"/>
      </w:pPr>
      <w:r>
        <w:rPr>
          <w:rFonts w:hint="eastAsia"/>
        </w:rPr>
        <w:t>企业  enterprise</w:t>
      </w:r>
    </w:p>
    <w:p w:rsidR="00C11791" w:rsidRDefault="00C12BFF">
      <w:pPr>
        <w:pStyle w:val="affd"/>
      </w:pPr>
      <w:r>
        <w:rPr>
          <w:rFonts w:hint="eastAsia"/>
        </w:rPr>
        <w:t>以盈利为目的独立从事商品生产经营和/或服务活动的经济组织。</w:t>
      </w:r>
    </w:p>
    <w:p w:rsidR="00C11791" w:rsidRDefault="00C11791">
      <w:pPr>
        <w:pStyle w:val="a4"/>
        <w:spacing w:before="156" w:after="156"/>
      </w:pPr>
    </w:p>
    <w:p w:rsidR="00C11791" w:rsidRDefault="00C12BFF">
      <w:pPr>
        <w:pStyle w:val="a4"/>
        <w:numPr>
          <w:ilvl w:val="0"/>
          <w:numId w:val="0"/>
        </w:numPr>
        <w:spacing w:before="156" w:after="156"/>
        <w:ind w:firstLineChars="200" w:firstLine="420"/>
      </w:pPr>
      <w:r>
        <w:rPr>
          <w:rFonts w:hint="eastAsia"/>
        </w:rPr>
        <w:t>东莞优品  excellent products of Dongguan</w:t>
      </w:r>
    </w:p>
    <w:p w:rsidR="00C11791" w:rsidRDefault="00C12BFF">
      <w:pPr>
        <w:pStyle w:val="affd"/>
      </w:pPr>
      <w:r>
        <w:rPr>
          <w:rFonts w:hint="eastAsia"/>
        </w:rPr>
        <w:t>是指在东莞市内注册企业所生产或授权生产的、经检验合格并符合东莞优品产品认定条件要求的优秀产品。</w:t>
      </w:r>
    </w:p>
    <w:p w:rsidR="00C11791" w:rsidRDefault="00C11791">
      <w:pPr>
        <w:pStyle w:val="a4"/>
        <w:spacing w:before="156" w:after="156"/>
      </w:pPr>
    </w:p>
    <w:p w:rsidR="00C11791" w:rsidRDefault="00C12BFF">
      <w:pPr>
        <w:pStyle w:val="a4"/>
        <w:numPr>
          <w:ilvl w:val="0"/>
          <w:numId w:val="0"/>
        </w:numPr>
        <w:spacing w:before="156" w:after="156"/>
        <w:ind w:firstLineChars="200" w:firstLine="420"/>
      </w:pPr>
      <w:r>
        <w:rPr>
          <w:rFonts w:hint="eastAsia"/>
        </w:rPr>
        <w:t>东莞优品企业  high quality enterprise of Dongguan</w:t>
      </w:r>
    </w:p>
    <w:p w:rsidR="00C11791" w:rsidRDefault="00C12BFF">
      <w:pPr>
        <w:pStyle w:val="affd"/>
      </w:pPr>
      <w:r>
        <w:rPr>
          <w:rFonts w:hint="eastAsia"/>
        </w:rPr>
        <w:t>是指在东莞市内注册并通过本文件评价认定的优质企业。</w:t>
      </w:r>
    </w:p>
    <w:p w:rsidR="00C11791" w:rsidRDefault="00C12BFF">
      <w:pPr>
        <w:pStyle w:val="a3"/>
        <w:spacing w:before="312" w:after="312"/>
      </w:pPr>
      <w:r>
        <w:rPr>
          <w:rFonts w:hint="eastAsia"/>
        </w:rPr>
        <w:t>评价原则</w:t>
      </w:r>
    </w:p>
    <w:p w:rsidR="00C11791" w:rsidRDefault="00C12BFF">
      <w:pPr>
        <w:pStyle w:val="a4"/>
        <w:spacing w:before="156" w:after="156"/>
      </w:pPr>
      <w:r>
        <w:rPr>
          <w:rFonts w:hint="eastAsia"/>
        </w:rPr>
        <w:t>客观性原则</w:t>
      </w:r>
    </w:p>
    <w:p w:rsidR="00C11791" w:rsidRDefault="00C12BFF">
      <w:pPr>
        <w:pStyle w:val="affd"/>
      </w:pPr>
      <w:r>
        <w:rPr>
          <w:rFonts w:hint="eastAsia"/>
        </w:rPr>
        <w:t>应依据可验证和</w:t>
      </w:r>
      <w:proofErr w:type="gramStart"/>
      <w:r>
        <w:rPr>
          <w:rFonts w:hint="eastAsia"/>
        </w:rPr>
        <w:t>可</w:t>
      </w:r>
      <w:proofErr w:type="gramEnd"/>
      <w:r>
        <w:rPr>
          <w:rFonts w:hint="eastAsia"/>
        </w:rPr>
        <w:t>观察的客观信息和数据，遵循明确、具体的标准，采用科学、合理的方法和工具，确保评价结果的客观性和准确性。</w:t>
      </w:r>
    </w:p>
    <w:p w:rsidR="00C11791" w:rsidRDefault="00C12BFF">
      <w:pPr>
        <w:pStyle w:val="a4"/>
        <w:spacing w:before="156" w:after="156"/>
      </w:pPr>
      <w:r>
        <w:rPr>
          <w:rFonts w:hint="eastAsia"/>
        </w:rPr>
        <w:t>公正性原则</w:t>
      </w:r>
    </w:p>
    <w:p w:rsidR="00C11791" w:rsidRDefault="00C12BFF">
      <w:pPr>
        <w:pStyle w:val="affd"/>
      </w:pPr>
      <w:r>
        <w:rPr>
          <w:rFonts w:hint="eastAsia"/>
        </w:rPr>
        <w:lastRenderedPageBreak/>
        <w:t>应在确保评价者的独立性和公正性的前提下，采用相同的、公开的评价标准、评价方法和评价程序进行评价工作，确保评价工作的公正性。</w:t>
      </w:r>
    </w:p>
    <w:p w:rsidR="00C11791" w:rsidRDefault="00C12BFF">
      <w:pPr>
        <w:pStyle w:val="a4"/>
        <w:spacing w:before="156" w:after="156"/>
      </w:pPr>
      <w:r>
        <w:rPr>
          <w:rFonts w:hint="eastAsia"/>
        </w:rPr>
        <w:t>全面性原则</w:t>
      </w:r>
    </w:p>
    <w:p w:rsidR="00C11791" w:rsidRDefault="00C12BFF">
      <w:pPr>
        <w:pStyle w:val="affd"/>
      </w:pPr>
      <w:r>
        <w:t>在进行评价时，应全面考虑构成东莞优品核心价值的各</w:t>
      </w:r>
      <w:r>
        <w:rPr>
          <w:rFonts w:hint="eastAsia"/>
        </w:rPr>
        <w:t>项</w:t>
      </w:r>
      <w:r>
        <w:t>要素，兼顾企业、企业产品的现状、持续质量保证能力和可持续发展，制定科学合理的评价指标，以确保评价结果的完整性、准确性和前瞻性。</w:t>
      </w:r>
    </w:p>
    <w:p w:rsidR="00C11791" w:rsidRDefault="00C12BFF">
      <w:pPr>
        <w:pStyle w:val="a4"/>
        <w:spacing w:before="156" w:after="156"/>
      </w:pPr>
      <w:r>
        <w:rPr>
          <w:rFonts w:hint="eastAsia"/>
        </w:rPr>
        <w:t>可追溯性原则</w:t>
      </w:r>
    </w:p>
    <w:p w:rsidR="00C11791" w:rsidRDefault="00C12BFF">
      <w:pPr>
        <w:pStyle w:val="affd"/>
      </w:pPr>
      <w:r>
        <w:rPr>
          <w:rFonts w:hint="eastAsia"/>
        </w:rPr>
        <w:t>评价过程应完整、清晰地记录评价过程和结果，确保评价过程可追溯、评价结果可验证，并接受相关方申述和监督。</w:t>
      </w:r>
    </w:p>
    <w:p w:rsidR="00C11791" w:rsidRDefault="00C12BFF">
      <w:pPr>
        <w:pStyle w:val="a3"/>
        <w:spacing w:before="312" w:after="312"/>
      </w:pPr>
      <w:r>
        <w:rPr>
          <w:rFonts w:hint="eastAsia"/>
        </w:rPr>
        <w:t>评价对象</w:t>
      </w:r>
    </w:p>
    <w:p w:rsidR="00C11791" w:rsidRDefault="00C12BFF">
      <w:pPr>
        <w:pStyle w:val="affd"/>
      </w:pPr>
      <w:r>
        <w:rPr>
          <w:rFonts w:hint="eastAsia"/>
        </w:rPr>
        <w:t>符合以下条件的企业可自愿申报东莞优品企业评价：</w:t>
      </w:r>
    </w:p>
    <w:p w:rsidR="00C11791" w:rsidRDefault="00C12BFF">
      <w:pPr>
        <w:pStyle w:val="affd"/>
      </w:pPr>
      <w:r>
        <w:rPr>
          <w:rFonts w:hint="eastAsia"/>
        </w:rPr>
        <w:t>——在东莞市辖区内</w:t>
      </w:r>
      <w:r>
        <w:t>依法成立</w:t>
      </w:r>
      <w:r>
        <w:rPr>
          <w:rFonts w:hint="eastAsia"/>
        </w:rPr>
        <w:t>、</w:t>
      </w:r>
      <w:r>
        <w:t>具有独立法人资格</w:t>
      </w:r>
      <w:r>
        <w:rPr>
          <w:rFonts w:hint="eastAsia"/>
        </w:rPr>
        <w:t>、生产</w:t>
      </w:r>
      <w:r>
        <w:t>经营证照齐备有效</w:t>
      </w:r>
      <w:r>
        <w:rPr>
          <w:rFonts w:hint="eastAsia"/>
        </w:rPr>
        <w:t>的企业；</w:t>
      </w:r>
    </w:p>
    <w:p w:rsidR="00C11791" w:rsidRDefault="00C12BFF">
      <w:pPr>
        <w:pStyle w:val="affd"/>
      </w:pPr>
      <w:r>
        <w:rPr>
          <w:rFonts w:hint="eastAsia"/>
        </w:rPr>
        <w:t>——企业因在经营、生产、销售、服务等环节上不符合相关法律、法规的要求，或其产品不符合国家强制性标准和相关部门技术法规要求，在近3年内受到监管部门给与的产品质量、安全、环保等方面相关行政处罚；</w:t>
      </w:r>
    </w:p>
    <w:p w:rsidR="00C11791" w:rsidRDefault="00C12BFF">
      <w:pPr>
        <w:pStyle w:val="affd"/>
      </w:pPr>
      <w:r>
        <w:rPr>
          <w:rFonts w:hint="eastAsia"/>
        </w:rPr>
        <w:t>——近3年内，企业存在发生重大生产安全事故、产品质量事故，造成人民生命和财产重大损失的情况；</w:t>
      </w:r>
    </w:p>
    <w:p w:rsidR="00C11791" w:rsidRDefault="00C12BFF">
      <w:pPr>
        <w:pStyle w:val="affd"/>
      </w:pPr>
      <w:r>
        <w:rPr>
          <w:rFonts w:hint="eastAsia"/>
        </w:rPr>
        <w:t>——企业被列入国家信用信息严重失信主体相关名录。</w:t>
      </w:r>
    </w:p>
    <w:p w:rsidR="00C11791" w:rsidRDefault="00C12BFF">
      <w:pPr>
        <w:pStyle w:val="a3"/>
        <w:spacing w:before="312" w:after="312"/>
      </w:pPr>
      <w:r>
        <w:rPr>
          <w:rFonts w:hint="eastAsia"/>
        </w:rPr>
        <w:t>评价指标</w:t>
      </w:r>
    </w:p>
    <w:p w:rsidR="00C11791" w:rsidRDefault="00C12BFF">
      <w:pPr>
        <w:pStyle w:val="affd"/>
      </w:pPr>
      <w:r>
        <w:rPr>
          <w:rFonts w:hint="eastAsia"/>
        </w:rPr>
        <w:t>东莞优品企业评价指标包含否决项、基础指标和加分项。基础指标包括质量文化建设、产品质量水平及持续保证能力、创新能力、品牌管理、数字化建设、员工权益保障、产品责任及消费者权益保障、社会责任和环境责任9项，每个基础指标包含若干</w:t>
      </w:r>
      <w:proofErr w:type="gramStart"/>
      <w:r>
        <w:rPr>
          <w:rFonts w:hint="eastAsia"/>
        </w:rPr>
        <w:t>条评价</w:t>
      </w:r>
      <w:proofErr w:type="gramEnd"/>
      <w:r>
        <w:rPr>
          <w:rFonts w:hint="eastAsia"/>
        </w:rPr>
        <w:t>内容。评价指标及评价内容见附录A。</w:t>
      </w:r>
    </w:p>
    <w:p w:rsidR="00C11791" w:rsidRDefault="00C12BFF">
      <w:pPr>
        <w:pStyle w:val="a3"/>
        <w:spacing w:before="312" w:after="312"/>
      </w:pPr>
      <w:r>
        <w:rPr>
          <w:rFonts w:hint="eastAsia"/>
        </w:rPr>
        <w:t>评价方法与流程</w:t>
      </w:r>
    </w:p>
    <w:p w:rsidR="00C11791" w:rsidRDefault="00C12BFF">
      <w:pPr>
        <w:pStyle w:val="a4"/>
        <w:spacing w:before="156" w:after="156"/>
      </w:pPr>
      <w:r>
        <w:rPr>
          <w:rFonts w:hint="eastAsia"/>
        </w:rPr>
        <w:t>计分方法</w:t>
      </w:r>
    </w:p>
    <w:p w:rsidR="00C11791" w:rsidRDefault="00C12BFF">
      <w:pPr>
        <w:pStyle w:val="afff8"/>
      </w:pPr>
      <w:r>
        <w:rPr>
          <w:rFonts w:hint="eastAsia"/>
        </w:rPr>
        <w:t>东莞优品企业评价采用计分方法。否决项不赋分值，基础指标总分赋值为1000分，加分项赋值为250分。</w:t>
      </w:r>
    </w:p>
    <w:p w:rsidR="00C11791" w:rsidRDefault="00C12BFF">
      <w:pPr>
        <w:pStyle w:val="afff8"/>
      </w:pPr>
      <w:r>
        <w:rPr>
          <w:rFonts w:hint="eastAsia"/>
        </w:rPr>
        <w:t>按百分比设定各项基础指标权重数值，分别计算每项基础指标所占分值，分值准确至个位。</w:t>
      </w:r>
    </w:p>
    <w:p w:rsidR="00C11791" w:rsidRDefault="00C12BFF">
      <w:pPr>
        <w:pStyle w:val="afff8"/>
      </w:pPr>
      <w:r>
        <w:rPr>
          <w:rFonts w:hint="eastAsia"/>
        </w:rPr>
        <w:t>根据每项基础指标</w:t>
      </w:r>
      <w:proofErr w:type="gramStart"/>
      <w:r>
        <w:rPr>
          <w:rFonts w:hint="eastAsia"/>
        </w:rPr>
        <w:t>下各项</w:t>
      </w:r>
      <w:proofErr w:type="gramEnd"/>
      <w:r>
        <w:rPr>
          <w:rFonts w:hint="eastAsia"/>
        </w:rPr>
        <w:t>评价内容的重要性，分配各项评价内容所占分值。每项基础指标下属各项评价内容分值总和应与</w:t>
      </w:r>
      <w:proofErr w:type="gramStart"/>
      <w:r>
        <w:rPr>
          <w:rFonts w:hint="eastAsia"/>
        </w:rPr>
        <w:t>该基础</w:t>
      </w:r>
      <w:proofErr w:type="gramEnd"/>
      <w:r>
        <w:rPr>
          <w:rFonts w:hint="eastAsia"/>
        </w:rPr>
        <w:t>指标的总分值相等。</w:t>
      </w:r>
    </w:p>
    <w:p w:rsidR="00C11791" w:rsidRDefault="00C12BFF">
      <w:pPr>
        <w:pStyle w:val="afff8"/>
      </w:pPr>
      <w:r>
        <w:rPr>
          <w:rFonts w:hint="eastAsia"/>
        </w:rPr>
        <w:t>基础指标权重及分值见表1。</w:t>
      </w:r>
    </w:p>
    <w:p w:rsidR="00C11791" w:rsidRDefault="00C11791">
      <w:pPr>
        <w:pStyle w:val="a4"/>
        <w:numPr>
          <w:ilvl w:val="1"/>
          <w:numId w:val="0"/>
        </w:numPr>
        <w:spacing w:before="156" w:after="156"/>
      </w:pPr>
    </w:p>
    <w:p w:rsidR="00C11791" w:rsidRDefault="00C11791">
      <w:pPr>
        <w:pStyle w:val="affd"/>
      </w:pPr>
    </w:p>
    <w:p w:rsidR="00C11791" w:rsidRDefault="00C11791">
      <w:pPr>
        <w:pStyle w:val="afff8"/>
        <w:numPr>
          <w:ilvl w:val="2"/>
          <w:numId w:val="0"/>
        </w:numPr>
      </w:pPr>
    </w:p>
    <w:p w:rsidR="00C11791" w:rsidRDefault="00C12BFF">
      <w:pPr>
        <w:pStyle w:val="affd"/>
        <w:spacing w:beforeLines="50" w:before="156" w:afterLines="50" w:after="156"/>
        <w:ind w:firstLine="360"/>
        <w:jc w:val="center"/>
        <w:rPr>
          <w:rFonts w:ascii="黑体" w:eastAsia="黑体" w:hAnsi="黑体" w:cs="黑体"/>
          <w:sz w:val="18"/>
          <w:szCs w:val="18"/>
        </w:rPr>
      </w:pPr>
      <w:r>
        <w:rPr>
          <w:rFonts w:ascii="黑体" w:eastAsia="黑体" w:hAnsi="黑体" w:cs="黑体" w:hint="eastAsia"/>
          <w:sz w:val="18"/>
          <w:szCs w:val="18"/>
        </w:rPr>
        <w:lastRenderedPageBreak/>
        <w:t>表1  基础指标权重及分值</w:t>
      </w:r>
    </w:p>
    <w:tbl>
      <w:tblPr>
        <w:tblStyle w:val="affe"/>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3190"/>
        <w:gridCol w:w="3045"/>
      </w:tblGrid>
      <w:tr w:rsidR="00C11791">
        <w:tc>
          <w:tcPr>
            <w:tcW w:w="2978" w:type="dxa"/>
          </w:tcPr>
          <w:p w:rsidR="00C11791" w:rsidRDefault="00C12BFF">
            <w:pPr>
              <w:pStyle w:val="affd"/>
              <w:spacing w:beforeLines="50" w:before="156" w:afterLines="50" w:after="156"/>
              <w:ind w:firstLineChars="0" w:firstLine="0"/>
              <w:jc w:val="center"/>
              <w:rPr>
                <w:rFonts w:hAnsi="宋体" w:cs="宋体"/>
                <w:sz w:val="18"/>
              </w:rPr>
            </w:pPr>
            <w:r>
              <w:rPr>
                <w:rFonts w:hAnsi="宋体" w:cs="宋体" w:hint="eastAsia"/>
                <w:sz w:val="18"/>
              </w:rPr>
              <w:t>指标名称</w:t>
            </w:r>
          </w:p>
        </w:tc>
        <w:tc>
          <w:tcPr>
            <w:tcW w:w="3190" w:type="dxa"/>
          </w:tcPr>
          <w:p w:rsidR="00C11791" w:rsidRDefault="00C12BFF">
            <w:pPr>
              <w:pStyle w:val="affd"/>
              <w:spacing w:beforeLines="50" w:before="156" w:afterLines="50" w:after="156"/>
              <w:ind w:firstLineChars="0" w:firstLine="0"/>
              <w:jc w:val="center"/>
              <w:rPr>
                <w:rFonts w:hAnsi="宋体" w:cs="宋体"/>
                <w:sz w:val="18"/>
              </w:rPr>
            </w:pPr>
            <w:r>
              <w:rPr>
                <w:rFonts w:hAnsi="宋体" w:cs="宋体" w:hint="eastAsia"/>
                <w:sz w:val="18"/>
              </w:rPr>
              <w:t>权重</w:t>
            </w:r>
          </w:p>
        </w:tc>
        <w:tc>
          <w:tcPr>
            <w:tcW w:w="3045" w:type="dxa"/>
          </w:tcPr>
          <w:p w:rsidR="00C11791" w:rsidRDefault="00C12BFF">
            <w:pPr>
              <w:pStyle w:val="affd"/>
              <w:spacing w:beforeLines="50" w:before="156" w:afterLines="50" w:after="156"/>
              <w:ind w:firstLineChars="0" w:firstLine="0"/>
              <w:jc w:val="center"/>
              <w:rPr>
                <w:rFonts w:hAnsi="宋体" w:cs="宋体"/>
                <w:sz w:val="18"/>
              </w:rPr>
            </w:pPr>
            <w:r>
              <w:rPr>
                <w:rFonts w:hAnsi="宋体" w:cs="宋体" w:hint="eastAsia"/>
                <w:sz w:val="18"/>
              </w:rPr>
              <w:t>分值</w:t>
            </w:r>
          </w:p>
        </w:tc>
      </w:tr>
      <w:tr w:rsidR="00C11791">
        <w:tc>
          <w:tcPr>
            <w:tcW w:w="2978" w:type="dxa"/>
          </w:tcPr>
          <w:p w:rsidR="00C11791" w:rsidRDefault="00C12BFF">
            <w:pPr>
              <w:pStyle w:val="affd"/>
              <w:spacing w:beforeLines="50" w:before="156" w:afterLines="50" w:after="156"/>
              <w:ind w:firstLineChars="0" w:firstLine="0"/>
              <w:jc w:val="center"/>
              <w:rPr>
                <w:rFonts w:hAnsi="宋体" w:cs="宋体"/>
                <w:sz w:val="18"/>
              </w:rPr>
            </w:pPr>
            <w:r>
              <w:rPr>
                <w:rFonts w:hAnsi="宋体" w:cs="宋体" w:hint="eastAsia"/>
                <w:sz w:val="18"/>
              </w:rPr>
              <w:t>质量文化建设</w:t>
            </w:r>
          </w:p>
        </w:tc>
        <w:tc>
          <w:tcPr>
            <w:tcW w:w="3190" w:type="dxa"/>
          </w:tcPr>
          <w:p w:rsidR="00C11791" w:rsidRDefault="00C12BFF">
            <w:pPr>
              <w:pStyle w:val="affd"/>
              <w:spacing w:beforeLines="50" w:before="156" w:afterLines="50" w:after="156"/>
              <w:ind w:firstLineChars="0" w:firstLine="0"/>
              <w:jc w:val="center"/>
              <w:rPr>
                <w:rFonts w:hAnsi="宋体" w:cs="宋体"/>
                <w:sz w:val="18"/>
              </w:rPr>
            </w:pPr>
            <w:r>
              <w:rPr>
                <w:rFonts w:hAnsi="宋体" w:cs="宋体" w:hint="eastAsia"/>
                <w:sz w:val="18"/>
              </w:rPr>
              <w:t>8%</w:t>
            </w:r>
          </w:p>
        </w:tc>
        <w:tc>
          <w:tcPr>
            <w:tcW w:w="3045" w:type="dxa"/>
          </w:tcPr>
          <w:p w:rsidR="00C11791" w:rsidRDefault="00C12BFF">
            <w:pPr>
              <w:pStyle w:val="affd"/>
              <w:spacing w:beforeLines="50" w:before="156" w:afterLines="50" w:after="156"/>
              <w:ind w:firstLine="360"/>
              <w:jc w:val="center"/>
              <w:rPr>
                <w:rFonts w:hAnsi="宋体" w:cs="宋体"/>
                <w:sz w:val="18"/>
              </w:rPr>
            </w:pPr>
            <w:r>
              <w:rPr>
                <w:rFonts w:hAnsi="宋体" w:cs="宋体" w:hint="eastAsia"/>
                <w:sz w:val="18"/>
              </w:rPr>
              <w:t>80</w:t>
            </w:r>
          </w:p>
        </w:tc>
      </w:tr>
      <w:tr w:rsidR="00C11791">
        <w:tc>
          <w:tcPr>
            <w:tcW w:w="2978" w:type="dxa"/>
          </w:tcPr>
          <w:p w:rsidR="00C11791" w:rsidRDefault="00C12BFF">
            <w:pPr>
              <w:pStyle w:val="affd"/>
              <w:spacing w:beforeLines="50" w:before="156" w:afterLines="50" w:after="156"/>
              <w:ind w:firstLineChars="0" w:firstLine="0"/>
              <w:jc w:val="center"/>
              <w:rPr>
                <w:rFonts w:hAnsi="宋体" w:cs="宋体"/>
                <w:sz w:val="18"/>
              </w:rPr>
            </w:pPr>
            <w:r>
              <w:rPr>
                <w:rFonts w:hAnsi="宋体" w:cs="宋体" w:hint="eastAsia"/>
                <w:sz w:val="18"/>
              </w:rPr>
              <w:t>产品质量水平及持续保证能力</w:t>
            </w:r>
          </w:p>
        </w:tc>
        <w:tc>
          <w:tcPr>
            <w:tcW w:w="3190" w:type="dxa"/>
          </w:tcPr>
          <w:p w:rsidR="00C11791" w:rsidRDefault="00C12BFF">
            <w:pPr>
              <w:pStyle w:val="affd"/>
              <w:spacing w:beforeLines="50" w:before="156" w:afterLines="50" w:after="156"/>
              <w:ind w:firstLineChars="0" w:firstLine="0"/>
              <w:jc w:val="center"/>
              <w:rPr>
                <w:rFonts w:hAnsi="宋体" w:cs="宋体"/>
                <w:sz w:val="18"/>
              </w:rPr>
            </w:pPr>
            <w:r>
              <w:rPr>
                <w:rFonts w:hAnsi="宋体" w:cs="宋体" w:hint="eastAsia"/>
                <w:sz w:val="18"/>
              </w:rPr>
              <w:t>20%</w:t>
            </w:r>
          </w:p>
        </w:tc>
        <w:tc>
          <w:tcPr>
            <w:tcW w:w="3045" w:type="dxa"/>
          </w:tcPr>
          <w:p w:rsidR="00C11791" w:rsidRDefault="00C12BFF">
            <w:pPr>
              <w:pStyle w:val="affd"/>
              <w:spacing w:beforeLines="50" w:before="156" w:afterLines="50" w:after="156"/>
              <w:ind w:firstLine="360"/>
              <w:jc w:val="center"/>
              <w:rPr>
                <w:rFonts w:hAnsi="宋体" w:cs="宋体"/>
                <w:sz w:val="18"/>
              </w:rPr>
            </w:pPr>
            <w:r>
              <w:rPr>
                <w:rFonts w:hAnsi="宋体" w:cs="宋体" w:hint="eastAsia"/>
                <w:sz w:val="18"/>
              </w:rPr>
              <w:t>200</w:t>
            </w:r>
          </w:p>
        </w:tc>
      </w:tr>
      <w:tr w:rsidR="00C11791">
        <w:tc>
          <w:tcPr>
            <w:tcW w:w="2978" w:type="dxa"/>
          </w:tcPr>
          <w:p w:rsidR="00C11791" w:rsidRDefault="00C12BFF">
            <w:pPr>
              <w:pStyle w:val="affd"/>
              <w:spacing w:beforeLines="50" w:before="156" w:afterLines="50" w:after="156"/>
              <w:ind w:firstLineChars="0" w:firstLine="0"/>
              <w:jc w:val="center"/>
              <w:rPr>
                <w:rFonts w:hAnsi="宋体" w:cs="宋体"/>
                <w:sz w:val="18"/>
              </w:rPr>
            </w:pPr>
            <w:r>
              <w:rPr>
                <w:rFonts w:hAnsi="宋体" w:cs="宋体" w:hint="eastAsia"/>
                <w:sz w:val="18"/>
              </w:rPr>
              <w:t>创新能力</w:t>
            </w:r>
          </w:p>
        </w:tc>
        <w:tc>
          <w:tcPr>
            <w:tcW w:w="3190" w:type="dxa"/>
          </w:tcPr>
          <w:p w:rsidR="00C11791" w:rsidRDefault="00C12BFF">
            <w:pPr>
              <w:pStyle w:val="affd"/>
              <w:spacing w:beforeLines="50" w:before="156" w:afterLines="50" w:after="156"/>
              <w:ind w:firstLineChars="0" w:firstLine="0"/>
              <w:jc w:val="center"/>
              <w:rPr>
                <w:rFonts w:hAnsi="宋体" w:cs="宋体"/>
                <w:sz w:val="18"/>
              </w:rPr>
            </w:pPr>
            <w:r>
              <w:rPr>
                <w:rFonts w:hAnsi="宋体" w:cs="宋体" w:hint="eastAsia"/>
                <w:sz w:val="18"/>
              </w:rPr>
              <w:t>8%</w:t>
            </w:r>
          </w:p>
        </w:tc>
        <w:tc>
          <w:tcPr>
            <w:tcW w:w="3045" w:type="dxa"/>
          </w:tcPr>
          <w:p w:rsidR="00C11791" w:rsidRDefault="00C12BFF">
            <w:pPr>
              <w:pStyle w:val="affd"/>
              <w:spacing w:beforeLines="50" w:before="156" w:afterLines="50" w:after="156"/>
              <w:ind w:firstLine="360"/>
              <w:jc w:val="center"/>
              <w:rPr>
                <w:rFonts w:hAnsi="宋体" w:cs="宋体"/>
                <w:sz w:val="18"/>
              </w:rPr>
            </w:pPr>
            <w:r>
              <w:rPr>
                <w:rFonts w:hAnsi="宋体" w:cs="宋体" w:hint="eastAsia"/>
                <w:sz w:val="18"/>
              </w:rPr>
              <w:t>80</w:t>
            </w:r>
          </w:p>
        </w:tc>
      </w:tr>
      <w:tr w:rsidR="00C11791">
        <w:tc>
          <w:tcPr>
            <w:tcW w:w="2978" w:type="dxa"/>
          </w:tcPr>
          <w:p w:rsidR="00C11791" w:rsidRDefault="00C12BFF">
            <w:pPr>
              <w:pStyle w:val="affd"/>
              <w:spacing w:beforeLines="50" w:before="156" w:afterLines="50" w:after="156"/>
              <w:ind w:firstLineChars="0" w:firstLine="0"/>
              <w:jc w:val="center"/>
              <w:rPr>
                <w:rFonts w:hAnsi="宋体" w:cs="宋体"/>
                <w:sz w:val="18"/>
              </w:rPr>
            </w:pPr>
            <w:r>
              <w:rPr>
                <w:rFonts w:hAnsi="宋体" w:cs="宋体" w:hint="eastAsia"/>
                <w:sz w:val="18"/>
              </w:rPr>
              <w:t>品牌管理</w:t>
            </w:r>
          </w:p>
        </w:tc>
        <w:tc>
          <w:tcPr>
            <w:tcW w:w="3190" w:type="dxa"/>
          </w:tcPr>
          <w:p w:rsidR="00C11791" w:rsidRDefault="00C12BFF">
            <w:pPr>
              <w:pStyle w:val="affd"/>
              <w:spacing w:beforeLines="50" w:before="156" w:afterLines="50" w:after="156"/>
              <w:ind w:firstLineChars="0" w:firstLine="0"/>
              <w:jc w:val="center"/>
              <w:rPr>
                <w:rFonts w:hAnsi="宋体" w:cs="宋体"/>
                <w:sz w:val="18"/>
              </w:rPr>
            </w:pPr>
            <w:r>
              <w:rPr>
                <w:rFonts w:hAnsi="宋体" w:cs="宋体" w:hint="eastAsia"/>
                <w:sz w:val="18"/>
              </w:rPr>
              <w:t>13%</w:t>
            </w:r>
          </w:p>
        </w:tc>
        <w:tc>
          <w:tcPr>
            <w:tcW w:w="3045" w:type="dxa"/>
          </w:tcPr>
          <w:p w:rsidR="00C11791" w:rsidRDefault="00C12BFF">
            <w:pPr>
              <w:pStyle w:val="affd"/>
              <w:spacing w:beforeLines="50" w:before="156" w:afterLines="50" w:after="156"/>
              <w:ind w:firstLine="360"/>
              <w:jc w:val="center"/>
              <w:rPr>
                <w:rFonts w:hAnsi="宋体" w:cs="宋体"/>
                <w:sz w:val="18"/>
              </w:rPr>
            </w:pPr>
            <w:r>
              <w:rPr>
                <w:rFonts w:hAnsi="宋体" w:cs="宋体" w:hint="eastAsia"/>
                <w:sz w:val="18"/>
              </w:rPr>
              <w:t>130</w:t>
            </w:r>
          </w:p>
        </w:tc>
      </w:tr>
      <w:tr w:rsidR="00C11791">
        <w:tc>
          <w:tcPr>
            <w:tcW w:w="2978" w:type="dxa"/>
          </w:tcPr>
          <w:p w:rsidR="00C11791" w:rsidRDefault="00C12BFF">
            <w:pPr>
              <w:pStyle w:val="affd"/>
              <w:spacing w:beforeLines="50" w:before="156" w:afterLines="50" w:after="156"/>
              <w:ind w:firstLineChars="0" w:firstLine="0"/>
              <w:jc w:val="center"/>
              <w:rPr>
                <w:rFonts w:hAnsi="宋体" w:cs="宋体"/>
                <w:sz w:val="18"/>
              </w:rPr>
            </w:pPr>
            <w:r>
              <w:rPr>
                <w:rFonts w:hAnsi="宋体" w:cs="宋体" w:hint="eastAsia"/>
                <w:sz w:val="18"/>
              </w:rPr>
              <w:t>数字化建设</w:t>
            </w:r>
          </w:p>
        </w:tc>
        <w:tc>
          <w:tcPr>
            <w:tcW w:w="3190" w:type="dxa"/>
          </w:tcPr>
          <w:p w:rsidR="00C11791" w:rsidRDefault="00C12BFF">
            <w:pPr>
              <w:pStyle w:val="affd"/>
              <w:spacing w:beforeLines="50" w:before="156" w:afterLines="50" w:after="156"/>
              <w:ind w:firstLineChars="0" w:firstLine="0"/>
              <w:jc w:val="center"/>
              <w:rPr>
                <w:rFonts w:hAnsi="宋体" w:cs="宋体"/>
                <w:sz w:val="18"/>
              </w:rPr>
            </w:pPr>
            <w:r>
              <w:rPr>
                <w:rFonts w:hAnsi="宋体" w:cs="宋体" w:hint="eastAsia"/>
                <w:sz w:val="18"/>
              </w:rPr>
              <w:t>8%</w:t>
            </w:r>
          </w:p>
        </w:tc>
        <w:tc>
          <w:tcPr>
            <w:tcW w:w="3045" w:type="dxa"/>
          </w:tcPr>
          <w:p w:rsidR="00C11791" w:rsidRDefault="00C12BFF">
            <w:pPr>
              <w:pStyle w:val="affd"/>
              <w:spacing w:beforeLines="50" w:before="156" w:afterLines="50" w:after="156"/>
              <w:ind w:firstLine="360"/>
              <w:jc w:val="center"/>
              <w:rPr>
                <w:rFonts w:hAnsi="宋体" w:cs="宋体"/>
                <w:sz w:val="18"/>
              </w:rPr>
            </w:pPr>
            <w:r>
              <w:rPr>
                <w:rFonts w:hAnsi="宋体" w:cs="宋体" w:hint="eastAsia"/>
                <w:sz w:val="18"/>
              </w:rPr>
              <w:t>80</w:t>
            </w:r>
          </w:p>
        </w:tc>
      </w:tr>
      <w:tr w:rsidR="00C11791">
        <w:tc>
          <w:tcPr>
            <w:tcW w:w="2978" w:type="dxa"/>
          </w:tcPr>
          <w:p w:rsidR="00C11791" w:rsidRDefault="00C12BFF">
            <w:pPr>
              <w:pStyle w:val="affd"/>
              <w:spacing w:beforeLines="50" w:before="156" w:afterLines="50" w:after="156"/>
              <w:ind w:firstLineChars="0" w:firstLine="0"/>
              <w:jc w:val="center"/>
              <w:rPr>
                <w:rFonts w:hAnsi="宋体" w:cs="宋体"/>
                <w:sz w:val="18"/>
              </w:rPr>
            </w:pPr>
            <w:r>
              <w:rPr>
                <w:rFonts w:hAnsi="宋体" w:cs="宋体" w:hint="eastAsia"/>
                <w:sz w:val="18"/>
              </w:rPr>
              <w:t>员工权益保障</w:t>
            </w:r>
          </w:p>
        </w:tc>
        <w:tc>
          <w:tcPr>
            <w:tcW w:w="3190" w:type="dxa"/>
          </w:tcPr>
          <w:p w:rsidR="00C11791" w:rsidRDefault="00C12BFF">
            <w:pPr>
              <w:pStyle w:val="affd"/>
              <w:spacing w:beforeLines="50" w:before="156" w:afterLines="50" w:after="156"/>
              <w:ind w:firstLineChars="0" w:firstLine="0"/>
              <w:jc w:val="center"/>
              <w:rPr>
                <w:rFonts w:hAnsi="宋体" w:cs="宋体"/>
                <w:sz w:val="18"/>
              </w:rPr>
            </w:pPr>
            <w:r>
              <w:rPr>
                <w:rFonts w:hAnsi="宋体" w:cs="宋体" w:hint="eastAsia"/>
                <w:sz w:val="18"/>
              </w:rPr>
              <w:t>10%</w:t>
            </w:r>
          </w:p>
        </w:tc>
        <w:tc>
          <w:tcPr>
            <w:tcW w:w="3045" w:type="dxa"/>
          </w:tcPr>
          <w:p w:rsidR="00C11791" w:rsidRDefault="00C12BFF">
            <w:pPr>
              <w:pStyle w:val="affd"/>
              <w:spacing w:beforeLines="50" w:before="156" w:afterLines="50" w:after="156"/>
              <w:ind w:firstLine="360"/>
              <w:jc w:val="center"/>
              <w:rPr>
                <w:rFonts w:hAnsi="宋体" w:cs="宋体"/>
                <w:sz w:val="18"/>
              </w:rPr>
            </w:pPr>
            <w:r>
              <w:rPr>
                <w:rFonts w:hAnsi="宋体" w:cs="宋体" w:hint="eastAsia"/>
                <w:sz w:val="18"/>
              </w:rPr>
              <w:t>100</w:t>
            </w:r>
          </w:p>
        </w:tc>
      </w:tr>
      <w:tr w:rsidR="00C11791">
        <w:tc>
          <w:tcPr>
            <w:tcW w:w="2978" w:type="dxa"/>
          </w:tcPr>
          <w:p w:rsidR="00C11791" w:rsidRDefault="00C12BFF">
            <w:pPr>
              <w:pStyle w:val="affd"/>
              <w:spacing w:beforeLines="50" w:before="156" w:afterLines="50" w:after="156"/>
              <w:ind w:firstLineChars="0" w:firstLine="0"/>
              <w:jc w:val="center"/>
              <w:rPr>
                <w:rFonts w:hAnsi="宋体" w:cs="宋体"/>
                <w:sz w:val="18"/>
              </w:rPr>
            </w:pPr>
            <w:r>
              <w:rPr>
                <w:rFonts w:hAnsi="宋体" w:cs="宋体" w:hint="eastAsia"/>
                <w:sz w:val="18"/>
              </w:rPr>
              <w:t>产品责任及消费者权益保障</w:t>
            </w:r>
          </w:p>
        </w:tc>
        <w:tc>
          <w:tcPr>
            <w:tcW w:w="3190" w:type="dxa"/>
          </w:tcPr>
          <w:p w:rsidR="00C11791" w:rsidRDefault="00C12BFF">
            <w:pPr>
              <w:pStyle w:val="affd"/>
              <w:spacing w:beforeLines="50" w:before="156" w:afterLines="50" w:after="156"/>
              <w:ind w:firstLineChars="0" w:firstLine="0"/>
              <w:jc w:val="center"/>
              <w:rPr>
                <w:rFonts w:hAnsi="宋体" w:cs="宋体"/>
                <w:sz w:val="18"/>
              </w:rPr>
            </w:pPr>
            <w:r>
              <w:rPr>
                <w:rFonts w:hAnsi="宋体" w:cs="宋体" w:hint="eastAsia"/>
                <w:sz w:val="18"/>
              </w:rPr>
              <w:t>15%</w:t>
            </w:r>
          </w:p>
        </w:tc>
        <w:tc>
          <w:tcPr>
            <w:tcW w:w="3045" w:type="dxa"/>
          </w:tcPr>
          <w:p w:rsidR="00C11791" w:rsidRDefault="00C12BFF">
            <w:pPr>
              <w:pStyle w:val="affd"/>
              <w:spacing w:beforeLines="50" w:before="156" w:afterLines="50" w:after="156"/>
              <w:ind w:firstLine="360"/>
              <w:jc w:val="center"/>
              <w:rPr>
                <w:rFonts w:hAnsi="宋体" w:cs="宋体"/>
                <w:sz w:val="18"/>
              </w:rPr>
            </w:pPr>
            <w:r>
              <w:rPr>
                <w:rFonts w:hAnsi="宋体" w:cs="宋体" w:hint="eastAsia"/>
                <w:sz w:val="18"/>
              </w:rPr>
              <w:t>150</w:t>
            </w:r>
          </w:p>
        </w:tc>
      </w:tr>
      <w:tr w:rsidR="00C11791">
        <w:tc>
          <w:tcPr>
            <w:tcW w:w="2978" w:type="dxa"/>
          </w:tcPr>
          <w:p w:rsidR="00C11791" w:rsidRDefault="00C12BFF">
            <w:pPr>
              <w:pStyle w:val="affd"/>
              <w:spacing w:beforeLines="50" w:before="156" w:afterLines="50" w:after="156"/>
              <w:ind w:firstLineChars="0" w:firstLine="0"/>
              <w:jc w:val="center"/>
              <w:rPr>
                <w:rFonts w:hAnsi="宋体" w:cs="宋体"/>
                <w:sz w:val="18"/>
              </w:rPr>
            </w:pPr>
            <w:r>
              <w:rPr>
                <w:rFonts w:hAnsi="宋体" w:cs="宋体" w:hint="eastAsia"/>
                <w:sz w:val="18"/>
              </w:rPr>
              <w:t>社会责任</w:t>
            </w:r>
          </w:p>
        </w:tc>
        <w:tc>
          <w:tcPr>
            <w:tcW w:w="3190" w:type="dxa"/>
          </w:tcPr>
          <w:p w:rsidR="00C11791" w:rsidRDefault="00C12BFF">
            <w:pPr>
              <w:pStyle w:val="affd"/>
              <w:spacing w:beforeLines="50" w:before="156" w:afterLines="50" w:after="156"/>
              <w:ind w:firstLineChars="0" w:firstLine="0"/>
              <w:jc w:val="center"/>
              <w:rPr>
                <w:rFonts w:hAnsi="宋体" w:cs="宋体"/>
                <w:sz w:val="18"/>
              </w:rPr>
            </w:pPr>
            <w:r>
              <w:rPr>
                <w:rFonts w:hAnsi="宋体" w:cs="宋体" w:hint="eastAsia"/>
                <w:sz w:val="18"/>
              </w:rPr>
              <w:t>8%</w:t>
            </w:r>
          </w:p>
        </w:tc>
        <w:tc>
          <w:tcPr>
            <w:tcW w:w="3045" w:type="dxa"/>
          </w:tcPr>
          <w:p w:rsidR="00C11791" w:rsidRDefault="00C12BFF">
            <w:pPr>
              <w:pStyle w:val="affd"/>
              <w:spacing w:beforeLines="50" w:before="156" w:afterLines="50" w:after="156"/>
              <w:ind w:firstLine="360"/>
              <w:jc w:val="center"/>
              <w:rPr>
                <w:rFonts w:hAnsi="宋体" w:cs="宋体"/>
                <w:sz w:val="18"/>
              </w:rPr>
            </w:pPr>
            <w:r>
              <w:rPr>
                <w:rFonts w:hAnsi="宋体" w:cs="宋体" w:hint="eastAsia"/>
                <w:sz w:val="18"/>
              </w:rPr>
              <w:t>80</w:t>
            </w:r>
          </w:p>
        </w:tc>
      </w:tr>
      <w:tr w:rsidR="00C11791">
        <w:tc>
          <w:tcPr>
            <w:tcW w:w="2978" w:type="dxa"/>
          </w:tcPr>
          <w:p w:rsidR="00C11791" w:rsidRDefault="00C12BFF">
            <w:pPr>
              <w:pStyle w:val="affd"/>
              <w:spacing w:beforeLines="50" w:before="156" w:afterLines="50" w:after="156"/>
              <w:ind w:firstLineChars="0" w:firstLine="0"/>
              <w:jc w:val="center"/>
              <w:rPr>
                <w:rFonts w:hAnsi="宋体" w:cs="宋体"/>
                <w:sz w:val="18"/>
              </w:rPr>
            </w:pPr>
            <w:r>
              <w:rPr>
                <w:rFonts w:hAnsi="宋体" w:cs="宋体" w:hint="eastAsia"/>
                <w:sz w:val="18"/>
              </w:rPr>
              <w:t>环境责任</w:t>
            </w:r>
          </w:p>
        </w:tc>
        <w:tc>
          <w:tcPr>
            <w:tcW w:w="3190" w:type="dxa"/>
          </w:tcPr>
          <w:p w:rsidR="00C11791" w:rsidRDefault="00C12BFF">
            <w:pPr>
              <w:pStyle w:val="affd"/>
              <w:spacing w:beforeLines="50" w:before="156" w:afterLines="50" w:after="156"/>
              <w:ind w:firstLineChars="0" w:firstLine="0"/>
              <w:jc w:val="center"/>
              <w:rPr>
                <w:rFonts w:hAnsi="宋体" w:cs="宋体"/>
                <w:sz w:val="18"/>
              </w:rPr>
            </w:pPr>
            <w:r>
              <w:rPr>
                <w:rFonts w:hAnsi="宋体" w:cs="宋体" w:hint="eastAsia"/>
                <w:sz w:val="18"/>
              </w:rPr>
              <w:t>10%</w:t>
            </w:r>
          </w:p>
        </w:tc>
        <w:tc>
          <w:tcPr>
            <w:tcW w:w="3045" w:type="dxa"/>
          </w:tcPr>
          <w:p w:rsidR="00C11791" w:rsidRDefault="00C12BFF">
            <w:pPr>
              <w:pStyle w:val="affd"/>
              <w:spacing w:beforeLines="50" w:before="156" w:afterLines="50" w:after="156"/>
              <w:ind w:firstLine="360"/>
              <w:jc w:val="center"/>
              <w:rPr>
                <w:rFonts w:hAnsi="宋体" w:cs="宋体"/>
                <w:sz w:val="18"/>
              </w:rPr>
            </w:pPr>
            <w:r>
              <w:rPr>
                <w:rFonts w:hAnsi="宋体" w:cs="宋体" w:hint="eastAsia"/>
                <w:sz w:val="18"/>
              </w:rPr>
              <w:t>100</w:t>
            </w:r>
          </w:p>
        </w:tc>
      </w:tr>
      <w:tr w:rsidR="00C11791">
        <w:tc>
          <w:tcPr>
            <w:tcW w:w="2978" w:type="dxa"/>
          </w:tcPr>
          <w:p w:rsidR="00C11791" w:rsidRDefault="00C12BFF">
            <w:pPr>
              <w:pStyle w:val="affd"/>
              <w:spacing w:beforeLines="50" w:before="156" w:afterLines="50" w:after="156"/>
              <w:ind w:firstLineChars="0" w:firstLine="0"/>
              <w:jc w:val="center"/>
              <w:rPr>
                <w:rFonts w:hAnsi="宋体" w:cs="宋体"/>
                <w:sz w:val="18"/>
              </w:rPr>
            </w:pPr>
            <w:r>
              <w:rPr>
                <w:rFonts w:hAnsi="宋体" w:cs="宋体" w:hint="eastAsia"/>
                <w:sz w:val="18"/>
              </w:rPr>
              <w:t>合计</w:t>
            </w:r>
          </w:p>
        </w:tc>
        <w:tc>
          <w:tcPr>
            <w:tcW w:w="3190" w:type="dxa"/>
          </w:tcPr>
          <w:p w:rsidR="00C11791" w:rsidRDefault="00C12BFF">
            <w:pPr>
              <w:pStyle w:val="affd"/>
              <w:spacing w:beforeLines="50" w:before="156" w:afterLines="50" w:after="156"/>
              <w:ind w:firstLineChars="0" w:firstLine="0"/>
              <w:jc w:val="center"/>
              <w:rPr>
                <w:rFonts w:hAnsi="宋体" w:cs="宋体"/>
                <w:sz w:val="18"/>
              </w:rPr>
            </w:pPr>
            <w:r>
              <w:rPr>
                <w:rFonts w:hAnsi="宋体" w:cs="宋体" w:hint="eastAsia"/>
                <w:sz w:val="18"/>
              </w:rPr>
              <w:t>100%</w:t>
            </w:r>
          </w:p>
        </w:tc>
        <w:tc>
          <w:tcPr>
            <w:tcW w:w="3045" w:type="dxa"/>
          </w:tcPr>
          <w:p w:rsidR="00C11791" w:rsidRDefault="00C12BFF">
            <w:pPr>
              <w:pStyle w:val="affd"/>
              <w:spacing w:beforeLines="50" w:before="156" w:afterLines="50" w:after="156"/>
              <w:ind w:firstLine="360"/>
              <w:jc w:val="center"/>
              <w:rPr>
                <w:rFonts w:hAnsi="宋体" w:cs="宋体"/>
                <w:sz w:val="18"/>
              </w:rPr>
            </w:pPr>
            <w:r>
              <w:rPr>
                <w:rFonts w:hAnsi="宋体" w:cs="宋体" w:hint="eastAsia"/>
                <w:sz w:val="18"/>
              </w:rPr>
              <w:t>1000</w:t>
            </w:r>
          </w:p>
        </w:tc>
      </w:tr>
    </w:tbl>
    <w:p w:rsidR="00C11791" w:rsidRDefault="00C11791">
      <w:pPr>
        <w:pStyle w:val="affd"/>
        <w:spacing w:beforeLines="50" w:before="156" w:afterLines="50" w:after="156"/>
        <w:ind w:firstLine="360"/>
        <w:jc w:val="center"/>
        <w:rPr>
          <w:rFonts w:ascii="黑体" w:eastAsia="黑体" w:hAnsi="黑体" w:cs="黑体"/>
          <w:sz w:val="18"/>
          <w:szCs w:val="18"/>
        </w:rPr>
      </w:pPr>
    </w:p>
    <w:p w:rsidR="00C11791" w:rsidRDefault="00C12BFF">
      <w:pPr>
        <w:pStyle w:val="a4"/>
        <w:spacing w:before="156" w:after="156"/>
      </w:pPr>
      <w:r>
        <w:rPr>
          <w:rFonts w:hint="eastAsia"/>
        </w:rPr>
        <w:t>合格线划定</w:t>
      </w:r>
    </w:p>
    <w:p w:rsidR="00C11791" w:rsidRDefault="00C12BFF">
      <w:pPr>
        <w:pStyle w:val="afff8"/>
      </w:pPr>
      <w:r>
        <w:rPr>
          <w:rFonts w:hint="eastAsia"/>
        </w:rPr>
        <w:t>评价机构应根据东莞优品管理需求，提前设定入围合格线。合格线分为总分合格线和单项基础指标合格线，为鼓励企业开展加分项所指工作，总分合格线分值应大于单项指标合格线分值总和。</w:t>
      </w:r>
    </w:p>
    <w:p w:rsidR="00C11791" w:rsidRDefault="00C12BFF">
      <w:pPr>
        <w:pStyle w:val="afff8"/>
      </w:pPr>
      <w:r>
        <w:rPr>
          <w:rFonts w:hint="eastAsia"/>
        </w:rPr>
        <w:t>评价机构应在实施评价前至少提前30天向被评价企业公开评价指标和入围合格线。入围东莞优品的企业，应无否决项，</w:t>
      </w:r>
      <w:proofErr w:type="gramStart"/>
      <w:r>
        <w:rPr>
          <w:rFonts w:hint="eastAsia"/>
        </w:rPr>
        <w:t>且评价</w:t>
      </w:r>
      <w:proofErr w:type="gramEnd"/>
      <w:r>
        <w:rPr>
          <w:rFonts w:hint="eastAsia"/>
        </w:rPr>
        <w:t>总得分应高于或等于总分合格线，且每个单项基础指标得分不低于该单项基础指标合格线。</w:t>
      </w:r>
    </w:p>
    <w:p w:rsidR="00C11791" w:rsidRDefault="00C12BFF">
      <w:pPr>
        <w:pStyle w:val="a4"/>
        <w:spacing w:before="156" w:after="156"/>
      </w:pPr>
      <w:r>
        <w:rPr>
          <w:rFonts w:hint="eastAsia"/>
        </w:rPr>
        <w:t>评价约束</w:t>
      </w:r>
    </w:p>
    <w:p w:rsidR="00C11791" w:rsidRDefault="00C12BFF">
      <w:pPr>
        <w:pStyle w:val="affd"/>
      </w:pPr>
      <w:r>
        <w:rPr>
          <w:rFonts w:hint="eastAsia"/>
        </w:rPr>
        <w:t>每条评价内容的分数赋值约束为“优、良、中、差”4个等级。评价人员应根据被评价企业对评价内容的符合程度，赋予相应等级分值范围的分数，分数准确至个位。各等级判定要求见表2。</w:t>
      </w:r>
    </w:p>
    <w:p w:rsidR="00C11791" w:rsidRDefault="00C11791">
      <w:pPr>
        <w:pStyle w:val="affd"/>
      </w:pPr>
    </w:p>
    <w:p w:rsidR="00C11791" w:rsidRDefault="00C11791">
      <w:pPr>
        <w:pStyle w:val="affd"/>
      </w:pPr>
    </w:p>
    <w:p w:rsidR="00C11791" w:rsidRDefault="00C11791">
      <w:pPr>
        <w:pStyle w:val="affd"/>
      </w:pPr>
    </w:p>
    <w:p w:rsidR="00C11791" w:rsidRDefault="00C11791">
      <w:pPr>
        <w:pStyle w:val="affd"/>
      </w:pPr>
    </w:p>
    <w:p w:rsidR="00C11791" w:rsidRDefault="00C11791">
      <w:pPr>
        <w:pStyle w:val="affd"/>
      </w:pPr>
    </w:p>
    <w:p w:rsidR="00C11791" w:rsidRDefault="00C11791">
      <w:pPr>
        <w:pStyle w:val="affd"/>
      </w:pPr>
    </w:p>
    <w:p w:rsidR="00C11791" w:rsidRDefault="00C12BFF">
      <w:pPr>
        <w:pStyle w:val="affd"/>
        <w:spacing w:beforeLines="50" w:before="156" w:afterLines="50" w:after="156"/>
        <w:ind w:firstLine="360"/>
        <w:jc w:val="center"/>
        <w:rPr>
          <w:rFonts w:ascii="黑体" w:eastAsia="黑体" w:hAnsi="黑体" w:cs="黑体"/>
          <w:sz w:val="18"/>
          <w:szCs w:val="18"/>
        </w:rPr>
      </w:pPr>
      <w:r>
        <w:rPr>
          <w:rFonts w:ascii="黑体" w:eastAsia="黑体" w:hAnsi="黑体" w:cs="黑体" w:hint="eastAsia"/>
          <w:sz w:val="18"/>
          <w:szCs w:val="18"/>
        </w:rPr>
        <w:lastRenderedPageBreak/>
        <w:t>表2 评价等级和判定要求</w:t>
      </w:r>
    </w:p>
    <w:tbl>
      <w:tblPr>
        <w:tblStyle w:val="affe"/>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6245"/>
        <w:gridCol w:w="2118"/>
      </w:tblGrid>
      <w:tr w:rsidR="00C11791">
        <w:tc>
          <w:tcPr>
            <w:tcW w:w="875" w:type="dxa"/>
          </w:tcPr>
          <w:p w:rsidR="00C11791" w:rsidRDefault="00C12BFF">
            <w:pPr>
              <w:pStyle w:val="affd"/>
              <w:ind w:firstLineChars="0" w:firstLine="0"/>
              <w:jc w:val="center"/>
              <w:rPr>
                <w:sz w:val="18"/>
              </w:rPr>
            </w:pPr>
            <w:r>
              <w:rPr>
                <w:rFonts w:hint="eastAsia"/>
                <w:sz w:val="18"/>
              </w:rPr>
              <w:t>等级</w:t>
            </w:r>
          </w:p>
        </w:tc>
        <w:tc>
          <w:tcPr>
            <w:tcW w:w="6314" w:type="dxa"/>
          </w:tcPr>
          <w:p w:rsidR="00C11791" w:rsidRDefault="00C12BFF">
            <w:pPr>
              <w:pStyle w:val="affd"/>
              <w:ind w:firstLine="360"/>
              <w:jc w:val="center"/>
              <w:rPr>
                <w:sz w:val="18"/>
              </w:rPr>
            </w:pPr>
            <w:r>
              <w:rPr>
                <w:rFonts w:hint="eastAsia"/>
                <w:sz w:val="18"/>
              </w:rPr>
              <w:t>判定要求</w:t>
            </w:r>
          </w:p>
        </w:tc>
        <w:tc>
          <w:tcPr>
            <w:tcW w:w="2136" w:type="dxa"/>
          </w:tcPr>
          <w:p w:rsidR="00C11791" w:rsidRDefault="00C12BFF">
            <w:pPr>
              <w:pStyle w:val="affd"/>
              <w:ind w:firstLineChars="0" w:firstLine="0"/>
              <w:jc w:val="center"/>
              <w:rPr>
                <w:sz w:val="18"/>
              </w:rPr>
            </w:pPr>
            <w:r>
              <w:rPr>
                <w:rFonts w:hint="eastAsia"/>
                <w:sz w:val="18"/>
              </w:rPr>
              <w:t>分值范围</w:t>
            </w:r>
          </w:p>
        </w:tc>
      </w:tr>
      <w:tr w:rsidR="00C11791">
        <w:tc>
          <w:tcPr>
            <w:tcW w:w="875" w:type="dxa"/>
            <w:vAlign w:val="center"/>
          </w:tcPr>
          <w:p w:rsidR="00C11791" w:rsidRDefault="00C12BFF">
            <w:pPr>
              <w:pStyle w:val="affd"/>
              <w:ind w:firstLineChars="0" w:firstLine="0"/>
              <w:jc w:val="center"/>
              <w:rPr>
                <w:sz w:val="18"/>
              </w:rPr>
            </w:pPr>
            <w:r>
              <w:rPr>
                <w:rFonts w:hint="eastAsia"/>
                <w:sz w:val="18"/>
              </w:rPr>
              <w:t>优</w:t>
            </w:r>
          </w:p>
        </w:tc>
        <w:tc>
          <w:tcPr>
            <w:tcW w:w="6314" w:type="dxa"/>
          </w:tcPr>
          <w:p w:rsidR="00C11791" w:rsidRDefault="00C12BFF">
            <w:pPr>
              <w:pStyle w:val="affd"/>
              <w:ind w:firstLineChars="0" w:firstLine="0"/>
              <w:rPr>
                <w:sz w:val="18"/>
              </w:rPr>
            </w:pPr>
            <w:r>
              <w:rPr>
                <w:rFonts w:hint="eastAsia"/>
                <w:sz w:val="18"/>
              </w:rPr>
              <w:t>完全达到或超越评价内容的最高标准且取得实效，明显优于其他竞争对手，证据链完整、可靠。</w:t>
            </w:r>
          </w:p>
        </w:tc>
        <w:tc>
          <w:tcPr>
            <w:tcW w:w="2136" w:type="dxa"/>
          </w:tcPr>
          <w:p w:rsidR="00C11791" w:rsidRDefault="00C12BFF">
            <w:pPr>
              <w:pStyle w:val="affd"/>
              <w:ind w:firstLineChars="0" w:firstLine="0"/>
              <w:jc w:val="center"/>
              <w:rPr>
                <w:sz w:val="18"/>
              </w:rPr>
            </w:pPr>
            <w:r>
              <w:rPr>
                <w:rFonts w:hint="eastAsia"/>
                <w:sz w:val="18"/>
              </w:rPr>
              <w:t>76%</w:t>
            </w:r>
            <w:r>
              <w:rPr>
                <w:rFonts w:hAnsi="宋体" w:cs="宋体" w:hint="eastAsia"/>
                <w:sz w:val="18"/>
              </w:rPr>
              <w:t>～</w:t>
            </w:r>
            <w:r>
              <w:rPr>
                <w:rFonts w:hint="eastAsia"/>
                <w:sz w:val="18"/>
              </w:rPr>
              <w:t>100%</w:t>
            </w:r>
          </w:p>
        </w:tc>
      </w:tr>
      <w:tr w:rsidR="00C11791">
        <w:tc>
          <w:tcPr>
            <w:tcW w:w="875" w:type="dxa"/>
            <w:vAlign w:val="center"/>
          </w:tcPr>
          <w:p w:rsidR="00C11791" w:rsidRDefault="00C12BFF">
            <w:pPr>
              <w:pStyle w:val="affd"/>
              <w:ind w:firstLineChars="0" w:firstLine="0"/>
              <w:jc w:val="center"/>
              <w:rPr>
                <w:sz w:val="18"/>
              </w:rPr>
            </w:pPr>
            <w:r>
              <w:rPr>
                <w:rFonts w:hint="eastAsia"/>
                <w:sz w:val="18"/>
              </w:rPr>
              <w:t>良</w:t>
            </w:r>
          </w:p>
        </w:tc>
        <w:tc>
          <w:tcPr>
            <w:tcW w:w="6314" w:type="dxa"/>
          </w:tcPr>
          <w:p w:rsidR="00C11791" w:rsidRDefault="00C12BFF">
            <w:pPr>
              <w:pStyle w:val="affd"/>
              <w:ind w:firstLineChars="0" w:firstLine="0"/>
              <w:rPr>
                <w:sz w:val="18"/>
              </w:rPr>
            </w:pPr>
            <w:r>
              <w:rPr>
                <w:rFonts w:hint="eastAsia"/>
                <w:sz w:val="18"/>
              </w:rPr>
              <w:t>企业基本达到评价内的要求且取得一定的实效，但与优秀企业存在一定差距，证据</w:t>
            </w:r>
            <w:proofErr w:type="gramStart"/>
            <w:r>
              <w:rPr>
                <w:rFonts w:hint="eastAsia"/>
                <w:sz w:val="18"/>
              </w:rPr>
              <w:t>链基本</w:t>
            </w:r>
            <w:proofErr w:type="gramEnd"/>
            <w:r>
              <w:rPr>
                <w:rFonts w:hint="eastAsia"/>
                <w:sz w:val="18"/>
              </w:rPr>
              <w:t>完整、可靠。</w:t>
            </w:r>
          </w:p>
        </w:tc>
        <w:tc>
          <w:tcPr>
            <w:tcW w:w="2136" w:type="dxa"/>
          </w:tcPr>
          <w:p w:rsidR="00C11791" w:rsidRDefault="00C12BFF">
            <w:pPr>
              <w:pStyle w:val="affd"/>
              <w:ind w:firstLineChars="0" w:firstLine="0"/>
              <w:jc w:val="center"/>
              <w:rPr>
                <w:sz w:val="18"/>
              </w:rPr>
            </w:pPr>
            <w:r>
              <w:rPr>
                <w:rFonts w:hint="eastAsia"/>
                <w:sz w:val="18"/>
              </w:rPr>
              <w:t>51%</w:t>
            </w:r>
            <w:r>
              <w:rPr>
                <w:rFonts w:hAnsi="宋体" w:cs="宋体" w:hint="eastAsia"/>
                <w:sz w:val="18"/>
              </w:rPr>
              <w:t>～75%</w:t>
            </w:r>
          </w:p>
        </w:tc>
      </w:tr>
      <w:tr w:rsidR="00C11791">
        <w:tc>
          <w:tcPr>
            <w:tcW w:w="875" w:type="dxa"/>
            <w:vAlign w:val="center"/>
          </w:tcPr>
          <w:p w:rsidR="00C11791" w:rsidRDefault="00C12BFF">
            <w:pPr>
              <w:pStyle w:val="affd"/>
              <w:ind w:firstLineChars="0" w:firstLine="0"/>
              <w:jc w:val="center"/>
              <w:rPr>
                <w:sz w:val="18"/>
              </w:rPr>
            </w:pPr>
            <w:r>
              <w:rPr>
                <w:rFonts w:hint="eastAsia"/>
                <w:sz w:val="18"/>
              </w:rPr>
              <w:t>中</w:t>
            </w:r>
          </w:p>
        </w:tc>
        <w:tc>
          <w:tcPr>
            <w:tcW w:w="6314" w:type="dxa"/>
          </w:tcPr>
          <w:p w:rsidR="00C11791" w:rsidRDefault="00C12BFF">
            <w:pPr>
              <w:pStyle w:val="affd"/>
              <w:ind w:firstLineChars="0" w:firstLine="0"/>
              <w:rPr>
                <w:sz w:val="18"/>
              </w:rPr>
            </w:pPr>
            <w:r>
              <w:rPr>
                <w:rFonts w:hint="eastAsia"/>
                <w:sz w:val="18"/>
              </w:rPr>
              <w:t>企业为达到评价内容的要求</w:t>
            </w:r>
            <w:proofErr w:type="gramStart"/>
            <w:r>
              <w:rPr>
                <w:rFonts w:hint="eastAsia"/>
                <w:sz w:val="18"/>
              </w:rPr>
              <w:t>作出</w:t>
            </w:r>
            <w:proofErr w:type="gramEnd"/>
            <w:r>
              <w:rPr>
                <w:rFonts w:hint="eastAsia"/>
                <w:sz w:val="18"/>
              </w:rPr>
              <w:t>了一定的努力，但成效不大或证据链不完整、可靠性差，与良好企业存在一定差距。</w:t>
            </w:r>
          </w:p>
        </w:tc>
        <w:tc>
          <w:tcPr>
            <w:tcW w:w="2136" w:type="dxa"/>
          </w:tcPr>
          <w:p w:rsidR="00C11791" w:rsidRDefault="00C12BFF">
            <w:pPr>
              <w:pStyle w:val="affd"/>
              <w:ind w:firstLineChars="0" w:firstLine="0"/>
              <w:jc w:val="center"/>
              <w:rPr>
                <w:sz w:val="18"/>
              </w:rPr>
            </w:pPr>
            <w:r>
              <w:rPr>
                <w:rFonts w:hint="eastAsia"/>
                <w:sz w:val="18"/>
              </w:rPr>
              <w:t>26%</w:t>
            </w:r>
            <w:r>
              <w:rPr>
                <w:rFonts w:hAnsi="宋体" w:cs="宋体" w:hint="eastAsia"/>
                <w:sz w:val="18"/>
              </w:rPr>
              <w:t>～50%</w:t>
            </w:r>
          </w:p>
        </w:tc>
      </w:tr>
      <w:tr w:rsidR="00C11791">
        <w:tc>
          <w:tcPr>
            <w:tcW w:w="875" w:type="dxa"/>
            <w:vAlign w:val="center"/>
          </w:tcPr>
          <w:p w:rsidR="00C11791" w:rsidRDefault="00C12BFF">
            <w:pPr>
              <w:pStyle w:val="affd"/>
              <w:ind w:firstLineChars="0" w:firstLine="0"/>
              <w:jc w:val="center"/>
              <w:rPr>
                <w:sz w:val="18"/>
              </w:rPr>
            </w:pPr>
            <w:r>
              <w:rPr>
                <w:rFonts w:hint="eastAsia"/>
                <w:sz w:val="18"/>
              </w:rPr>
              <w:t>差</w:t>
            </w:r>
          </w:p>
        </w:tc>
        <w:tc>
          <w:tcPr>
            <w:tcW w:w="6314" w:type="dxa"/>
          </w:tcPr>
          <w:p w:rsidR="00C11791" w:rsidRDefault="00C12BFF">
            <w:pPr>
              <w:pStyle w:val="affd"/>
              <w:ind w:firstLineChars="0" w:firstLine="0"/>
              <w:rPr>
                <w:sz w:val="18"/>
              </w:rPr>
            </w:pPr>
            <w:r>
              <w:rPr>
                <w:rFonts w:hint="eastAsia"/>
                <w:sz w:val="18"/>
              </w:rPr>
              <w:t>企业未达到评价内容的要求，存在明显的缺陷和不足，或缺乏有效证据。</w:t>
            </w:r>
          </w:p>
        </w:tc>
        <w:tc>
          <w:tcPr>
            <w:tcW w:w="2136" w:type="dxa"/>
          </w:tcPr>
          <w:p w:rsidR="00C11791" w:rsidRDefault="00C12BFF">
            <w:pPr>
              <w:pStyle w:val="affd"/>
              <w:ind w:firstLineChars="0" w:firstLine="0"/>
              <w:jc w:val="center"/>
              <w:rPr>
                <w:sz w:val="18"/>
              </w:rPr>
            </w:pPr>
            <w:r>
              <w:rPr>
                <w:rFonts w:hint="eastAsia"/>
                <w:sz w:val="18"/>
              </w:rPr>
              <w:t>0%</w:t>
            </w:r>
            <w:r>
              <w:rPr>
                <w:rFonts w:hAnsi="宋体" w:cs="宋体" w:hint="eastAsia"/>
                <w:sz w:val="18"/>
              </w:rPr>
              <w:t>～25%</w:t>
            </w:r>
          </w:p>
        </w:tc>
      </w:tr>
    </w:tbl>
    <w:p w:rsidR="00C11791" w:rsidRDefault="00C11791">
      <w:pPr>
        <w:pStyle w:val="affd"/>
      </w:pPr>
    </w:p>
    <w:p w:rsidR="00C11791" w:rsidRDefault="00C12BFF">
      <w:pPr>
        <w:pStyle w:val="a4"/>
        <w:spacing w:before="156" w:after="156"/>
      </w:pPr>
      <w:r>
        <w:rPr>
          <w:rFonts w:hint="eastAsia"/>
        </w:rPr>
        <w:t>评价流程</w:t>
      </w:r>
    </w:p>
    <w:p w:rsidR="00C11791" w:rsidRDefault="00C12BFF">
      <w:pPr>
        <w:pStyle w:val="a5"/>
        <w:spacing w:before="156" w:after="156"/>
      </w:pPr>
      <w:r>
        <w:rPr>
          <w:rFonts w:hint="eastAsia"/>
        </w:rPr>
        <w:t>评价组织</w:t>
      </w:r>
    </w:p>
    <w:p w:rsidR="00C11791" w:rsidRDefault="00C12BFF">
      <w:pPr>
        <w:pStyle w:val="affd"/>
      </w:pPr>
      <w:proofErr w:type="gramStart"/>
      <w:r>
        <w:rPr>
          <w:rFonts w:hint="eastAsia"/>
        </w:rPr>
        <w:t>按评价</w:t>
      </w:r>
      <w:proofErr w:type="gramEnd"/>
      <w:r>
        <w:rPr>
          <w:rFonts w:hint="eastAsia"/>
        </w:rPr>
        <w:t>主体分，评价活动分为第三方评价和内部评价。第三方评价是指</w:t>
      </w:r>
      <w:r w:rsidR="009F7095" w:rsidRPr="009F7095">
        <w:rPr>
          <w:rFonts w:hint="eastAsia"/>
        </w:rPr>
        <w:t>东莞市私营企业协会</w:t>
      </w:r>
      <w:r>
        <w:rPr>
          <w:rFonts w:hint="eastAsia"/>
        </w:rPr>
        <w:t>委托第三方组织，根据本文件要求组织开展的评价。内部评价是指企业组织内部人员对自身实施评价，评价流程参考本文件要求，内部评价结果仅作为企业寻求改进的机会，不作为入选东莞优品的依据。</w:t>
      </w:r>
    </w:p>
    <w:p w:rsidR="00C11791" w:rsidRDefault="00C12BFF">
      <w:pPr>
        <w:pStyle w:val="a5"/>
        <w:spacing w:before="156" w:after="156"/>
      </w:pPr>
      <w:r>
        <w:rPr>
          <w:rFonts w:hint="eastAsia"/>
        </w:rPr>
        <w:t>成立评价工作小组</w:t>
      </w:r>
    </w:p>
    <w:p w:rsidR="00C11791" w:rsidRDefault="00C12BFF">
      <w:pPr>
        <w:pStyle w:val="affd"/>
      </w:pPr>
      <w:r>
        <w:rPr>
          <w:rFonts w:hint="eastAsia"/>
        </w:rPr>
        <w:t>评价机构应根据行业领域，选择至少5名单</w:t>
      </w:r>
      <w:proofErr w:type="gramStart"/>
      <w:r>
        <w:rPr>
          <w:rFonts w:hint="eastAsia"/>
        </w:rPr>
        <w:t>数人员</w:t>
      </w:r>
      <w:proofErr w:type="gramEnd"/>
      <w:r>
        <w:rPr>
          <w:rFonts w:hint="eastAsia"/>
        </w:rPr>
        <w:t>组成评价小组，评价人员应熟悉东莞优品评价指标所涉及的专业的相关要求。评价人员应不在被评价企业担任任何职务，且与被评价企业无利益关系。评价人员应签署保密协议，承诺对评价活动开展过程中获得的企业秘密保密。</w:t>
      </w:r>
    </w:p>
    <w:p w:rsidR="00C11791" w:rsidRDefault="00C12BFF">
      <w:pPr>
        <w:pStyle w:val="a5"/>
        <w:spacing w:before="156" w:after="156"/>
      </w:pPr>
      <w:r>
        <w:rPr>
          <w:rFonts w:hint="eastAsia"/>
        </w:rPr>
        <w:t>制定评价工作方案</w:t>
      </w:r>
    </w:p>
    <w:p w:rsidR="00C11791" w:rsidRDefault="00C12BFF">
      <w:pPr>
        <w:pStyle w:val="a5"/>
        <w:numPr>
          <w:ilvl w:val="2"/>
          <w:numId w:val="0"/>
        </w:numPr>
        <w:spacing w:before="156" w:after="156"/>
        <w:ind w:firstLineChars="200" w:firstLine="420"/>
        <w:rPr>
          <w:rFonts w:ascii="宋体" w:eastAsia="宋体"/>
        </w:rPr>
      </w:pPr>
      <w:r>
        <w:rPr>
          <w:rFonts w:ascii="宋体" w:eastAsia="宋体" w:hint="eastAsia"/>
        </w:rPr>
        <w:t>评价机构应制</w:t>
      </w:r>
      <w:proofErr w:type="gramStart"/>
      <w:r>
        <w:rPr>
          <w:rFonts w:ascii="宋体" w:eastAsia="宋体" w:hint="eastAsia"/>
        </w:rPr>
        <w:t>定包括</w:t>
      </w:r>
      <w:proofErr w:type="gramEnd"/>
      <w:r>
        <w:rPr>
          <w:rFonts w:ascii="宋体" w:eastAsia="宋体" w:hint="eastAsia"/>
        </w:rPr>
        <w:t>评价原则、评价方法、评价机构及人员、工作进度及时间安排、组织管理及人员分工、合格线划分等内容的评价工作方案。</w:t>
      </w:r>
    </w:p>
    <w:p w:rsidR="00C11791" w:rsidRDefault="00C12BFF">
      <w:pPr>
        <w:pStyle w:val="a5"/>
        <w:spacing w:before="156" w:after="156"/>
      </w:pPr>
      <w:r>
        <w:rPr>
          <w:rFonts w:hint="eastAsia"/>
        </w:rPr>
        <w:t>初评</w:t>
      </w:r>
    </w:p>
    <w:p w:rsidR="00C11791" w:rsidRDefault="00C12BFF">
      <w:pPr>
        <w:pStyle w:val="afffffa"/>
      </w:pPr>
      <w:r>
        <w:rPr>
          <w:rFonts w:hint="eastAsia"/>
        </w:rPr>
        <w:t>评价采取企业自我证明和现场审核相结合的方式，由企业根据评价指标提供各项证明材料。评价方根据企业情况组织对资料的有效性和真实性进行现场核查。</w:t>
      </w:r>
    </w:p>
    <w:p w:rsidR="00C11791" w:rsidRDefault="00C12BFF">
      <w:pPr>
        <w:pStyle w:val="afffffa"/>
      </w:pPr>
      <w:r>
        <w:rPr>
          <w:rFonts w:hint="eastAsia"/>
        </w:rPr>
        <w:t>初评包括资料收集、确定权重、划定合格线、计算、打分、汇总等过程。</w:t>
      </w:r>
    </w:p>
    <w:p w:rsidR="00C11791" w:rsidRDefault="00C12BFF">
      <w:pPr>
        <w:pStyle w:val="afffffa"/>
      </w:pPr>
      <w:r>
        <w:rPr>
          <w:rFonts w:hint="eastAsia"/>
        </w:rPr>
        <w:t>初评前，评价机构应先根据否决项要求对被评企业的合</w:t>
      </w:r>
      <w:proofErr w:type="gramStart"/>
      <w:r>
        <w:rPr>
          <w:rFonts w:hint="eastAsia"/>
        </w:rPr>
        <w:t>规</w:t>
      </w:r>
      <w:proofErr w:type="gramEnd"/>
      <w:r>
        <w:rPr>
          <w:rFonts w:hint="eastAsia"/>
        </w:rPr>
        <w:t>性指标进行查验，发现被评企业存在合</w:t>
      </w:r>
      <w:proofErr w:type="gramStart"/>
      <w:r>
        <w:rPr>
          <w:rFonts w:hint="eastAsia"/>
        </w:rPr>
        <w:t>规</w:t>
      </w:r>
      <w:proofErr w:type="gramEnd"/>
      <w:r>
        <w:rPr>
          <w:rFonts w:hint="eastAsia"/>
        </w:rPr>
        <w:t>性问题的，应“一票否决”，终止评价。</w:t>
      </w:r>
    </w:p>
    <w:p w:rsidR="00C11791" w:rsidRDefault="00C12BFF">
      <w:pPr>
        <w:pStyle w:val="afffffa"/>
      </w:pPr>
      <w:r>
        <w:rPr>
          <w:rFonts w:hint="eastAsia"/>
        </w:rPr>
        <w:t>初评时，汇总各评价人员打分，分别计算基础指标单项得分、总得分的平均数。基础指标单项得分、总得分均达到或超过合格线的，划定为入围企业。</w:t>
      </w:r>
    </w:p>
    <w:p w:rsidR="00C11791" w:rsidRDefault="00C12BFF">
      <w:pPr>
        <w:pStyle w:val="a5"/>
        <w:spacing w:before="156" w:after="156"/>
      </w:pPr>
      <w:r>
        <w:rPr>
          <w:rFonts w:hint="eastAsia"/>
        </w:rPr>
        <w:t>公示</w:t>
      </w:r>
    </w:p>
    <w:p w:rsidR="00C11791" w:rsidRDefault="00C12BFF">
      <w:pPr>
        <w:pStyle w:val="affd"/>
      </w:pPr>
      <w:r>
        <w:rPr>
          <w:rFonts w:hint="eastAsia"/>
        </w:rPr>
        <w:t>应在新闻媒体或公共平台上公示评价结果，公示时间不少于15个工作日。如有异议，根据异议内容确定是否进行重新评价。</w:t>
      </w:r>
    </w:p>
    <w:p w:rsidR="00C11791" w:rsidRDefault="00C12BFF">
      <w:pPr>
        <w:pStyle w:val="a5"/>
        <w:spacing w:before="156" w:after="156"/>
      </w:pPr>
      <w:r>
        <w:rPr>
          <w:rFonts w:hint="eastAsia"/>
        </w:rPr>
        <w:t>重新评价</w:t>
      </w:r>
    </w:p>
    <w:p w:rsidR="00C11791" w:rsidRDefault="00C12BFF">
      <w:pPr>
        <w:pStyle w:val="affd"/>
      </w:pPr>
      <w:r>
        <w:rPr>
          <w:rFonts w:hint="eastAsia"/>
        </w:rPr>
        <w:lastRenderedPageBreak/>
        <w:t>重新评价应重新成立评价工作小组。确定</w:t>
      </w:r>
      <w:proofErr w:type="gramStart"/>
      <w:r>
        <w:rPr>
          <w:rFonts w:hint="eastAsia"/>
        </w:rPr>
        <w:t>原评价</w:t>
      </w:r>
      <w:proofErr w:type="gramEnd"/>
      <w:r>
        <w:rPr>
          <w:rFonts w:hint="eastAsia"/>
        </w:rPr>
        <w:t>结果存在错误的，应予以改正并重新公示；</w:t>
      </w:r>
      <w:proofErr w:type="gramStart"/>
      <w:r>
        <w:rPr>
          <w:rFonts w:hint="eastAsia"/>
        </w:rPr>
        <w:t>原评价</w:t>
      </w:r>
      <w:proofErr w:type="gramEnd"/>
      <w:r>
        <w:rPr>
          <w:rFonts w:hint="eastAsia"/>
        </w:rPr>
        <w:t>结果正确的，重新评价和</w:t>
      </w:r>
      <w:proofErr w:type="gramStart"/>
      <w:r>
        <w:rPr>
          <w:rFonts w:hint="eastAsia"/>
        </w:rPr>
        <w:t>原评价</w:t>
      </w:r>
      <w:proofErr w:type="gramEnd"/>
      <w:r>
        <w:rPr>
          <w:rFonts w:hint="eastAsia"/>
        </w:rPr>
        <w:t>均应形成评价报告。</w:t>
      </w:r>
    </w:p>
    <w:p w:rsidR="00C11791" w:rsidRDefault="00C12BFF">
      <w:pPr>
        <w:pStyle w:val="a5"/>
        <w:spacing w:before="156" w:after="156"/>
      </w:pPr>
      <w:r>
        <w:rPr>
          <w:rFonts w:hint="eastAsia"/>
        </w:rPr>
        <w:t>评价报告</w:t>
      </w:r>
    </w:p>
    <w:p w:rsidR="00C11791" w:rsidRDefault="00C12BFF">
      <w:pPr>
        <w:pStyle w:val="affd"/>
      </w:pPr>
      <w:r>
        <w:rPr>
          <w:rFonts w:hint="eastAsia"/>
        </w:rPr>
        <w:t>评价结果应形成评价报告，报告内容至少包括：</w:t>
      </w:r>
    </w:p>
    <w:p w:rsidR="00C11791" w:rsidRDefault="00C12BFF">
      <w:pPr>
        <w:pStyle w:val="affd"/>
      </w:pPr>
      <w:r>
        <w:rPr>
          <w:rFonts w:hint="eastAsia"/>
        </w:rPr>
        <w:t>——评价人员的基本信息；</w:t>
      </w:r>
    </w:p>
    <w:p w:rsidR="00C11791" w:rsidRDefault="00C12BFF">
      <w:pPr>
        <w:pStyle w:val="affd"/>
      </w:pPr>
      <w:r>
        <w:rPr>
          <w:rFonts w:hint="eastAsia"/>
        </w:rPr>
        <w:t>——评价目的；</w:t>
      </w:r>
    </w:p>
    <w:p w:rsidR="00C11791" w:rsidRDefault="00C12BFF">
      <w:pPr>
        <w:pStyle w:val="affd"/>
      </w:pPr>
      <w:r>
        <w:rPr>
          <w:rFonts w:hint="eastAsia"/>
        </w:rPr>
        <w:t>——被评价对象的基本情况；</w:t>
      </w:r>
    </w:p>
    <w:p w:rsidR="00C11791" w:rsidRDefault="00C12BFF">
      <w:pPr>
        <w:pStyle w:val="affd"/>
      </w:pPr>
      <w:r>
        <w:rPr>
          <w:rFonts w:hint="eastAsia"/>
        </w:rPr>
        <w:t>——采用的途径和方法；</w:t>
      </w:r>
    </w:p>
    <w:p w:rsidR="00C11791" w:rsidRDefault="00C12BFF">
      <w:pPr>
        <w:pStyle w:val="affd"/>
      </w:pPr>
      <w:r>
        <w:rPr>
          <w:rFonts w:hint="eastAsia"/>
        </w:rPr>
        <w:t>——实施评价的时间；</w:t>
      </w:r>
    </w:p>
    <w:p w:rsidR="00C11791" w:rsidRDefault="00C12BFF">
      <w:pPr>
        <w:pStyle w:val="affd"/>
      </w:pPr>
      <w:r>
        <w:rPr>
          <w:rFonts w:hint="eastAsia"/>
        </w:rPr>
        <w:t>——评价数据的来源；</w:t>
      </w:r>
    </w:p>
    <w:p w:rsidR="00C11791" w:rsidRDefault="00C12BFF">
      <w:pPr>
        <w:pStyle w:val="affd"/>
      </w:pPr>
      <w:r>
        <w:rPr>
          <w:rFonts w:hint="eastAsia"/>
        </w:rPr>
        <w:t>——评价的过程概述；</w:t>
      </w:r>
    </w:p>
    <w:p w:rsidR="00C11791" w:rsidRDefault="00C12BFF">
      <w:pPr>
        <w:pStyle w:val="affd"/>
      </w:pPr>
      <w:r>
        <w:rPr>
          <w:rFonts w:hint="eastAsia"/>
        </w:rPr>
        <w:t>——评价的结果；</w:t>
      </w:r>
    </w:p>
    <w:p w:rsidR="00C11791" w:rsidRDefault="00C12BFF">
      <w:pPr>
        <w:pStyle w:val="affd"/>
      </w:pPr>
      <w:r>
        <w:rPr>
          <w:rFonts w:hint="eastAsia"/>
        </w:rPr>
        <w:t>——是否入围东莞优品的建议。</w:t>
      </w:r>
    </w:p>
    <w:p w:rsidR="00C11791" w:rsidRDefault="00C12BFF">
      <w:pPr>
        <w:pStyle w:val="a3"/>
        <w:spacing w:before="312" w:after="312"/>
      </w:pPr>
      <w:r>
        <w:rPr>
          <w:rFonts w:hint="eastAsia"/>
        </w:rPr>
        <w:t>评价结果的公开及使用</w:t>
      </w:r>
    </w:p>
    <w:p w:rsidR="00C11791" w:rsidRDefault="00C12BFF" w:rsidP="009F7095">
      <w:pPr>
        <w:pStyle w:val="affffff3"/>
      </w:pPr>
      <w:r>
        <w:rPr>
          <w:rFonts w:hint="eastAsia"/>
        </w:rPr>
        <w:t>第三方评价结果</w:t>
      </w:r>
      <w:proofErr w:type="gramStart"/>
      <w:r>
        <w:rPr>
          <w:rFonts w:hint="eastAsia"/>
        </w:rPr>
        <w:t>由评价</w:t>
      </w:r>
      <w:proofErr w:type="gramEnd"/>
      <w:r>
        <w:rPr>
          <w:rFonts w:hint="eastAsia"/>
        </w:rPr>
        <w:t>机构、</w:t>
      </w:r>
      <w:r w:rsidR="009F7095" w:rsidRPr="009F7095">
        <w:rPr>
          <w:rFonts w:hint="eastAsia"/>
        </w:rPr>
        <w:t>东莞市私营企业协会</w:t>
      </w:r>
      <w:r>
        <w:rPr>
          <w:rFonts w:hint="eastAsia"/>
        </w:rPr>
        <w:t>或其委托的第三方向社会公布。</w:t>
      </w:r>
    </w:p>
    <w:p w:rsidR="00C11791" w:rsidRDefault="00C12BFF">
      <w:pPr>
        <w:pStyle w:val="affffff3"/>
      </w:pPr>
      <w:r>
        <w:rPr>
          <w:rFonts w:hint="eastAsia"/>
        </w:rPr>
        <w:t>第三方评价结果作为评选东莞优品入围企业的依据。</w:t>
      </w:r>
    </w:p>
    <w:p w:rsidR="00C11791" w:rsidRDefault="00C12BFF">
      <w:pPr>
        <w:pStyle w:val="affffff3"/>
      </w:pPr>
      <w:r>
        <w:rPr>
          <w:rFonts w:hint="eastAsia"/>
        </w:rPr>
        <w:t>内部评价结果可用于作为企业本身改善工作的参考。</w:t>
      </w:r>
    </w:p>
    <w:p w:rsidR="00C11791" w:rsidRDefault="00C12BFF">
      <w:pPr>
        <w:pStyle w:val="a3"/>
        <w:spacing w:before="312" w:after="312"/>
      </w:pPr>
      <w:r>
        <w:rPr>
          <w:rFonts w:hint="eastAsia"/>
        </w:rPr>
        <w:t>评价文档管理</w:t>
      </w:r>
    </w:p>
    <w:p w:rsidR="00C11791" w:rsidRDefault="00C12BFF">
      <w:pPr>
        <w:pStyle w:val="affffff3"/>
      </w:pPr>
      <w:r>
        <w:rPr>
          <w:rFonts w:hint="eastAsia"/>
        </w:rPr>
        <w:t>评价过程所形成的原始记录应有专人保管，保管期限不少于3年。</w:t>
      </w:r>
    </w:p>
    <w:p w:rsidR="00C11791" w:rsidRDefault="00C12BFF">
      <w:pPr>
        <w:pStyle w:val="affffff3"/>
      </w:pPr>
      <w:r>
        <w:rPr>
          <w:rFonts w:hint="eastAsia"/>
        </w:rPr>
        <w:t>应采取有效措施对文档进行安全保管，并切实加强对涉及企业商业秘密的资料保护。</w:t>
      </w:r>
    </w:p>
    <w:p w:rsidR="00C11791" w:rsidRDefault="00C12BFF">
      <w:pPr>
        <w:pStyle w:val="affffff3"/>
      </w:pPr>
      <w:r>
        <w:rPr>
          <w:rFonts w:hint="eastAsia"/>
        </w:rPr>
        <w:t>评价机构应制定文档的借阅、销毁制度并按要求执行。</w:t>
      </w:r>
    </w:p>
    <w:p w:rsidR="00C11791" w:rsidRDefault="00C12BFF">
      <w:pPr>
        <w:pStyle w:val="a3"/>
        <w:spacing w:before="312" w:after="312"/>
      </w:pPr>
      <w:r>
        <w:rPr>
          <w:rFonts w:hint="eastAsia"/>
        </w:rPr>
        <w:t>评价质量的持续改进</w:t>
      </w:r>
    </w:p>
    <w:p w:rsidR="00C11791" w:rsidRDefault="009F7095" w:rsidP="009F7095">
      <w:pPr>
        <w:pStyle w:val="affffff3"/>
      </w:pPr>
      <w:r w:rsidRPr="009A5FCE">
        <w:rPr>
          <w:rFonts w:hint="eastAsia"/>
        </w:rPr>
        <w:t>东莞市私营企业协会</w:t>
      </w:r>
      <w:r w:rsidR="00C12BFF">
        <w:rPr>
          <w:rFonts w:hint="eastAsia"/>
        </w:rPr>
        <w:t>应设立监督机构，由专职人员负责，监督评价工作的运行情况，确保评价的客观性和公正性。</w:t>
      </w:r>
    </w:p>
    <w:p w:rsidR="00C11791" w:rsidRDefault="00C12BFF">
      <w:pPr>
        <w:pStyle w:val="affffff3"/>
      </w:pPr>
      <w:r>
        <w:rPr>
          <w:rFonts w:hint="eastAsia"/>
        </w:rPr>
        <w:t>应持续修正各项评价指标、评价要求及其赋值。</w:t>
      </w:r>
    </w:p>
    <w:p w:rsidR="00C11791" w:rsidRDefault="00C12BFF">
      <w:pPr>
        <w:pStyle w:val="affffff3"/>
      </w:pPr>
      <w:r>
        <w:rPr>
          <w:rFonts w:hint="eastAsia"/>
        </w:rPr>
        <w:t>应总结每次评价过程，分析评价方法的有效性、可靠性，促进后续评价工作的评价质量持续提升。</w:t>
      </w:r>
    </w:p>
    <w:p w:rsidR="00C11791" w:rsidRDefault="00C11791">
      <w:pPr>
        <w:pStyle w:val="afff8"/>
        <w:numPr>
          <w:ilvl w:val="2"/>
          <w:numId w:val="0"/>
        </w:numPr>
      </w:pPr>
    </w:p>
    <w:p w:rsidR="00C11791" w:rsidRDefault="00C11791">
      <w:pPr>
        <w:pStyle w:val="afff8"/>
        <w:numPr>
          <w:ilvl w:val="2"/>
          <w:numId w:val="0"/>
        </w:numPr>
      </w:pPr>
    </w:p>
    <w:p w:rsidR="00C11791" w:rsidRDefault="00C11791">
      <w:pPr>
        <w:pStyle w:val="afff8"/>
        <w:numPr>
          <w:ilvl w:val="2"/>
          <w:numId w:val="0"/>
        </w:numPr>
      </w:pPr>
    </w:p>
    <w:p w:rsidR="00C11791" w:rsidRDefault="00C11791">
      <w:pPr>
        <w:pStyle w:val="afff8"/>
        <w:numPr>
          <w:ilvl w:val="2"/>
          <w:numId w:val="0"/>
        </w:numPr>
      </w:pPr>
    </w:p>
    <w:p w:rsidR="00C11791" w:rsidRDefault="00C11791">
      <w:pPr>
        <w:pStyle w:val="afff8"/>
        <w:numPr>
          <w:ilvl w:val="2"/>
          <w:numId w:val="0"/>
        </w:numPr>
      </w:pPr>
    </w:p>
    <w:p w:rsidR="00C11791" w:rsidRDefault="00C11791">
      <w:pPr>
        <w:pStyle w:val="afff8"/>
        <w:numPr>
          <w:ilvl w:val="2"/>
          <w:numId w:val="0"/>
        </w:numPr>
      </w:pPr>
    </w:p>
    <w:p w:rsidR="00C11791" w:rsidRDefault="00C11791">
      <w:pPr>
        <w:pStyle w:val="afff8"/>
        <w:numPr>
          <w:ilvl w:val="2"/>
          <w:numId w:val="0"/>
        </w:numPr>
      </w:pPr>
    </w:p>
    <w:p w:rsidR="00C11791" w:rsidRDefault="00C11791">
      <w:pPr>
        <w:pStyle w:val="afff8"/>
        <w:numPr>
          <w:ilvl w:val="2"/>
          <w:numId w:val="0"/>
        </w:numPr>
      </w:pPr>
    </w:p>
    <w:p w:rsidR="00C11791" w:rsidRDefault="00C12BFF">
      <w:pPr>
        <w:pStyle w:val="afff8"/>
        <w:numPr>
          <w:ilvl w:val="2"/>
          <w:numId w:val="0"/>
        </w:numPr>
        <w:jc w:val="center"/>
        <w:rPr>
          <w:rFonts w:ascii="黑体" w:eastAsia="黑体" w:hAnsi="黑体" w:cs="黑体"/>
        </w:rPr>
      </w:pPr>
      <w:r>
        <w:rPr>
          <w:rFonts w:ascii="黑体" w:eastAsia="黑体" w:hAnsi="黑体" w:cs="黑体" w:hint="eastAsia"/>
        </w:rPr>
        <w:t>附 录 A</w:t>
      </w:r>
    </w:p>
    <w:p w:rsidR="00C11791" w:rsidRDefault="00C12BFF">
      <w:pPr>
        <w:pStyle w:val="afff8"/>
        <w:numPr>
          <w:ilvl w:val="2"/>
          <w:numId w:val="0"/>
        </w:numPr>
        <w:jc w:val="center"/>
        <w:rPr>
          <w:rFonts w:ascii="黑体" w:eastAsia="黑体" w:hAnsi="黑体" w:cs="黑体"/>
        </w:rPr>
      </w:pPr>
      <w:r>
        <w:rPr>
          <w:rFonts w:ascii="黑体" w:eastAsia="黑体" w:hAnsi="黑体" w:cs="黑体" w:hint="eastAsia"/>
        </w:rPr>
        <w:t>(规范性附录)</w:t>
      </w:r>
    </w:p>
    <w:p w:rsidR="00C11791" w:rsidRDefault="00C12BFF">
      <w:pPr>
        <w:pStyle w:val="afff8"/>
        <w:numPr>
          <w:ilvl w:val="2"/>
          <w:numId w:val="0"/>
        </w:numPr>
        <w:jc w:val="center"/>
        <w:rPr>
          <w:rFonts w:ascii="黑体" w:eastAsia="黑体" w:hAnsi="黑体" w:cs="黑体"/>
        </w:rPr>
      </w:pPr>
      <w:r>
        <w:rPr>
          <w:rFonts w:ascii="黑体" w:eastAsia="黑体" w:hAnsi="黑体" w:cs="黑体" w:hint="eastAsia"/>
        </w:rPr>
        <w:t>评价指标及评价要求</w:t>
      </w:r>
    </w:p>
    <w:p w:rsidR="00C11791" w:rsidRDefault="00C12BFF">
      <w:pPr>
        <w:pStyle w:val="afff8"/>
        <w:numPr>
          <w:ilvl w:val="2"/>
          <w:numId w:val="0"/>
        </w:numPr>
        <w:ind w:firstLine="420"/>
        <w:jc w:val="both"/>
      </w:pPr>
      <w:r>
        <w:rPr>
          <w:rFonts w:hint="eastAsia"/>
        </w:rPr>
        <w:t>东莞优品企业评价指标、评价要求及分值见表A.1。</w:t>
      </w:r>
    </w:p>
    <w:p w:rsidR="00C11791" w:rsidRDefault="00C11791">
      <w:pPr>
        <w:pStyle w:val="afff8"/>
        <w:numPr>
          <w:ilvl w:val="2"/>
          <w:numId w:val="0"/>
        </w:numPr>
        <w:ind w:firstLine="420"/>
        <w:jc w:val="both"/>
      </w:pPr>
    </w:p>
    <w:p w:rsidR="00C11791" w:rsidRDefault="00C12BFF">
      <w:pPr>
        <w:pStyle w:val="afff8"/>
        <w:numPr>
          <w:ilvl w:val="2"/>
          <w:numId w:val="0"/>
        </w:numPr>
        <w:spacing w:before="0" w:after="0"/>
        <w:jc w:val="center"/>
      </w:pPr>
      <w:r>
        <w:rPr>
          <w:rFonts w:ascii="黑体" w:eastAsia="黑体" w:hAnsi="黑体" w:cs="黑体" w:hint="eastAsia"/>
        </w:rPr>
        <w:t>表 A.1</w:t>
      </w:r>
    </w:p>
    <w:tbl>
      <w:tblPr>
        <w:tblStyle w:val="affe"/>
        <w:tblpPr w:leftFromText="180" w:rightFromText="180" w:vertAnchor="text" w:horzAnchor="page" w:tblpX="1531" w:tblpY="986"/>
        <w:tblOverlap w:val="neve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846"/>
        <w:gridCol w:w="6287"/>
        <w:gridCol w:w="1413"/>
      </w:tblGrid>
      <w:tr w:rsidR="00C11791">
        <w:tc>
          <w:tcPr>
            <w:tcW w:w="792" w:type="dxa"/>
            <w:vAlign w:val="center"/>
          </w:tcPr>
          <w:p w:rsidR="00C11791" w:rsidRDefault="00C12BFF">
            <w:pPr>
              <w:jc w:val="center"/>
              <w:rPr>
                <w:rFonts w:hAnsi="宋体" w:cs="宋体"/>
                <w:sz w:val="18"/>
                <w:szCs w:val="18"/>
              </w:rPr>
            </w:pPr>
            <w:r>
              <w:rPr>
                <w:rFonts w:hAnsi="宋体" w:cs="宋体" w:hint="eastAsia"/>
                <w:sz w:val="18"/>
                <w:szCs w:val="18"/>
              </w:rPr>
              <w:t>指标</w:t>
            </w:r>
          </w:p>
          <w:p w:rsidR="00C11791" w:rsidRDefault="00C12BFF">
            <w:pPr>
              <w:jc w:val="center"/>
              <w:rPr>
                <w:rFonts w:hAnsi="宋体" w:cs="宋体"/>
                <w:sz w:val="18"/>
                <w:szCs w:val="18"/>
              </w:rPr>
            </w:pPr>
            <w:r>
              <w:rPr>
                <w:rFonts w:hAnsi="宋体" w:cs="宋体" w:hint="eastAsia"/>
                <w:sz w:val="18"/>
                <w:szCs w:val="18"/>
              </w:rPr>
              <w:t>分类</w:t>
            </w:r>
          </w:p>
        </w:tc>
        <w:tc>
          <w:tcPr>
            <w:tcW w:w="846" w:type="dxa"/>
            <w:vAlign w:val="center"/>
          </w:tcPr>
          <w:p w:rsidR="00C11791" w:rsidRDefault="00C12BFF">
            <w:pPr>
              <w:jc w:val="center"/>
              <w:rPr>
                <w:rFonts w:hAnsi="宋体" w:cs="宋体"/>
                <w:sz w:val="18"/>
                <w:szCs w:val="18"/>
              </w:rPr>
            </w:pPr>
            <w:r>
              <w:rPr>
                <w:rFonts w:hAnsi="宋体" w:cs="宋体" w:hint="eastAsia"/>
                <w:sz w:val="18"/>
                <w:szCs w:val="18"/>
              </w:rPr>
              <w:t>指标</w:t>
            </w:r>
          </w:p>
          <w:p w:rsidR="00C11791" w:rsidRDefault="00C12BFF">
            <w:pPr>
              <w:jc w:val="center"/>
              <w:rPr>
                <w:rFonts w:hAnsi="宋体" w:cs="宋体"/>
                <w:sz w:val="18"/>
                <w:szCs w:val="18"/>
              </w:rPr>
            </w:pPr>
            <w:r>
              <w:rPr>
                <w:rFonts w:hAnsi="宋体" w:cs="宋体" w:hint="eastAsia"/>
                <w:sz w:val="18"/>
                <w:szCs w:val="18"/>
              </w:rPr>
              <w:t>名称</w:t>
            </w:r>
          </w:p>
        </w:tc>
        <w:tc>
          <w:tcPr>
            <w:tcW w:w="6287" w:type="dxa"/>
            <w:vAlign w:val="center"/>
          </w:tcPr>
          <w:p w:rsidR="00C11791" w:rsidRDefault="00C12BFF">
            <w:pPr>
              <w:jc w:val="center"/>
              <w:rPr>
                <w:rFonts w:hAnsi="宋体" w:cs="宋体"/>
                <w:sz w:val="18"/>
                <w:szCs w:val="18"/>
              </w:rPr>
            </w:pPr>
            <w:r>
              <w:rPr>
                <w:rFonts w:hAnsi="宋体" w:cs="宋体" w:hint="eastAsia"/>
                <w:sz w:val="18"/>
                <w:szCs w:val="18"/>
              </w:rPr>
              <w:t>评价要求</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单项</w:t>
            </w:r>
          </w:p>
          <w:p w:rsidR="00C11791" w:rsidRDefault="00C12BFF">
            <w:pPr>
              <w:jc w:val="center"/>
              <w:rPr>
                <w:rFonts w:hAnsi="宋体" w:cs="宋体"/>
                <w:sz w:val="18"/>
                <w:szCs w:val="18"/>
              </w:rPr>
            </w:pPr>
            <w:r>
              <w:rPr>
                <w:rFonts w:hAnsi="宋体" w:cs="宋体" w:hint="eastAsia"/>
                <w:sz w:val="18"/>
                <w:szCs w:val="18"/>
              </w:rPr>
              <w:t>分值</w:t>
            </w:r>
          </w:p>
        </w:tc>
      </w:tr>
      <w:tr w:rsidR="00C11791">
        <w:trPr>
          <w:trHeight w:val="215"/>
        </w:trPr>
        <w:tc>
          <w:tcPr>
            <w:tcW w:w="792" w:type="dxa"/>
            <w:vMerge w:val="restart"/>
            <w:vAlign w:val="center"/>
          </w:tcPr>
          <w:p w:rsidR="00C11791" w:rsidRDefault="00C12BFF">
            <w:pPr>
              <w:rPr>
                <w:rFonts w:hAnsi="宋体" w:cs="宋体"/>
                <w:sz w:val="18"/>
                <w:szCs w:val="18"/>
              </w:rPr>
            </w:pPr>
            <w:r>
              <w:rPr>
                <w:rFonts w:hAnsi="宋体" w:cs="宋体" w:hint="eastAsia"/>
                <w:sz w:val="18"/>
                <w:szCs w:val="18"/>
              </w:rPr>
              <w:t>一、否决项指标</w:t>
            </w:r>
          </w:p>
        </w:tc>
        <w:tc>
          <w:tcPr>
            <w:tcW w:w="846" w:type="dxa"/>
            <w:vMerge w:val="restart"/>
            <w:vAlign w:val="center"/>
          </w:tcPr>
          <w:p w:rsidR="00C11791" w:rsidRDefault="00C12BFF">
            <w:pPr>
              <w:rPr>
                <w:rFonts w:hAnsi="宋体" w:cs="宋体"/>
                <w:sz w:val="18"/>
                <w:szCs w:val="18"/>
              </w:rPr>
            </w:pPr>
            <w:r>
              <w:rPr>
                <w:rFonts w:hAnsi="宋体" w:cs="宋体" w:hint="eastAsia"/>
                <w:sz w:val="18"/>
                <w:szCs w:val="18"/>
              </w:rPr>
              <w:t>1、合</w:t>
            </w:r>
            <w:proofErr w:type="gramStart"/>
            <w:r>
              <w:rPr>
                <w:rFonts w:hAnsi="宋体" w:cs="宋体" w:hint="eastAsia"/>
                <w:sz w:val="18"/>
                <w:szCs w:val="18"/>
              </w:rPr>
              <w:t>规</w:t>
            </w:r>
            <w:proofErr w:type="gramEnd"/>
            <w:r>
              <w:rPr>
                <w:rFonts w:hAnsi="宋体" w:cs="宋体" w:hint="eastAsia"/>
                <w:sz w:val="18"/>
                <w:szCs w:val="18"/>
              </w:rPr>
              <w:t>性要求</w:t>
            </w:r>
          </w:p>
        </w:tc>
        <w:tc>
          <w:tcPr>
            <w:tcW w:w="6287" w:type="dxa"/>
            <w:vAlign w:val="center"/>
          </w:tcPr>
          <w:p w:rsidR="00C11791" w:rsidRDefault="00C12BFF">
            <w:pPr>
              <w:rPr>
                <w:rFonts w:hAnsi="宋体" w:cs="宋体"/>
                <w:sz w:val="18"/>
                <w:szCs w:val="18"/>
              </w:rPr>
            </w:pPr>
            <w:r>
              <w:rPr>
                <w:rFonts w:hAnsi="宋体" w:cs="宋体" w:hint="eastAsia"/>
                <w:sz w:val="18"/>
                <w:szCs w:val="18"/>
              </w:rPr>
              <w:t>1、企业因在经营、生产、销售、服务等环节上不符合相关法律、法规的要求，或其产品不符合国家强制性标准和相关部门技术法规要求，在近3年内受到监管部门给与的产品质量、安全、环保等方面相关行政处罚。</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否决项</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2、企业被列入国家信用信息严重失信主体相关名录。</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否决项</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3、近3年内，企业存在发生重大生产安全事故、产品质量事故，造成人民生命和财产重大损失的情况。</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否决项</w:t>
            </w:r>
          </w:p>
        </w:tc>
      </w:tr>
      <w:tr w:rsidR="00C11791">
        <w:tc>
          <w:tcPr>
            <w:tcW w:w="792" w:type="dxa"/>
            <w:vMerge w:val="restart"/>
            <w:vAlign w:val="center"/>
          </w:tcPr>
          <w:p w:rsidR="00C11791" w:rsidRDefault="00C12BFF">
            <w:pPr>
              <w:rPr>
                <w:rFonts w:hAnsi="宋体" w:cs="宋体"/>
                <w:sz w:val="18"/>
                <w:szCs w:val="18"/>
              </w:rPr>
            </w:pPr>
            <w:r>
              <w:rPr>
                <w:rFonts w:hAnsi="宋体" w:cs="宋体" w:hint="eastAsia"/>
                <w:sz w:val="18"/>
                <w:szCs w:val="18"/>
              </w:rPr>
              <w:t>二、基础指标</w:t>
            </w:r>
          </w:p>
        </w:tc>
        <w:tc>
          <w:tcPr>
            <w:tcW w:w="846" w:type="dxa"/>
            <w:vMerge w:val="restart"/>
            <w:vAlign w:val="center"/>
          </w:tcPr>
          <w:p w:rsidR="00C11791" w:rsidRDefault="00C12BFF">
            <w:pPr>
              <w:rPr>
                <w:rFonts w:hAnsi="宋体" w:cs="宋体"/>
                <w:sz w:val="18"/>
                <w:szCs w:val="18"/>
              </w:rPr>
            </w:pPr>
            <w:r>
              <w:rPr>
                <w:rFonts w:hAnsi="宋体" w:cs="宋体" w:hint="eastAsia"/>
                <w:sz w:val="18"/>
                <w:szCs w:val="18"/>
              </w:rPr>
              <w:t>2、质量文化建设（80）</w:t>
            </w:r>
          </w:p>
        </w:tc>
        <w:tc>
          <w:tcPr>
            <w:tcW w:w="6287" w:type="dxa"/>
            <w:vAlign w:val="center"/>
          </w:tcPr>
          <w:p w:rsidR="00C11791" w:rsidRDefault="00C12BFF">
            <w:pPr>
              <w:rPr>
                <w:rFonts w:hAnsi="宋体" w:cs="宋体"/>
                <w:sz w:val="18"/>
                <w:szCs w:val="18"/>
              </w:rPr>
            </w:pPr>
            <w:r>
              <w:rPr>
                <w:rFonts w:hAnsi="宋体" w:cs="宋体" w:hint="eastAsia"/>
                <w:sz w:val="18"/>
                <w:szCs w:val="18"/>
              </w:rPr>
              <w:t>1、明确质量价值观和质量目标，并将其贯穿于企业的各个层面和全体员工中。质量价值观应符合企业的特点和行业的要求，质量目标应具有可衡量性和</w:t>
            </w:r>
            <w:proofErr w:type="gramStart"/>
            <w:r>
              <w:rPr>
                <w:rFonts w:hAnsi="宋体" w:cs="宋体" w:hint="eastAsia"/>
                <w:sz w:val="18"/>
                <w:szCs w:val="18"/>
              </w:rPr>
              <w:t>可</w:t>
            </w:r>
            <w:proofErr w:type="gramEnd"/>
            <w:r>
              <w:rPr>
                <w:rFonts w:hAnsi="宋体" w:cs="宋体" w:hint="eastAsia"/>
                <w:sz w:val="18"/>
                <w:szCs w:val="18"/>
              </w:rPr>
              <w:t>达成性。</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15</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2、通过培训、宣传等方式，强化员工的质量意识，让员工认识到质量是企业发展的关键，每个人都是质量的责任主体。</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10</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3、建立完善的质量管理体系，包括质量策划、质量控制、质量保证和质量改进等方面。同时，应加强质量管理的标准化和规范化，确保质量管理工作的有效性和</w:t>
            </w:r>
            <w:proofErr w:type="gramStart"/>
            <w:r>
              <w:rPr>
                <w:rFonts w:hAnsi="宋体" w:cs="宋体" w:hint="eastAsia"/>
                <w:sz w:val="18"/>
                <w:szCs w:val="18"/>
              </w:rPr>
              <w:t>可</w:t>
            </w:r>
            <w:proofErr w:type="gramEnd"/>
            <w:r>
              <w:rPr>
                <w:rFonts w:hAnsi="宋体" w:cs="宋体" w:hint="eastAsia"/>
                <w:sz w:val="18"/>
                <w:szCs w:val="18"/>
              </w:rPr>
              <w:t>持续性。</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20</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4、建立质量激励机制，奖励和激励在质量管理方面做出突出贡献的员工，以提高员工的质量意识和工作积极性。</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10</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5、持续改进质量，不断发现和解决质量问题，提升企业的质量管理水平。同时，应关注客户需求和市场变化，及时调整和优化质量管理体系。</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15</w:t>
            </w:r>
          </w:p>
        </w:tc>
      </w:tr>
      <w:tr w:rsidR="00C11791">
        <w:trPr>
          <w:trHeight w:val="252"/>
        </w:trPr>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6、营造关注质量的文化氛围，让员工感受到企业对质量的重视和支持。如可通过举办质量知识竞赛、质量文化周等活动，增强员工的质量意识。</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10</w:t>
            </w:r>
          </w:p>
        </w:tc>
      </w:tr>
      <w:tr w:rsidR="00C11791">
        <w:tc>
          <w:tcPr>
            <w:tcW w:w="792" w:type="dxa"/>
            <w:vMerge/>
            <w:vAlign w:val="center"/>
          </w:tcPr>
          <w:p w:rsidR="00C11791" w:rsidRDefault="00C11791">
            <w:pPr>
              <w:rPr>
                <w:rFonts w:hAnsi="宋体" w:cs="宋体"/>
                <w:sz w:val="18"/>
                <w:szCs w:val="18"/>
              </w:rPr>
            </w:pPr>
          </w:p>
        </w:tc>
        <w:tc>
          <w:tcPr>
            <w:tcW w:w="846" w:type="dxa"/>
            <w:vMerge w:val="restart"/>
            <w:vAlign w:val="center"/>
          </w:tcPr>
          <w:p w:rsidR="00C11791" w:rsidRDefault="00C12BFF">
            <w:pPr>
              <w:rPr>
                <w:rFonts w:hAnsi="宋体" w:cs="宋体"/>
                <w:sz w:val="18"/>
                <w:szCs w:val="18"/>
              </w:rPr>
            </w:pPr>
            <w:r>
              <w:rPr>
                <w:rFonts w:hAnsi="宋体" w:cs="宋体" w:hint="eastAsia"/>
                <w:sz w:val="18"/>
                <w:szCs w:val="18"/>
              </w:rPr>
              <w:t>3、产品质量水平及持续保证能力（200）</w:t>
            </w:r>
          </w:p>
        </w:tc>
        <w:tc>
          <w:tcPr>
            <w:tcW w:w="6287" w:type="dxa"/>
            <w:vAlign w:val="center"/>
          </w:tcPr>
          <w:p w:rsidR="00C11791" w:rsidRDefault="00C12BFF">
            <w:pPr>
              <w:rPr>
                <w:rFonts w:hAnsi="宋体" w:cs="宋体"/>
                <w:sz w:val="18"/>
                <w:szCs w:val="18"/>
              </w:rPr>
            </w:pPr>
            <w:r>
              <w:rPr>
                <w:rFonts w:hAnsi="宋体" w:cs="宋体" w:hint="eastAsia"/>
                <w:sz w:val="18"/>
                <w:szCs w:val="18"/>
              </w:rPr>
              <w:t>1、所有自主销售的产品都声明公开产品标准。</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15</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2、声明公开的产品标准编制规范，公开了产品的主要性能和功能指标及相应检验方法。</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15</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3、有第三方评价报告证明，主要产品执行标准采用国际标准、欧美先进标准或指标水平高于国家、行业标准。</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30</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4、有第三方检验报告证明产品质量与企业公开的产品标准一致。</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15</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5、建立产品设计安全评审及风险评估制度，并针对目标市场标准进行设计安全评审及风险评估，分析出产品的风险控制点。</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20</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6、建立原材料采购、库存管理制度，加强原材料的来料检验和库存管理，保留</w:t>
            </w:r>
            <w:r>
              <w:rPr>
                <w:rFonts w:hAnsi="宋体" w:cs="宋体" w:hint="eastAsia"/>
                <w:sz w:val="18"/>
                <w:szCs w:val="18"/>
              </w:rPr>
              <w:lastRenderedPageBreak/>
              <w:t>检验和出入库记录。</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lastRenderedPageBreak/>
              <w:t>20</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7、建立产品生产过程质量控制管理制度，分析生产过程的质量风险控制点，加强监视和管理，留下记录。</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20</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8、做好产品出厂检验，确保产品符合相关标准和客户要求，保留检验记录。</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20</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9、建立高效的供应链管理体系，定期对供应商进行评价和监控，保证供应商的供货质量稳定。</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25</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pStyle w:val="afff8"/>
              <w:widowControl w:val="0"/>
              <w:numPr>
                <w:ilvl w:val="2"/>
                <w:numId w:val="0"/>
              </w:numPr>
              <w:jc w:val="both"/>
              <w:rPr>
                <w:rFonts w:hAnsi="宋体" w:cs="宋体"/>
                <w:kern w:val="2"/>
                <w:sz w:val="18"/>
                <w:szCs w:val="18"/>
              </w:rPr>
            </w:pPr>
            <w:r>
              <w:rPr>
                <w:rFonts w:hAnsi="宋体" w:cs="宋体" w:hint="eastAsia"/>
                <w:kern w:val="2"/>
                <w:sz w:val="18"/>
                <w:szCs w:val="18"/>
              </w:rPr>
              <w:t>10、建立完善的质量信息反馈机制，及时收集和分析客户对产品的反馈信息，针对问题进行整改和优化。</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20</w:t>
            </w:r>
          </w:p>
        </w:tc>
      </w:tr>
      <w:tr w:rsidR="00C11791">
        <w:tc>
          <w:tcPr>
            <w:tcW w:w="792" w:type="dxa"/>
            <w:vMerge/>
            <w:vAlign w:val="center"/>
          </w:tcPr>
          <w:p w:rsidR="00C11791" w:rsidRDefault="00C11791">
            <w:pPr>
              <w:rPr>
                <w:rFonts w:hAnsi="宋体" w:cs="宋体"/>
                <w:sz w:val="18"/>
                <w:szCs w:val="18"/>
              </w:rPr>
            </w:pPr>
          </w:p>
        </w:tc>
        <w:tc>
          <w:tcPr>
            <w:tcW w:w="846" w:type="dxa"/>
            <w:vMerge w:val="restart"/>
            <w:vAlign w:val="center"/>
          </w:tcPr>
          <w:p w:rsidR="00C11791" w:rsidRDefault="00C12BFF">
            <w:pPr>
              <w:rPr>
                <w:rFonts w:hAnsi="宋体" w:cs="宋体"/>
                <w:sz w:val="18"/>
                <w:szCs w:val="18"/>
              </w:rPr>
            </w:pPr>
            <w:r>
              <w:rPr>
                <w:rFonts w:hAnsi="宋体" w:cs="宋体" w:hint="eastAsia"/>
                <w:sz w:val="18"/>
                <w:szCs w:val="18"/>
              </w:rPr>
              <w:t>4、创新能力（80）</w:t>
            </w:r>
          </w:p>
        </w:tc>
        <w:tc>
          <w:tcPr>
            <w:tcW w:w="6287" w:type="dxa"/>
            <w:vAlign w:val="center"/>
          </w:tcPr>
          <w:p w:rsidR="00C11791" w:rsidRDefault="00C12BFF">
            <w:pPr>
              <w:rPr>
                <w:rFonts w:hAnsi="宋体" w:cs="宋体"/>
                <w:sz w:val="18"/>
                <w:szCs w:val="18"/>
              </w:rPr>
            </w:pPr>
            <w:r>
              <w:rPr>
                <w:rFonts w:hAnsi="宋体" w:cs="宋体" w:hint="eastAsia"/>
                <w:sz w:val="18"/>
                <w:szCs w:val="18"/>
              </w:rPr>
              <w:t>1、有明确的创新战略，包括但不限于创新的目标、方向、重点和路径等。创新战略应根据企业的发展状况、市场需求和竞争态势等因素进行综合考虑。</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10</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2、营造了鼓励创新、宽容失败、尊重个性的文化氛围。如建立创新奖励机制、鼓励员工提出创意等。</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6</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3、有合理的人才管理制度，吸引和留住创新型人才。如优化薪酬结构、提供职业发展机会等。</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7</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4、有持续的研发投入。研发投入不低于以下标准：（1）最近一年销售收入小于5000万元（含）的企业，比例不低于5%；（2）最近一年销售收入在5000万元至2亿元（含）的企业，比例不低于4%；（3）最近一年销售收入在2亿元以上的企业，比例不低于3%。</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20</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5、建立并实施创新过程管理制度，确保创新活动的有序开展。包括项目管理、知识产权管理、风险管理等。</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7</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pStyle w:val="afff8"/>
              <w:widowControl w:val="0"/>
              <w:numPr>
                <w:ilvl w:val="2"/>
                <w:numId w:val="0"/>
              </w:numPr>
              <w:jc w:val="both"/>
              <w:rPr>
                <w:rFonts w:hAnsi="宋体" w:cs="宋体"/>
                <w:sz w:val="18"/>
                <w:szCs w:val="18"/>
              </w:rPr>
            </w:pPr>
            <w:r>
              <w:rPr>
                <w:rFonts w:hAnsi="宋体" w:cs="宋体" w:hint="eastAsia"/>
                <w:kern w:val="2"/>
                <w:sz w:val="18"/>
                <w:szCs w:val="18"/>
              </w:rPr>
              <w:t>6、建立创新评价体系、制定评估标准，对创新绩效进行评估，以便对创新活动进行及时调整和优化；或建立技术、标准和创新联动工作机制。</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10</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7、建立完善的市场信息收集机制，及时掌握市场动态，根据市场需求调整创新策略。</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10</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8、通过技术改造、管理升级、自行投资、专利许可、技术转让等方式，将创新成果转化为实际生产力或获得效益。</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10</w:t>
            </w:r>
          </w:p>
        </w:tc>
      </w:tr>
      <w:tr w:rsidR="00C11791">
        <w:tc>
          <w:tcPr>
            <w:tcW w:w="792" w:type="dxa"/>
            <w:vMerge/>
            <w:vAlign w:val="center"/>
          </w:tcPr>
          <w:p w:rsidR="00C11791" w:rsidRDefault="00C11791">
            <w:pPr>
              <w:rPr>
                <w:rFonts w:hAnsi="宋体" w:cs="宋体"/>
                <w:sz w:val="18"/>
                <w:szCs w:val="18"/>
              </w:rPr>
            </w:pPr>
          </w:p>
        </w:tc>
        <w:tc>
          <w:tcPr>
            <w:tcW w:w="846" w:type="dxa"/>
            <w:vMerge w:val="restart"/>
            <w:vAlign w:val="center"/>
          </w:tcPr>
          <w:p w:rsidR="00C11791" w:rsidRDefault="00C12BFF">
            <w:pPr>
              <w:rPr>
                <w:rFonts w:hAnsi="宋体" w:cs="宋体"/>
                <w:sz w:val="18"/>
                <w:szCs w:val="18"/>
              </w:rPr>
            </w:pPr>
            <w:r>
              <w:rPr>
                <w:rFonts w:hAnsi="宋体" w:cs="宋体" w:hint="eastAsia"/>
                <w:sz w:val="18"/>
                <w:szCs w:val="18"/>
              </w:rPr>
              <w:t>5、品牌管理（130）</w:t>
            </w:r>
          </w:p>
        </w:tc>
        <w:tc>
          <w:tcPr>
            <w:tcW w:w="6287" w:type="dxa"/>
            <w:vAlign w:val="center"/>
          </w:tcPr>
          <w:p w:rsidR="00C11791" w:rsidRDefault="00C12BFF">
            <w:pPr>
              <w:rPr>
                <w:rFonts w:hAnsi="宋体" w:cs="宋体"/>
                <w:sz w:val="18"/>
                <w:szCs w:val="18"/>
              </w:rPr>
            </w:pPr>
            <w:r>
              <w:rPr>
                <w:rFonts w:hAnsi="宋体" w:cs="宋体" w:hint="eastAsia"/>
                <w:sz w:val="18"/>
                <w:szCs w:val="18"/>
              </w:rPr>
              <w:t>1、有清晰的品牌战略规划，明确品牌发展目标、定位和核心价值，以确保品牌发展方向的正确性和明确性。</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15</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2、培养员工的品牌意识，让员工更好地理解品牌的内涵、价值和重要性。</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15</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3、制定有效的品牌传播和推广策略，通过各种渠道和媒体进行品牌宣传，有较高的品牌美誉度和忠诚度。</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15</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4、对品牌进行持续的研究和监测，了解品牌的知名度、美誉度和忠诚度等方面的表现。必要时及时调整品牌策略，以提高品牌的竞争力和市场地位。</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15</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5、对品牌风险进行管理，避免因侵权、商标纠纷等问题对品牌造成不良影响。</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15</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6、建立品牌危机应对机制，包括但不限于制定应急预案、建立危机沟通机制等措施，及时处理品牌危机事件，避免对品牌形象造成负面影响。</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15</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7、建立有效的品牌保护工作措施，包括在商标注册、专利申请、品牌维权等方面的措施和取得成果。</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15</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8、品牌与传统文化、品牌与企业文化融合发展，打造有企业专</w:t>
            </w:r>
            <w:proofErr w:type="gramStart"/>
            <w:r>
              <w:rPr>
                <w:rFonts w:hAnsi="宋体" w:cs="宋体" w:hint="eastAsia"/>
                <w:sz w:val="18"/>
                <w:szCs w:val="18"/>
              </w:rPr>
              <w:t>属品牌</w:t>
            </w:r>
            <w:proofErr w:type="gramEnd"/>
            <w:r>
              <w:rPr>
                <w:rFonts w:hAnsi="宋体" w:cs="宋体" w:hint="eastAsia"/>
                <w:sz w:val="18"/>
                <w:szCs w:val="18"/>
              </w:rPr>
              <w:t>与文化IP。</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25</w:t>
            </w:r>
          </w:p>
        </w:tc>
      </w:tr>
      <w:tr w:rsidR="00C11791">
        <w:tc>
          <w:tcPr>
            <w:tcW w:w="792" w:type="dxa"/>
            <w:vMerge/>
            <w:vAlign w:val="center"/>
          </w:tcPr>
          <w:p w:rsidR="00C11791" w:rsidRDefault="00C11791">
            <w:pPr>
              <w:rPr>
                <w:rFonts w:hAnsi="宋体" w:cs="宋体"/>
                <w:sz w:val="18"/>
                <w:szCs w:val="18"/>
              </w:rPr>
            </w:pPr>
          </w:p>
        </w:tc>
        <w:tc>
          <w:tcPr>
            <w:tcW w:w="846" w:type="dxa"/>
            <w:vMerge w:val="restart"/>
            <w:vAlign w:val="center"/>
          </w:tcPr>
          <w:p w:rsidR="00C11791" w:rsidRDefault="00C12BFF">
            <w:pPr>
              <w:rPr>
                <w:rFonts w:hAnsi="宋体" w:cs="宋体"/>
                <w:sz w:val="18"/>
                <w:szCs w:val="18"/>
              </w:rPr>
            </w:pPr>
            <w:r>
              <w:rPr>
                <w:rFonts w:hAnsi="宋体" w:cs="宋体" w:hint="eastAsia"/>
                <w:sz w:val="18"/>
                <w:szCs w:val="18"/>
              </w:rPr>
              <w:t>6、数字</w:t>
            </w:r>
            <w:r>
              <w:rPr>
                <w:rFonts w:hAnsi="宋体" w:cs="宋体" w:hint="eastAsia"/>
                <w:sz w:val="18"/>
                <w:szCs w:val="18"/>
              </w:rPr>
              <w:lastRenderedPageBreak/>
              <w:t>化建设（80）</w:t>
            </w:r>
          </w:p>
        </w:tc>
        <w:tc>
          <w:tcPr>
            <w:tcW w:w="6287" w:type="dxa"/>
            <w:vAlign w:val="center"/>
          </w:tcPr>
          <w:p w:rsidR="00C11791" w:rsidRDefault="00C12BFF">
            <w:pPr>
              <w:rPr>
                <w:rFonts w:hAnsi="宋体" w:cs="宋体"/>
                <w:sz w:val="18"/>
                <w:szCs w:val="18"/>
              </w:rPr>
            </w:pPr>
            <w:r>
              <w:rPr>
                <w:rFonts w:hAnsi="宋体" w:cs="宋体" w:hint="eastAsia"/>
                <w:sz w:val="18"/>
                <w:szCs w:val="18"/>
              </w:rPr>
              <w:lastRenderedPageBreak/>
              <w:t>1、实现生产过程中的智能化，包括设备自动化、生产线自动化、仓储自动化</w:t>
            </w:r>
            <w:r>
              <w:rPr>
                <w:rFonts w:hAnsi="宋体" w:cs="宋体" w:hint="eastAsia"/>
                <w:sz w:val="18"/>
                <w:szCs w:val="18"/>
              </w:rPr>
              <w:lastRenderedPageBreak/>
              <w:t>等。</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lastRenderedPageBreak/>
              <w:t>20</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2、实现全面的信息化管理，包括生产计划、工艺流程、质量控制等方面的信息化处理。</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15</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3、实现设备、生产线、管理系统等各个方面的网络化连接，实现生产数据的实时传输和处理。</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20</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4、建立了数据中心，对生产过程数据进行储存、管理，并具备数据处理和分析能力，以支持数字工厂的日常运营和管理</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15</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5、建立完善的信息安全管理体系，确保数据的安全性和保密性。</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10</w:t>
            </w:r>
          </w:p>
        </w:tc>
      </w:tr>
      <w:tr w:rsidR="00C11791">
        <w:tc>
          <w:tcPr>
            <w:tcW w:w="792" w:type="dxa"/>
            <w:vMerge/>
            <w:vAlign w:val="center"/>
          </w:tcPr>
          <w:p w:rsidR="00C11791" w:rsidRDefault="00C11791">
            <w:pPr>
              <w:rPr>
                <w:rFonts w:hAnsi="宋体" w:cs="宋体"/>
                <w:sz w:val="18"/>
                <w:szCs w:val="18"/>
              </w:rPr>
            </w:pPr>
          </w:p>
        </w:tc>
        <w:tc>
          <w:tcPr>
            <w:tcW w:w="846" w:type="dxa"/>
            <w:vMerge w:val="restart"/>
            <w:vAlign w:val="center"/>
          </w:tcPr>
          <w:p w:rsidR="00C11791" w:rsidRDefault="00C12BFF">
            <w:pPr>
              <w:rPr>
                <w:rFonts w:hAnsi="宋体" w:cs="宋体"/>
                <w:sz w:val="18"/>
                <w:szCs w:val="18"/>
              </w:rPr>
            </w:pPr>
            <w:r>
              <w:rPr>
                <w:rFonts w:hAnsi="宋体" w:cs="宋体" w:hint="eastAsia"/>
                <w:sz w:val="18"/>
                <w:szCs w:val="18"/>
              </w:rPr>
              <w:t>7、员工权益保障（100）</w:t>
            </w:r>
          </w:p>
        </w:tc>
        <w:tc>
          <w:tcPr>
            <w:tcW w:w="6287" w:type="dxa"/>
            <w:vAlign w:val="center"/>
          </w:tcPr>
          <w:p w:rsidR="00C11791" w:rsidRDefault="00C12BFF">
            <w:pPr>
              <w:rPr>
                <w:rFonts w:hAnsi="宋体" w:cs="宋体"/>
                <w:sz w:val="18"/>
                <w:szCs w:val="18"/>
              </w:rPr>
            </w:pPr>
            <w:r>
              <w:rPr>
                <w:rFonts w:hAnsi="宋体" w:cs="宋体" w:hint="eastAsia"/>
                <w:sz w:val="18"/>
                <w:szCs w:val="18"/>
              </w:rPr>
              <w:t>1、有完善劳动合同制度，与员工签订合法、公平、公正的劳动合同，明确双方的权利和义务，包括工作内容、工作时间、工资待遇、福利待遇、劳动保护等。</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15</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2、建立公平合理的薪酬和福利制度，按时足额支付员工的工资，确保员工的工资待遇与工作贡献成正比，并提供合理的福利待遇，如五险</w:t>
            </w:r>
            <w:proofErr w:type="gramStart"/>
            <w:r>
              <w:rPr>
                <w:rFonts w:hAnsi="宋体" w:cs="宋体" w:hint="eastAsia"/>
                <w:sz w:val="18"/>
                <w:szCs w:val="18"/>
              </w:rPr>
              <w:t>一</w:t>
            </w:r>
            <w:proofErr w:type="gramEnd"/>
            <w:r>
              <w:rPr>
                <w:rFonts w:hAnsi="宋体" w:cs="宋体" w:hint="eastAsia"/>
                <w:sz w:val="18"/>
                <w:szCs w:val="18"/>
              </w:rPr>
              <w:t>金、带薪年假、节日福利等。</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15</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3、提供良好的劳动条件和安全设施，确保员工的人身安全和身体健康。</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20</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4、积极进行劳动保护教育和培训，提高员工安全意识和自我保护能力。</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15</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5、建立健全的沟通机制，及时了解员工的诉求和意见，积极解决员工的问题和纠纷。</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20</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6、加强员工的培训和教育，提高员工的专业技能和工作能力。</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15</w:t>
            </w:r>
          </w:p>
        </w:tc>
      </w:tr>
      <w:tr w:rsidR="00C11791">
        <w:tc>
          <w:tcPr>
            <w:tcW w:w="792" w:type="dxa"/>
            <w:vMerge/>
            <w:vAlign w:val="center"/>
          </w:tcPr>
          <w:p w:rsidR="00C11791" w:rsidRDefault="00C11791">
            <w:pPr>
              <w:rPr>
                <w:rFonts w:hAnsi="宋体" w:cs="宋体"/>
                <w:sz w:val="18"/>
                <w:szCs w:val="18"/>
              </w:rPr>
            </w:pPr>
          </w:p>
        </w:tc>
        <w:tc>
          <w:tcPr>
            <w:tcW w:w="846" w:type="dxa"/>
            <w:vMerge w:val="restart"/>
            <w:vAlign w:val="center"/>
          </w:tcPr>
          <w:p w:rsidR="00C11791" w:rsidRDefault="00C12BFF">
            <w:pPr>
              <w:rPr>
                <w:rFonts w:hAnsi="宋体" w:cs="宋体"/>
                <w:sz w:val="18"/>
                <w:szCs w:val="18"/>
              </w:rPr>
            </w:pPr>
            <w:r>
              <w:rPr>
                <w:rFonts w:hAnsi="宋体" w:cs="宋体" w:hint="eastAsia"/>
                <w:sz w:val="18"/>
                <w:szCs w:val="18"/>
              </w:rPr>
              <w:t>8、产品责任及消费者权益保障（150）</w:t>
            </w:r>
          </w:p>
        </w:tc>
        <w:tc>
          <w:tcPr>
            <w:tcW w:w="6287" w:type="dxa"/>
            <w:vAlign w:val="center"/>
          </w:tcPr>
          <w:p w:rsidR="00C11791" w:rsidRDefault="00C12BFF">
            <w:pPr>
              <w:rPr>
                <w:rFonts w:hAnsi="宋体" w:cs="宋体"/>
                <w:sz w:val="18"/>
                <w:szCs w:val="18"/>
              </w:rPr>
            </w:pPr>
            <w:r>
              <w:rPr>
                <w:rFonts w:hAnsi="宋体" w:cs="宋体" w:hint="eastAsia"/>
                <w:sz w:val="18"/>
                <w:szCs w:val="18"/>
              </w:rPr>
              <w:t>1、建立完善的安全生产管理制度，确保安全生产管理制度的落实，保障生产安全。</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25</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2、明确产品责任，包括产品质量、安全性能、环保要求等方面的责任，以及产品在使用过程中可能产生的任何问题。</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25</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3、加强供应链管理，确保供应</w:t>
            </w:r>
            <w:proofErr w:type="gramStart"/>
            <w:r>
              <w:rPr>
                <w:rFonts w:hAnsi="宋体" w:cs="宋体" w:hint="eastAsia"/>
                <w:sz w:val="18"/>
                <w:szCs w:val="18"/>
              </w:rPr>
              <w:t>链具有</w:t>
            </w:r>
            <w:proofErr w:type="gramEnd"/>
            <w:r>
              <w:rPr>
                <w:rFonts w:hAnsi="宋体" w:cs="宋体" w:hint="eastAsia"/>
                <w:sz w:val="18"/>
                <w:szCs w:val="18"/>
              </w:rPr>
              <w:t>可持续性，以及在环境保护、社会责任等方面与企业保持一致。</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20</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4、建立营销和广告的审查和管理制度，加强对营销和广告内容的审查避免对消费者产生消费误导或不良影响。</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20</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5、建立完善的客户服务体系，提供及时、有效的售后服务，解决客户在使用过程中遇到的问题。通常包括建立客户服务热线、提供产品使用和维护培训、建立产品维修和退换货机制等。</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20</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6、建立危机应对机制，对可能出现的重大产品质量问题进行及时、有效的处理，比如建立产品下架和召回制度。农产品和食品生产企业应建立完善的产品质量追溯机制。</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20</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7、积极参与行业协会和标准制定组织，共同制定行业标准和规范，推动行业整体的发展和进步。</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20</w:t>
            </w:r>
          </w:p>
        </w:tc>
      </w:tr>
      <w:tr w:rsidR="00C11791">
        <w:tc>
          <w:tcPr>
            <w:tcW w:w="792" w:type="dxa"/>
            <w:vMerge/>
            <w:vAlign w:val="center"/>
          </w:tcPr>
          <w:p w:rsidR="00C11791" w:rsidRDefault="00C11791">
            <w:pPr>
              <w:rPr>
                <w:rFonts w:hAnsi="宋体" w:cs="宋体"/>
                <w:sz w:val="18"/>
                <w:szCs w:val="18"/>
              </w:rPr>
            </w:pPr>
          </w:p>
        </w:tc>
        <w:tc>
          <w:tcPr>
            <w:tcW w:w="846" w:type="dxa"/>
            <w:vMerge w:val="restart"/>
            <w:vAlign w:val="center"/>
          </w:tcPr>
          <w:p w:rsidR="00C11791" w:rsidRDefault="00C12BFF">
            <w:pPr>
              <w:rPr>
                <w:rFonts w:hAnsi="宋体" w:cs="宋体"/>
                <w:sz w:val="18"/>
                <w:szCs w:val="18"/>
              </w:rPr>
            </w:pPr>
            <w:r>
              <w:rPr>
                <w:rFonts w:hAnsi="宋体" w:cs="宋体" w:hint="eastAsia"/>
                <w:sz w:val="18"/>
                <w:szCs w:val="18"/>
              </w:rPr>
              <w:t>9、社会责任（80）</w:t>
            </w:r>
          </w:p>
        </w:tc>
        <w:tc>
          <w:tcPr>
            <w:tcW w:w="6287" w:type="dxa"/>
            <w:vAlign w:val="center"/>
          </w:tcPr>
          <w:p w:rsidR="00C11791" w:rsidRDefault="00C12BFF">
            <w:pPr>
              <w:rPr>
                <w:rFonts w:hAnsi="宋体" w:cs="宋体"/>
                <w:sz w:val="18"/>
                <w:szCs w:val="18"/>
              </w:rPr>
            </w:pPr>
            <w:r>
              <w:rPr>
                <w:rFonts w:hAnsi="宋体" w:cs="宋体" w:hint="eastAsia"/>
                <w:sz w:val="18"/>
                <w:szCs w:val="18"/>
              </w:rPr>
              <w:t>1、加强信息披露工作，向利益相关方公开企业社会责任、诚信责任的有关信息。接受利益相关方的监督和评价，不断改进企业社会责任和诚信责任实践。</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20</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2、规范财务和合同管理制度，确保资金链的稳健，诚信履行与合作伙伴、客户等签订的合同义务，确保合同的履行质量和进度。</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20</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3、关注所在社区的需求和发展，积极参与社区服务，提供就业机会、支持社区建设项目等，促进社区的繁荣与发展。</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20</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4、积极参与公益事业，关注社会弱势群体，支持教育、文化、体育等事业的发展。通过捐赠、义工等方式回馈社会，提升企业社会形象。</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20</w:t>
            </w:r>
          </w:p>
        </w:tc>
      </w:tr>
      <w:tr w:rsidR="00C11791">
        <w:tc>
          <w:tcPr>
            <w:tcW w:w="792" w:type="dxa"/>
            <w:vMerge/>
            <w:vAlign w:val="center"/>
          </w:tcPr>
          <w:p w:rsidR="00C11791" w:rsidRDefault="00C11791">
            <w:pPr>
              <w:rPr>
                <w:rFonts w:hAnsi="宋体" w:cs="宋体"/>
                <w:sz w:val="18"/>
                <w:szCs w:val="18"/>
              </w:rPr>
            </w:pPr>
          </w:p>
        </w:tc>
        <w:tc>
          <w:tcPr>
            <w:tcW w:w="846" w:type="dxa"/>
            <w:vMerge w:val="restart"/>
            <w:vAlign w:val="center"/>
          </w:tcPr>
          <w:p w:rsidR="00C11791" w:rsidRDefault="00C12BFF">
            <w:pPr>
              <w:rPr>
                <w:rFonts w:hAnsi="宋体" w:cs="宋体"/>
                <w:sz w:val="18"/>
                <w:szCs w:val="18"/>
              </w:rPr>
            </w:pPr>
            <w:r>
              <w:rPr>
                <w:rFonts w:hAnsi="宋体" w:cs="宋体" w:hint="eastAsia"/>
                <w:sz w:val="18"/>
                <w:szCs w:val="18"/>
              </w:rPr>
              <w:t>10、环境责任（100）</w:t>
            </w:r>
          </w:p>
        </w:tc>
        <w:tc>
          <w:tcPr>
            <w:tcW w:w="6287" w:type="dxa"/>
            <w:vAlign w:val="center"/>
          </w:tcPr>
          <w:p w:rsidR="00C11791" w:rsidRDefault="00C12BFF">
            <w:pPr>
              <w:rPr>
                <w:rFonts w:hAnsi="宋体" w:cs="宋体"/>
                <w:sz w:val="18"/>
                <w:szCs w:val="18"/>
              </w:rPr>
            </w:pPr>
            <w:r>
              <w:rPr>
                <w:rFonts w:hAnsi="宋体" w:cs="宋体" w:hint="eastAsia"/>
                <w:sz w:val="18"/>
                <w:szCs w:val="18"/>
              </w:rPr>
              <w:t>1、主动披露企业的环境信息及环境影响，在产生重大影响时有采取措施改进。</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10</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2、采取具体措施，从源头消减和末端治理上减排污染物，引入清洁生产技术和高效的污染物治理技术。</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25</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3、对污染物产生和排放进行统计和分析，或安装了在线监控管理系统。</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25</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4、污染物治理设施有效运行。</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20</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5、制定并落实物料使用管理制度，明确物料节约和回收利用要求。</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15</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6、制定用水、用能监测和管理制度，采取措施减少能源和水资源的浪费。</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15</w:t>
            </w:r>
          </w:p>
        </w:tc>
      </w:tr>
      <w:tr w:rsidR="00C11791">
        <w:tc>
          <w:tcPr>
            <w:tcW w:w="792" w:type="dxa"/>
            <w:vMerge w:val="restart"/>
            <w:vAlign w:val="center"/>
          </w:tcPr>
          <w:p w:rsidR="00C11791" w:rsidRDefault="00C12BFF">
            <w:pPr>
              <w:rPr>
                <w:rFonts w:hAnsi="宋体" w:cs="宋体"/>
                <w:sz w:val="18"/>
                <w:szCs w:val="18"/>
              </w:rPr>
            </w:pPr>
            <w:r>
              <w:rPr>
                <w:rFonts w:hAnsi="宋体" w:cs="宋体" w:hint="eastAsia"/>
                <w:sz w:val="18"/>
                <w:szCs w:val="18"/>
              </w:rPr>
              <w:t>加分项指标</w:t>
            </w:r>
          </w:p>
        </w:tc>
        <w:tc>
          <w:tcPr>
            <w:tcW w:w="846" w:type="dxa"/>
            <w:vMerge w:val="restart"/>
            <w:vAlign w:val="center"/>
          </w:tcPr>
          <w:p w:rsidR="00C11791" w:rsidRDefault="00C12BFF">
            <w:pPr>
              <w:rPr>
                <w:rFonts w:hAnsi="宋体" w:cs="宋体"/>
                <w:sz w:val="18"/>
                <w:szCs w:val="18"/>
              </w:rPr>
            </w:pPr>
            <w:r>
              <w:rPr>
                <w:rFonts w:hAnsi="宋体" w:cs="宋体" w:hint="eastAsia"/>
                <w:sz w:val="18"/>
                <w:szCs w:val="18"/>
              </w:rPr>
              <w:t>11、加分项（250）</w:t>
            </w:r>
          </w:p>
        </w:tc>
        <w:tc>
          <w:tcPr>
            <w:tcW w:w="6287" w:type="dxa"/>
            <w:vAlign w:val="center"/>
          </w:tcPr>
          <w:p w:rsidR="00C11791" w:rsidRDefault="00C12BFF">
            <w:pPr>
              <w:rPr>
                <w:rFonts w:hAnsi="宋体" w:cs="宋体"/>
                <w:sz w:val="18"/>
                <w:szCs w:val="18"/>
              </w:rPr>
            </w:pPr>
            <w:r>
              <w:rPr>
                <w:rFonts w:hAnsi="宋体" w:cs="宋体" w:hint="eastAsia"/>
                <w:sz w:val="18"/>
                <w:szCs w:val="18"/>
              </w:rPr>
              <w:t>1、通过各类自愿性管理体系认证，每项加10分，总分不超过50分。</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50</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2、通过各类自愿性产品认证，每项加10分，总分不超过50分。</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50</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pPr>
              <w:rPr>
                <w:rFonts w:hAnsi="宋体" w:cs="宋体"/>
                <w:sz w:val="18"/>
                <w:szCs w:val="18"/>
              </w:rPr>
            </w:pPr>
            <w:r>
              <w:rPr>
                <w:rFonts w:hAnsi="宋体" w:cs="宋体" w:hint="eastAsia"/>
                <w:sz w:val="18"/>
                <w:szCs w:val="18"/>
              </w:rPr>
              <w:t>3、获得中国质量奖、广东省政府质量奖、东莞市政府质量奖的，分别加100分、50分、30分。</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100</w:t>
            </w:r>
          </w:p>
        </w:tc>
      </w:tr>
      <w:tr w:rsidR="00C11791">
        <w:tc>
          <w:tcPr>
            <w:tcW w:w="792" w:type="dxa"/>
            <w:vMerge/>
            <w:vAlign w:val="center"/>
          </w:tcPr>
          <w:p w:rsidR="00C11791" w:rsidRDefault="00C11791">
            <w:pPr>
              <w:rPr>
                <w:rFonts w:hAnsi="宋体" w:cs="宋体"/>
                <w:sz w:val="18"/>
                <w:szCs w:val="18"/>
              </w:rPr>
            </w:pPr>
          </w:p>
        </w:tc>
        <w:tc>
          <w:tcPr>
            <w:tcW w:w="846" w:type="dxa"/>
            <w:vMerge/>
            <w:vAlign w:val="center"/>
          </w:tcPr>
          <w:p w:rsidR="00C11791" w:rsidRDefault="00C11791">
            <w:pPr>
              <w:rPr>
                <w:rFonts w:hAnsi="宋体" w:cs="宋体"/>
                <w:sz w:val="18"/>
                <w:szCs w:val="18"/>
              </w:rPr>
            </w:pPr>
          </w:p>
        </w:tc>
        <w:tc>
          <w:tcPr>
            <w:tcW w:w="6287" w:type="dxa"/>
            <w:vAlign w:val="center"/>
          </w:tcPr>
          <w:p w:rsidR="00C11791" w:rsidRDefault="00C12BFF" w:rsidP="009A5FCE">
            <w:pPr>
              <w:rPr>
                <w:rFonts w:hAnsi="宋体" w:cs="宋体"/>
                <w:sz w:val="18"/>
                <w:szCs w:val="18"/>
              </w:rPr>
            </w:pPr>
            <w:r>
              <w:rPr>
                <w:rFonts w:hAnsi="宋体" w:cs="宋体" w:hint="eastAsia"/>
                <w:sz w:val="18"/>
                <w:szCs w:val="18"/>
              </w:rPr>
              <w:t>4、获得国家部委、行业主管部门、全国性行业协会颁发的荣誉奖项，每项加20分；获得广东省行业主管部门、广东省行业协会颁发的荣誉奖项，每项加10分；获得东莞市行业主管部门颁发的荣誉奖项，每项加5分。总分不超过50分。</w:t>
            </w:r>
          </w:p>
        </w:tc>
        <w:tc>
          <w:tcPr>
            <w:tcW w:w="1413" w:type="dxa"/>
            <w:vAlign w:val="center"/>
          </w:tcPr>
          <w:p w:rsidR="00C11791" w:rsidRDefault="00C12BFF">
            <w:pPr>
              <w:jc w:val="center"/>
              <w:rPr>
                <w:rFonts w:hAnsi="宋体" w:cs="宋体"/>
                <w:sz w:val="18"/>
                <w:szCs w:val="18"/>
              </w:rPr>
            </w:pPr>
            <w:r>
              <w:rPr>
                <w:rFonts w:hAnsi="宋体" w:cs="宋体" w:hint="eastAsia"/>
                <w:sz w:val="18"/>
                <w:szCs w:val="18"/>
              </w:rPr>
              <w:t>50</w:t>
            </w:r>
          </w:p>
        </w:tc>
      </w:tr>
    </w:tbl>
    <w:p w:rsidR="00C11791" w:rsidRDefault="00C11791">
      <w:pPr>
        <w:pStyle w:val="afff8"/>
        <w:numPr>
          <w:ilvl w:val="2"/>
          <w:numId w:val="0"/>
        </w:numPr>
        <w:jc w:val="center"/>
        <w:rPr>
          <w:rFonts w:ascii="黑体" w:eastAsia="黑体" w:hAnsi="黑体" w:cs="黑体"/>
        </w:rPr>
      </w:pPr>
    </w:p>
    <w:p w:rsidR="00C11791" w:rsidRDefault="00C12BFF">
      <w:pPr>
        <w:pStyle w:val="affffff5"/>
        <w:framePr w:wrap="around"/>
      </w:pPr>
      <w:r>
        <w:rPr>
          <w:rFonts w:hint="eastAsia"/>
        </w:rPr>
        <w:t xml:space="preserve">    </w:t>
      </w:r>
      <w:r>
        <w:t>_________________________________</w:t>
      </w:r>
    </w:p>
    <w:sectPr w:rsidR="00C11791">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F2D" w:rsidRDefault="00536F2D">
      <w:r>
        <w:separator/>
      </w:r>
    </w:p>
  </w:endnote>
  <w:endnote w:type="continuationSeparator" w:id="0">
    <w:p w:rsidR="00536F2D" w:rsidRDefault="0053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791" w:rsidRDefault="00C12BFF">
    <w:pPr>
      <w:pStyle w:val="afff4"/>
    </w:pPr>
    <w:r>
      <w:fldChar w:fldCharType="begin"/>
    </w:r>
    <w:r>
      <w:instrText xml:space="preserve"> PAGE  \* MERGEFORMAT </w:instrText>
    </w:r>
    <w:r>
      <w:fldChar w:fldCharType="separate"/>
    </w:r>
    <w:r w:rsidR="00703F5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F2D" w:rsidRDefault="00536F2D">
      <w:r>
        <w:separator/>
      </w:r>
    </w:p>
  </w:footnote>
  <w:footnote w:type="continuationSeparator" w:id="0">
    <w:p w:rsidR="00536F2D" w:rsidRDefault="00536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791" w:rsidRDefault="00C12BFF">
    <w:pPr>
      <w:pStyle w:val="afff5"/>
    </w:pPr>
    <w:r>
      <w:t>T/</w:t>
    </w:r>
    <w:r>
      <w:rPr>
        <w:rFonts w:hint="eastAsia"/>
      </w:rPr>
      <w:t>DG</w:t>
    </w:r>
    <w:r w:rsidR="00703F5B">
      <w:t>GSX</w:t>
    </w:r>
    <w:r>
      <w:t xml:space="preserve"> </w:t>
    </w:r>
    <w:r w:rsidR="00703F5B">
      <w:t>001</w:t>
    </w:r>
    <w:r>
      <w:rPr>
        <w:rFonts w:hint="eastAsia"/>
      </w:rPr>
      <w:t xml:space="preserve"> </w:t>
    </w:r>
    <w:r>
      <w:t>—</w:t>
    </w:r>
    <w:r>
      <w:rPr>
        <w:rFonts w:hint="eastAsia"/>
      </w:rPr>
      <w:t xml:space="preserve">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FC91163"/>
    <w:multiLevelType w:val="multilevel"/>
    <w:tmpl w:val="1FC91163"/>
    <w:lvl w:ilvl="0">
      <w:start w:val="1"/>
      <w:numFmt w:val="decimal"/>
      <w:pStyle w:val="a3"/>
      <w:suff w:val="nothing"/>
      <w:lvlText w:val="%1　"/>
      <w:lvlJc w:val="left"/>
      <w:pPr>
        <w:ind w:left="0" w:firstLine="0"/>
      </w:pPr>
      <w:rPr>
        <w:rFonts w:ascii="黑体" w:eastAsia="黑体" w:hAnsi="Times New Roman" w:hint="eastAsia"/>
        <w:b w:val="0"/>
        <w:i w:val="0"/>
        <w:sz w:val="21"/>
        <w:szCs w:val="21"/>
      </w:rPr>
    </w:lvl>
    <w:lvl w:ilvl="1">
      <w:start w:val="1"/>
      <w:numFmt w:val="decimal"/>
      <w:pStyle w:val="a4"/>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15:restartNumberingAfterBreak="0">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 w15:restartNumberingAfterBreak="0">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8" w15:restartNumberingAfterBreak="0">
    <w:nsid w:val="4B733A5F"/>
    <w:multiLevelType w:val="multilevel"/>
    <w:tmpl w:val="4B733A5F"/>
    <w:lvl w:ilvl="0">
      <w:start w:val="1"/>
      <w:numFmt w:val="decimal"/>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9" w15:restartNumberingAfterBreak="0">
    <w:nsid w:val="557C2AF5"/>
    <w:multiLevelType w:val="multilevel"/>
    <w:tmpl w:val="557C2AF5"/>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60B55DC2"/>
    <w:multiLevelType w:val="multilevel"/>
    <w:tmpl w:val="60B55DC2"/>
    <w:lvl w:ilvl="0">
      <w:start w:val="1"/>
      <w:numFmt w:val="upperLetter"/>
      <w:pStyle w:val="af1"/>
      <w:lvlText w:val="%1"/>
      <w:lvlJc w:val="left"/>
      <w:pPr>
        <w:tabs>
          <w:tab w:val="left" w:pos="0"/>
        </w:tabs>
        <w:ind w:left="0" w:hanging="425"/>
      </w:pPr>
      <w:rPr>
        <w:rFonts w:hint="eastAsia"/>
      </w:rPr>
    </w:lvl>
    <w:lvl w:ilvl="1">
      <w:start w:val="1"/>
      <w:numFmt w:val="decimal"/>
      <w:pStyle w:val="af2"/>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1" w15:restartNumberingAfterBreak="0">
    <w:nsid w:val="60C645B3"/>
    <w:multiLevelType w:val="multilevel"/>
    <w:tmpl w:val="60C645B3"/>
    <w:lvl w:ilvl="0">
      <w:start w:val="1"/>
      <w:numFmt w:val="lowerLetter"/>
      <w:pStyle w:val="af3"/>
      <w:lvlText w:val="%1)"/>
      <w:lvlJc w:val="left"/>
      <w:pPr>
        <w:tabs>
          <w:tab w:val="left" w:pos="840"/>
        </w:tabs>
        <w:ind w:left="839" w:hanging="419"/>
      </w:pPr>
      <w:rPr>
        <w:rFonts w:ascii="宋体" w:eastAsia="宋体" w:hint="eastAsia"/>
        <w:b w:val="0"/>
        <w:i w:val="0"/>
        <w:sz w:val="21"/>
        <w:szCs w:val="21"/>
      </w:rPr>
    </w:lvl>
    <w:lvl w:ilvl="1">
      <w:start w:val="1"/>
      <w:numFmt w:val="decimal"/>
      <w:pStyle w:val="af4"/>
      <w:lvlText w:val="%2)"/>
      <w:lvlJc w:val="left"/>
      <w:pPr>
        <w:tabs>
          <w:tab w:val="left" w:pos="1260"/>
        </w:tabs>
        <w:ind w:left="1259" w:hanging="419"/>
      </w:pPr>
      <w:rPr>
        <w:rFonts w:hint="eastAsia"/>
      </w:rPr>
    </w:lvl>
    <w:lvl w:ilvl="2">
      <w:start w:val="1"/>
      <w:numFmt w:val="decimal"/>
      <w:pStyle w:val="af5"/>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15:restartNumberingAfterBreak="0">
    <w:nsid w:val="646260FA"/>
    <w:multiLevelType w:val="multilevel"/>
    <w:tmpl w:val="646260FA"/>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D6C07CD"/>
    <w:multiLevelType w:val="multilevel"/>
    <w:tmpl w:val="6D6C07CD"/>
    <w:lvl w:ilvl="0">
      <w:start w:val="1"/>
      <w:numFmt w:val="lowerLetter"/>
      <w:pStyle w:val="afe"/>
      <w:lvlText w:val="%1)"/>
      <w:lvlJc w:val="left"/>
      <w:pPr>
        <w:tabs>
          <w:tab w:val="left" w:pos="839"/>
        </w:tabs>
        <w:ind w:left="839" w:hanging="419"/>
      </w:pPr>
      <w:rPr>
        <w:rFonts w:ascii="宋体" w:eastAsia="宋体" w:hint="eastAsia"/>
        <w:b w:val="0"/>
        <w:i w:val="0"/>
        <w:sz w:val="21"/>
      </w:rPr>
    </w:lvl>
    <w:lvl w:ilvl="1">
      <w:start w:val="1"/>
      <w:numFmt w:val="decimal"/>
      <w:pStyle w:val="a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5" w15:restartNumberingAfterBreak="0">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6" w15:restartNumberingAfterBreak="0">
    <w:nsid w:val="7760749B"/>
    <w:multiLevelType w:val="multilevel"/>
    <w:tmpl w:val="7760749B"/>
    <w:lvl w:ilvl="0">
      <w:start w:val="1"/>
      <w:numFmt w:val="decimal"/>
      <w:pStyle w:val="aff1"/>
      <w:suff w:val="nothing"/>
      <w:lvlText w:val="注%1："/>
      <w:lvlJc w:val="left"/>
      <w:pPr>
        <w:ind w:left="811" w:hanging="448"/>
      </w:pPr>
      <w:rPr>
        <w:rFonts w:eastAsia="黑体" w:hAnsi="黑体"/>
        <w:b w:val="0"/>
        <w:i w:val="0"/>
        <w:sz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num w:numId="1">
    <w:abstractNumId w:val="7"/>
  </w:num>
  <w:num w:numId="2">
    <w:abstractNumId w:val="4"/>
  </w:num>
  <w:num w:numId="3">
    <w:abstractNumId w:val="6"/>
  </w:num>
  <w:num w:numId="4">
    <w:abstractNumId w:val="2"/>
  </w:num>
  <w:num w:numId="5">
    <w:abstractNumId w:val="11"/>
  </w:num>
  <w:num w:numId="6">
    <w:abstractNumId w:val="15"/>
  </w:num>
  <w:num w:numId="7">
    <w:abstractNumId w:val="0"/>
  </w:num>
  <w:num w:numId="8">
    <w:abstractNumId w:val="8"/>
  </w:num>
  <w:num w:numId="9">
    <w:abstractNumId w:val="16"/>
  </w:num>
  <w:num w:numId="10">
    <w:abstractNumId w:val="13"/>
  </w:num>
  <w:num w:numId="11">
    <w:abstractNumId w:val="10"/>
  </w:num>
  <w:num w:numId="12">
    <w:abstractNumId w:val="14"/>
  </w:num>
  <w:num w:numId="13">
    <w:abstractNumId w:val="5"/>
  </w:num>
  <w:num w:numId="14">
    <w:abstractNumId w:val="1"/>
  </w:num>
  <w:num w:numId="15">
    <w:abstractNumId w:val="3"/>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4OTc0Y2EyNThiYTlhMmY4ODlkYWZmNTMzY2UyMWUifQ=="/>
  </w:docVars>
  <w:rsids>
    <w:rsidRoot w:val="5BEC375B"/>
    <w:rsid w:val="00000244"/>
    <w:rsid w:val="0000185F"/>
    <w:rsid w:val="0000586F"/>
    <w:rsid w:val="00013D86"/>
    <w:rsid w:val="00013E02"/>
    <w:rsid w:val="0002143C"/>
    <w:rsid w:val="00025A65"/>
    <w:rsid w:val="00026C31"/>
    <w:rsid w:val="00027280"/>
    <w:rsid w:val="00027321"/>
    <w:rsid w:val="000320A7"/>
    <w:rsid w:val="00034E5D"/>
    <w:rsid w:val="00035925"/>
    <w:rsid w:val="00067CDF"/>
    <w:rsid w:val="00072763"/>
    <w:rsid w:val="00074FBE"/>
    <w:rsid w:val="00083A09"/>
    <w:rsid w:val="00083E6A"/>
    <w:rsid w:val="0009005E"/>
    <w:rsid w:val="00092857"/>
    <w:rsid w:val="0009420B"/>
    <w:rsid w:val="000A20A9"/>
    <w:rsid w:val="000A3132"/>
    <w:rsid w:val="000A48B1"/>
    <w:rsid w:val="000B3143"/>
    <w:rsid w:val="000C6B05"/>
    <w:rsid w:val="000C6DD6"/>
    <w:rsid w:val="000C73D4"/>
    <w:rsid w:val="000D3D4C"/>
    <w:rsid w:val="000D3D8A"/>
    <w:rsid w:val="000D4F51"/>
    <w:rsid w:val="000D718B"/>
    <w:rsid w:val="000E0C46"/>
    <w:rsid w:val="000E31EC"/>
    <w:rsid w:val="000F030C"/>
    <w:rsid w:val="000F129C"/>
    <w:rsid w:val="000F4BD7"/>
    <w:rsid w:val="001056DE"/>
    <w:rsid w:val="001124C0"/>
    <w:rsid w:val="00124454"/>
    <w:rsid w:val="0013175F"/>
    <w:rsid w:val="001512B4"/>
    <w:rsid w:val="001544B1"/>
    <w:rsid w:val="00161376"/>
    <w:rsid w:val="001620A5"/>
    <w:rsid w:val="00164E53"/>
    <w:rsid w:val="0016699D"/>
    <w:rsid w:val="00175159"/>
    <w:rsid w:val="00176208"/>
    <w:rsid w:val="0018211B"/>
    <w:rsid w:val="001840D3"/>
    <w:rsid w:val="001900F8"/>
    <w:rsid w:val="00191258"/>
    <w:rsid w:val="00192680"/>
    <w:rsid w:val="00193037"/>
    <w:rsid w:val="00193A2C"/>
    <w:rsid w:val="00197E1A"/>
    <w:rsid w:val="001A2840"/>
    <w:rsid w:val="001A288E"/>
    <w:rsid w:val="001B5A4E"/>
    <w:rsid w:val="001B6DC2"/>
    <w:rsid w:val="001C149C"/>
    <w:rsid w:val="001C21AC"/>
    <w:rsid w:val="001C47BA"/>
    <w:rsid w:val="001C59EA"/>
    <w:rsid w:val="001D406C"/>
    <w:rsid w:val="001D41EE"/>
    <w:rsid w:val="001D4D7A"/>
    <w:rsid w:val="001E0380"/>
    <w:rsid w:val="001E13B1"/>
    <w:rsid w:val="001E33EA"/>
    <w:rsid w:val="001E4D45"/>
    <w:rsid w:val="001F3A19"/>
    <w:rsid w:val="00224203"/>
    <w:rsid w:val="00234467"/>
    <w:rsid w:val="002373F4"/>
    <w:rsid w:val="00237D8D"/>
    <w:rsid w:val="00241DA2"/>
    <w:rsid w:val="00247FEE"/>
    <w:rsid w:val="00250E7D"/>
    <w:rsid w:val="002565D5"/>
    <w:rsid w:val="002622C0"/>
    <w:rsid w:val="002778AE"/>
    <w:rsid w:val="00280EBA"/>
    <w:rsid w:val="00281AF8"/>
    <w:rsid w:val="0028269A"/>
    <w:rsid w:val="00283590"/>
    <w:rsid w:val="00286973"/>
    <w:rsid w:val="00292D2B"/>
    <w:rsid w:val="00294E70"/>
    <w:rsid w:val="002A1924"/>
    <w:rsid w:val="002A4957"/>
    <w:rsid w:val="002A7420"/>
    <w:rsid w:val="002A77D0"/>
    <w:rsid w:val="002B0F12"/>
    <w:rsid w:val="002B1308"/>
    <w:rsid w:val="002B4554"/>
    <w:rsid w:val="002C68DC"/>
    <w:rsid w:val="002C72D8"/>
    <w:rsid w:val="002D11FA"/>
    <w:rsid w:val="002E0DDF"/>
    <w:rsid w:val="002E2906"/>
    <w:rsid w:val="002E5635"/>
    <w:rsid w:val="002E64C3"/>
    <w:rsid w:val="002E6A2C"/>
    <w:rsid w:val="002F1D8C"/>
    <w:rsid w:val="002F21DA"/>
    <w:rsid w:val="002F5718"/>
    <w:rsid w:val="00301E10"/>
    <w:rsid w:val="00301F39"/>
    <w:rsid w:val="00317141"/>
    <w:rsid w:val="00325926"/>
    <w:rsid w:val="00327A8A"/>
    <w:rsid w:val="00336610"/>
    <w:rsid w:val="0034121F"/>
    <w:rsid w:val="00343F73"/>
    <w:rsid w:val="00345060"/>
    <w:rsid w:val="0035323B"/>
    <w:rsid w:val="003609D2"/>
    <w:rsid w:val="00361689"/>
    <w:rsid w:val="00363F22"/>
    <w:rsid w:val="00374855"/>
    <w:rsid w:val="00375564"/>
    <w:rsid w:val="00381063"/>
    <w:rsid w:val="00383191"/>
    <w:rsid w:val="003860D2"/>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01A0"/>
    <w:rsid w:val="003F4EE0"/>
    <w:rsid w:val="00402153"/>
    <w:rsid w:val="00402FC1"/>
    <w:rsid w:val="00425082"/>
    <w:rsid w:val="00431DEB"/>
    <w:rsid w:val="00446B29"/>
    <w:rsid w:val="00453F9A"/>
    <w:rsid w:val="00471E91"/>
    <w:rsid w:val="00474675"/>
    <w:rsid w:val="0047470C"/>
    <w:rsid w:val="00485B09"/>
    <w:rsid w:val="004A318F"/>
    <w:rsid w:val="004A35F9"/>
    <w:rsid w:val="004B24C1"/>
    <w:rsid w:val="004C292F"/>
    <w:rsid w:val="00505638"/>
    <w:rsid w:val="00510280"/>
    <w:rsid w:val="00513D73"/>
    <w:rsid w:val="00514A43"/>
    <w:rsid w:val="00514F6D"/>
    <w:rsid w:val="005174E5"/>
    <w:rsid w:val="00521B05"/>
    <w:rsid w:val="00522393"/>
    <w:rsid w:val="00522620"/>
    <w:rsid w:val="00522FA3"/>
    <w:rsid w:val="00525656"/>
    <w:rsid w:val="005317BE"/>
    <w:rsid w:val="00534C02"/>
    <w:rsid w:val="00536F2D"/>
    <w:rsid w:val="0054264B"/>
    <w:rsid w:val="00543786"/>
    <w:rsid w:val="005533D7"/>
    <w:rsid w:val="00562EC0"/>
    <w:rsid w:val="005703DE"/>
    <w:rsid w:val="0058464E"/>
    <w:rsid w:val="0058475D"/>
    <w:rsid w:val="005937B1"/>
    <w:rsid w:val="005A01CB"/>
    <w:rsid w:val="005A2088"/>
    <w:rsid w:val="005A58FF"/>
    <w:rsid w:val="005A5EAF"/>
    <w:rsid w:val="005A64C0"/>
    <w:rsid w:val="005B1ABB"/>
    <w:rsid w:val="005B3C11"/>
    <w:rsid w:val="005B579D"/>
    <w:rsid w:val="005C1C28"/>
    <w:rsid w:val="005C6DB5"/>
    <w:rsid w:val="005E19E7"/>
    <w:rsid w:val="0061716C"/>
    <w:rsid w:val="006243A1"/>
    <w:rsid w:val="0063269F"/>
    <w:rsid w:val="00632E56"/>
    <w:rsid w:val="00635CBA"/>
    <w:rsid w:val="0064338B"/>
    <w:rsid w:val="00646542"/>
    <w:rsid w:val="006472E6"/>
    <w:rsid w:val="006504F4"/>
    <w:rsid w:val="00654BC9"/>
    <w:rsid w:val="006552FD"/>
    <w:rsid w:val="00663AF3"/>
    <w:rsid w:val="00666B6C"/>
    <w:rsid w:val="00682682"/>
    <w:rsid w:val="00682702"/>
    <w:rsid w:val="006864A9"/>
    <w:rsid w:val="00692368"/>
    <w:rsid w:val="006A2EBC"/>
    <w:rsid w:val="006A5EA0"/>
    <w:rsid w:val="006A783B"/>
    <w:rsid w:val="006A7B33"/>
    <w:rsid w:val="006B4E13"/>
    <w:rsid w:val="006B75DD"/>
    <w:rsid w:val="006C67E0"/>
    <w:rsid w:val="006C7ABA"/>
    <w:rsid w:val="006D0D60"/>
    <w:rsid w:val="006D1122"/>
    <w:rsid w:val="006D3C00"/>
    <w:rsid w:val="006E3675"/>
    <w:rsid w:val="006E4A7F"/>
    <w:rsid w:val="006F3EB7"/>
    <w:rsid w:val="006F6177"/>
    <w:rsid w:val="00703F5B"/>
    <w:rsid w:val="00704DF6"/>
    <w:rsid w:val="0070651C"/>
    <w:rsid w:val="007132A3"/>
    <w:rsid w:val="00716421"/>
    <w:rsid w:val="00724EFB"/>
    <w:rsid w:val="007371CA"/>
    <w:rsid w:val="007419C3"/>
    <w:rsid w:val="007467A7"/>
    <w:rsid w:val="007469DD"/>
    <w:rsid w:val="0074741B"/>
    <w:rsid w:val="0074759E"/>
    <w:rsid w:val="007478EA"/>
    <w:rsid w:val="0075415C"/>
    <w:rsid w:val="00763502"/>
    <w:rsid w:val="00770317"/>
    <w:rsid w:val="0077555A"/>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19E4"/>
    <w:rsid w:val="0080654C"/>
    <w:rsid w:val="008071C6"/>
    <w:rsid w:val="00812FE8"/>
    <w:rsid w:val="008155C9"/>
    <w:rsid w:val="00817A00"/>
    <w:rsid w:val="008302E5"/>
    <w:rsid w:val="00835DB3"/>
    <w:rsid w:val="0083617B"/>
    <w:rsid w:val="008371BD"/>
    <w:rsid w:val="00843240"/>
    <w:rsid w:val="00843EB5"/>
    <w:rsid w:val="008504A8"/>
    <w:rsid w:val="0085282E"/>
    <w:rsid w:val="0087198C"/>
    <w:rsid w:val="00872C1F"/>
    <w:rsid w:val="00873B42"/>
    <w:rsid w:val="008856D8"/>
    <w:rsid w:val="00892E82"/>
    <w:rsid w:val="008C1B58"/>
    <w:rsid w:val="008C39AE"/>
    <w:rsid w:val="008C590D"/>
    <w:rsid w:val="008E031B"/>
    <w:rsid w:val="008E04A6"/>
    <w:rsid w:val="008E7029"/>
    <w:rsid w:val="008E7EF6"/>
    <w:rsid w:val="008F1F98"/>
    <w:rsid w:val="008F6758"/>
    <w:rsid w:val="009040DD"/>
    <w:rsid w:val="00905B47"/>
    <w:rsid w:val="0091331C"/>
    <w:rsid w:val="009279DE"/>
    <w:rsid w:val="00930116"/>
    <w:rsid w:val="0094212C"/>
    <w:rsid w:val="00942954"/>
    <w:rsid w:val="00954689"/>
    <w:rsid w:val="009617C9"/>
    <w:rsid w:val="00961C93"/>
    <w:rsid w:val="00965324"/>
    <w:rsid w:val="0097091E"/>
    <w:rsid w:val="009760D3"/>
    <w:rsid w:val="00977132"/>
    <w:rsid w:val="00981A4B"/>
    <w:rsid w:val="00982501"/>
    <w:rsid w:val="009877D3"/>
    <w:rsid w:val="00994E8F"/>
    <w:rsid w:val="009951DC"/>
    <w:rsid w:val="009959BB"/>
    <w:rsid w:val="0099630E"/>
    <w:rsid w:val="00997158"/>
    <w:rsid w:val="009A3A7C"/>
    <w:rsid w:val="009A5FCE"/>
    <w:rsid w:val="009B2ADB"/>
    <w:rsid w:val="009B3039"/>
    <w:rsid w:val="009B603A"/>
    <w:rsid w:val="009C2D0E"/>
    <w:rsid w:val="009C3DAC"/>
    <w:rsid w:val="009C42E0"/>
    <w:rsid w:val="009D517C"/>
    <w:rsid w:val="009D5362"/>
    <w:rsid w:val="009E1415"/>
    <w:rsid w:val="009E6116"/>
    <w:rsid w:val="009F7095"/>
    <w:rsid w:val="00A02E43"/>
    <w:rsid w:val="00A065F9"/>
    <w:rsid w:val="00A07F34"/>
    <w:rsid w:val="00A22154"/>
    <w:rsid w:val="00A25C38"/>
    <w:rsid w:val="00A36BBE"/>
    <w:rsid w:val="00A4307A"/>
    <w:rsid w:val="00A47EBB"/>
    <w:rsid w:val="00A51CDD"/>
    <w:rsid w:val="00A6730D"/>
    <w:rsid w:val="00A71625"/>
    <w:rsid w:val="00A71B9B"/>
    <w:rsid w:val="00A751C7"/>
    <w:rsid w:val="00A87844"/>
    <w:rsid w:val="00A910A6"/>
    <w:rsid w:val="00AA038C"/>
    <w:rsid w:val="00AA7A09"/>
    <w:rsid w:val="00AB3B50"/>
    <w:rsid w:val="00AC05B1"/>
    <w:rsid w:val="00AD356C"/>
    <w:rsid w:val="00AE0E7E"/>
    <w:rsid w:val="00AE2914"/>
    <w:rsid w:val="00AE6D15"/>
    <w:rsid w:val="00AF1D32"/>
    <w:rsid w:val="00B04182"/>
    <w:rsid w:val="00B07AE3"/>
    <w:rsid w:val="00B11430"/>
    <w:rsid w:val="00B353EB"/>
    <w:rsid w:val="00B439C4"/>
    <w:rsid w:val="00B43CA5"/>
    <w:rsid w:val="00B4535E"/>
    <w:rsid w:val="00B52A8C"/>
    <w:rsid w:val="00B535AB"/>
    <w:rsid w:val="00B60FDA"/>
    <w:rsid w:val="00B636A8"/>
    <w:rsid w:val="00B665C6"/>
    <w:rsid w:val="00B741E0"/>
    <w:rsid w:val="00B749EC"/>
    <w:rsid w:val="00B805AF"/>
    <w:rsid w:val="00B869EC"/>
    <w:rsid w:val="00B9397A"/>
    <w:rsid w:val="00B9633D"/>
    <w:rsid w:val="00BA2EBE"/>
    <w:rsid w:val="00BB0F28"/>
    <w:rsid w:val="00BB458A"/>
    <w:rsid w:val="00BD00D3"/>
    <w:rsid w:val="00BD1659"/>
    <w:rsid w:val="00BD3AA9"/>
    <w:rsid w:val="00BD4A18"/>
    <w:rsid w:val="00BD6DB2"/>
    <w:rsid w:val="00BE11CF"/>
    <w:rsid w:val="00BE1463"/>
    <w:rsid w:val="00BE21AB"/>
    <w:rsid w:val="00BE55CB"/>
    <w:rsid w:val="00BF617A"/>
    <w:rsid w:val="00C0379D"/>
    <w:rsid w:val="00C03931"/>
    <w:rsid w:val="00C05FE3"/>
    <w:rsid w:val="00C11791"/>
    <w:rsid w:val="00C12BFF"/>
    <w:rsid w:val="00C2136D"/>
    <w:rsid w:val="00C214EE"/>
    <w:rsid w:val="00C2204C"/>
    <w:rsid w:val="00C2314B"/>
    <w:rsid w:val="00C24971"/>
    <w:rsid w:val="00C26BE5"/>
    <w:rsid w:val="00C26E4D"/>
    <w:rsid w:val="00C27909"/>
    <w:rsid w:val="00C27B03"/>
    <w:rsid w:val="00C306E5"/>
    <w:rsid w:val="00C30732"/>
    <w:rsid w:val="00C314E1"/>
    <w:rsid w:val="00C34397"/>
    <w:rsid w:val="00C4095D"/>
    <w:rsid w:val="00C431D9"/>
    <w:rsid w:val="00C46107"/>
    <w:rsid w:val="00C601D2"/>
    <w:rsid w:val="00C657AB"/>
    <w:rsid w:val="00C65BCC"/>
    <w:rsid w:val="00C66970"/>
    <w:rsid w:val="00C8691C"/>
    <w:rsid w:val="00C87B77"/>
    <w:rsid w:val="00CA168A"/>
    <w:rsid w:val="00CA357E"/>
    <w:rsid w:val="00CA44F9"/>
    <w:rsid w:val="00CA4A69"/>
    <w:rsid w:val="00CB29AA"/>
    <w:rsid w:val="00CC3E0C"/>
    <w:rsid w:val="00CC58D3"/>
    <w:rsid w:val="00CC784D"/>
    <w:rsid w:val="00CE4260"/>
    <w:rsid w:val="00D02C19"/>
    <w:rsid w:val="00D0337B"/>
    <w:rsid w:val="00D079B2"/>
    <w:rsid w:val="00D114E9"/>
    <w:rsid w:val="00D429C6"/>
    <w:rsid w:val="00D47748"/>
    <w:rsid w:val="00D47B43"/>
    <w:rsid w:val="00D52638"/>
    <w:rsid w:val="00D54CC3"/>
    <w:rsid w:val="00D6041A"/>
    <w:rsid w:val="00D633EB"/>
    <w:rsid w:val="00D71A65"/>
    <w:rsid w:val="00D82FF7"/>
    <w:rsid w:val="00D847FE"/>
    <w:rsid w:val="00D879C8"/>
    <w:rsid w:val="00D92BFD"/>
    <w:rsid w:val="00D964EA"/>
    <w:rsid w:val="00D966D0"/>
    <w:rsid w:val="00DA0C59"/>
    <w:rsid w:val="00DA3991"/>
    <w:rsid w:val="00DA69E1"/>
    <w:rsid w:val="00DB7E6C"/>
    <w:rsid w:val="00DD5A29"/>
    <w:rsid w:val="00DD5D9D"/>
    <w:rsid w:val="00DE35CB"/>
    <w:rsid w:val="00DF21E9"/>
    <w:rsid w:val="00E00F14"/>
    <w:rsid w:val="00E061DE"/>
    <w:rsid w:val="00E06386"/>
    <w:rsid w:val="00E16095"/>
    <w:rsid w:val="00E24EB4"/>
    <w:rsid w:val="00E320ED"/>
    <w:rsid w:val="00E33AFB"/>
    <w:rsid w:val="00E34218"/>
    <w:rsid w:val="00E44FF2"/>
    <w:rsid w:val="00E46282"/>
    <w:rsid w:val="00E5177C"/>
    <w:rsid w:val="00E5216E"/>
    <w:rsid w:val="00E7299F"/>
    <w:rsid w:val="00E82344"/>
    <w:rsid w:val="00E84C82"/>
    <w:rsid w:val="00E84D64"/>
    <w:rsid w:val="00E87408"/>
    <w:rsid w:val="00E914C4"/>
    <w:rsid w:val="00E934F5"/>
    <w:rsid w:val="00E96961"/>
    <w:rsid w:val="00E97089"/>
    <w:rsid w:val="00EA4C05"/>
    <w:rsid w:val="00EA72EC"/>
    <w:rsid w:val="00EB11CB"/>
    <w:rsid w:val="00EB275A"/>
    <w:rsid w:val="00EB786A"/>
    <w:rsid w:val="00EC1578"/>
    <w:rsid w:val="00EC1C72"/>
    <w:rsid w:val="00EC3CC9"/>
    <w:rsid w:val="00EC680A"/>
    <w:rsid w:val="00ED4F3E"/>
    <w:rsid w:val="00EE2BED"/>
    <w:rsid w:val="00EE374B"/>
    <w:rsid w:val="00EE7647"/>
    <w:rsid w:val="00EF0F7A"/>
    <w:rsid w:val="00F01450"/>
    <w:rsid w:val="00F11BB5"/>
    <w:rsid w:val="00F1417B"/>
    <w:rsid w:val="00F24EB0"/>
    <w:rsid w:val="00F34B99"/>
    <w:rsid w:val="00F46C6E"/>
    <w:rsid w:val="00F52DAB"/>
    <w:rsid w:val="00F543F0"/>
    <w:rsid w:val="00F56C67"/>
    <w:rsid w:val="00F616E8"/>
    <w:rsid w:val="00F61B02"/>
    <w:rsid w:val="00F76DC3"/>
    <w:rsid w:val="00F81D29"/>
    <w:rsid w:val="00F91C4D"/>
    <w:rsid w:val="00F92692"/>
    <w:rsid w:val="00F92FD9"/>
    <w:rsid w:val="00F934CF"/>
    <w:rsid w:val="00FA6684"/>
    <w:rsid w:val="00FA731E"/>
    <w:rsid w:val="00FB2B38"/>
    <w:rsid w:val="00FB7F27"/>
    <w:rsid w:val="00FC6358"/>
    <w:rsid w:val="00FD172D"/>
    <w:rsid w:val="00FD320D"/>
    <w:rsid w:val="00FE23DE"/>
    <w:rsid w:val="01B75BE1"/>
    <w:rsid w:val="05DB353B"/>
    <w:rsid w:val="142D25D1"/>
    <w:rsid w:val="1DCF707B"/>
    <w:rsid w:val="1F9B5EE6"/>
    <w:rsid w:val="2C855108"/>
    <w:rsid w:val="440924CB"/>
    <w:rsid w:val="594F07AA"/>
    <w:rsid w:val="5B9C6858"/>
    <w:rsid w:val="5BEC375B"/>
    <w:rsid w:val="65E621D9"/>
    <w:rsid w:val="6BDD3C18"/>
    <w:rsid w:val="75A831F5"/>
    <w:rsid w:val="76EF5F37"/>
    <w:rsid w:val="7F9B3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autoRedefine/>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autoRedefine/>
    <w:semiHidden/>
    <w:qFormat/>
    <w:pPr>
      <w:tabs>
        <w:tab w:val="right" w:leader="dot" w:pos="9241"/>
      </w:tabs>
      <w:ind w:firstLineChars="500" w:firstLine="500"/>
      <w:jc w:val="left"/>
    </w:pPr>
    <w:rPr>
      <w:rFonts w:ascii="宋体"/>
      <w:szCs w:val="21"/>
    </w:rPr>
  </w:style>
  <w:style w:type="paragraph" w:styleId="8">
    <w:name w:val="index 8"/>
    <w:basedOn w:val="aff2"/>
    <w:next w:val="aff2"/>
    <w:autoRedefine/>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autoRedefine/>
    <w:qFormat/>
    <w:pPr>
      <w:ind w:left="1050" w:hanging="210"/>
      <w:jc w:val="left"/>
    </w:pPr>
    <w:rPr>
      <w:rFonts w:ascii="Calibri" w:hAnsi="Calibri"/>
      <w:sz w:val="20"/>
      <w:szCs w:val="20"/>
    </w:rPr>
  </w:style>
  <w:style w:type="paragraph" w:styleId="aff7">
    <w:name w:val="Document Map"/>
    <w:basedOn w:val="aff2"/>
    <w:autoRedefine/>
    <w:semiHidden/>
    <w:qFormat/>
    <w:pPr>
      <w:shd w:val="clear" w:color="auto" w:fill="000080"/>
    </w:pPr>
  </w:style>
  <w:style w:type="paragraph" w:styleId="6">
    <w:name w:val="index 6"/>
    <w:basedOn w:val="aff2"/>
    <w:next w:val="aff2"/>
    <w:autoRedefine/>
    <w:qFormat/>
    <w:pPr>
      <w:ind w:left="1260" w:hanging="210"/>
      <w:jc w:val="left"/>
    </w:pPr>
    <w:rPr>
      <w:rFonts w:ascii="Calibri" w:hAnsi="Calibri"/>
      <w:sz w:val="20"/>
      <w:szCs w:val="20"/>
    </w:rPr>
  </w:style>
  <w:style w:type="paragraph" w:styleId="4">
    <w:name w:val="index 4"/>
    <w:basedOn w:val="aff2"/>
    <w:next w:val="aff2"/>
    <w:autoRedefine/>
    <w:qFormat/>
    <w:pPr>
      <w:ind w:left="840" w:hanging="210"/>
      <w:jc w:val="left"/>
    </w:pPr>
    <w:rPr>
      <w:rFonts w:ascii="Calibri" w:hAnsi="Calibri"/>
      <w:sz w:val="20"/>
      <w:szCs w:val="20"/>
    </w:rPr>
  </w:style>
  <w:style w:type="paragraph" w:styleId="50">
    <w:name w:val="toc 5"/>
    <w:basedOn w:val="aff2"/>
    <w:next w:val="aff2"/>
    <w:autoRedefine/>
    <w:semiHidden/>
    <w:qFormat/>
    <w:pPr>
      <w:tabs>
        <w:tab w:val="right" w:leader="dot" w:pos="9241"/>
      </w:tabs>
      <w:ind w:firstLineChars="300" w:firstLine="300"/>
      <w:jc w:val="left"/>
    </w:pPr>
    <w:rPr>
      <w:rFonts w:ascii="宋体"/>
      <w:szCs w:val="21"/>
    </w:rPr>
  </w:style>
  <w:style w:type="paragraph" w:styleId="3">
    <w:name w:val="toc 3"/>
    <w:basedOn w:val="aff2"/>
    <w:next w:val="aff2"/>
    <w:autoRedefine/>
    <w:semiHidden/>
    <w:qFormat/>
    <w:pPr>
      <w:tabs>
        <w:tab w:val="right" w:leader="dot" w:pos="9241"/>
      </w:tabs>
      <w:ind w:firstLineChars="100" w:firstLine="100"/>
      <w:jc w:val="left"/>
    </w:pPr>
    <w:rPr>
      <w:rFonts w:ascii="宋体"/>
      <w:szCs w:val="21"/>
    </w:rPr>
  </w:style>
  <w:style w:type="paragraph" w:styleId="80">
    <w:name w:val="toc 8"/>
    <w:basedOn w:val="aff2"/>
    <w:next w:val="aff2"/>
    <w:autoRedefine/>
    <w:semiHidden/>
    <w:qFormat/>
    <w:pPr>
      <w:tabs>
        <w:tab w:val="right" w:leader="dot" w:pos="9241"/>
      </w:tabs>
      <w:ind w:firstLineChars="600" w:firstLine="607"/>
      <w:jc w:val="left"/>
    </w:pPr>
    <w:rPr>
      <w:rFonts w:ascii="宋体"/>
      <w:szCs w:val="21"/>
    </w:rPr>
  </w:style>
  <w:style w:type="paragraph" w:styleId="30">
    <w:name w:val="index 3"/>
    <w:basedOn w:val="aff2"/>
    <w:next w:val="aff2"/>
    <w:autoRedefine/>
    <w:qFormat/>
    <w:pPr>
      <w:ind w:left="630" w:hanging="210"/>
      <w:jc w:val="left"/>
    </w:pPr>
    <w:rPr>
      <w:rFonts w:ascii="Calibri" w:hAnsi="Calibri"/>
      <w:sz w:val="20"/>
      <w:szCs w:val="20"/>
    </w:rPr>
  </w:style>
  <w:style w:type="paragraph" w:styleId="aff8">
    <w:name w:val="endnote text"/>
    <w:basedOn w:val="aff2"/>
    <w:autoRedefine/>
    <w:semiHidden/>
    <w:qFormat/>
    <w:pPr>
      <w:snapToGrid w:val="0"/>
      <w:jc w:val="left"/>
    </w:pPr>
  </w:style>
  <w:style w:type="paragraph" w:styleId="aff9">
    <w:name w:val="Balloon Text"/>
    <w:basedOn w:val="aff2"/>
    <w:link w:val="Char"/>
    <w:autoRedefine/>
    <w:qFormat/>
    <w:rPr>
      <w:sz w:val="18"/>
      <w:szCs w:val="18"/>
    </w:rPr>
  </w:style>
  <w:style w:type="paragraph" w:styleId="affa">
    <w:name w:val="footer"/>
    <w:basedOn w:val="aff2"/>
    <w:autoRedefine/>
    <w:qFormat/>
    <w:pPr>
      <w:snapToGrid w:val="0"/>
      <w:ind w:rightChars="100" w:right="210"/>
      <w:jc w:val="right"/>
    </w:pPr>
    <w:rPr>
      <w:sz w:val="18"/>
      <w:szCs w:val="18"/>
    </w:rPr>
  </w:style>
  <w:style w:type="paragraph" w:styleId="affb">
    <w:name w:val="header"/>
    <w:basedOn w:val="aff2"/>
    <w:autoRedefine/>
    <w:qFormat/>
    <w:pPr>
      <w:snapToGrid w:val="0"/>
      <w:jc w:val="left"/>
    </w:pPr>
    <w:rPr>
      <w:sz w:val="18"/>
      <w:szCs w:val="18"/>
    </w:rPr>
  </w:style>
  <w:style w:type="paragraph" w:styleId="1">
    <w:name w:val="toc 1"/>
    <w:basedOn w:val="aff2"/>
    <w:next w:val="aff2"/>
    <w:autoRedefine/>
    <w:semiHidden/>
    <w:qFormat/>
    <w:pPr>
      <w:tabs>
        <w:tab w:val="right" w:leader="dot" w:pos="9242"/>
      </w:tabs>
      <w:spacing w:beforeLines="25" w:afterLines="25"/>
      <w:jc w:val="left"/>
    </w:pPr>
    <w:rPr>
      <w:rFonts w:ascii="宋体"/>
      <w:szCs w:val="21"/>
    </w:rPr>
  </w:style>
  <w:style w:type="paragraph" w:styleId="40">
    <w:name w:val="toc 4"/>
    <w:basedOn w:val="aff2"/>
    <w:next w:val="aff2"/>
    <w:autoRedefine/>
    <w:semiHidden/>
    <w:qFormat/>
    <w:pPr>
      <w:tabs>
        <w:tab w:val="right" w:leader="dot" w:pos="9241"/>
      </w:tabs>
      <w:ind w:firstLineChars="200" w:firstLine="200"/>
      <w:jc w:val="left"/>
    </w:pPr>
    <w:rPr>
      <w:rFonts w:ascii="宋体"/>
      <w:szCs w:val="21"/>
    </w:rPr>
  </w:style>
  <w:style w:type="paragraph" w:styleId="affc">
    <w:name w:val="index heading"/>
    <w:basedOn w:val="aff2"/>
    <w:next w:val="10"/>
    <w:autoRedefine/>
    <w:qFormat/>
    <w:pPr>
      <w:spacing w:before="120" w:after="120"/>
      <w:jc w:val="center"/>
    </w:pPr>
    <w:rPr>
      <w:rFonts w:ascii="Calibri" w:hAnsi="Calibri"/>
      <w:b/>
      <w:bCs/>
      <w:iCs/>
      <w:szCs w:val="20"/>
    </w:rPr>
  </w:style>
  <w:style w:type="paragraph" w:styleId="10">
    <w:name w:val="index 1"/>
    <w:basedOn w:val="aff2"/>
    <w:next w:val="affd"/>
    <w:autoRedefine/>
    <w:qFormat/>
    <w:pPr>
      <w:tabs>
        <w:tab w:val="right" w:leader="dot" w:pos="9299"/>
      </w:tabs>
      <w:jc w:val="left"/>
    </w:pPr>
    <w:rPr>
      <w:rFonts w:ascii="宋体"/>
      <w:szCs w:val="21"/>
    </w:rPr>
  </w:style>
  <w:style w:type="paragraph" w:customStyle="1" w:styleId="affd">
    <w:name w:val="段"/>
    <w:link w:val="Char0"/>
    <w:autoRedefine/>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f2"/>
    <w:autoRedefine/>
    <w:qFormat/>
    <w:pPr>
      <w:numPr>
        <w:numId w:val="1"/>
      </w:numPr>
      <w:snapToGrid w:val="0"/>
      <w:jc w:val="left"/>
    </w:pPr>
    <w:rPr>
      <w:rFonts w:ascii="宋体"/>
      <w:sz w:val="18"/>
      <w:szCs w:val="18"/>
    </w:rPr>
  </w:style>
  <w:style w:type="paragraph" w:styleId="60">
    <w:name w:val="toc 6"/>
    <w:basedOn w:val="aff2"/>
    <w:next w:val="aff2"/>
    <w:autoRedefine/>
    <w:semiHidden/>
    <w:qFormat/>
    <w:pPr>
      <w:tabs>
        <w:tab w:val="right" w:leader="dot" w:pos="9241"/>
      </w:tabs>
      <w:ind w:firstLineChars="400" w:firstLine="400"/>
      <w:jc w:val="left"/>
    </w:pPr>
    <w:rPr>
      <w:rFonts w:ascii="宋体"/>
      <w:szCs w:val="21"/>
    </w:rPr>
  </w:style>
  <w:style w:type="paragraph" w:styleId="70">
    <w:name w:val="index 7"/>
    <w:basedOn w:val="aff2"/>
    <w:next w:val="aff2"/>
    <w:autoRedefine/>
    <w:qFormat/>
    <w:pPr>
      <w:ind w:left="1470" w:hanging="210"/>
      <w:jc w:val="left"/>
    </w:pPr>
    <w:rPr>
      <w:rFonts w:ascii="Calibri" w:hAnsi="Calibri"/>
      <w:sz w:val="20"/>
      <w:szCs w:val="20"/>
    </w:rPr>
  </w:style>
  <w:style w:type="paragraph" w:styleId="9">
    <w:name w:val="index 9"/>
    <w:basedOn w:val="aff2"/>
    <w:next w:val="aff2"/>
    <w:autoRedefine/>
    <w:qFormat/>
    <w:pPr>
      <w:ind w:left="1890" w:hanging="210"/>
      <w:jc w:val="left"/>
    </w:pPr>
    <w:rPr>
      <w:rFonts w:ascii="Calibri" w:hAnsi="Calibri"/>
      <w:sz w:val="20"/>
      <w:szCs w:val="20"/>
    </w:rPr>
  </w:style>
  <w:style w:type="paragraph" w:styleId="2">
    <w:name w:val="toc 2"/>
    <w:basedOn w:val="aff2"/>
    <w:next w:val="aff2"/>
    <w:autoRedefine/>
    <w:semiHidden/>
    <w:qFormat/>
    <w:pPr>
      <w:tabs>
        <w:tab w:val="right" w:leader="dot" w:pos="9242"/>
      </w:tabs>
    </w:pPr>
    <w:rPr>
      <w:rFonts w:ascii="宋体"/>
      <w:szCs w:val="21"/>
    </w:rPr>
  </w:style>
  <w:style w:type="paragraph" w:styleId="90">
    <w:name w:val="toc 9"/>
    <w:basedOn w:val="aff2"/>
    <w:next w:val="aff2"/>
    <w:semiHidden/>
    <w:qFormat/>
    <w:pPr>
      <w:ind w:left="1470"/>
      <w:jc w:val="left"/>
    </w:pPr>
    <w:rPr>
      <w:sz w:val="20"/>
      <w:szCs w:val="20"/>
    </w:rPr>
  </w:style>
  <w:style w:type="paragraph" w:styleId="20">
    <w:name w:val="index 2"/>
    <w:basedOn w:val="aff2"/>
    <w:next w:val="aff2"/>
    <w:qFormat/>
    <w:pPr>
      <w:ind w:left="420" w:hanging="210"/>
      <w:jc w:val="left"/>
    </w:pPr>
    <w:rPr>
      <w:rFonts w:ascii="Calibri" w:hAnsi="Calibri"/>
      <w:sz w:val="20"/>
      <w:szCs w:val="20"/>
    </w:rPr>
  </w:style>
  <w:style w:type="table" w:styleId="affe">
    <w:name w:val="Table Grid"/>
    <w:basedOn w:val="aff4"/>
    <w:autoRedefine/>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
    <w:name w:val="endnote reference"/>
    <w:basedOn w:val="aff3"/>
    <w:autoRedefine/>
    <w:semiHidden/>
    <w:qFormat/>
    <w:rPr>
      <w:vertAlign w:val="superscript"/>
    </w:rPr>
  </w:style>
  <w:style w:type="character" w:styleId="afff0">
    <w:name w:val="page number"/>
    <w:basedOn w:val="aff3"/>
    <w:autoRedefine/>
    <w:qFormat/>
    <w:rPr>
      <w:rFonts w:ascii="Times New Roman" w:eastAsia="宋体" w:hAnsi="Times New Roman"/>
      <w:sz w:val="18"/>
    </w:rPr>
  </w:style>
  <w:style w:type="character" w:styleId="afff1">
    <w:name w:val="FollowedHyperlink"/>
    <w:basedOn w:val="aff3"/>
    <w:qFormat/>
    <w:rPr>
      <w:color w:val="800080"/>
      <w:u w:val="single"/>
    </w:rPr>
  </w:style>
  <w:style w:type="character" w:styleId="afff2">
    <w:name w:val="Hyperlink"/>
    <w:basedOn w:val="aff3"/>
    <w:autoRedefine/>
    <w:qFormat/>
    <w:rPr>
      <w:color w:val="0000FF"/>
      <w:spacing w:val="0"/>
      <w:w w:val="100"/>
      <w:szCs w:val="21"/>
      <w:u w:val="single"/>
    </w:rPr>
  </w:style>
  <w:style w:type="character" w:styleId="afff3">
    <w:name w:val="footnote reference"/>
    <w:basedOn w:val="aff3"/>
    <w:autoRedefine/>
    <w:semiHidden/>
    <w:qFormat/>
    <w:rPr>
      <w:vertAlign w:val="superscript"/>
    </w:rPr>
  </w:style>
  <w:style w:type="character" w:customStyle="1" w:styleId="Char0">
    <w:name w:val="段 Char"/>
    <w:basedOn w:val="aff3"/>
    <w:link w:val="affd"/>
    <w:qFormat/>
    <w:rPr>
      <w:rFonts w:ascii="宋体"/>
      <w:sz w:val="21"/>
      <w:lang w:val="en-US" w:eastAsia="zh-CN" w:bidi="ar-SA"/>
    </w:rPr>
  </w:style>
  <w:style w:type="paragraph" w:customStyle="1" w:styleId="a4">
    <w:name w:val="一级条标题"/>
    <w:next w:val="affd"/>
    <w:autoRedefine/>
    <w:qFormat/>
    <w:pPr>
      <w:numPr>
        <w:ilvl w:val="1"/>
        <w:numId w:val="2"/>
      </w:numPr>
      <w:spacing w:beforeLines="50" w:afterLines="50"/>
      <w:outlineLvl w:val="2"/>
    </w:pPr>
    <w:rPr>
      <w:rFonts w:ascii="黑体" w:eastAsia="黑体"/>
      <w:sz w:val="21"/>
      <w:szCs w:val="21"/>
    </w:rPr>
  </w:style>
  <w:style w:type="paragraph" w:customStyle="1" w:styleId="afff4">
    <w:name w:val="标准书脚_奇数页"/>
    <w:qFormat/>
    <w:pPr>
      <w:spacing w:before="120"/>
      <w:ind w:right="198"/>
      <w:jc w:val="right"/>
    </w:pPr>
    <w:rPr>
      <w:rFonts w:ascii="宋体"/>
      <w:sz w:val="18"/>
      <w:szCs w:val="18"/>
    </w:rPr>
  </w:style>
  <w:style w:type="paragraph" w:customStyle="1" w:styleId="afff5">
    <w:name w:val="标准书眉_奇数页"/>
    <w:next w:val="aff2"/>
    <w:autoRedefine/>
    <w:qFormat/>
    <w:pPr>
      <w:tabs>
        <w:tab w:val="center" w:pos="4154"/>
        <w:tab w:val="right" w:pos="8306"/>
      </w:tabs>
      <w:spacing w:after="220"/>
      <w:jc w:val="right"/>
    </w:pPr>
    <w:rPr>
      <w:rFonts w:ascii="黑体" w:eastAsia="黑体"/>
      <w:sz w:val="21"/>
      <w:szCs w:val="21"/>
    </w:rPr>
  </w:style>
  <w:style w:type="paragraph" w:customStyle="1" w:styleId="a3">
    <w:name w:val="章标题"/>
    <w:next w:val="affd"/>
    <w:autoRedefine/>
    <w:qFormat/>
    <w:pPr>
      <w:numPr>
        <w:numId w:val="2"/>
      </w:numPr>
      <w:spacing w:beforeLines="100" w:afterLines="100"/>
      <w:jc w:val="both"/>
      <w:outlineLvl w:val="1"/>
    </w:pPr>
    <w:rPr>
      <w:rFonts w:ascii="黑体" w:eastAsia="黑体"/>
      <w:sz w:val="21"/>
    </w:rPr>
  </w:style>
  <w:style w:type="paragraph" w:customStyle="1" w:styleId="a5">
    <w:name w:val="二级条标题"/>
    <w:basedOn w:val="a4"/>
    <w:next w:val="affd"/>
    <w:autoRedefine/>
    <w:qFormat/>
    <w:pPr>
      <w:numPr>
        <w:ilvl w:val="2"/>
      </w:numPr>
      <w:spacing w:before="50" w:after="50"/>
      <w:outlineLvl w:val="3"/>
    </w:pPr>
  </w:style>
  <w:style w:type="paragraph" w:customStyle="1" w:styleId="21">
    <w:name w:val="封面标准号2"/>
    <w:autoRedefine/>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qFormat/>
    <w:pPr>
      <w:widowControl w:val="0"/>
      <w:numPr>
        <w:numId w:val="3"/>
      </w:numPr>
      <w:jc w:val="both"/>
    </w:pPr>
    <w:rPr>
      <w:rFonts w:ascii="宋体"/>
      <w:sz w:val="21"/>
    </w:rPr>
  </w:style>
  <w:style w:type="paragraph" w:customStyle="1" w:styleId="ac">
    <w:name w:val="列项●（二级）"/>
    <w:autoRedefine/>
    <w:qFormat/>
    <w:pPr>
      <w:numPr>
        <w:ilvl w:val="1"/>
        <w:numId w:val="3"/>
      </w:numPr>
      <w:tabs>
        <w:tab w:val="left" w:pos="840"/>
      </w:tabs>
      <w:jc w:val="both"/>
    </w:pPr>
    <w:rPr>
      <w:rFonts w:ascii="宋体"/>
      <w:sz w:val="21"/>
    </w:rPr>
  </w:style>
  <w:style w:type="paragraph" w:customStyle="1" w:styleId="afff6">
    <w:name w:val="目次、标准名称标题"/>
    <w:basedOn w:val="aff2"/>
    <w:next w:val="affd"/>
    <w:autoRedefin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6">
    <w:name w:val="三级条标题"/>
    <w:basedOn w:val="a5"/>
    <w:next w:val="affd"/>
    <w:autoRedefine/>
    <w:qFormat/>
    <w:pPr>
      <w:numPr>
        <w:ilvl w:val="3"/>
      </w:numPr>
      <w:outlineLvl w:val="4"/>
    </w:pPr>
  </w:style>
  <w:style w:type="paragraph" w:customStyle="1" w:styleId="a1">
    <w:name w:val="示例"/>
    <w:next w:val="afff7"/>
    <w:qFormat/>
    <w:pPr>
      <w:widowControl w:val="0"/>
      <w:numPr>
        <w:numId w:val="4"/>
      </w:numPr>
      <w:jc w:val="both"/>
    </w:pPr>
    <w:rPr>
      <w:rFonts w:ascii="宋体"/>
      <w:sz w:val="18"/>
      <w:szCs w:val="18"/>
    </w:rPr>
  </w:style>
  <w:style w:type="paragraph" w:customStyle="1" w:styleId="afff7">
    <w:name w:val="示例内容"/>
    <w:qFormat/>
    <w:pPr>
      <w:ind w:firstLineChars="200" w:firstLine="200"/>
    </w:pPr>
    <w:rPr>
      <w:rFonts w:ascii="宋体"/>
      <w:sz w:val="18"/>
      <w:szCs w:val="18"/>
    </w:rPr>
  </w:style>
  <w:style w:type="paragraph" w:customStyle="1" w:styleId="af4">
    <w:name w:val="数字编号列项（二级）"/>
    <w:autoRedefine/>
    <w:qFormat/>
    <w:pPr>
      <w:numPr>
        <w:ilvl w:val="1"/>
        <w:numId w:val="5"/>
      </w:numPr>
      <w:jc w:val="both"/>
    </w:pPr>
    <w:rPr>
      <w:rFonts w:ascii="宋体"/>
      <w:sz w:val="21"/>
    </w:rPr>
  </w:style>
  <w:style w:type="paragraph" w:customStyle="1" w:styleId="a7">
    <w:name w:val="四级条标题"/>
    <w:basedOn w:val="a6"/>
    <w:next w:val="affd"/>
    <w:qFormat/>
    <w:pPr>
      <w:numPr>
        <w:ilvl w:val="4"/>
      </w:numPr>
      <w:outlineLvl w:val="5"/>
    </w:pPr>
  </w:style>
  <w:style w:type="paragraph" w:customStyle="1" w:styleId="a8">
    <w:name w:val="五级条标题"/>
    <w:basedOn w:val="a7"/>
    <w:next w:val="affd"/>
    <w:qFormat/>
    <w:pPr>
      <w:numPr>
        <w:ilvl w:val="5"/>
      </w:numPr>
      <w:outlineLvl w:val="6"/>
    </w:pPr>
  </w:style>
  <w:style w:type="paragraph" w:customStyle="1" w:styleId="aff0">
    <w:name w:val="注："/>
    <w:next w:val="affd"/>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3">
    <w:name w:val="字母编号列项（一级）"/>
    <w:qFormat/>
    <w:pPr>
      <w:numPr>
        <w:numId w:val="5"/>
      </w:numPr>
      <w:jc w:val="both"/>
    </w:pPr>
    <w:rPr>
      <w:rFonts w:ascii="宋体"/>
      <w:sz w:val="21"/>
    </w:rPr>
  </w:style>
  <w:style w:type="paragraph" w:customStyle="1" w:styleId="ad">
    <w:name w:val="列项◆（三级）"/>
    <w:basedOn w:val="aff2"/>
    <w:qFormat/>
    <w:pPr>
      <w:numPr>
        <w:ilvl w:val="2"/>
        <w:numId w:val="3"/>
      </w:numPr>
    </w:pPr>
    <w:rPr>
      <w:rFonts w:ascii="宋体"/>
      <w:szCs w:val="21"/>
    </w:rPr>
  </w:style>
  <w:style w:type="paragraph" w:customStyle="1" w:styleId="af5">
    <w:name w:val="编号列项（三级）"/>
    <w:qFormat/>
    <w:pPr>
      <w:numPr>
        <w:ilvl w:val="2"/>
        <w:numId w:val="5"/>
      </w:numPr>
    </w:pPr>
    <w:rPr>
      <w:rFonts w:ascii="宋体"/>
      <w:sz w:val="21"/>
    </w:rPr>
  </w:style>
  <w:style w:type="paragraph" w:customStyle="1" w:styleId="af">
    <w:name w:val="示例×："/>
    <w:basedOn w:val="a3"/>
    <w:qFormat/>
    <w:pPr>
      <w:numPr>
        <w:numId w:val="8"/>
      </w:numPr>
      <w:spacing w:beforeLines="0" w:afterLines="0"/>
      <w:outlineLvl w:val="9"/>
    </w:pPr>
    <w:rPr>
      <w:rFonts w:ascii="宋体" w:eastAsia="宋体"/>
      <w:sz w:val="18"/>
      <w:szCs w:val="18"/>
    </w:rPr>
  </w:style>
  <w:style w:type="paragraph" w:customStyle="1" w:styleId="afff8">
    <w:name w:val="二级无"/>
    <w:basedOn w:val="a5"/>
    <w:autoRedefine/>
    <w:qFormat/>
    <w:pPr>
      <w:spacing w:beforeLines="0" w:afterLines="0"/>
    </w:pPr>
    <w:rPr>
      <w:rFonts w:ascii="宋体" w:eastAsia="宋体"/>
    </w:rPr>
  </w:style>
  <w:style w:type="paragraph" w:customStyle="1" w:styleId="afff9">
    <w:name w:val="注：（正文）"/>
    <w:basedOn w:val="aff0"/>
    <w:next w:val="affd"/>
    <w:qFormat/>
  </w:style>
  <w:style w:type="paragraph" w:customStyle="1" w:styleId="aff1">
    <w:name w:val="注×：（正文）"/>
    <w:qFormat/>
    <w:pPr>
      <w:numPr>
        <w:numId w:val="9"/>
      </w:numPr>
      <w:jc w:val="both"/>
    </w:pPr>
    <w:rPr>
      <w:rFonts w:ascii="宋体"/>
      <w:sz w:val="18"/>
      <w:szCs w:val="18"/>
    </w:rPr>
  </w:style>
  <w:style w:type="paragraph" w:customStyle="1" w:styleId="afffa">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b">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c">
    <w:name w:val="标准书脚_偶数页"/>
    <w:qFormat/>
    <w:pPr>
      <w:spacing w:before="120"/>
      <w:ind w:left="221"/>
    </w:pPr>
    <w:rPr>
      <w:rFonts w:ascii="宋体"/>
      <w:sz w:val="18"/>
      <w:szCs w:val="18"/>
    </w:rPr>
  </w:style>
  <w:style w:type="paragraph" w:customStyle="1" w:styleId="afffd">
    <w:name w:val="标准书眉_偶数页"/>
    <w:basedOn w:val="afff5"/>
    <w:next w:val="aff2"/>
    <w:qFormat/>
    <w:pPr>
      <w:jc w:val="left"/>
    </w:pPr>
  </w:style>
  <w:style w:type="paragraph" w:customStyle="1" w:styleId="afffe">
    <w:name w:val="标准书眉一"/>
    <w:qFormat/>
    <w:pPr>
      <w:jc w:val="both"/>
    </w:pPr>
  </w:style>
  <w:style w:type="paragraph" w:customStyle="1" w:styleId="affff">
    <w:name w:val="参考文献"/>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0">
    <w:name w:val="参考文献、索引标题"/>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1">
    <w:name w:val="发布"/>
    <w:basedOn w:val="aff3"/>
    <w:qFormat/>
    <w:rPr>
      <w:rFonts w:ascii="黑体" w:eastAsia="黑体"/>
      <w:spacing w:val="85"/>
      <w:w w:val="100"/>
      <w:position w:val="3"/>
      <w:sz w:val="28"/>
      <w:szCs w:val="28"/>
    </w:rPr>
  </w:style>
  <w:style w:type="paragraph" w:customStyle="1" w:styleId="affff2">
    <w:name w:val="发布部门"/>
    <w:next w:val="affd"/>
    <w:autoRedefin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3">
    <w:name w:val="发布日期"/>
    <w:autoRedefine/>
    <w:qFormat/>
    <w:pPr>
      <w:framePr w:w="3997" w:h="471" w:hRule="exact" w:vSpace="181" w:wrap="around" w:hAnchor="page" w:x="7089" w:y="14097" w:anchorLock="1"/>
    </w:pPr>
    <w:rPr>
      <w:rFonts w:eastAsia="黑体"/>
      <w:sz w:val="28"/>
    </w:rPr>
  </w:style>
  <w:style w:type="paragraph" w:customStyle="1" w:styleId="affff4">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autoRedefine/>
    <w:qFormat/>
    <w:pPr>
      <w:widowControl w:val="0"/>
      <w:kinsoku w:val="0"/>
      <w:overflowPunct w:val="0"/>
      <w:autoSpaceDE w:val="0"/>
      <w:autoSpaceDN w:val="0"/>
      <w:spacing w:before="308"/>
      <w:jc w:val="right"/>
      <w:textAlignment w:val="center"/>
    </w:pPr>
    <w:rPr>
      <w:sz w:val="28"/>
    </w:rPr>
  </w:style>
  <w:style w:type="paragraph" w:customStyle="1" w:styleId="affff5">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6">
    <w:name w:val="封面标准英文名称"/>
    <w:basedOn w:val="affff5"/>
    <w:autoRedefine/>
    <w:qFormat/>
    <w:pPr>
      <w:framePr w:wrap="around"/>
      <w:spacing w:before="370" w:line="400" w:lineRule="exact"/>
    </w:pPr>
    <w:rPr>
      <w:rFonts w:ascii="Times New Roman"/>
      <w:sz w:val="28"/>
      <w:szCs w:val="28"/>
    </w:rPr>
  </w:style>
  <w:style w:type="paragraph" w:customStyle="1" w:styleId="affff7">
    <w:name w:val="封面一致性程度标识"/>
    <w:basedOn w:val="affff6"/>
    <w:qFormat/>
    <w:pPr>
      <w:framePr w:wrap="around"/>
      <w:spacing w:before="440"/>
    </w:pPr>
    <w:rPr>
      <w:rFonts w:ascii="宋体" w:eastAsia="宋体"/>
    </w:rPr>
  </w:style>
  <w:style w:type="paragraph" w:customStyle="1" w:styleId="affff8">
    <w:name w:val="封面标准文稿类别"/>
    <w:basedOn w:val="affff7"/>
    <w:qFormat/>
    <w:pPr>
      <w:framePr w:wrap="around"/>
      <w:spacing w:after="160" w:line="240" w:lineRule="auto"/>
    </w:pPr>
    <w:rPr>
      <w:sz w:val="24"/>
    </w:rPr>
  </w:style>
  <w:style w:type="paragraph" w:customStyle="1" w:styleId="affff9">
    <w:name w:val="封面标准文稿编辑信息"/>
    <w:basedOn w:val="affff8"/>
    <w:autoRedefine/>
    <w:qFormat/>
    <w:pPr>
      <w:framePr w:wrap="around"/>
      <w:spacing w:before="180" w:line="180" w:lineRule="exact"/>
    </w:pPr>
    <w:rPr>
      <w:sz w:val="21"/>
    </w:rPr>
  </w:style>
  <w:style w:type="paragraph" w:customStyle="1" w:styleId="affffa">
    <w:name w:val="封面正文"/>
    <w:autoRedefine/>
    <w:qFormat/>
    <w:pPr>
      <w:jc w:val="both"/>
    </w:pPr>
  </w:style>
  <w:style w:type="paragraph" w:customStyle="1" w:styleId="af7">
    <w:name w:val="附录标识"/>
    <w:basedOn w:val="aff2"/>
    <w:next w:val="affd"/>
    <w:autoRedefine/>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b">
    <w:name w:val="附录标题"/>
    <w:basedOn w:val="affd"/>
    <w:next w:val="affd"/>
    <w:autoRedefine/>
    <w:qFormat/>
    <w:pPr>
      <w:ind w:firstLineChars="0" w:firstLine="0"/>
      <w:jc w:val="center"/>
    </w:pPr>
    <w:rPr>
      <w:rFonts w:ascii="黑体" w:eastAsia="黑体"/>
    </w:rPr>
  </w:style>
  <w:style w:type="paragraph" w:customStyle="1" w:styleId="af1">
    <w:name w:val="附录表标号"/>
    <w:basedOn w:val="aff2"/>
    <w:next w:val="affd"/>
    <w:autoRedefine/>
    <w:qFormat/>
    <w:pPr>
      <w:numPr>
        <w:numId w:val="11"/>
      </w:numPr>
      <w:tabs>
        <w:tab w:val="clear" w:pos="0"/>
      </w:tabs>
      <w:spacing w:line="14" w:lineRule="exact"/>
      <w:ind w:left="811" w:hanging="448"/>
      <w:jc w:val="center"/>
      <w:outlineLvl w:val="0"/>
    </w:pPr>
    <w:rPr>
      <w:color w:val="FFFFFF"/>
    </w:rPr>
  </w:style>
  <w:style w:type="paragraph" w:customStyle="1" w:styleId="af2">
    <w:name w:val="附录表标题"/>
    <w:basedOn w:val="aff2"/>
    <w:next w:val="affd"/>
    <w:autoRedefine/>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a">
    <w:name w:val="附录二级条标题"/>
    <w:basedOn w:val="aff2"/>
    <w:next w:val="affd"/>
    <w:autoRedefine/>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c">
    <w:name w:val="附录二级无"/>
    <w:basedOn w:val="afa"/>
    <w:autoRedefine/>
    <w:qFormat/>
    <w:pPr>
      <w:tabs>
        <w:tab w:val="clear" w:pos="360"/>
      </w:tabs>
      <w:spacing w:beforeLines="0" w:afterLines="0"/>
    </w:pPr>
    <w:rPr>
      <w:rFonts w:ascii="宋体" w:eastAsia="宋体"/>
      <w:szCs w:val="21"/>
    </w:rPr>
  </w:style>
  <w:style w:type="paragraph" w:customStyle="1" w:styleId="affffd">
    <w:name w:val="附录公式"/>
    <w:basedOn w:val="affd"/>
    <w:next w:val="affd"/>
    <w:link w:val="Char1"/>
    <w:autoRedefine/>
    <w:qFormat/>
  </w:style>
  <w:style w:type="character" w:customStyle="1" w:styleId="Char1">
    <w:name w:val="附录公式 Char"/>
    <w:basedOn w:val="Char0"/>
    <w:link w:val="affffd"/>
    <w:autoRedefine/>
    <w:qFormat/>
    <w:rPr>
      <w:rFonts w:ascii="宋体"/>
      <w:sz w:val="21"/>
      <w:lang w:val="en-US" w:eastAsia="zh-CN" w:bidi="ar-SA"/>
    </w:rPr>
  </w:style>
  <w:style w:type="paragraph" w:customStyle="1" w:styleId="affffe">
    <w:name w:val="附录公式编号制表符"/>
    <w:basedOn w:val="aff2"/>
    <w:next w:val="affd"/>
    <w:autoRedefine/>
    <w:qFormat/>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d"/>
    <w:autoRedefine/>
    <w:qFormat/>
    <w:pPr>
      <w:numPr>
        <w:ilvl w:val="4"/>
      </w:numPr>
      <w:outlineLvl w:val="4"/>
    </w:pPr>
  </w:style>
  <w:style w:type="paragraph" w:customStyle="1" w:styleId="afffff">
    <w:name w:val="附录三级无"/>
    <w:basedOn w:val="afb"/>
    <w:autoRedefine/>
    <w:qFormat/>
    <w:pPr>
      <w:tabs>
        <w:tab w:val="clear" w:pos="360"/>
      </w:tabs>
      <w:spacing w:beforeLines="0" w:afterLines="0"/>
    </w:pPr>
    <w:rPr>
      <w:rFonts w:ascii="宋体" w:eastAsia="宋体"/>
      <w:szCs w:val="21"/>
    </w:rPr>
  </w:style>
  <w:style w:type="paragraph" w:customStyle="1" w:styleId="aff">
    <w:name w:val="附录数字编号列项（二级）"/>
    <w:autoRedefine/>
    <w:qFormat/>
    <w:pPr>
      <w:numPr>
        <w:ilvl w:val="1"/>
        <w:numId w:val="12"/>
      </w:numPr>
    </w:pPr>
    <w:rPr>
      <w:rFonts w:ascii="宋体"/>
      <w:sz w:val="21"/>
    </w:rPr>
  </w:style>
  <w:style w:type="paragraph" w:customStyle="1" w:styleId="afc">
    <w:name w:val="附录四级条标题"/>
    <w:basedOn w:val="afb"/>
    <w:next w:val="affd"/>
    <w:autoRedefine/>
    <w:qFormat/>
    <w:pPr>
      <w:numPr>
        <w:ilvl w:val="5"/>
      </w:numPr>
      <w:outlineLvl w:val="5"/>
    </w:pPr>
  </w:style>
  <w:style w:type="paragraph" w:customStyle="1" w:styleId="afffff0">
    <w:name w:val="附录四级无"/>
    <w:basedOn w:val="afc"/>
    <w:autoRedefine/>
    <w:qFormat/>
    <w:pPr>
      <w:tabs>
        <w:tab w:val="clear" w:pos="360"/>
      </w:tabs>
      <w:spacing w:beforeLines="0" w:afterLines="0"/>
    </w:pPr>
    <w:rPr>
      <w:rFonts w:ascii="宋体" w:eastAsia="宋体"/>
      <w:szCs w:val="21"/>
    </w:rPr>
  </w:style>
  <w:style w:type="paragraph" w:customStyle="1" w:styleId="a9">
    <w:name w:val="附录图标号"/>
    <w:basedOn w:val="aff2"/>
    <w:autoRedefine/>
    <w:qFormat/>
    <w:pPr>
      <w:keepNext/>
      <w:pageBreakBefore/>
      <w:widowControl/>
      <w:numPr>
        <w:numId w:val="13"/>
      </w:numPr>
      <w:spacing w:line="14" w:lineRule="exact"/>
      <w:ind w:left="0" w:firstLine="363"/>
      <w:jc w:val="center"/>
      <w:outlineLvl w:val="0"/>
    </w:pPr>
    <w:rPr>
      <w:color w:val="FFFFFF"/>
    </w:rPr>
  </w:style>
  <w:style w:type="paragraph" w:customStyle="1" w:styleId="aa">
    <w:name w:val="附录图标题"/>
    <w:basedOn w:val="aff2"/>
    <w:next w:val="affd"/>
    <w:autoRedefine/>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d">
    <w:name w:val="附录五级条标题"/>
    <w:basedOn w:val="afc"/>
    <w:next w:val="affd"/>
    <w:autoRedefine/>
    <w:qFormat/>
    <w:pPr>
      <w:numPr>
        <w:ilvl w:val="6"/>
      </w:numPr>
      <w:outlineLvl w:val="6"/>
    </w:pPr>
  </w:style>
  <w:style w:type="paragraph" w:customStyle="1" w:styleId="afffff1">
    <w:name w:val="附录五级无"/>
    <w:basedOn w:val="afd"/>
    <w:autoRedefine/>
    <w:qFormat/>
    <w:pPr>
      <w:tabs>
        <w:tab w:val="clear" w:pos="360"/>
      </w:tabs>
      <w:spacing w:beforeLines="0" w:afterLines="0"/>
    </w:pPr>
    <w:rPr>
      <w:rFonts w:ascii="宋体" w:eastAsia="宋体"/>
      <w:szCs w:val="21"/>
    </w:rPr>
  </w:style>
  <w:style w:type="paragraph" w:customStyle="1" w:styleId="af8">
    <w:name w:val="附录章标题"/>
    <w:next w:val="affd"/>
    <w:autoRedefine/>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d"/>
    <w:autoRedefine/>
    <w:qFormat/>
    <w:pPr>
      <w:numPr>
        <w:ilvl w:val="2"/>
      </w:numPr>
      <w:autoSpaceDN w:val="0"/>
      <w:spacing w:beforeLines="50" w:afterLines="50"/>
      <w:outlineLvl w:val="2"/>
    </w:pPr>
  </w:style>
  <w:style w:type="paragraph" w:customStyle="1" w:styleId="afffff2">
    <w:name w:val="附录一级无"/>
    <w:basedOn w:val="af9"/>
    <w:autoRedefine/>
    <w:qFormat/>
    <w:pPr>
      <w:tabs>
        <w:tab w:val="clear" w:pos="360"/>
      </w:tabs>
      <w:spacing w:beforeLines="0" w:afterLines="0"/>
    </w:pPr>
    <w:rPr>
      <w:rFonts w:ascii="宋体" w:eastAsia="宋体"/>
      <w:szCs w:val="21"/>
    </w:rPr>
  </w:style>
  <w:style w:type="paragraph" w:customStyle="1" w:styleId="afe">
    <w:name w:val="附录字母编号列项（一级）"/>
    <w:autoRedefine/>
    <w:qFormat/>
    <w:pPr>
      <w:numPr>
        <w:numId w:val="12"/>
      </w:numPr>
    </w:pPr>
    <w:rPr>
      <w:rFonts w:ascii="宋体"/>
      <w:sz w:val="21"/>
    </w:rPr>
  </w:style>
  <w:style w:type="paragraph" w:customStyle="1" w:styleId="afffff3">
    <w:name w:val="列项说明"/>
    <w:basedOn w:val="aff2"/>
    <w:autoRedefin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4">
    <w:name w:val="列项说明数字编号"/>
    <w:autoRedefine/>
    <w:qFormat/>
    <w:pPr>
      <w:ind w:leftChars="400" w:left="600" w:hangingChars="200" w:hanging="200"/>
    </w:pPr>
    <w:rPr>
      <w:rFonts w:ascii="宋体"/>
      <w:sz w:val="21"/>
    </w:rPr>
  </w:style>
  <w:style w:type="paragraph" w:customStyle="1" w:styleId="afffff5">
    <w:name w:val="目次、索引正文"/>
    <w:autoRedefine/>
    <w:qFormat/>
    <w:pPr>
      <w:spacing w:line="320" w:lineRule="exact"/>
      <w:jc w:val="both"/>
    </w:pPr>
    <w:rPr>
      <w:rFonts w:ascii="宋体"/>
      <w:sz w:val="21"/>
    </w:rPr>
  </w:style>
  <w:style w:type="paragraph" w:customStyle="1" w:styleId="afffff6">
    <w:name w:val="其他标准标志"/>
    <w:basedOn w:val="afffa"/>
    <w:autoRedefine/>
    <w:qFormat/>
    <w:pPr>
      <w:framePr w:w="6101" w:wrap="around" w:vAnchor="page" w:hAnchor="page" w:x="4673" w:y="942"/>
    </w:pPr>
    <w:rPr>
      <w:w w:val="130"/>
    </w:rPr>
  </w:style>
  <w:style w:type="paragraph" w:customStyle="1" w:styleId="afffff7">
    <w:name w:val="其他标准称谓"/>
    <w:next w:val="aff2"/>
    <w:autoRedefin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8">
    <w:name w:val="其他发布部门"/>
    <w:basedOn w:val="affff2"/>
    <w:autoRedefine/>
    <w:qFormat/>
    <w:pPr>
      <w:framePr w:wrap="around" w:y="15310"/>
      <w:spacing w:line="0" w:lineRule="atLeast"/>
    </w:pPr>
    <w:rPr>
      <w:rFonts w:ascii="黑体" w:eastAsia="黑体"/>
      <w:b w:val="0"/>
    </w:rPr>
  </w:style>
  <w:style w:type="paragraph" w:customStyle="1" w:styleId="afffff9">
    <w:name w:val="前言、引言标题"/>
    <w:next w:val="affd"/>
    <w:autoRedefine/>
    <w:qFormat/>
    <w:pPr>
      <w:keepNext/>
      <w:pageBreakBefore/>
      <w:shd w:val="clear" w:color="FFFFFF" w:fill="FFFFFF"/>
      <w:spacing w:before="640" w:after="560"/>
      <w:jc w:val="center"/>
      <w:outlineLvl w:val="0"/>
    </w:pPr>
    <w:rPr>
      <w:rFonts w:ascii="黑体" w:eastAsia="黑体"/>
      <w:sz w:val="32"/>
    </w:rPr>
  </w:style>
  <w:style w:type="paragraph" w:customStyle="1" w:styleId="afffffa">
    <w:name w:val="三级无"/>
    <w:basedOn w:val="a6"/>
    <w:qFormat/>
    <w:pPr>
      <w:spacing w:beforeLines="0" w:afterLines="0"/>
    </w:pPr>
    <w:rPr>
      <w:rFonts w:ascii="宋体" w:eastAsia="宋体"/>
    </w:rPr>
  </w:style>
  <w:style w:type="paragraph" w:customStyle="1" w:styleId="afffffb">
    <w:name w:val="实施日期"/>
    <w:basedOn w:val="affff3"/>
    <w:autoRedefine/>
    <w:qFormat/>
    <w:pPr>
      <w:framePr w:wrap="around" w:vAnchor="page" w:hAnchor="text"/>
      <w:jc w:val="right"/>
    </w:pPr>
  </w:style>
  <w:style w:type="paragraph" w:customStyle="1" w:styleId="afffffc">
    <w:name w:val="示例后文字"/>
    <w:basedOn w:val="affd"/>
    <w:next w:val="affd"/>
    <w:qFormat/>
    <w:pPr>
      <w:ind w:firstLine="360"/>
    </w:pPr>
    <w:rPr>
      <w:sz w:val="18"/>
    </w:rPr>
  </w:style>
  <w:style w:type="paragraph" w:customStyle="1" w:styleId="a0">
    <w:name w:val="首示例"/>
    <w:next w:val="affd"/>
    <w:link w:val="Char2"/>
    <w:autoRedefine/>
    <w:qFormat/>
    <w:pPr>
      <w:numPr>
        <w:numId w:val="14"/>
      </w:numPr>
      <w:tabs>
        <w:tab w:val="left" w:pos="360"/>
      </w:tabs>
      <w:ind w:firstLine="0"/>
    </w:pPr>
    <w:rPr>
      <w:rFonts w:ascii="宋体" w:hAnsi="宋体"/>
      <w:kern w:val="2"/>
      <w:sz w:val="18"/>
      <w:szCs w:val="18"/>
    </w:rPr>
  </w:style>
  <w:style w:type="character" w:customStyle="1" w:styleId="Char2">
    <w:name w:val="首示例 Char"/>
    <w:basedOn w:val="aff3"/>
    <w:link w:val="a0"/>
    <w:qFormat/>
    <w:rPr>
      <w:rFonts w:ascii="宋体" w:hAnsi="宋体"/>
      <w:kern w:val="2"/>
      <w:sz w:val="18"/>
      <w:szCs w:val="18"/>
      <w:lang w:val="en-US" w:eastAsia="zh-CN" w:bidi="ar-SA"/>
    </w:rPr>
  </w:style>
  <w:style w:type="paragraph" w:customStyle="1" w:styleId="afffffd">
    <w:name w:val="四级无"/>
    <w:basedOn w:val="a7"/>
    <w:autoRedefine/>
    <w:qFormat/>
    <w:pPr>
      <w:spacing w:beforeLines="0" w:afterLines="0"/>
    </w:pPr>
    <w:rPr>
      <w:rFonts w:ascii="宋体" w:eastAsia="宋体"/>
    </w:rPr>
  </w:style>
  <w:style w:type="paragraph" w:customStyle="1" w:styleId="afffffe">
    <w:name w:val="条文脚注"/>
    <w:basedOn w:val="ae"/>
    <w:autoRedefine/>
    <w:qFormat/>
    <w:pPr>
      <w:numPr>
        <w:numId w:val="0"/>
      </w:numPr>
      <w:tabs>
        <w:tab w:val="clear" w:pos="0"/>
      </w:tabs>
      <w:jc w:val="both"/>
    </w:pPr>
  </w:style>
  <w:style w:type="paragraph" w:customStyle="1" w:styleId="affffff">
    <w:name w:val="图标脚注说明"/>
    <w:basedOn w:val="affd"/>
    <w:autoRedefine/>
    <w:qFormat/>
    <w:pPr>
      <w:ind w:left="840" w:firstLineChars="0" w:hanging="420"/>
    </w:pPr>
    <w:rPr>
      <w:sz w:val="18"/>
      <w:szCs w:val="18"/>
    </w:rPr>
  </w:style>
  <w:style w:type="paragraph" w:customStyle="1" w:styleId="a2">
    <w:name w:val="图表脚注说明"/>
    <w:basedOn w:val="aff2"/>
    <w:autoRedefine/>
    <w:qFormat/>
    <w:pPr>
      <w:numPr>
        <w:numId w:val="15"/>
      </w:numPr>
    </w:pPr>
    <w:rPr>
      <w:rFonts w:ascii="宋体"/>
      <w:sz w:val="18"/>
      <w:szCs w:val="18"/>
    </w:rPr>
  </w:style>
  <w:style w:type="paragraph" w:customStyle="1" w:styleId="affffff0">
    <w:name w:val="图的脚注"/>
    <w:next w:val="affd"/>
    <w:autoRedefine/>
    <w:qFormat/>
    <w:pPr>
      <w:widowControl w:val="0"/>
      <w:ind w:leftChars="200" w:left="840" w:hangingChars="200" w:hanging="420"/>
      <w:jc w:val="both"/>
    </w:pPr>
    <w:rPr>
      <w:rFonts w:ascii="宋体"/>
      <w:sz w:val="18"/>
    </w:rPr>
  </w:style>
  <w:style w:type="paragraph" w:customStyle="1" w:styleId="affffff1">
    <w:name w:val="文献分类号"/>
    <w:autoRedefine/>
    <w:qFormat/>
    <w:pPr>
      <w:framePr w:hSpace="180" w:vSpace="180" w:wrap="around" w:hAnchor="margin" w:y="1" w:anchorLock="1"/>
      <w:widowControl w:val="0"/>
      <w:textAlignment w:val="center"/>
    </w:pPr>
    <w:rPr>
      <w:rFonts w:ascii="黑体" w:eastAsia="黑体"/>
      <w:sz w:val="21"/>
      <w:szCs w:val="21"/>
    </w:rPr>
  </w:style>
  <w:style w:type="paragraph" w:customStyle="1" w:styleId="affffff2">
    <w:name w:val="五级无"/>
    <w:basedOn w:val="a8"/>
    <w:autoRedefine/>
    <w:qFormat/>
    <w:pPr>
      <w:spacing w:beforeLines="0" w:afterLines="0"/>
    </w:pPr>
    <w:rPr>
      <w:rFonts w:ascii="宋体" w:eastAsia="宋体"/>
    </w:rPr>
  </w:style>
  <w:style w:type="paragraph" w:customStyle="1" w:styleId="affffff3">
    <w:name w:val="一级无"/>
    <w:basedOn w:val="a4"/>
    <w:autoRedefine/>
    <w:qFormat/>
    <w:pPr>
      <w:spacing w:beforeLines="0" w:afterLines="0"/>
    </w:pPr>
    <w:rPr>
      <w:rFonts w:ascii="宋体" w:eastAsia="宋体"/>
    </w:rPr>
  </w:style>
  <w:style w:type="paragraph" w:customStyle="1" w:styleId="af6">
    <w:name w:val="正文表标题"/>
    <w:next w:val="affd"/>
    <w:autoRedefine/>
    <w:qFormat/>
    <w:pPr>
      <w:numPr>
        <w:numId w:val="16"/>
      </w:numPr>
      <w:tabs>
        <w:tab w:val="left" w:pos="360"/>
      </w:tabs>
      <w:spacing w:beforeLines="50" w:afterLines="50"/>
      <w:jc w:val="center"/>
    </w:pPr>
    <w:rPr>
      <w:rFonts w:ascii="黑体" w:eastAsia="黑体"/>
      <w:sz w:val="21"/>
    </w:rPr>
  </w:style>
  <w:style w:type="paragraph" w:customStyle="1" w:styleId="affffff4">
    <w:name w:val="正文公式编号制表符"/>
    <w:basedOn w:val="affd"/>
    <w:next w:val="affd"/>
    <w:autoRedefine/>
    <w:qFormat/>
    <w:pPr>
      <w:ind w:firstLineChars="0" w:firstLine="0"/>
    </w:pPr>
  </w:style>
  <w:style w:type="paragraph" w:customStyle="1" w:styleId="af0">
    <w:name w:val="正文图标题"/>
    <w:next w:val="affd"/>
    <w:autoRedefine/>
    <w:qFormat/>
    <w:pPr>
      <w:numPr>
        <w:numId w:val="17"/>
      </w:numPr>
      <w:tabs>
        <w:tab w:val="left" w:pos="360"/>
      </w:tabs>
      <w:spacing w:beforeLines="50" w:afterLines="50"/>
      <w:jc w:val="center"/>
    </w:pPr>
    <w:rPr>
      <w:rFonts w:ascii="黑体" w:eastAsia="黑体"/>
      <w:sz w:val="21"/>
    </w:rPr>
  </w:style>
  <w:style w:type="paragraph" w:customStyle="1" w:styleId="affffff5">
    <w:name w:val="终结线"/>
    <w:basedOn w:val="aff2"/>
    <w:autoRedefine/>
    <w:qFormat/>
    <w:pPr>
      <w:framePr w:hSpace="181" w:vSpace="181" w:wrap="around" w:vAnchor="text" w:hAnchor="margin" w:xAlign="center" w:y="285"/>
    </w:pPr>
  </w:style>
  <w:style w:type="paragraph" w:customStyle="1" w:styleId="affffff6">
    <w:name w:val="其他发布日期"/>
    <w:basedOn w:val="affff3"/>
    <w:autoRedefine/>
    <w:qFormat/>
    <w:pPr>
      <w:framePr w:wrap="around" w:vAnchor="page" w:hAnchor="text" w:x="1419"/>
    </w:pPr>
  </w:style>
  <w:style w:type="paragraph" w:customStyle="1" w:styleId="affffff7">
    <w:name w:val="其他实施日期"/>
    <w:basedOn w:val="afffffb"/>
    <w:autoRedefine/>
    <w:qFormat/>
    <w:pPr>
      <w:framePr w:wrap="around"/>
    </w:pPr>
  </w:style>
  <w:style w:type="paragraph" w:customStyle="1" w:styleId="22">
    <w:name w:val="封面标准名称2"/>
    <w:basedOn w:val="affff5"/>
    <w:autoRedefine/>
    <w:qFormat/>
    <w:pPr>
      <w:framePr w:wrap="around" w:y="4469"/>
      <w:spacing w:beforeLines="630"/>
    </w:pPr>
  </w:style>
  <w:style w:type="paragraph" w:customStyle="1" w:styleId="23">
    <w:name w:val="封面标准英文名称2"/>
    <w:basedOn w:val="affff6"/>
    <w:autoRedefine/>
    <w:qFormat/>
    <w:pPr>
      <w:framePr w:wrap="around" w:y="4469"/>
    </w:pPr>
  </w:style>
  <w:style w:type="paragraph" w:customStyle="1" w:styleId="24">
    <w:name w:val="封面一致性程度标识2"/>
    <w:basedOn w:val="affff7"/>
    <w:autoRedefine/>
    <w:qFormat/>
    <w:pPr>
      <w:framePr w:wrap="around" w:y="4469"/>
    </w:pPr>
  </w:style>
  <w:style w:type="paragraph" w:customStyle="1" w:styleId="25">
    <w:name w:val="封面标准文稿类别2"/>
    <w:basedOn w:val="affff8"/>
    <w:autoRedefine/>
    <w:qFormat/>
    <w:pPr>
      <w:framePr w:wrap="around" w:y="4469"/>
    </w:pPr>
  </w:style>
  <w:style w:type="paragraph" w:customStyle="1" w:styleId="26">
    <w:name w:val="封面标准文稿编辑信息2"/>
    <w:basedOn w:val="affff9"/>
    <w:autoRedefine/>
    <w:qFormat/>
    <w:pPr>
      <w:framePr w:wrap="around" w:y="4469"/>
    </w:pPr>
  </w:style>
  <w:style w:type="character" w:customStyle="1" w:styleId="Char">
    <w:name w:val="批注框文本 Char"/>
    <w:basedOn w:val="aff3"/>
    <w:link w:val="aff9"/>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a&#26032;\&#24066;&#26631;&#20934;&#21270;&#30740;&#31350;&#39033;&#30446;\2022&#24180;\&#12298;&#21152;&#24378;&#19996;&#33694;&#24066;&#31038;&#20250;&#32452;&#32455;&#35802;&#20449;&#33258;&#24459;&#24314;&#35774;&#26631;&#20934;&#20307;&#31995;&#19987;&#39033;&#30740;&#31350;&#12299;\&#22242;&#26631;\&#12298;&#31038;&#20250;&#32452;&#32455;&#35802;&#20449;&#31649;&#29702;&#35268;&#33539;&#12299;&#65288;&#36865;&#23457;&#31295;&#65289;7.1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《社会组织诚信管理规范》（送审稿）7.13</Template>
  <TotalTime>0</TotalTime>
  <Pages>11</Pages>
  <Words>1110</Words>
  <Characters>6332</Characters>
  <Application>Microsoft Office Word</Application>
  <DocSecurity>0</DocSecurity>
  <Lines>52</Lines>
  <Paragraphs>14</Paragraphs>
  <ScaleCrop>false</ScaleCrop>
  <LinksUpToDate>false</LinksUpToDate>
  <CharactersWithSpaces>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2024-02-02T00:29:00Z</dcterms:created>
  <dcterms:modified xsi:type="dcterms:W3CDTF">2024-02-02T10:14:00Z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9381F86B1EB040538F3E73BA59AF7E0C_13</vt:lpwstr>
  </property>
</Properties>
</file>