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framePr w:wrap="around"/>
        <w:ind w:left="1134" w:right="1692"/>
        <w:rPr>
          <w:rFonts w:hint="default" w:ascii="Times New Roman" w:hAnsi="Times New Roman" w:cs="Times New Roman"/>
          <w:highlight w:val="none"/>
        </w:rPr>
      </w:pPr>
      <w:r>
        <w:rPr>
          <w:rFonts w:hint="default" w:ascii="Times New Roman" w:hAnsi="Times New Roman" w:cs="Times New Roman"/>
          <w:highlight w:val="none"/>
        </w:rPr>
        <w:t xml:space="preserve"> 团体标准</w:t>
      </w:r>
    </w:p>
    <w:p>
      <w:pPr>
        <w:pStyle w:val="30"/>
        <w:framePr w:h="1974" w:hRule="exact" w:wrap="around" w:x="1967" w:y="2168"/>
        <w:wordWrap w:val="0"/>
        <w:rPr>
          <w:rFonts w:hint="default" w:ascii="Times New Roman" w:hAnsi="Times New Roman" w:cs="Times New Roman"/>
          <w:highlight w:val="none"/>
        </w:rPr>
      </w:pPr>
      <w:bookmarkStart w:id="0" w:name="OLE_LINK1"/>
    </w:p>
    <w:p>
      <w:pPr>
        <w:pStyle w:val="30"/>
        <w:framePr w:h="1974" w:hRule="exact" w:wrap="around" w:x="1967" w:y="2168"/>
        <w:ind w:right="280"/>
        <w:rPr>
          <w:rFonts w:hint="default" w:ascii="Times New Roman" w:hAnsi="Times New Roman" w:cs="Times New Roman"/>
          <w:highlight w:val="none"/>
        </w:rPr>
      </w:pPr>
      <w:r>
        <w:rPr>
          <w:rFonts w:hint="default" w:ascii="Times New Roman" w:hAnsi="Times New Roman" w:cs="Times New Roman"/>
          <w:highlight w:val="none"/>
        </w:rPr>
        <w:t>T/SSEA XXXX—2022</w:t>
      </w:r>
    </w:p>
    <w:p>
      <w:pPr>
        <w:pStyle w:val="30"/>
        <w:framePr w:h="1974" w:hRule="exact" w:wrap="around" w:x="1967" w:y="2168"/>
        <w:pBdr>
          <w:bottom w:val="single" w:color="auto" w:sz="4" w:space="1"/>
        </w:pBdr>
        <w:ind w:right="280"/>
        <w:rPr>
          <w:rFonts w:hint="default" w:ascii="Times New Roman" w:hAnsi="Times New Roman" w:cs="Times New Roman"/>
          <w:highlight w:val="none"/>
        </w:rPr>
      </w:pPr>
      <w:r>
        <w:rPr>
          <w:rFonts w:hint="default" w:ascii="Times New Roman" w:hAnsi="Times New Roman" w:cs="Times New Roman"/>
          <w:highlight w:val="none"/>
        </w:rPr>
        <w:t>T/CSTA XXXX—2022</w:t>
      </w:r>
    </w:p>
    <w:p>
      <w:pPr>
        <w:pStyle w:val="30"/>
        <w:framePr w:h="1974" w:hRule="exact" w:wrap="around" w:x="1967" w:y="2168"/>
        <w:rPr>
          <w:rFonts w:hint="default" w:ascii="Times New Roman" w:hAnsi="Times New Roman" w:cs="Times New Roman"/>
          <w:highlight w:val="none"/>
        </w:rPr>
      </w:pPr>
    </w:p>
    <w:p>
      <w:pPr>
        <w:pStyle w:val="30"/>
        <w:framePr w:h="1974" w:hRule="exact" w:wrap="around" w:x="1967" w:y="2168"/>
        <w:rPr>
          <w:rFonts w:hint="default" w:ascii="Times New Roman" w:hAnsi="Times New Roman" w:cs="Times New Roman"/>
          <w:highlight w:val="none"/>
        </w:rPr>
      </w:pPr>
    </w:p>
    <w:p>
      <w:pPr>
        <w:pStyle w:val="32"/>
        <w:framePr w:wrap="around" w:x="1168" w:y="6336"/>
        <w:rPr>
          <w:rFonts w:hint="default" w:ascii="Times New Roman" w:hAnsi="Times New Roman" w:cs="Times New Roman"/>
          <w:highlight w:val="none"/>
        </w:rPr>
      </w:pPr>
      <w:r>
        <w:rPr>
          <w:rFonts w:hint="default" w:ascii="Times New Roman" w:hAnsi="Times New Roman" w:cs="Times New Roman"/>
          <w:highlight w:val="none"/>
        </w:rPr>
        <w:t>石油化工用氢油同运不锈钢无缝钢管</w:t>
      </w:r>
    </w:p>
    <w:bookmarkEnd w:id="0"/>
    <w:p>
      <w:pPr>
        <w:pStyle w:val="31"/>
        <w:framePr w:wrap="around" w:x="1168" w:y="6336"/>
        <w:rPr>
          <w:rFonts w:hint="default" w:ascii="Times New Roman" w:hAnsi="Times New Roman" w:cs="Times New Roman"/>
          <w:highlight w:val="none"/>
        </w:rPr>
      </w:pPr>
      <w:r>
        <w:rPr>
          <w:rFonts w:hint="default" w:ascii="Times New Roman" w:hAnsi="Times New Roman" w:cs="Times New Roman"/>
          <w:highlight w:val="none"/>
        </w:rPr>
        <w:t>Stainless steel seamless steel pipes for hydrogen and oil transportation in the petrochemical industry</w:t>
      </w:r>
    </w:p>
    <w:p>
      <w:pPr>
        <w:pStyle w:val="34"/>
        <w:framePr w:wrap="around" w:x="1168" w:y="6336"/>
        <w:spacing w:before="156" w:after="156"/>
        <w:rPr>
          <w:rFonts w:hint="default" w:ascii="Times New Roman" w:hAnsi="Times New Roman" w:cs="Times New Roman"/>
          <w:highlight w:val="none"/>
        </w:rPr>
      </w:pPr>
    </w:p>
    <w:p>
      <w:pPr>
        <w:pStyle w:val="37"/>
        <w:framePr w:wrap="around"/>
        <w:rPr>
          <w:rFonts w:hint="default" w:ascii="Times New Roman" w:hAnsi="Times New Roman" w:eastAsia="宋体" w:cs="Times New Roman"/>
          <w:highlight w:val="none"/>
        </w:rPr>
      </w:pPr>
      <w:r>
        <w:rPr>
          <w:rFonts w:hint="default" w:ascii="Times New Roman" w:hAnsi="Times New Roman" w:eastAsia="宋体" w:cs="Times New Roman"/>
          <w:highlight w:val="none"/>
        </w:rPr>
        <w:t>20</w:t>
      </w:r>
      <w:bookmarkStart w:id="1" w:name="FM"/>
      <w:r>
        <w:rPr>
          <w:rFonts w:hint="default" w:ascii="Times New Roman" w:hAnsi="Times New Roman" w:eastAsia="宋体" w:cs="Times New Roman"/>
          <w:highlight w:val="none"/>
        </w:rPr>
        <w:t>XX-</w:t>
      </w:r>
      <w:bookmarkEnd w:id="1"/>
      <w:r>
        <w:rPr>
          <w:rFonts w:hint="default" w:ascii="Times New Roman" w:hAnsi="Times New Roman" w:eastAsia="宋体" w:cs="Times New Roman"/>
          <w:highlight w:val="none"/>
        </w:rPr>
        <w:t>XX-XX发布</w:t>
      </w:r>
      <w:r>
        <w:rPr>
          <w:rFonts w:hint="default" w:ascii="Times New Roman" w:hAnsi="Times New Roman" w:cs="Times New Roman"/>
          <w:highlight w:val="none"/>
        </w:rPr>
        <w:pict>
          <v:line id="_x0000_s1026" o:spid="_x0000_s1026" o:spt="20" style="position:absolute;left:0pt;margin-left:-0.05pt;margin-top:728.45pt;height:0pt;width:481.9pt;mso-position-vertical-relative:page;z-index:251660288;mso-width-relative:page;mso-height-relative:page;" coordsize="21600,21600">
            <v:path arrowok="t"/>
            <v:fill focussize="0,0"/>
            <v:stroke/>
            <v:imagedata o:title=""/>
            <o:lock v:ext="edit"/>
            <w10:anchorlock/>
          </v:line>
        </w:pict>
      </w:r>
    </w:p>
    <w:p>
      <w:pPr>
        <w:pStyle w:val="40"/>
        <w:framePr w:wrap="around"/>
        <w:rPr>
          <w:rFonts w:hint="default" w:ascii="Times New Roman" w:hAnsi="Times New Roman" w:eastAsia="宋体" w:cs="Times New Roman"/>
          <w:highlight w:val="none"/>
        </w:rPr>
      </w:pPr>
      <w:r>
        <w:rPr>
          <w:rFonts w:hint="default" w:ascii="Times New Roman" w:hAnsi="Times New Roman" w:eastAsia="宋体" w:cs="Times New Roman"/>
          <w:highlight w:val="none"/>
        </w:rPr>
        <w:t>20XX-XX-XX实施</w:t>
      </w:r>
    </w:p>
    <w:p>
      <w:pPr>
        <w:pStyle w:val="53"/>
        <w:framePr w:w="8988" w:h="1351" w:hRule="exact" w:wrap="around" w:x="1579" w:y="15084"/>
        <w:rPr>
          <w:rFonts w:hint="default" w:ascii="Times New Roman" w:hAnsi="Times New Roman" w:cs="Times New Roman"/>
          <w:sz w:val="32"/>
          <w:highlight w:val="none"/>
        </w:rPr>
      </w:pPr>
      <w:r>
        <w:rPr>
          <w:rFonts w:hint="default" w:ascii="Times New Roman" w:hAnsi="Times New Roman" w:cs="Times New Roman"/>
          <w:sz w:val="32"/>
          <w:highlight w:val="none"/>
        </w:rPr>
        <w:t>中国特钢企业协会</w:t>
      </w:r>
    </w:p>
    <w:p>
      <w:pPr>
        <w:pStyle w:val="53"/>
        <w:framePr w:w="8988" w:h="1351" w:hRule="exact" w:wrap="around" w:x="1579" w:y="15084"/>
        <w:jc w:val="right"/>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 xml:space="preserve">中关村不锈及特种合金新材料   </w:t>
      </w:r>
      <w:r>
        <w:rPr>
          <w:rStyle w:val="52"/>
          <w:rFonts w:hint="default" w:ascii="Times New Roman" w:hAnsi="Times New Roman" w:cs="Times New Roman"/>
          <w:highlight w:val="none"/>
        </w:rPr>
        <w:t>发布</w:t>
      </w:r>
    </w:p>
    <w:p>
      <w:pPr>
        <w:pStyle w:val="53"/>
        <w:framePr w:w="8988" w:h="1351" w:hRule="exact" w:wrap="around" w:x="1579" w:y="15084"/>
        <w:rPr>
          <w:rFonts w:hint="default" w:ascii="Times New Roman" w:hAnsi="Times New Roman" w:cs="Times New Roman"/>
          <w:highlight w:val="none"/>
        </w:rPr>
      </w:pPr>
      <w:r>
        <w:rPr>
          <w:rFonts w:hint="default" w:ascii="Times New Roman" w:hAnsi="Times New Roman" w:cs="Times New Roman"/>
          <w:sz w:val="32"/>
          <w:szCs w:val="32"/>
          <w:highlight w:val="none"/>
        </w:rPr>
        <w:t>产业技术创新联盟</w:t>
      </w:r>
    </w:p>
    <w:p>
      <w:pPr>
        <w:pStyle w:val="22"/>
        <w:spacing w:line="340" w:lineRule="exact"/>
        <w:ind w:firstLine="400"/>
        <w:rPr>
          <w:rFonts w:hint="default" w:ascii="Times New Roman" w:hAnsi="Times New Roman" w:cs="Times New Roman"/>
          <w:sz w:val="22"/>
          <w:highlight w:val="none"/>
        </w:rPr>
      </w:pPr>
      <w:r>
        <w:rPr>
          <w:rFonts w:hint="default" w:ascii="Times New Roman" w:hAnsi="Times New Roman" w:cs="Times New Roman"/>
          <w:highlight w:val="none"/>
        </w:rPr>
        <w:t>ICS</w:t>
      </w:r>
      <w:r>
        <w:rPr>
          <w:rFonts w:hint="default" w:ascii="Times New Roman" w:hAnsi="Times New Roman" w:cs="Times New Roman"/>
          <w:sz w:val="22"/>
          <w:highlight w:val="none"/>
        </w:rPr>
        <w:t xml:space="preserve"> 77.140.35</w:t>
      </w:r>
    </w:p>
    <w:p>
      <w:pPr>
        <w:pStyle w:val="22"/>
        <w:spacing w:line="340" w:lineRule="exact"/>
        <w:ind w:firstLine="400"/>
        <w:rPr>
          <w:rFonts w:hint="default" w:ascii="Times New Roman" w:hAnsi="Times New Roman" w:cs="Times New Roman"/>
          <w:highlight w:val="none"/>
        </w:rPr>
      </w:pPr>
      <w:r>
        <w:rPr>
          <w:rFonts w:hint="default" w:ascii="Times New Roman" w:hAnsi="Times New Roman" w:cs="Times New Roman"/>
          <w:highlight w:val="none"/>
        </w:rPr>
        <w:t>CCS H 40</w:t>
      </w:r>
    </w:p>
    <w:p>
      <w:pPr>
        <w:pStyle w:val="22"/>
        <w:spacing w:line="340" w:lineRule="exact"/>
        <w:ind w:firstLine="400"/>
        <w:rPr>
          <w:rFonts w:hint="default" w:ascii="Times New Roman" w:hAnsi="Times New Roman" w:cs="Times New Roman"/>
          <w:highlight w:val="none"/>
        </w:rPr>
      </w:pPr>
    </w:p>
    <w:p>
      <w:pPr>
        <w:jc w:val="center"/>
        <w:rPr>
          <w:rFonts w:hint="default" w:ascii="Times New Roman" w:hAnsi="Times New Roman" w:cs="Times New Roman"/>
          <w:spacing w:val="20"/>
          <w:sz w:val="28"/>
          <w:szCs w:val="28"/>
          <w:highlight w:val="none"/>
        </w:rPr>
      </w:pPr>
    </w:p>
    <w:p>
      <w:pPr>
        <w:jc w:val="center"/>
        <w:rPr>
          <w:rFonts w:hint="default" w:ascii="Times New Roman" w:hAnsi="Times New Roman" w:cs="Times New Roman"/>
          <w:spacing w:val="20"/>
          <w:sz w:val="28"/>
          <w:szCs w:val="28"/>
          <w:highlight w:val="none"/>
        </w:rPr>
      </w:pPr>
    </w:p>
    <w:p>
      <w:pPr>
        <w:jc w:val="center"/>
        <w:rPr>
          <w:rFonts w:hint="default" w:ascii="Times New Roman" w:hAnsi="Times New Roman" w:cs="Times New Roman"/>
          <w:spacing w:val="20"/>
          <w:sz w:val="28"/>
          <w:szCs w:val="28"/>
          <w:highlight w:val="none"/>
        </w:rPr>
      </w:pPr>
    </w:p>
    <w:p>
      <w:pPr>
        <w:jc w:val="center"/>
        <w:rPr>
          <w:rFonts w:hint="default" w:ascii="Times New Roman" w:hAnsi="Times New Roman" w:cs="Times New Roman"/>
          <w:b/>
          <w:sz w:val="32"/>
          <w:highlight w:val="none"/>
        </w:rPr>
        <w:sectPr>
          <w:headerReference r:id="rId3" w:type="default"/>
          <w:pgSz w:w="11906" w:h="16838"/>
          <w:pgMar w:top="1134" w:right="1134" w:bottom="1134" w:left="1418" w:header="851" w:footer="992" w:gutter="0"/>
          <w:pgNumType w:start="0"/>
          <w:cols w:space="720" w:num="1"/>
          <w:docGrid w:type="lines" w:linePitch="312" w:charSpace="0"/>
        </w:sectPr>
      </w:pPr>
    </w:p>
    <w:p>
      <w:pPr>
        <w:pStyle w:val="26"/>
        <w:spacing w:before="156" w:after="156"/>
        <w:rPr>
          <w:rFonts w:hint="default" w:ascii="Times New Roman" w:hAnsi="Times New Roman" w:cs="Times New Roman"/>
          <w:highlight w:val="none"/>
        </w:rPr>
      </w:pPr>
      <w:bookmarkStart w:id="2" w:name="_Toc520380389"/>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pStyle w:val="22"/>
        <w:ind w:firstLine="400"/>
        <w:rPr>
          <w:rFonts w:hint="default" w:ascii="Times New Roman" w:hAnsi="Times New Roman" w:cs="Times New Roman"/>
          <w:highlight w:val="none"/>
        </w:rPr>
      </w:pPr>
    </w:p>
    <w:p>
      <w:pPr>
        <w:rPr>
          <w:rFonts w:hint="default" w:ascii="Times New Roman" w:hAnsi="Times New Roman" w:cs="Times New Roman"/>
          <w:highlight w:val="none"/>
        </w:rPr>
      </w:pPr>
      <w:r>
        <w:rPr>
          <w:rFonts w:hint="default" w:ascii="Times New Roman" w:hAnsi="Times New Roman" w:cs="Times New Roman"/>
          <w:highlight w:val="none"/>
        </w:rPr>
        <w:pict>
          <v:shape id="_x0000_i1025" o:spt="75" type="#_x0000_t75" style="height:60.6pt;width:63.6pt;" filled="f" o:preferrelative="t" stroked="f" coordsize="21600,21600">
            <v:path/>
            <v:fill on="f" focussize="0,0"/>
            <v:stroke on="f" joinstyle="miter"/>
            <v:imagedata r:id="rId15" o:title=""/>
            <o:lock v:ext="edit" aspectratio="t"/>
            <w10:wrap type="none"/>
            <w10:anchorlock/>
          </v:shape>
        </w:pict>
      </w:r>
      <w:r>
        <w:rPr>
          <w:rFonts w:hint="default" w:ascii="Times New Roman" w:hAnsi="Times New Roman" w:cs="Times New Roman"/>
          <w:highlight w:val="none"/>
        </w:rPr>
        <w:t>版权保护标准</w:t>
      </w:r>
    </w:p>
    <w:p>
      <w:pPr>
        <w:spacing w:before="156" w:beforeLines="50" w:after="156" w:afterLines="50"/>
        <w:rPr>
          <w:rFonts w:hint="default" w:ascii="Times New Roman" w:hAnsi="Times New Roman" w:cs="Times New Roman"/>
          <w:highlight w:val="none"/>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rFonts w:hint="default" w:ascii="Times New Roman" w:hAnsi="Times New Roman" w:cs="Times New Roman"/>
          <w:highlight w:val="none"/>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2"/>
    <w:p>
      <w:pPr>
        <w:pStyle w:val="26"/>
        <w:rPr>
          <w:rFonts w:hint="default" w:ascii="Times New Roman" w:hAnsi="Times New Roman" w:cs="Times New Roman"/>
          <w:highlight w:val="none"/>
        </w:rPr>
      </w:pPr>
      <w:r>
        <w:rPr>
          <w:rFonts w:hint="default" w:ascii="Times New Roman" w:hAnsi="Times New Roman" w:cs="Times New Roman"/>
          <w:highlight w:val="none"/>
        </w:rPr>
        <w:t>前</w:t>
      </w:r>
      <w:bookmarkStart w:id="3" w:name="BKQY"/>
      <w:r>
        <w:rPr>
          <w:rFonts w:hint="default" w:ascii="Times New Roman" w:hAnsi="Times New Roman" w:cs="Times New Roman"/>
          <w:highlight w:val="none"/>
        </w:rPr>
        <w:t>  言</w:t>
      </w:r>
      <w:bookmarkEnd w:id="3"/>
    </w:p>
    <w:p>
      <w:pPr>
        <w:pStyle w:val="22"/>
        <w:rPr>
          <w:rFonts w:hint="default" w:ascii="Times New Roman" w:hAnsi="Times New Roman" w:cs="Times New Roman"/>
          <w:kern w:val="2"/>
          <w:sz w:val="21"/>
          <w:szCs w:val="22"/>
          <w:highlight w:val="none"/>
        </w:rPr>
      </w:pPr>
      <w:r>
        <w:rPr>
          <w:rFonts w:hint="default" w:ascii="Times New Roman" w:hAnsi="Times New Roman" w:cs="Times New Roman"/>
          <w:kern w:val="2"/>
          <w:sz w:val="21"/>
          <w:szCs w:val="22"/>
          <w:highlight w:val="none"/>
          <w:lang w:eastAsia="zh-CN"/>
        </w:rPr>
        <w:t>本文件</w:t>
      </w:r>
      <w:r>
        <w:rPr>
          <w:rFonts w:hint="default" w:ascii="Times New Roman" w:hAnsi="Times New Roman" w:cs="Times New Roman"/>
          <w:kern w:val="2"/>
          <w:sz w:val="21"/>
          <w:szCs w:val="22"/>
          <w:highlight w:val="none"/>
        </w:rPr>
        <w:t>按照GB/T 1.1-2020《标准化工作导则 第1部分：标准化标准的结构和起草规则》的规定起草。</w:t>
      </w:r>
    </w:p>
    <w:p>
      <w:pPr>
        <w:pStyle w:val="22"/>
        <w:rPr>
          <w:rFonts w:hint="default" w:ascii="Times New Roman" w:hAnsi="Times New Roman" w:cs="Times New Roman"/>
          <w:kern w:val="2"/>
          <w:sz w:val="21"/>
          <w:szCs w:val="22"/>
          <w:highlight w:val="none"/>
        </w:rPr>
      </w:pPr>
      <w:r>
        <w:rPr>
          <w:rFonts w:hint="default" w:ascii="Times New Roman" w:hAnsi="Times New Roman" w:cs="Times New Roman"/>
          <w:kern w:val="2"/>
          <w:sz w:val="21"/>
          <w:szCs w:val="22"/>
          <w:highlight w:val="none"/>
        </w:rPr>
        <w:t>请注意</w:t>
      </w:r>
      <w:r>
        <w:rPr>
          <w:rFonts w:hint="default" w:ascii="Times New Roman" w:hAnsi="Times New Roman" w:cs="Times New Roman"/>
          <w:kern w:val="2"/>
          <w:sz w:val="21"/>
          <w:szCs w:val="22"/>
          <w:highlight w:val="none"/>
          <w:lang w:eastAsia="zh-CN"/>
        </w:rPr>
        <w:t>本文件</w:t>
      </w:r>
      <w:r>
        <w:rPr>
          <w:rFonts w:hint="default" w:ascii="Times New Roman" w:hAnsi="Times New Roman" w:cs="Times New Roman"/>
          <w:kern w:val="2"/>
          <w:sz w:val="21"/>
          <w:szCs w:val="22"/>
          <w:highlight w:val="none"/>
        </w:rPr>
        <w:t>的某些内容可能涉及专利。</w:t>
      </w:r>
      <w:r>
        <w:rPr>
          <w:rFonts w:hint="default" w:ascii="Times New Roman" w:hAnsi="Times New Roman" w:cs="Times New Roman"/>
          <w:kern w:val="2"/>
          <w:sz w:val="21"/>
          <w:szCs w:val="22"/>
          <w:highlight w:val="none"/>
          <w:lang w:eastAsia="zh-CN"/>
        </w:rPr>
        <w:t>本文件</w:t>
      </w:r>
      <w:r>
        <w:rPr>
          <w:rFonts w:hint="default" w:ascii="Times New Roman" w:hAnsi="Times New Roman" w:cs="Times New Roman"/>
          <w:kern w:val="2"/>
          <w:sz w:val="21"/>
          <w:szCs w:val="22"/>
          <w:highlight w:val="none"/>
        </w:rPr>
        <w:t>的发布机构不承担识别专利的责任。</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lang w:eastAsia="zh-CN"/>
        </w:rPr>
        <w:t>本文件</w:t>
      </w:r>
      <w:r>
        <w:rPr>
          <w:rFonts w:hint="default" w:ascii="Times New Roman" w:hAnsi="Times New Roman" w:cs="Times New Roman"/>
          <w:highlight w:val="none"/>
        </w:rPr>
        <w:t>由中国特钢企业协会团体标准化工作委员会、中关村不锈及特种合金新材料产业技术创新联盟团体标准化工作委员会联合提出并归口。</w:t>
      </w:r>
    </w:p>
    <w:p>
      <w:pPr>
        <w:pStyle w:val="22"/>
        <w:rPr>
          <w:rFonts w:hint="default" w:ascii="Times New Roman" w:hAnsi="Times New Roman" w:cs="Times New Roman"/>
          <w:kern w:val="2"/>
          <w:sz w:val="21"/>
          <w:szCs w:val="22"/>
          <w:highlight w:val="none"/>
        </w:rPr>
      </w:pPr>
      <w:r>
        <w:rPr>
          <w:rFonts w:hint="default" w:ascii="Times New Roman" w:hAnsi="Times New Roman" w:cs="Times New Roman"/>
          <w:kern w:val="2"/>
          <w:sz w:val="21"/>
          <w:szCs w:val="22"/>
          <w:highlight w:val="none"/>
          <w:lang w:eastAsia="zh-CN"/>
        </w:rPr>
        <w:t>本文件</w:t>
      </w:r>
      <w:r>
        <w:rPr>
          <w:rFonts w:hint="default" w:ascii="Times New Roman" w:hAnsi="Times New Roman" w:cs="Times New Roman"/>
          <w:kern w:val="2"/>
          <w:sz w:val="21"/>
          <w:szCs w:val="22"/>
          <w:highlight w:val="none"/>
        </w:rPr>
        <w:t>起草单位：浙江久立特材科技股份有限公司、冶金工业规划研究院</w:t>
      </w:r>
    </w:p>
    <w:p>
      <w:pPr>
        <w:pStyle w:val="22"/>
        <w:rPr>
          <w:rFonts w:hint="default" w:ascii="Times New Roman" w:hAnsi="Times New Roman" w:cs="Times New Roman"/>
          <w:kern w:val="2"/>
          <w:sz w:val="21"/>
          <w:szCs w:val="22"/>
          <w:highlight w:val="none"/>
        </w:rPr>
      </w:pPr>
      <w:r>
        <w:rPr>
          <w:rFonts w:hint="default" w:ascii="Times New Roman" w:hAnsi="Times New Roman" w:cs="Times New Roman"/>
          <w:kern w:val="2"/>
          <w:sz w:val="21"/>
          <w:szCs w:val="22"/>
          <w:highlight w:val="none"/>
          <w:lang w:eastAsia="zh-CN"/>
        </w:rPr>
        <w:t>本文件</w:t>
      </w:r>
      <w:r>
        <w:rPr>
          <w:rFonts w:hint="default" w:ascii="Times New Roman" w:hAnsi="Times New Roman" w:cs="Times New Roman"/>
          <w:kern w:val="2"/>
          <w:sz w:val="21"/>
          <w:szCs w:val="22"/>
          <w:highlight w:val="none"/>
        </w:rPr>
        <w:t>主要起草人：</w:t>
      </w:r>
    </w:p>
    <w:p>
      <w:pPr>
        <w:pStyle w:val="33"/>
        <w:spacing w:after="624" w:afterLines="200"/>
        <w:rPr>
          <w:rFonts w:hint="default" w:ascii="Times New Roman" w:hAnsi="Times New Roman" w:cs="Times New Roman"/>
          <w:highlight w:val="none"/>
        </w:rPr>
      </w:pPr>
      <w:r>
        <w:rPr>
          <w:rFonts w:hint="default" w:ascii="Times New Roman" w:hAnsi="Times New Roman" w:cs="Times New Roman"/>
          <w:highlight w:val="none"/>
        </w:rPr>
        <w:t>石油化工用氢油同运不锈钢无缝钢管</w:t>
      </w:r>
    </w:p>
    <w:p>
      <w:pPr>
        <w:pStyle w:val="21"/>
        <w:numPr>
          <w:ilvl w:val="0"/>
          <w:numId w:val="4"/>
        </w:numPr>
        <w:spacing w:before="312" w:after="312"/>
        <w:ind w:left="0" w:firstLine="0"/>
        <w:rPr>
          <w:rFonts w:hint="default" w:ascii="Times New Roman" w:hAnsi="Times New Roman" w:cs="Times New Roman"/>
          <w:highlight w:val="none"/>
        </w:rPr>
      </w:pPr>
      <w:bookmarkStart w:id="4" w:name="_Toc520380391"/>
      <w:r>
        <w:rPr>
          <w:rFonts w:hint="default" w:ascii="Times New Roman" w:hAnsi="Times New Roman" w:cs="Times New Roman"/>
          <w:highlight w:val="none"/>
        </w:rPr>
        <w:t>范围</w:t>
      </w:r>
      <w:bookmarkEnd w:id="4"/>
    </w:p>
    <w:p>
      <w:pPr>
        <w:pStyle w:val="22"/>
        <w:rPr>
          <w:rFonts w:hint="default" w:ascii="Times New Roman" w:hAnsi="Times New Roman" w:cs="Times New Roman"/>
          <w:kern w:val="2"/>
          <w:sz w:val="21"/>
          <w:szCs w:val="22"/>
          <w:highlight w:val="none"/>
        </w:rPr>
      </w:pPr>
      <w:bookmarkStart w:id="5" w:name="_Toc520380392"/>
      <w:r>
        <w:rPr>
          <w:rFonts w:hint="default" w:ascii="Times New Roman" w:hAnsi="Times New Roman" w:cs="Times New Roman"/>
          <w:kern w:val="2"/>
          <w:sz w:val="21"/>
          <w:szCs w:val="22"/>
          <w:highlight w:val="none"/>
          <w:lang w:eastAsia="zh-CN"/>
        </w:rPr>
        <w:t>本文件</w:t>
      </w:r>
      <w:r>
        <w:rPr>
          <w:rFonts w:hint="default" w:ascii="Times New Roman" w:hAnsi="Times New Roman" w:cs="Times New Roman"/>
          <w:kern w:val="2"/>
          <w:sz w:val="21"/>
          <w:szCs w:val="22"/>
          <w:highlight w:val="none"/>
        </w:rPr>
        <w:t>规定了石油化工用氢油同运不锈钢无缝钢管的分类和代号、订货内容、尺寸、外形、重量、技术要求、试验方法、检验规则、包装、标志和质量证明书。</w:t>
      </w:r>
    </w:p>
    <w:p>
      <w:pPr>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lang w:eastAsia="zh-CN"/>
        </w:rPr>
        <w:t>本文件</w:t>
      </w:r>
      <w:r>
        <w:rPr>
          <w:rFonts w:hint="default" w:ascii="Times New Roman" w:hAnsi="Times New Roman" w:cs="Times New Roman"/>
          <w:highlight w:val="none"/>
        </w:rPr>
        <w:t>适用于制造最大外径不超过 219mm</w:t>
      </w:r>
      <w:r>
        <w:rPr>
          <w:rFonts w:hint="default" w:ascii="Times New Roman" w:hAnsi="Times New Roman" w:cs="Times New Roman"/>
          <w:highlight w:val="none"/>
          <w:lang w:eastAsia="zh-CN"/>
        </w:rPr>
        <w:t>的</w:t>
      </w:r>
      <w:r>
        <w:rPr>
          <w:rFonts w:hint="default" w:ascii="Times New Roman" w:hAnsi="Times New Roman" w:cs="Times New Roman"/>
          <w:szCs w:val="22"/>
          <w:highlight w:val="none"/>
        </w:rPr>
        <w:t>石油化工用氢油同运不锈钢无缝钢管</w:t>
      </w:r>
      <w:r>
        <w:rPr>
          <w:rFonts w:hint="default" w:ascii="Times New Roman" w:hAnsi="Times New Roman" w:cs="Times New Roman"/>
          <w:highlight w:val="none"/>
        </w:rPr>
        <w:t>（以下简称“钢管”）。</w:t>
      </w:r>
    </w:p>
    <w:p>
      <w:pPr>
        <w:pStyle w:val="21"/>
        <w:numPr>
          <w:ilvl w:val="0"/>
          <w:numId w:val="4"/>
        </w:numPr>
        <w:spacing w:before="312" w:after="312"/>
        <w:ind w:left="0" w:firstLine="0"/>
        <w:rPr>
          <w:rFonts w:hint="default" w:ascii="Times New Roman" w:hAnsi="Times New Roman" w:cs="Times New Roman"/>
          <w:highlight w:val="none"/>
        </w:rPr>
      </w:pPr>
      <w:r>
        <w:rPr>
          <w:rFonts w:hint="default" w:ascii="Times New Roman" w:hAnsi="Times New Roman" w:cs="Times New Roman"/>
          <w:highlight w:val="none"/>
        </w:rPr>
        <w:t>规范性引用标准</w:t>
      </w:r>
      <w:bookmarkEnd w:id="5"/>
    </w:p>
    <w:p>
      <w:pPr>
        <w:pStyle w:val="22"/>
        <w:rPr>
          <w:rFonts w:hint="default" w:ascii="Times New Roman" w:hAnsi="Times New Roman" w:cs="Times New Roman"/>
          <w:kern w:val="2"/>
          <w:sz w:val="21"/>
          <w:szCs w:val="22"/>
          <w:highlight w:val="none"/>
        </w:rPr>
      </w:pPr>
      <w:bookmarkStart w:id="6" w:name="_Toc520380394"/>
      <w:r>
        <w:rPr>
          <w:rFonts w:hint="default" w:ascii="Times New Roman" w:hAnsi="Times New Roman" w:cs="Times New Roman"/>
          <w:kern w:val="2"/>
          <w:sz w:val="21"/>
          <w:szCs w:val="22"/>
          <w:highlight w:val="none"/>
        </w:rPr>
        <w:t>下列标准中的内容通过文中的规范性引用而构成</w:t>
      </w:r>
      <w:r>
        <w:rPr>
          <w:rFonts w:hint="default" w:ascii="Times New Roman" w:hAnsi="Times New Roman" w:cs="Times New Roman"/>
          <w:kern w:val="2"/>
          <w:sz w:val="21"/>
          <w:szCs w:val="22"/>
          <w:highlight w:val="none"/>
          <w:lang w:eastAsia="zh-CN"/>
        </w:rPr>
        <w:t>本文件</w:t>
      </w:r>
      <w:r>
        <w:rPr>
          <w:rFonts w:hint="default" w:ascii="Times New Roman" w:hAnsi="Times New Roman" w:cs="Times New Roman"/>
          <w:kern w:val="2"/>
          <w:sz w:val="21"/>
          <w:szCs w:val="22"/>
          <w:highlight w:val="none"/>
        </w:rPr>
        <w:t>必不可少的条款。其中，注日期的引用标准，仅该日期对应的版本适用于</w:t>
      </w:r>
      <w:r>
        <w:rPr>
          <w:rFonts w:hint="default" w:ascii="Times New Roman" w:hAnsi="Times New Roman" w:cs="Times New Roman"/>
          <w:kern w:val="2"/>
          <w:sz w:val="21"/>
          <w:szCs w:val="22"/>
          <w:highlight w:val="none"/>
          <w:lang w:eastAsia="zh-CN"/>
        </w:rPr>
        <w:t>本文件</w:t>
      </w:r>
      <w:r>
        <w:rPr>
          <w:rFonts w:hint="default" w:ascii="Times New Roman" w:hAnsi="Times New Roman" w:cs="Times New Roman"/>
          <w:kern w:val="2"/>
          <w:sz w:val="21"/>
          <w:szCs w:val="22"/>
          <w:highlight w:val="none"/>
        </w:rPr>
        <w:t>；不注日期的引用标准，其最新版本（包括所有的修改单）适用于</w:t>
      </w:r>
      <w:r>
        <w:rPr>
          <w:rFonts w:hint="default" w:ascii="Times New Roman" w:hAnsi="Times New Roman" w:cs="Times New Roman"/>
          <w:kern w:val="2"/>
          <w:sz w:val="21"/>
          <w:szCs w:val="22"/>
          <w:highlight w:val="none"/>
          <w:lang w:eastAsia="zh-CN"/>
        </w:rPr>
        <w:t>本文件</w:t>
      </w:r>
      <w:r>
        <w:rPr>
          <w:rFonts w:hint="default" w:ascii="Times New Roman" w:hAnsi="Times New Roman" w:cs="Times New Roman"/>
          <w:kern w:val="2"/>
          <w:sz w:val="21"/>
          <w:szCs w:val="22"/>
          <w:highlight w:val="none"/>
        </w:rPr>
        <w:t>。</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222  钢的成品化学成分允许偏差</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223.11  钢铁及合金  铬含量的测定  可视滴定或电位滴定法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223.25  钢铁及合金化学分析方法  丁二酮肟重量法来测定镍量</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223.28  钢铁及合金化学分析方法  α-安息香肟重量法测定钼量</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223.36   钢铁及合金化学分析方法 蒸馏分离-中和滴定法测定氮量</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223.59  钢铁及合金 磷含量的测定 铋磷钼蓝分光光度法和锑磷钼蓝分光光度法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223.60  钢铁及合金化学分析方法  高氯酸脱水重量法测定硅含量</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223.63  钢铁及合金化学分析方法  高碘酸钠（钾）光度法测定锰量</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223.82  钢铁　氢含量的测定　惰性气体熔融-热导或红外法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223.85  钢铁及合金  硫含量的测定  感应炉燃烧后红外吸收法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223.86  钢铁及合金  总碳含量的测定  感应炉燃烧后红外吸收法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228.1  金属材料  拉伸试验  第1部分：室温试验方法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229  金属材料  夏比摆锤冲击试验方法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230.1 金属材料  洛氏硬度试验  第1部分：试验方法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231.1  金属材料  布氏硬度试验  第1部分: 试验方法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241  金属管  液压试验方法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242  金属管  扩口试验方法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246  金属材料  管  压扁试验方法</w:t>
      </w:r>
    </w:p>
    <w:p>
      <w:pPr>
        <w:ind w:firstLine="570"/>
        <w:rPr>
          <w:rFonts w:hint="default" w:ascii="Times New Roman" w:hAnsi="Times New Roman" w:cs="Times New Roman"/>
          <w:highlight w:val="none"/>
          <w:lang w:val="zh-TW" w:eastAsia="zh-TW"/>
        </w:rPr>
      </w:pPr>
      <w:r>
        <w:rPr>
          <w:rFonts w:hint="default" w:ascii="Times New Roman" w:hAnsi="Times New Roman" w:cs="Times New Roman"/>
          <w:highlight w:val="none"/>
          <w:lang w:eastAsia="en-US"/>
        </w:rPr>
        <w:t xml:space="preserve">GB/T </w:t>
      </w:r>
      <w:r>
        <w:rPr>
          <w:rFonts w:hint="default" w:ascii="Times New Roman" w:hAnsi="Times New Roman" w:cs="Times New Roman"/>
          <w:highlight w:val="none"/>
          <w:lang w:val="zh-TW" w:eastAsia="zh-TW"/>
        </w:rPr>
        <w:t>1031</w:t>
      </w:r>
      <w:r>
        <w:rPr>
          <w:rFonts w:hint="eastAsia" w:cs="Times New Roman"/>
          <w:highlight w:val="none"/>
          <w:lang w:val="en-US" w:eastAsia="zh-CN"/>
        </w:rPr>
        <w:t xml:space="preserve"> </w:t>
      </w:r>
      <w:r>
        <w:rPr>
          <w:rFonts w:hint="default" w:ascii="Times New Roman" w:hAnsi="Times New Roman" w:cs="Times New Roman"/>
          <w:highlight w:val="none"/>
          <w:lang w:val="zh-TW" w:eastAsia="zh-TW"/>
        </w:rPr>
        <w:t>产品几何技术规范（GPS) 表面结构 轮廓法 表面粗糙度参数及其数值</w:t>
      </w:r>
    </w:p>
    <w:p>
      <w:pPr>
        <w:ind w:firstLine="570"/>
        <w:rPr>
          <w:rFonts w:hint="default" w:ascii="Times New Roman" w:hAnsi="Times New Roman" w:cs="Times New Roman"/>
          <w:highlight w:val="none"/>
        </w:rPr>
      </w:pPr>
      <w:r>
        <w:rPr>
          <w:rFonts w:hint="default" w:ascii="Times New Roman" w:hAnsi="Times New Roman" w:cs="Times New Roman"/>
          <w:highlight w:val="none"/>
        </w:rPr>
        <w:t>GB/T 2039 金属材料  单轴拉伸蠕变试验方法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2102  钢管的验收、包装、标志和质量证明书</w:t>
      </w:r>
    </w:p>
    <w:p>
      <w:pPr>
        <w:ind w:firstLine="570"/>
        <w:rPr>
          <w:rFonts w:hint="default" w:ascii="Times New Roman" w:hAnsi="Times New Roman" w:cs="Times New Roman"/>
          <w:highlight w:val="none"/>
        </w:rPr>
      </w:pPr>
      <w:r>
        <w:rPr>
          <w:rFonts w:hint="default" w:ascii="Times New Roman" w:hAnsi="Times New Roman" w:cs="Times New Roman"/>
          <w:highlight w:val="none"/>
        </w:rPr>
        <w:t>GB/T 2975  钢及钢产品 力学性能试验取样位置及试样制备</w:t>
      </w:r>
    </w:p>
    <w:p>
      <w:pPr>
        <w:ind w:firstLine="570"/>
        <w:rPr>
          <w:rFonts w:hint="default" w:ascii="Times New Roman" w:hAnsi="Times New Roman" w:cs="Times New Roman"/>
          <w:highlight w:val="none"/>
        </w:rPr>
      </w:pPr>
      <w:r>
        <w:rPr>
          <w:rFonts w:hint="default" w:ascii="Times New Roman" w:hAnsi="Times New Roman" w:cs="Times New Roman"/>
          <w:highlight w:val="none"/>
        </w:rPr>
        <w:t>GB/T 3141  工业液体润滑剂  ISO 粘度分类</w:t>
      </w:r>
    </w:p>
    <w:p>
      <w:pPr>
        <w:ind w:firstLine="570"/>
        <w:rPr>
          <w:rFonts w:hint="default" w:ascii="Times New Roman" w:hAnsi="Times New Roman" w:cs="Times New Roman"/>
          <w:highlight w:val="none"/>
        </w:rPr>
      </w:pPr>
      <w:r>
        <w:rPr>
          <w:rFonts w:hint="default" w:ascii="Times New Roman" w:hAnsi="Times New Roman" w:cs="Times New Roman"/>
          <w:highlight w:val="none"/>
        </w:rPr>
        <w:t>GB/T 4334—2020  金属和合金的腐蚀  不锈钢晶间腐蚀试验方法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5777—2019 无缝和焊接（埋弧焊除外）钢管纵向和/或横向缺欠的全圆周自动超声检测</w:t>
      </w:r>
    </w:p>
    <w:p>
      <w:pPr>
        <w:ind w:firstLine="570"/>
        <w:rPr>
          <w:rFonts w:hint="default" w:ascii="Times New Roman" w:hAnsi="Times New Roman" w:cs="Times New Roman"/>
          <w:highlight w:val="none"/>
        </w:rPr>
      </w:pPr>
      <w:r>
        <w:rPr>
          <w:rFonts w:hint="default" w:ascii="Times New Roman" w:hAnsi="Times New Roman" w:cs="Times New Roman"/>
          <w:highlight w:val="none"/>
        </w:rPr>
        <w:t>GB/T 6394  金属平均晶粒度测定方法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8650  管线钢和压力容器钢抗氢致开裂评定方法</w:t>
      </w:r>
    </w:p>
    <w:p>
      <w:pPr>
        <w:ind w:firstLine="57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eastAsia="en-US"/>
        </w:rPr>
        <w:t xml:space="preserve">GB/T </w:t>
      </w:r>
      <w:r>
        <w:rPr>
          <w:rFonts w:hint="eastAsia" w:cs="Times New Roman"/>
          <w:highlight w:val="none"/>
          <w:lang w:val="en-US" w:eastAsia="zh-CN"/>
        </w:rPr>
        <w:t>8170  数值修约规则与极限数值的表示和判定</w:t>
      </w:r>
    </w:p>
    <w:p>
      <w:pPr>
        <w:ind w:firstLine="570"/>
        <w:rPr>
          <w:rFonts w:hint="default" w:ascii="Times New Roman" w:hAnsi="Times New Roman" w:cs="Times New Roman"/>
          <w:highlight w:val="none"/>
        </w:rPr>
      </w:pPr>
      <w:r>
        <w:rPr>
          <w:rFonts w:hint="default" w:ascii="Times New Roman" w:hAnsi="Times New Roman" w:cs="Times New Roman"/>
          <w:highlight w:val="none"/>
        </w:rPr>
        <w:t>GB/T 10125  人造气氛腐蚀试验：盐雾试验</w:t>
      </w:r>
    </w:p>
    <w:p>
      <w:pPr>
        <w:ind w:firstLine="570"/>
        <w:rPr>
          <w:rFonts w:hint="default" w:ascii="Times New Roman" w:hAnsi="Times New Roman" w:cs="Times New Roman"/>
          <w:kern w:val="2"/>
          <w:sz w:val="21"/>
          <w:szCs w:val="24"/>
          <w:highlight w:val="none"/>
        </w:rPr>
      </w:pPr>
      <w:r>
        <w:rPr>
          <w:rFonts w:hint="default" w:ascii="Times New Roman" w:hAnsi="Times New Roman" w:cs="Times New Roman"/>
          <w:kern w:val="2"/>
          <w:sz w:val="21"/>
          <w:szCs w:val="24"/>
          <w:highlight w:val="none"/>
        </w:rPr>
        <w:t>GB/T 10561-2023</w:t>
      </w:r>
      <w:r>
        <w:rPr>
          <w:rFonts w:hint="default" w:ascii="Times New Roman" w:hAnsi="Times New Roman" w:cs="Times New Roman"/>
          <w:kern w:val="2"/>
          <w:sz w:val="21"/>
          <w:szCs w:val="24"/>
          <w:highlight w:val="none"/>
          <w:lang w:val="en-US" w:eastAsia="zh-CN"/>
        </w:rPr>
        <w:t xml:space="preserve"> </w:t>
      </w:r>
      <w:r>
        <w:rPr>
          <w:rFonts w:hint="default" w:ascii="Times New Roman" w:hAnsi="Times New Roman" w:cs="Times New Roman"/>
          <w:kern w:val="2"/>
          <w:sz w:val="21"/>
          <w:szCs w:val="24"/>
          <w:highlight w:val="none"/>
        </w:rPr>
        <w:t>钢中非金属夹杂物含量的测定 标准评级图显微检验法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11170  不锈钢 多元素含量的测定 火花放电原子发射光谱法(常规法)</w:t>
      </w:r>
    </w:p>
    <w:p>
      <w:pPr>
        <w:ind w:firstLine="570"/>
        <w:rPr>
          <w:rFonts w:hint="default" w:ascii="Times New Roman" w:hAnsi="Times New Roman" w:cs="Times New Roman"/>
          <w:highlight w:val="none"/>
        </w:rPr>
      </w:pPr>
      <w:r>
        <w:rPr>
          <w:rFonts w:hint="default" w:ascii="Times New Roman" w:hAnsi="Times New Roman" w:cs="Times New Roman"/>
          <w:highlight w:val="none"/>
        </w:rPr>
        <w:t xml:space="preserve">GB/T 11261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"https://std.samr.gov.cn/gb/search/gbDetailed?id=71F772D7FE6BD3A7E05397BE0A0AB82A" \t "https://std.samr.gov.cn/search/stdPage?q=GB/_blank"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钢铁 氧含量的测定 脉冲加热惰气熔融-红外线吸收法</w:t>
      </w:r>
      <w:r>
        <w:rPr>
          <w:rFonts w:hint="default" w:ascii="Times New Roman" w:hAnsi="Times New Roman" w:cs="Times New Roman"/>
          <w:highlight w:val="none"/>
        </w:rPr>
        <w:fldChar w:fldCharType="end"/>
      </w:r>
    </w:p>
    <w:p>
      <w:pPr>
        <w:ind w:firstLine="570"/>
        <w:rPr>
          <w:rFonts w:hint="default" w:ascii="Times New Roman" w:hAnsi="Times New Roman" w:cs="Times New Roman"/>
          <w:highlight w:val="none"/>
        </w:rPr>
      </w:pPr>
      <w:r>
        <w:rPr>
          <w:rFonts w:hint="default" w:ascii="Times New Roman" w:hAnsi="Times New Roman" w:cs="Times New Roman"/>
          <w:highlight w:val="none"/>
        </w:rPr>
        <w:t xml:space="preserve">GB/T 13305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"https://std.samr.gov.cn/gb/search/gbDetailed?id=71F772D7FE6BD3A7E05397BE0A0AB82A" \t "https://std.samr.gov.cn/search/stdPage?q=GB/_blank"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不锈钢中</w:t>
      </w:r>
      <w:r>
        <w:rPr>
          <w:rFonts w:hint="default" w:ascii="Times New Roman" w:hAnsi="Times New Roman" w:cs="Times New Roman"/>
          <w:highlight w:val="none"/>
        </w:rPr>
        <w:fldChar w:fldCharType="end"/>
      </w:r>
      <w:r>
        <w:rPr>
          <w:rFonts w:hint="default" w:ascii="Times New Roman" w:hAnsi="Times New Roman" w:cs="Times New Roman"/>
          <w:highlight w:val="none"/>
        </w:rPr>
        <w:t>α相面积含量金相测定法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17395  无缝钢管尺寸、外形、重量及允许偏差</w:t>
      </w:r>
    </w:p>
    <w:p>
      <w:pPr>
        <w:ind w:firstLine="570"/>
        <w:rPr>
          <w:rFonts w:hint="default" w:ascii="Times New Roman" w:hAnsi="Times New Roman" w:cs="Times New Roman"/>
          <w:highlight w:val="none"/>
          <w:lang w:val="zh-TW" w:eastAsia="zh-TW"/>
        </w:rPr>
      </w:pPr>
      <w:r>
        <w:rPr>
          <w:rFonts w:hint="default" w:ascii="Times New Roman" w:hAnsi="Times New Roman" w:cs="Times New Roman"/>
          <w:highlight w:val="none"/>
          <w:lang w:eastAsia="en-US"/>
        </w:rPr>
        <w:t xml:space="preserve">GB/T </w:t>
      </w:r>
      <w:r>
        <w:rPr>
          <w:rFonts w:hint="default" w:ascii="Times New Roman" w:hAnsi="Times New Roman" w:cs="Times New Roman"/>
          <w:highlight w:val="none"/>
          <w:lang w:val="zh-TW" w:eastAsia="zh-TW"/>
        </w:rPr>
        <w:t>20066</w:t>
      </w:r>
      <w:r>
        <w:rPr>
          <w:rFonts w:hint="eastAsia" w:cs="Times New Roman"/>
          <w:highlight w:val="none"/>
          <w:lang w:val="en-US" w:eastAsia="zh-CN"/>
        </w:rPr>
        <w:t xml:space="preserve">  </w:t>
      </w:r>
      <w:r>
        <w:rPr>
          <w:rFonts w:hint="default" w:ascii="Times New Roman" w:hAnsi="Times New Roman" w:cs="Times New Roman"/>
          <w:highlight w:val="none"/>
          <w:lang w:val="zh-TW" w:eastAsia="zh-TW"/>
        </w:rPr>
        <w:t>钢和铁 化学成分测定用试样的取样和制样方法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20123  钢铁 总碳硫含量的测定 高频感应炉燃烧后红外吸收法（常规方法）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20124  钢铁 氮含量的测定 惰性气体熔融热导法（常规方法）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 xml:space="preserve">GB/T 30062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"https://std.samr.gov.cn/gb/search/gbDetailed?id=71F772D7E99BD3A7E05397BE0A0AB82A" \t "https://std.samr.gov.cn/search/stdPage?q=GB/_blank"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钢管术语</w:t>
      </w:r>
      <w:r>
        <w:rPr>
          <w:rFonts w:hint="default" w:ascii="Times New Roman" w:hAnsi="Times New Roman" w:cs="Times New Roman"/>
          <w:highlight w:val="none"/>
        </w:rPr>
        <w:fldChar w:fldCharType="end"/>
      </w:r>
    </w:p>
    <w:p>
      <w:pPr>
        <w:ind w:firstLine="570"/>
        <w:rPr>
          <w:rFonts w:hint="default" w:ascii="Times New Roman" w:hAnsi="Times New Roman" w:cs="Times New Roman"/>
          <w:highlight w:val="none"/>
        </w:rPr>
      </w:pPr>
      <w:r>
        <w:rPr>
          <w:rFonts w:hint="default" w:ascii="Times New Roman" w:hAnsi="Times New Roman" w:cs="Times New Roman"/>
          <w:highlight w:val="none"/>
        </w:rPr>
        <w:t>GB/T 34542.3  氢气储存输送系统  第3部分：金属材料氢脆敏感度试验方法</w:t>
      </w:r>
    </w:p>
    <w:p>
      <w:pPr>
        <w:ind w:firstLine="570"/>
        <w:rPr>
          <w:rFonts w:hint="default" w:ascii="Times New Roman" w:hAnsi="Times New Roman" w:cs="Times New Roman"/>
          <w:highlight w:val="none"/>
        </w:rPr>
      </w:pPr>
      <w:r>
        <w:rPr>
          <w:rFonts w:hint="default" w:ascii="Times New Roman" w:hAnsi="Times New Roman" w:cs="Times New Roman"/>
          <w:highlight w:val="none"/>
        </w:rPr>
        <w:t>GB/T 40297   高压加氢装置用奥氏体不锈钢无缝钢管</w:t>
      </w:r>
    </w:p>
    <w:p>
      <w:pPr>
        <w:ind w:firstLine="57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rPr>
        <w:t>NB/T 47013.5-</w:t>
      </w:r>
      <w:r>
        <w:rPr>
          <w:rFonts w:hint="default" w:ascii="Times New Roman" w:hAnsi="Times New Roman" w:eastAsia="宋体" w:cs="Times New Roman"/>
          <w:highlight w:val="none"/>
          <w:lang w:val="zh-CN"/>
        </w:rPr>
        <w:t>2015承压设备无损检测 第5部分:</w:t>
      </w:r>
      <w:r>
        <w:rPr>
          <w:rFonts w:hint="eastAsia" w:cs="Times New Roman"/>
          <w:highlight w:val="none"/>
          <w:lang w:val="en-US" w:eastAsia="zh-CN"/>
        </w:rPr>
        <w:t xml:space="preserve"> </w:t>
      </w:r>
      <w:r>
        <w:rPr>
          <w:rFonts w:hint="default" w:ascii="Times New Roman" w:hAnsi="Times New Roman" w:eastAsia="宋体" w:cs="Times New Roman"/>
          <w:highlight w:val="none"/>
          <w:lang w:val="zh-CN"/>
        </w:rPr>
        <w:t>渗透检测</w:t>
      </w:r>
    </w:p>
    <w:p>
      <w:pPr>
        <w:ind w:firstLine="570"/>
        <w:rPr>
          <w:rFonts w:hint="default" w:ascii="Times New Roman" w:hAnsi="Times New Roman" w:cs="Times New Roman"/>
          <w:highlight w:val="none"/>
        </w:rPr>
      </w:pPr>
      <w:r>
        <w:rPr>
          <w:rFonts w:hint="default" w:ascii="Times New Roman" w:hAnsi="Times New Roman" w:cs="Times New Roman"/>
          <w:highlight w:val="none"/>
        </w:rPr>
        <w:t>YB/T 4307   钢铁及合金 氧、氮和氢含量的测定 脉冲加热惰气熔融-飞行时间质谱法（常规法）</w:t>
      </w:r>
    </w:p>
    <w:p>
      <w:pPr>
        <w:ind w:firstLine="570"/>
        <w:rPr>
          <w:rFonts w:hint="default" w:ascii="Times New Roman" w:hAnsi="Times New Roman" w:cs="Times New Roman"/>
          <w:highlight w:val="none"/>
        </w:rPr>
      </w:pPr>
      <w:r>
        <w:rPr>
          <w:rFonts w:hint="default" w:ascii="Times New Roman" w:hAnsi="Times New Roman" w:cs="Times New Roman"/>
          <w:highlight w:val="none"/>
          <w:lang w:val="zh-CN"/>
        </w:rPr>
        <w:t>T/SSEA 0150</w:t>
      </w:r>
      <w:r>
        <w:rPr>
          <w:rFonts w:hint="default" w:ascii="Times New Roman" w:hAnsi="Times New Roman" w:cs="Times New Roman"/>
          <w:highlight w:val="none"/>
        </w:rPr>
        <w:t xml:space="preserve"> </w:t>
      </w:r>
      <w:r>
        <w:rPr>
          <w:rFonts w:hint="default" w:ascii="Times New Roman" w:hAnsi="Times New Roman" w:cs="Times New Roman"/>
          <w:highlight w:val="none"/>
          <w:lang w:val="zh-CN"/>
        </w:rPr>
        <w:t>高压锅炉用不锈钢无缝钢管圆管坯</w:t>
      </w:r>
    </w:p>
    <w:p>
      <w:pPr>
        <w:ind w:firstLine="570"/>
        <w:rPr>
          <w:rFonts w:hint="default" w:ascii="Times New Roman" w:hAnsi="Times New Roman" w:cs="Times New Roman"/>
          <w:highlight w:val="none"/>
        </w:rPr>
      </w:pPr>
    </w:p>
    <w:p>
      <w:pPr>
        <w:pStyle w:val="21"/>
        <w:numPr>
          <w:ilvl w:val="0"/>
          <w:numId w:val="4"/>
        </w:numPr>
        <w:spacing w:before="312" w:after="312"/>
        <w:ind w:left="0" w:firstLine="0"/>
        <w:rPr>
          <w:rFonts w:hint="default" w:ascii="Times New Roman" w:hAnsi="Times New Roman" w:cs="Times New Roman"/>
          <w:highlight w:val="none"/>
        </w:rPr>
      </w:pPr>
      <w:r>
        <w:rPr>
          <w:rFonts w:hint="default" w:ascii="Times New Roman" w:hAnsi="Times New Roman" w:cs="Times New Roman"/>
          <w:highlight w:val="none"/>
        </w:rPr>
        <w:t>术语和定义</w:t>
      </w:r>
    </w:p>
    <w:p>
      <w:pPr>
        <w:pStyle w:val="22"/>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rPr>
        <w:t>GB/T 30062 界定的以及下列术语和定义适用于本文件。</w:t>
      </w:r>
    </w:p>
    <w:p>
      <w:pPr>
        <w:pStyle w:val="24"/>
        <w:numPr>
          <w:ilvl w:val="1"/>
          <w:numId w:val="4"/>
        </w:numPr>
        <w:spacing w:before="156" w:after="156"/>
        <w:ind w:left="0" w:firstLine="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氢油同运 Hydrogen And Oil Transportation</w:t>
      </w:r>
    </w:p>
    <w:p>
      <w:pPr>
        <w:spacing w:line="276" w:lineRule="auto"/>
        <w:ind w:firstLine="420" w:firstLineChars="20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液态氢、石油按照一定的比例进行掺和配比，并在在同一根管路上储运。</w:t>
      </w:r>
    </w:p>
    <w:p>
      <w:pPr>
        <w:pStyle w:val="21"/>
        <w:numPr>
          <w:ilvl w:val="0"/>
          <w:numId w:val="4"/>
        </w:numPr>
        <w:tabs>
          <w:tab w:val="left" w:pos="1301"/>
        </w:tabs>
        <w:spacing w:before="312" w:after="312"/>
        <w:ind w:left="0" w:firstLine="0"/>
        <w:rPr>
          <w:rFonts w:hint="default" w:ascii="Times New Roman" w:hAnsi="Times New Roman" w:cs="Times New Roman"/>
          <w:highlight w:val="none"/>
        </w:rPr>
      </w:pPr>
      <w:r>
        <w:rPr>
          <w:rFonts w:hint="default" w:ascii="Times New Roman" w:hAnsi="Times New Roman" w:cs="Times New Roman"/>
          <w:highlight w:val="none"/>
        </w:rPr>
        <w:t>分类和代号</w:t>
      </w:r>
      <w:r>
        <w:rPr>
          <w:rFonts w:hint="default" w:ascii="Times New Roman" w:hAnsi="Times New Roman" w:cs="Times New Roman"/>
          <w:highlight w:val="none"/>
        </w:rPr>
        <w:tab/>
      </w:r>
    </w:p>
    <w:p>
      <w:pPr>
        <w:pStyle w:val="24"/>
        <w:tabs>
          <w:tab w:val="left" w:pos="0"/>
        </w:tabs>
        <w:spacing w:before="156" w:after="156"/>
        <w:ind w:left="0" w:firstLine="420" w:firstLineChars="20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钢管按尺寸精度分级和代号如下：</w:t>
      </w:r>
    </w:p>
    <w:p>
      <w:pPr>
        <w:pStyle w:val="46"/>
        <w:numPr>
          <w:ilvl w:val="0"/>
          <w:numId w:val="5"/>
        </w:numPr>
        <w:rPr>
          <w:rFonts w:hint="default" w:ascii="Times New Roman" w:hAnsi="Times New Roman" w:cs="Times New Roman"/>
          <w:highlight w:val="none"/>
        </w:rPr>
      </w:pPr>
      <w:r>
        <w:rPr>
          <w:rFonts w:hint="default" w:ascii="Times New Roman" w:hAnsi="Times New Roman" w:cs="Times New Roman"/>
          <w:highlight w:val="none"/>
        </w:rPr>
        <w:t>普通级     PA；</w:t>
      </w:r>
    </w:p>
    <w:p>
      <w:pPr>
        <w:pStyle w:val="46"/>
        <w:numPr>
          <w:ilvl w:val="0"/>
          <w:numId w:val="5"/>
        </w:numPr>
        <w:rPr>
          <w:rFonts w:hint="default" w:ascii="Times New Roman" w:hAnsi="Times New Roman" w:cs="Times New Roman"/>
          <w:highlight w:val="none"/>
        </w:rPr>
      </w:pPr>
      <w:r>
        <w:rPr>
          <w:rFonts w:hint="default" w:ascii="Times New Roman" w:hAnsi="Times New Roman" w:cs="Times New Roman"/>
          <w:highlight w:val="none"/>
        </w:rPr>
        <w:t>高级       PC。</w:t>
      </w:r>
    </w:p>
    <w:p>
      <w:pPr>
        <w:pStyle w:val="21"/>
        <w:numPr>
          <w:ilvl w:val="0"/>
          <w:numId w:val="4"/>
        </w:numPr>
        <w:spacing w:before="312" w:after="312"/>
        <w:ind w:left="0" w:firstLine="0"/>
        <w:rPr>
          <w:rFonts w:hint="default" w:ascii="Times New Roman" w:hAnsi="Times New Roman" w:cs="Times New Roman"/>
          <w:highlight w:val="none"/>
        </w:rPr>
      </w:pPr>
      <w:r>
        <w:rPr>
          <w:rFonts w:hint="default" w:ascii="Times New Roman" w:hAnsi="Times New Roman" w:cs="Times New Roman"/>
          <w:highlight w:val="none"/>
        </w:rPr>
        <w:t>订货内容</w:t>
      </w:r>
      <w:bookmarkEnd w:id="6"/>
    </w:p>
    <w:p>
      <w:pPr>
        <w:pStyle w:val="22"/>
        <w:rPr>
          <w:rFonts w:hint="default" w:ascii="Times New Roman" w:hAnsi="Times New Roman" w:cs="Times New Roman"/>
          <w:sz w:val="21"/>
          <w:szCs w:val="21"/>
          <w:highlight w:val="none"/>
        </w:rPr>
      </w:pPr>
      <w:bookmarkStart w:id="7" w:name="_Toc520380395"/>
      <w:r>
        <w:rPr>
          <w:rFonts w:hint="default" w:ascii="Times New Roman" w:hAnsi="Times New Roman" w:cs="Times New Roman"/>
          <w:sz w:val="21"/>
          <w:szCs w:val="21"/>
          <w:highlight w:val="none"/>
        </w:rPr>
        <w:t>按</w:t>
      </w:r>
      <w:r>
        <w:rPr>
          <w:rFonts w:hint="default" w:ascii="Times New Roman" w:hAnsi="Times New Roman" w:cs="Times New Roman"/>
          <w:sz w:val="21"/>
          <w:szCs w:val="21"/>
          <w:highlight w:val="none"/>
          <w:lang w:eastAsia="zh-CN"/>
        </w:rPr>
        <w:t>本文件</w:t>
      </w:r>
      <w:r>
        <w:rPr>
          <w:rFonts w:hint="default" w:ascii="Times New Roman" w:hAnsi="Times New Roman" w:cs="Times New Roman"/>
          <w:sz w:val="21"/>
          <w:szCs w:val="21"/>
          <w:highlight w:val="none"/>
        </w:rPr>
        <w:t>订货的合同或订单应包括下列内容：</w:t>
      </w:r>
    </w:p>
    <w:p>
      <w:pPr>
        <w:numPr>
          <w:ilvl w:val="0"/>
          <w:numId w:val="6"/>
        </w:numPr>
        <w:rPr>
          <w:rFonts w:hint="default" w:ascii="Times New Roman" w:hAnsi="Times New Roman" w:cs="Times New Roman"/>
          <w:highlight w:val="none"/>
        </w:rPr>
      </w:pPr>
      <w:r>
        <w:rPr>
          <w:rFonts w:hint="default" w:ascii="Times New Roman" w:hAnsi="Times New Roman" w:cs="Times New Roman"/>
          <w:highlight w:val="none"/>
        </w:rPr>
        <w:t>产品名称；</w:t>
      </w:r>
    </w:p>
    <w:p>
      <w:pPr>
        <w:numPr>
          <w:ilvl w:val="0"/>
          <w:numId w:val="6"/>
        </w:numPr>
        <w:rPr>
          <w:rFonts w:hint="default" w:ascii="Times New Roman" w:hAnsi="Times New Roman" w:cs="Times New Roman"/>
          <w:highlight w:val="none"/>
        </w:rPr>
      </w:pPr>
      <w:r>
        <w:rPr>
          <w:rFonts w:hint="default" w:ascii="Times New Roman" w:hAnsi="Times New Roman" w:cs="Times New Roman"/>
          <w:highlight w:val="none"/>
          <w:lang w:eastAsia="zh-CN"/>
        </w:rPr>
        <w:t>本文件</w:t>
      </w:r>
      <w:r>
        <w:rPr>
          <w:rFonts w:hint="default" w:ascii="Times New Roman" w:hAnsi="Times New Roman" w:cs="Times New Roman"/>
          <w:highlight w:val="none"/>
        </w:rPr>
        <w:t>编号；</w:t>
      </w:r>
    </w:p>
    <w:p>
      <w:pPr>
        <w:numPr>
          <w:ilvl w:val="0"/>
          <w:numId w:val="6"/>
        </w:numPr>
        <w:rPr>
          <w:rFonts w:hint="default" w:ascii="Times New Roman" w:hAnsi="Times New Roman" w:cs="Times New Roman"/>
          <w:highlight w:val="none"/>
        </w:rPr>
      </w:pPr>
      <w:r>
        <w:rPr>
          <w:rFonts w:hint="default" w:ascii="Times New Roman" w:hAnsi="Times New Roman" w:cs="Times New Roman"/>
          <w:highlight w:val="none"/>
        </w:rPr>
        <w:t>牌号；</w:t>
      </w:r>
    </w:p>
    <w:p>
      <w:pPr>
        <w:numPr>
          <w:ilvl w:val="0"/>
          <w:numId w:val="6"/>
        </w:numPr>
        <w:rPr>
          <w:rFonts w:hint="default" w:ascii="Times New Roman" w:hAnsi="Times New Roman" w:cs="Times New Roman"/>
          <w:highlight w:val="none"/>
        </w:rPr>
      </w:pPr>
      <w:r>
        <w:rPr>
          <w:rFonts w:hint="default" w:ascii="Times New Roman" w:hAnsi="Times New Roman" w:cs="Times New Roman"/>
          <w:highlight w:val="none"/>
        </w:rPr>
        <w:t>尺寸与外形；</w:t>
      </w:r>
    </w:p>
    <w:p>
      <w:pPr>
        <w:numPr>
          <w:ilvl w:val="0"/>
          <w:numId w:val="6"/>
        </w:numPr>
        <w:rPr>
          <w:rFonts w:hint="default" w:ascii="Times New Roman" w:hAnsi="Times New Roman" w:cs="Times New Roman"/>
          <w:highlight w:val="none"/>
        </w:rPr>
      </w:pPr>
      <w:r>
        <w:rPr>
          <w:rFonts w:hint="default" w:ascii="Times New Roman" w:hAnsi="Times New Roman" w:cs="Times New Roman"/>
          <w:highlight w:val="none"/>
        </w:rPr>
        <w:t>交货长度；</w:t>
      </w:r>
    </w:p>
    <w:p>
      <w:pPr>
        <w:numPr>
          <w:ilvl w:val="0"/>
          <w:numId w:val="6"/>
        </w:numPr>
        <w:rPr>
          <w:rFonts w:hint="default" w:ascii="Times New Roman" w:hAnsi="Times New Roman" w:cs="Times New Roman"/>
          <w:highlight w:val="none"/>
        </w:rPr>
      </w:pPr>
      <w:r>
        <w:rPr>
          <w:rFonts w:hint="default" w:ascii="Times New Roman" w:hAnsi="Times New Roman" w:cs="Times New Roman"/>
          <w:highlight w:val="none"/>
        </w:rPr>
        <w:t>交货重量；</w:t>
      </w:r>
    </w:p>
    <w:p>
      <w:pPr>
        <w:numPr>
          <w:ilvl w:val="0"/>
          <w:numId w:val="6"/>
        </w:numPr>
        <w:rPr>
          <w:rFonts w:hint="default" w:ascii="Times New Roman" w:hAnsi="Times New Roman" w:cs="Times New Roman"/>
          <w:highlight w:val="none"/>
        </w:rPr>
      </w:pPr>
      <w:r>
        <w:rPr>
          <w:rFonts w:hint="default" w:ascii="Times New Roman" w:hAnsi="Times New Roman" w:cs="Times New Roman"/>
          <w:highlight w:val="none"/>
        </w:rPr>
        <w:t>冶炼方法；</w:t>
      </w:r>
    </w:p>
    <w:p>
      <w:pPr>
        <w:numPr>
          <w:ilvl w:val="0"/>
          <w:numId w:val="6"/>
        </w:numPr>
        <w:rPr>
          <w:rFonts w:hint="default" w:ascii="Times New Roman" w:hAnsi="Times New Roman" w:cs="Times New Roman"/>
          <w:highlight w:val="none"/>
        </w:rPr>
      </w:pPr>
      <w:r>
        <w:rPr>
          <w:rFonts w:hint="default" w:ascii="Times New Roman" w:hAnsi="Times New Roman" w:cs="Times New Roman"/>
          <w:highlight w:val="none"/>
        </w:rPr>
        <w:t>交货状态；</w:t>
      </w:r>
    </w:p>
    <w:p>
      <w:pPr>
        <w:numPr>
          <w:ilvl w:val="0"/>
          <w:numId w:val="6"/>
        </w:numPr>
        <w:rPr>
          <w:rFonts w:hint="default" w:ascii="Times New Roman" w:hAnsi="Times New Roman" w:cs="Times New Roman"/>
          <w:szCs w:val="21"/>
          <w:highlight w:val="none"/>
        </w:rPr>
      </w:pPr>
      <w:r>
        <w:rPr>
          <w:rFonts w:hint="default" w:ascii="Times New Roman" w:hAnsi="Times New Roman" w:cs="Times New Roman"/>
          <w:highlight w:val="none"/>
        </w:rPr>
        <w:t>其他特殊要求。</w:t>
      </w:r>
    </w:p>
    <w:p>
      <w:pPr>
        <w:pStyle w:val="21"/>
        <w:numPr>
          <w:ilvl w:val="0"/>
          <w:numId w:val="4"/>
        </w:numPr>
        <w:spacing w:before="312" w:after="312"/>
        <w:ind w:left="0" w:firstLine="0"/>
        <w:rPr>
          <w:rFonts w:hint="default" w:ascii="Times New Roman" w:hAnsi="Times New Roman" w:cs="Times New Roman"/>
          <w:highlight w:val="none"/>
        </w:rPr>
      </w:pPr>
      <w:r>
        <w:rPr>
          <w:rFonts w:hint="default" w:ascii="Times New Roman" w:hAnsi="Times New Roman" w:cs="Times New Roman"/>
          <w:highlight w:val="none"/>
        </w:rPr>
        <w:t>尺寸、外形、重量</w:t>
      </w:r>
      <w:bookmarkEnd w:id="7"/>
    </w:p>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lang w:val="zh-CN"/>
        </w:rPr>
        <w:t>外径、壁厚及允许偏差</w:t>
      </w:r>
    </w:p>
    <w:p>
      <w:pPr>
        <w:pStyle w:val="29"/>
        <w:numPr>
          <w:ilvl w:val="2"/>
          <w:numId w:val="4"/>
        </w:numPr>
        <w:spacing w:before="156" w:after="156"/>
        <w:ind w:left="0" w:firstLine="0"/>
        <w:rPr>
          <w:rFonts w:hint="default" w:ascii="Times New Roman" w:hAnsi="Times New Roman" w:eastAsia="宋体" w:cs="Times New Roman"/>
          <w:highlight w:val="none"/>
        </w:rPr>
      </w:pPr>
      <w:r>
        <w:rPr>
          <w:rFonts w:hint="default" w:ascii="Times New Roman" w:hAnsi="Times New Roman" w:eastAsia="宋体" w:cs="Times New Roman"/>
          <w:highlight w:val="none"/>
        </w:rPr>
        <w:t>除非合同中另有规定，钢管按公称外径（D）和公称壁厚（S）交货。根据需方要求，经供需双方协，钢管可按公称外径和最小壁厚（S</w:t>
      </w:r>
      <w:r>
        <w:rPr>
          <w:rFonts w:hint="default" w:ascii="Times New Roman" w:hAnsi="Times New Roman" w:eastAsia="宋体" w:cs="Times New Roman"/>
          <w:highlight w:val="none"/>
          <w:vertAlign w:val="subscript"/>
        </w:rPr>
        <w:t>min</w:t>
      </w:r>
      <w:r>
        <w:rPr>
          <w:rFonts w:hint="default" w:ascii="Times New Roman" w:hAnsi="Times New Roman" w:eastAsia="宋体" w:cs="Times New Roman"/>
          <w:highlight w:val="none"/>
        </w:rPr>
        <w:t>）或其他尺寸规格方式交货。</w:t>
      </w:r>
    </w:p>
    <w:p>
      <w:pPr>
        <w:pStyle w:val="29"/>
        <w:numPr>
          <w:ilvl w:val="2"/>
          <w:numId w:val="4"/>
        </w:numPr>
        <w:spacing w:before="156" w:after="156"/>
        <w:ind w:left="0" w:firstLine="0"/>
        <w:rPr>
          <w:rFonts w:hint="default" w:ascii="Times New Roman" w:hAnsi="Times New Roman" w:eastAsia="宋体" w:cs="Times New Roman"/>
          <w:highlight w:val="none"/>
        </w:rPr>
      </w:pPr>
      <w:r>
        <w:rPr>
          <w:rFonts w:hint="default" w:ascii="Times New Roman" w:hAnsi="Times New Roman" w:eastAsia="宋体" w:cs="Times New Roman"/>
          <w:highlight w:val="none"/>
        </w:rPr>
        <w:t>钢管的公称外径和壁厚应符合GB/T 17395的规定。根据需方要求，经供需双方协商，可供应GB/T 17395规定以外尺寸的钢管。</w:t>
      </w:r>
    </w:p>
    <w:p>
      <w:pPr>
        <w:pStyle w:val="29"/>
        <w:numPr>
          <w:ilvl w:val="2"/>
          <w:numId w:val="4"/>
        </w:numPr>
        <w:spacing w:before="156" w:after="156"/>
        <w:ind w:left="0" w:firstLine="0"/>
        <w:rPr>
          <w:rFonts w:hint="default" w:ascii="Times New Roman" w:hAnsi="Times New Roman" w:eastAsia="宋体" w:cs="Times New Roman"/>
          <w:highlight w:val="none"/>
        </w:rPr>
      </w:pPr>
      <w:r>
        <w:rPr>
          <w:rFonts w:hint="default" w:ascii="Times New Roman" w:hAnsi="Times New Roman" w:eastAsia="宋体" w:cs="Times New Roman"/>
          <w:highlight w:val="none"/>
        </w:rPr>
        <w:t>钢管按公称外径和公称壁厚交货时，其公称外径和公称壁厚的允许偏差应符合表1的规定。钢 管按公称外径和最小壁厚交货时，其公称外径的允许偏差应符合表1的规定，壁厚的允许偏差应符合表2的规定。</w:t>
      </w:r>
    </w:p>
    <w:p>
      <w:pPr>
        <w:pStyle w:val="29"/>
        <w:numPr>
          <w:ilvl w:val="2"/>
          <w:numId w:val="4"/>
        </w:numPr>
        <w:spacing w:before="156" w:after="156"/>
        <w:ind w:left="0" w:firstLine="0"/>
        <w:rPr>
          <w:rFonts w:hint="default" w:ascii="Times New Roman" w:hAnsi="Times New Roman" w:eastAsia="宋体" w:cs="Times New Roman"/>
          <w:highlight w:val="none"/>
        </w:rPr>
      </w:pPr>
      <w:r>
        <w:rPr>
          <w:rFonts w:hint="default" w:ascii="Times New Roman" w:hAnsi="Times New Roman" w:eastAsia="宋体" w:cs="Times New Roman"/>
          <w:highlight w:val="none"/>
        </w:rPr>
        <w:t>当需方未在合同中注明钢管尺寸允许偏差级别时，钢管外径和壁厚的允许偏差应符合普通级尺 寸精度的规定。当需方要求高级尺寸精度时，应在合同中注明。</w:t>
      </w:r>
    </w:p>
    <w:p>
      <w:pPr>
        <w:pStyle w:val="29"/>
        <w:numPr>
          <w:ilvl w:val="2"/>
          <w:numId w:val="4"/>
        </w:numPr>
        <w:spacing w:before="156" w:after="156"/>
        <w:ind w:left="0" w:firstLine="0"/>
        <w:rPr>
          <w:rFonts w:hint="default" w:ascii="Times New Roman" w:hAnsi="Times New Roman" w:eastAsia="宋体" w:cs="Times New Roman"/>
          <w:highlight w:val="none"/>
        </w:rPr>
      </w:pPr>
      <w:r>
        <w:rPr>
          <w:rFonts w:hint="default" w:ascii="Times New Roman" w:hAnsi="Times New Roman" w:eastAsia="宋体" w:cs="Times New Roman"/>
          <w:highlight w:val="none"/>
        </w:rPr>
        <w:t>根据需方要求，经供需双方协商，并在合同中注明，可供应表1和表2规定以外尺寸允许偏差的钢管。</w:t>
      </w:r>
    </w:p>
    <w:p>
      <w:pPr>
        <w:pStyle w:val="27"/>
        <w:numPr>
          <w:ilvl w:val="0"/>
          <w:numId w:val="7"/>
        </w:numPr>
        <w:spacing w:before="156" w:after="156"/>
        <w:jc w:val="right"/>
        <w:rPr>
          <w:rFonts w:hint="default" w:ascii="Times New Roman" w:hAnsi="Times New Roman" w:cs="Times New Roman"/>
          <w:highlight w:val="none"/>
        </w:rPr>
      </w:pPr>
      <w:r>
        <w:rPr>
          <w:rFonts w:hint="default" w:ascii="Times New Roman" w:hAnsi="Times New Roman" w:cs="Times New Roman"/>
          <w:highlight w:val="none"/>
        </w:rPr>
        <w:t>外径和壁厚的允许偏差                       单位为毫米</w:t>
      </w:r>
    </w:p>
    <w:tbl>
      <w:tblPr>
        <w:tblStyle w:val="5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40"/>
        <w:gridCol w:w="2341"/>
        <w:gridCol w:w="2335"/>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2500" w:type="pct"/>
            <w:gridSpan w:val="2"/>
            <w:vMerge w:val="restart"/>
          </w:tcPr>
          <w:p>
            <w:pPr>
              <w:spacing w:line="260" w:lineRule="exact"/>
              <w:jc w:val="center"/>
              <w:rPr>
                <w:rFonts w:hint="default" w:ascii="Times New Roman" w:hAnsi="Times New Roman" w:cs="Times New Roman" w:eastAsiaTheme="minorEastAsia"/>
                <w:sz w:val="18"/>
                <w:szCs w:val="18"/>
                <w:highlight w:val="none"/>
              </w:rPr>
            </w:pP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钢管的尺寸</w:t>
            </w:r>
          </w:p>
        </w:tc>
        <w:tc>
          <w:tcPr>
            <w:tcW w:w="2500" w:type="pct"/>
            <w:gridSpan w:val="2"/>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500" w:type="pct"/>
            <w:gridSpan w:val="2"/>
            <w:vMerge w:val="continue"/>
          </w:tcPr>
          <w:p>
            <w:pPr>
              <w:spacing w:line="260" w:lineRule="exact"/>
              <w:jc w:val="center"/>
              <w:rPr>
                <w:rFonts w:hint="default" w:ascii="Times New Roman" w:hAnsi="Times New Roman" w:cs="Times New Roman" w:eastAsiaTheme="minorEastAsia"/>
                <w:sz w:val="18"/>
                <w:szCs w:val="18"/>
                <w:highlight w:val="none"/>
              </w:rPr>
            </w:pPr>
          </w:p>
        </w:tc>
        <w:tc>
          <w:tcPr>
            <w:tcW w:w="1247"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普通级PA</w:t>
            </w:r>
          </w:p>
        </w:tc>
        <w:tc>
          <w:tcPr>
            <w:tcW w:w="1253"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高级PC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250" w:type="pct"/>
            <w:vMerge w:val="restart"/>
          </w:tcPr>
          <w:p>
            <w:pPr>
              <w:spacing w:line="260" w:lineRule="exact"/>
              <w:jc w:val="center"/>
              <w:rPr>
                <w:rFonts w:hint="default" w:ascii="Times New Roman" w:hAnsi="Times New Roman" w:cs="Times New Roman" w:eastAsiaTheme="minorEastAsia"/>
                <w:sz w:val="18"/>
                <w:szCs w:val="18"/>
                <w:highlight w:val="none"/>
              </w:rPr>
            </w:pPr>
          </w:p>
          <w:p>
            <w:pPr>
              <w:spacing w:line="260" w:lineRule="exact"/>
              <w:jc w:val="center"/>
              <w:rPr>
                <w:rFonts w:hint="default" w:ascii="Times New Roman" w:hAnsi="Times New Roman" w:cs="Times New Roman" w:eastAsiaTheme="minorEastAsia"/>
                <w:sz w:val="18"/>
                <w:szCs w:val="18"/>
                <w:highlight w:val="none"/>
              </w:rPr>
            </w:pPr>
          </w:p>
          <w:p>
            <w:pPr>
              <w:spacing w:line="260" w:lineRule="exact"/>
              <w:jc w:val="center"/>
              <w:rPr>
                <w:rFonts w:hint="default" w:ascii="Times New Roman" w:hAnsi="Times New Roman" w:cs="Times New Roman" w:eastAsiaTheme="minorEastAsia"/>
                <w:sz w:val="18"/>
                <w:szCs w:val="18"/>
                <w:highlight w:val="none"/>
              </w:rPr>
            </w:pP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公称外径D</w:t>
            </w:r>
          </w:p>
        </w:tc>
        <w:tc>
          <w:tcPr>
            <w:tcW w:w="1250"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6～10</w:t>
            </w:r>
          </w:p>
        </w:tc>
        <w:tc>
          <w:tcPr>
            <w:tcW w:w="1247"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±0.20</w:t>
            </w:r>
          </w:p>
        </w:tc>
        <w:tc>
          <w:tcPr>
            <w:tcW w:w="1253"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250" w:type="pct"/>
            <w:vMerge w:val="continue"/>
          </w:tcPr>
          <w:p>
            <w:pPr>
              <w:spacing w:line="260" w:lineRule="exact"/>
              <w:jc w:val="center"/>
              <w:rPr>
                <w:rFonts w:hint="default" w:ascii="Times New Roman" w:hAnsi="Times New Roman" w:cs="Times New Roman" w:eastAsiaTheme="minorEastAsia"/>
                <w:sz w:val="18"/>
                <w:szCs w:val="18"/>
                <w:highlight w:val="none"/>
              </w:rPr>
            </w:pPr>
          </w:p>
        </w:tc>
        <w:tc>
          <w:tcPr>
            <w:tcW w:w="1250"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＞10～30</w:t>
            </w:r>
          </w:p>
        </w:tc>
        <w:tc>
          <w:tcPr>
            <w:tcW w:w="1247"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±0.30</w:t>
            </w:r>
          </w:p>
        </w:tc>
        <w:tc>
          <w:tcPr>
            <w:tcW w:w="1253"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250" w:type="pct"/>
            <w:vMerge w:val="continue"/>
          </w:tcPr>
          <w:p>
            <w:pPr>
              <w:spacing w:line="260" w:lineRule="exact"/>
              <w:jc w:val="center"/>
              <w:rPr>
                <w:rFonts w:hint="default" w:ascii="Times New Roman" w:hAnsi="Times New Roman" w:cs="Times New Roman" w:eastAsiaTheme="minorEastAsia"/>
                <w:sz w:val="18"/>
                <w:szCs w:val="18"/>
                <w:highlight w:val="none"/>
              </w:rPr>
            </w:pPr>
          </w:p>
        </w:tc>
        <w:tc>
          <w:tcPr>
            <w:tcW w:w="1250"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＞30～50</w:t>
            </w:r>
          </w:p>
        </w:tc>
        <w:tc>
          <w:tcPr>
            <w:tcW w:w="1247"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±0.40</w:t>
            </w:r>
          </w:p>
        </w:tc>
        <w:tc>
          <w:tcPr>
            <w:tcW w:w="1253"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250" w:type="pct"/>
            <w:vMerge w:val="continue"/>
          </w:tcPr>
          <w:p>
            <w:pPr>
              <w:spacing w:line="260" w:lineRule="exact"/>
              <w:jc w:val="center"/>
              <w:rPr>
                <w:rFonts w:hint="default" w:ascii="Times New Roman" w:hAnsi="Times New Roman" w:cs="Times New Roman" w:eastAsiaTheme="minorEastAsia"/>
                <w:sz w:val="18"/>
                <w:szCs w:val="18"/>
                <w:highlight w:val="none"/>
              </w:rPr>
            </w:pPr>
          </w:p>
        </w:tc>
        <w:tc>
          <w:tcPr>
            <w:tcW w:w="1250"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50～219</w:t>
            </w:r>
          </w:p>
        </w:tc>
        <w:tc>
          <w:tcPr>
            <w:tcW w:w="1247"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±0.85%D</w:t>
            </w:r>
          </w:p>
        </w:tc>
        <w:tc>
          <w:tcPr>
            <w:tcW w:w="1253"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±0.75%D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250" w:type="pct"/>
            <w:vMerge w:val="restart"/>
          </w:tcPr>
          <w:p>
            <w:pPr>
              <w:spacing w:line="260" w:lineRule="exact"/>
              <w:jc w:val="center"/>
              <w:rPr>
                <w:rFonts w:hint="default" w:ascii="Times New Roman" w:hAnsi="Times New Roman" w:cs="Times New Roman" w:eastAsiaTheme="minorEastAsia"/>
                <w:sz w:val="18"/>
                <w:szCs w:val="18"/>
                <w:highlight w:val="none"/>
              </w:rPr>
            </w:pP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公称壁厚S</w:t>
            </w:r>
          </w:p>
        </w:tc>
        <w:tc>
          <w:tcPr>
            <w:tcW w:w="1250"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≤3.0</w:t>
            </w:r>
          </w:p>
        </w:tc>
        <w:tc>
          <w:tcPr>
            <w:tcW w:w="1247"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±12%S</w:t>
            </w:r>
          </w:p>
        </w:tc>
        <w:tc>
          <w:tcPr>
            <w:tcW w:w="1253" w:type="pct"/>
            <w:vMerge w:val="restart"/>
          </w:tcPr>
          <w:p>
            <w:pPr>
              <w:spacing w:line="260" w:lineRule="exact"/>
              <w:jc w:val="center"/>
              <w:rPr>
                <w:rFonts w:hint="default" w:ascii="Times New Roman" w:hAnsi="Times New Roman" w:cs="Times New Roman" w:eastAsiaTheme="minorEastAsia"/>
                <w:sz w:val="18"/>
                <w:szCs w:val="18"/>
                <w:highlight w:val="none"/>
              </w:rPr>
            </w:pP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250" w:type="pct"/>
            <w:vMerge w:val="continue"/>
          </w:tcPr>
          <w:p>
            <w:pPr>
              <w:spacing w:line="260" w:lineRule="exact"/>
              <w:jc w:val="center"/>
              <w:rPr>
                <w:rFonts w:hint="default" w:ascii="Times New Roman" w:hAnsi="Times New Roman" w:cs="Times New Roman" w:eastAsiaTheme="minorEastAsia"/>
                <w:sz w:val="18"/>
                <w:szCs w:val="18"/>
                <w:highlight w:val="none"/>
              </w:rPr>
            </w:pPr>
          </w:p>
        </w:tc>
        <w:tc>
          <w:tcPr>
            <w:tcW w:w="1250" w:type="pct"/>
          </w:tcPr>
          <w:p>
            <w:pPr>
              <w:spacing w:line="260" w:lineRule="exact"/>
              <w:jc w:val="center"/>
              <w:rPr>
                <w:rFonts w:hint="default" w:ascii="Times New Roman" w:hAnsi="Times New Roman" w:cs="Times New Roman" w:eastAsiaTheme="minorEastAsia"/>
                <w:sz w:val="18"/>
                <w:szCs w:val="18"/>
                <w:highlight w:val="none"/>
              </w:rPr>
            </w:pP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＞3.0</w:t>
            </w:r>
          </w:p>
        </w:tc>
        <w:tc>
          <w:tcPr>
            <w:tcW w:w="1247" w:type="pct"/>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+12.5%S</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-10%S</w:t>
            </w:r>
          </w:p>
        </w:tc>
        <w:tc>
          <w:tcPr>
            <w:tcW w:w="1253" w:type="pct"/>
            <w:vMerge w:val="continue"/>
          </w:tcPr>
          <w:p>
            <w:pPr>
              <w:spacing w:line="260" w:lineRule="exact"/>
              <w:jc w:val="center"/>
              <w:rPr>
                <w:rFonts w:hint="default" w:ascii="Times New Roman" w:hAnsi="Times New Roman" w:cs="Times New Roman" w:eastAsiaTheme="minorEastAsia"/>
                <w:sz w:val="18"/>
                <w:szCs w:val="18"/>
                <w:highlight w:val="none"/>
              </w:rPr>
            </w:pPr>
          </w:p>
        </w:tc>
      </w:tr>
    </w:tbl>
    <w:p>
      <w:pPr>
        <w:pStyle w:val="22"/>
        <w:ind w:firstLine="400"/>
        <w:rPr>
          <w:rFonts w:hint="default" w:ascii="Times New Roman" w:hAnsi="Times New Roman" w:cs="Times New Roman"/>
          <w:highlight w:val="none"/>
        </w:rPr>
      </w:pPr>
    </w:p>
    <w:p>
      <w:pPr>
        <w:pStyle w:val="27"/>
        <w:numPr>
          <w:ilvl w:val="0"/>
          <w:numId w:val="7"/>
        </w:numPr>
        <w:spacing w:before="156" w:after="156"/>
        <w:jc w:val="right"/>
        <w:rPr>
          <w:rFonts w:hint="default" w:ascii="Times New Roman" w:hAnsi="Times New Roman" w:cs="Times New Roman"/>
          <w:highlight w:val="none"/>
        </w:rPr>
      </w:pPr>
      <w:r>
        <w:rPr>
          <w:rFonts w:hint="default" w:ascii="Times New Roman" w:hAnsi="Times New Roman" w:cs="Times New Roman"/>
          <w:highlight w:val="none"/>
        </w:rPr>
        <w:t>钢管最小壁厚的允许偏差                      单位为毫米</w:t>
      </w:r>
    </w:p>
    <w:tbl>
      <w:tblPr>
        <w:tblStyle w:val="10"/>
        <w:tblW w:w="9374" w:type="dxa"/>
        <w:jc w:val="center"/>
        <w:tblLayout w:type="fixed"/>
        <w:tblCellMar>
          <w:top w:w="0" w:type="dxa"/>
          <w:left w:w="10" w:type="dxa"/>
          <w:bottom w:w="0" w:type="dxa"/>
          <w:right w:w="10" w:type="dxa"/>
        </w:tblCellMar>
      </w:tblPr>
      <w:tblGrid>
        <w:gridCol w:w="4661"/>
        <w:gridCol w:w="4713"/>
      </w:tblGrid>
      <w:tr>
        <w:tblPrEx>
          <w:tblCellMar>
            <w:top w:w="0" w:type="dxa"/>
            <w:left w:w="10" w:type="dxa"/>
            <w:bottom w:w="0" w:type="dxa"/>
            <w:right w:w="10" w:type="dxa"/>
          </w:tblCellMar>
        </w:tblPrEx>
        <w:trPr>
          <w:trHeight w:val="370" w:hRule="exact"/>
          <w:jc w:val="center"/>
        </w:trPr>
        <w:tc>
          <w:tcPr>
            <w:tcW w:w="9374" w:type="dxa"/>
            <w:gridSpan w:val="2"/>
            <w:tcBorders>
              <w:top w:val="single" w:color="auto" w:sz="4" w:space="0"/>
              <w:left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lang w:val="zh-TW" w:eastAsia="zh-TW"/>
              </w:rPr>
            </w:pPr>
            <w:r>
              <w:rPr>
                <w:rFonts w:hint="default" w:ascii="Times New Roman" w:hAnsi="Times New Roman" w:cs="Times New Roman" w:eastAsiaTheme="minorEastAsia"/>
                <w:sz w:val="18"/>
                <w:szCs w:val="18"/>
                <w:highlight w:val="none"/>
                <w:lang w:val="zh-TW" w:eastAsia="zh-TW"/>
              </w:rPr>
              <w:t>允许偏差</w:t>
            </w:r>
          </w:p>
        </w:tc>
      </w:tr>
      <w:tr>
        <w:tblPrEx>
          <w:tblCellMar>
            <w:top w:w="0" w:type="dxa"/>
            <w:left w:w="10" w:type="dxa"/>
            <w:bottom w:w="0" w:type="dxa"/>
            <w:right w:w="10" w:type="dxa"/>
          </w:tblCellMar>
        </w:tblPrEx>
        <w:trPr>
          <w:trHeight w:val="360" w:hRule="exact"/>
          <w:jc w:val="center"/>
        </w:trPr>
        <w:tc>
          <w:tcPr>
            <w:tcW w:w="4661" w:type="dxa"/>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lang w:val="zh-TW" w:eastAsia="zh-TW"/>
              </w:rPr>
            </w:pPr>
            <w:r>
              <w:rPr>
                <w:rFonts w:hint="default" w:ascii="Times New Roman" w:hAnsi="Times New Roman" w:cs="Times New Roman" w:eastAsiaTheme="minorEastAsia"/>
                <w:sz w:val="18"/>
                <w:szCs w:val="18"/>
                <w:highlight w:val="none"/>
                <w:lang w:val="zh-TW" w:eastAsia="zh-TW"/>
              </w:rPr>
              <w:t>普通级</w:t>
            </w:r>
            <w:r>
              <w:rPr>
                <w:rFonts w:hint="default" w:ascii="Times New Roman" w:hAnsi="Times New Roman" w:cs="Times New Roman" w:eastAsiaTheme="minorEastAsia"/>
                <w:sz w:val="18"/>
                <w:szCs w:val="18"/>
                <w:highlight w:val="none"/>
                <w:lang w:val="zh-TW" w:eastAsia="en-US"/>
              </w:rPr>
              <w:t>PA</w:t>
            </w:r>
          </w:p>
        </w:tc>
        <w:tc>
          <w:tcPr>
            <w:tcW w:w="4713" w:type="dxa"/>
            <w:tcBorders>
              <w:top w:val="single" w:color="auto" w:sz="4" w:space="0"/>
              <w:left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lang w:val="zh-TW" w:eastAsia="zh-TW"/>
              </w:rPr>
            </w:pPr>
            <w:r>
              <w:rPr>
                <w:rFonts w:hint="default" w:ascii="Times New Roman" w:hAnsi="Times New Roman" w:cs="Times New Roman" w:eastAsiaTheme="minorEastAsia"/>
                <w:sz w:val="18"/>
                <w:szCs w:val="18"/>
                <w:highlight w:val="none"/>
                <w:lang w:val="zh-TW" w:eastAsia="zh-TW"/>
              </w:rPr>
              <w:t>高级</w:t>
            </w:r>
            <w:r>
              <w:rPr>
                <w:rFonts w:hint="default" w:ascii="Times New Roman" w:hAnsi="Times New Roman" w:cs="Times New Roman" w:eastAsiaTheme="minorEastAsia"/>
                <w:sz w:val="18"/>
                <w:szCs w:val="18"/>
                <w:highlight w:val="none"/>
                <w:lang w:val="zh-TW" w:eastAsia="en-US"/>
              </w:rPr>
              <w:t>PC</w:t>
            </w:r>
          </w:p>
        </w:tc>
      </w:tr>
      <w:tr>
        <w:tblPrEx>
          <w:tblCellMar>
            <w:top w:w="0" w:type="dxa"/>
            <w:left w:w="10" w:type="dxa"/>
            <w:bottom w:w="0" w:type="dxa"/>
            <w:right w:w="10" w:type="dxa"/>
          </w:tblCellMar>
        </w:tblPrEx>
        <w:trPr>
          <w:trHeight w:val="542" w:hRule="exact"/>
          <w:jc w:val="center"/>
        </w:trPr>
        <w:tc>
          <w:tcPr>
            <w:tcW w:w="4661" w:type="dxa"/>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lang w:val="zh-TW" w:eastAsia="zh-TW"/>
              </w:rPr>
            </w:pPr>
            <w:r>
              <w:rPr>
                <w:rFonts w:hint="default" w:ascii="Times New Roman" w:hAnsi="Times New Roman" w:cs="Times New Roman" w:eastAsiaTheme="minorEastAsia"/>
                <w:sz w:val="18"/>
                <w:szCs w:val="18"/>
                <w:highlight w:val="none"/>
                <w:lang w:eastAsia="en-US"/>
              </w:rPr>
              <w:t>+ 20%S</w:t>
            </w:r>
            <w:r>
              <w:rPr>
                <w:rFonts w:hint="default" w:ascii="Times New Roman" w:hAnsi="Times New Roman" w:cs="Times New Roman" w:eastAsiaTheme="minorEastAsia"/>
                <w:sz w:val="18"/>
                <w:szCs w:val="18"/>
                <w:highlight w:val="none"/>
                <w:vertAlign w:val="subscript"/>
                <w:lang w:eastAsia="en-US"/>
              </w:rPr>
              <w:t>min</w:t>
            </w:r>
          </w:p>
          <w:p>
            <w:pPr>
              <w:spacing w:line="260" w:lineRule="exact"/>
              <w:jc w:val="center"/>
              <w:rPr>
                <w:rFonts w:hint="default" w:ascii="Times New Roman" w:hAnsi="Times New Roman" w:cs="Times New Roman" w:eastAsiaTheme="minorEastAsia"/>
                <w:sz w:val="18"/>
                <w:szCs w:val="18"/>
                <w:highlight w:val="none"/>
                <w:lang w:val="zh-TW" w:eastAsia="zh-TW"/>
              </w:rPr>
            </w:pPr>
            <w:r>
              <w:rPr>
                <w:rFonts w:hint="default" w:ascii="Times New Roman" w:hAnsi="Times New Roman" w:cs="Times New Roman" w:eastAsiaTheme="minorEastAsia"/>
                <w:sz w:val="18"/>
                <w:szCs w:val="18"/>
                <w:highlight w:val="none"/>
                <w:lang w:eastAsia="en-US"/>
              </w:rPr>
              <w:t>0</w:t>
            </w:r>
          </w:p>
        </w:tc>
        <w:tc>
          <w:tcPr>
            <w:tcW w:w="471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lang w:val="zh-TW" w:eastAsia="zh-TW"/>
              </w:rPr>
            </w:pPr>
            <w:r>
              <w:rPr>
                <w:rFonts w:hint="default" w:ascii="Times New Roman" w:hAnsi="Times New Roman" w:cs="Times New Roman" w:eastAsiaTheme="minorEastAsia"/>
                <w:sz w:val="18"/>
                <w:szCs w:val="18"/>
                <w:highlight w:val="none"/>
                <w:lang w:eastAsia="en-US"/>
              </w:rPr>
              <w:t>+ 15%S</w:t>
            </w:r>
            <w:r>
              <w:rPr>
                <w:rFonts w:hint="default" w:ascii="Times New Roman" w:hAnsi="Times New Roman" w:cs="Times New Roman" w:eastAsiaTheme="minorEastAsia"/>
                <w:sz w:val="18"/>
                <w:szCs w:val="18"/>
                <w:highlight w:val="none"/>
                <w:vertAlign w:val="subscript"/>
                <w:lang w:eastAsia="en-US"/>
              </w:rPr>
              <w:t>m</w:t>
            </w:r>
            <w:r>
              <w:rPr>
                <w:rFonts w:hint="default" w:ascii="Times New Roman" w:hAnsi="Times New Roman" w:cs="Times New Roman" w:eastAsiaTheme="minorEastAsia"/>
                <w:sz w:val="18"/>
                <w:szCs w:val="18"/>
                <w:highlight w:val="none"/>
                <w:vertAlign w:val="subscript"/>
              </w:rPr>
              <w:t>i</w:t>
            </w:r>
            <w:r>
              <w:rPr>
                <w:rFonts w:hint="default" w:ascii="Times New Roman" w:hAnsi="Times New Roman" w:cs="Times New Roman" w:eastAsiaTheme="minorEastAsia"/>
                <w:sz w:val="18"/>
                <w:szCs w:val="18"/>
                <w:highlight w:val="none"/>
                <w:vertAlign w:val="subscript"/>
                <w:lang w:eastAsia="en-US"/>
              </w:rPr>
              <w:t>n</w:t>
            </w:r>
          </w:p>
          <w:p>
            <w:pPr>
              <w:spacing w:line="260" w:lineRule="exact"/>
              <w:jc w:val="center"/>
              <w:rPr>
                <w:rFonts w:hint="default" w:ascii="Times New Roman" w:hAnsi="Times New Roman" w:cs="Times New Roman" w:eastAsiaTheme="minorEastAsia"/>
                <w:sz w:val="18"/>
                <w:szCs w:val="18"/>
                <w:highlight w:val="none"/>
                <w:lang w:val="zh-TW" w:eastAsia="zh-TW"/>
              </w:rPr>
            </w:pPr>
            <w:r>
              <w:rPr>
                <w:rFonts w:hint="default" w:ascii="Times New Roman" w:hAnsi="Times New Roman" w:cs="Times New Roman" w:eastAsiaTheme="minorEastAsia"/>
                <w:sz w:val="18"/>
                <w:szCs w:val="18"/>
                <w:highlight w:val="none"/>
                <w:lang w:eastAsia="en-US"/>
              </w:rPr>
              <w:t>0</w:t>
            </w:r>
          </w:p>
        </w:tc>
      </w:tr>
    </w:tbl>
    <w:p>
      <w:pPr>
        <w:pStyle w:val="24"/>
        <w:numPr>
          <w:ilvl w:val="1"/>
          <w:numId w:val="4"/>
        </w:numPr>
        <w:spacing w:before="156" w:after="156"/>
        <w:ind w:left="0" w:firstLine="0"/>
        <w:rPr>
          <w:rFonts w:hint="default" w:ascii="Times New Roman" w:hAnsi="Times New Roman" w:cs="Times New Roman"/>
          <w:highlight w:val="none"/>
          <w:lang w:val="zh-CN"/>
        </w:rPr>
      </w:pPr>
      <w:bookmarkStart w:id="8" w:name="bookmark7"/>
      <w:r>
        <w:rPr>
          <w:rFonts w:hint="default" w:ascii="Times New Roman" w:hAnsi="Times New Roman" w:cs="Times New Roman"/>
          <w:highlight w:val="none"/>
          <w:lang w:val="zh-CN"/>
        </w:rPr>
        <w:t>长度及允许偏差</w:t>
      </w:r>
      <w:bookmarkEnd w:id="8"/>
    </w:p>
    <w:p>
      <w:pPr>
        <w:pStyle w:val="29"/>
        <w:numPr>
          <w:ilvl w:val="2"/>
          <w:numId w:val="4"/>
        </w:numPr>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通常长度</w:t>
      </w:r>
    </w:p>
    <w:p>
      <w:pPr>
        <w:pStyle w:val="24"/>
        <w:spacing w:before="156" w:after="156" w:line="360" w:lineRule="exact"/>
        <w:ind w:left="0" w:firstLine="420" w:firstLineChars="200"/>
        <w:rPr>
          <w:rFonts w:hint="default" w:ascii="Times New Roman" w:hAnsi="Times New Roman" w:eastAsia="宋体" w:cs="Times New Roman"/>
          <w:szCs w:val="22"/>
          <w:highlight w:val="none"/>
        </w:rPr>
      </w:pPr>
      <w:r>
        <w:rPr>
          <w:rFonts w:hint="default" w:ascii="Times New Roman" w:hAnsi="Times New Roman" w:eastAsia="宋体" w:cs="Times New Roman"/>
          <w:szCs w:val="22"/>
          <w:highlight w:val="none"/>
        </w:rPr>
        <w:t>钢管的通常长度为3 000 mm～12 000 mm。经供需双方协商，并在合同中注明，可交付长度大于 12000 mm或短于3 000 mm但不短于2 000 mm的钢管；长度短于3000 mm但不短于2 000 mm的钢管，其数量应不超过该批次钢管交货总数量的5%。</w:t>
      </w:r>
    </w:p>
    <w:p>
      <w:pPr>
        <w:pStyle w:val="29"/>
        <w:numPr>
          <w:ilvl w:val="2"/>
          <w:numId w:val="4"/>
        </w:numPr>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定尺、倍尺长度</w:t>
      </w:r>
    </w:p>
    <w:p>
      <w:pPr>
        <w:pStyle w:val="24"/>
        <w:spacing w:before="156" w:after="156" w:line="360" w:lineRule="exact"/>
        <w:ind w:left="0" w:firstLine="420" w:firstLineChars="200"/>
        <w:jc w:val="both"/>
        <w:rPr>
          <w:rFonts w:hint="default" w:ascii="Times New Roman" w:hAnsi="Times New Roman" w:eastAsia="宋体" w:cs="Times New Roman"/>
          <w:szCs w:val="22"/>
          <w:highlight w:val="none"/>
        </w:rPr>
      </w:pPr>
      <w:r>
        <w:rPr>
          <w:rFonts w:hint="default" w:ascii="Times New Roman" w:hAnsi="Times New Roman" w:eastAsia="宋体" w:cs="Times New Roman"/>
          <w:szCs w:val="22"/>
          <w:highlight w:val="none"/>
        </w:rPr>
        <w:t>根据需方要求，经供需双方协商，并在合同中注明，钢管可按定尺长度或倍尺长度交货。定尺长度 和倍尺总长度应在通常长度范围内，全长允许偏差为</w:t>
      </w:r>
      <w:r>
        <w:rPr>
          <w:rFonts w:hint="default" w:ascii="Times New Roman" w:hAnsi="Times New Roman" w:eastAsia="宋体" w:cs="Times New Roman"/>
          <w:position w:val="-46"/>
          <w:szCs w:val="22"/>
          <w:highlight w:val="none"/>
        </w:rPr>
        <w:object>
          <v:shape id="_x0000_i1026" o:spt="75" type="#_x0000_t75" style="height:38.4pt;width:1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5" r:id="rId16">
            <o:LockedField>false</o:LockedField>
          </o:OLEObject>
        </w:object>
      </w:r>
      <w:r>
        <w:rPr>
          <w:rFonts w:hint="default" w:ascii="Times New Roman" w:hAnsi="Times New Roman" w:eastAsia="宋体" w:cs="Times New Roman"/>
          <w:szCs w:val="22"/>
          <w:highlight w:val="none"/>
        </w:rPr>
        <w:t>mm，每个倍尺长度应留岀0mm～10mm切口余量。</w:t>
      </w:r>
    </w:p>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lang w:val="zh-CN"/>
        </w:rPr>
        <w:t>外形</w:t>
      </w:r>
    </w:p>
    <w:p>
      <w:pPr>
        <w:pStyle w:val="29"/>
        <w:numPr>
          <w:ilvl w:val="2"/>
          <w:numId w:val="4"/>
        </w:numPr>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不圆度和壁厚不</w:t>
      </w:r>
      <w:r>
        <w:rPr>
          <w:rFonts w:hint="default" w:ascii="Times New Roman" w:hAnsi="Times New Roman" w:eastAsia="宋体" w:cs="Times New Roman"/>
          <w:szCs w:val="24"/>
          <w:highlight w:val="none"/>
        </w:rPr>
        <w:t>均度</w:t>
      </w:r>
    </w:p>
    <w:p>
      <w:pPr>
        <w:widowControl/>
        <w:spacing w:line="360" w:lineRule="exact"/>
        <w:ind w:firstLine="420" w:firstLineChars="200"/>
        <w:jc w:val="left"/>
        <w:outlineLvl w:val="3"/>
        <w:rPr>
          <w:rFonts w:hint="default" w:ascii="Times New Roman" w:hAnsi="Times New Roman" w:cs="Times New Roman"/>
          <w:b/>
          <w:bCs/>
          <w:highlight w:val="none"/>
        </w:rPr>
      </w:pPr>
      <w:r>
        <w:rPr>
          <w:rFonts w:hint="default" w:ascii="Times New Roman" w:hAnsi="Times New Roman" w:cs="Times New Roman"/>
          <w:highlight w:val="none"/>
        </w:rPr>
        <w:t>钢管的不圆度和壁厚不均度应分别不超过外径公差和壁厚公差的80%。</w:t>
      </w:r>
    </w:p>
    <w:p>
      <w:pPr>
        <w:pStyle w:val="29"/>
        <w:numPr>
          <w:ilvl w:val="2"/>
          <w:numId w:val="4"/>
        </w:numPr>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弯曲度</w:t>
      </w:r>
    </w:p>
    <w:p>
      <w:pPr>
        <w:pStyle w:val="29"/>
        <w:numPr>
          <w:ilvl w:val="3"/>
          <w:numId w:val="8"/>
        </w:numPr>
        <w:tabs>
          <w:tab w:val="clear" w:pos="0"/>
        </w:tabs>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壁厚不大于</w:t>
      </w:r>
      <w:r>
        <w:rPr>
          <w:rFonts w:hint="default" w:ascii="Times New Roman" w:hAnsi="Times New Roman" w:eastAsia="宋体" w:cs="Times New Roman"/>
          <w:highlight w:val="none"/>
        </w:rPr>
        <w:t>15mm</w:t>
      </w:r>
      <w:r>
        <w:rPr>
          <w:rFonts w:hint="default" w:ascii="Times New Roman" w:hAnsi="Times New Roman" w:eastAsia="宋体" w:cs="Times New Roman"/>
          <w:highlight w:val="none"/>
          <w:lang w:val="zh-CN"/>
        </w:rPr>
        <w:t>钢管的弯曲度每米不大于</w:t>
      </w:r>
      <w:r>
        <w:rPr>
          <w:rFonts w:hint="default" w:ascii="Times New Roman" w:hAnsi="Times New Roman" w:eastAsia="宋体" w:cs="Times New Roman"/>
          <w:highlight w:val="none"/>
        </w:rPr>
        <w:t>1.5</w:t>
      </w:r>
      <w:r>
        <w:rPr>
          <w:rFonts w:hint="default" w:ascii="Times New Roman" w:hAnsi="Times New Roman" w:eastAsia="宋体" w:cs="Times New Roman"/>
          <w:highlight w:val="none"/>
          <w:lang w:val="zh-CN"/>
        </w:rPr>
        <w:t>mm，壁厚大于</w:t>
      </w:r>
      <w:r>
        <w:rPr>
          <w:rFonts w:hint="default" w:ascii="Times New Roman" w:hAnsi="Times New Roman" w:eastAsia="宋体" w:cs="Times New Roman"/>
          <w:highlight w:val="none"/>
        </w:rPr>
        <w:t>15mm</w:t>
      </w:r>
      <w:r>
        <w:rPr>
          <w:rFonts w:hint="default" w:ascii="Times New Roman" w:hAnsi="Times New Roman" w:eastAsia="宋体" w:cs="Times New Roman"/>
          <w:highlight w:val="none"/>
          <w:lang w:val="zh-CN"/>
        </w:rPr>
        <w:t>钢管的弯曲度每米不大于</w:t>
      </w:r>
      <w:r>
        <w:rPr>
          <w:rFonts w:hint="default" w:ascii="Times New Roman" w:hAnsi="Times New Roman" w:eastAsia="宋体" w:cs="Times New Roman"/>
          <w:highlight w:val="none"/>
        </w:rPr>
        <w:t>2.0</w:t>
      </w:r>
      <w:r>
        <w:rPr>
          <w:rFonts w:hint="default" w:ascii="Times New Roman" w:hAnsi="Times New Roman" w:eastAsia="宋体" w:cs="Times New Roman"/>
          <w:highlight w:val="none"/>
          <w:lang w:val="zh-CN"/>
        </w:rPr>
        <w:t>mm</w:t>
      </w:r>
      <w:r>
        <w:rPr>
          <w:rFonts w:hint="default" w:ascii="Times New Roman" w:hAnsi="Times New Roman" w:eastAsia="宋体" w:cs="Times New Roman"/>
          <w:highlight w:val="none"/>
        </w:rPr>
        <w:t>。</w:t>
      </w:r>
    </w:p>
    <w:p>
      <w:pPr>
        <w:pStyle w:val="29"/>
        <w:numPr>
          <w:ilvl w:val="3"/>
          <w:numId w:val="8"/>
        </w:numPr>
        <w:tabs>
          <w:tab w:val="clear" w:pos="0"/>
        </w:tabs>
        <w:spacing w:before="156" w:after="156"/>
        <w:ind w:left="0" w:firstLine="0"/>
        <w:rPr>
          <w:rFonts w:hint="default" w:ascii="Times New Roman" w:hAnsi="Times New Roman" w:eastAsia="宋体" w:cs="Times New Roman"/>
          <w:highlight w:val="none"/>
        </w:rPr>
      </w:pPr>
      <w:r>
        <w:rPr>
          <w:rFonts w:hint="default" w:ascii="Times New Roman" w:hAnsi="Times New Roman" w:eastAsia="宋体" w:cs="Times New Roman"/>
          <w:highlight w:val="none"/>
          <w:lang w:val="zh-CN"/>
        </w:rPr>
        <w:t>钢管总弯曲度不大于总长度的</w:t>
      </w:r>
      <w:r>
        <w:rPr>
          <w:rFonts w:hint="default" w:ascii="Times New Roman" w:hAnsi="Times New Roman" w:eastAsia="宋体" w:cs="Times New Roman"/>
          <w:highlight w:val="none"/>
        </w:rPr>
        <w:t>0.15</w:t>
      </w:r>
      <w:r>
        <w:rPr>
          <w:rFonts w:hint="default" w:ascii="Times New Roman" w:hAnsi="Times New Roman" w:eastAsia="宋体" w:cs="Times New Roman"/>
          <w:highlight w:val="none"/>
          <w:lang w:val="zh-CN"/>
        </w:rPr>
        <w:t>%，</w:t>
      </w:r>
      <w:r>
        <w:rPr>
          <w:rFonts w:hint="default" w:ascii="Times New Roman" w:hAnsi="Times New Roman" w:eastAsia="宋体" w:cs="Times New Roman"/>
          <w:highlight w:val="none"/>
        </w:rPr>
        <w:t>且不超过10mm。</w:t>
      </w:r>
    </w:p>
    <w:p>
      <w:pPr>
        <w:pStyle w:val="29"/>
        <w:numPr>
          <w:ilvl w:val="2"/>
          <w:numId w:val="4"/>
        </w:numPr>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端部</w:t>
      </w:r>
    </w:p>
    <w:p>
      <w:pPr>
        <w:widowControl/>
        <w:spacing w:line="360" w:lineRule="exact"/>
        <w:ind w:firstLine="420" w:firstLineChars="200"/>
        <w:jc w:val="left"/>
        <w:outlineLvl w:val="3"/>
        <w:rPr>
          <w:rFonts w:hint="default" w:ascii="Times New Roman" w:hAnsi="Times New Roman" w:cs="Times New Roman"/>
          <w:szCs w:val="22"/>
          <w:highlight w:val="none"/>
          <w:lang w:val="zh-CN"/>
        </w:rPr>
      </w:pPr>
      <w:r>
        <w:rPr>
          <w:rFonts w:hint="default" w:ascii="Times New Roman" w:hAnsi="Times New Roman" w:cs="Times New Roman"/>
          <w:szCs w:val="22"/>
          <w:highlight w:val="none"/>
          <w:lang w:val="zh-CN"/>
        </w:rPr>
        <w:t>钢管两端端面应与钢管轴线垂直，并应清除切口毛刺。根据需方要求，经供需双方协商，并在合同 中注明，钢管两端可加工坡口，坡口型式由供需双方协商确定。</w:t>
      </w:r>
    </w:p>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lang w:val="zh-CN"/>
        </w:rPr>
        <w:t>重量</w:t>
      </w:r>
    </w:p>
    <w:p>
      <w:pPr>
        <w:pStyle w:val="29"/>
        <w:numPr>
          <w:ilvl w:val="2"/>
          <w:numId w:val="4"/>
        </w:numPr>
        <w:spacing w:before="156" w:after="156"/>
        <w:ind w:left="0" w:firstLine="0"/>
        <w:rPr>
          <w:rFonts w:hint="default" w:ascii="Times New Roman" w:hAnsi="Times New Roman" w:eastAsia="宋体" w:cs="Times New Roman"/>
          <w:sz w:val="20"/>
          <w:szCs w:val="20"/>
          <w:highlight w:val="none"/>
          <w:lang w:val="zh-CN"/>
        </w:rPr>
      </w:pPr>
      <w:r>
        <w:rPr>
          <w:rFonts w:hint="default" w:ascii="Times New Roman" w:hAnsi="Times New Roman" w:eastAsia="宋体" w:cs="Times New Roman"/>
          <w:highlight w:val="none"/>
          <w:lang w:val="zh-CN"/>
        </w:rPr>
        <w:t>钢管应按实际重量交货。经供需双方协商，并在合同中注明，钢管亦可按理论重量交货。钢管每米理论重量按式(1)计算：</w:t>
      </w:r>
    </w:p>
    <w:p>
      <w:pPr>
        <w:pStyle w:val="42"/>
        <w:tabs>
          <w:tab w:val="left" w:leader="hyphen" w:pos="4588"/>
          <w:tab w:val="left" w:pos="6642"/>
          <w:tab w:val="left" w:leader="dot" w:pos="8697"/>
        </w:tabs>
        <w:spacing w:line="0" w:lineRule="atLeast"/>
        <w:ind w:firstLine="0"/>
        <w:jc w:val="right"/>
        <w:rPr>
          <w:rFonts w:hint="default" w:ascii="Times New Roman" w:hAnsi="Times New Roman" w:cs="Times New Roman"/>
          <w:highlight w:val="none"/>
        </w:rPr>
      </w:pPr>
      <m:oMath>
        <m:r>
          <m:rPr>
            <m:sty m:val="p"/>
          </m:rPr>
          <w:rPr>
            <w:rFonts w:hint="default" w:ascii="Cambria Math" w:hAnsi="Cambria Math" w:cs="Times New Roman"/>
            <w:color w:val="000000"/>
            <w:sz w:val="21"/>
            <w:szCs w:val="21"/>
            <w:highlight w:val="none"/>
            <w:lang w:bidi="en-US"/>
          </w:rPr>
          <m:t>w=</m:t>
        </m:r>
        <m:f>
          <m:fPr>
            <m:ctrlPr>
              <w:rPr>
                <w:rFonts w:hint="default" w:ascii="Cambria Math" w:hAnsi="Cambria Math" w:cs="Times New Roman"/>
                <w:color w:val="000000"/>
                <w:sz w:val="21"/>
                <w:szCs w:val="21"/>
                <w:highlight w:val="none"/>
                <w:lang w:bidi="en-US"/>
              </w:rPr>
            </m:ctrlPr>
          </m:fPr>
          <m:num>
            <m:r>
              <m:rPr>
                <m:sty m:val="p"/>
              </m:rPr>
              <w:rPr>
                <w:rFonts w:hint="default" w:ascii="Cambria Math" w:hAnsi="Cambria Math" w:cs="Times New Roman"/>
                <w:color w:val="000000"/>
                <w:sz w:val="21"/>
                <w:szCs w:val="21"/>
                <w:highlight w:val="none"/>
                <w:lang w:bidi="en-US"/>
              </w:rPr>
              <m:t>π</m:t>
            </m:r>
            <m:ctrlPr>
              <w:rPr>
                <w:rFonts w:hint="default" w:ascii="Cambria Math" w:hAnsi="Cambria Math" w:cs="Times New Roman"/>
                <w:color w:val="000000"/>
                <w:sz w:val="21"/>
                <w:szCs w:val="21"/>
                <w:highlight w:val="none"/>
                <w:lang w:bidi="en-US"/>
              </w:rPr>
            </m:ctrlPr>
          </m:num>
          <m:den>
            <m:r>
              <m:rPr>
                <m:sty m:val="p"/>
              </m:rPr>
              <w:rPr>
                <w:rFonts w:hint="default" w:ascii="Cambria Math" w:hAnsi="Cambria Math" w:cs="Times New Roman"/>
                <w:color w:val="000000"/>
                <w:sz w:val="21"/>
                <w:szCs w:val="21"/>
                <w:highlight w:val="none"/>
                <w:lang w:bidi="en-US"/>
              </w:rPr>
              <m:t>1000</m:t>
            </m:r>
            <m:ctrlPr>
              <w:rPr>
                <w:rFonts w:hint="default" w:ascii="Cambria Math" w:hAnsi="Cambria Math" w:cs="Times New Roman"/>
                <w:color w:val="000000"/>
                <w:sz w:val="21"/>
                <w:szCs w:val="21"/>
                <w:highlight w:val="none"/>
                <w:lang w:bidi="en-US"/>
              </w:rPr>
            </m:ctrlPr>
          </m:den>
        </m:f>
      </m:oMath>
      <w:r>
        <w:rPr>
          <w:rFonts w:hint="default" w:ascii="Times New Roman" w:hAnsi="Times New Roman" w:cs="Times New Roman"/>
          <w:color w:val="000000"/>
          <w:sz w:val="21"/>
          <w:szCs w:val="21"/>
          <w:highlight w:val="none"/>
          <w:lang w:bidi="en-US"/>
        </w:rPr>
        <w:t xml:space="preserve"> </w:t>
      </w:r>
      <w:r>
        <w:rPr>
          <w:rFonts w:hint="default" w:ascii="Times New Roman" w:hAnsi="Times New Roman" w:cs="Times New Roman"/>
          <w:color w:val="000000"/>
          <w:highlight w:val="none"/>
          <w:lang w:bidi="en-US"/>
        </w:rPr>
        <w:t xml:space="preserve">ρ S（D-S） </w:t>
      </w:r>
      <w:r>
        <w:rPr>
          <w:rFonts w:hint="default" w:ascii="Times New Roman" w:hAnsi="Times New Roman" w:cs="Times New Roman"/>
          <w:color w:val="000000"/>
          <w:highlight w:val="none"/>
          <w:lang w:bidi="en-US"/>
        </w:rPr>
        <w:tab/>
      </w:r>
      <w:r>
        <w:rPr>
          <w:rFonts w:hint="default" w:ascii="Times New Roman" w:hAnsi="Times New Roman" w:cs="Times New Roman"/>
          <w:color w:val="000000"/>
          <w:highlight w:val="none"/>
          <w:lang w:bidi="en-US"/>
        </w:rPr>
        <w:t xml:space="preserve"> </w:t>
      </w:r>
      <w:r>
        <w:rPr>
          <w:rFonts w:hint="default" w:ascii="Times New Roman" w:hAnsi="Times New Roman" w:cs="Times New Roman"/>
          <w:color w:val="000000"/>
          <w:highlight w:val="none"/>
          <w:lang w:val="zh-TW" w:eastAsia="zh-TW" w:bidi="zh-TW"/>
        </w:rPr>
        <w:t xml:space="preserve">( </w:t>
      </w:r>
      <w:r>
        <w:rPr>
          <w:rFonts w:hint="default" w:ascii="Times New Roman" w:hAnsi="Times New Roman" w:eastAsia="Times New Roman" w:cs="Times New Roman"/>
          <w:color w:val="000000"/>
          <w:highlight w:val="none"/>
          <w:lang w:val="zh-TW" w:eastAsia="zh-TW" w:bidi="zh-TW"/>
        </w:rPr>
        <w:t xml:space="preserve">1 </w:t>
      </w:r>
      <w:r>
        <w:rPr>
          <w:rFonts w:hint="default" w:ascii="Times New Roman" w:hAnsi="Times New Roman" w:cs="Times New Roman"/>
          <w:color w:val="000000"/>
          <w:highlight w:val="none"/>
          <w:lang w:val="zh-TW" w:eastAsia="zh-TW" w:bidi="zh-TW"/>
        </w:rPr>
        <w:t>)</w:t>
      </w:r>
    </w:p>
    <w:p>
      <w:pPr>
        <w:pStyle w:val="49"/>
        <w:tabs>
          <w:tab w:val="left" w:pos="4588"/>
        </w:tabs>
        <w:rPr>
          <w:rFonts w:hint="default" w:ascii="Times New Roman" w:hAnsi="Times New Roman" w:cs="Times New Roman"/>
          <w:highlight w:val="none"/>
        </w:rPr>
      </w:pPr>
      <w:r>
        <w:rPr>
          <w:rFonts w:hint="default" w:ascii="Times New Roman" w:hAnsi="Times New Roman" w:cs="Times New Roman"/>
          <w:color w:val="000000"/>
          <w:sz w:val="24"/>
          <w:highlight w:val="none"/>
          <w:lang w:val="zh-TW" w:eastAsia="zh-TW" w:bidi="zh-TW"/>
        </w:rPr>
        <w:tab/>
      </w:r>
      <w:r>
        <w:rPr>
          <w:rFonts w:hint="default" w:ascii="Times New Roman" w:hAnsi="Times New Roman" w:cs="Times New Roman"/>
          <w:color w:val="000000"/>
          <w:sz w:val="24"/>
          <w:highlight w:val="none"/>
          <w:lang w:bidi="en-US"/>
        </w:rPr>
        <w:t xml:space="preserve">' </w:t>
      </w:r>
      <w:r>
        <w:rPr>
          <w:rFonts w:hint="default" w:ascii="Times New Roman" w:hAnsi="Times New Roman" w:cs="Times New Roman"/>
          <w:color w:val="000000"/>
          <w:sz w:val="24"/>
          <w:highlight w:val="none"/>
          <w:lang w:val="zh-TW" w:eastAsia="zh-TW" w:bidi="zh-TW"/>
        </w:rPr>
        <w:t>’</w:t>
      </w:r>
    </w:p>
    <w:p>
      <w:pPr>
        <w:pStyle w:val="29"/>
        <w:spacing w:before="156" w:after="156"/>
        <w:ind w:left="0" w:firstLine="420" w:firstLineChars="20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式中：</w:t>
      </w:r>
    </w:p>
    <w:p>
      <w:pPr>
        <w:pStyle w:val="41"/>
        <w:spacing w:line="322" w:lineRule="exact"/>
        <w:ind w:firstLine="380"/>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W——钢管的理论重量，单位为千克每米（kg/m）；</w:t>
      </w:r>
    </w:p>
    <w:p>
      <w:pPr>
        <w:pStyle w:val="41"/>
        <w:spacing w:line="322" w:lineRule="exact"/>
        <w:ind w:firstLine="380"/>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π ——</w:t>
      </w:r>
      <w:r>
        <w:rPr>
          <w:rFonts w:hint="default" w:ascii="Times New Roman" w:hAnsi="Times New Roman" w:cs="Times New Roman"/>
          <w:color w:val="000000"/>
          <w:sz w:val="20"/>
          <w:szCs w:val="20"/>
          <w:highlight w:val="none"/>
          <w:lang w:bidi="en-US"/>
        </w:rPr>
        <w:t>圆周率，取</w:t>
      </w:r>
      <w:r>
        <w:rPr>
          <w:rFonts w:hint="default" w:ascii="Times New Roman" w:hAnsi="Times New Roman" w:cs="Times New Roman"/>
          <w:color w:val="000000"/>
          <w:sz w:val="20"/>
          <w:szCs w:val="20"/>
          <w:highlight w:val="none"/>
          <w:lang w:val="en-US" w:eastAsia="zh-CN" w:bidi="en-US"/>
        </w:rPr>
        <w:t>3.141</w:t>
      </w:r>
      <w:r>
        <w:rPr>
          <w:rFonts w:hint="default" w:ascii="Times New Roman" w:hAnsi="Times New Roman" w:cs="Times New Roman"/>
          <w:color w:val="000000"/>
          <w:sz w:val="20"/>
          <w:szCs w:val="20"/>
          <w:highlight w:val="none"/>
          <w:lang w:bidi="en-US"/>
        </w:rPr>
        <w:t>6</w:t>
      </w:r>
      <w:r>
        <w:rPr>
          <w:rFonts w:hint="default" w:ascii="Times New Roman" w:hAnsi="Times New Roman" w:cs="Times New Roman"/>
          <w:color w:val="000000"/>
          <w:sz w:val="20"/>
          <w:szCs w:val="20"/>
          <w:highlight w:val="none"/>
          <w:lang w:eastAsia="zh-CN" w:bidi="en-US"/>
        </w:rPr>
        <w:t>；</w:t>
      </w:r>
    </w:p>
    <w:p>
      <w:pPr>
        <w:pStyle w:val="41"/>
        <w:spacing w:line="322" w:lineRule="exact"/>
        <w:ind w:firstLine="380"/>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ρ ——钢的密度，单位为千克每立方分米（kg/dm3），见表4；</w:t>
      </w:r>
    </w:p>
    <w:p>
      <w:pPr>
        <w:pStyle w:val="41"/>
        <w:spacing w:line="322" w:lineRule="exact"/>
        <w:ind w:firstLine="380"/>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S ——钢管的壁厚，单位为毫米（mm）；</w:t>
      </w:r>
    </w:p>
    <w:p>
      <w:pPr>
        <w:pStyle w:val="41"/>
        <w:spacing w:line="322" w:lineRule="exact"/>
        <w:ind w:firstLine="380"/>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D ——钢管的公称外径，单位为毫米（mm）。</w:t>
      </w:r>
    </w:p>
    <w:p>
      <w:pPr>
        <w:pStyle w:val="29"/>
        <w:numPr>
          <w:ilvl w:val="2"/>
          <w:numId w:val="4"/>
        </w:numPr>
        <w:spacing w:before="156" w:after="156"/>
        <w:ind w:left="0" w:firstLine="0"/>
        <w:rPr>
          <w:rFonts w:hint="default" w:ascii="Times New Roman" w:hAnsi="Times New Roman" w:eastAsia="宋体" w:cs="Times New Roman"/>
          <w:highlight w:val="none"/>
        </w:rPr>
      </w:pPr>
      <w:r>
        <w:rPr>
          <w:rFonts w:hint="default" w:ascii="Times New Roman" w:hAnsi="Times New Roman" w:eastAsia="宋体" w:cs="Times New Roman"/>
          <w:highlight w:val="none"/>
        </w:rPr>
        <w:t>按公称外径和最小壁厚交货钢管，应采用平均壁厚计算理论重量，平均壁厚是按壁厚及其允许 偏差计算岀来的壁厚最大值与最小值的平均值。</w:t>
      </w:r>
    </w:p>
    <w:p>
      <w:pPr>
        <w:pStyle w:val="29"/>
        <w:numPr>
          <w:ilvl w:val="2"/>
          <w:numId w:val="4"/>
        </w:numPr>
        <w:spacing w:before="156" w:after="156"/>
        <w:ind w:left="0" w:firstLine="0"/>
        <w:rPr>
          <w:rFonts w:hint="default" w:ascii="Times New Roman" w:hAnsi="Times New Roman" w:eastAsia="宋体" w:cs="Times New Roman"/>
          <w:highlight w:val="none"/>
        </w:rPr>
      </w:pPr>
      <w:r>
        <w:rPr>
          <w:rFonts w:hint="default" w:ascii="Times New Roman" w:hAnsi="Times New Roman" w:eastAsia="宋体" w:cs="Times New Roman"/>
          <w:highlight w:val="none"/>
        </w:rPr>
        <w:t>钢管按理论重量交货时，供需双方可协商重量允许偏差，并在合同中注明。</w:t>
      </w:r>
    </w:p>
    <w:p>
      <w:pPr>
        <w:pStyle w:val="21"/>
        <w:numPr>
          <w:ilvl w:val="0"/>
          <w:numId w:val="4"/>
        </w:numPr>
        <w:spacing w:before="312" w:after="312"/>
        <w:ind w:left="0" w:firstLine="0"/>
        <w:rPr>
          <w:rFonts w:hint="default" w:ascii="Times New Roman" w:hAnsi="Times New Roman" w:cs="Times New Roman"/>
          <w:highlight w:val="none"/>
        </w:rPr>
      </w:pPr>
      <w:r>
        <w:rPr>
          <w:rFonts w:hint="default" w:ascii="Times New Roman" w:hAnsi="Times New Roman" w:cs="Times New Roman"/>
          <w:highlight w:val="none"/>
        </w:rPr>
        <w:t>技术要求</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牌号及化学成分</w:t>
      </w:r>
    </w:p>
    <w:p>
      <w:pPr>
        <w:pStyle w:val="29"/>
        <w:numPr>
          <w:ilvl w:val="2"/>
          <w:numId w:val="4"/>
        </w:numPr>
        <w:spacing w:before="156" w:after="156"/>
        <w:ind w:left="0" w:firstLine="0"/>
        <w:rPr>
          <w:rFonts w:hint="default" w:ascii="Times New Roman" w:hAnsi="Times New Roman" w:eastAsia="宋体" w:cs="Times New Roman"/>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start="1"/>
          <w:cols w:space="720" w:num="1"/>
          <w:formProt w:val="0"/>
          <w:docGrid w:type="lines" w:linePitch="312" w:charSpace="0"/>
        </w:sectPr>
      </w:pPr>
      <w:r>
        <w:rPr>
          <w:rFonts w:hint="default" w:ascii="Times New Roman" w:hAnsi="Times New Roman" w:eastAsia="宋体" w:cs="Times New Roman"/>
          <w:highlight w:val="none"/>
        </w:rPr>
        <w:t>钢的牌号及化学成分应符合表3的规定。</w:t>
      </w:r>
      <w:r>
        <w:rPr>
          <w:rFonts w:hint="default" w:ascii="Times New Roman" w:hAnsi="Times New Roman" w:eastAsia="宋体" w:cs="Times New Roman"/>
          <w:highlight w:val="none"/>
          <w:lang w:eastAsia="zh-CN"/>
        </w:rPr>
        <w:t>本文件</w:t>
      </w:r>
      <w:r>
        <w:rPr>
          <w:rFonts w:hint="default" w:ascii="Times New Roman" w:hAnsi="Times New Roman" w:eastAsia="宋体" w:cs="Times New Roman"/>
          <w:highlight w:val="none"/>
        </w:rPr>
        <w:t>牌号与其他标准牌号对照参见附录A。</w:t>
      </w:r>
    </w:p>
    <w:p>
      <w:pPr>
        <w:pStyle w:val="27"/>
        <w:numPr>
          <w:ilvl w:val="0"/>
          <w:numId w:val="7"/>
        </w:numPr>
        <w:spacing w:before="156" w:after="156"/>
        <w:rPr>
          <w:rFonts w:hint="default" w:ascii="Times New Roman" w:hAnsi="Times New Roman" w:cs="Times New Roman"/>
          <w:highlight w:val="none"/>
        </w:rPr>
      </w:pPr>
      <w:bookmarkStart w:id="9" w:name="_Toc520380396"/>
      <w:r>
        <w:rPr>
          <w:rFonts w:hint="default" w:ascii="Times New Roman" w:hAnsi="Times New Roman" w:cs="Times New Roman"/>
          <w:highlight w:val="none"/>
        </w:rPr>
        <w:t>钢的牌号及化学成分</w:t>
      </w:r>
    </w:p>
    <w:tbl>
      <w:tblPr>
        <w:tblStyle w:val="10"/>
        <w:tblpPr w:leftFromText="180" w:rightFromText="180" w:vertAnchor="text" w:horzAnchor="margin" w:tblpXSpec="center" w:tblpY="32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909"/>
        <w:gridCol w:w="1950"/>
        <w:gridCol w:w="1044"/>
        <w:gridCol w:w="1207"/>
        <w:gridCol w:w="1207"/>
        <w:gridCol w:w="1207"/>
        <w:gridCol w:w="1207"/>
        <w:gridCol w:w="1207"/>
        <w:gridCol w:w="1207"/>
        <w:gridCol w:w="1296"/>
        <w:gridCol w:w="125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29" w:type="pct"/>
            <w:vMerge w:val="restar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序号</w:t>
            </w:r>
          </w:p>
        </w:tc>
        <w:tc>
          <w:tcPr>
            <w:tcW w:w="296" w:type="pct"/>
            <w:vMerge w:val="restar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统一数字代号</w:t>
            </w:r>
          </w:p>
        </w:tc>
        <w:tc>
          <w:tcPr>
            <w:tcW w:w="635" w:type="pct"/>
            <w:vMerge w:val="restar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牌 号</w:t>
            </w:r>
          </w:p>
        </w:tc>
        <w:tc>
          <w:tcPr>
            <w:tcW w:w="3120" w:type="pct"/>
            <w:gridSpan w:val="8"/>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化学成分（质量百分比）%</w:t>
            </w:r>
          </w:p>
        </w:tc>
        <w:tc>
          <w:tcPr>
            <w:tcW w:w="408" w:type="pct"/>
            <w:vAlign w:val="center"/>
          </w:tcPr>
          <w:p>
            <w:pPr>
              <w:spacing w:line="260" w:lineRule="exact"/>
              <w:jc w:val="center"/>
              <w:rPr>
                <w:rFonts w:hint="default" w:ascii="Times New Roman" w:hAnsi="Times New Roman" w:cs="Times New Roman" w:eastAsiaTheme="minorEastAsia"/>
                <w:sz w:val="18"/>
                <w:szCs w:val="18"/>
                <w:highlight w:val="none"/>
              </w:rPr>
            </w:pPr>
          </w:p>
        </w:tc>
        <w:tc>
          <w:tcPr>
            <w:tcW w:w="411" w:type="pct"/>
            <w:vAlign w:val="center"/>
          </w:tcPr>
          <w:p>
            <w:pPr>
              <w:spacing w:line="260" w:lineRule="exact"/>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9" w:type="pct"/>
            <w:vMerge w:val="continue"/>
            <w:vAlign w:val="center"/>
          </w:tcPr>
          <w:p>
            <w:pPr>
              <w:spacing w:line="260" w:lineRule="exact"/>
              <w:jc w:val="center"/>
              <w:rPr>
                <w:rFonts w:hint="default" w:ascii="Times New Roman" w:hAnsi="Times New Roman" w:cs="Times New Roman" w:eastAsiaTheme="minorEastAsia"/>
                <w:sz w:val="18"/>
                <w:szCs w:val="18"/>
                <w:highlight w:val="none"/>
              </w:rPr>
            </w:pPr>
          </w:p>
        </w:tc>
        <w:tc>
          <w:tcPr>
            <w:tcW w:w="296" w:type="pct"/>
            <w:vMerge w:val="continue"/>
            <w:vAlign w:val="center"/>
          </w:tcPr>
          <w:p>
            <w:pPr>
              <w:spacing w:line="260" w:lineRule="exact"/>
              <w:jc w:val="center"/>
              <w:rPr>
                <w:rFonts w:hint="default" w:ascii="Times New Roman" w:hAnsi="Times New Roman" w:cs="Times New Roman" w:eastAsiaTheme="minorEastAsia"/>
                <w:sz w:val="18"/>
                <w:szCs w:val="18"/>
                <w:highlight w:val="none"/>
              </w:rPr>
            </w:pPr>
          </w:p>
        </w:tc>
        <w:tc>
          <w:tcPr>
            <w:tcW w:w="635" w:type="pct"/>
            <w:vMerge w:val="continue"/>
            <w:vAlign w:val="center"/>
          </w:tcPr>
          <w:p>
            <w:pPr>
              <w:spacing w:line="260" w:lineRule="exact"/>
              <w:jc w:val="center"/>
              <w:rPr>
                <w:rFonts w:hint="default" w:ascii="Times New Roman" w:hAnsi="Times New Roman" w:cs="Times New Roman" w:eastAsiaTheme="minorEastAsia"/>
                <w:sz w:val="18"/>
                <w:szCs w:val="18"/>
                <w:highlight w:val="none"/>
              </w:rPr>
            </w:pPr>
          </w:p>
        </w:tc>
        <w:tc>
          <w:tcPr>
            <w:tcW w:w="340"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C</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Si</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Mn</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P</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S</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Ni</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Cr</w:t>
            </w:r>
          </w:p>
        </w:tc>
        <w:tc>
          <w:tcPr>
            <w:tcW w:w="421"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Mo</w:t>
            </w:r>
          </w:p>
        </w:tc>
        <w:tc>
          <w:tcPr>
            <w:tcW w:w="408"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N</w:t>
            </w:r>
          </w:p>
        </w:tc>
        <w:tc>
          <w:tcPr>
            <w:tcW w:w="411"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29" w:type="pct"/>
            <w:vAlign w:val="center"/>
          </w:tcPr>
          <w:p>
            <w:pPr>
              <w:numPr>
                <w:ilvl w:val="0"/>
                <w:numId w:val="9"/>
              </w:numPr>
              <w:spacing w:line="260" w:lineRule="exact"/>
              <w:jc w:val="center"/>
              <w:rPr>
                <w:rFonts w:hint="default" w:ascii="Times New Roman" w:hAnsi="Times New Roman" w:cs="Times New Roman" w:eastAsiaTheme="minorEastAsia"/>
                <w:sz w:val="18"/>
                <w:szCs w:val="18"/>
                <w:highlight w:val="none"/>
              </w:rPr>
            </w:pPr>
          </w:p>
        </w:tc>
        <w:tc>
          <w:tcPr>
            <w:tcW w:w="296" w:type="pc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S31608</w:t>
            </w:r>
            <w:r>
              <w:rPr>
                <w:rFonts w:hint="default" w:ascii="Times New Roman" w:hAnsi="Times New Roman" w:cs="Times New Roman"/>
                <w:sz w:val="18"/>
                <w:szCs w:val="18"/>
                <w:highlight w:val="none"/>
                <w:vertAlign w:val="superscript"/>
              </w:rPr>
              <w:t xml:space="preserve"> </w:t>
            </w:r>
          </w:p>
        </w:tc>
        <w:tc>
          <w:tcPr>
            <w:tcW w:w="635" w:type="pc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06Cr17Ni12Mo2</w:t>
            </w:r>
          </w:p>
        </w:tc>
        <w:tc>
          <w:tcPr>
            <w:tcW w:w="340"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0.05~0.08</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≤0.75</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≤2.00</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≤0.030</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≤0.015</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10.80~14.00</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16.00~18.00</w:t>
            </w:r>
          </w:p>
        </w:tc>
        <w:tc>
          <w:tcPr>
            <w:tcW w:w="421"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2.00~3.00</w:t>
            </w:r>
          </w:p>
        </w:tc>
        <w:tc>
          <w:tcPr>
            <w:tcW w:w="408"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0.06~0.10</w:t>
            </w:r>
          </w:p>
        </w:tc>
        <w:tc>
          <w:tcPr>
            <w:tcW w:w="411"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29" w:type="pct"/>
            <w:vAlign w:val="center"/>
          </w:tcPr>
          <w:p>
            <w:pPr>
              <w:numPr>
                <w:ilvl w:val="0"/>
                <w:numId w:val="9"/>
              </w:numPr>
              <w:spacing w:line="260" w:lineRule="exact"/>
              <w:jc w:val="center"/>
              <w:rPr>
                <w:rFonts w:hint="default" w:ascii="Times New Roman" w:hAnsi="Times New Roman" w:cs="Times New Roman" w:eastAsiaTheme="minorEastAsia"/>
                <w:sz w:val="18"/>
                <w:szCs w:val="18"/>
                <w:highlight w:val="none"/>
              </w:rPr>
            </w:pPr>
          </w:p>
        </w:tc>
        <w:tc>
          <w:tcPr>
            <w:tcW w:w="296" w:type="pc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S31603</w:t>
            </w:r>
          </w:p>
        </w:tc>
        <w:tc>
          <w:tcPr>
            <w:tcW w:w="635" w:type="pc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022Cr17Ni12Mo2</w:t>
            </w:r>
          </w:p>
        </w:tc>
        <w:tc>
          <w:tcPr>
            <w:tcW w:w="340"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≤0.03</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≤0.75</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≤2.00</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≤0.030</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≤0.015</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11.00~14.00</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16.00~18.00</w:t>
            </w:r>
          </w:p>
        </w:tc>
        <w:tc>
          <w:tcPr>
            <w:tcW w:w="421"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2.00~3.00</w:t>
            </w:r>
          </w:p>
        </w:tc>
        <w:tc>
          <w:tcPr>
            <w:tcW w:w="408"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0.06~0.10</w:t>
            </w:r>
          </w:p>
        </w:tc>
        <w:tc>
          <w:tcPr>
            <w:tcW w:w="411"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29" w:type="pct"/>
            <w:vAlign w:val="center"/>
          </w:tcPr>
          <w:p>
            <w:pPr>
              <w:numPr>
                <w:ilvl w:val="0"/>
                <w:numId w:val="9"/>
              </w:numPr>
              <w:spacing w:line="260" w:lineRule="exact"/>
              <w:jc w:val="center"/>
              <w:rPr>
                <w:rFonts w:hint="default" w:ascii="Times New Roman" w:hAnsi="Times New Roman" w:cs="Times New Roman" w:eastAsiaTheme="minorEastAsia"/>
                <w:sz w:val="18"/>
                <w:szCs w:val="18"/>
                <w:highlight w:val="none"/>
              </w:rPr>
            </w:pPr>
          </w:p>
        </w:tc>
        <w:tc>
          <w:tcPr>
            <w:tcW w:w="296" w:type="pc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S31653</w:t>
            </w:r>
          </w:p>
        </w:tc>
        <w:tc>
          <w:tcPr>
            <w:tcW w:w="635" w:type="pc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022Cr17Ni12Mo2N</w:t>
            </w:r>
          </w:p>
        </w:tc>
        <w:tc>
          <w:tcPr>
            <w:tcW w:w="340"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≤0.02</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≤0.75</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≤2.00</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≤0.030</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≤0.015</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11.00~14.00</w:t>
            </w:r>
          </w:p>
        </w:tc>
        <w:tc>
          <w:tcPr>
            <w:tcW w:w="393"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16.00~18.00</w:t>
            </w:r>
          </w:p>
        </w:tc>
        <w:tc>
          <w:tcPr>
            <w:tcW w:w="421"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2.00~3.00</w:t>
            </w:r>
          </w:p>
        </w:tc>
        <w:tc>
          <w:tcPr>
            <w:tcW w:w="408"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0.14~0.20</w:t>
            </w:r>
          </w:p>
        </w:tc>
        <w:tc>
          <w:tcPr>
            <w:tcW w:w="411" w:type="pct"/>
            <w:vAlign w:val="center"/>
          </w:tcPr>
          <w:p>
            <w:pPr>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余</w:t>
            </w:r>
          </w:p>
        </w:tc>
      </w:tr>
    </w:tbl>
    <w:p>
      <w:pPr>
        <w:spacing w:before="50" w:after="50"/>
        <w:rPr>
          <w:rFonts w:hint="default" w:ascii="Times New Roman" w:hAnsi="Times New Roman" w:cs="Times New Roman"/>
          <w:highlight w:val="none"/>
        </w:rPr>
        <w:sectPr>
          <w:pgSz w:w="16838" w:h="11906" w:orient="landscape"/>
          <w:pgMar w:top="1418" w:right="567" w:bottom="1134" w:left="1134" w:header="1418" w:footer="1134" w:gutter="0"/>
          <w:pgNumType w:start="1"/>
          <w:cols w:space="720" w:num="1"/>
          <w:formProt w:val="0"/>
          <w:docGrid w:type="lines" w:linePitch="312" w:charSpace="0"/>
        </w:sectPr>
      </w:pPr>
    </w:p>
    <w:p>
      <w:pPr>
        <w:spacing w:before="50" w:after="50"/>
        <w:jc w:val="left"/>
        <w:rPr>
          <w:rFonts w:hint="default" w:ascii="Times New Roman" w:hAnsi="Times New Roman" w:cs="Times New Roman"/>
          <w:highlight w:val="none"/>
        </w:rPr>
      </w:pPr>
      <w:r>
        <w:rPr>
          <w:rFonts w:hint="default" w:ascii="Times New Roman" w:hAnsi="Times New Roman" w:cs="Times New Roman"/>
          <w:highlight w:val="none"/>
        </w:rPr>
        <w:t>7.1.2钢管应进行化学成分的成品分析，成品化学成分允许偏差应符合GB/T 222的规定。</w:t>
      </w:r>
    </w:p>
    <w:p>
      <w:pPr>
        <w:spacing w:before="50" w:after="50"/>
        <w:jc w:val="left"/>
        <w:rPr>
          <w:rFonts w:hint="default" w:ascii="Times New Roman" w:hAnsi="Times New Roman" w:cs="Times New Roman"/>
          <w:highlight w:val="none"/>
        </w:rPr>
      </w:pPr>
      <w:r>
        <w:rPr>
          <w:rFonts w:hint="default" w:ascii="Times New Roman" w:hAnsi="Times New Roman" w:cs="Times New Roman"/>
          <w:highlight w:val="none"/>
        </w:rPr>
        <w:t>7.1.3根据需方要求，经供需双方协商，并在合同中注明，供方可分析并报告钢中气体元素氢、氧的含量。</w:t>
      </w:r>
    </w:p>
    <w:p>
      <w:pPr>
        <w:spacing w:before="50" w:after="50"/>
        <w:rPr>
          <w:rFonts w:hint="default" w:ascii="Times New Roman" w:hAnsi="Times New Roman" w:cs="Times New Roman"/>
          <w:highlight w:val="none"/>
        </w:rPr>
      </w:pPr>
      <w:r>
        <w:rPr>
          <w:rFonts w:hint="default" w:ascii="Times New Roman" w:hAnsi="Times New Roman" w:cs="Times New Roman"/>
          <w:highlight w:val="none"/>
        </w:rPr>
        <w:t>7.1.4</w:t>
      </w:r>
      <w:r>
        <w:rPr>
          <w:rFonts w:hint="default" w:ascii="Times New Roman" w:hAnsi="Times New Roman" w:cs="Times New Roman"/>
          <w:bCs/>
          <w:highlight w:val="none"/>
        </w:rPr>
        <w:t>应对</w:t>
      </w:r>
      <w:r>
        <w:rPr>
          <w:rFonts w:hint="default" w:ascii="Times New Roman" w:hAnsi="Times New Roman" w:cs="Times New Roman"/>
          <w:szCs w:val="21"/>
          <w:highlight w:val="none"/>
        </w:rPr>
        <w:t>成品钢管的化学成分实测值进行奥氏体稳定系数、低温下马氏体自发转变温度的计算。计算结果应满足奥氏体稳定系数Δ≥0；低温下马氏体自发转变温度</w:t>
      </w:r>
      <w:r>
        <w:rPr>
          <w:rFonts w:hint="default" w:ascii="Times New Roman" w:hAnsi="Times New Roman" w:cs="Times New Roman"/>
          <w:color w:val="000000"/>
          <w:kern w:val="0"/>
          <w:szCs w:val="21"/>
          <w:highlight w:val="none"/>
        </w:rPr>
        <w:t>不高于液氢容器最低设计金属温度且不高于-253℃</w:t>
      </w:r>
      <w:r>
        <w:rPr>
          <w:rFonts w:hint="default" w:ascii="Times New Roman" w:hAnsi="Times New Roman" w:cs="Times New Roman"/>
          <w:szCs w:val="21"/>
          <w:highlight w:val="none"/>
        </w:rPr>
        <w:t>。</w:t>
      </w:r>
    </w:p>
    <w:p>
      <w:pPr>
        <w:spacing w:before="50" w:after="50"/>
        <w:rPr>
          <w:rFonts w:hint="default" w:ascii="Times New Roman" w:hAnsi="Times New Roman" w:cs="Times New Roman"/>
          <w:szCs w:val="21"/>
          <w:highlight w:val="none"/>
        </w:rPr>
      </w:pPr>
      <w:r>
        <w:rPr>
          <w:rFonts w:hint="default" w:ascii="Times New Roman" w:hAnsi="Times New Roman" w:cs="Times New Roman"/>
          <w:szCs w:val="21"/>
          <w:highlight w:val="none"/>
        </w:rPr>
        <w:t>（1）奥氏体稳定系数计算公式：</w:t>
      </w:r>
    </w:p>
    <w:p>
      <w:pPr>
        <w:spacing w:line="360" w:lineRule="auto"/>
        <w:jc w:val="right"/>
        <w:rPr>
          <w:rFonts w:hint="default" w:ascii="Times New Roman" w:hAnsi="Times New Roman" w:cs="Times New Roman"/>
          <w:szCs w:val="21"/>
          <w:highlight w:val="none"/>
        </w:rPr>
      </w:pPr>
      <w:r>
        <w:rPr>
          <w:rFonts w:hint="default" w:ascii="Times New Roman" w:hAnsi="Times New Roman" w:cs="Times New Roman"/>
          <w:szCs w:val="21"/>
          <w:highlight w:val="none"/>
        </w:rPr>
        <w:t>Δ=Ni+0.5Mn+35C-0.0833(Cr+1.5Mo-20)</w:t>
      </w:r>
      <w:r>
        <w:rPr>
          <w:rFonts w:hint="default" w:ascii="Times New Roman" w:hAnsi="Times New Roman" w:cs="Times New Roman"/>
          <w:szCs w:val="21"/>
          <w:highlight w:val="none"/>
          <w:vertAlign w:val="superscript"/>
        </w:rPr>
        <w:t>2</w:t>
      </w:r>
      <w:r>
        <w:rPr>
          <w:rFonts w:hint="default" w:ascii="Times New Roman" w:hAnsi="Times New Roman" w:cs="Times New Roman"/>
          <w:szCs w:val="21"/>
          <w:highlight w:val="none"/>
        </w:rPr>
        <w:t>-12   …………………… （1）</w:t>
      </w:r>
    </w:p>
    <w:p>
      <w:pPr>
        <w:spacing w:line="360" w:lineRule="auto"/>
        <w:jc w:val="left"/>
        <w:rPr>
          <w:rFonts w:hint="default" w:ascii="Times New Roman" w:hAnsi="Times New Roman" w:cs="Times New Roman"/>
          <w:szCs w:val="21"/>
          <w:highlight w:val="none"/>
        </w:rPr>
      </w:pPr>
      <w:r>
        <w:rPr>
          <w:rFonts w:hint="default" w:ascii="Times New Roman" w:hAnsi="Times New Roman" w:cs="Times New Roman"/>
          <w:szCs w:val="21"/>
          <w:highlight w:val="none"/>
        </w:rPr>
        <w:t>（2）低温下马氏体自发转变温度计算公式：</w:t>
      </w:r>
    </w:p>
    <w:p>
      <w:pPr>
        <w:spacing w:line="360" w:lineRule="auto"/>
        <w:jc w:val="right"/>
        <w:rPr>
          <w:rFonts w:hint="default" w:ascii="Times New Roman" w:hAnsi="Times New Roman" w:cs="Times New Roman"/>
          <w:szCs w:val="21"/>
          <w:highlight w:val="none"/>
        </w:rPr>
      </w:pPr>
      <w:r>
        <w:rPr>
          <w:rFonts w:hint="default" w:ascii="Times New Roman" w:hAnsi="Times New Roman" w:cs="Times New Roman"/>
          <w:szCs w:val="21"/>
          <w:highlight w:val="none"/>
        </w:rPr>
        <w:t>Ms(℃ )={75(14.6-Cr)+110(8.9-Ni)+60(1.33-Mn)+50(0.47-Si)+3000[0.068-(C+N)]-32}/1.8……… （2）</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制造方法</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冶炼方法</w:t>
      </w:r>
    </w:p>
    <w:p>
      <w:pPr>
        <w:spacing w:line="360" w:lineRule="exact"/>
        <w:ind w:firstLine="420" w:firstLineChars="200"/>
        <w:rPr>
          <w:rFonts w:hint="default" w:ascii="Times New Roman" w:hAnsi="Times New Roman" w:cs="Times New Roman"/>
          <w:highlight w:val="none"/>
        </w:rPr>
      </w:pPr>
      <w:r>
        <w:rPr>
          <w:rFonts w:hint="default" w:ascii="Times New Roman" w:hAnsi="Times New Roman" w:cs="Times New Roman"/>
          <w:highlight w:val="none"/>
        </w:rPr>
        <w:t>钢应采用电弧炉加炉外精炼或转炉加炉外精炼或电渣重熔法冶炼。经供需双方协商，并在合同中注</w:t>
      </w:r>
    </w:p>
    <w:p>
      <w:pPr>
        <w:spacing w:line="360" w:lineRule="exact"/>
        <w:jc w:val="left"/>
        <w:rPr>
          <w:rFonts w:hint="default" w:ascii="Times New Roman" w:hAnsi="Times New Roman" w:cs="Times New Roman"/>
          <w:highlight w:val="none"/>
        </w:rPr>
      </w:pPr>
      <w:r>
        <w:rPr>
          <w:rFonts w:hint="default" w:ascii="Times New Roman" w:hAnsi="Times New Roman" w:cs="Times New Roman"/>
          <w:highlight w:val="none"/>
        </w:rPr>
        <w:t>明，也可采用其他冶炼方法。</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管坯制造方法及要求</w:t>
      </w:r>
    </w:p>
    <w:p>
      <w:pPr>
        <w:spacing w:line="360" w:lineRule="exact"/>
        <w:ind w:firstLine="420" w:firstLineChars="200"/>
        <w:rPr>
          <w:rFonts w:hint="default" w:ascii="Times New Roman" w:hAnsi="Times New Roman" w:cs="Times New Roman"/>
          <w:highlight w:val="none"/>
          <w:lang w:val="zh-CN"/>
        </w:rPr>
      </w:pPr>
      <w:r>
        <w:rPr>
          <w:rFonts w:hint="default" w:ascii="Times New Roman" w:hAnsi="Times New Roman" w:cs="Times New Roman"/>
          <w:highlight w:val="none"/>
          <w:lang w:val="zh-CN"/>
        </w:rPr>
        <w:t>管坯应采用热轧（锻）方法制造，并符合T/SSEA 0150的规定，其加工变形总延伸系数应不小于3。</w:t>
      </w:r>
    </w:p>
    <w:p>
      <w:pPr>
        <w:pStyle w:val="22"/>
        <w:ind w:firstLine="400"/>
        <w:rPr>
          <w:rFonts w:hint="default" w:ascii="Times New Roman" w:hAnsi="Times New Roman" w:cs="Times New Roman"/>
          <w:highlight w:val="none"/>
          <w:lang w:val="zh-CN"/>
        </w:rPr>
      </w:pPr>
      <w:r>
        <w:rPr>
          <w:rFonts w:hint="default" w:ascii="Times New Roman" w:hAnsi="Times New Roman" w:cs="Times New Roman"/>
          <w:highlight w:val="none"/>
          <w:lang w:val="zh-CN"/>
        </w:rPr>
        <w:t>注:加工变形总延伸系数通常用变形前后的截面积比、长度比或高度比来表示。</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钢管制造方法</w:t>
      </w:r>
    </w:p>
    <w:p>
      <w:pPr>
        <w:spacing w:line="360" w:lineRule="exact"/>
        <w:ind w:firstLine="420" w:firstLineChars="200"/>
        <w:rPr>
          <w:rFonts w:hint="default" w:ascii="Times New Roman" w:hAnsi="Times New Roman" w:cs="Times New Roman"/>
          <w:highlight w:val="none"/>
        </w:rPr>
      </w:pPr>
      <w:r>
        <w:rPr>
          <w:rFonts w:hint="default" w:ascii="Times New Roman" w:hAnsi="Times New Roman" w:cs="Times New Roman"/>
          <w:highlight w:val="none"/>
        </w:rPr>
        <w:t>钢管应采用冷拔〈轧）无缝生产工艺制造 。</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交货状态</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钢管应经固溶热处理并酸洗后交货。经保护气氛热处理或整体磨（抛）光的钢管，也可不经酸洗光亮态交货。 钢管的推荐热处理制度见表</w:t>
      </w:r>
      <w:r>
        <w:rPr>
          <w:rFonts w:hint="default" w:ascii="Times New Roman" w:hAnsi="Times New Roman" w:eastAsia="宋体" w:cs="Times New Roman"/>
          <w:highlight w:val="none"/>
        </w:rPr>
        <w:t>4</w:t>
      </w:r>
      <w:r>
        <w:rPr>
          <w:rFonts w:hint="default" w:ascii="Times New Roman" w:hAnsi="Times New Roman" w:eastAsia="宋体" w:cs="Times New Roman"/>
          <w:highlight w:val="none"/>
          <w:lang w:val="zh-CN"/>
        </w:rPr>
        <w:t>。</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经供需双方协商，并在合同中注明，钢管可采用表</w:t>
      </w:r>
      <w:r>
        <w:rPr>
          <w:rFonts w:hint="default" w:ascii="Times New Roman" w:hAnsi="Times New Roman" w:eastAsia="宋体" w:cs="Times New Roman"/>
          <w:highlight w:val="none"/>
        </w:rPr>
        <w:t>4</w:t>
      </w:r>
      <w:r>
        <w:rPr>
          <w:rFonts w:hint="default" w:ascii="Times New Roman" w:hAnsi="Times New Roman" w:eastAsia="宋体" w:cs="Times New Roman"/>
          <w:highlight w:val="none"/>
          <w:lang w:val="zh-CN"/>
        </w:rPr>
        <w:t>规定以外的其他热处理制度。</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室温力学性能</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交货状态钢管的推荐热处理制度、室温力学性能及密度应符合表4的规定。</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 xml:space="preserve">壁厚不小于 1.7mm 钢管应进行布氏或洛氏硬度试验，其值应符合表 </w:t>
      </w:r>
      <w:r>
        <w:rPr>
          <w:rFonts w:hint="default" w:ascii="Times New Roman" w:hAnsi="Times New Roman" w:eastAsia="宋体" w:cs="Times New Roman"/>
          <w:highlight w:val="none"/>
        </w:rPr>
        <w:t>4</w:t>
      </w:r>
      <w:r>
        <w:rPr>
          <w:rFonts w:hint="default" w:ascii="Times New Roman" w:hAnsi="Times New Roman" w:eastAsia="宋体" w:cs="Times New Roman"/>
          <w:highlight w:val="none"/>
          <w:lang w:val="zh-CN"/>
        </w:rPr>
        <w:t xml:space="preserve"> 的规定。</w:t>
      </w:r>
    </w:p>
    <w:p>
      <w:pPr>
        <w:pStyle w:val="27"/>
        <w:numPr>
          <w:ilvl w:val="0"/>
          <w:numId w:val="7"/>
        </w:numPr>
        <w:spacing w:before="156" w:after="156"/>
        <w:rPr>
          <w:rFonts w:hint="default" w:ascii="Times New Roman" w:hAnsi="Times New Roman" w:cs="Times New Roman"/>
          <w:szCs w:val="22"/>
          <w:highlight w:val="none"/>
        </w:rPr>
      </w:pPr>
      <w:r>
        <w:rPr>
          <w:rFonts w:hint="default" w:ascii="Times New Roman" w:hAnsi="Times New Roman" w:cs="Times New Roman"/>
          <w:szCs w:val="22"/>
          <w:highlight w:val="none"/>
        </w:rPr>
        <w:t>钢管的推荐热处理制度、室温力学性能及密度</w:t>
      </w:r>
    </w:p>
    <w:tbl>
      <w:tblPr>
        <w:tblStyle w:val="10"/>
        <w:tblW w:w="4996" w:type="pct"/>
        <w:jc w:val="center"/>
        <w:tblLayout w:type="autofit"/>
        <w:tblCellMar>
          <w:top w:w="0" w:type="dxa"/>
          <w:left w:w="10" w:type="dxa"/>
          <w:bottom w:w="0" w:type="dxa"/>
          <w:right w:w="10" w:type="dxa"/>
        </w:tblCellMar>
      </w:tblPr>
      <w:tblGrid>
        <w:gridCol w:w="355"/>
        <w:gridCol w:w="906"/>
        <w:gridCol w:w="1481"/>
        <w:gridCol w:w="2105"/>
        <w:gridCol w:w="907"/>
        <w:gridCol w:w="907"/>
        <w:gridCol w:w="736"/>
        <w:gridCol w:w="986"/>
        <w:gridCol w:w="469"/>
        <w:gridCol w:w="515"/>
      </w:tblGrid>
      <w:tr>
        <w:tblPrEx>
          <w:tblCellMar>
            <w:top w:w="0" w:type="dxa"/>
            <w:left w:w="10" w:type="dxa"/>
            <w:bottom w:w="0" w:type="dxa"/>
            <w:right w:w="10" w:type="dxa"/>
          </w:tblCellMar>
        </w:tblPrEx>
        <w:trPr>
          <w:trHeight w:val="370" w:hRule="exact"/>
          <w:jc w:val="center"/>
        </w:trPr>
        <w:tc>
          <w:tcPr>
            <w:tcW w:w="196" w:type="pct"/>
            <w:vMerge w:val="restar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zh-TW"/>
              </w:rPr>
              <w:t>序</w:t>
            </w:r>
            <w:r>
              <w:rPr>
                <w:rFonts w:hint="default" w:ascii="Times New Roman" w:hAnsi="Times New Roman" w:cs="Times New Roman" w:eastAsiaTheme="minorEastAsia"/>
                <w:sz w:val="18"/>
                <w:szCs w:val="18"/>
                <w:highlight w:val="none"/>
                <w:lang w:val="zh-TW" w:eastAsia="zh-TW"/>
              </w:rPr>
              <w:t>号</w:t>
            </w:r>
          </w:p>
        </w:tc>
        <w:tc>
          <w:tcPr>
            <w:tcW w:w="490" w:type="pct"/>
            <w:vMerge w:val="restar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zh-TW" w:eastAsia="zh-TW"/>
              </w:rPr>
              <w:t>统一</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zh-TW" w:eastAsia="zh-TW"/>
              </w:rPr>
              <w:t>数字代号</w:t>
            </w:r>
          </w:p>
        </w:tc>
        <w:tc>
          <w:tcPr>
            <w:tcW w:w="736" w:type="pct"/>
            <w:vMerge w:val="restar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zh-TW" w:eastAsia="zh-TW"/>
              </w:rPr>
              <w:t>牌号</w:t>
            </w:r>
          </w:p>
        </w:tc>
        <w:tc>
          <w:tcPr>
            <w:tcW w:w="1130" w:type="pct"/>
            <w:vMerge w:val="restar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zh-TW" w:eastAsia="zh-TW"/>
              </w:rPr>
              <w:t>推荐固溶热处理制度</w:t>
            </w:r>
          </w:p>
        </w:tc>
        <w:tc>
          <w:tcPr>
            <w:tcW w:w="1379" w:type="pct"/>
            <w:gridSpan w:val="3"/>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zh-TW" w:eastAsia="zh-TW"/>
              </w:rPr>
              <w:t>拉伸</w:t>
            </w:r>
          </w:p>
        </w:tc>
        <w:tc>
          <w:tcPr>
            <w:tcW w:w="532" w:type="pct"/>
            <w:vMerge w:val="restart"/>
            <w:tcBorders>
              <w:top w:val="single" w:color="auto" w:sz="4" w:space="0"/>
              <w:left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zh-TW" w:eastAsia="zh-TW"/>
              </w:rPr>
              <w:t>密度</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ρ</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eastAsia="en-US"/>
              </w:rPr>
              <w:t>kg/dm</w:t>
            </w:r>
            <w:r>
              <w:rPr>
                <w:rFonts w:hint="default" w:ascii="Times New Roman" w:hAnsi="Times New Roman" w:cs="Times New Roman" w:eastAsiaTheme="minorEastAsia"/>
                <w:sz w:val="18"/>
                <w:szCs w:val="18"/>
                <w:highlight w:val="none"/>
                <w:vertAlign w:val="superscript"/>
                <w:lang w:eastAsia="en-US"/>
              </w:rPr>
              <w:t>3</w:t>
            </w:r>
          </w:p>
        </w:tc>
        <w:tc>
          <w:tcPr>
            <w:tcW w:w="535"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硬度</w:t>
            </w:r>
            <w:r>
              <w:rPr>
                <w:rFonts w:hint="default" w:ascii="Times New Roman" w:hAnsi="Times New Roman" w:cs="Times New Roman" w:eastAsiaTheme="minorEastAsia"/>
                <w:sz w:val="18"/>
                <w:szCs w:val="18"/>
                <w:highlight w:val="none"/>
                <w:vertAlign w:val="superscript"/>
              </w:rPr>
              <w:t>a</w:t>
            </w:r>
          </w:p>
        </w:tc>
      </w:tr>
      <w:tr>
        <w:tblPrEx>
          <w:tblCellMar>
            <w:top w:w="0" w:type="dxa"/>
            <w:left w:w="10" w:type="dxa"/>
            <w:bottom w:w="0" w:type="dxa"/>
            <w:right w:w="10" w:type="dxa"/>
          </w:tblCellMar>
        </w:tblPrEx>
        <w:trPr>
          <w:trHeight w:val="360" w:hRule="exact"/>
          <w:jc w:val="center"/>
        </w:trPr>
        <w:tc>
          <w:tcPr>
            <w:tcW w:w="196"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490"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736"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1130"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490" w:type="pct"/>
            <w:vMerge w:val="restar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zh-TW" w:eastAsia="zh-TW"/>
              </w:rPr>
              <w:t>抗拉强度</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eastAsia="en-US"/>
              </w:rPr>
              <w:t>R</w:t>
            </w:r>
            <w:r>
              <w:rPr>
                <w:rFonts w:hint="default" w:ascii="Times New Roman" w:hAnsi="Times New Roman" w:cs="Times New Roman" w:eastAsiaTheme="minorEastAsia"/>
                <w:sz w:val="18"/>
                <w:szCs w:val="18"/>
                <w:highlight w:val="none"/>
                <w:vertAlign w:val="subscript"/>
                <w:lang w:eastAsia="en-US"/>
              </w:rPr>
              <w:t>m</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eastAsia="en-US"/>
              </w:rPr>
              <w:t>MPa</w:t>
            </w:r>
          </w:p>
        </w:tc>
        <w:tc>
          <w:tcPr>
            <w:tcW w:w="490" w:type="pct"/>
            <w:vMerge w:val="restar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lang w:val="zh-TW" w:eastAsia="zh-TW"/>
              </w:rPr>
            </w:pPr>
            <w:r>
              <w:rPr>
                <w:rFonts w:hint="default" w:ascii="Times New Roman" w:hAnsi="Times New Roman" w:cs="Times New Roman" w:eastAsiaTheme="minorEastAsia"/>
                <w:sz w:val="18"/>
                <w:szCs w:val="18"/>
                <w:highlight w:val="none"/>
                <w:lang w:val="zh-TW" w:eastAsia="zh-TW"/>
              </w:rPr>
              <w:t>规定塑性</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zh-TW" w:eastAsia="zh-TW"/>
              </w:rPr>
              <w:t>延伸强度</w:t>
            </w:r>
          </w:p>
          <w:p>
            <w:pPr>
              <w:spacing w:line="260" w:lineRule="exact"/>
              <w:jc w:val="center"/>
              <w:rPr>
                <w:rFonts w:hint="default" w:ascii="Times New Roman" w:hAnsi="Times New Roman" w:cs="Times New Roman" w:eastAsiaTheme="minorEastAsia"/>
                <w:sz w:val="18"/>
                <w:szCs w:val="18"/>
                <w:highlight w:val="none"/>
                <w:vertAlign w:val="subscript"/>
              </w:rPr>
            </w:pPr>
            <w:r>
              <w:rPr>
                <w:rFonts w:hint="default" w:ascii="Times New Roman" w:hAnsi="Times New Roman" w:cs="Times New Roman" w:eastAsiaTheme="minorEastAsia"/>
                <w:sz w:val="18"/>
                <w:szCs w:val="18"/>
                <w:highlight w:val="none"/>
              </w:rPr>
              <w:t>R</w:t>
            </w:r>
            <w:r>
              <w:rPr>
                <w:rFonts w:hint="default" w:ascii="Times New Roman" w:hAnsi="Times New Roman" w:cs="Times New Roman" w:eastAsiaTheme="minorEastAsia"/>
                <w:sz w:val="18"/>
                <w:szCs w:val="18"/>
                <w:highlight w:val="none"/>
                <w:vertAlign w:val="subscript"/>
              </w:rPr>
              <w:t>p0.2</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eastAsia="en-US"/>
              </w:rPr>
              <w:t>MPa</w:t>
            </w:r>
          </w:p>
        </w:tc>
        <w:tc>
          <w:tcPr>
            <w:tcW w:w="399" w:type="pct"/>
            <w:vMerge w:val="restar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lang w:val="zh-TW" w:eastAsia="zh-TW"/>
              </w:rPr>
            </w:pPr>
            <w:r>
              <w:rPr>
                <w:rFonts w:hint="default" w:ascii="Times New Roman" w:hAnsi="Times New Roman" w:cs="Times New Roman" w:eastAsiaTheme="minorEastAsia"/>
                <w:sz w:val="18"/>
                <w:szCs w:val="18"/>
                <w:highlight w:val="none"/>
                <w:lang w:val="zh-TW" w:eastAsia="zh-TW"/>
              </w:rPr>
              <w:t>断后</w:t>
            </w:r>
          </w:p>
          <w:p>
            <w:pPr>
              <w:spacing w:line="260" w:lineRule="exact"/>
              <w:jc w:val="center"/>
              <w:rPr>
                <w:rFonts w:hint="default" w:ascii="Times New Roman" w:hAnsi="Times New Roman" w:cs="Times New Roman" w:eastAsiaTheme="minorEastAsia"/>
                <w:sz w:val="18"/>
                <w:szCs w:val="18"/>
                <w:highlight w:val="none"/>
                <w:lang w:val="zh-TW" w:eastAsia="zh-TW"/>
              </w:rPr>
            </w:pPr>
            <w:r>
              <w:rPr>
                <w:rFonts w:hint="default" w:ascii="Times New Roman" w:hAnsi="Times New Roman" w:cs="Times New Roman" w:eastAsiaTheme="minorEastAsia"/>
                <w:sz w:val="18"/>
                <w:szCs w:val="18"/>
                <w:highlight w:val="none"/>
                <w:lang w:val="zh-TW" w:eastAsia="zh-TW"/>
              </w:rPr>
              <w:t xml:space="preserve">伸长率 </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A</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zh-TW" w:eastAsia="zh-TW"/>
              </w:rPr>
              <w:t>%</w:t>
            </w:r>
          </w:p>
        </w:tc>
        <w:tc>
          <w:tcPr>
            <w:tcW w:w="532" w:type="pct"/>
            <w:vMerge w:val="continue"/>
            <w:tcBorders>
              <w:left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535"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r>
      <w:tr>
        <w:tblPrEx>
          <w:tblCellMar>
            <w:top w:w="0" w:type="dxa"/>
            <w:left w:w="10" w:type="dxa"/>
            <w:bottom w:w="0" w:type="dxa"/>
            <w:right w:w="10" w:type="dxa"/>
          </w:tblCellMar>
        </w:tblPrEx>
        <w:trPr>
          <w:trHeight w:val="902" w:hRule="exact"/>
          <w:jc w:val="center"/>
        </w:trPr>
        <w:tc>
          <w:tcPr>
            <w:tcW w:w="196"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490"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736"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1130"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490"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490"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399"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532" w:type="pct"/>
            <w:vMerge w:val="continue"/>
            <w:tcBorders>
              <w:left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25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HBW</w:t>
            </w:r>
          </w:p>
        </w:tc>
        <w:tc>
          <w:tcPr>
            <w:tcW w:w="27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HRC</w:t>
            </w:r>
          </w:p>
        </w:tc>
      </w:tr>
      <w:tr>
        <w:tblPrEx>
          <w:tblCellMar>
            <w:top w:w="0" w:type="dxa"/>
            <w:left w:w="10" w:type="dxa"/>
            <w:bottom w:w="0" w:type="dxa"/>
            <w:right w:w="10" w:type="dxa"/>
          </w:tblCellMar>
        </w:tblPrEx>
        <w:trPr>
          <w:trHeight w:val="360" w:hRule="exact"/>
          <w:jc w:val="center"/>
        </w:trPr>
        <w:tc>
          <w:tcPr>
            <w:tcW w:w="196"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490"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736"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1130" w:type="pct"/>
            <w:vMerge w:val="continue"/>
            <w:tcBorders>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1379" w:type="pct"/>
            <w:gridSpan w:val="3"/>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zh-TW" w:eastAsia="zh-TW"/>
              </w:rPr>
              <w:t>不小于</w:t>
            </w:r>
          </w:p>
        </w:tc>
        <w:tc>
          <w:tcPr>
            <w:tcW w:w="532" w:type="pct"/>
            <w:vMerge w:val="continue"/>
            <w:tcBorders>
              <w:left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p>
        </w:tc>
        <w:tc>
          <w:tcPr>
            <w:tcW w:w="53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不大于</w:t>
            </w:r>
          </w:p>
        </w:tc>
      </w:tr>
      <w:tr>
        <w:tblPrEx>
          <w:tblCellMar>
            <w:top w:w="0" w:type="dxa"/>
            <w:left w:w="10" w:type="dxa"/>
            <w:bottom w:w="0" w:type="dxa"/>
            <w:right w:w="10" w:type="dxa"/>
          </w:tblCellMar>
        </w:tblPrEx>
        <w:trPr>
          <w:trHeight w:val="600" w:hRule="exact"/>
          <w:jc w:val="center"/>
        </w:trPr>
        <w:tc>
          <w:tcPr>
            <w:tcW w:w="196" w:type="pc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w:t>
            </w:r>
          </w:p>
        </w:tc>
        <w:tc>
          <w:tcPr>
            <w:tcW w:w="490" w:type="pc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S31608</w:t>
            </w:r>
          </w:p>
        </w:tc>
        <w:tc>
          <w:tcPr>
            <w:tcW w:w="736" w:type="pc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06Cr17Ni12Mo2</w:t>
            </w:r>
          </w:p>
        </w:tc>
        <w:tc>
          <w:tcPr>
            <w:tcW w:w="1130" w:type="pct"/>
            <w:tcBorders>
              <w:top w:val="single" w:color="auto" w:sz="4" w:space="0"/>
              <w:left w:val="single" w:color="auto" w:sz="4" w:space="0"/>
            </w:tcBorders>
            <w:shd w:val="clear" w:color="auto" w:fill="FFFFFF"/>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1010℃~1150℃，</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水冷或其他方式快冷</w:t>
            </w:r>
          </w:p>
        </w:tc>
        <w:tc>
          <w:tcPr>
            <w:tcW w:w="490" w:type="pc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520</w:t>
            </w:r>
          </w:p>
        </w:tc>
        <w:tc>
          <w:tcPr>
            <w:tcW w:w="490" w:type="pc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205</w:t>
            </w:r>
          </w:p>
        </w:tc>
        <w:tc>
          <w:tcPr>
            <w:tcW w:w="399" w:type="pct"/>
            <w:tcBorders>
              <w:top w:val="single" w:color="auto" w:sz="4" w:space="0"/>
              <w:lef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35</w:t>
            </w:r>
          </w:p>
        </w:tc>
        <w:tc>
          <w:tcPr>
            <w:tcW w:w="532" w:type="pct"/>
            <w:tcBorders>
              <w:top w:val="single" w:color="auto" w:sz="4" w:space="0"/>
              <w:left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8.00</w:t>
            </w:r>
          </w:p>
        </w:tc>
        <w:tc>
          <w:tcPr>
            <w:tcW w:w="535" w:type="pct"/>
            <w:gridSpan w:val="2"/>
            <w:tcBorders>
              <w:top w:val="single" w:color="auto" w:sz="4" w:space="0"/>
              <w:left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187HBW</w:t>
            </w:r>
          </w:p>
        </w:tc>
      </w:tr>
      <w:tr>
        <w:tblPrEx>
          <w:tblCellMar>
            <w:top w:w="0" w:type="dxa"/>
            <w:left w:w="10" w:type="dxa"/>
            <w:bottom w:w="0" w:type="dxa"/>
            <w:right w:w="10" w:type="dxa"/>
          </w:tblCellMar>
        </w:tblPrEx>
        <w:trPr>
          <w:trHeight w:val="605" w:hRule="exact"/>
          <w:jc w:val="center"/>
        </w:trPr>
        <w:tc>
          <w:tcPr>
            <w:tcW w:w="196"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S31603</w:t>
            </w:r>
          </w:p>
        </w:tc>
        <w:tc>
          <w:tcPr>
            <w:tcW w:w="736"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022Cr17Ni12Mo2</w:t>
            </w:r>
          </w:p>
        </w:tc>
        <w:tc>
          <w:tcPr>
            <w:tcW w:w="1130" w:type="pct"/>
            <w:tcBorders>
              <w:top w:val="single" w:color="auto" w:sz="4" w:space="0"/>
              <w:left w:val="single" w:color="auto" w:sz="4" w:space="0"/>
              <w:bottom w:val="single" w:color="auto" w:sz="4" w:space="0"/>
            </w:tcBorders>
            <w:shd w:val="clear" w:color="auto" w:fill="FFFFFF"/>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1010℃~1150℃，</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水冷或其他方式快冷</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480</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175</w:t>
            </w:r>
          </w:p>
        </w:tc>
        <w:tc>
          <w:tcPr>
            <w:tcW w:w="399"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35</w:t>
            </w:r>
          </w:p>
        </w:tc>
        <w:tc>
          <w:tcPr>
            <w:tcW w:w="53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8.00</w:t>
            </w:r>
          </w:p>
        </w:tc>
        <w:tc>
          <w:tcPr>
            <w:tcW w:w="53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187HBW</w:t>
            </w:r>
          </w:p>
        </w:tc>
      </w:tr>
      <w:tr>
        <w:tblPrEx>
          <w:tblCellMar>
            <w:top w:w="0" w:type="dxa"/>
            <w:left w:w="10" w:type="dxa"/>
            <w:bottom w:w="0" w:type="dxa"/>
            <w:right w:w="10" w:type="dxa"/>
          </w:tblCellMar>
        </w:tblPrEx>
        <w:trPr>
          <w:trHeight w:val="605" w:hRule="exact"/>
          <w:jc w:val="center"/>
        </w:trPr>
        <w:tc>
          <w:tcPr>
            <w:tcW w:w="196"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S31653</w:t>
            </w:r>
            <w:r>
              <w:rPr>
                <w:rFonts w:hint="default" w:ascii="Times New Roman" w:hAnsi="Times New Roman" w:cs="Times New Roman"/>
                <w:sz w:val="18"/>
                <w:szCs w:val="18"/>
                <w:highlight w:val="none"/>
                <w:vertAlign w:val="superscript"/>
              </w:rPr>
              <w:t xml:space="preserve"> </w:t>
            </w:r>
          </w:p>
        </w:tc>
        <w:tc>
          <w:tcPr>
            <w:tcW w:w="736"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022Cr17Ni12Mo2N</w:t>
            </w:r>
          </w:p>
        </w:tc>
        <w:tc>
          <w:tcPr>
            <w:tcW w:w="1130" w:type="pct"/>
            <w:tcBorders>
              <w:top w:val="single" w:color="auto" w:sz="4" w:space="0"/>
              <w:left w:val="single" w:color="auto" w:sz="4" w:space="0"/>
              <w:bottom w:val="single" w:color="auto" w:sz="4" w:space="0"/>
            </w:tcBorders>
            <w:shd w:val="clear" w:color="auto" w:fill="FFFFFF"/>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1010℃~1150℃，</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水冷或其他方式快冷</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550</w:t>
            </w:r>
          </w:p>
        </w:tc>
        <w:tc>
          <w:tcPr>
            <w:tcW w:w="490"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245</w:t>
            </w:r>
          </w:p>
        </w:tc>
        <w:tc>
          <w:tcPr>
            <w:tcW w:w="399" w:type="pct"/>
            <w:tcBorders>
              <w:top w:val="single" w:color="auto" w:sz="4" w:space="0"/>
              <w:left w:val="single" w:color="auto" w:sz="4" w:space="0"/>
              <w:bottom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40</w:t>
            </w:r>
          </w:p>
        </w:tc>
        <w:tc>
          <w:tcPr>
            <w:tcW w:w="53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8.04</w:t>
            </w:r>
          </w:p>
        </w:tc>
        <w:tc>
          <w:tcPr>
            <w:tcW w:w="53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w:t>
            </w:r>
          </w:p>
        </w:tc>
      </w:tr>
      <w:tr>
        <w:tblPrEx>
          <w:tblCellMar>
            <w:top w:w="0" w:type="dxa"/>
            <w:left w:w="10" w:type="dxa"/>
            <w:bottom w:w="0" w:type="dxa"/>
            <w:right w:w="10" w:type="dxa"/>
          </w:tblCellMar>
        </w:tblPrEx>
        <w:trPr>
          <w:trHeight w:val="605" w:hRule="exac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firstLine="360" w:firstLineChars="200"/>
              <w:jc w:val="left"/>
              <w:rPr>
                <w:rFonts w:hint="default" w:ascii="Times New Roman" w:hAnsi="Times New Roman" w:cs="Times New Roman" w:eastAsiaTheme="minorEastAsia"/>
                <w:sz w:val="18"/>
                <w:szCs w:val="18"/>
                <w:highlight w:val="none"/>
              </w:rPr>
            </w:pPr>
            <w:r>
              <w:rPr>
                <w:rFonts w:hint="default" w:ascii="Times New Roman" w:hAnsi="Times New Roman" w:cs="Times New Roman"/>
                <w:sz w:val="18"/>
                <w:szCs w:val="18"/>
                <w:highlight w:val="none"/>
                <w:vertAlign w:val="superscript"/>
              </w:rPr>
              <w:t>a</w:t>
            </w:r>
            <w:r>
              <w:rPr>
                <w:rFonts w:hint="default" w:ascii="Times New Roman" w:hAnsi="Times New Roman" w:cs="Times New Roman"/>
                <w:sz w:val="18"/>
                <w:szCs w:val="18"/>
                <w:highlight w:val="none"/>
              </w:rPr>
              <w:t>表中未规定硬度的牌号，可按需方要求提供其硬度实测值，但不作为交货条</w:t>
            </w:r>
            <w:r>
              <w:rPr>
                <w:rFonts w:hint="default" w:ascii="Times New Roman" w:hAnsi="Times New Roman" w:cs="Times New Roman"/>
                <w:spacing w:val="-1"/>
                <w:sz w:val="18"/>
                <w:szCs w:val="18"/>
                <w:highlight w:val="none"/>
              </w:rPr>
              <w:t>件。</w:t>
            </w:r>
          </w:p>
        </w:tc>
      </w:tr>
    </w:tbl>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rPr>
        <w:t>低温冲击性能</w:t>
      </w:r>
    </w:p>
    <w:p>
      <w:pPr>
        <w:spacing w:line="360" w:lineRule="exact"/>
        <w:ind w:firstLine="420" w:firstLineChars="200"/>
        <w:rPr>
          <w:rFonts w:hint="default" w:ascii="Times New Roman" w:hAnsi="Times New Roman" w:cs="Times New Roman"/>
          <w:spacing w:val="4"/>
          <w:szCs w:val="21"/>
          <w:highlight w:val="none"/>
        </w:rPr>
      </w:pPr>
      <w:r>
        <w:rPr>
          <w:rFonts w:hint="default" w:ascii="Times New Roman" w:hAnsi="Times New Roman" w:cs="Times New Roman"/>
          <w:szCs w:val="21"/>
          <w:highlight w:val="none"/>
        </w:rPr>
        <w:t>钢管应进行低温冲击试验，冲击吸收能量和侧膨胀值应符合表5的规定。</w:t>
      </w:r>
    </w:p>
    <w:p>
      <w:pPr>
        <w:pStyle w:val="27"/>
        <w:numPr>
          <w:ilvl w:val="0"/>
          <w:numId w:val="7"/>
        </w:numPr>
        <w:spacing w:before="156" w:after="156"/>
        <w:rPr>
          <w:rFonts w:hint="default" w:ascii="Times New Roman" w:hAnsi="Times New Roman" w:cs="Times New Roman"/>
          <w:szCs w:val="22"/>
          <w:highlight w:val="none"/>
        </w:rPr>
      </w:pPr>
      <w:r>
        <w:rPr>
          <w:rFonts w:hint="default" w:ascii="Times New Roman" w:hAnsi="Times New Roman" w:cs="Times New Roman"/>
          <w:szCs w:val="22"/>
          <w:highlight w:val="none"/>
        </w:rPr>
        <w:t>钢管的低温冲击性能</w:t>
      </w:r>
    </w:p>
    <w:tbl>
      <w:tblPr>
        <w:tblStyle w:val="10"/>
        <w:tblpPr w:leftFromText="180" w:rightFromText="180" w:vertAnchor="text" w:horzAnchor="margin" w:tblpXSpec="center" w:tblpY="5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3"/>
        <w:gridCol w:w="1423"/>
        <w:gridCol w:w="2067"/>
        <w:gridCol w:w="1876"/>
        <w:gridCol w:w="2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数量</w:t>
            </w:r>
          </w:p>
        </w:tc>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试验温度/℃</w:t>
            </w:r>
          </w:p>
        </w:tc>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冲击吸收能量</w:t>
            </w:r>
            <w:r>
              <w:rPr>
                <w:rFonts w:hint="default" w:ascii="Times New Roman" w:hAnsi="Times New Roman" w:cs="Times New Roman" w:eastAsiaTheme="minorEastAsia"/>
                <w:i/>
                <w:sz w:val="18"/>
                <w:szCs w:val="18"/>
                <w:highlight w:val="none"/>
              </w:rPr>
              <w:t>KV2/</w:t>
            </w:r>
            <w:r>
              <w:rPr>
                <w:rFonts w:hint="default" w:ascii="Times New Roman" w:hAnsi="Times New Roman" w:cs="Times New Roman" w:eastAsiaTheme="minorEastAsia"/>
                <w:sz w:val="18"/>
                <w:szCs w:val="18"/>
                <w:highlight w:val="none"/>
              </w:rPr>
              <w:t>J</w:t>
            </w:r>
          </w:p>
        </w:tc>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侧膨胀值</w:t>
            </w:r>
            <w:r>
              <w:rPr>
                <w:rFonts w:hint="default" w:ascii="Times New Roman" w:hAnsi="Times New Roman" w:cs="Times New Roman" w:eastAsiaTheme="minorEastAsia"/>
                <w:i/>
                <w:sz w:val="18"/>
                <w:szCs w:val="18"/>
                <w:highlight w:val="none"/>
              </w:rPr>
              <w:t>LE</w:t>
            </w:r>
            <w:r>
              <w:rPr>
                <w:rFonts w:hint="default" w:ascii="Times New Roman" w:hAnsi="Times New Roman" w:cs="Times New Roman" w:eastAsiaTheme="minorEastAsia"/>
                <w:sz w:val="18"/>
                <w:szCs w:val="18"/>
                <w:highlight w:val="none"/>
              </w:rPr>
              <w:t>/mm</w:t>
            </w:r>
          </w:p>
        </w:tc>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1组（3个）</w:t>
            </w:r>
          </w:p>
        </w:tc>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-269</w:t>
            </w:r>
          </w:p>
        </w:tc>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w:t>
            </w:r>
          </w:p>
        </w:tc>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≥0.53</w:t>
            </w:r>
          </w:p>
        </w:tc>
        <w:tc>
          <w:tcPr>
            <w:tcW w:w="0" w:type="auto"/>
            <w:vMerge w:val="restar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标准试样：</w:t>
            </w:r>
          </w:p>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 xml:space="preserve">10mm×10mm×55mm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1组（3个）</w:t>
            </w:r>
          </w:p>
        </w:tc>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-196</w:t>
            </w:r>
          </w:p>
        </w:tc>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≥100</w:t>
            </w:r>
          </w:p>
        </w:tc>
        <w:tc>
          <w:tcPr>
            <w:tcW w:w="0" w:type="auto"/>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≥0.76</w:t>
            </w:r>
          </w:p>
        </w:tc>
        <w:tc>
          <w:tcPr>
            <w:tcW w:w="0" w:type="auto"/>
            <w:vMerge w:val="continue"/>
            <w:vAlign w:val="center"/>
          </w:tcPr>
          <w:p>
            <w:pPr>
              <w:spacing w:line="260" w:lineRule="exact"/>
              <w:jc w:val="center"/>
              <w:rPr>
                <w:rFonts w:hint="default" w:ascii="Times New Roman" w:hAnsi="Times New Roman" w:cs="Times New Roman" w:eastAsia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0" w:type="auto"/>
            <w:gridSpan w:val="5"/>
            <w:vAlign w:val="center"/>
          </w:tcPr>
          <w:p>
            <w:pPr>
              <w:spacing w:line="260" w:lineRule="exact"/>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注1:3个试样的冲击吸收能量平均值需满足规定值，至多允许有一个试样的冲击吸收能量低于规定值，但不得低于规定值的70%。</w:t>
            </w:r>
          </w:p>
          <w:p>
            <w:pPr>
              <w:spacing w:line="260" w:lineRule="exact"/>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注2:当钢管尺寸无法制备标准试样时，则应依次制备宽度为7.5 mm、5 mm的小尺寸冲击试样，其冲击吸收能量指标分别为标准试样冲击能量指标的75%、50%。侧膨胀值与标准试样侧膨胀值的指标相同。</w:t>
            </w:r>
          </w:p>
          <w:p>
            <w:pPr>
              <w:spacing w:line="260" w:lineRule="exact"/>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注3:当无法制备5 mm×10 mm×55 mm小尺寸冲击试样时，免做冲击试验。</w:t>
            </w:r>
          </w:p>
          <w:p>
            <w:pPr>
              <w:spacing w:line="260" w:lineRule="exact"/>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注4:批量生产时材料的低温冲击试验温度应取-196℃，如经供需双方协商，低温冲击试验温度可取-269℃。</w:t>
            </w:r>
          </w:p>
        </w:tc>
      </w:tr>
    </w:tbl>
    <w:p>
      <w:pPr>
        <w:pStyle w:val="22"/>
        <w:rPr>
          <w:rFonts w:hint="default" w:ascii="Times New Roman" w:hAnsi="Times New Roman" w:cs="Times New Roman"/>
          <w:kern w:val="2"/>
          <w:sz w:val="21"/>
          <w:szCs w:val="21"/>
          <w:highlight w:val="none"/>
        </w:rPr>
      </w:pPr>
    </w:p>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lang w:val="zh-CN"/>
        </w:rPr>
        <w:t>液压试验</w:t>
      </w:r>
    </w:p>
    <w:p>
      <w:pPr>
        <w:pStyle w:val="29"/>
        <w:tabs>
          <w:tab w:val="left" w:pos="0"/>
        </w:tabs>
        <w:spacing w:before="156" w:after="156"/>
        <w:ind w:left="0" w:firstLine="420" w:firstLineChars="20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钢管应</w:t>
      </w:r>
      <w:r>
        <w:rPr>
          <w:rFonts w:hint="default" w:ascii="Times New Roman" w:hAnsi="Times New Roman" w:eastAsia="宋体" w:cs="Times New Roman"/>
          <w:highlight w:val="none"/>
        </w:rPr>
        <w:t>逐根</w:t>
      </w:r>
      <w:r>
        <w:rPr>
          <w:rFonts w:hint="default" w:ascii="Times New Roman" w:hAnsi="Times New Roman" w:eastAsia="宋体" w:cs="Times New Roman"/>
          <w:highlight w:val="none"/>
          <w:lang w:val="zh-CN"/>
        </w:rPr>
        <w:t>进行液压试验，液压试验压力按式（2）计算，最大试验压力为</w:t>
      </w:r>
      <w:r>
        <w:rPr>
          <w:rFonts w:hint="default" w:ascii="Times New Roman" w:hAnsi="Times New Roman" w:eastAsia="宋体" w:cs="Times New Roman"/>
          <w:highlight w:val="none"/>
        </w:rPr>
        <w:t>20 MPa。</w:t>
      </w:r>
      <w:r>
        <w:rPr>
          <w:rFonts w:hint="default" w:ascii="Times New Roman" w:hAnsi="Times New Roman" w:eastAsia="宋体" w:cs="Times New Roman"/>
          <w:highlight w:val="none"/>
          <w:lang w:val="zh-CN"/>
        </w:rPr>
        <w:t>在试验压力下，稳压时间应不少于</w:t>
      </w:r>
      <w:r>
        <w:rPr>
          <w:rFonts w:hint="default" w:ascii="Times New Roman" w:hAnsi="Times New Roman" w:eastAsia="宋体" w:cs="Times New Roman"/>
          <w:highlight w:val="none"/>
        </w:rPr>
        <w:t>l0s,</w:t>
      </w:r>
      <w:r>
        <w:rPr>
          <w:rFonts w:hint="default" w:ascii="Times New Roman" w:hAnsi="Times New Roman" w:eastAsia="宋体" w:cs="Times New Roman"/>
          <w:highlight w:val="none"/>
          <w:lang w:val="zh-CN"/>
        </w:rPr>
        <w:t>钢管不应岀现渗漏现象。</w:t>
      </w:r>
    </w:p>
    <w:p>
      <w:pPr>
        <w:pStyle w:val="47"/>
        <w:shd w:val="clear" w:color="auto" w:fill="auto"/>
        <w:tabs>
          <w:tab w:val="left" w:pos="2606"/>
          <w:tab w:val="left" w:leader="dot" w:pos="4661"/>
        </w:tabs>
        <w:spacing w:after="0" w:line="326" w:lineRule="exact"/>
        <w:jc w:val="right"/>
        <w:rPr>
          <w:rFonts w:hint="default" w:ascii="Times New Roman" w:hAnsi="Times New Roman" w:cs="Times New Roman"/>
          <w:sz w:val="34"/>
          <w:szCs w:val="34"/>
          <w:highlight w:val="none"/>
        </w:rPr>
      </w:pPr>
      <w:r>
        <w:rPr>
          <w:rFonts w:hint="default" w:ascii="Times New Roman" w:hAnsi="Times New Roman" w:eastAsia="Times New Roman" w:cs="Times New Roman"/>
          <w:i/>
          <w:iCs/>
          <w:color w:val="000000"/>
          <w:spacing w:val="0"/>
          <w:sz w:val="20"/>
          <w:szCs w:val="20"/>
          <w:highlight w:val="none"/>
          <w:lang w:bidi="en-US"/>
        </w:rPr>
        <w:t>p =2SR/D</w:t>
      </w:r>
      <w:r>
        <w:rPr>
          <w:rFonts w:hint="default" w:ascii="Times New Roman" w:hAnsi="Times New Roman" w:eastAsia="宋体" w:cs="Times New Roman"/>
          <w:color w:val="000000"/>
          <w:spacing w:val="0"/>
          <w:sz w:val="34"/>
          <w:szCs w:val="34"/>
          <w:highlight w:val="none"/>
          <w:lang w:bidi="en-US"/>
        </w:rPr>
        <w:tab/>
      </w:r>
      <w:r>
        <w:rPr>
          <w:rFonts w:hint="default" w:ascii="Times New Roman" w:hAnsi="Times New Roman" w:eastAsia="宋体" w:cs="Times New Roman"/>
          <w:color w:val="000000"/>
          <w:spacing w:val="0"/>
          <w:sz w:val="34"/>
          <w:szCs w:val="34"/>
          <w:highlight w:val="none"/>
          <w:lang w:bidi="en-US"/>
        </w:rPr>
        <w:tab/>
      </w:r>
      <w:r>
        <w:rPr>
          <w:rFonts w:hint="default" w:ascii="Times New Roman" w:hAnsi="Times New Roman" w:cs="Times New Roman"/>
          <w:color w:val="000000"/>
          <w:spacing w:val="0"/>
          <w:highlight w:val="none"/>
          <w:lang w:val="zh-TW" w:eastAsia="zh-TW" w:bidi="zh-TW"/>
        </w:rPr>
        <w:t xml:space="preserve">( </w:t>
      </w:r>
      <w:r>
        <w:rPr>
          <w:rFonts w:hint="default" w:ascii="Times New Roman" w:hAnsi="Times New Roman" w:eastAsia="宋体" w:cs="Times New Roman"/>
          <w:color w:val="000000"/>
          <w:spacing w:val="0"/>
          <w:sz w:val="20"/>
          <w:szCs w:val="20"/>
          <w:highlight w:val="none"/>
          <w:lang w:bidi="zh-TW"/>
        </w:rPr>
        <w:t>2</w:t>
      </w:r>
      <w:r>
        <w:rPr>
          <w:rFonts w:hint="default" w:ascii="Times New Roman" w:hAnsi="Times New Roman" w:eastAsia="Times New Roman" w:cs="Times New Roman"/>
          <w:color w:val="000000"/>
          <w:spacing w:val="0"/>
          <w:sz w:val="20"/>
          <w:szCs w:val="20"/>
          <w:highlight w:val="none"/>
          <w:lang w:val="zh-TW" w:eastAsia="zh-TW" w:bidi="zh-TW"/>
        </w:rPr>
        <w:t xml:space="preserve"> </w:t>
      </w:r>
      <w:r>
        <w:rPr>
          <w:rFonts w:hint="default" w:ascii="Times New Roman" w:hAnsi="Times New Roman" w:cs="Times New Roman"/>
          <w:color w:val="000000"/>
          <w:spacing w:val="0"/>
          <w:highlight w:val="none"/>
          <w:lang w:val="zh-TW" w:eastAsia="zh-TW" w:bidi="zh-TW"/>
        </w:rPr>
        <w:t>)</w:t>
      </w:r>
    </w:p>
    <w:p>
      <w:pPr>
        <w:pStyle w:val="41"/>
        <w:spacing w:line="322" w:lineRule="exact"/>
        <w:ind w:firstLine="380"/>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式中：</w:t>
      </w:r>
    </w:p>
    <w:p>
      <w:pPr>
        <w:pStyle w:val="41"/>
        <w:spacing w:line="322" w:lineRule="exact"/>
        <w:ind w:left="1037" w:leftChars="190" w:hanging="638" w:hangingChars="319"/>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p ——试验压力，单位为兆帕（MPa），当p&lt;7 MPa时，修约到最接近的0.5 MPa，当p≥7 MPa时，修约到最接近的l MPa；</w:t>
      </w:r>
    </w:p>
    <w:p>
      <w:pPr>
        <w:pStyle w:val="41"/>
        <w:spacing w:line="322" w:lineRule="exact"/>
        <w:ind w:firstLine="380"/>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S ——钢管的</w:t>
      </w:r>
      <w:r>
        <w:rPr>
          <w:rFonts w:hint="default" w:ascii="Times New Roman" w:hAnsi="Times New Roman" w:cs="Times New Roman"/>
          <w:spacing w:val="10"/>
          <w:sz w:val="20"/>
          <w:szCs w:val="20"/>
          <w:highlight w:val="none"/>
        </w:rPr>
        <w:t>公称壁厚</w:t>
      </w:r>
      <w:r>
        <w:rPr>
          <w:rFonts w:hint="default" w:ascii="Times New Roman" w:hAnsi="Times New Roman" w:cs="Times New Roman"/>
          <w:color w:val="000000"/>
          <w:sz w:val="20"/>
          <w:szCs w:val="20"/>
          <w:highlight w:val="none"/>
          <w:lang w:val="en-US" w:eastAsia="zh-CN" w:bidi="en-US"/>
        </w:rPr>
        <w:t>，单位为毫米（mm）；</w:t>
      </w:r>
    </w:p>
    <w:p>
      <w:pPr>
        <w:pStyle w:val="41"/>
        <w:spacing w:line="322" w:lineRule="exact"/>
        <w:ind w:firstLine="380"/>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R ——允许应力，按表4规定</w:t>
      </w:r>
      <w:r>
        <w:rPr>
          <w:rFonts w:hint="default" w:ascii="Times New Roman" w:hAnsi="Times New Roman" w:cs="Times New Roman"/>
          <w:spacing w:val="7"/>
          <w:sz w:val="20"/>
          <w:szCs w:val="20"/>
          <w:highlight w:val="none"/>
        </w:rPr>
        <w:t>最小</w:t>
      </w:r>
      <w:r>
        <w:rPr>
          <w:rFonts w:hint="default" w:ascii="Times New Roman" w:hAnsi="Times New Roman" w:cs="Times New Roman"/>
          <w:i/>
          <w:spacing w:val="-41"/>
          <w:sz w:val="20"/>
          <w:szCs w:val="20"/>
          <w:highlight w:val="none"/>
        </w:rPr>
        <w:t xml:space="preserve"> </w:t>
      </w:r>
      <w:r>
        <w:rPr>
          <w:rFonts w:hint="default" w:ascii="Times New Roman" w:hAnsi="Times New Roman" w:cs="Times New Roman"/>
          <w:i/>
          <w:sz w:val="20"/>
          <w:szCs w:val="20"/>
          <w:highlight w:val="none"/>
        </w:rPr>
        <w:t>R</w:t>
      </w:r>
      <w:r>
        <w:rPr>
          <w:rFonts w:hint="default" w:ascii="Times New Roman" w:hAnsi="Times New Roman" w:cs="Times New Roman"/>
          <w:i/>
          <w:position w:val="-2"/>
          <w:sz w:val="10"/>
          <w:szCs w:val="10"/>
          <w:highlight w:val="none"/>
        </w:rPr>
        <w:t>p</w:t>
      </w:r>
      <w:r>
        <w:rPr>
          <w:rFonts w:hint="default" w:ascii="Times New Roman" w:hAnsi="Times New Roman" w:cs="Times New Roman"/>
          <w:i/>
          <w:spacing w:val="7"/>
          <w:position w:val="-2"/>
          <w:sz w:val="10"/>
          <w:szCs w:val="10"/>
          <w:highlight w:val="none"/>
        </w:rPr>
        <w:t>0.2</w:t>
      </w:r>
      <w:r>
        <w:rPr>
          <w:rFonts w:hint="default" w:ascii="Times New Roman" w:hAnsi="Times New Roman" w:cs="Times New Roman"/>
          <w:spacing w:val="-15"/>
          <w:position w:val="-2"/>
          <w:sz w:val="10"/>
          <w:szCs w:val="10"/>
          <w:highlight w:val="none"/>
        </w:rPr>
        <w:t xml:space="preserve"> </w:t>
      </w:r>
      <w:r>
        <w:rPr>
          <w:rFonts w:hint="default" w:ascii="Times New Roman" w:hAnsi="Times New Roman" w:cs="Times New Roman"/>
          <w:spacing w:val="7"/>
          <w:sz w:val="20"/>
          <w:szCs w:val="20"/>
          <w:highlight w:val="none"/>
        </w:rPr>
        <w:t>值</w:t>
      </w:r>
      <w:r>
        <w:rPr>
          <w:rFonts w:hint="default" w:ascii="Times New Roman" w:hAnsi="Times New Roman" w:cs="Times New Roman"/>
          <w:color w:val="000000"/>
          <w:sz w:val="20"/>
          <w:szCs w:val="20"/>
          <w:highlight w:val="none"/>
          <w:lang w:val="en-US" w:eastAsia="zh-CN" w:bidi="en-US"/>
        </w:rPr>
        <w:t>的70%，单位为兆帕（MPa）；</w:t>
      </w:r>
    </w:p>
    <w:p>
      <w:pPr>
        <w:pStyle w:val="41"/>
        <w:spacing w:line="322" w:lineRule="exact"/>
        <w:ind w:firstLine="380"/>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D ——钢管的公称外径，单位为毫米（mm）。</w:t>
      </w:r>
    </w:p>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lang w:val="zh-TW" w:eastAsia="zh-TW"/>
        </w:rPr>
        <w:t>压扁</w:t>
      </w:r>
      <w:r>
        <w:rPr>
          <w:rFonts w:hint="default" w:ascii="Times New Roman" w:hAnsi="Times New Roman" w:cs="Times New Roman"/>
          <w:highlight w:val="none"/>
          <w:lang w:val="zh-TW"/>
        </w:rPr>
        <w:t>试验</w:t>
      </w:r>
    </w:p>
    <w:p>
      <w:pPr>
        <w:pStyle w:val="29"/>
        <w:numPr>
          <w:ilvl w:val="3"/>
          <w:numId w:val="0"/>
        </w:numPr>
        <w:tabs>
          <w:tab w:val="left" w:pos="0"/>
        </w:tabs>
        <w:spacing w:before="156" w:after="156"/>
        <w:ind w:firstLine="420" w:firstLineChars="20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钢管应进行压扁试验。压扁按以下两步进行。</w:t>
      </w:r>
    </w:p>
    <w:p>
      <w:pPr>
        <w:pStyle w:val="41"/>
        <w:numPr>
          <w:ilvl w:val="0"/>
          <w:numId w:val="10"/>
        </w:numPr>
        <w:spacing w:line="322" w:lineRule="exact"/>
        <w:jc w:val="left"/>
        <w:rPr>
          <w:rFonts w:hint="default" w:ascii="Times New Roman" w:hAnsi="Times New Roman" w:cs="Times New Roman"/>
          <w:color w:val="000000"/>
          <w:sz w:val="21"/>
          <w:szCs w:val="21"/>
          <w:highlight w:val="none"/>
          <w:lang w:val="en-US" w:eastAsia="zh-CN" w:bidi="en-US"/>
        </w:rPr>
      </w:pPr>
      <w:r>
        <w:rPr>
          <w:rFonts w:hint="default" w:ascii="Times New Roman" w:hAnsi="Times New Roman" w:cs="Times New Roman"/>
          <w:color w:val="000000"/>
          <w:sz w:val="21"/>
          <w:szCs w:val="21"/>
          <w:highlight w:val="none"/>
          <w:lang w:val="en-US" w:eastAsia="zh-CN" w:bidi="en-US"/>
        </w:rPr>
        <w:t>第一步是延性试验，试样压至两平板间距离H,不应岀现裂缝或裂口，H按式（3）计算。</w:t>
      </w:r>
    </w:p>
    <w:p>
      <w:pPr>
        <w:pStyle w:val="41"/>
        <w:spacing w:line="322" w:lineRule="exact"/>
        <w:ind w:left="1037" w:leftChars="190" w:hanging="638" w:hangingChars="319"/>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en-US" w:bidi="en-US"/>
        </w:rPr>
        <w:pict>
          <v:shape id="Shape 57" o:spid="_x0000_s1035" o:spt="202" type="#_x0000_t202" style="position:absolute;left:0pt;margin-left:278.25pt;margin-top:5pt;height:33.15pt;width:46.3pt;mso-position-horizontal-relative:page;z-index:251662336;mso-width-relative:page;mso-height-relative:page;" filled="f" stroked="f" coordsize="21600,21600" o:gfxdata="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g50lbNcAAAAIAQAADwAAAAAAAAABACAAAAAiAAAAZHJzL2Rvd25yZXYueG1s&#10;UEsBAhQAFAAAAAgAh07iQFBA8IWHAQAAFwMAAA4AAAAAAAAAAQAgAAAAJgEAAGRycy9lMm9Eb2Mu&#10;eG1sUEsFBgAAAAAGAAYAWQEAAB8FAAAAAA==&#10;">
            <v:path/>
            <v:fill on="f" focussize="0,0"/>
            <v:stroke on="f" joinstyle="miter"/>
            <v:imagedata o:title=""/>
            <o:lock v:ext="edit"/>
            <v:textbox inset="0mm,0mm,0mm,0mm">
              <w:txbxContent>
                <w:p>
                  <w:pPr>
                    <w:pStyle w:val="47"/>
                    <w:shd w:val="clear" w:color="auto" w:fill="auto"/>
                    <w:spacing w:after="0" w:line="271" w:lineRule="auto"/>
                    <w:ind w:firstLine="200" w:firstLineChars="100"/>
                    <w:jc w:val="left"/>
                    <w:rPr>
                      <w:rFonts w:ascii="Times New Roman" w:hAnsi="Times New Roman" w:eastAsia="Times New Roman"/>
                      <w:i/>
                      <w:iCs/>
                      <w:color w:val="000000"/>
                      <w:spacing w:val="0"/>
                      <w:sz w:val="20"/>
                      <w:szCs w:val="20"/>
                      <w:u w:val="single"/>
                      <w:lang w:eastAsia="en-US" w:bidi="en-US"/>
                    </w:rPr>
                  </w:pPr>
                  <w:r>
                    <w:rPr>
                      <w:rFonts w:ascii="Times New Roman" w:hAnsi="Times New Roman" w:eastAsia="Times New Roman"/>
                      <w:color w:val="000000"/>
                      <w:spacing w:val="0"/>
                      <w:sz w:val="20"/>
                      <w:szCs w:val="20"/>
                      <w:u w:val="single"/>
                      <w:lang w:eastAsia="en-US" w:bidi="en-US"/>
                    </w:rPr>
                    <w:t>(l+</w:t>
                  </w:r>
                  <w:r>
                    <w:rPr>
                      <w:rFonts w:ascii="Times New Roman" w:hAnsi="Times New Roman" w:eastAsia="Times New Roman"/>
                      <w:i/>
                      <w:iCs/>
                      <w:color w:val="000000"/>
                      <w:spacing w:val="0"/>
                      <w:sz w:val="20"/>
                      <w:szCs w:val="20"/>
                      <w:u w:val="single"/>
                      <w:lang w:eastAsia="en-US" w:bidi="en-US"/>
                    </w:rPr>
                    <w:t>a</w:t>
                  </w:r>
                  <w:r>
                    <w:rPr>
                      <w:rFonts w:ascii="Times New Roman" w:hAnsi="Times New Roman" w:eastAsia="Times New Roman"/>
                      <w:color w:val="000000"/>
                      <w:spacing w:val="0"/>
                      <w:sz w:val="20"/>
                      <w:szCs w:val="20"/>
                      <w:u w:val="single"/>
                      <w:lang w:eastAsia="en-US" w:bidi="en-US"/>
                    </w:rPr>
                    <w:t>)</w:t>
                  </w:r>
                  <w:r>
                    <w:rPr>
                      <w:rFonts w:hint="eastAsia" w:ascii="Times New Roman" w:hAnsi="Times New Roman" w:eastAsia="Times New Roman"/>
                      <w:color w:val="000000"/>
                      <w:spacing w:val="0"/>
                      <w:sz w:val="20"/>
                      <w:szCs w:val="20"/>
                      <w:u w:val="single"/>
                      <w:lang w:eastAsia="en-US" w:bidi="en-US"/>
                    </w:rPr>
                    <w:t xml:space="preserve"> </w:t>
                  </w:r>
                  <w:r>
                    <w:rPr>
                      <w:rFonts w:ascii="Times New Roman" w:hAnsi="Times New Roman" w:eastAsia="Times New Roman"/>
                      <w:i/>
                      <w:iCs/>
                      <w:color w:val="000000"/>
                      <w:spacing w:val="0"/>
                      <w:sz w:val="20"/>
                      <w:szCs w:val="20"/>
                      <w:u w:val="single"/>
                      <w:lang w:eastAsia="en-US" w:bidi="en-US"/>
                    </w:rPr>
                    <w:t>S</w:t>
                  </w:r>
                </w:p>
                <w:p>
                  <w:pPr>
                    <w:pStyle w:val="47"/>
                    <w:shd w:val="clear" w:color="auto" w:fill="auto"/>
                    <w:spacing w:after="0" w:line="271" w:lineRule="auto"/>
                    <w:ind w:firstLine="200" w:firstLineChars="100"/>
                    <w:jc w:val="left"/>
                    <w:rPr>
                      <w:sz w:val="20"/>
                      <w:szCs w:val="20"/>
                    </w:rPr>
                  </w:pPr>
                  <w:r>
                    <w:rPr>
                      <w:rFonts w:ascii="Times New Roman" w:hAnsi="Times New Roman" w:eastAsia="Times New Roman"/>
                      <w:i/>
                      <w:iCs/>
                      <w:color w:val="000000"/>
                      <w:spacing w:val="0"/>
                      <w:sz w:val="20"/>
                      <w:szCs w:val="20"/>
                      <w:lang w:eastAsia="en-US" w:bidi="en-US"/>
                    </w:rPr>
                    <w:t>a + S/D</w:t>
                  </w:r>
                </w:p>
              </w:txbxContent>
            </v:textbox>
          </v:shape>
        </w:pict>
      </w:r>
      <w:r>
        <w:rPr>
          <w:rFonts w:hint="default" w:ascii="Times New Roman" w:hAnsi="Times New Roman" w:eastAsia="Times New Roman" w:cs="Times New Roman"/>
          <w:i/>
          <w:iCs/>
          <w:color w:val="000000"/>
          <w:position w:val="-28"/>
          <w:sz w:val="20"/>
          <w:szCs w:val="20"/>
          <w:highlight w:val="none"/>
          <w:lang w:val="en-US" w:eastAsia="en-US" w:bidi="en-US"/>
        </w:rPr>
        <w:pict>
          <v:shape id="_x0000_s1036" o:spid="_x0000_s1036" o:spt="75" type="#_x0000_t75" style="position:absolute;left:0pt;margin-left:188.15pt;margin-top:13.5pt;height:34pt;width:24pt;z-index:251663360;mso-width-relative:page;mso-height-relative:page;" o:ole="t" filled="f" o:preferrelative="t" stroked="f" coordsize="21600,21600">
            <v:path/>
            <v:fill on="f" focussize="0,0"/>
            <v:stroke on="f" joinstyle="miter"/>
            <v:imagedata r:id="rId19" o:title=""/>
            <o:lock v:ext="edit" aspectratio="t"/>
          </v:shape>
          <o:OLEObject Type="Embed" ProgID="Equation.3" ShapeID="_x0000_s1036" DrawAspect="Content" ObjectID="_1468075726" r:id="rId18">
            <o:LockedField>false</o:LockedField>
          </o:OLEObject>
        </w:pict>
      </w:r>
    </w:p>
    <w:p>
      <w:pPr>
        <w:pStyle w:val="47"/>
        <w:shd w:val="clear" w:color="auto" w:fill="auto"/>
        <w:tabs>
          <w:tab w:val="left" w:pos="2606"/>
          <w:tab w:val="left" w:leader="dot" w:pos="4661"/>
        </w:tabs>
        <w:spacing w:after="0" w:line="326" w:lineRule="exact"/>
        <w:jc w:val="right"/>
        <w:rPr>
          <w:rFonts w:hint="default" w:ascii="Times New Roman" w:hAnsi="Times New Roman" w:cs="Times New Roman" w:eastAsiaTheme="minorEastAsia"/>
          <w:sz w:val="34"/>
          <w:szCs w:val="34"/>
          <w:highlight w:val="none"/>
        </w:rPr>
      </w:pPr>
      <w:r>
        <w:rPr>
          <w:rFonts w:hint="default" w:ascii="Times New Roman" w:hAnsi="Times New Roman" w:eastAsia="宋体" w:cs="Times New Roman"/>
          <w:color w:val="000000"/>
          <w:spacing w:val="0"/>
          <w:sz w:val="34"/>
          <w:szCs w:val="34"/>
          <w:highlight w:val="none"/>
          <w:lang w:bidi="en-US"/>
        </w:rPr>
        <w:tab/>
      </w:r>
      <w:r>
        <w:rPr>
          <w:rFonts w:hint="default" w:ascii="Times New Roman" w:hAnsi="Times New Roman" w:eastAsia="宋体" w:cs="Times New Roman"/>
          <w:color w:val="000000"/>
          <w:spacing w:val="0"/>
          <w:sz w:val="34"/>
          <w:szCs w:val="34"/>
          <w:highlight w:val="none"/>
          <w:lang w:bidi="en-US"/>
        </w:rPr>
        <w:tab/>
      </w:r>
      <w:r>
        <w:rPr>
          <w:rFonts w:hint="default" w:ascii="Times New Roman" w:hAnsi="Times New Roman" w:cs="Times New Roman"/>
          <w:color w:val="000000"/>
          <w:spacing w:val="0"/>
          <w:highlight w:val="none"/>
          <w:lang w:val="zh-TW" w:eastAsia="zh-TW" w:bidi="zh-TW"/>
        </w:rPr>
        <w:t xml:space="preserve">( </w:t>
      </w:r>
      <w:r>
        <w:rPr>
          <w:rFonts w:hint="default" w:ascii="Times New Roman" w:hAnsi="Times New Roman" w:eastAsia="宋体" w:cs="Times New Roman"/>
          <w:color w:val="000000"/>
          <w:spacing w:val="0"/>
          <w:highlight w:val="none"/>
          <w:lang w:bidi="zh-TW"/>
        </w:rPr>
        <w:t>3</w:t>
      </w:r>
      <w:r>
        <w:rPr>
          <w:rFonts w:hint="default" w:ascii="Times New Roman" w:hAnsi="Times New Roman" w:eastAsia="Times New Roman" w:cs="Times New Roman"/>
          <w:color w:val="000000"/>
          <w:spacing w:val="0"/>
          <w:sz w:val="20"/>
          <w:szCs w:val="20"/>
          <w:highlight w:val="none"/>
          <w:lang w:val="zh-TW" w:eastAsia="zh-TW" w:bidi="zh-TW"/>
        </w:rPr>
        <w:t xml:space="preserve"> </w:t>
      </w:r>
      <w:r>
        <w:rPr>
          <w:rFonts w:hint="default" w:ascii="Times New Roman" w:hAnsi="Times New Roman" w:cs="Times New Roman"/>
          <w:color w:val="000000"/>
          <w:spacing w:val="0"/>
          <w:highlight w:val="none"/>
          <w:lang w:val="zh-TW" w:eastAsia="zh-TW" w:bidi="zh-TW"/>
        </w:rPr>
        <w:t>)</w:t>
      </w:r>
    </w:p>
    <w:p>
      <w:pPr>
        <w:pStyle w:val="41"/>
        <w:spacing w:line="322" w:lineRule="exact"/>
        <w:ind w:left="1037" w:leftChars="190" w:hanging="638" w:hangingChars="319"/>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式中：</w:t>
      </w:r>
    </w:p>
    <w:p>
      <w:pPr>
        <w:pStyle w:val="41"/>
        <w:spacing w:line="322" w:lineRule="exact"/>
        <w:ind w:left="1037" w:leftChars="190" w:hanging="638" w:hangingChars="319"/>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H ——两平板间的距离，单位为毫米（mm）；</w:t>
      </w:r>
    </w:p>
    <w:p>
      <w:pPr>
        <w:pStyle w:val="41"/>
        <w:spacing w:line="322" w:lineRule="exact"/>
        <w:ind w:left="1037" w:leftChars="190" w:hanging="638" w:hangingChars="319"/>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S ——钢管的公称壁厚，单位为毫米（mm）；</w:t>
      </w:r>
    </w:p>
    <w:p>
      <w:pPr>
        <w:pStyle w:val="41"/>
        <w:spacing w:line="322" w:lineRule="exact"/>
        <w:ind w:left="1037" w:leftChars="190" w:hanging="638" w:hangingChars="319"/>
        <w:jc w:val="left"/>
        <w:rPr>
          <w:rFonts w:hint="default" w:ascii="Times New Roman" w:hAnsi="Times New Roman" w:cs="Times New Roman"/>
          <w:color w:val="000000"/>
          <w:sz w:val="20"/>
          <w:szCs w:val="20"/>
          <w:highlight w:val="none"/>
          <w:lang w:val="en-US" w:eastAsia="zh-CN" w:bidi="en-US"/>
        </w:rPr>
      </w:pPr>
      <w:r>
        <w:rPr>
          <w:rFonts w:hint="default" w:ascii="Times New Roman" w:hAnsi="Times New Roman" w:cs="Times New Roman"/>
          <w:color w:val="000000"/>
          <w:sz w:val="20"/>
          <w:szCs w:val="20"/>
          <w:highlight w:val="none"/>
          <w:lang w:val="en-US" w:eastAsia="zh-CN" w:bidi="en-US"/>
        </w:rPr>
        <w:t>a ——</w:t>
      </w:r>
      <w:r>
        <w:rPr>
          <w:rFonts w:hint="default" w:ascii="Times New Roman" w:hAnsi="Times New Roman" w:cs="Times New Roman"/>
          <w:color w:val="000000"/>
          <w:sz w:val="20"/>
          <w:szCs w:val="20"/>
          <w:highlight w:val="none"/>
          <w:lang w:val="en-US" w:eastAsia="zh-CN" w:bidi="en-US"/>
        </w:rPr>
        <w:tab/>
      </w:r>
      <w:r>
        <w:rPr>
          <w:rFonts w:hint="default" w:ascii="Times New Roman" w:hAnsi="Times New Roman" w:cs="Times New Roman"/>
          <w:color w:val="000000"/>
          <w:sz w:val="20"/>
          <w:szCs w:val="20"/>
          <w:highlight w:val="none"/>
          <w:lang w:val="en-US" w:eastAsia="zh-CN" w:bidi="en-US"/>
        </w:rPr>
        <w:t>单位长度变形系数，取0.07；</w:t>
      </w:r>
    </w:p>
    <w:p>
      <w:pPr>
        <w:pStyle w:val="41"/>
        <w:spacing w:line="322" w:lineRule="exact"/>
        <w:ind w:left="1037" w:leftChars="190" w:hanging="638" w:hangingChars="319"/>
        <w:jc w:val="left"/>
        <w:rPr>
          <w:rFonts w:hint="default" w:ascii="Times New Roman" w:hAnsi="Times New Roman" w:cs="Times New Roman"/>
          <w:sz w:val="34"/>
          <w:szCs w:val="34"/>
          <w:highlight w:val="none"/>
        </w:rPr>
      </w:pPr>
      <w:r>
        <w:rPr>
          <w:rFonts w:hint="default" w:ascii="Times New Roman" w:hAnsi="Times New Roman" w:cs="Times New Roman"/>
          <w:color w:val="000000"/>
          <w:sz w:val="20"/>
          <w:szCs w:val="20"/>
          <w:highlight w:val="none"/>
          <w:lang w:val="en-US" w:eastAsia="zh-CN" w:bidi="en-US"/>
        </w:rPr>
        <w:t>D ——钢管的公称外径，单位为毫米（mm）。</w:t>
      </w:r>
    </w:p>
    <w:p>
      <w:pPr>
        <w:pStyle w:val="41"/>
        <w:numPr>
          <w:ilvl w:val="0"/>
          <w:numId w:val="10"/>
        </w:numPr>
        <w:spacing w:line="322" w:lineRule="exact"/>
        <w:jc w:val="left"/>
        <w:rPr>
          <w:rFonts w:hint="default" w:ascii="Times New Roman" w:hAnsi="Times New Roman" w:cs="Times New Roman"/>
          <w:color w:val="000000"/>
          <w:sz w:val="21"/>
          <w:szCs w:val="21"/>
          <w:highlight w:val="none"/>
          <w:lang w:val="en-US" w:eastAsia="zh-CN" w:bidi="en-US"/>
        </w:rPr>
      </w:pPr>
      <w:r>
        <w:rPr>
          <w:rFonts w:hint="default" w:ascii="Times New Roman" w:hAnsi="Times New Roman" w:cs="Times New Roman"/>
          <w:color w:val="000000"/>
          <w:sz w:val="21"/>
          <w:szCs w:val="21"/>
          <w:highlight w:val="none"/>
          <w:lang w:val="en-US" w:eastAsia="zh-CN" w:bidi="en-US"/>
        </w:rPr>
        <w:t>第二步是完整性试验（闭合压扁），压扁继续进行，直到试样破裂或试样相对两壁相碰；在整个压扁试验期间，试样不应岀现目视可见的分层、白点和夹杂。</w:t>
      </w:r>
    </w:p>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lang w:val="zh-CN"/>
        </w:rPr>
        <w:t>扩口试验</w:t>
      </w:r>
    </w:p>
    <w:p>
      <w:pPr>
        <w:spacing w:line="400" w:lineRule="exact"/>
        <w:ind w:firstLine="420" w:firstLineChars="200"/>
        <w:rPr>
          <w:rFonts w:hint="default" w:ascii="Times New Roman" w:hAnsi="Times New Roman" w:eastAsia="黑体" w:cs="Times New Roman"/>
          <w:highlight w:val="none"/>
        </w:rPr>
      </w:pPr>
      <w:r>
        <w:rPr>
          <w:rFonts w:hint="default" w:ascii="Times New Roman" w:hAnsi="Times New Roman" w:cs="Times New Roman"/>
          <w:highlight w:val="none"/>
          <w:lang w:val="zh-TW"/>
        </w:rPr>
        <w:t>外径不大于1</w:t>
      </w:r>
      <w:r>
        <w:rPr>
          <w:rFonts w:hint="default" w:ascii="Times New Roman" w:hAnsi="Times New Roman" w:eastAsia="PMingLiU" w:cs="Times New Roman"/>
          <w:highlight w:val="none"/>
          <w:lang w:val="zh-TW" w:eastAsia="zh-TW"/>
        </w:rPr>
        <w:t>50</w:t>
      </w:r>
      <w:r>
        <w:rPr>
          <w:rFonts w:hint="default" w:ascii="Times New Roman" w:hAnsi="Times New Roman" w:cs="Times New Roman" w:eastAsiaTheme="minorEastAsia"/>
          <w:highlight w:val="none"/>
          <w:lang w:val="zh-TW"/>
        </w:rPr>
        <w:t>mm且壁厚不大于1</w:t>
      </w:r>
      <w:r>
        <w:rPr>
          <w:rFonts w:hint="default" w:ascii="Times New Roman" w:hAnsi="Times New Roman" w:eastAsia="PMingLiU" w:cs="Times New Roman"/>
          <w:highlight w:val="none"/>
          <w:lang w:val="zh-TW" w:eastAsia="zh-TW"/>
        </w:rPr>
        <w:t>0</w:t>
      </w:r>
      <w:r>
        <w:rPr>
          <w:rFonts w:hint="default" w:ascii="Times New Roman" w:hAnsi="Times New Roman" w:cs="Times New Roman" w:eastAsiaTheme="minorEastAsia"/>
          <w:highlight w:val="none"/>
          <w:lang w:val="zh-TW"/>
        </w:rPr>
        <w:t>mm的</w:t>
      </w:r>
      <w:r>
        <w:rPr>
          <w:rFonts w:hint="default" w:ascii="Times New Roman" w:hAnsi="Times New Roman" w:cs="Times New Roman"/>
          <w:highlight w:val="none"/>
        </w:rPr>
        <w:t>钢管应进行扩口试验。扩口试验在室温下进行。扩口试验顶芯锥度为60°，扩口后试样的外径扩口率应符合表6的规定。扩口后，试样应无裂缝和裂口。</w:t>
      </w:r>
    </w:p>
    <w:p>
      <w:pPr>
        <w:pStyle w:val="27"/>
        <w:numPr>
          <w:ilvl w:val="0"/>
          <w:numId w:val="7"/>
        </w:numPr>
        <w:spacing w:before="156" w:after="156"/>
        <w:rPr>
          <w:rFonts w:hint="default" w:ascii="Times New Roman" w:hAnsi="Times New Roman" w:cs="Times New Roman"/>
          <w:szCs w:val="22"/>
          <w:highlight w:val="none"/>
        </w:rPr>
      </w:pPr>
      <w:r>
        <w:rPr>
          <w:rFonts w:hint="default" w:ascii="Times New Roman" w:hAnsi="Times New Roman" w:cs="Times New Roman"/>
          <w:szCs w:val="22"/>
          <w:highlight w:val="none"/>
        </w:rPr>
        <w:t>钢管外径扩口率</w:t>
      </w:r>
    </w:p>
    <w:tbl>
      <w:tblPr>
        <w:tblStyle w:val="1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89"/>
        <w:gridCol w:w="2392"/>
        <w:gridCol w:w="2392"/>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1249" w:type="pct"/>
            <w:tcBorders>
              <w:right w:val="single" w:color="auto" w:sz="4" w:space="0"/>
            </w:tcBorders>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内径</w:t>
            </w:r>
            <w:r>
              <w:rPr>
                <w:rFonts w:hint="default" w:ascii="Times New Roman" w:hAnsi="Times New Roman" w:cs="Times New Roman" w:eastAsiaTheme="minorEastAsia"/>
                <w:sz w:val="18"/>
                <w:szCs w:val="18"/>
                <w:highlight w:val="none"/>
                <w:vertAlign w:val="superscript"/>
              </w:rPr>
              <w:t>a</w:t>
            </w:r>
            <w:r>
              <w:rPr>
                <w:rFonts w:hint="default" w:ascii="Times New Roman" w:hAnsi="Times New Roman" w:cs="Times New Roman" w:eastAsiaTheme="minorEastAsia"/>
                <w:sz w:val="18"/>
                <w:szCs w:val="18"/>
                <w:highlight w:val="none"/>
              </w:rPr>
              <w:t>/外径</w:t>
            </w:r>
          </w:p>
        </w:tc>
        <w:tc>
          <w:tcPr>
            <w:tcW w:w="1250" w:type="pct"/>
            <w:tcBorders>
              <w:left w:val="single" w:color="auto" w:sz="4" w:space="0"/>
            </w:tcBorders>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≤0.6</w:t>
            </w:r>
          </w:p>
        </w:tc>
        <w:tc>
          <w:tcPr>
            <w:tcW w:w="1250" w:type="pc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＞0.6~0.8</w:t>
            </w:r>
          </w:p>
        </w:tc>
        <w:tc>
          <w:tcPr>
            <w:tcW w:w="1250" w:type="pc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1249" w:type="pct"/>
            <w:tcBorders>
              <w:right w:val="single" w:color="auto" w:sz="4" w:space="0"/>
            </w:tcBorders>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钢管外径扩口率/%</w:t>
            </w:r>
          </w:p>
        </w:tc>
        <w:tc>
          <w:tcPr>
            <w:tcW w:w="1250" w:type="pct"/>
            <w:tcBorders>
              <w:left w:val="single" w:color="auto" w:sz="4" w:space="0"/>
            </w:tcBorders>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12</w:t>
            </w:r>
          </w:p>
        </w:tc>
        <w:tc>
          <w:tcPr>
            <w:tcW w:w="1250" w:type="pc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w:t>
            </w:r>
          </w:p>
        </w:tc>
        <w:tc>
          <w:tcPr>
            <w:tcW w:w="1250" w:type="pct"/>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5000" w:type="pct"/>
            <w:gridSpan w:val="4"/>
            <w:vAlign w:val="center"/>
          </w:tcPr>
          <w:p>
            <w:pPr>
              <w:spacing w:line="26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vertAlign w:val="superscript"/>
              </w:rPr>
              <w:t xml:space="preserve">a </w:t>
            </w:r>
            <w:r>
              <w:rPr>
                <w:rFonts w:hint="default" w:ascii="Times New Roman" w:hAnsi="Times New Roman" w:cs="Times New Roman" w:eastAsiaTheme="minorEastAsia"/>
                <w:sz w:val="18"/>
                <w:szCs w:val="18"/>
                <w:highlight w:val="none"/>
              </w:rPr>
              <w:t>内径为试样计算内径。计算内径是按公称外径和公称壁厚（当钢管按最小壁厚交货时为平均壁厚）计算出来的内径值。</w:t>
            </w:r>
          </w:p>
        </w:tc>
      </w:tr>
    </w:tbl>
    <w:p>
      <w:pPr>
        <w:pStyle w:val="22"/>
        <w:spacing w:before="156" w:after="156"/>
        <w:ind w:firstLine="400"/>
        <w:rPr>
          <w:rFonts w:hint="default" w:ascii="Times New Roman" w:hAnsi="Times New Roman" w:cs="Times New Roman"/>
          <w:highlight w:val="none"/>
          <w:lang w:val="zh-CN"/>
        </w:rPr>
      </w:pPr>
    </w:p>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lang w:val="zh-CN"/>
        </w:rPr>
        <w:t>晶间腐蚀</w:t>
      </w:r>
    </w:p>
    <w:p>
      <w:pPr>
        <w:pStyle w:val="29"/>
        <w:tabs>
          <w:tab w:val="left" w:pos="0"/>
        </w:tabs>
        <w:spacing w:before="156" w:after="156"/>
        <w:ind w:left="0"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钢管应进行晶间腐蚀试验。晶间腐蚀试验方法应符合GB/T 4334-2020中E法的规定，试验后试样不应岀现腐蚀倾向。经供需双方协商，并在合同中注明，可采用其他晶间腐蚀试验方法。</w:t>
      </w:r>
    </w:p>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lang w:val="zh-CN"/>
        </w:rPr>
        <w:t>晶粒度</w:t>
      </w:r>
    </w:p>
    <w:p>
      <w:pPr>
        <w:pStyle w:val="29"/>
        <w:tabs>
          <w:tab w:val="left" w:pos="0"/>
        </w:tabs>
        <w:spacing w:before="156" w:after="156"/>
        <w:ind w:left="0"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钢管应进行晶粒度检验。钢管实际晶粒度应为5级〜8级。</w:t>
      </w:r>
    </w:p>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lang w:val="zh-CN"/>
        </w:rPr>
        <w:t>铁素体</w:t>
      </w:r>
    </w:p>
    <w:p>
      <w:pPr>
        <w:pStyle w:val="29"/>
        <w:tabs>
          <w:tab w:val="left" w:pos="0"/>
        </w:tabs>
        <w:spacing w:before="156" w:after="156"/>
        <w:ind w:left="0"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钢管应进行铁素体检验。钢管的铁素体≤3.0%。</w:t>
      </w:r>
    </w:p>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lang w:val="zh-CN"/>
        </w:rPr>
        <w:t>非金属夹杂物</w:t>
      </w:r>
    </w:p>
    <w:p>
      <w:pPr>
        <w:pStyle w:val="22"/>
        <w:tabs>
          <w:tab w:val="center" w:pos="4677"/>
          <w:tab w:val="clear" w:pos="9298"/>
        </w:tabs>
        <w:rPr>
          <w:rFonts w:hint="default" w:ascii="Times New Roman" w:hAnsi="Times New Roman" w:cs="Times New Roman"/>
          <w:kern w:val="2"/>
          <w:sz w:val="21"/>
          <w:szCs w:val="24"/>
          <w:highlight w:val="none"/>
        </w:rPr>
      </w:pPr>
      <w:r>
        <w:rPr>
          <w:rFonts w:hint="default" w:ascii="Times New Roman" w:hAnsi="Times New Roman" w:cs="Times New Roman"/>
          <w:kern w:val="2"/>
          <w:sz w:val="21"/>
          <w:szCs w:val="24"/>
          <w:highlight w:val="none"/>
        </w:rPr>
        <w:t>钢管应按GB/T 10561-2023中的A法进行评级，所有试样非金属夹杂物级别应符合表7规定。</w:t>
      </w:r>
    </w:p>
    <w:p>
      <w:pPr>
        <w:pStyle w:val="27"/>
        <w:numPr>
          <w:ilvl w:val="0"/>
          <w:numId w:val="7"/>
        </w:numPr>
        <w:spacing w:before="156" w:after="156"/>
        <w:rPr>
          <w:rFonts w:hint="default" w:ascii="Times New Roman" w:hAnsi="Times New Roman" w:eastAsia="宋体" w:cs="Times New Roman"/>
          <w:sz w:val="18"/>
          <w:highlight w:val="none"/>
        </w:rPr>
      </w:pPr>
      <w:r>
        <w:rPr>
          <w:rFonts w:hint="default" w:ascii="Times New Roman" w:hAnsi="Times New Roman" w:cs="Times New Roman"/>
          <w:highlight w:val="none"/>
        </w:rPr>
        <w:t>非金属夹杂物合格级别</w:t>
      </w:r>
    </w:p>
    <w:tbl>
      <w:tblPr>
        <w:tblStyle w:val="1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5"/>
        <w:gridCol w:w="811"/>
        <w:gridCol w:w="817"/>
        <w:gridCol w:w="814"/>
        <w:gridCol w:w="816"/>
        <w:gridCol w:w="814"/>
        <w:gridCol w:w="816"/>
        <w:gridCol w:w="816"/>
        <w:gridCol w:w="820"/>
        <w:gridCol w:w="647"/>
        <w:gridCol w:w="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 w:hRule="atLeast"/>
          <w:jc w:val="center"/>
        </w:trPr>
        <w:tc>
          <w:tcPr>
            <w:tcW w:w="943" w:type="pct"/>
            <w:tcBorders>
              <w:bottom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夹杂物类型</w:t>
            </w:r>
          </w:p>
        </w:tc>
        <w:tc>
          <w:tcPr>
            <w:tcW w:w="851" w:type="pct"/>
            <w:gridSpan w:val="2"/>
            <w:tcBorders>
              <w:bottom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A</w:t>
            </w:r>
          </w:p>
        </w:tc>
        <w:tc>
          <w:tcPr>
            <w:tcW w:w="851" w:type="pct"/>
            <w:gridSpan w:val="2"/>
            <w:tcBorders>
              <w:bottom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B</w:t>
            </w:r>
          </w:p>
        </w:tc>
        <w:tc>
          <w:tcPr>
            <w:tcW w:w="851" w:type="pct"/>
            <w:gridSpan w:val="2"/>
            <w:tcBorders>
              <w:bottom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C</w:t>
            </w:r>
          </w:p>
        </w:tc>
        <w:tc>
          <w:tcPr>
            <w:tcW w:w="854" w:type="pct"/>
            <w:gridSpan w:val="2"/>
            <w:tcBorders>
              <w:bottom w:val="single" w:color="auto" w:sz="4" w:space="0"/>
              <w:right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D</w:t>
            </w:r>
          </w:p>
        </w:tc>
        <w:tc>
          <w:tcPr>
            <w:tcW w:w="646" w:type="pct"/>
            <w:gridSpan w:val="2"/>
            <w:tcBorders>
              <w:left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A+B+C+D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943" w:type="pct"/>
            <w:vMerge w:val="restart"/>
            <w:tcBorders>
              <w:top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合格级别（不大于）</w:t>
            </w:r>
          </w:p>
        </w:tc>
        <w:tc>
          <w:tcPr>
            <w:tcW w:w="424" w:type="pct"/>
            <w:tcBorders>
              <w:top w:val="single" w:color="auto" w:sz="4" w:space="0"/>
              <w:right w:val="single" w:color="auto" w:sz="4" w:space="0"/>
            </w:tcBorders>
            <w:vAlign w:val="center"/>
          </w:tcPr>
          <w:p>
            <w:pPr>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细系</w:t>
            </w:r>
          </w:p>
        </w:tc>
        <w:tc>
          <w:tcPr>
            <w:tcW w:w="426" w:type="pct"/>
            <w:tcBorders>
              <w:top w:val="single" w:color="auto" w:sz="4" w:space="0"/>
              <w:left w:val="single" w:color="auto" w:sz="4" w:space="0"/>
            </w:tcBorders>
            <w:vAlign w:val="center"/>
          </w:tcPr>
          <w:p>
            <w:pPr>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粗系</w:t>
            </w:r>
          </w:p>
        </w:tc>
        <w:tc>
          <w:tcPr>
            <w:tcW w:w="425" w:type="pct"/>
            <w:tcBorders>
              <w:top w:val="single" w:color="auto" w:sz="4" w:space="0"/>
              <w:right w:val="single" w:color="auto" w:sz="4" w:space="0"/>
            </w:tcBorders>
            <w:vAlign w:val="center"/>
          </w:tcPr>
          <w:p>
            <w:pPr>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细系</w:t>
            </w:r>
          </w:p>
        </w:tc>
        <w:tc>
          <w:tcPr>
            <w:tcW w:w="425" w:type="pct"/>
            <w:tcBorders>
              <w:top w:val="single" w:color="auto" w:sz="4" w:space="0"/>
              <w:left w:val="single" w:color="auto" w:sz="4" w:space="0"/>
            </w:tcBorders>
            <w:vAlign w:val="center"/>
          </w:tcPr>
          <w:p>
            <w:pPr>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粗系</w:t>
            </w:r>
          </w:p>
        </w:tc>
        <w:tc>
          <w:tcPr>
            <w:tcW w:w="425" w:type="pct"/>
            <w:tcBorders>
              <w:top w:val="single" w:color="auto" w:sz="4" w:space="0"/>
              <w:right w:val="single" w:color="auto" w:sz="4" w:space="0"/>
            </w:tcBorders>
            <w:vAlign w:val="center"/>
          </w:tcPr>
          <w:p>
            <w:pPr>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细系</w:t>
            </w:r>
          </w:p>
        </w:tc>
        <w:tc>
          <w:tcPr>
            <w:tcW w:w="425" w:type="pct"/>
            <w:tcBorders>
              <w:top w:val="single" w:color="auto" w:sz="4" w:space="0"/>
              <w:left w:val="single" w:color="auto" w:sz="4" w:space="0"/>
            </w:tcBorders>
            <w:vAlign w:val="center"/>
          </w:tcPr>
          <w:p>
            <w:pPr>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粗系</w:t>
            </w:r>
          </w:p>
        </w:tc>
        <w:tc>
          <w:tcPr>
            <w:tcW w:w="426" w:type="pct"/>
            <w:tcBorders>
              <w:top w:val="single" w:color="auto" w:sz="4" w:space="0"/>
              <w:right w:val="single" w:color="auto" w:sz="4" w:space="0"/>
            </w:tcBorders>
            <w:vAlign w:val="center"/>
          </w:tcPr>
          <w:p>
            <w:pPr>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细系</w:t>
            </w:r>
          </w:p>
        </w:tc>
        <w:tc>
          <w:tcPr>
            <w:tcW w:w="427" w:type="pct"/>
            <w:tcBorders>
              <w:top w:val="single" w:color="auto" w:sz="4" w:space="0"/>
              <w:right w:val="single" w:color="auto" w:sz="4" w:space="0"/>
            </w:tcBorders>
            <w:vAlign w:val="center"/>
          </w:tcPr>
          <w:p>
            <w:pPr>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粗系</w:t>
            </w:r>
          </w:p>
        </w:tc>
        <w:tc>
          <w:tcPr>
            <w:tcW w:w="338" w:type="pct"/>
            <w:tcBorders>
              <w:left w:val="single" w:color="auto" w:sz="4" w:space="0"/>
              <w:right w:val="single" w:color="auto" w:sz="4" w:space="0"/>
            </w:tcBorders>
            <w:vAlign w:val="center"/>
          </w:tcPr>
          <w:p>
            <w:pPr>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细系</w:t>
            </w:r>
          </w:p>
        </w:tc>
        <w:tc>
          <w:tcPr>
            <w:tcW w:w="308" w:type="pct"/>
            <w:tcBorders>
              <w:left w:val="single" w:color="auto" w:sz="4" w:space="0"/>
            </w:tcBorders>
            <w:vAlign w:val="center"/>
          </w:tcPr>
          <w:p>
            <w:pPr>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粗系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3" w:type="pct"/>
            <w:vMerge w:val="continue"/>
            <w:vAlign w:val="center"/>
          </w:tcPr>
          <w:p>
            <w:pPr>
              <w:widowControl/>
              <w:autoSpaceDE w:val="0"/>
              <w:autoSpaceDN w:val="0"/>
              <w:jc w:val="center"/>
              <w:rPr>
                <w:rFonts w:hint="default" w:ascii="Times New Roman" w:hAnsi="Times New Roman" w:cs="Times New Roman"/>
                <w:kern w:val="0"/>
                <w:sz w:val="18"/>
                <w:szCs w:val="18"/>
                <w:highlight w:val="none"/>
              </w:rPr>
            </w:pPr>
          </w:p>
        </w:tc>
        <w:tc>
          <w:tcPr>
            <w:tcW w:w="424" w:type="pct"/>
            <w:tcBorders>
              <w:right w:val="single" w:color="auto" w:sz="4" w:space="0"/>
            </w:tcBorders>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18"/>
                <w:szCs w:val="18"/>
                <w:highlight w:val="none"/>
              </w:rPr>
              <w:t>1.0</w:t>
            </w:r>
          </w:p>
        </w:tc>
        <w:tc>
          <w:tcPr>
            <w:tcW w:w="426" w:type="pct"/>
            <w:tcBorders>
              <w:left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1.0</w:t>
            </w:r>
          </w:p>
        </w:tc>
        <w:tc>
          <w:tcPr>
            <w:tcW w:w="425" w:type="pct"/>
            <w:tcBorders>
              <w:right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1.0</w:t>
            </w:r>
          </w:p>
        </w:tc>
        <w:tc>
          <w:tcPr>
            <w:tcW w:w="425" w:type="pct"/>
            <w:tcBorders>
              <w:left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1.0</w:t>
            </w:r>
          </w:p>
        </w:tc>
        <w:tc>
          <w:tcPr>
            <w:tcW w:w="425" w:type="pct"/>
            <w:tcBorders>
              <w:right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1.0</w:t>
            </w:r>
          </w:p>
        </w:tc>
        <w:tc>
          <w:tcPr>
            <w:tcW w:w="425" w:type="pct"/>
            <w:tcBorders>
              <w:left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1.0</w:t>
            </w:r>
          </w:p>
        </w:tc>
        <w:tc>
          <w:tcPr>
            <w:tcW w:w="426" w:type="pct"/>
            <w:tcBorders>
              <w:right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1.0</w:t>
            </w:r>
          </w:p>
        </w:tc>
        <w:tc>
          <w:tcPr>
            <w:tcW w:w="427" w:type="pct"/>
            <w:tcBorders>
              <w:right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1.0</w:t>
            </w:r>
          </w:p>
        </w:tc>
        <w:tc>
          <w:tcPr>
            <w:tcW w:w="338" w:type="pct"/>
            <w:tcBorders>
              <w:left w:val="single" w:color="auto" w:sz="4" w:space="0"/>
              <w:right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3.0</w:t>
            </w:r>
          </w:p>
        </w:tc>
        <w:tc>
          <w:tcPr>
            <w:tcW w:w="308" w:type="pct"/>
            <w:tcBorders>
              <w:left w:val="single" w:color="auto" w:sz="4" w:space="0"/>
            </w:tcBorders>
            <w:vAlign w:val="center"/>
          </w:tcPr>
          <w:p>
            <w:pPr>
              <w:widowControl/>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3.0</w:t>
            </w:r>
          </w:p>
        </w:tc>
      </w:tr>
    </w:tbl>
    <w:p>
      <w:pPr>
        <w:pStyle w:val="22"/>
        <w:ind w:firstLine="400"/>
        <w:rPr>
          <w:rFonts w:hint="default" w:ascii="Times New Roman" w:hAnsi="Times New Roman" w:cs="Times New Roman"/>
          <w:highlight w:val="none"/>
        </w:rPr>
      </w:pPr>
    </w:p>
    <w:p>
      <w:pPr>
        <w:pStyle w:val="24"/>
        <w:numPr>
          <w:ilvl w:val="1"/>
          <w:numId w:val="4"/>
        </w:numPr>
        <w:spacing w:before="156" w:after="156"/>
        <w:ind w:left="0" w:firstLine="0"/>
        <w:rPr>
          <w:rFonts w:hint="default" w:ascii="Times New Roman" w:hAnsi="Times New Roman" w:cs="Times New Roman"/>
          <w:highlight w:val="none"/>
          <w:lang w:val="zh-CN"/>
        </w:rPr>
      </w:pPr>
      <w:r>
        <w:rPr>
          <w:rFonts w:hint="default" w:ascii="Times New Roman" w:hAnsi="Times New Roman" w:cs="Times New Roman"/>
          <w:highlight w:val="none"/>
          <w:lang w:val="zh-CN"/>
        </w:rPr>
        <w:t>表面质量</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eastAsia="zh-TW"/>
        </w:rPr>
      </w:pPr>
      <w:r>
        <w:rPr>
          <w:rFonts w:hint="default" w:ascii="Times New Roman" w:hAnsi="Times New Roman" w:eastAsia="宋体" w:cs="Times New Roman"/>
          <w:highlight w:val="none"/>
          <w:lang w:val="zh-CN" w:eastAsia="zh-TW"/>
        </w:rPr>
        <w:t>钢管的内外表面不应有裂纹、折叠、轧折、离层和结疤。这些缺陷应完全清除，清除深度应不超过壁厚的10%，缺陷清除处的实际壁厚应不小于壁厚所允许的最小值。缺陷清除处不应焊补，且应圆 滑过渡。</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eastAsia="zh-TW"/>
        </w:rPr>
      </w:pPr>
      <w:r>
        <w:rPr>
          <w:rFonts w:hint="default" w:ascii="Times New Roman" w:hAnsi="Times New Roman" w:eastAsia="宋体" w:cs="Times New Roman"/>
          <w:highlight w:val="none"/>
          <w:lang w:val="zh-CN" w:eastAsia="zh-TW"/>
        </w:rPr>
        <w:t>钢管内外表面的粗糙度Ra应不大于3.2μm</w:t>
      </w:r>
      <w:r>
        <w:rPr>
          <w:rFonts w:hint="default" w:ascii="Times New Roman" w:hAnsi="Times New Roman" w:eastAsia="宋体" w:cs="Times New Roman"/>
          <w:highlight w:val="none"/>
          <w:lang w:val="zh-CN"/>
        </w:rPr>
        <w:t>。</w:t>
      </w:r>
      <w:r>
        <w:rPr>
          <w:rFonts w:hint="default" w:ascii="Times New Roman" w:hAnsi="Times New Roman" w:eastAsia="宋体" w:cs="Times New Roman"/>
          <w:highlight w:val="none"/>
          <w:lang w:val="zh-CN" w:eastAsia="zh-TW"/>
        </w:rPr>
        <w:t xml:space="preserve"> </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氢脆敏感性</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eastAsia="zh-TW"/>
        </w:rPr>
      </w:pPr>
      <w:r>
        <w:rPr>
          <w:rFonts w:hint="default" w:ascii="Times New Roman" w:hAnsi="Times New Roman" w:eastAsia="宋体" w:cs="Times New Roman"/>
          <w:highlight w:val="none"/>
          <w:lang w:val="zh-CN" w:eastAsia="zh-TW"/>
        </w:rPr>
        <w:t>根据需方要求，经供需双方协商，并在合同中注明，钢管可按GB/T 34542.3进行氢脆敏感性试验，氢脆敏感度系数应不大于1。</w:t>
      </w:r>
    </w:p>
    <w:p>
      <w:pPr>
        <w:pStyle w:val="29"/>
        <w:numPr>
          <w:ilvl w:val="2"/>
          <w:numId w:val="4"/>
        </w:numPr>
        <w:tabs>
          <w:tab w:val="left" w:pos="0"/>
        </w:tabs>
        <w:spacing w:before="156" w:after="156"/>
        <w:ind w:left="0" w:firstLine="0"/>
        <w:rPr>
          <w:rFonts w:hint="default" w:ascii="Times New Roman" w:hAnsi="Times New Roman" w:eastAsia="PMingLiU" w:cs="Times New Roman"/>
          <w:highlight w:val="none"/>
          <w:lang w:val="zh-CN" w:eastAsia="zh-TW"/>
        </w:rPr>
      </w:pPr>
      <w:r>
        <w:rPr>
          <w:rFonts w:hint="default" w:ascii="Times New Roman" w:hAnsi="Times New Roman" w:eastAsia="宋体" w:cs="Times New Roman"/>
          <w:highlight w:val="none"/>
          <w:lang w:val="zh-CN" w:eastAsia="zh-TW"/>
        </w:rPr>
        <w:t xml:space="preserve">根据需方要求，经供需双方协商，并在合同中注明，钢管可按GB/T </w:t>
      </w:r>
      <w:r>
        <w:rPr>
          <w:rFonts w:hint="default" w:ascii="Times New Roman" w:hAnsi="Times New Roman" w:eastAsia="宋体" w:cs="Times New Roman"/>
          <w:highlight w:val="none"/>
        </w:rPr>
        <w:t>8650</w:t>
      </w:r>
      <w:r>
        <w:rPr>
          <w:rFonts w:hint="default" w:ascii="Times New Roman" w:hAnsi="Times New Roman" w:eastAsia="宋体" w:cs="Times New Roman"/>
          <w:highlight w:val="none"/>
          <w:lang w:val="zh-CN" w:eastAsia="zh-TW"/>
        </w:rPr>
        <w:t>进行</w:t>
      </w:r>
      <w:r>
        <w:rPr>
          <w:rFonts w:hint="default" w:ascii="Times New Roman" w:hAnsi="Times New Roman" w:eastAsia="宋体" w:cs="Times New Roman"/>
          <w:highlight w:val="none"/>
        </w:rPr>
        <w:t>抗氢致开裂</w:t>
      </w:r>
      <w:r>
        <w:rPr>
          <w:rFonts w:hint="default" w:ascii="Times New Roman" w:hAnsi="Times New Roman" w:eastAsia="宋体" w:cs="Times New Roman"/>
          <w:highlight w:val="none"/>
          <w:lang w:val="zh-CN" w:eastAsia="zh-TW"/>
        </w:rPr>
        <w:t>试验</w:t>
      </w:r>
      <w:r>
        <w:rPr>
          <w:rFonts w:hint="default" w:ascii="Times New Roman" w:hAnsi="Times New Roman" w:eastAsia="宋体" w:cs="Times New Roman"/>
          <w:highlight w:val="none"/>
          <w:lang w:val="zh-CN"/>
        </w:rPr>
        <w:t>，</w:t>
      </w:r>
      <w:r>
        <w:rPr>
          <w:rFonts w:hint="default" w:ascii="Times New Roman" w:hAnsi="Times New Roman" w:eastAsia="宋体" w:cs="Times New Roman"/>
          <w:highlight w:val="none"/>
        </w:rPr>
        <w:t>试验结束后试样不应存在裂纹</w:t>
      </w:r>
      <w:r>
        <w:rPr>
          <w:rFonts w:hint="default" w:ascii="Times New Roman" w:hAnsi="Times New Roman" w:eastAsia="宋体" w:cs="Times New Roman"/>
          <w:highlight w:val="none"/>
          <w:lang w:val="zh-CN" w:eastAsia="zh-TW"/>
        </w:rPr>
        <w:t>。</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无损检测</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TW" w:eastAsia="zh-TW"/>
        </w:rPr>
        <w:t>超声检测</w:t>
      </w:r>
    </w:p>
    <w:p>
      <w:pPr>
        <w:pStyle w:val="29"/>
        <w:numPr>
          <w:ilvl w:val="3"/>
          <w:numId w:val="11"/>
        </w:numPr>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钢管应按</w:t>
      </w:r>
      <w:r>
        <w:rPr>
          <w:rFonts w:hint="default" w:ascii="Times New Roman" w:hAnsi="Times New Roman" w:eastAsia="宋体" w:cs="Times New Roman"/>
          <w:highlight w:val="none"/>
        </w:rPr>
        <w:t>GB/T 5777-2019</w:t>
      </w:r>
      <w:r>
        <w:rPr>
          <w:rFonts w:hint="default" w:ascii="Times New Roman" w:hAnsi="Times New Roman" w:eastAsia="宋体" w:cs="Times New Roman"/>
          <w:highlight w:val="none"/>
          <w:lang w:val="zh-CN"/>
        </w:rPr>
        <w:t>的规定进行纵向和横向超声检测。超声检测对比试样人工缺陷刻槽深度等级应为</w:t>
      </w:r>
      <w:r>
        <w:rPr>
          <w:rFonts w:hint="default" w:ascii="Times New Roman" w:hAnsi="Times New Roman" w:eastAsia="宋体" w:cs="Times New Roman"/>
          <w:highlight w:val="none"/>
        </w:rPr>
        <w:t>U2，</w:t>
      </w:r>
      <w:r>
        <w:rPr>
          <w:rFonts w:hint="default" w:ascii="Times New Roman" w:hAnsi="Times New Roman" w:eastAsia="宋体" w:cs="Times New Roman"/>
          <w:highlight w:val="none"/>
          <w:lang w:val="zh-CN"/>
        </w:rPr>
        <w:t>最小刻槽深度应为</w:t>
      </w:r>
      <w:r>
        <w:rPr>
          <w:rFonts w:hint="default" w:ascii="Times New Roman" w:hAnsi="Times New Roman" w:eastAsia="宋体" w:cs="Times New Roman"/>
          <w:highlight w:val="none"/>
        </w:rPr>
        <w:t>0.2 mm，</w:t>
      </w:r>
      <w:r>
        <w:rPr>
          <w:rFonts w:hint="default" w:ascii="Times New Roman" w:hAnsi="Times New Roman" w:eastAsia="宋体" w:cs="Times New Roman"/>
          <w:highlight w:val="none"/>
          <w:lang w:val="zh-CN"/>
        </w:rPr>
        <w:t xml:space="preserve">且当壁厚不大于40 </w:t>
      </w:r>
      <w:r>
        <w:rPr>
          <w:rFonts w:hint="default" w:ascii="Times New Roman" w:hAnsi="Times New Roman" w:eastAsia="宋体" w:cs="Times New Roman"/>
          <w:highlight w:val="none"/>
        </w:rPr>
        <w:t>mm</w:t>
      </w:r>
      <w:r>
        <w:rPr>
          <w:rFonts w:hint="default" w:ascii="Times New Roman" w:hAnsi="Times New Roman" w:eastAsia="宋体" w:cs="Times New Roman"/>
          <w:highlight w:val="none"/>
          <w:lang w:val="zh-CN"/>
        </w:rPr>
        <w:t>时，最大刻槽深度应为</w:t>
      </w:r>
      <w:r>
        <w:rPr>
          <w:rFonts w:hint="default" w:ascii="Times New Roman" w:hAnsi="Times New Roman" w:eastAsia="宋体" w:cs="Times New Roman"/>
          <w:highlight w:val="none"/>
        </w:rPr>
        <w:t>1.0 mm,</w:t>
      </w:r>
      <w:r>
        <w:rPr>
          <w:rFonts w:hint="default" w:ascii="Times New Roman" w:hAnsi="Times New Roman" w:eastAsia="宋体" w:cs="Times New Roman"/>
          <w:highlight w:val="none"/>
          <w:lang w:val="zh-CN"/>
        </w:rPr>
        <w:t xml:space="preserve">当壁厚大于40 </w:t>
      </w:r>
      <w:r>
        <w:rPr>
          <w:rFonts w:hint="default" w:ascii="Times New Roman" w:hAnsi="Times New Roman" w:eastAsia="宋体" w:cs="Times New Roman"/>
          <w:highlight w:val="none"/>
        </w:rPr>
        <w:t>mm</w:t>
      </w:r>
      <w:r>
        <w:rPr>
          <w:rFonts w:hint="default" w:ascii="Times New Roman" w:hAnsi="Times New Roman" w:eastAsia="宋体" w:cs="Times New Roman"/>
          <w:highlight w:val="none"/>
          <w:lang w:val="zh-CN"/>
        </w:rPr>
        <w:t>时，最大刻槽深度应为</w:t>
      </w:r>
      <w:r>
        <w:rPr>
          <w:rFonts w:hint="default" w:ascii="Times New Roman" w:hAnsi="Times New Roman" w:eastAsia="宋体" w:cs="Times New Roman"/>
          <w:highlight w:val="none"/>
        </w:rPr>
        <w:t>1.5 mm。</w:t>
      </w:r>
    </w:p>
    <w:p>
      <w:pPr>
        <w:pStyle w:val="29"/>
        <w:numPr>
          <w:ilvl w:val="3"/>
          <w:numId w:val="11"/>
        </w:numPr>
        <w:spacing w:before="156" w:after="156"/>
        <w:ind w:left="0" w:firstLine="0"/>
        <w:jc w:val="both"/>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当钢管按最小壁厚交货时，对比样管刻槽深度按钢管平均壁厚计算。</w:t>
      </w:r>
    </w:p>
    <w:p>
      <w:pPr>
        <w:pStyle w:val="29"/>
        <w:numPr>
          <w:ilvl w:val="3"/>
          <w:numId w:val="11"/>
        </w:numPr>
        <w:spacing w:before="156" w:after="156"/>
        <w:ind w:left="0" w:firstLine="0"/>
        <w:jc w:val="both"/>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自动检测不能完全检测的钢管端部应切除或进行手工超声检测。手工检测方法的灵敏度应 至少与自动检测方法一致，用作校正灵敏度的钢管应是用于自动检测的钢管。</w:t>
      </w:r>
    </w:p>
    <w:p>
      <w:pPr>
        <w:pStyle w:val="29"/>
        <w:numPr>
          <w:ilvl w:val="3"/>
          <w:numId w:val="11"/>
        </w:numPr>
        <w:spacing w:before="156" w:after="156"/>
        <w:ind w:left="0" w:firstLine="0"/>
        <w:jc w:val="both"/>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根据需方要求，经供需双方协商，并在合同中注明，钢管可采用其他标准规定的方法进行超声检测。</w:t>
      </w:r>
    </w:p>
    <w:p>
      <w:pPr>
        <w:pStyle w:val="29"/>
        <w:numPr>
          <w:ilvl w:val="2"/>
          <w:numId w:val="4"/>
        </w:numPr>
        <w:tabs>
          <w:tab w:val="left" w:pos="0"/>
        </w:tabs>
        <w:spacing w:before="156" w:after="156"/>
        <w:ind w:left="0" w:firstLine="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TW" w:eastAsia="zh-TW"/>
        </w:rPr>
        <w:t>渗透检测</w:t>
      </w:r>
    </w:p>
    <w:p>
      <w:pPr>
        <w:pStyle w:val="29"/>
        <w:tabs>
          <w:tab w:val="left" w:pos="0"/>
        </w:tabs>
        <w:spacing w:before="156" w:after="156"/>
        <w:ind w:left="0" w:firstLine="420" w:firstLineChars="20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zh-CN"/>
        </w:rPr>
        <w:t>钢管的外表面、端部及可达内表面应进行液体渗透检测。液体渗透检测应符合</w:t>
      </w:r>
      <w:r>
        <w:rPr>
          <w:rFonts w:hint="default" w:ascii="Times New Roman" w:hAnsi="Times New Roman" w:eastAsia="宋体" w:cs="Times New Roman"/>
          <w:highlight w:val="none"/>
        </w:rPr>
        <w:t>NB/T 47013.5-</w:t>
      </w:r>
      <w:r>
        <w:rPr>
          <w:rFonts w:hint="default" w:ascii="Times New Roman" w:hAnsi="Times New Roman" w:eastAsia="宋体" w:cs="Times New Roman"/>
          <w:highlight w:val="none"/>
          <w:lang w:val="zh-CN"/>
        </w:rPr>
        <w:t>2015的规定，并按其他部件的质量等级I级验收。</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特殊要求</w:t>
      </w:r>
    </w:p>
    <w:bookmarkEnd w:id="9"/>
    <w:p>
      <w:pPr>
        <w:pStyle w:val="24"/>
        <w:tabs>
          <w:tab w:val="clear" w:pos="57"/>
        </w:tabs>
        <w:spacing w:before="156" w:after="156"/>
        <w:ind w:left="0"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根据需方要求，经供需双方协商，可对钢管提出其他特殊要求。</w:t>
      </w:r>
    </w:p>
    <w:p>
      <w:pPr>
        <w:pStyle w:val="21"/>
        <w:numPr>
          <w:ilvl w:val="0"/>
          <w:numId w:val="4"/>
        </w:numPr>
        <w:spacing w:before="312" w:after="312"/>
        <w:ind w:left="0" w:firstLine="0"/>
        <w:rPr>
          <w:rFonts w:hint="default" w:ascii="Times New Roman" w:hAnsi="Times New Roman" w:cs="Times New Roman"/>
          <w:highlight w:val="none"/>
        </w:rPr>
      </w:pPr>
      <w:r>
        <w:rPr>
          <w:rFonts w:hint="default" w:ascii="Times New Roman" w:hAnsi="Times New Roman" w:cs="Times New Roman"/>
          <w:highlight w:val="none"/>
        </w:rPr>
        <w:t>试验方法</w:t>
      </w:r>
    </w:p>
    <w:p>
      <w:pPr>
        <w:pStyle w:val="24"/>
        <w:numPr>
          <w:ilvl w:val="1"/>
          <w:numId w:val="4"/>
        </w:numPr>
        <w:spacing w:before="156" w:after="156"/>
        <w:ind w:left="0" w:firstLine="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钢的化学成分试验方法应按GB/T 11170、GB/T 11261、GB/T 20123、GB/T 20124、YB/T 4307 或通用方法的规定进行，但仲裁时应按GB/T 223.11、GB/T 223.25、GB/T 223.28、GB/T 223.36、GB/T 223.59、GB/T 223.60、GB/T 223.63、GB/T 223.82、GB/T 223.85、GB/T 223.86的规定进行。</w:t>
      </w:r>
    </w:p>
    <w:p>
      <w:pPr>
        <w:pStyle w:val="24"/>
        <w:numPr>
          <w:ilvl w:val="1"/>
          <w:numId w:val="4"/>
        </w:numPr>
        <w:spacing w:before="156" w:after="156"/>
        <w:ind w:left="0" w:firstLine="0"/>
        <w:rPr>
          <w:rFonts w:hint="default" w:ascii="Times New Roman" w:hAnsi="Times New Roman" w:eastAsia="宋体" w:cs="Times New Roman"/>
          <w:highlight w:val="none"/>
        </w:rPr>
      </w:pPr>
      <w:r>
        <w:rPr>
          <w:rFonts w:hint="default" w:ascii="Times New Roman" w:hAnsi="Times New Roman" w:eastAsia="宋体" w:cs="Times New Roman"/>
          <w:highlight w:val="none"/>
        </w:rPr>
        <w:t>钢管的检验项目、取样方法及试验方法应符合表8的规定。</w:t>
      </w:r>
    </w:p>
    <w:p>
      <w:pPr>
        <w:pStyle w:val="27"/>
        <w:numPr>
          <w:ilvl w:val="0"/>
          <w:numId w:val="7"/>
        </w:numPr>
        <w:spacing w:before="156" w:after="156"/>
        <w:rPr>
          <w:rFonts w:hint="default" w:ascii="Times New Roman" w:hAnsi="Times New Roman" w:cs="Times New Roman"/>
          <w:highlight w:val="none"/>
        </w:rPr>
      </w:pPr>
      <w:r>
        <w:rPr>
          <w:rFonts w:hint="default" w:ascii="Times New Roman" w:hAnsi="Times New Roman" w:cs="Times New Roman"/>
          <w:highlight w:val="none"/>
        </w:rPr>
        <w:t>检验项目、取样数量、取样方法及试验方法</w:t>
      </w:r>
    </w:p>
    <w:tbl>
      <w:tblPr>
        <w:tblStyle w:val="10"/>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45"/>
        <w:gridCol w:w="1746"/>
        <w:gridCol w:w="2726"/>
        <w:gridCol w:w="2128"/>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序号</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检验项目</w:t>
            </w:r>
            <w:r>
              <w:rPr>
                <w:rFonts w:hint="default" w:ascii="Times New Roman" w:hAnsi="Times New Roman" w:cs="Times New Roman"/>
                <w:sz w:val="18"/>
                <w:szCs w:val="18"/>
                <w:highlight w:val="none"/>
                <w:vertAlign w:val="superscript"/>
                <w:lang w:eastAsia="en-US"/>
              </w:rPr>
              <w:t>a</w:t>
            </w:r>
          </w:p>
        </w:tc>
        <w:tc>
          <w:tcPr>
            <w:tcW w:w="272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取样数量</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取样方法</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3"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1</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化学成分</w:t>
            </w:r>
          </w:p>
        </w:tc>
        <w:tc>
          <w:tcPr>
            <w:tcW w:w="272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每</w:t>
            </w:r>
            <w:r>
              <w:rPr>
                <w:rFonts w:hint="default" w:ascii="Times New Roman" w:hAnsi="Times New Roman" w:cs="Times New Roman"/>
                <w:sz w:val="18"/>
                <w:szCs w:val="18"/>
                <w:highlight w:val="none"/>
                <w:lang w:val="zh-TW"/>
              </w:rPr>
              <w:t>炉</w:t>
            </w:r>
            <w:r>
              <w:rPr>
                <w:rFonts w:hint="default" w:ascii="Times New Roman" w:hAnsi="Times New Roman" w:cs="Times New Roman"/>
                <w:sz w:val="18"/>
                <w:szCs w:val="18"/>
                <w:highlight w:val="none"/>
                <w:lang w:val="zh-TW" w:eastAsia="zh-TW"/>
              </w:rPr>
              <w:t>取1个试样</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 xml:space="preserve">GB/T </w:t>
            </w:r>
            <w:r>
              <w:rPr>
                <w:rFonts w:hint="default" w:ascii="Times New Roman" w:hAnsi="Times New Roman" w:cs="Times New Roman"/>
                <w:sz w:val="18"/>
                <w:szCs w:val="18"/>
                <w:highlight w:val="none"/>
                <w:lang w:val="zh-TW" w:eastAsia="zh-TW"/>
              </w:rPr>
              <w:t>20066</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2</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室温拉伸</w:t>
            </w:r>
          </w:p>
        </w:tc>
        <w:tc>
          <w:tcPr>
            <w:tcW w:w="2726"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zh-TW" w:eastAsia="zh-TW"/>
              </w:rPr>
              <w:t>每批在两根钢管上各取1个试样</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2975</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3</w:t>
            </w:r>
          </w:p>
        </w:tc>
        <w:tc>
          <w:tcPr>
            <w:tcW w:w="1746"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硬度</w:t>
            </w:r>
          </w:p>
        </w:tc>
        <w:tc>
          <w:tcPr>
            <w:tcW w:w="2726" w:type="dxa"/>
            <w:shd w:val="clear" w:color="auto" w:fill="FFFFFF"/>
            <w:vAlign w:val="center"/>
          </w:tcPr>
          <w:p>
            <w:pPr>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val="zh-TW" w:eastAsia="zh-TW"/>
              </w:rPr>
              <w:t>每批在两根钢管上各取1个试样</w:t>
            </w:r>
          </w:p>
        </w:tc>
        <w:tc>
          <w:tcPr>
            <w:tcW w:w="2128" w:type="dxa"/>
            <w:shd w:val="clear" w:color="auto" w:fill="FFFFFF"/>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230.1、GB/T231.1</w:t>
            </w:r>
          </w:p>
        </w:tc>
        <w:tc>
          <w:tcPr>
            <w:tcW w:w="2129" w:type="dxa"/>
            <w:shd w:val="clear" w:color="auto" w:fill="FFFFFF"/>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230.1、GB/T 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4</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低温冲击</w:t>
            </w:r>
          </w:p>
        </w:tc>
        <w:tc>
          <w:tcPr>
            <w:tcW w:w="272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3个/批</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2975</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5</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液压</w:t>
            </w:r>
          </w:p>
        </w:tc>
        <w:tc>
          <w:tcPr>
            <w:tcW w:w="272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逐根</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 xml:space="preserve">GB/T </w:t>
            </w:r>
            <w:r>
              <w:rPr>
                <w:rFonts w:hint="default" w:ascii="Times New Roman" w:hAnsi="Times New Roman" w:cs="Times New Roman"/>
                <w:sz w:val="18"/>
                <w:szCs w:val="18"/>
                <w:highlight w:val="none"/>
                <w:lang w:val="zh-TW" w:eastAsia="zh-TW"/>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6</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压扁</w:t>
            </w:r>
          </w:p>
        </w:tc>
        <w:tc>
          <w:tcPr>
            <w:tcW w:w="2726"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zh-TW" w:eastAsia="zh-TW"/>
              </w:rPr>
              <w:t>每批在两根钢管上各取1个试样</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 xml:space="preserve">GB/T </w:t>
            </w:r>
            <w:r>
              <w:rPr>
                <w:rFonts w:hint="default" w:ascii="Times New Roman" w:hAnsi="Times New Roman" w:cs="Times New Roman"/>
                <w:sz w:val="18"/>
                <w:szCs w:val="18"/>
                <w:highlight w:val="none"/>
                <w:lang w:val="zh-TW" w:eastAsia="zh-TW"/>
              </w:rPr>
              <w:t>246</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246</w:t>
            </w:r>
            <w:r>
              <w:rPr>
                <w:rFonts w:hint="eastAsia" w:cs="Times New Roman"/>
                <w:sz w:val="18"/>
                <w:szCs w:val="18"/>
                <w:highlight w:val="none"/>
                <w:lang w:eastAsia="zh-CN"/>
              </w:rPr>
              <w:t>、</w:t>
            </w:r>
            <w:r>
              <w:rPr>
                <w:rFonts w:hint="default" w:ascii="Times New Roman" w:hAnsi="Times New Roman" w:cs="Times New Roman"/>
                <w:sz w:val="18"/>
                <w:szCs w:val="18"/>
                <w:highlight w:val="none"/>
                <w:lang w:eastAsia="en-US"/>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7</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扩口</w:t>
            </w:r>
          </w:p>
        </w:tc>
        <w:tc>
          <w:tcPr>
            <w:tcW w:w="2726"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zh-TW" w:eastAsia="zh-TW"/>
              </w:rPr>
              <w:t>每批在两根钢管上各取1个试样</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 xml:space="preserve">GB/T </w:t>
            </w:r>
            <w:r>
              <w:rPr>
                <w:rFonts w:hint="default" w:ascii="Times New Roman" w:hAnsi="Times New Roman" w:cs="Times New Roman"/>
                <w:sz w:val="18"/>
                <w:szCs w:val="18"/>
                <w:highlight w:val="none"/>
                <w:lang w:val="zh-TW" w:eastAsia="zh-TW"/>
              </w:rPr>
              <w:t>242</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 xml:space="preserve">GB/T </w:t>
            </w:r>
            <w:r>
              <w:rPr>
                <w:rFonts w:hint="default" w:ascii="Times New Roman" w:hAnsi="Times New Roman" w:cs="Times New Roman"/>
                <w:sz w:val="18"/>
                <w:szCs w:val="18"/>
                <w:highlight w:val="none"/>
                <w:lang w:val="zh-TW" w:eastAsia="zh-TW"/>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8</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晶间腐蚀</w:t>
            </w:r>
          </w:p>
        </w:tc>
        <w:tc>
          <w:tcPr>
            <w:tcW w:w="2726"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zh-TW" w:eastAsia="zh-TW"/>
              </w:rPr>
              <w:t>每批在两根钢管上各取1组试样</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w:t>
            </w:r>
            <w:r>
              <w:rPr>
                <w:rFonts w:hint="eastAsia" w:cs="Times New Roman"/>
                <w:sz w:val="18"/>
                <w:szCs w:val="18"/>
                <w:highlight w:val="none"/>
                <w:lang w:val="en-US" w:eastAsia="zh-CN"/>
              </w:rPr>
              <w:t xml:space="preserve"> </w:t>
            </w:r>
            <w:r>
              <w:rPr>
                <w:rFonts w:hint="default" w:ascii="Times New Roman" w:hAnsi="Times New Roman" w:cs="Times New Roman"/>
                <w:sz w:val="18"/>
                <w:szCs w:val="18"/>
                <w:highlight w:val="none"/>
                <w:lang w:eastAsia="en-US"/>
              </w:rPr>
              <w:t>4334-2020</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w:t>
            </w:r>
            <w:r>
              <w:rPr>
                <w:rFonts w:hint="eastAsia" w:cs="Times New Roman"/>
                <w:sz w:val="18"/>
                <w:szCs w:val="18"/>
                <w:highlight w:val="none"/>
                <w:lang w:val="en-US" w:eastAsia="zh-CN"/>
              </w:rPr>
              <w:t xml:space="preserve"> </w:t>
            </w:r>
            <w:r>
              <w:rPr>
                <w:rFonts w:hint="default" w:ascii="Times New Roman" w:hAnsi="Times New Roman" w:cs="Times New Roman"/>
                <w:sz w:val="18"/>
                <w:szCs w:val="18"/>
                <w:highlight w:val="none"/>
                <w:lang w:eastAsia="en-US"/>
              </w:rPr>
              <w:t xml:space="preserve">4334-2020 </w:t>
            </w:r>
            <w:r>
              <w:rPr>
                <w:rFonts w:hint="default" w:ascii="Times New Roman" w:hAnsi="Times New Roman" w:cs="Times New Roman"/>
                <w:sz w:val="18"/>
                <w:szCs w:val="18"/>
                <w:highlight w:val="none"/>
                <w:lang w:val="zh-TW" w:eastAsia="zh-TW"/>
              </w:rPr>
              <w:t>中</w:t>
            </w:r>
            <w:r>
              <w:rPr>
                <w:rFonts w:hint="default" w:ascii="Times New Roman" w:hAnsi="Times New Roman" w:cs="Times New Roman"/>
                <w:sz w:val="18"/>
                <w:szCs w:val="18"/>
                <w:highlight w:val="none"/>
                <w:lang w:eastAsia="en-US"/>
              </w:rPr>
              <w:t>E</w:t>
            </w:r>
            <w:r>
              <w:rPr>
                <w:rFonts w:hint="default" w:ascii="Times New Roman" w:hAnsi="Times New Roman" w:cs="Times New Roman"/>
                <w:sz w:val="18"/>
                <w:szCs w:val="18"/>
                <w:highlight w:val="none"/>
                <w:lang w:val="zh-TW" w:eastAsia="zh-TW"/>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9</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晶粒度</w:t>
            </w:r>
          </w:p>
        </w:tc>
        <w:tc>
          <w:tcPr>
            <w:tcW w:w="2726"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zh-TW" w:eastAsia="zh-TW"/>
              </w:rPr>
              <w:t>每批在两根钢管上各取1个试样</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 xml:space="preserve">GB/T </w:t>
            </w:r>
            <w:r>
              <w:rPr>
                <w:rFonts w:hint="default" w:ascii="Times New Roman" w:hAnsi="Times New Roman" w:cs="Times New Roman"/>
                <w:sz w:val="18"/>
                <w:szCs w:val="18"/>
                <w:highlight w:val="none"/>
                <w:lang w:val="zh-TW" w:eastAsia="zh-TW"/>
              </w:rPr>
              <w:t>6394</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 xml:space="preserve">GB/T </w:t>
            </w:r>
            <w:r>
              <w:rPr>
                <w:rFonts w:hint="default" w:ascii="Times New Roman" w:hAnsi="Times New Roman" w:cs="Times New Roman"/>
                <w:sz w:val="18"/>
                <w:szCs w:val="18"/>
                <w:highlight w:val="none"/>
                <w:lang w:val="zh-TW" w:eastAsia="zh-TW"/>
              </w:rPr>
              <w:t>6394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3" w:hRule="exact"/>
          <w:jc w:val="center"/>
        </w:trPr>
        <w:tc>
          <w:tcPr>
            <w:tcW w:w="645" w:type="dxa"/>
            <w:shd w:val="clear" w:color="auto" w:fill="FFFFFF"/>
            <w:vAlign w:val="center"/>
          </w:tcPr>
          <w:p>
            <w:pPr>
              <w:jc w:val="center"/>
              <w:rPr>
                <w:rFonts w:hint="default" w:ascii="Times New Roman" w:hAnsi="Times New Roman" w:eastAsia="PMingLiU" w:cs="Times New Roman"/>
                <w:sz w:val="18"/>
                <w:szCs w:val="18"/>
                <w:highlight w:val="none"/>
                <w:lang w:val="zh-TW" w:eastAsia="zh-TW"/>
              </w:rPr>
            </w:pPr>
            <w:r>
              <w:rPr>
                <w:rFonts w:hint="default" w:ascii="Times New Roman" w:hAnsi="Times New Roman" w:cs="Times New Roman"/>
                <w:sz w:val="18"/>
                <w:szCs w:val="18"/>
                <w:highlight w:val="none"/>
                <w:lang w:val="zh-TW"/>
              </w:rPr>
              <w:t>1</w:t>
            </w:r>
            <w:r>
              <w:rPr>
                <w:rFonts w:hint="default" w:ascii="Times New Roman" w:hAnsi="Times New Roman" w:eastAsia="PMingLiU" w:cs="Times New Roman"/>
                <w:sz w:val="18"/>
                <w:szCs w:val="18"/>
                <w:highlight w:val="none"/>
                <w:lang w:val="zh-TW" w:eastAsia="zh-TW"/>
              </w:rPr>
              <w:t>0</w:t>
            </w:r>
          </w:p>
        </w:tc>
        <w:tc>
          <w:tcPr>
            <w:tcW w:w="1746" w:type="dxa"/>
            <w:shd w:val="clear" w:color="auto" w:fill="FFFFFF"/>
            <w:vAlign w:val="center"/>
          </w:tcPr>
          <w:p>
            <w:pPr>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val="zh-TW"/>
              </w:rPr>
              <w:t>铁素体</w:t>
            </w:r>
          </w:p>
        </w:tc>
        <w:tc>
          <w:tcPr>
            <w:tcW w:w="2726" w:type="dxa"/>
            <w:shd w:val="clear" w:color="auto" w:fill="FFFFFF"/>
            <w:vAlign w:val="center"/>
          </w:tcPr>
          <w:p>
            <w:pPr>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val="zh-TW" w:eastAsia="zh-TW"/>
              </w:rPr>
              <w:t>每批在两根钢管上各取1个试样</w:t>
            </w:r>
          </w:p>
        </w:tc>
        <w:tc>
          <w:tcPr>
            <w:tcW w:w="2128" w:type="dxa"/>
            <w:shd w:val="clear" w:color="auto" w:fill="FFFFFF"/>
            <w:vAlign w:val="center"/>
          </w:tcPr>
          <w:p>
            <w:pPr>
              <w:jc w:val="center"/>
              <w:rPr>
                <w:rFonts w:hint="default" w:ascii="Times New Roman" w:hAnsi="Times New Roman" w:eastAsia="PMingLiU" w:cs="Times New Roman"/>
                <w:sz w:val="18"/>
                <w:szCs w:val="18"/>
                <w:highlight w:val="none"/>
              </w:rPr>
            </w:pPr>
            <w:r>
              <w:rPr>
                <w:rFonts w:hint="default" w:ascii="Times New Roman" w:hAnsi="Times New Roman" w:cs="Times New Roman"/>
                <w:sz w:val="18"/>
                <w:szCs w:val="18"/>
                <w:highlight w:val="none"/>
                <w:lang w:eastAsia="en-US"/>
              </w:rPr>
              <w:t xml:space="preserve">GB/T </w:t>
            </w:r>
            <w:r>
              <w:rPr>
                <w:rFonts w:hint="default" w:ascii="Times New Roman" w:hAnsi="Times New Roman" w:eastAsia="PMingLiU" w:cs="Times New Roman"/>
                <w:sz w:val="18"/>
                <w:szCs w:val="18"/>
                <w:highlight w:val="none"/>
                <w:lang w:val="zh-TW" w:eastAsia="zh-TW"/>
              </w:rPr>
              <w:t>13305</w:t>
            </w:r>
          </w:p>
        </w:tc>
        <w:tc>
          <w:tcPr>
            <w:tcW w:w="2129"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eastAsia="en-US"/>
              </w:rPr>
              <w:t xml:space="preserve">GB/T </w:t>
            </w:r>
            <w:r>
              <w:rPr>
                <w:rFonts w:hint="default" w:ascii="Times New Roman" w:hAnsi="Times New Roman" w:eastAsia="PMingLiU" w:cs="Times New Roman"/>
                <w:sz w:val="18"/>
                <w:szCs w:val="18"/>
                <w:highlight w:val="none"/>
                <w:lang w:val="zh-TW" w:eastAsia="zh-TW"/>
              </w:rPr>
              <w:t>13305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3"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zh-TW" w:eastAsia="zh-TW"/>
              </w:rPr>
              <w:t>1</w:t>
            </w:r>
            <w:r>
              <w:rPr>
                <w:rFonts w:hint="default" w:ascii="Times New Roman" w:hAnsi="Times New Roman" w:cs="Times New Roman"/>
                <w:sz w:val="18"/>
                <w:szCs w:val="18"/>
                <w:highlight w:val="none"/>
              </w:rPr>
              <w:t>1</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非金属夹杂</w:t>
            </w:r>
          </w:p>
        </w:tc>
        <w:tc>
          <w:tcPr>
            <w:tcW w:w="2726"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zh-TW" w:eastAsia="zh-TW"/>
              </w:rPr>
              <w:t>每批在两根钢管上各取1个试样</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10561—2023</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10561-2023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eastAsia="en-US"/>
              </w:rPr>
              <w:t>1</w:t>
            </w:r>
            <w:r>
              <w:rPr>
                <w:rFonts w:hint="default" w:ascii="Times New Roman" w:hAnsi="Times New Roman" w:cs="Times New Roman"/>
                <w:sz w:val="18"/>
                <w:szCs w:val="18"/>
                <w:highlight w:val="none"/>
              </w:rPr>
              <w:t>2</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粗糙度</w:t>
            </w:r>
          </w:p>
        </w:tc>
        <w:tc>
          <w:tcPr>
            <w:tcW w:w="272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每批两根钢管</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 xml:space="preserve">GB/T </w:t>
            </w:r>
            <w:r>
              <w:rPr>
                <w:rFonts w:hint="default" w:ascii="Times New Roman" w:hAnsi="Times New Roman" w:cs="Times New Roman"/>
                <w:sz w:val="18"/>
                <w:szCs w:val="18"/>
                <w:highlight w:val="none"/>
                <w:lang w:val="zh-TW" w:eastAsia="zh-TW"/>
              </w:rPr>
              <w:t>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zh-TW" w:eastAsia="zh-TW"/>
              </w:rPr>
              <w:t>1</w:t>
            </w:r>
            <w:r>
              <w:rPr>
                <w:rFonts w:hint="default" w:ascii="Times New Roman" w:hAnsi="Times New Roman" w:cs="Times New Roman"/>
                <w:sz w:val="18"/>
                <w:szCs w:val="18"/>
                <w:highlight w:val="none"/>
              </w:rPr>
              <w:t>3</w:t>
            </w:r>
          </w:p>
        </w:tc>
        <w:tc>
          <w:tcPr>
            <w:tcW w:w="1746" w:type="dxa"/>
            <w:shd w:val="clear" w:color="auto" w:fill="FFFFFF"/>
            <w:vAlign w:val="center"/>
          </w:tcPr>
          <w:p>
            <w:pPr>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val="zh-TW" w:eastAsia="zh-TW"/>
              </w:rPr>
              <w:t>氢脆敏感性</w:t>
            </w:r>
          </w:p>
        </w:tc>
        <w:tc>
          <w:tcPr>
            <w:tcW w:w="2726" w:type="dxa"/>
            <w:shd w:val="clear" w:color="auto" w:fill="FFFFFF"/>
            <w:vAlign w:val="center"/>
          </w:tcPr>
          <w:p>
            <w:pPr>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val="zh-TW" w:eastAsia="en-US"/>
              </w:rPr>
              <w:t>1个/批</w:t>
            </w:r>
          </w:p>
        </w:tc>
        <w:tc>
          <w:tcPr>
            <w:tcW w:w="2128" w:type="dxa"/>
            <w:shd w:val="clear" w:color="auto" w:fill="FFFFFF"/>
            <w:vAlign w:val="center"/>
          </w:tcPr>
          <w:p>
            <w:pPr>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eastAsia="en-US"/>
              </w:rPr>
              <w:t>GB/T 34542.3</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34542.3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eastAsia="en-US"/>
              </w:rPr>
              <w:t>1</w:t>
            </w:r>
            <w:r>
              <w:rPr>
                <w:rFonts w:hint="default" w:ascii="Times New Roman" w:hAnsi="Times New Roman" w:cs="Times New Roman"/>
                <w:sz w:val="18"/>
                <w:szCs w:val="18"/>
                <w:highlight w:val="none"/>
              </w:rPr>
              <w:t>4</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抗氢致开裂</w:t>
            </w:r>
          </w:p>
        </w:tc>
        <w:tc>
          <w:tcPr>
            <w:tcW w:w="272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en-US"/>
              </w:rPr>
              <w:t>1个/批</w:t>
            </w:r>
          </w:p>
        </w:tc>
        <w:tc>
          <w:tcPr>
            <w:tcW w:w="2128" w:type="dxa"/>
            <w:shd w:val="clear" w:color="auto" w:fill="FFFFFF"/>
            <w:vAlign w:val="center"/>
          </w:tcPr>
          <w:p>
            <w:pPr>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eastAsia="en-US"/>
              </w:rPr>
              <w:t>GB/T 8650</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eastAsia="en-US"/>
              </w:rPr>
              <w:t>1</w:t>
            </w:r>
            <w:r>
              <w:rPr>
                <w:rFonts w:hint="default" w:ascii="Times New Roman" w:hAnsi="Times New Roman" w:cs="Times New Roman"/>
                <w:sz w:val="18"/>
                <w:szCs w:val="18"/>
                <w:highlight w:val="none"/>
              </w:rPr>
              <w:t>5</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超声检测</w:t>
            </w:r>
          </w:p>
        </w:tc>
        <w:tc>
          <w:tcPr>
            <w:tcW w:w="272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逐根</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GB/T 5777-2019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16</w:t>
            </w:r>
          </w:p>
        </w:tc>
        <w:tc>
          <w:tcPr>
            <w:tcW w:w="174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渗透检测</w:t>
            </w:r>
          </w:p>
        </w:tc>
        <w:tc>
          <w:tcPr>
            <w:tcW w:w="2726"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逐根</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val="zh-TW" w:eastAsia="zh-TW"/>
              </w:rPr>
              <w:t>—</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NB/T 47013.5-2015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17</w:t>
            </w:r>
          </w:p>
        </w:tc>
        <w:tc>
          <w:tcPr>
            <w:tcW w:w="1746" w:type="dxa"/>
            <w:shd w:val="clear" w:color="auto" w:fill="FFFFFF"/>
            <w:vAlign w:val="center"/>
          </w:tcPr>
          <w:p>
            <w:pPr>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eastAsia="en-US"/>
              </w:rPr>
              <w:t>尺  寸</w:t>
            </w:r>
          </w:p>
        </w:tc>
        <w:tc>
          <w:tcPr>
            <w:tcW w:w="2726" w:type="dxa"/>
            <w:shd w:val="clear" w:color="auto" w:fill="FFFFFF"/>
            <w:vAlign w:val="center"/>
          </w:tcPr>
          <w:p>
            <w:pPr>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eastAsia="en-US"/>
              </w:rPr>
              <w:t>逐根</w:t>
            </w:r>
          </w:p>
        </w:tc>
        <w:tc>
          <w:tcPr>
            <w:tcW w:w="2128"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整根钢管</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bookmarkStart w:id="10" w:name="_GoBack"/>
            <w:r>
              <w:rPr>
                <w:rFonts w:hint="default" w:ascii="Times New Roman" w:hAnsi="Times New Roman" w:cs="Times New Roman"/>
                <w:sz w:val="18"/>
                <w:szCs w:val="18"/>
                <w:highlight w:val="none"/>
                <w:lang w:eastAsia="en-US"/>
              </w:rPr>
              <w:t>卡尺、千分尺</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645" w:type="dxa"/>
            <w:shd w:val="clear" w:color="auto" w:fill="FFFFFF"/>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18</w:t>
            </w:r>
          </w:p>
        </w:tc>
        <w:tc>
          <w:tcPr>
            <w:tcW w:w="1746" w:type="dxa"/>
            <w:shd w:val="clear" w:color="auto" w:fill="FFFFFF"/>
            <w:vAlign w:val="center"/>
          </w:tcPr>
          <w:p>
            <w:pPr>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eastAsia="en-US"/>
              </w:rPr>
              <w:t>内外表面</w:t>
            </w:r>
          </w:p>
        </w:tc>
        <w:tc>
          <w:tcPr>
            <w:tcW w:w="2726" w:type="dxa"/>
            <w:shd w:val="clear" w:color="auto" w:fill="FFFFFF"/>
            <w:vAlign w:val="center"/>
          </w:tcPr>
          <w:p>
            <w:pPr>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eastAsia="en-US"/>
              </w:rPr>
              <w:t>逐根</w:t>
            </w:r>
          </w:p>
        </w:tc>
        <w:tc>
          <w:tcPr>
            <w:tcW w:w="2128" w:type="dxa"/>
            <w:shd w:val="clear" w:color="auto" w:fill="FFFFFF"/>
            <w:vAlign w:val="center"/>
          </w:tcPr>
          <w:p>
            <w:pPr>
              <w:jc w:val="center"/>
              <w:rPr>
                <w:rFonts w:hint="default" w:ascii="Times New Roman" w:hAnsi="Times New Roman" w:cs="Times New Roman"/>
                <w:sz w:val="18"/>
                <w:szCs w:val="18"/>
                <w:highlight w:val="none"/>
                <w:lang w:val="zh-TW" w:eastAsia="en-US"/>
              </w:rPr>
            </w:pPr>
            <w:r>
              <w:rPr>
                <w:rFonts w:hint="default" w:ascii="Times New Roman" w:hAnsi="Times New Roman" w:cs="Times New Roman"/>
                <w:sz w:val="18"/>
                <w:szCs w:val="18"/>
                <w:highlight w:val="none"/>
                <w:lang w:eastAsia="en-US"/>
              </w:rPr>
              <w:t>整根钢管</w:t>
            </w:r>
          </w:p>
        </w:tc>
        <w:tc>
          <w:tcPr>
            <w:tcW w:w="2129" w:type="dxa"/>
            <w:shd w:val="clear" w:color="auto" w:fill="FFFFFF"/>
            <w:vAlign w:val="center"/>
          </w:tcPr>
          <w:p>
            <w:pPr>
              <w:jc w:val="center"/>
              <w:rPr>
                <w:rFonts w:hint="default" w:ascii="Times New Roman" w:hAnsi="Times New Roman" w:cs="Times New Roman"/>
                <w:sz w:val="18"/>
                <w:szCs w:val="18"/>
                <w:highlight w:val="none"/>
                <w:lang w:eastAsia="en-US"/>
              </w:rPr>
            </w:pPr>
            <w:r>
              <w:rPr>
                <w:rFonts w:hint="default" w:ascii="Times New Roman" w:hAnsi="Times New Roman" w:cs="Times New Roman"/>
                <w:sz w:val="18"/>
                <w:szCs w:val="18"/>
                <w:highlight w:val="none"/>
                <w:lang w:eastAsia="en-US"/>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6" w:hRule="exact"/>
          <w:jc w:val="center"/>
        </w:trPr>
        <w:tc>
          <w:tcPr>
            <w:tcW w:w="9374" w:type="dxa"/>
            <w:gridSpan w:val="5"/>
            <w:shd w:val="clear" w:color="auto" w:fill="FFFFFF"/>
            <w:vAlign w:val="center"/>
          </w:tcPr>
          <w:p>
            <w:pPr>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vertAlign w:val="superscript"/>
                <w:lang w:val="zh-TW"/>
              </w:rPr>
              <w:t>a</w:t>
            </w:r>
            <w:r>
              <w:rPr>
                <w:rFonts w:hint="default" w:ascii="Times New Roman" w:hAnsi="Times New Roman" w:cs="Times New Roman"/>
                <w:sz w:val="18"/>
                <w:szCs w:val="18"/>
                <w:highlight w:val="none"/>
              </w:rPr>
              <w:t>电渣钢按熔炼母炉号组批时，取样按炉取样，但化学</w:t>
            </w:r>
            <w:r>
              <w:rPr>
                <w:rFonts w:hint="default" w:ascii="Times New Roman" w:hAnsi="Times New Roman" w:cs="Times New Roman"/>
                <w:sz w:val="18"/>
                <w:szCs w:val="18"/>
                <w:highlight w:val="none"/>
                <w:lang w:val="zh-TW"/>
              </w:rPr>
              <w:t>成分应每个电渣炉号取1个样；电渣钢按子炉号组批时，取样按电渣钢取样。</w:t>
            </w:r>
          </w:p>
        </w:tc>
      </w:tr>
    </w:tbl>
    <w:p>
      <w:pPr>
        <w:pStyle w:val="22"/>
        <w:ind w:firstLine="400"/>
        <w:rPr>
          <w:rFonts w:hint="default" w:ascii="Times New Roman" w:hAnsi="Times New Roman" w:cs="Times New Roman"/>
          <w:highlight w:val="none"/>
        </w:rPr>
      </w:pPr>
    </w:p>
    <w:p>
      <w:pPr>
        <w:pStyle w:val="21"/>
        <w:numPr>
          <w:ilvl w:val="0"/>
          <w:numId w:val="4"/>
        </w:numPr>
        <w:spacing w:before="312" w:after="312"/>
        <w:ind w:left="0" w:firstLine="0"/>
        <w:rPr>
          <w:rFonts w:hint="default" w:ascii="Times New Roman" w:hAnsi="Times New Roman" w:cs="Times New Roman"/>
          <w:highlight w:val="none"/>
        </w:rPr>
      </w:pPr>
      <w:r>
        <w:rPr>
          <w:rFonts w:hint="default" w:ascii="Times New Roman" w:hAnsi="Times New Roman" w:cs="Times New Roman"/>
          <w:highlight w:val="none"/>
        </w:rPr>
        <w:t>检验规则</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检查和验收</w:t>
      </w:r>
    </w:p>
    <w:p>
      <w:pPr>
        <w:pStyle w:val="38"/>
        <w:ind w:firstLine="373" w:firstLineChars="178"/>
        <w:rPr>
          <w:rFonts w:hint="default" w:ascii="Times New Roman" w:hAnsi="Times New Roman" w:cs="Times New Roman"/>
          <w:highlight w:val="none"/>
        </w:rPr>
      </w:pPr>
      <w:r>
        <w:rPr>
          <w:rStyle w:val="14"/>
          <w:rFonts w:hint="default" w:ascii="Times New Roman" w:hAnsi="Times New Roman" w:cs="Times New Roman"/>
          <w:highlight w:val="none"/>
        </w:rPr>
        <w:t>钢管的检查和验收由供方质量检验部门进行。</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组批规则</w:t>
      </w:r>
    </w:p>
    <w:p>
      <w:pPr>
        <w:pStyle w:val="38"/>
        <w:ind w:firstLine="373" w:firstLineChars="178"/>
        <w:rPr>
          <w:rFonts w:hint="default" w:ascii="Times New Roman" w:hAnsi="Times New Roman" w:cs="Times New Roman"/>
          <w:highlight w:val="none"/>
        </w:rPr>
      </w:pPr>
      <w:r>
        <w:rPr>
          <w:rFonts w:hint="default" w:ascii="Times New Roman" w:hAnsi="Times New Roman" w:cs="Times New Roman"/>
          <w:highlight w:val="none"/>
        </w:rPr>
        <w:t>钢管应按批进行检查和验收。每批应由同一牌号、同一炉号、同一规格和同一热处理制度（炉次）的钢管组成，采用电渣重熔冶炼的钢管，在工艺稳定且能保证</w:t>
      </w:r>
      <w:r>
        <w:rPr>
          <w:rFonts w:hint="default" w:ascii="Times New Roman" w:hAnsi="Times New Roman" w:cs="Times New Roman"/>
          <w:highlight w:val="none"/>
          <w:lang w:eastAsia="zh-CN"/>
        </w:rPr>
        <w:t>本文件</w:t>
      </w:r>
      <w:r>
        <w:rPr>
          <w:rFonts w:hint="default" w:ascii="Times New Roman" w:hAnsi="Times New Roman" w:cs="Times New Roman"/>
          <w:highlight w:val="none"/>
        </w:rPr>
        <w:t>各项要求的条件下，允许以自耗电极的熔炼母炉号组批交货。每批钢管的数量应不超过如下规定：</w:t>
      </w:r>
      <w:r>
        <w:rPr>
          <w:rFonts w:hint="default" w:ascii="Times New Roman" w:hAnsi="Times New Roman" w:cs="Times New Roman"/>
          <w:highlight w:val="none"/>
        </w:rPr>
        <w:tab/>
      </w:r>
    </w:p>
    <w:p>
      <w:pPr>
        <w:pStyle w:val="38"/>
        <w:ind w:firstLine="373" w:firstLineChars="178"/>
        <w:rPr>
          <w:rFonts w:hint="default" w:ascii="Times New Roman" w:hAnsi="Times New Roman" w:cs="Times New Roman"/>
          <w:highlight w:val="none"/>
        </w:rPr>
      </w:pPr>
      <w:r>
        <w:rPr>
          <w:rFonts w:hint="default" w:ascii="Times New Roman" w:hAnsi="Times New Roman" w:cs="Times New Roman"/>
          <w:highlight w:val="none"/>
        </w:rPr>
        <w:t>a）</w:t>
      </w:r>
      <w:r>
        <w:rPr>
          <w:rFonts w:hint="default" w:ascii="Times New Roman" w:hAnsi="Times New Roman" w:cs="Times New Roman"/>
          <w:highlight w:val="none"/>
        </w:rPr>
        <w:tab/>
      </w:r>
      <w:r>
        <w:rPr>
          <w:rFonts w:hint="default" w:ascii="Times New Roman" w:hAnsi="Times New Roman" w:cs="Times New Roman"/>
          <w:highlight w:val="none"/>
        </w:rPr>
        <w:t>外径不大于76 mm且壁厚不大于3 mm，500根；</w:t>
      </w:r>
    </w:p>
    <w:p>
      <w:pPr>
        <w:pStyle w:val="38"/>
        <w:ind w:firstLine="373" w:firstLineChars="178"/>
        <w:rPr>
          <w:rFonts w:hint="default" w:ascii="Times New Roman" w:hAnsi="Times New Roman" w:cs="Times New Roman"/>
          <w:highlight w:val="none"/>
        </w:rPr>
      </w:pPr>
      <w:r>
        <w:rPr>
          <w:rFonts w:hint="default" w:ascii="Times New Roman" w:hAnsi="Times New Roman" w:cs="Times New Roman"/>
          <w:highlight w:val="none"/>
        </w:rPr>
        <w:t>b）</w:t>
      </w:r>
      <w:r>
        <w:rPr>
          <w:rFonts w:hint="default" w:ascii="Times New Roman" w:hAnsi="Times New Roman" w:cs="Times New Roman"/>
          <w:highlight w:val="none"/>
        </w:rPr>
        <w:tab/>
      </w:r>
      <w:r>
        <w:rPr>
          <w:rFonts w:hint="default" w:ascii="Times New Roman" w:hAnsi="Times New Roman" w:cs="Times New Roman"/>
          <w:highlight w:val="none"/>
        </w:rPr>
        <w:t>其他尺寸，200根。</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取样数量</w:t>
      </w:r>
    </w:p>
    <w:p>
      <w:pPr>
        <w:pStyle w:val="2"/>
        <w:ind w:left="374" w:firstLine="0"/>
        <w:rPr>
          <w:rFonts w:hint="default" w:ascii="Times New Roman" w:hAnsi="Times New Roman" w:cs="Times New Roman"/>
          <w:highlight w:val="none"/>
        </w:rPr>
      </w:pPr>
      <w:r>
        <w:rPr>
          <w:rFonts w:hint="default" w:ascii="Times New Roman" w:hAnsi="Times New Roman" w:cs="Times New Roman"/>
          <w:highlight w:val="none"/>
        </w:rPr>
        <w:t>管坯的取样数量应符合表8的规定。</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复验和判定规则</w:t>
      </w:r>
    </w:p>
    <w:p>
      <w:pPr>
        <w:pStyle w:val="38"/>
        <w:ind w:left="374" w:firstLine="0" w:firstLineChars="0"/>
        <w:rPr>
          <w:rFonts w:hint="default" w:ascii="Times New Roman" w:hAnsi="Times New Roman" w:cs="Times New Roman"/>
          <w:highlight w:val="none"/>
        </w:rPr>
      </w:pPr>
      <w:r>
        <w:rPr>
          <w:rFonts w:hint="default" w:ascii="Times New Roman" w:hAnsi="Times New Roman" w:cs="Times New Roman"/>
          <w:highlight w:val="none"/>
        </w:rPr>
        <w:t>钢管的复验与判定应符合GB/T 2102的规定。</w:t>
      </w:r>
    </w:p>
    <w:p>
      <w:pPr>
        <w:pStyle w:val="24"/>
        <w:numPr>
          <w:ilvl w:val="1"/>
          <w:numId w:val="4"/>
        </w:numPr>
        <w:spacing w:before="156" w:after="156"/>
        <w:ind w:left="0" w:firstLine="0"/>
        <w:rPr>
          <w:rFonts w:hint="default" w:ascii="Times New Roman" w:hAnsi="Times New Roman" w:cs="Times New Roman"/>
          <w:highlight w:val="none"/>
        </w:rPr>
      </w:pPr>
      <w:r>
        <w:rPr>
          <w:rFonts w:hint="default" w:ascii="Times New Roman" w:hAnsi="Times New Roman" w:cs="Times New Roman"/>
          <w:highlight w:val="none"/>
        </w:rPr>
        <w:t>数值修约</w:t>
      </w:r>
    </w:p>
    <w:p>
      <w:pPr>
        <w:pStyle w:val="38"/>
        <w:ind w:left="374" w:firstLine="0" w:firstLineChars="0"/>
        <w:rPr>
          <w:rFonts w:hint="default" w:ascii="Times New Roman" w:hAnsi="Times New Roman" w:cs="Times New Roman"/>
          <w:highlight w:val="none"/>
        </w:rPr>
      </w:pPr>
      <w:r>
        <w:rPr>
          <w:rFonts w:hint="default" w:ascii="Times New Roman" w:hAnsi="Times New Roman" w:cs="Times New Roman"/>
          <w:highlight w:val="none"/>
        </w:rPr>
        <w:t>数值判定采用修约值比较法，数值修约按GB/T 8170规定执行。</w:t>
      </w:r>
    </w:p>
    <w:p>
      <w:pPr>
        <w:pStyle w:val="21"/>
        <w:numPr>
          <w:ilvl w:val="0"/>
          <w:numId w:val="4"/>
        </w:numPr>
        <w:spacing w:before="312" w:after="312"/>
        <w:ind w:left="0" w:firstLine="0"/>
        <w:rPr>
          <w:rFonts w:hint="default" w:ascii="Times New Roman" w:hAnsi="Times New Roman" w:cs="Times New Roman"/>
          <w:highlight w:val="none"/>
        </w:rPr>
      </w:pPr>
      <w:r>
        <w:rPr>
          <w:rFonts w:hint="default" w:ascii="Times New Roman" w:hAnsi="Times New Roman" w:cs="Times New Roman"/>
          <w:highlight w:val="none"/>
        </w:rPr>
        <w:t>包装、标志和质量证明书</w:t>
      </w:r>
    </w:p>
    <w:p>
      <w:pPr>
        <w:widowControl/>
        <w:tabs>
          <w:tab w:val="center" w:pos="4201"/>
          <w:tab w:val="right" w:leader="dot" w:pos="9298"/>
        </w:tabs>
        <w:autoSpaceDE w:val="0"/>
        <w:autoSpaceDN w:val="0"/>
        <w:ind w:firstLine="315" w:firstLineChars="150"/>
        <w:rPr>
          <w:rFonts w:hint="default" w:ascii="Times New Roman" w:hAnsi="Times New Roman" w:cs="Times New Roman"/>
          <w:highlight w:val="none"/>
        </w:rPr>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pPr>
      <w:r>
        <w:rPr>
          <w:rFonts w:hint="default" w:ascii="Times New Roman" w:hAnsi="Times New Roman" w:cs="Times New Roman"/>
          <w:highlight w:val="none"/>
        </w:rPr>
        <w:t>钢管的包装、标志和质量证明书应符合GB/T 2102的规定。</w:t>
      </w:r>
    </w:p>
    <w:p>
      <w:pPr>
        <w:pStyle w:val="22"/>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  录 A</w:t>
      </w:r>
    </w:p>
    <w:p>
      <w:pPr>
        <w:pStyle w:val="22"/>
        <w:tabs>
          <w:tab w:val="center" w:pos="4738"/>
          <w:tab w:val="left" w:pos="8168"/>
        </w:tabs>
        <w:ind w:firstLine="0" w:firstLineChars="0"/>
        <w:jc w:val="left"/>
        <w:rPr>
          <w:rFonts w:hint="default" w:ascii="Times New Roman" w:hAnsi="Times New Roman" w:cs="Times New Roman"/>
          <w:b/>
          <w:bCs/>
          <w:highlight w:val="none"/>
        </w:rPr>
      </w:pPr>
      <w:r>
        <w:rPr>
          <w:rFonts w:hint="default" w:ascii="Times New Roman" w:hAnsi="Times New Roman" w:cs="Times New Roman"/>
          <w:b/>
          <w:bCs/>
          <w:highlight w:val="none"/>
        </w:rPr>
        <w:tab/>
      </w:r>
      <w:r>
        <w:rPr>
          <w:rFonts w:hint="default" w:ascii="Times New Roman" w:hAnsi="Times New Roman" w:cs="Times New Roman"/>
          <w:b/>
          <w:bCs/>
          <w:highlight w:val="none"/>
        </w:rPr>
        <w:tab/>
      </w:r>
      <w:r>
        <w:rPr>
          <w:rFonts w:hint="default" w:ascii="Times New Roman" w:hAnsi="Times New Roman" w:cs="Times New Roman"/>
          <w:b/>
          <w:bCs/>
          <w:highlight w:val="none"/>
        </w:rPr>
        <w:t>(资料性)</w:t>
      </w:r>
      <w:r>
        <w:rPr>
          <w:rFonts w:hint="default" w:ascii="Times New Roman" w:hAnsi="Times New Roman" w:cs="Times New Roman"/>
          <w:b/>
          <w:bCs/>
          <w:highlight w:val="none"/>
        </w:rPr>
        <w:tab/>
      </w:r>
    </w:p>
    <w:p>
      <w:pPr>
        <w:jc w:val="center"/>
        <w:rPr>
          <w:rFonts w:hint="default" w:ascii="Times New Roman" w:hAnsi="Times New Roman" w:cs="Times New Roman"/>
          <w:b/>
          <w:highlight w:val="none"/>
        </w:rPr>
      </w:pPr>
      <w:r>
        <w:rPr>
          <w:rFonts w:hint="default" w:ascii="Times New Roman" w:hAnsi="Times New Roman" w:cs="Times New Roman"/>
          <w:b/>
          <w:highlight w:val="none"/>
        </w:rPr>
        <w:t>本文件牌号与其他文件牌号对照</w:t>
      </w:r>
    </w:p>
    <w:p>
      <w:pPr>
        <w:widowControl/>
        <w:spacing w:before="156" w:beforeLines="50" w:after="156" w:afterLines="50"/>
        <w:rPr>
          <w:rFonts w:hint="default" w:ascii="Times New Roman" w:hAnsi="Times New Roman" w:eastAsia="黑体" w:cs="Times New Roman"/>
          <w:kern w:val="0"/>
          <w:szCs w:val="20"/>
          <w:highlight w:val="none"/>
        </w:rPr>
      </w:pPr>
    </w:p>
    <w:p>
      <w:pPr>
        <w:widowControl/>
        <w:spacing w:before="156" w:beforeLines="50" w:after="156" w:afterLines="50"/>
        <w:rPr>
          <w:rFonts w:hint="default" w:ascii="Times New Roman" w:hAnsi="Times New Roman" w:eastAsia="黑体" w:cs="Times New Roman"/>
          <w:highlight w:val="none"/>
        </w:rPr>
      </w:pPr>
      <w:r>
        <w:rPr>
          <w:rFonts w:hint="default" w:ascii="Times New Roman" w:hAnsi="Times New Roman" w:eastAsia="黑体" w:cs="Times New Roman"/>
          <w:kern w:val="0"/>
          <w:szCs w:val="20"/>
          <w:highlight w:val="none"/>
        </w:rPr>
        <w:t xml:space="preserve">A.1 </w:t>
      </w:r>
      <w:r>
        <w:rPr>
          <w:rFonts w:hint="default" w:ascii="Times New Roman" w:hAnsi="Times New Roman" w:eastAsia="黑体" w:cs="Times New Roman"/>
          <w:highlight w:val="none"/>
          <w:lang w:eastAsia="zh-CN"/>
        </w:rPr>
        <w:t>本文件</w:t>
      </w:r>
      <w:r>
        <w:rPr>
          <w:rFonts w:hint="default" w:ascii="Times New Roman" w:hAnsi="Times New Roman" w:eastAsia="黑体" w:cs="Times New Roman"/>
          <w:highlight w:val="none"/>
        </w:rPr>
        <w:t>牌号与其他</w:t>
      </w:r>
      <w:r>
        <w:rPr>
          <w:rFonts w:hint="eastAsia" w:eastAsia="黑体" w:cs="Times New Roman"/>
          <w:highlight w:val="none"/>
          <w:lang w:val="en-US" w:eastAsia="zh-CN"/>
        </w:rPr>
        <w:t>文件</w:t>
      </w:r>
      <w:r>
        <w:rPr>
          <w:rFonts w:hint="default" w:ascii="Times New Roman" w:hAnsi="Times New Roman" w:eastAsia="黑体" w:cs="Times New Roman"/>
          <w:highlight w:val="none"/>
        </w:rPr>
        <w:t>牌号对照参见表A.1。</w:t>
      </w:r>
    </w:p>
    <w:p>
      <w:pPr>
        <w:pStyle w:val="22"/>
        <w:ind w:firstLine="0" w:firstLineChars="0"/>
        <w:jc w:val="center"/>
        <w:rPr>
          <w:rFonts w:hint="default" w:ascii="Times New Roman" w:hAnsi="Times New Roman" w:cs="Times New Roman"/>
          <w:b/>
          <w:bCs/>
          <w:highlight w:val="none"/>
        </w:rPr>
      </w:pPr>
    </w:p>
    <w:p>
      <w:pPr>
        <w:jc w:val="center"/>
        <w:rPr>
          <w:rFonts w:hint="default" w:ascii="Times New Roman" w:hAnsi="Times New Roman" w:cs="Times New Roman"/>
          <w:b/>
          <w:highlight w:val="none"/>
        </w:rPr>
      </w:pPr>
      <w:r>
        <w:rPr>
          <w:rFonts w:hint="default" w:ascii="Times New Roman" w:hAnsi="Times New Roman" w:cs="Times New Roman"/>
          <w:b/>
          <w:bCs/>
          <w:highlight w:val="none"/>
        </w:rPr>
        <w:t xml:space="preserve">表A.1  </w:t>
      </w:r>
      <w:r>
        <w:rPr>
          <w:rFonts w:hint="default" w:ascii="Times New Roman" w:hAnsi="Times New Roman" w:cs="Times New Roman"/>
          <w:b/>
          <w:highlight w:val="none"/>
        </w:rPr>
        <w:t>本文件牌号与其他文件牌号对照</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029"/>
        <w:gridCol w:w="1881"/>
        <w:gridCol w:w="1640"/>
        <w:gridCol w:w="2086"/>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序号</w:t>
            </w:r>
          </w:p>
        </w:tc>
        <w:tc>
          <w:tcPr>
            <w:tcW w:w="1060" w:type="pct"/>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统一数字代号</w:t>
            </w:r>
          </w:p>
        </w:tc>
        <w:tc>
          <w:tcPr>
            <w:tcW w:w="983" w:type="pct"/>
            <w:vAlign w:val="center"/>
          </w:tcPr>
          <w:p>
            <w:pPr>
              <w:spacing w:line="260" w:lineRule="exact"/>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 xml:space="preserve">GB/T 40297 </w:t>
            </w:r>
          </w:p>
        </w:tc>
        <w:tc>
          <w:tcPr>
            <w:tcW w:w="857"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美国</w:t>
            </w:r>
          </w:p>
        </w:tc>
        <w:tc>
          <w:tcPr>
            <w:tcW w:w="1090"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欧洲</w:t>
            </w:r>
          </w:p>
        </w:tc>
        <w:tc>
          <w:tcPr>
            <w:tcW w:w="629"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8" w:type="pct"/>
            <w:vAlign w:val="center"/>
          </w:tcPr>
          <w:p>
            <w:pPr>
              <w:spacing w:line="26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c>
          <w:tcPr>
            <w:tcW w:w="1060"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S31608</w:t>
            </w:r>
          </w:p>
        </w:tc>
        <w:tc>
          <w:tcPr>
            <w:tcW w:w="983"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06Cr17Ni12Mo2</w:t>
            </w:r>
          </w:p>
        </w:tc>
        <w:tc>
          <w:tcPr>
            <w:tcW w:w="857"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S31600</w:t>
            </w:r>
          </w:p>
        </w:tc>
        <w:tc>
          <w:tcPr>
            <w:tcW w:w="1090"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X5CrNiMo17-12-2</w:t>
            </w:r>
          </w:p>
        </w:tc>
        <w:tc>
          <w:tcPr>
            <w:tcW w:w="629"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SUS316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8" w:type="pct"/>
            <w:vAlign w:val="center"/>
          </w:tcPr>
          <w:p>
            <w:pPr>
              <w:spacing w:line="26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2</w:t>
            </w:r>
          </w:p>
        </w:tc>
        <w:tc>
          <w:tcPr>
            <w:tcW w:w="1060"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S31603</w:t>
            </w:r>
          </w:p>
        </w:tc>
        <w:tc>
          <w:tcPr>
            <w:tcW w:w="983"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022Cr17Ni12Mo2</w:t>
            </w:r>
          </w:p>
        </w:tc>
        <w:tc>
          <w:tcPr>
            <w:tcW w:w="857"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S31603</w:t>
            </w:r>
          </w:p>
        </w:tc>
        <w:tc>
          <w:tcPr>
            <w:tcW w:w="1090"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X2CrNiMo17-12-2</w:t>
            </w:r>
          </w:p>
        </w:tc>
        <w:tc>
          <w:tcPr>
            <w:tcW w:w="629"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SUS316L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8" w:type="pct"/>
            <w:vAlign w:val="center"/>
          </w:tcPr>
          <w:p>
            <w:pPr>
              <w:spacing w:line="26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3</w:t>
            </w:r>
          </w:p>
        </w:tc>
        <w:tc>
          <w:tcPr>
            <w:tcW w:w="1060"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S31653</w:t>
            </w:r>
          </w:p>
        </w:tc>
        <w:tc>
          <w:tcPr>
            <w:tcW w:w="983"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022Cr17Ni12Mo2N</w:t>
            </w:r>
          </w:p>
        </w:tc>
        <w:tc>
          <w:tcPr>
            <w:tcW w:w="857" w:type="pct"/>
            <w:vAlign w:val="center"/>
          </w:tcPr>
          <w:p>
            <w:pPr>
              <w:spacing w:line="260" w:lineRule="exact"/>
              <w:jc w:val="center"/>
              <w:rPr>
                <w:rFonts w:hint="default" w:ascii="Times New Roman" w:hAnsi="Times New Roman" w:cs="Times New Roman"/>
                <w:sz w:val="18"/>
                <w:szCs w:val="18"/>
                <w:highlight w:val="none"/>
                <w:lang w:val="zh-TW"/>
              </w:rPr>
            </w:pPr>
            <w:r>
              <w:rPr>
                <w:rFonts w:hint="default" w:ascii="Times New Roman" w:hAnsi="Times New Roman" w:cs="Times New Roman"/>
                <w:sz w:val="18"/>
                <w:szCs w:val="18"/>
                <w:highlight w:val="none"/>
                <w:lang w:val="zh-TW"/>
              </w:rPr>
              <w:t>S316</w:t>
            </w:r>
            <w:r>
              <w:rPr>
                <w:rFonts w:hint="default" w:ascii="Times New Roman" w:hAnsi="Times New Roman" w:cs="Times New Roman"/>
                <w:sz w:val="18"/>
                <w:szCs w:val="18"/>
                <w:highlight w:val="none"/>
                <w:lang w:val="zh-TW" w:eastAsia="zh-TW"/>
              </w:rPr>
              <w:t>5</w:t>
            </w:r>
            <w:r>
              <w:rPr>
                <w:rFonts w:hint="default" w:ascii="Times New Roman" w:hAnsi="Times New Roman" w:cs="Times New Roman"/>
                <w:sz w:val="18"/>
                <w:szCs w:val="18"/>
                <w:highlight w:val="none"/>
                <w:lang w:val="zh-TW"/>
              </w:rPr>
              <w:t>3</w:t>
            </w:r>
          </w:p>
        </w:tc>
        <w:tc>
          <w:tcPr>
            <w:tcW w:w="1090" w:type="pct"/>
            <w:vAlign w:val="center"/>
          </w:tcPr>
          <w:p>
            <w:pPr>
              <w:spacing w:line="260" w:lineRule="exact"/>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val="zh-TW"/>
              </w:rPr>
              <w:t>X2CrNiMo17-12-</w:t>
            </w:r>
            <w:r>
              <w:rPr>
                <w:rFonts w:hint="default" w:ascii="Times New Roman" w:hAnsi="Times New Roman" w:cs="Times New Roman"/>
                <w:sz w:val="18"/>
                <w:szCs w:val="18"/>
                <w:highlight w:val="none"/>
                <w:lang w:val="zh-TW" w:eastAsia="zh-TW"/>
              </w:rPr>
              <w:t>3</w:t>
            </w:r>
          </w:p>
        </w:tc>
        <w:tc>
          <w:tcPr>
            <w:tcW w:w="629" w:type="pct"/>
            <w:vAlign w:val="center"/>
          </w:tcPr>
          <w:p>
            <w:pPr>
              <w:spacing w:line="260" w:lineRule="exact"/>
              <w:jc w:val="center"/>
              <w:rPr>
                <w:rFonts w:hint="default" w:ascii="Times New Roman" w:hAnsi="Times New Roman" w:cs="Times New Roman"/>
                <w:sz w:val="18"/>
                <w:szCs w:val="18"/>
                <w:highlight w:val="none"/>
                <w:lang w:val="zh-TW" w:eastAsia="zh-TW"/>
              </w:rPr>
            </w:pPr>
            <w:r>
              <w:rPr>
                <w:rFonts w:hint="default" w:ascii="Times New Roman" w:hAnsi="Times New Roman" w:cs="Times New Roman"/>
                <w:sz w:val="18"/>
                <w:szCs w:val="18"/>
                <w:highlight w:val="none"/>
                <w:lang w:val="zh-TW"/>
              </w:rPr>
              <w:t>S</w:t>
            </w:r>
            <w:r>
              <w:rPr>
                <w:rFonts w:hint="default" w:ascii="Times New Roman" w:hAnsi="Times New Roman" w:cs="Times New Roman"/>
                <w:sz w:val="18"/>
                <w:szCs w:val="18"/>
                <w:highlight w:val="none"/>
                <w:lang w:val="zh-TW" w:eastAsia="zh-TW"/>
              </w:rPr>
              <w:t>US316LN</w:t>
            </w:r>
          </w:p>
        </w:tc>
      </w:tr>
    </w:tbl>
    <w:p>
      <w:pPr>
        <w:widowControl/>
        <w:jc w:val="left"/>
        <w:rPr>
          <w:rFonts w:hint="default" w:ascii="Times New Roman" w:hAnsi="Times New Roman" w:cs="Times New Roman"/>
          <w:highlight w:val="none"/>
        </w:rPr>
      </w:pPr>
      <w:r>
        <w:rPr>
          <w:rFonts w:hint="default" w:ascii="Times New Roman" w:hAnsi="Times New Roman" w:cs="Times New Roman"/>
          <w:highlight w:val="none"/>
        </w:rPr>
        <w:pict>
          <v:shape id="_x0000_s1027" o:spid="_x0000_s1027" o:spt="32" type="#_x0000_t32" style="position:absolute;left:0pt;margin-left:165pt;margin-top:6.75pt;height:0pt;width:151.5pt;z-index:251661312;mso-width-relative:page;mso-height-relative:page;" filled="f" coordsize="21600,21600">
            <v:path arrowok="t"/>
            <v:fill on="f" focussize="0,0"/>
            <v:stroke/>
            <v:imagedata o:title=""/>
            <o:lock v:ext="edit"/>
          </v:shape>
        </w:pict>
      </w: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51" o:spid="_x0000_s2051" o:spt="202" type="#_x0000_t202" style="position:absolute;left:0pt;margin-left:514.65pt;margin-top:777.15pt;height:6pt;width:2.9pt;mso-position-horizontal-relative:page;mso-position-vertical-relative:page;mso-wrap-style:none;z-index:-251657216;mso-width-relative:page;mso-height-relative:page;" filled="f" stroked="f" coordsize="21600,21600" o:gfxdata="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ZnqhHNgAAAAPAQAADwAAAAAAAAABACAAAAAiAAAAZHJzL2Rvd25y&#10;ZXYueG1sUEsBAhQAFAAAAAgAh07iQASuBmiMAQAAIQMAAA4AAAAAAAAAAQAgAAAAJwEAAGRycy9l&#10;Mm9Eb2MueG1sUEsFBgAAAAAGAAYAWQEAACUFAAAAAA==&#10;">
          <v:path/>
          <v:fill on="f" focussize="0,0"/>
          <v:stroke on="f" joinstyle="miter"/>
          <v:imagedata o:title=""/>
          <o:lock v:ext="edit"/>
          <v:textbox inset="0mm,0mm,0mm,0mm" style="mso-fit-shape-to-text:t;">
            <w:txbxContent>
              <w:p>
                <w:pPr>
                  <w:pStyle w:val="45"/>
                  <w:jc w:val="left"/>
                  <w:rPr>
                    <w:sz w:val="17"/>
                    <w:szCs w:val="17"/>
                  </w:rPr>
                </w:pPr>
                <w:r>
                  <w:rPr>
                    <w:rFonts w:eastAsia="Times New Roman"/>
                    <w:color w:val="000000"/>
                    <w:sz w:val="17"/>
                    <w:szCs w:val="17"/>
                    <w:lang w:val="zh-TW" w:eastAsia="zh-TW" w:bidi="zh-TW"/>
                  </w:rPr>
                  <w:t>1</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2EA14"/>
    <w:multiLevelType w:val="multilevel"/>
    <w:tmpl w:val="84F2EA14"/>
    <w:lvl w:ilvl="0" w:tentative="0">
      <w:start w:val="7"/>
      <w:numFmt w:val="decimal"/>
      <w:suff w:val="nothing"/>
      <w:lvlText w:val="%1　"/>
      <w:lvlJc w:val="left"/>
      <w:rPr>
        <w:rFonts w:hint="default" w:ascii="宋体" w:hAnsi="宋体" w:eastAsia="宋体" w:cs="宋体"/>
        <w:b w:val="0"/>
        <w:i w:val="0"/>
        <w:sz w:val="21"/>
        <w:szCs w:val="21"/>
      </w:rPr>
    </w:lvl>
    <w:lvl w:ilvl="1" w:tentative="0">
      <w:start w:val="15"/>
      <w:numFmt w:val="decimal"/>
      <w:suff w:val="nothing"/>
      <w:lvlText w:val="%1.%2　"/>
      <w:lvlJc w:val="left"/>
      <w:pPr>
        <w:tabs>
          <w:tab w:val="left" w:pos="0"/>
        </w:tabs>
      </w:pPr>
      <w:rPr>
        <w:rFonts w:hint="default" w:ascii="宋体" w:hAnsi="宋体" w:eastAsia="宋体" w:cs="宋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tabs>
          <w:tab w:val="left" w:pos="0"/>
        </w:tabs>
      </w:pPr>
      <w:rPr>
        <w:rFonts w:hint="default" w:ascii="宋体" w:hAnsi="宋体" w:eastAsia="宋体" w:cs="宋体"/>
        <w:b w:val="0"/>
        <w:i w:val="0"/>
        <w:sz w:val="21"/>
      </w:rPr>
    </w:lvl>
    <w:lvl w:ilvl="3" w:tentative="0">
      <w:start w:val="1"/>
      <w:numFmt w:val="decimal"/>
      <w:suff w:val="nothing"/>
      <w:lvlText w:val="%1.%2.%3.%4　"/>
      <w:lvlJc w:val="left"/>
      <w:pPr>
        <w:tabs>
          <w:tab w:val="left" w:pos="0"/>
        </w:tabs>
      </w:pPr>
      <w:rPr>
        <w:rFonts w:hint="default" w:ascii="宋体" w:hAnsi="宋体" w:eastAsia="宋体" w:cs="宋体"/>
        <w:b w:val="0"/>
        <w:i w:val="0"/>
        <w:sz w:val="21"/>
      </w:rPr>
    </w:lvl>
    <w:lvl w:ilvl="4" w:tentative="0">
      <w:start w:val="1"/>
      <w:numFmt w:val="decimal"/>
      <w:suff w:val="nothing"/>
      <w:lvlText w:val="%1.%2.%3.%4.%5　"/>
      <w:lvlJc w:val="left"/>
      <w:rPr>
        <w:rFonts w:hint="default" w:ascii="宋体" w:hAnsi="宋体" w:eastAsia="宋体" w:cs="宋体"/>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B5A89FE6"/>
    <w:multiLevelType w:val="multilevel"/>
    <w:tmpl w:val="B5A89FE6"/>
    <w:lvl w:ilvl="0" w:tentative="0">
      <w:start w:val="1"/>
      <w:numFmt w:val="lowerLetter"/>
      <w:lvlText w:val="%1）"/>
      <w:lvlJc w:val="left"/>
      <w:pPr>
        <w:ind w:left="759" w:hanging="360"/>
      </w:pPr>
      <w:rPr>
        <w:rFonts w:hint="default" w:ascii="宋体" w:hAnsi="宋体" w:eastAsia="宋体" w:cs="宋体"/>
      </w:rPr>
    </w:lvl>
    <w:lvl w:ilvl="1" w:tentative="0">
      <w:start w:val="1"/>
      <w:numFmt w:val="lowerLetter"/>
      <w:lvlText w:val="%2)"/>
      <w:lvlJc w:val="left"/>
      <w:pPr>
        <w:ind w:left="1239" w:hanging="420"/>
      </w:pPr>
      <w:rPr>
        <w:rFonts w:hint="default" w:ascii="宋体" w:hAnsi="宋体" w:eastAsia="宋体" w:cs="宋体"/>
      </w:rPr>
    </w:lvl>
    <w:lvl w:ilvl="2" w:tentative="0">
      <w:start w:val="1"/>
      <w:numFmt w:val="lowerRoman"/>
      <w:lvlText w:val="%3."/>
      <w:lvlJc w:val="right"/>
      <w:pPr>
        <w:ind w:left="1659" w:hanging="420"/>
      </w:pPr>
      <w:rPr>
        <w:rFonts w:hint="default" w:ascii="宋体" w:hAnsi="宋体" w:eastAsia="宋体" w:cs="宋体"/>
      </w:rPr>
    </w:lvl>
    <w:lvl w:ilvl="3" w:tentative="0">
      <w:start w:val="1"/>
      <w:numFmt w:val="decimal"/>
      <w:lvlText w:val="%4."/>
      <w:lvlJc w:val="left"/>
      <w:pPr>
        <w:ind w:left="2079" w:hanging="420"/>
      </w:pPr>
    </w:lvl>
    <w:lvl w:ilvl="4" w:tentative="0">
      <w:start w:val="1"/>
      <w:numFmt w:val="lowerLetter"/>
      <w:lvlText w:val="%5)"/>
      <w:lvlJc w:val="left"/>
      <w:pPr>
        <w:ind w:left="2499" w:hanging="420"/>
      </w:pPr>
    </w:lvl>
    <w:lvl w:ilvl="5" w:tentative="0">
      <w:start w:val="1"/>
      <w:numFmt w:val="lowerRoman"/>
      <w:lvlText w:val="%6."/>
      <w:lvlJc w:val="right"/>
      <w:pPr>
        <w:ind w:left="2919" w:hanging="420"/>
      </w:pPr>
    </w:lvl>
    <w:lvl w:ilvl="6" w:tentative="0">
      <w:start w:val="1"/>
      <w:numFmt w:val="decimal"/>
      <w:lvlText w:val="%7."/>
      <w:lvlJc w:val="left"/>
      <w:pPr>
        <w:ind w:left="3339" w:hanging="420"/>
      </w:pPr>
    </w:lvl>
    <w:lvl w:ilvl="7" w:tentative="0">
      <w:start w:val="1"/>
      <w:numFmt w:val="lowerLetter"/>
      <w:lvlText w:val="%8)"/>
      <w:lvlJc w:val="left"/>
      <w:pPr>
        <w:ind w:left="3759" w:hanging="420"/>
      </w:pPr>
    </w:lvl>
    <w:lvl w:ilvl="8" w:tentative="0">
      <w:start w:val="1"/>
      <w:numFmt w:val="lowerRoman"/>
      <w:lvlText w:val="%9."/>
      <w:lvlJc w:val="right"/>
      <w:pPr>
        <w:ind w:left="4179" w:hanging="420"/>
      </w:pPr>
    </w:lvl>
  </w:abstractNum>
  <w:abstractNum w:abstractNumId="2">
    <w:nsid w:val="CC36224E"/>
    <w:multiLevelType w:val="multilevel"/>
    <w:tmpl w:val="CC36224E"/>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tabs>
          <w:tab w:val="left" w:pos="0"/>
        </w:tabs>
      </w:pP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rPr>
        <w:rFonts w:hint="default" w:ascii="宋体" w:hAnsi="宋体" w:eastAsia="宋体" w:cs="宋体"/>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EBCC8ABA"/>
    <w:multiLevelType w:val="multilevel"/>
    <w:tmpl w:val="EBCC8ABA"/>
    <w:lvl w:ilvl="0" w:tentative="0">
      <w:start w:val="1"/>
      <w:numFmt w:val="lowerLetter"/>
      <w:pStyle w:val="46"/>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4">
    <w:nsid w:val="07A45C4C"/>
    <w:multiLevelType w:val="multilevel"/>
    <w:tmpl w:val="07A45C4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3291EC"/>
    <w:multiLevelType w:val="multilevel"/>
    <w:tmpl w:val="0F3291EC"/>
    <w:lvl w:ilvl="0" w:tentative="0">
      <w:start w:val="6"/>
      <w:numFmt w:val="decimal"/>
      <w:suff w:val="nothing"/>
      <w:lvlText w:val="%1　"/>
      <w:lvlJc w:val="left"/>
      <w:rPr>
        <w:rFonts w:hint="default" w:ascii="宋体" w:hAnsi="宋体" w:eastAsia="宋体" w:cs="宋体"/>
        <w:b w:val="0"/>
        <w:i w:val="0"/>
        <w:sz w:val="21"/>
        <w:szCs w:val="21"/>
      </w:rPr>
    </w:lvl>
    <w:lvl w:ilvl="1" w:tentative="0">
      <w:start w:val="3"/>
      <w:numFmt w:val="decimal"/>
      <w:suff w:val="nothing"/>
      <w:lvlText w:val="%1.%2　"/>
      <w:lvlJc w:val="left"/>
      <w:pPr>
        <w:tabs>
          <w:tab w:val="left" w:pos="0"/>
        </w:tabs>
      </w:pPr>
      <w:rPr>
        <w:rFonts w:hint="default" w:ascii="宋体" w:hAnsi="宋体" w:eastAsia="宋体" w:cs="宋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2"/>
      <w:numFmt w:val="decimal"/>
      <w:suff w:val="nothing"/>
      <w:lvlText w:val="%1.%2.%3　"/>
      <w:lvlJc w:val="left"/>
      <w:pPr>
        <w:tabs>
          <w:tab w:val="left" w:pos="0"/>
        </w:tabs>
      </w:pPr>
      <w:rPr>
        <w:rFonts w:hint="default" w:ascii="宋体" w:hAnsi="宋体" w:eastAsia="宋体" w:cs="宋体"/>
        <w:b w:val="0"/>
        <w:i w:val="0"/>
        <w:sz w:val="21"/>
      </w:rPr>
    </w:lvl>
    <w:lvl w:ilvl="3" w:tentative="0">
      <w:start w:val="1"/>
      <w:numFmt w:val="decimal"/>
      <w:suff w:val="nothing"/>
      <w:lvlText w:val="%1.%2.%3.%4　"/>
      <w:lvlJc w:val="left"/>
      <w:pPr>
        <w:tabs>
          <w:tab w:val="left" w:pos="0"/>
        </w:tabs>
      </w:pPr>
      <w:rPr>
        <w:rFonts w:hint="default" w:ascii="宋体" w:hAnsi="宋体" w:eastAsia="宋体" w:cs="宋体"/>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C8D7AAC"/>
    <w:multiLevelType w:val="multilevel"/>
    <w:tmpl w:val="2C8D7AAC"/>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7">
    <w:nsid w:val="4FFD60E7"/>
    <w:multiLevelType w:val="multilevel"/>
    <w:tmpl w:val="4FFD60E7"/>
    <w:lvl w:ilvl="0" w:tentative="0">
      <w:start w:val="1"/>
      <w:numFmt w:val="decimal"/>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8">
    <w:nsid w:val="5F03412E"/>
    <w:multiLevelType w:val="multilevel"/>
    <w:tmpl w:val="5F03412E"/>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6260FA"/>
    <w:multiLevelType w:val="multilevel"/>
    <w:tmpl w:val="646260FA"/>
    <w:lvl w:ilvl="0" w:tentative="0">
      <w:start w:val="1"/>
      <w:numFmt w:val="decimal"/>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7F0B1D89"/>
    <w:multiLevelType w:val="multilevel"/>
    <w:tmpl w:val="7F0B1D89"/>
    <w:lvl w:ilvl="0" w:tentative="0">
      <w:start w:val="1"/>
      <w:numFmt w:val="lowerLetter"/>
      <w:lvlText w:val="%1)"/>
      <w:lvlJc w:val="left"/>
      <w:pPr>
        <w:tabs>
          <w:tab w:val="left" w:pos="780"/>
        </w:tabs>
        <w:ind w:left="78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8"/>
  </w:num>
  <w:num w:numId="2">
    <w:abstractNumId w:val="7"/>
  </w:num>
  <w:num w:numId="3">
    <w:abstractNumId w:val="3"/>
  </w:num>
  <w:num w:numId="4">
    <w:abstractNumId w:val="2"/>
  </w:num>
  <w:num w:numId="5">
    <w:abstractNumId w:val="6"/>
  </w:num>
  <w:num w:numId="6">
    <w:abstractNumId w:val="10"/>
  </w:num>
  <w:num w:numId="7">
    <w:abstractNumId w:val="9"/>
  </w:num>
  <w:num w:numId="8">
    <w:abstractNumId w:val="5"/>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lkM2VmYjQwZGQ2YWRkZTg4NjhiMDRlODRiYWM4ZjAifQ=="/>
  </w:docVars>
  <w:rsids>
    <w:rsidRoot w:val="00B11EAB"/>
    <w:rsid w:val="000000BA"/>
    <w:rsid w:val="000002F3"/>
    <w:rsid w:val="000004A8"/>
    <w:rsid w:val="00000693"/>
    <w:rsid w:val="00000ED7"/>
    <w:rsid w:val="00001628"/>
    <w:rsid w:val="0000206B"/>
    <w:rsid w:val="000027D5"/>
    <w:rsid w:val="00002AE5"/>
    <w:rsid w:val="000036AB"/>
    <w:rsid w:val="00004402"/>
    <w:rsid w:val="000063FF"/>
    <w:rsid w:val="00006521"/>
    <w:rsid w:val="000067D7"/>
    <w:rsid w:val="00006F0A"/>
    <w:rsid w:val="0001172F"/>
    <w:rsid w:val="0001458D"/>
    <w:rsid w:val="000155E7"/>
    <w:rsid w:val="00015689"/>
    <w:rsid w:val="00015FAE"/>
    <w:rsid w:val="00016EA4"/>
    <w:rsid w:val="00017C16"/>
    <w:rsid w:val="00017E56"/>
    <w:rsid w:val="000214C6"/>
    <w:rsid w:val="00022972"/>
    <w:rsid w:val="00022D9B"/>
    <w:rsid w:val="0002443D"/>
    <w:rsid w:val="00026B98"/>
    <w:rsid w:val="0002763E"/>
    <w:rsid w:val="00030785"/>
    <w:rsid w:val="00031319"/>
    <w:rsid w:val="0003166E"/>
    <w:rsid w:val="0003257D"/>
    <w:rsid w:val="00032EE6"/>
    <w:rsid w:val="00033E78"/>
    <w:rsid w:val="000340BE"/>
    <w:rsid w:val="0003460C"/>
    <w:rsid w:val="00036757"/>
    <w:rsid w:val="00037D50"/>
    <w:rsid w:val="00040112"/>
    <w:rsid w:val="00041DCA"/>
    <w:rsid w:val="00041FC3"/>
    <w:rsid w:val="0004346D"/>
    <w:rsid w:val="00044575"/>
    <w:rsid w:val="000457E1"/>
    <w:rsid w:val="00045EE1"/>
    <w:rsid w:val="000465AD"/>
    <w:rsid w:val="00046737"/>
    <w:rsid w:val="0004755E"/>
    <w:rsid w:val="00050C65"/>
    <w:rsid w:val="00050CB1"/>
    <w:rsid w:val="000529A5"/>
    <w:rsid w:val="000535E8"/>
    <w:rsid w:val="00054E4A"/>
    <w:rsid w:val="00056914"/>
    <w:rsid w:val="0006047B"/>
    <w:rsid w:val="00060630"/>
    <w:rsid w:val="00061652"/>
    <w:rsid w:val="00063C2C"/>
    <w:rsid w:val="00064376"/>
    <w:rsid w:val="0006471A"/>
    <w:rsid w:val="000653AC"/>
    <w:rsid w:val="000659C5"/>
    <w:rsid w:val="00066F92"/>
    <w:rsid w:val="00067E86"/>
    <w:rsid w:val="00067F5E"/>
    <w:rsid w:val="00070D77"/>
    <w:rsid w:val="0007256D"/>
    <w:rsid w:val="00072F1F"/>
    <w:rsid w:val="00072FF3"/>
    <w:rsid w:val="000739F4"/>
    <w:rsid w:val="000742BF"/>
    <w:rsid w:val="00074C62"/>
    <w:rsid w:val="000758B0"/>
    <w:rsid w:val="00075ABE"/>
    <w:rsid w:val="000766F5"/>
    <w:rsid w:val="000769DD"/>
    <w:rsid w:val="00080929"/>
    <w:rsid w:val="00080A64"/>
    <w:rsid w:val="00081C6D"/>
    <w:rsid w:val="00081DDE"/>
    <w:rsid w:val="00081E94"/>
    <w:rsid w:val="0008203E"/>
    <w:rsid w:val="00082E2C"/>
    <w:rsid w:val="000834D1"/>
    <w:rsid w:val="00083FAD"/>
    <w:rsid w:val="000841EA"/>
    <w:rsid w:val="00085968"/>
    <w:rsid w:val="0009157D"/>
    <w:rsid w:val="00092B89"/>
    <w:rsid w:val="000942E6"/>
    <w:rsid w:val="00094395"/>
    <w:rsid w:val="00094730"/>
    <w:rsid w:val="00096006"/>
    <w:rsid w:val="000A1CD2"/>
    <w:rsid w:val="000A2551"/>
    <w:rsid w:val="000A2C9B"/>
    <w:rsid w:val="000A6388"/>
    <w:rsid w:val="000A73EC"/>
    <w:rsid w:val="000A7A04"/>
    <w:rsid w:val="000B02D4"/>
    <w:rsid w:val="000B150D"/>
    <w:rsid w:val="000B1DF7"/>
    <w:rsid w:val="000B1E7B"/>
    <w:rsid w:val="000B21CF"/>
    <w:rsid w:val="000B31D3"/>
    <w:rsid w:val="000B49E8"/>
    <w:rsid w:val="000B584D"/>
    <w:rsid w:val="000B5D2E"/>
    <w:rsid w:val="000B7906"/>
    <w:rsid w:val="000C25F0"/>
    <w:rsid w:val="000C3099"/>
    <w:rsid w:val="000C413D"/>
    <w:rsid w:val="000C45E8"/>
    <w:rsid w:val="000C577C"/>
    <w:rsid w:val="000C7178"/>
    <w:rsid w:val="000D089C"/>
    <w:rsid w:val="000D14D7"/>
    <w:rsid w:val="000D36D3"/>
    <w:rsid w:val="000D3756"/>
    <w:rsid w:val="000D429E"/>
    <w:rsid w:val="000D5E51"/>
    <w:rsid w:val="000D7487"/>
    <w:rsid w:val="000D7669"/>
    <w:rsid w:val="000E0105"/>
    <w:rsid w:val="000E0AB4"/>
    <w:rsid w:val="000E10D3"/>
    <w:rsid w:val="000E1BFA"/>
    <w:rsid w:val="000E2247"/>
    <w:rsid w:val="000E294F"/>
    <w:rsid w:val="000E39A2"/>
    <w:rsid w:val="000E3D91"/>
    <w:rsid w:val="000E5146"/>
    <w:rsid w:val="000E5C51"/>
    <w:rsid w:val="000E60A2"/>
    <w:rsid w:val="000E6E36"/>
    <w:rsid w:val="000F050E"/>
    <w:rsid w:val="000F099B"/>
    <w:rsid w:val="000F1275"/>
    <w:rsid w:val="000F1683"/>
    <w:rsid w:val="000F3A7B"/>
    <w:rsid w:val="000F4DBC"/>
    <w:rsid w:val="000F617C"/>
    <w:rsid w:val="000F6BD0"/>
    <w:rsid w:val="000F7224"/>
    <w:rsid w:val="000F75A8"/>
    <w:rsid w:val="0010085E"/>
    <w:rsid w:val="001011ED"/>
    <w:rsid w:val="00101AFA"/>
    <w:rsid w:val="00103100"/>
    <w:rsid w:val="00103A0F"/>
    <w:rsid w:val="001064C4"/>
    <w:rsid w:val="00106B32"/>
    <w:rsid w:val="00106CBE"/>
    <w:rsid w:val="00107F7F"/>
    <w:rsid w:val="00110401"/>
    <w:rsid w:val="00110460"/>
    <w:rsid w:val="001110E9"/>
    <w:rsid w:val="0011533A"/>
    <w:rsid w:val="0011735C"/>
    <w:rsid w:val="001209B0"/>
    <w:rsid w:val="001210EF"/>
    <w:rsid w:val="00121491"/>
    <w:rsid w:val="00121513"/>
    <w:rsid w:val="00122710"/>
    <w:rsid w:val="00123DFC"/>
    <w:rsid w:val="00124903"/>
    <w:rsid w:val="001250F9"/>
    <w:rsid w:val="001251EB"/>
    <w:rsid w:val="00125D4A"/>
    <w:rsid w:val="001260B0"/>
    <w:rsid w:val="00126888"/>
    <w:rsid w:val="00130056"/>
    <w:rsid w:val="001301BF"/>
    <w:rsid w:val="00130516"/>
    <w:rsid w:val="00130FF8"/>
    <w:rsid w:val="00131AE4"/>
    <w:rsid w:val="001329A5"/>
    <w:rsid w:val="00133089"/>
    <w:rsid w:val="00133A27"/>
    <w:rsid w:val="00133F97"/>
    <w:rsid w:val="00135964"/>
    <w:rsid w:val="00140377"/>
    <w:rsid w:val="00141FE3"/>
    <w:rsid w:val="00142EDB"/>
    <w:rsid w:val="001431A6"/>
    <w:rsid w:val="00143D4F"/>
    <w:rsid w:val="001440DA"/>
    <w:rsid w:val="00144B3D"/>
    <w:rsid w:val="00144C72"/>
    <w:rsid w:val="00145966"/>
    <w:rsid w:val="00147946"/>
    <w:rsid w:val="00147FCC"/>
    <w:rsid w:val="001515FA"/>
    <w:rsid w:val="001519BC"/>
    <w:rsid w:val="00154C73"/>
    <w:rsid w:val="0015501C"/>
    <w:rsid w:val="0015518E"/>
    <w:rsid w:val="0015552F"/>
    <w:rsid w:val="00155C47"/>
    <w:rsid w:val="00155EE5"/>
    <w:rsid w:val="00156F53"/>
    <w:rsid w:val="0016100C"/>
    <w:rsid w:val="00162B0B"/>
    <w:rsid w:val="00163694"/>
    <w:rsid w:val="0016374F"/>
    <w:rsid w:val="001646B5"/>
    <w:rsid w:val="001652E8"/>
    <w:rsid w:val="00165BF9"/>
    <w:rsid w:val="00165C48"/>
    <w:rsid w:val="00165CDA"/>
    <w:rsid w:val="00167066"/>
    <w:rsid w:val="001677AC"/>
    <w:rsid w:val="00167AB8"/>
    <w:rsid w:val="00167CDE"/>
    <w:rsid w:val="0017104C"/>
    <w:rsid w:val="00172174"/>
    <w:rsid w:val="00172CEA"/>
    <w:rsid w:val="00172EF0"/>
    <w:rsid w:val="001750AF"/>
    <w:rsid w:val="00176B46"/>
    <w:rsid w:val="00177686"/>
    <w:rsid w:val="00177DE8"/>
    <w:rsid w:val="00180964"/>
    <w:rsid w:val="00182523"/>
    <w:rsid w:val="00182B64"/>
    <w:rsid w:val="00182D22"/>
    <w:rsid w:val="00183E61"/>
    <w:rsid w:val="00183F94"/>
    <w:rsid w:val="0018553E"/>
    <w:rsid w:val="0018651A"/>
    <w:rsid w:val="0018685F"/>
    <w:rsid w:val="00186B63"/>
    <w:rsid w:val="0018729E"/>
    <w:rsid w:val="00187742"/>
    <w:rsid w:val="00187984"/>
    <w:rsid w:val="00191451"/>
    <w:rsid w:val="0019224C"/>
    <w:rsid w:val="0019300E"/>
    <w:rsid w:val="001937D5"/>
    <w:rsid w:val="00194606"/>
    <w:rsid w:val="0019635F"/>
    <w:rsid w:val="00197284"/>
    <w:rsid w:val="00197689"/>
    <w:rsid w:val="00197C89"/>
    <w:rsid w:val="001A0303"/>
    <w:rsid w:val="001A2318"/>
    <w:rsid w:val="001A3EC2"/>
    <w:rsid w:val="001A4426"/>
    <w:rsid w:val="001A4622"/>
    <w:rsid w:val="001A7F96"/>
    <w:rsid w:val="001B1A00"/>
    <w:rsid w:val="001B205A"/>
    <w:rsid w:val="001B227A"/>
    <w:rsid w:val="001B2397"/>
    <w:rsid w:val="001B2878"/>
    <w:rsid w:val="001B34FB"/>
    <w:rsid w:val="001B3790"/>
    <w:rsid w:val="001B3DDA"/>
    <w:rsid w:val="001B4F2C"/>
    <w:rsid w:val="001B5630"/>
    <w:rsid w:val="001B5BB7"/>
    <w:rsid w:val="001B66B2"/>
    <w:rsid w:val="001B6E3A"/>
    <w:rsid w:val="001B725F"/>
    <w:rsid w:val="001B7273"/>
    <w:rsid w:val="001B79D5"/>
    <w:rsid w:val="001B7CB6"/>
    <w:rsid w:val="001C1EE1"/>
    <w:rsid w:val="001C2495"/>
    <w:rsid w:val="001C2C71"/>
    <w:rsid w:val="001C2F52"/>
    <w:rsid w:val="001C369A"/>
    <w:rsid w:val="001C3CA6"/>
    <w:rsid w:val="001C4EC8"/>
    <w:rsid w:val="001C5EBC"/>
    <w:rsid w:val="001C6459"/>
    <w:rsid w:val="001C74AC"/>
    <w:rsid w:val="001D0E4D"/>
    <w:rsid w:val="001D0F6C"/>
    <w:rsid w:val="001D1152"/>
    <w:rsid w:val="001D2865"/>
    <w:rsid w:val="001D3557"/>
    <w:rsid w:val="001D38FD"/>
    <w:rsid w:val="001D5B28"/>
    <w:rsid w:val="001D6791"/>
    <w:rsid w:val="001D6BF4"/>
    <w:rsid w:val="001E0076"/>
    <w:rsid w:val="001E1BDE"/>
    <w:rsid w:val="001E24E9"/>
    <w:rsid w:val="001E271E"/>
    <w:rsid w:val="001E2D49"/>
    <w:rsid w:val="001E3114"/>
    <w:rsid w:val="001E3445"/>
    <w:rsid w:val="001E39B1"/>
    <w:rsid w:val="001E3F0A"/>
    <w:rsid w:val="001E5C31"/>
    <w:rsid w:val="001E6E2C"/>
    <w:rsid w:val="001F00D6"/>
    <w:rsid w:val="001F1877"/>
    <w:rsid w:val="001F19E3"/>
    <w:rsid w:val="001F5FA8"/>
    <w:rsid w:val="001F7D1C"/>
    <w:rsid w:val="00204406"/>
    <w:rsid w:val="00204946"/>
    <w:rsid w:val="00205678"/>
    <w:rsid w:val="00206C0E"/>
    <w:rsid w:val="00207A08"/>
    <w:rsid w:val="002121E7"/>
    <w:rsid w:val="00212AEA"/>
    <w:rsid w:val="00213356"/>
    <w:rsid w:val="00214A71"/>
    <w:rsid w:val="00214F97"/>
    <w:rsid w:val="002150EB"/>
    <w:rsid w:val="002164F8"/>
    <w:rsid w:val="00216A63"/>
    <w:rsid w:val="00216A8E"/>
    <w:rsid w:val="00216B23"/>
    <w:rsid w:val="0021702F"/>
    <w:rsid w:val="00220B86"/>
    <w:rsid w:val="00220CA4"/>
    <w:rsid w:val="00220DF0"/>
    <w:rsid w:val="00221E5F"/>
    <w:rsid w:val="00222097"/>
    <w:rsid w:val="0022350B"/>
    <w:rsid w:val="00224C16"/>
    <w:rsid w:val="00224DB5"/>
    <w:rsid w:val="00226304"/>
    <w:rsid w:val="00226A57"/>
    <w:rsid w:val="002273D1"/>
    <w:rsid w:val="00227566"/>
    <w:rsid w:val="002304DB"/>
    <w:rsid w:val="002319F9"/>
    <w:rsid w:val="00231B7F"/>
    <w:rsid w:val="00231E89"/>
    <w:rsid w:val="00231FD9"/>
    <w:rsid w:val="00232FB4"/>
    <w:rsid w:val="0023411D"/>
    <w:rsid w:val="00235E6B"/>
    <w:rsid w:val="002363AD"/>
    <w:rsid w:val="00236794"/>
    <w:rsid w:val="0023681E"/>
    <w:rsid w:val="00237D6C"/>
    <w:rsid w:val="00240054"/>
    <w:rsid w:val="00240112"/>
    <w:rsid w:val="0024312D"/>
    <w:rsid w:val="0024366D"/>
    <w:rsid w:val="00243C8E"/>
    <w:rsid w:val="00244044"/>
    <w:rsid w:val="002444CE"/>
    <w:rsid w:val="00244C24"/>
    <w:rsid w:val="0024582C"/>
    <w:rsid w:val="0024637B"/>
    <w:rsid w:val="002469E0"/>
    <w:rsid w:val="00246F24"/>
    <w:rsid w:val="00252683"/>
    <w:rsid w:val="00253475"/>
    <w:rsid w:val="0025475C"/>
    <w:rsid w:val="00254D69"/>
    <w:rsid w:val="002550B2"/>
    <w:rsid w:val="0025521B"/>
    <w:rsid w:val="0025639A"/>
    <w:rsid w:val="00256D64"/>
    <w:rsid w:val="002571E1"/>
    <w:rsid w:val="0026237D"/>
    <w:rsid w:val="002629CA"/>
    <w:rsid w:val="0026495B"/>
    <w:rsid w:val="00264E94"/>
    <w:rsid w:val="00267034"/>
    <w:rsid w:val="0026715A"/>
    <w:rsid w:val="002676AE"/>
    <w:rsid w:val="00270FAC"/>
    <w:rsid w:val="00271950"/>
    <w:rsid w:val="0027208A"/>
    <w:rsid w:val="00272BCF"/>
    <w:rsid w:val="00272C1E"/>
    <w:rsid w:val="00272EC2"/>
    <w:rsid w:val="002734D1"/>
    <w:rsid w:val="00273F1A"/>
    <w:rsid w:val="00276760"/>
    <w:rsid w:val="00276ED7"/>
    <w:rsid w:val="002770C8"/>
    <w:rsid w:val="00277EBF"/>
    <w:rsid w:val="00280E24"/>
    <w:rsid w:val="00281232"/>
    <w:rsid w:val="00281E64"/>
    <w:rsid w:val="00283583"/>
    <w:rsid w:val="00285C58"/>
    <w:rsid w:val="002876E3"/>
    <w:rsid w:val="00287E1C"/>
    <w:rsid w:val="00287E4E"/>
    <w:rsid w:val="0029263E"/>
    <w:rsid w:val="002929E9"/>
    <w:rsid w:val="00293EB8"/>
    <w:rsid w:val="00295116"/>
    <w:rsid w:val="00295308"/>
    <w:rsid w:val="00295C63"/>
    <w:rsid w:val="00296EB9"/>
    <w:rsid w:val="00297023"/>
    <w:rsid w:val="00297530"/>
    <w:rsid w:val="00297E2E"/>
    <w:rsid w:val="002A0EB7"/>
    <w:rsid w:val="002A2831"/>
    <w:rsid w:val="002A2F5E"/>
    <w:rsid w:val="002A36DE"/>
    <w:rsid w:val="002A38E1"/>
    <w:rsid w:val="002A3997"/>
    <w:rsid w:val="002A517D"/>
    <w:rsid w:val="002A5CEE"/>
    <w:rsid w:val="002A5D87"/>
    <w:rsid w:val="002A7B8D"/>
    <w:rsid w:val="002B0253"/>
    <w:rsid w:val="002B0ECA"/>
    <w:rsid w:val="002B27E3"/>
    <w:rsid w:val="002B2B17"/>
    <w:rsid w:val="002B2B9C"/>
    <w:rsid w:val="002B3576"/>
    <w:rsid w:val="002B4161"/>
    <w:rsid w:val="002B45CE"/>
    <w:rsid w:val="002B4BFD"/>
    <w:rsid w:val="002B5523"/>
    <w:rsid w:val="002B65DB"/>
    <w:rsid w:val="002B6CAA"/>
    <w:rsid w:val="002B6F3A"/>
    <w:rsid w:val="002B71AB"/>
    <w:rsid w:val="002B75F7"/>
    <w:rsid w:val="002B7839"/>
    <w:rsid w:val="002C037F"/>
    <w:rsid w:val="002C1A07"/>
    <w:rsid w:val="002C2D36"/>
    <w:rsid w:val="002C364F"/>
    <w:rsid w:val="002C4AA5"/>
    <w:rsid w:val="002C69DF"/>
    <w:rsid w:val="002C7289"/>
    <w:rsid w:val="002D0593"/>
    <w:rsid w:val="002D0898"/>
    <w:rsid w:val="002D0B72"/>
    <w:rsid w:val="002D126A"/>
    <w:rsid w:val="002D206A"/>
    <w:rsid w:val="002D23FB"/>
    <w:rsid w:val="002D2E63"/>
    <w:rsid w:val="002D3AE0"/>
    <w:rsid w:val="002D5C05"/>
    <w:rsid w:val="002D5E91"/>
    <w:rsid w:val="002D7357"/>
    <w:rsid w:val="002E04D2"/>
    <w:rsid w:val="002E056C"/>
    <w:rsid w:val="002E057B"/>
    <w:rsid w:val="002E0623"/>
    <w:rsid w:val="002E072F"/>
    <w:rsid w:val="002E136C"/>
    <w:rsid w:val="002E3F80"/>
    <w:rsid w:val="002E4AC9"/>
    <w:rsid w:val="002E58D3"/>
    <w:rsid w:val="002E640C"/>
    <w:rsid w:val="002E7933"/>
    <w:rsid w:val="002E7F39"/>
    <w:rsid w:val="002F000B"/>
    <w:rsid w:val="002F2C6F"/>
    <w:rsid w:val="002F423C"/>
    <w:rsid w:val="002F43E2"/>
    <w:rsid w:val="002F5CC1"/>
    <w:rsid w:val="002F5CDB"/>
    <w:rsid w:val="002F5EDB"/>
    <w:rsid w:val="002F60C8"/>
    <w:rsid w:val="002F66B1"/>
    <w:rsid w:val="002F7B3A"/>
    <w:rsid w:val="002F7EE2"/>
    <w:rsid w:val="0030015B"/>
    <w:rsid w:val="00300F7D"/>
    <w:rsid w:val="00303589"/>
    <w:rsid w:val="00307299"/>
    <w:rsid w:val="00307697"/>
    <w:rsid w:val="00310109"/>
    <w:rsid w:val="00310C9E"/>
    <w:rsid w:val="0031121D"/>
    <w:rsid w:val="00311A3F"/>
    <w:rsid w:val="003124AD"/>
    <w:rsid w:val="0031285F"/>
    <w:rsid w:val="003132AF"/>
    <w:rsid w:val="00313476"/>
    <w:rsid w:val="003140A0"/>
    <w:rsid w:val="003147B7"/>
    <w:rsid w:val="00316E61"/>
    <w:rsid w:val="00317142"/>
    <w:rsid w:val="00317469"/>
    <w:rsid w:val="00322C6B"/>
    <w:rsid w:val="00322EE8"/>
    <w:rsid w:val="00323F50"/>
    <w:rsid w:val="00323F88"/>
    <w:rsid w:val="0032407C"/>
    <w:rsid w:val="003263EA"/>
    <w:rsid w:val="00326E00"/>
    <w:rsid w:val="00330260"/>
    <w:rsid w:val="0033089B"/>
    <w:rsid w:val="0033092B"/>
    <w:rsid w:val="00330ED4"/>
    <w:rsid w:val="00331363"/>
    <w:rsid w:val="00332608"/>
    <w:rsid w:val="003331B2"/>
    <w:rsid w:val="00334011"/>
    <w:rsid w:val="0033422D"/>
    <w:rsid w:val="0033436D"/>
    <w:rsid w:val="00337147"/>
    <w:rsid w:val="00337E64"/>
    <w:rsid w:val="0034059F"/>
    <w:rsid w:val="00344008"/>
    <w:rsid w:val="0034442E"/>
    <w:rsid w:val="003453C6"/>
    <w:rsid w:val="00346BA3"/>
    <w:rsid w:val="00346FD4"/>
    <w:rsid w:val="003479AC"/>
    <w:rsid w:val="00347DC1"/>
    <w:rsid w:val="00351C65"/>
    <w:rsid w:val="003531B5"/>
    <w:rsid w:val="00353FC3"/>
    <w:rsid w:val="0035414D"/>
    <w:rsid w:val="00355A2D"/>
    <w:rsid w:val="00355C90"/>
    <w:rsid w:val="0035637D"/>
    <w:rsid w:val="00360131"/>
    <w:rsid w:val="00360255"/>
    <w:rsid w:val="00360682"/>
    <w:rsid w:val="003606E6"/>
    <w:rsid w:val="00361163"/>
    <w:rsid w:val="00362621"/>
    <w:rsid w:val="003629AD"/>
    <w:rsid w:val="00363B66"/>
    <w:rsid w:val="00365B67"/>
    <w:rsid w:val="00365D1C"/>
    <w:rsid w:val="00366830"/>
    <w:rsid w:val="00366C35"/>
    <w:rsid w:val="00366E7B"/>
    <w:rsid w:val="00370003"/>
    <w:rsid w:val="003702BC"/>
    <w:rsid w:val="00371B65"/>
    <w:rsid w:val="003726CC"/>
    <w:rsid w:val="00372A45"/>
    <w:rsid w:val="00373622"/>
    <w:rsid w:val="00375CBE"/>
    <w:rsid w:val="003767D7"/>
    <w:rsid w:val="0037751E"/>
    <w:rsid w:val="003776C8"/>
    <w:rsid w:val="00380F14"/>
    <w:rsid w:val="003828CB"/>
    <w:rsid w:val="003832EB"/>
    <w:rsid w:val="003847BB"/>
    <w:rsid w:val="00385A94"/>
    <w:rsid w:val="00386FCC"/>
    <w:rsid w:val="0038755D"/>
    <w:rsid w:val="00387A63"/>
    <w:rsid w:val="00387ADF"/>
    <w:rsid w:val="003901A9"/>
    <w:rsid w:val="00391917"/>
    <w:rsid w:val="00391CA6"/>
    <w:rsid w:val="00392017"/>
    <w:rsid w:val="00392935"/>
    <w:rsid w:val="003937D9"/>
    <w:rsid w:val="003940F4"/>
    <w:rsid w:val="003948E8"/>
    <w:rsid w:val="00394946"/>
    <w:rsid w:val="00395615"/>
    <w:rsid w:val="00395B57"/>
    <w:rsid w:val="00396CF6"/>
    <w:rsid w:val="003974E5"/>
    <w:rsid w:val="00397A58"/>
    <w:rsid w:val="00397A61"/>
    <w:rsid w:val="00397E85"/>
    <w:rsid w:val="003A05DB"/>
    <w:rsid w:val="003A15EB"/>
    <w:rsid w:val="003A2ACB"/>
    <w:rsid w:val="003A2C57"/>
    <w:rsid w:val="003A3024"/>
    <w:rsid w:val="003A308F"/>
    <w:rsid w:val="003A39F3"/>
    <w:rsid w:val="003A3B34"/>
    <w:rsid w:val="003A3BC3"/>
    <w:rsid w:val="003A405D"/>
    <w:rsid w:val="003A43BC"/>
    <w:rsid w:val="003A4920"/>
    <w:rsid w:val="003A4D1A"/>
    <w:rsid w:val="003A4F20"/>
    <w:rsid w:val="003A6328"/>
    <w:rsid w:val="003A6DD0"/>
    <w:rsid w:val="003A7FE7"/>
    <w:rsid w:val="003B005A"/>
    <w:rsid w:val="003B06FB"/>
    <w:rsid w:val="003B08B7"/>
    <w:rsid w:val="003B0D22"/>
    <w:rsid w:val="003B0FB7"/>
    <w:rsid w:val="003B1543"/>
    <w:rsid w:val="003B1564"/>
    <w:rsid w:val="003B15BA"/>
    <w:rsid w:val="003B444E"/>
    <w:rsid w:val="003B4A48"/>
    <w:rsid w:val="003B4F35"/>
    <w:rsid w:val="003B4FCE"/>
    <w:rsid w:val="003B6899"/>
    <w:rsid w:val="003B78AD"/>
    <w:rsid w:val="003B791F"/>
    <w:rsid w:val="003C012F"/>
    <w:rsid w:val="003C078C"/>
    <w:rsid w:val="003C2210"/>
    <w:rsid w:val="003C2428"/>
    <w:rsid w:val="003C2445"/>
    <w:rsid w:val="003C27B3"/>
    <w:rsid w:val="003C302B"/>
    <w:rsid w:val="003C3FBE"/>
    <w:rsid w:val="003C59C9"/>
    <w:rsid w:val="003C6CFE"/>
    <w:rsid w:val="003C70CB"/>
    <w:rsid w:val="003D0A87"/>
    <w:rsid w:val="003D3186"/>
    <w:rsid w:val="003D3BF8"/>
    <w:rsid w:val="003D3F79"/>
    <w:rsid w:val="003D6902"/>
    <w:rsid w:val="003E02D0"/>
    <w:rsid w:val="003E1FD9"/>
    <w:rsid w:val="003E36F2"/>
    <w:rsid w:val="003E3E89"/>
    <w:rsid w:val="003E3EE1"/>
    <w:rsid w:val="003E5760"/>
    <w:rsid w:val="003E5D13"/>
    <w:rsid w:val="003E5F52"/>
    <w:rsid w:val="003E6227"/>
    <w:rsid w:val="003F01B6"/>
    <w:rsid w:val="003F0234"/>
    <w:rsid w:val="003F0325"/>
    <w:rsid w:val="003F0D5C"/>
    <w:rsid w:val="003F0E3B"/>
    <w:rsid w:val="003F247D"/>
    <w:rsid w:val="003F2AA9"/>
    <w:rsid w:val="003F3E71"/>
    <w:rsid w:val="003F5C71"/>
    <w:rsid w:val="003F6350"/>
    <w:rsid w:val="003F683C"/>
    <w:rsid w:val="004038FF"/>
    <w:rsid w:val="00403A51"/>
    <w:rsid w:val="00404E75"/>
    <w:rsid w:val="004102CE"/>
    <w:rsid w:val="004105F4"/>
    <w:rsid w:val="00410AF6"/>
    <w:rsid w:val="00410F09"/>
    <w:rsid w:val="004114CA"/>
    <w:rsid w:val="00411722"/>
    <w:rsid w:val="00411728"/>
    <w:rsid w:val="00412C13"/>
    <w:rsid w:val="004143B3"/>
    <w:rsid w:val="00415122"/>
    <w:rsid w:val="004151B2"/>
    <w:rsid w:val="00415E25"/>
    <w:rsid w:val="004165E7"/>
    <w:rsid w:val="00416627"/>
    <w:rsid w:val="00420A0A"/>
    <w:rsid w:val="00422620"/>
    <w:rsid w:val="0042337D"/>
    <w:rsid w:val="00423801"/>
    <w:rsid w:val="004239A2"/>
    <w:rsid w:val="004242E9"/>
    <w:rsid w:val="00425201"/>
    <w:rsid w:val="00426946"/>
    <w:rsid w:val="00426D10"/>
    <w:rsid w:val="00427704"/>
    <w:rsid w:val="00427A50"/>
    <w:rsid w:val="00430CCA"/>
    <w:rsid w:val="004310C2"/>
    <w:rsid w:val="004321CB"/>
    <w:rsid w:val="00433B88"/>
    <w:rsid w:val="00433FB2"/>
    <w:rsid w:val="004341F7"/>
    <w:rsid w:val="004344CF"/>
    <w:rsid w:val="00435090"/>
    <w:rsid w:val="004361CC"/>
    <w:rsid w:val="00437B39"/>
    <w:rsid w:val="00445069"/>
    <w:rsid w:val="00445476"/>
    <w:rsid w:val="00446BD4"/>
    <w:rsid w:val="00447F4B"/>
    <w:rsid w:val="004502B8"/>
    <w:rsid w:val="004523E0"/>
    <w:rsid w:val="004542F5"/>
    <w:rsid w:val="00454550"/>
    <w:rsid w:val="00456653"/>
    <w:rsid w:val="00457236"/>
    <w:rsid w:val="004572DF"/>
    <w:rsid w:val="004578E3"/>
    <w:rsid w:val="00457B71"/>
    <w:rsid w:val="00460B12"/>
    <w:rsid w:val="00461D3E"/>
    <w:rsid w:val="00462720"/>
    <w:rsid w:val="004639D5"/>
    <w:rsid w:val="0046630A"/>
    <w:rsid w:val="00467E6F"/>
    <w:rsid w:val="00470291"/>
    <w:rsid w:val="00470D9C"/>
    <w:rsid w:val="004715E5"/>
    <w:rsid w:val="00471879"/>
    <w:rsid w:val="004746CD"/>
    <w:rsid w:val="00474A66"/>
    <w:rsid w:val="004752F0"/>
    <w:rsid w:val="00476162"/>
    <w:rsid w:val="004770E6"/>
    <w:rsid w:val="0048099B"/>
    <w:rsid w:val="00480CF2"/>
    <w:rsid w:val="0048201E"/>
    <w:rsid w:val="004839EF"/>
    <w:rsid w:val="004840B1"/>
    <w:rsid w:val="00484846"/>
    <w:rsid w:val="00485429"/>
    <w:rsid w:val="00486D8E"/>
    <w:rsid w:val="00486F9A"/>
    <w:rsid w:val="0048732E"/>
    <w:rsid w:val="0048768F"/>
    <w:rsid w:val="00487788"/>
    <w:rsid w:val="00487C09"/>
    <w:rsid w:val="004900DE"/>
    <w:rsid w:val="00491475"/>
    <w:rsid w:val="004924E1"/>
    <w:rsid w:val="004938E6"/>
    <w:rsid w:val="0049399C"/>
    <w:rsid w:val="00493BD7"/>
    <w:rsid w:val="00494B9D"/>
    <w:rsid w:val="004952F0"/>
    <w:rsid w:val="00495981"/>
    <w:rsid w:val="00495E5E"/>
    <w:rsid w:val="00495F64"/>
    <w:rsid w:val="00495FFF"/>
    <w:rsid w:val="0049611E"/>
    <w:rsid w:val="00496B13"/>
    <w:rsid w:val="004A05E8"/>
    <w:rsid w:val="004A1FBA"/>
    <w:rsid w:val="004A3CD9"/>
    <w:rsid w:val="004A531B"/>
    <w:rsid w:val="004A563D"/>
    <w:rsid w:val="004A5FAF"/>
    <w:rsid w:val="004A60F2"/>
    <w:rsid w:val="004A6E31"/>
    <w:rsid w:val="004B00F9"/>
    <w:rsid w:val="004B0112"/>
    <w:rsid w:val="004B0345"/>
    <w:rsid w:val="004B0F69"/>
    <w:rsid w:val="004B1CD3"/>
    <w:rsid w:val="004B1F7B"/>
    <w:rsid w:val="004B1FB5"/>
    <w:rsid w:val="004B2046"/>
    <w:rsid w:val="004B238F"/>
    <w:rsid w:val="004B3E79"/>
    <w:rsid w:val="004B4363"/>
    <w:rsid w:val="004B4A22"/>
    <w:rsid w:val="004B4E2E"/>
    <w:rsid w:val="004B6EC7"/>
    <w:rsid w:val="004B7EBF"/>
    <w:rsid w:val="004C0128"/>
    <w:rsid w:val="004C02E4"/>
    <w:rsid w:val="004C087C"/>
    <w:rsid w:val="004C0D59"/>
    <w:rsid w:val="004C0E27"/>
    <w:rsid w:val="004C1EB4"/>
    <w:rsid w:val="004C28E7"/>
    <w:rsid w:val="004C3983"/>
    <w:rsid w:val="004C4F91"/>
    <w:rsid w:val="004C5A91"/>
    <w:rsid w:val="004C71A8"/>
    <w:rsid w:val="004C7DFF"/>
    <w:rsid w:val="004D04E0"/>
    <w:rsid w:val="004D1655"/>
    <w:rsid w:val="004D2A02"/>
    <w:rsid w:val="004D2B1A"/>
    <w:rsid w:val="004D2C5F"/>
    <w:rsid w:val="004D3B53"/>
    <w:rsid w:val="004D3DA2"/>
    <w:rsid w:val="004D458F"/>
    <w:rsid w:val="004D4DBB"/>
    <w:rsid w:val="004D5050"/>
    <w:rsid w:val="004D652E"/>
    <w:rsid w:val="004D6C69"/>
    <w:rsid w:val="004D6D7E"/>
    <w:rsid w:val="004D7922"/>
    <w:rsid w:val="004E01B6"/>
    <w:rsid w:val="004E119E"/>
    <w:rsid w:val="004E12C2"/>
    <w:rsid w:val="004E1EE1"/>
    <w:rsid w:val="004E3D92"/>
    <w:rsid w:val="004E40DF"/>
    <w:rsid w:val="004E4372"/>
    <w:rsid w:val="004E4B67"/>
    <w:rsid w:val="004E62A2"/>
    <w:rsid w:val="004E6420"/>
    <w:rsid w:val="004F01A8"/>
    <w:rsid w:val="004F0883"/>
    <w:rsid w:val="004F38DD"/>
    <w:rsid w:val="004F5CF6"/>
    <w:rsid w:val="004F701E"/>
    <w:rsid w:val="005009C6"/>
    <w:rsid w:val="00501448"/>
    <w:rsid w:val="005019D0"/>
    <w:rsid w:val="00503A6D"/>
    <w:rsid w:val="00505F72"/>
    <w:rsid w:val="005063B2"/>
    <w:rsid w:val="00507424"/>
    <w:rsid w:val="00507FCB"/>
    <w:rsid w:val="0051092A"/>
    <w:rsid w:val="00510ED6"/>
    <w:rsid w:val="00511467"/>
    <w:rsid w:val="0051165F"/>
    <w:rsid w:val="00511842"/>
    <w:rsid w:val="005141BC"/>
    <w:rsid w:val="00514622"/>
    <w:rsid w:val="00514AA0"/>
    <w:rsid w:val="005160E5"/>
    <w:rsid w:val="005179DE"/>
    <w:rsid w:val="0052011B"/>
    <w:rsid w:val="00520408"/>
    <w:rsid w:val="00520BC7"/>
    <w:rsid w:val="00520E0E"/>
    <w:rsid w:val="005214B9"/>
    <w:rsid w:val="0052157B"/>
    <w:rsid w:val="00522A16"/>
    <w:rsid w:val="00522A78"/>
    <w:rsid w:val="00522E48"/>
    <w:rsid w:val="005241BF"/>
    <w:rsid w:val="005257DE"/>
    <w:rsid w:val="00526FC1"/>
    <w:rsid w:val="0052777F"/>
    <w:rsid w:val="00527ABF"/>
    <w:rsid w:val="005310E6"/>
    <w:rsid w:val="00532C6F"/>
    <w:rsid w:val="0053360C"/>
    <w:rsid w:val="00533749"/>
    <w:rsid w:val="00533AE7"/>
    <w:rsid w:val="00534DEF"/>
    <w:rsid w:val="00535E07"/>
    <w:rsid w:val="0053609F"/>
    <w:rsid w:val="00536408"/>
    <w:rsid w:val="00536A3A"/>
    <w:rsid w:val="00540125"/>
    <w:rsid w:val="00540B53"/>
    <w:rsid w:val="00540CFB"/>
    <w:rsid w:val="0054133F"/>
    <w:rsid w:val="00541D98"/>
    <w:rsid w:val="005427CE"/>
    <w:rsid w:val="00544465"/>
    <w:rsid w:val="00544DBE"/>
    <w:rsid w:val="00544ED9"/>
    <w:rsid w:val="005451BB"/>
    <w:rsid w:val="0054537F"/>
    <w:rsid w:val="00547134"/>
    <w:rsid w:val="00547393"/>
    <w:rsid w:val="005478AB"/>
    <w:rsid w:val="00547C10"/>
    <w:rsid w:val="005506A7"/>
    <w:rsid w:val="00550B2C"/>
    <w:rsid w:val="0055492C"/>
    <w:rsid w:val="00555218"/>
    <w:rsid w:val="00555562"/>
    <w:rsid w:val="00555997"/>
    <w:rsid w:val="00555BBE"/>
    <w:rsid w:val="00557A5B"/>
    <w:rsid w:val="00557AC6"/>
    <w:rsid w:val="00560002"/>
    <w:rsid w:val="00560415"/>
    <w:rsid w:val="0056092D"/>
    <w:rsid w:val="00560D05"/>
    <w:rsid w:val="00560E15"/>
    <w:rsid w:val="00561602"/>
    <w:rsid w:val="005618AE"/>
    <w:rsid w:val="00561A72"/>
    <w:rsid w:val="00563AFB"/>
    <w:rsid w:val="005642DA"/>
    <w:rsid w:val="00567A17"/>
    <w:rsid w:val="00573EE8"/>
    <w:rsid w:val="00574399"/>
    <w:rsid w:val="00574D14"/>
    <w:rsid w:val="005755E4"/>
    <w:rsid w:val="00575CB8"/>
    <w:rsid w:val="0058014D"/>
    <w:rsid w:val="00581530"/>
    <w:rsid w:val="00582A2E"/>
    <w:rsid w:val="00585456"/>
    <w:rsid w:val="0058585A"/>
    <w:rsid w:val="005865F7"/>
    <w:rsid w:val="00590ED8"/>
    <w:rsid w:val="00592D9B"/>
    <w:rsid w:val="00592DF4"/>
    <w:rsid w:val="005936A5"/>
    <w:rsid w:val="00593F73"/>
    <w:rsid w:val="00595EBA"/>
    <w:rsid w:val="00595F52"/>
    <w:rsid w:val="00595FB7"/>
    <w:rsid w:val="00596255"/>
    <w:rsid w:val="00597088"/>
    <w:rsid w:val="00597101"/>
    <w:rsid w:val="00597799"/>
    <w:rsid w:val="005A0157"/>
    <w:rsid w:val="005A255B"/>
    <w:rsid w:val="005A2FE9"/>
    <w:rsid w:val="005A3B98"/>
    <w:rsid w:val="005A4E6C"/>
    <w:rsid w:val="005A5291"/>
    <w:rsid w:val="005A6601"/>
    <w:rsid w:val="005A6B01"/>
    <w:rsid w:val="005A6F5D"/>
    <w:rsid w:val="005A72A1"/>
    <w:rsid w:val="005A7772"/>
    <w:rsid w:val="005A7C7E"/>
    <w:rsid w:val="005B0922"/>
    <w:rsid w:val="005B3496"/>
    <w:rsid w:val="005B34A4"/>
    <w:rsid w:val="005B48BA"/>
    <w:rsid w:val="005B5221"/>
    <w:rsid w:val="005B57BB"/>
    <w:rsid w:val="005B60D3"/>
    <w:rsid w:val="005B6C16"/>
    <w:rsid w:val="005C25DF"/>
    <w:rsid w:val="005C277A"/>
    <w:rsid w:val="005C3698"/>
    <w:rsid w:val="005C3BB0"/>
    <w:rsid w:val="005C61E1"/>
    <w:rsid w:val="005C642E"/>
    <w:rsid w:val="005C6A13"/>
    <w:rsid w:val="005D039E"/>
    <w:rsid w:val="005D186F"/>
    <w:rsid w:val="005D1F6B"/>
    <w:rsid w:val="005D3379"/>
    <w:rsid w:val="005D617F"/>
    <w:rsid w:val="005E2347"/>
    <w:rsid w:val="005E4311"/>
    <w:rsid w:val="005E4593"/>
    <w:rsid w:val="005E5E78"/>
    <w:rsid w:val="005E6052"/>
    <w:rsid w:val="005E6219"/>
    <w:rsid w:val="005E6306"/>
    <w:rsid w:val="005F1173"/>
    <w:rsid w:val="005F1EF2"/>
    <w:rsid w:val="005F2558"/>
    <w:rsid w:val="005F396F"/>
    <w:rsid w:val="005F3DC8"/>
    <w:rsid w:val="005F5A9C"/>
    <w:rsid w:val="005F5F9D"/>
    <w:rsid w:val="005F6815"/>
    <w:rsid w:val="00600419"/>
    <w:rsid w:val="00600FED"/>
    <w:rsid w:val="006040DA"/>
    <w:rsid w:val="006066EC"/>
    <w:rsid w:val="006111F2"/>
    <w:rsid w:val="00611787"/>
    <w:rsid w:val="00611AD9"/>
    <w:rsid w:val="00612193"/>
    <w:rsid w:val="00612C36"/>
    <w:rsid w:val="00614311"/>
    <w:rsid w:val="0061497D"/>
    <w:rsid w:val="006203B3"/>
    <w:rsid w:val="00620E61"/>
    <w:rsid w:val="00622293"/>
    <w:rsid w:val="006239DD"/>
    <w:rsid w:val="00624325"/>
    <w:rsid w:val="00624787"/>
    <w:rsid w:val="006268EA"/>
    <w:rsid w:val="006271BE"/>
    <w:rsid w:val="00627318"/>
    <w:rsid w:val="00630401"/>
    <w:rsid w:val="0063087B"/>
    <w:rsid w:val="00630A74"/>
    <w:rsid w:val="00630DF2"/>
    <w:rsid w:val="00631331"/>
    <w:rsid w:val="00631906"/>
    <w:rsid w:val="0063262E"/>
    <w:rsid w:val="00633259"/>
    <w:rsid w:val="006336F0"/>
    <w:rsid w:val="00634FAF"/>
    <w:rsid w:val="00635C24"/>
    <w:rsid w:val="006379D3"/>
    <w:rsid w:val="00640D59"/>
    <w:rsid w:val="00641E28"/>
    <w:rsid w:val="00642A4C"/>
    <w:rsid w:val="00642D85"/>
    <w:rsid w:val="00643101"/>
    <w:rsid w:val="006436BE"/>
    <w:rsid w:val="00643842"/>
    <w:rsid w:val="006438A3"/>
    <w:rsid w:val="006440D8"/>
    <w:rsid w:val="00644EA1"/>
    <w:rsid w:val="00645974"/>
    <w:rsid w:val="00645DEA"/>
    <w:rsid w:val="0064629C"/>
    <w:rsid w:val="00646D87"/>
    <w:rsid w:val="00646DF7"/>
    <w:rsid w:val="00650958"/>
    <w:rsid w:val="00650D0B"/>
    <w:rsid w:val="00653C81"/>
    <w:rsid w:val="00654A36"/>
    <w:rsid w:val="00654C51"/>
    <w:rsid w:val="00656632"/>
    <w:rsid w:val="006570FB"/>
    <w:rsid w:val="0065783A"/>
    <w:rsid w:val="00660049"/>
    <w:rsid w:val="00663985"/>
    <w:rsid w:val="00663BF5"/>
    <w:rsid w:val="00663EF9"/>
    <w:rsid w:val="006643C6"/>
    <w:rsid w:val="006655AE"/>
    <w:rsid w:val="00665C9A"/>
    <w:rsid w:val="00671137"/>
    <w:rsid w:val="006715E4"/>
    <w:rsid w:val="00671E88"/>
    <w:rsid w:val="00672501"/>
    <w:rsid w:val="00672641"/>
    <w:rsid w:val="00672CDF"/>
    <w:rsid w:val="00673300"/>
    <w:rsid w:val="00673486"/>
    <w:rsid w:val="006737B2"/>
    <w:rsid w:val="0067411B"/>
    <w:rsid w:val="00675346"/>
    <w:rsid w:val="00677339"/>
    <w:rsid w:val="00677FEF"/>
    <w:rsid w:val="00680535"/>
    <w:rsid w:val="006838E4"/>
    <w:rsid w:val="00683E6A"/>
    <w:rsid w:val="006846B5"/>
    <w:rsid w:val="0068655C"/>
    <w:rsid w:val="00686BC3"/>
    <w:rsid w:val="0068716E"/>
    <w:rsid w:val="0068740F"/>
    <w:rsid w:val="00687996"/>
    <w:rsid w:val="00690385"/>
    <w:rsid w:val="006904D4"/>
    <w:rsid w:val="006907D8"/>
    <w:rsid w:val="0069167A"/>
    <w:rsid w:val="00692302"/>
    <w:rsid w:val="00692C03"/>
    <w:rsid w:val="00692FE4"/>
    <w:rsid w:val="006932E3"/>
    <w:rsid w:val="0069386A"/>
    <w:rsid w:val="00694637"/>
    <w:rsid w:val="00696A9F"/>
    <w:rsid w:val="006975D2"/>
    <w:rsid w:val="00697EB3"/>
    <w:rsid w:val="006A03D8"/>
    <w:rsid w:val="006A07A6"/>
    <w:rsid w:val="006A11E8"/>
    <w:rsid w:val="006A2003"/>
    <w:rsid w:val="006A2387"/>
    <w:rsid w:val="006A456A"/>
    <w:rsid w:val="006A49FC"/>
    <w:rsid w:val="006A4A1B"/>
    <w:rsid w:val="006A53A9"/>
    <w:rsid w:val="006A57FF"/>
    <w:rsid w:val="006A681C"/>
    <w:rsid w:val="006A6E2F"/>
    <w:rsid w:val="006B0851"/>
    <w:rsid w:val="006B184B"/>
    <w:rsid w:val="006B3F8F"/>
    <w:rsid w:val="006B4299"/>
    <w:rsid w:val="006B5158"/>
    <w:rsid w:val="006B5696"/>
    <w:rsid w:val="006B5FA0"/>
    <w:rsid w:val="006B7743"/>
    <w:rsid w:val="006C1298"/>
    <w:rsid w:val="006C18F9"/>
    <w:rsid w:val="006C19CF"/>
    <w:rsid w:val="006C1E11"/>
    <w:rsid w:val="006C62D1"/>
    <w:rsid w:val="006C6667"/>
    <w:rsid w:val="006C7BA6"/>
    <w:rsid w:val="006D09E3"/>
    <w:rsid w:val="006D1681"/>
    <w:rsid w:val="006D1D33"/>
    <w:rsid w:val="006D29EE"/>
    <w:rsid w:val="006D2E3C"/>
    <w:rsid w:val="006D3410"/>
    <w:rsid w:val="006D5E4B"/>
    <w:rsid w:val="006D60D8"/>
    <w:rsid w:val="006D6C5D"/>
    <w:rsid w:val="006D7731"/>
    <w:rsid w:val="006D7C2F"/>
    <w:rsid w:val="006E00A0"/>
    <w:rsid w:val="006E2B73"/>
    <w:rsid w:val="006E31E4"/>
    <w:rsid w:val="006E3571"/>
    <w:rsid w:val="006E3A51"/>
    <w:rsid w:val="006E5C5E"/>
    <w:rsid w:val="006E5D25"/>
    <w:rsid w:val="006E602E"/>
    <w:rsid w:val="006E6C3D"/>
    <w:rsid w:val="006E7A41"/>
    <w:rsid w:val="006F00FD"/>
    <w:rsid w:val="006F09DA"/>
    <w:rsid w:val="006F0D21"/>
    <w:rsid w:val="006F1C43"/>
    <w:rsid w:val="006F279C"/>
    <w:rsid w:val="006F5A66"/>
    <w:rsid w:val="006F6E51"/>
    <w:rsid w:val="006F7389"/>
    <w:rsid w:val="00701A46"/>
    <w:rsid w:val="00701BAD"/>
    <w:rsid w:val="00701DDD"/>
    <w:rsid w:val="007033AF"/>
    <w:rsid w:val="007034A2"/>
    <w:rsid w:val="00703C41"/>
    <w:rsid w:val="0070402E"/>
    <w:rsid w:val="007048B4"/>
    <w:rsid w:val="007057A9"/>
    <w:rsid w:val="00705A31"/>
    <w:rsid w:val="0070653E"/>
    <w:rsid w:val="00706746"/>
    <w:rsid w:val="00706F87"/>
    <w:rsid w:val="00707FAC"/>
    <w:rsid w:val="00710882"/>
    <w:rsid w:val="00711020"/>
    <w:rsid w:val="007122AC"/>
    <w:rsid w:val="007139B1"/>
    <w:rsid w:val="0071583E"/>
    <w:rsid w:val="00715F1C"/>
    <w:rsid w:val="00716016"/>
    <w:rsid w:val="00717549"/>
    <w:rsid w:val="007177A7"/>
    <w:rsid w:val="00720767"/>
    <w:rsid w:val="0072094A"/>
    <w:rsid w:val="007216A9"/>
    <w:rsid w:val="00721E53"/>
    <w:rsid w:val="00722491"/>
    <w:rsid w:val="00722E93"/>
    <w:rsid w:val="0072444F"/>
    <w:rsid w:val="007248A7"/>
    <w:rsid w:val="00730134"/>
    <w:rsid w:val="007308EE"/>
    <w:rsid w:val="007309BE"/>
    <w:rsid w:val="00730CF5"/>
    <w:rsid w:val="007323B8"/>
    <w:rsid w:val="00734D2B"/>
    <w:rsid w:val="0073560D"/>
    <w:rsid w:val="007357CB"/>
    <w:rsid w:val="00736728"/>
    <w:rsid w:val="0073734A"/>
    <w:rsid w:val="0073759A"/>
    <w:rsid w:val="007375A7"/>
    <w:rsid w:val="007406A1"/>
    <w:rsid w:val="00740F59"/>
    <w:rsid w:val="007422EE"/>
    <w:rsid w:val="0074264B"/>
    <w:rsid w:val="00742B60"/>
    <w:rsid w:val="00742B6F"/>
    <w:rsid w:val="00742E62"/>
    <w:rsid w:val="007440A0"/>
    <w:rsid w:val="00744351"/>
    <w:rsid w:val="0074435A"/>
    <w:rsid w:val="007443A0"/>
    <w:rsid w:val="00744CE8"/>
    <w:rsid w:val="00744D93"/>
    <w:rsid w:val="00744F8A"/>
    <w:rsid w:val="007457FD"/>
    <w:rsid w:val="007472FE"/>
    <w:rsid w:val="00747B1F"/>
    <w:rsid w:val="007508C5"/>
    <w:rsid w:val="00750B82"/>
    <w:rsid w:val="00750DDA"/>
    <w:rsid w:val="0075195D"/>
    <w:rsid w:val="00751AC2"/>
    <w:rsid w:val="00752259"/>
    <w:rsid w:val="0075262F"/>
    <w:rsid w:val="0075382F"/>
    <w:rsid w:val="00756484"/>
    <w:rsid w:val="00757509"/>
    <w:rsid w:val="00757EC1"/>
    <w:rsid w:val="00757FC4"/>
    <w:rsid w:val="00760B3B"/>
    <w:rsid w:val="00761607"/>
    <w:rsid w:val="00762480"/>
    <w:rsid w:val="00763AEC"/>
    <w:rsid w:val="00763D1F"/>
    <w:rsid w:val="00765CBF"/>
    <w:rsid w:val="007662AD"/>
    <w:rsid w:val="00767644"/>
    <w:rsid w:val="00767DD8"/>
    <w:rsid w:val="00771B47"/>
    <w:rsid w:val="00771BB0"/>
    <w:rsid w:val="007726B2"/>
    <w:rsid w:val="0077403B"/>
    <w:rsid w:val="0077450D"/>
    <w:rsid w:val="00774691"/>
    <w:rsid w:val="00775521"/>
    <w:rsid w:val="007770BB"/>
    <w:rsid w:val="00777979"/>
    <w:rsid w:val="00781BA1"/>
    <w:rsid w:val="0078308B"/>
    <w:rsid w:val="00784876"/>
    <w:rsid w:val="00784CF4"/>
    <w:rsid w:val="0078500D"/>
    <w:rsid w:val="00787072"/>
    <w:rsid w:val="007903FF"/>
    <w:rsid w:val="007905B2"/>
    <w:rsid w:val="0079165B"/>
    <w:rsid w:val="00791EAF"/>
    <w:rsid w:val="0079228C"/>
    <w:rsid w:val="00794A5A"/>
    <w:rsid w:val="007951F5"/>
    <w:rsid w:val="00795996"/>
    <w:rsid w:val="00796984"/>
    <w:rsid w:val="007A24D3"/>
    <w:rsid w:val="007A25AA"/>
    <w:rsid w:val="007A38A3"/>
    <w:rsid w:val="007A4137"/>
    <w:rsid w:val="007A47EC"/>
    <w:rsid w:val="007A4F72"/>
    <w:rsid w:val="007A5007"/>
    <w:rsid w:val="007A58A8"/>
    <w:rsid w:val="007A596D"/>
    <w:rsid w:val="007A6079"/>
    <w:rsid w:val="007A60D1"/>
    <w:rsid w:val="007A6641"/>
    <w:rsid w:val="007A7AED"/>
    <w:rsid w:val="007A7F42"/>
    <w:rsid w:val="007B01E9"/>
    <w:rsid w:val="007B1B24"/>
    <w:rsid w:val="007B32AC"/>
    <w:rsid w:val="007B57A5"/>
    <w:rsid w:val="007B5980"/>
    <w:rsid w:val="007B60A9"/>
    <w:rsid w:val="007B6A38"/>
    <w:rsid w:val="007B6F2B"/>
    <w:rsid w:val="007B759C"/>
    <w:rsid w:val="007C3D01"/>
    <w:rsid w:val="007C4D6A"/>
    <w:rsid w:val="007C62CA"/>
    <w:rsid w:val="007C63BB"/>
    <w:rsid w:val="007C773F"/>
    <w:rsid w:val="007C7A53"/>
    <w:rsid w:val="007D0B81"/>
    <w:rsid w:val="007D1003"/>
    <w:rsid w:val="007D1B48"/>
    <w:rsid w:val="007D359D"/>
    <w:rsid w:val="007D40FD"/>
    <w:rsid w:val="007D4CFF"/>
    <w:rsid w:val="007D585B"/>
    <w:rsid w:val="007D6C44"/>
    <w:rsid w:val="007D74BE"/>
    <w:rsid w:val="007D788C"/>
    <w:rsid w:val="007D7CA9"/>
    <w:rsid w:val="007E0CB3"/>
    <w:rsid w:val="007E0D93"/>
    <w:rsid w:val="007E3364"/>
    <w:rsid w:val="007E3DF4"/>
    <w:rsid w:val="007E4DC4"/>
    <w:rsid w:val="007E5201"/>
    <w:rsid w:val="007E5205"/>
    <w:rsid w:val="007E66AF"/>
    <w:rsid w:val="007F1951"/>
    <w:rsid w:val="007F1E2B"/>
    <w:rsid w:val="007F2CBD"/>
    <w:rsid w:val="007F34CA"/>
    <w:rsid w:val="007F440A"/>
    <w:rsid w:val="007F47D6"/>
    <w:rsid w:val="007F4C91"/>
    <w:rsid w:val="007F5864"/>
    <w:rsid w:val="007F5D44"/>
    <w:rsid w:val="007F5F1D"/>
    <w:rsid w:val="007F706B"/>
    <w:rsid w:val="007F7097"/>
    <w:rsid w:val="00800778"/>
    <w:rsid w:val="0080153D"/>
    <w:rsid w:val="00802062"/>
    <w:rsid w:val="00802065"/>
    <w:rsid w:val="00803C22"/>
    <w:rsid w:val="00806055"/>
    <w:rsid w:val="0080793D"/>
    <w:rsid w:val="00807F12"/>
    <w:rsid w:val="008115AC"/>
    <w:rsid w:val="00812011"/>
    <w:rsid w:val="00815DFC"/>
    <w:rsid w:val="00816B83"/>
    <w:rsid w:val="00816FCE"/>
    <w:rsid w:val="00817D1C"/>
    <w:rsid w:val="00817F86"/>
    <w:rsid w:val="0082100C"/>
    <w:rsid w:val="00821C76"/>
    <w:rsid w:val="008230D9"/>
    <w:rsid w:val="00823FF7"/>
    <w:rsid w:val="008251C5"/>
    <w:rsid w:val="008269A9"/>
    <w:rsid w:val="008274BA"/>
    <w:rsid w:val="00827BF3"/>
    <w:rsid w:val="0083042A"/>
    <w:rsid w:val="00831602"/>
    <w:rsid w:val="00832178"/>
    <w:rsid w:val="0083467E"/>
    <w:rsid w:val="008349E5"/>
    <w:rsid w:val="00835323"/>
    <w:rsid w:val="0083676A"/>
    <w:rsid w:val="00840358"/>
    <w:rsid w:val="0084121B"/>
    <w:rsid w:val="00841686"/>
    <w:rsid w:val="00841846"/>
    <w:rsid w:val="00842444"/>
    <w:rsid w:val="008427A4"/>
    <w:rsid w:val="00843744"/>
    <w:rsid w:val="00845021"/>
    <w:rsid w:val="008459E6"/>
    <w:rsid w:val="0084787B"/>
    <w:rsid w:val="00847B19"/>
    <w:rsid w:val="00850E5F"/>
    <w:rsid w:val="008538A4"/>
    <w:rsid w:val="00854133"/>
    <w:rsid w:val="0085498E"/>
    <w:rsid w:val="00855154"/>
    <w:rsid w:val="008553F9"/>
    <w:rsid w:val="00856742"/>
    <w:rsid w:val="00856E29"/>
    <w:rsid w:val="00856E32"/>
    <w:rsid w:val="00857F67"/>
    <w:rsid w:val="0086049A"/>
    <w:rsid w:val="00860B5F"/>
    <w:rsid w:val="00861722"/>
    <w:rsid w:val="00863D13"/>
    <w:rsid w:val="008652B3"/>
    <w:rsid w:val="008660FF"/>
    <w:rsid w:val="0086736E"/>
    <w:rsid w:val="00870D0A"/>
    <w:rsid w:val="00871074"/>
    <w:rsid w:val="008718AE"/>
    <w:rsid w:val="008720DB"/>
    <w:rsid w:val="00872395"/>
    <w:rsid w:val="00874BB8"/>
    <w:rsid w:val="00874F00"/>
    <w:rsid w:val="00875022"/>
    <w:rsid w:val="00876190"/>
    <w:rsid w:val="00876382"/>
    <w:rsid w:val="0088000C"/>
    <w:rsid w:val="0088019A"/>
    <w:rsid w:val="0088057B"/>
    <w:rsid w:val="008806F6"/>
    <w:rsid w:val="00880B6C"/>
    <w:rsid w:val="008824CF"/>
    <w:rsid w:val="00883ADD"/>
    <w:rsid w:val="008840FD"/>
    <w:rsid w:val="00884D5C"/>
    <w:rsid w:val="0088516C"/>
    <w:rsid w:val="00885D91"/>
    <w:rsid w:val="00886265"/>
    <w:rsid w:val="0088657D"/>
    <w:rsid w:val="00886C47"/>
    <w:rsid w:val="008877CD"/>
    <w:rsid w:val="00887800"/>
    <w:rsid w:val="00890756"/>
    <w:rsid w:val="00891228"/>
    <w:rsid w:val="00891C27"/>
    <w:rsid w:val="00894963"/>
    <w:rsid w:val="00894AC7"/>
    <w:rsid w:val="00895230"/>
    <w:rsid w:val="008955EA"/>
    <w:rsid w:val="00896B9B"/>
    <w:rsid w:val="00897D33"/>
    <w:rsid w:val="008A1AAC"/>
    <w:rsid w:val="008A285E"/>
    <w:rsid w:val="008A3549"/>
    <w:rsid w:val="008A3E31"/>
    <w:rsid w:val="008A418E"/>
    <w:rsid w:val="008A4ADF"/>
    <w:rsid w:val="008A607A"/>
    <w:rsid w:val="008A7C17"/>
    <w:rsid w:val="008B0FF2"/>
    <w:rsid w:val="008B1D37"/>
    <w:rsid w:val="008B2522"/>
    <w:rsid w:val="008B2CCB"/>
    <w:rsid w:val="008B4DBE"/>
    <w:rsid w:val="008B5CDB"/>
    <w:rsid w:val="008B7E84"/>
    <w:rsid w:val="008C0A3E"/>
    <w:rsid w:val="008C0CDE"/>
    <w:rsid w:val="008C0DB0"/>
    <w:rsid w:val="008C3C11"/>
    <w:rsid w:val="008C4DDD"/>
    <w:rsid w:val="008C6453"/>
    <w:rsid w:val="008C6C04"/>
    <w:rsid w:val="008C78CD"/>
    <w:rsid w:val="008D0968"/>
    <w:rsid w:val="008D21D0"/>
    <w:rsid w:val="008D239B"/>
    <w:rsid w:val="008D3881"/>
    <w:rsid w:val="008D7E1D"/>
    <w:rsid w:val="008E0421"/>
    <w:rsid w:val="008E0ED6"/>
    <w:rsid w:val="008E0FF4"/>
    <w:rsid w:val="008E15C9"/>
    <w:rsid w:val="008E1EF8"/>
    <w:rsid w:val="008E2063"/>
    <w:rsid w:val="008E3ED0"/>
    <w:rsid w:val="008E4EFA"/>
    <w:rsid w:val="008E5848"/>
    <w:rsid w:val="008E7046"/>
    <w:rsid w:val="008E7251"/>
    <w:rsid w:val="008E7418"/>
    <w:rsid w:val="008E7816"/>
    <w:rsid w:val="008F1C3E"/>
    <w:rsid w:val="008F25C8"/>
    <w:rsid w:val="008F3DDF"/>
    <w:rsid w:val="008F3FE2"/>
    <w:rsid w:val="008F42DF"/>
    <w:rsid w:val="008F5685"/>
    <w:rsid w:val="008F5771"/>
    <w:rsid w:val="008F73EA"/>
    <w:rsid w:val="009005A9"/>
    <w:rsid w:val="0090078A"/>
    <w:rsid w:val="00900A17"/>
    <w:rsid w:val="00900DEC"/>
    <w:rsid w:val="00900FAD"/>
    <w:rsid w:val="00902D42"/>
    <w:rsid w:val="00905265"/>
    <w:rsid w:val="009054CF"/>
    <w:rsid w:val="00906864"/>
    <w:rsid w:val="00906A2D"/>
    <w:rsid w:val="009074BB"/>
    <w:rsid w:val="00910A2F"/>
    <w:rsid w:val="00911191"/>
    <w:rsid w:val="009118E5"/>
    <w:rsid w:val="00912FFA"/>
    <w:rsid w:val="0091304E"/>
    <w:rsid w:val="00914720"/>
    <w:rsid w:val="00915CF8"/>
    <w:rsid w:val="00917FC7"/>
    <w:rsid w:val="00921A1E"/>
    <w:rsid w:val="00922C53"/>
    <w:rsid w:val="00922E19"/>
    <w:rsid w:val="0092436D"/>
    <w:rsid w:val="00925C38"/>
    <w:rsid w:val="00925C9F"/>
    <w:rsid w:val="00925CF6"/>
    <w:rsid w:val="00927517"/>
    <w:rsid w:val="00927A70"/>
    <w:rsid w:val="00930AEA"/>
    <w:rsid w:val="009312CB"/>
    <w:rsid w:val="00933134"/>
    <w:rsid w:val="00933A16"/>
    <w:rsid w:val="009340E9"/>
    <w:rsid w:val="0093412B"/>
    <w:rsid w:val="00934421"/>
    <w:rsid w:val="00935C33"/>
    <w:rsid w:val="00935EBF"/>
    <w:rsid w:val="00936345"/>
    <w:rsid w:val="0093730F"/>
    <w:rsid w:val="009403E1"/>
    <w:rsid w:val="009423E7"/>
    <w:rsid w:val="00945E75"/>
    <w:rsid w:val="0094718D"/>
    <w:rsid w:val="00953295"/>
    <w:rsid w:val="009532C2"/>
    <w:rsid w:val="009533D2"/>
    <w:rsid w:val="00953A2B"/>
    <w:rsid w:val="0095420D"/>
    <w:rsid w:val="009547DD"/>
    <w:rsid w:val="009551A4"/>
    <w:rsid w:val="00957024"/>
    <w:rsid w:val="00957F66"/>
    <w:rsid w:val="0096022D"/>
    <w:rsid w:val="009614FE"/>
    <w:rsid w:val="00962563"/>
    <w:rsid w:val="00962A0A"/>
    <w:rsid w:val="00962AA8"/>
    <w:rsid w:val="00962CD0"/>
    <w:rsid w:val="00963404"/>
    <w:rsid w:val="00964DD2"/>
    <w:rsid w:val="009652F3"/>
    <w:rsid w:val="009654FC"/>
    <w:rsid w:val="00966B90"/>
    <w:rsid w:val="00967069"/>
    <w:rsid w:val="00967D2B"/>
    <w:rsid w:val="00971F80"/>
    <w:rsid w:val="009735E3"/>
    <w:rsid w:val="009737A8"/>
    <w:rsid w:val="00975A7F"/>
    <w:rsid w:val="00976B28"/>
    <w:rsid w:val="00976E6B"/>
    <w:rsid w:val="00977037"/>
    <w:rsid w:val="00977690"/>
    <w:rsid w:val="00977A65"/>
    <w:rsid w:val="00980280"/>
    <w:rsid w:val="00980305"/>
    <w:rsid w:val="00981583"/>
    <w:rsid w:val="00982D27"/>
    <w:rsid w:val="00982F60"/>
    <w:rsid w:val="00983081"/>
    <w:rsid w:val="00984D93"/>
    <w:rsid w:val="009851DD"/>
    <w:rsid w:val="00985A8E"/>
    <w:rsid w:val="00986C8C"/>
    <w:rsid w:val="0098712E"/>
    <w:rsid w:val="009872D8"/>
    <w:rsid w:val="009905C6"/>
    <w:rsid w:val="0099136C"/>
    <w:rsid w:val="00991702"/>
    <w:rsid w:val="00991E17"/>
    <w:rsid w:val="00994FE2"/>
    <w:rsid w:val="0099562F"/>
    <w:rsid w:val="00995851"/>
    <w:rsid w:val="009A1018"/>
    <w:rsid w:val="009A17D5"/>
    <w:rsid w:val="009A1856"/>
    <w:rsid w:val="009A25A9"/>
    <w:rsid w:val="009A3154"/>
    <w:rsid w:val="009A4E46"/>
    <w:rsid w:val="009A6A68"/>
    <w:rsid w:val="009A6F68"/>
    <w:rsid w:val="009A705D"/>
    <w:rsid w:val="009B0972"/>
    <w:rsid w:val="009B142B"/>
    <w:rsid w:val="009B2021"/>
    <w:rsid w:val="009B28DB"/>
    <w:rsid w:val="009B32BD"/>
    <w:rsid w:val="009B47B3"/>
    <w:rsid w:val="009B75EB"/>
    <w:rsid w:val="009B7B34"/>
    <w:rsid w:val="009C062B"/>
    <w:rsid w:val="009C1C13"/>
    <w:rsid w:val="009C217B"/>
    <w:rsid w:val="009C40B8"/>
    <w:rsid w:val="009C4E61"/>
    <w:rsid w:val="009C5598"/>
    <w:rsid w:val="009C5DC8"/>
    <w:rsid w:val="009C6E90"/>
    <w:rsid w:val="009C7C75"/>
    <w:rsid w:val="009D118C"/>
    <w:rsid w:val="009D2D87"/>
    <w:rsid w:val="009D4060"/>
    <w:rsid w:val="009D449A"/>
    <w:rsid w:val="009D44DE"/>
    <w:rsid w:val="009D55AB"/>
    <w:rsid w:val="009D6239"/>
    <w:rsid w:val="009D7F49"/>
    <w:rsid w:val="009E10CE"/>
    <w:rsid w:val="009E176B"/>
    <w:rsid w:val="009E5C95"/>
    <w:rsid w:val="009F02E2"/>
    <w:rsid w:val="009F083D"/>
    <w:rsid w:val="009F16DE"/>
    <w:rsid w:val="009F278F"/>
    <w:rsid w:val="009F2C75"/>
    <w:rsid w:val="009F312B"/>
    <w:rsid w:val="009F4C5E"/>
    <w:rsid w:val="009F5628"/>
    <w:rsid w:val="009F5F10"/>
    <w:rsid w:val="009F64BA"/>
    <w:rsid w:val="009F6DEC"/>
    <w:rsid w:val="009F736F"/>
    <w:rsid w:val="009F7B1C"/>
    <w:rsid w:val="00A00381"/>
    <w:rsid w:val="00A00A3D"/>
    <w:rsid w:val="00A00F78"/>
    <w:rsid w:val="00A01598"/>
    <w:rsid w:val="00A016D9"/>
    <w:rsid w:val="00A021ED"/>
    <w:rsid w:val="00A03D30"/>
    <w:rsid w:val="00A042FC"/>
    <w:rsid w:val="00A046D3"/>
    <w:rsid w:val="00A04AE9"/>
    <w:rsid w:val="00A04D8D"/>
    <w:rsid w:val="00A065ED"/>
    <w:rsid w:val="00A066C6"/>
    <w:rsid w:val="00A101EA"/>
    <w:rsid w:val="00A10A0A"/>
    <w:rsid w:val="00A114BB"/>
    <w:rsid w:val="00A12551"/>
    <w:rsid w:val="00A1299B"/>
    <w:rsid w:val="00A12FE8"/>
    <w:rsid w:val="00A14341"/>
    <w:rsid w:val="00A1487D"/>
    <w:rsid w:val="00A14F0D"/>
    <w:rsid w:val="00A1501A"/>
    <w:rsid w:val="00A17EDC"/>
    <w:rsid w:val="00A2081A"/>
    <w:rsid w:val="00A20BB0"/>
    <w:rsid w:val="00A2146D"/>
    <w:rsid w:val="00A214D2"/>
    <w:rsid w:val="00A23529"/>
    <w:rsid w:val="00A2382C"/>
    <w:rsid w:val="00A25989"/>
    <w:rsid w:val="00A300B9"/>
    <w:rsid w:val="00A3014E"/>
    <w:rsid w:val="00A30537"/>
    <w:rsid w:val="00A308A9"/>
    <w:rsid w:val="00A32B66"/>
    <w:rsid w:val="00A34778"/>
    <w:rsid w:val="00A353A9"/>
    <w:rsid w:val="00A35513"/>
    <w:rsid w:val="00A3596E"/>
    <w:rsid w:val="00A36605"/>
    <w:rsid w:val="00A3742E"/>
    <w:rsid w:val="00A37BBA"/>
    <w:rsid w:val="00A41C1D"/>
    <w:rsid w:val="00A42162"/>
    <w:rsid w:val="00A429B3"/>
    <w:rsid w:val="00A4336C"/>
    <w:rsid w:val="00A43388"/>
    <w:rsid w:val="00A45514"/>
    <w:rsid w:val="00A45DDB"/>
    <w:rsid w:val="00A46445"/>
    <w:rsid w:val="00A47385"/>
    <w:rsid w:val="00A50607"/>
    <w:rsid w:val="00A52926"/>
    <w:rsid w:val="00A55C41"/>
    <w:rsid w:val="00A56022"/>
    <w:rsid w:val="00A57430"/>
    <w:rsid w:val="00A6080E"/>
    <w:rsid w:val="00A60AF9"/>
    <w:rsid w:val="00A61F37"/>
    <w:rsid w:val="00A62131"/>
    <w:rsid w:val="00A641C6"/>
    <w:rsid w:val="00A6428F"/>
    <w:rsid w:val="00A6611A"/>
    <w:rsid w:val="00A6667C"/>
    <w:rsid w:val="00A66F0A"/>
    <w:rsid w:val="00A70D1C"/>
    <w:rsid w:val="00A720F7"/>
    <w:rsid w:val="00A74931"/>
    <w:rsid w:val="00A75E03"/>
    <w:rsid w:val="00A7699B"/>
    <w:rsid w:val="00A76D6B"/>
    <w:rsid w:val="00A777BB"/>
    <w:rsid w:val="00A77919"/>
    <w:rsid w:val="00A803E8"/>
    <w:rsid w:val="00A8172C"/>
    <w:rsid w:val="00A8234C"/>
    <w:rsid w:val="00A824C7"/>
    <w:rsid w:val="00A8251E"/>
    <w:rsid w:val="00A82E9E"/>
    <w:rsid w:val="00A83034"/>
    <w:rsid w:val="00A84DA0"/>
    <w:rsid w:val="00A84EFD"/>
    <w:rsid w:val="00A85F38"/>
    <w:rsid w:val="00A86001"/>
    <w:rsid w:val="00A90439"/>
    <w:rsid w:val="00A9046A"/>
    <w:rsid w:val="00A90E17"/>
    <w:rsid w:val="00A9131C"/>
    <w:rsid w:val="00A922C1"/>
    <w:rsid w:val="00A923E2"/>
    <w:rsid w:val="00A93057"/>
    <w:rsid w:val="00A933DE"/>
    <w:rsid w:val="00A957CB"/>
    <w:rsid w:val="00A96689"/>
    <w:rsid w:val="00A9717D"/>
    <w:rsid w:val="00A97D37"/>
    <w:rsid w:val="00AA0A75"/>
    <w:rsid w:val="00AA0E34"/>
    <w:rsid w:val="00AA19BD"/>
    <w:rsid w:val="00AA22D7"/>
    <w:rsid w:val="00AA2C7C"/>
    <w:rsid w:val="00AA411F"/>
    <w:rsid w:val="00AA4462"/>
    <w:rsid w:val="00AA4FC1"/>
    <w:rsid w:val="00AA641A"/>
    <w:rsid w:val="00AA7155"/>
    <w:rsid w:val="00AA77DA"/>
    <w:rsid w:val="00AB02F6"/>
    <w:rsid w:val="00AB06BB"/>
    <w:rsid w:val="00AB12C0"/>
    <w:rsid w:val="00AB43AD"/>
    <w:rsid w:val="00AB6276"/>
    <w:rsid w:val="00AB6507"/>
    <w:rsid w:val="00AB7560"/>
    <w:rsid w:val="00AB7DAC"/>
    <w:rsid w:val="00AC0DA5"/>
    <w:rsid w:val="00AC14D5"/>
    <w:rsid w:val="00AC19D9"/>
    <w:rsid w:val="00AC3C19"/>
    <w:rsid w:val="00AC46AB"/>
    <w:rsid w:val="00AC53D5"/>
    <w:rsid w:val="00AC6D12"/>
    <w:rsid w:val="00AC733C"/>
    <w:rsid w:val="00AC7861"/>
    <w:rsid w:val="00AD1492"/>
    <w:rsid w:val="00AD3039"/>
    <w:rsid w:val="00AD4802"/>
    <w:rsid w:val="00AD4A34"/>
    <w:rsid w:val="00AD56D1"/>
    <w:rsid w:val="00AD5980"/>
    <w:rsid w:val="00AD649D"/>
    <w:rsid w:val="00AD69FE"/>
    <w:rsid w:val="00AD6D9D"/>
    <w:rsid w:val="00AD7165"/>
    <w:rsid w:val="00AD76A8"/>
    <w:rsid w:val="00AE0242"/>
    <w:rsid w:val="00AE0372"/>
    <w:rsid w:val="00AE07A7"/>
    <w:rsid w:val="00AE0E81"/>
    <w:rsid w:val="00AE137A"/>
    <w:rsid w:val="00AE365C"/>
    <w:rsid w:val="00AE380A"/>
    <w:rsid w:val="00AE3957"/>
    <w:rsid w:val="00AE3D96"/>
    <w:rsid w:val="00AE4A36"/>
    <w:rsid w:val="00AE530E"/>
    <w:rsid w:val="00AE557A"/>
    <w:rsid w:val="00AE61F2"/>
    <w:rsid w:val="00AE6C2B"/>
    <w:rsid w:val="00AE6F80"/>
    <w:rsid w:val="00AE7D29"/>
    <w:rsid w:val="00AF2422"/>
    <w:rsid w:val="00AF24AD"/>
    <w:rsid w:val="00AF2523"/>
    <w:rsid w:val="00AF2671"/>
    <w:rsid w:val="00AF2BEB"/>
    <w:rsid w:val="00AF2F00"/>
    <w:rsid w:val="00AF5A38"/>
    <w:rsid w:val="00AF7074"/>
    <w:rsid w:val="00AF75A2"/>
    <w:rsid w:val="00AF799A"/>
    <w:rsid w:val="00B000D5"/>
    <w:rsid w:val="00B01D59"/>
    <w:rsid w:val="00B02172"/>
    <w:rsid w:val="00B038D0"/>
    <w:rsid w:val="00B04410"/>
    <w:rsid w:val="00B04689"/>
    <w:rsid w:val="00B04A93"/>
    <w:rsid w:val="00B056B6"/>
    <w:rsid w:val="00B0581E"/>
    <w:rsid w:val="00B07C5F"/>
    <w:rsid w:val="00B10329"/>
    <w:rsid w:val="00B109D2"/>
    <w:rsid w:val="00B11EAB"/>
    <w:rsid w:val="00B12A06"/>
    <w:rsid w:val="00B12DBC"/>
    <w:rsid w:val="00B12F37"/>
    <w:rsid w:val="00B14353"/>
    <w:rsid w:val="00B1456B"/>
    <w:rsid w:val="00B17573"/>
    <w:rsid w:val="00B17D3E"/>
    <w:rsid w:val="00B201FC"/>
    <w:rsid w:val="00B21188"/>
    <w:rsid w:val="00B22C0D"/>
    <w:rsid w:val="00B242FD"/>
    <w:rsid w:val="00B25AAC"/>
    <w:rsid w:val="00B25DE9"/>
    <w:rsid w:val="00B260A8"/>
    <w:rsid w:val="00B27A01"/>
    <w:rsid w:val="00B27FCE"/>
    <w:rsid w:val="00B31076"/>
    <w:rsid w:val="00B311D3"/>
    <w:rsid w:val="00B32715"/>
    <w:rsid w:val="00B34D19"/>
    <w:rsid w:val="00B35136"/>
    <w:rsid w:val="00B35240"/>
    <w:rsid w:val="00B355F2"/>
    <w:rsid w:val="00B35A35"/>
    <w:rsid w:val="00B35F2F"/>
    <w:rsid w:val="00B36A06"/>
    <w:rsid w:val="00B36DB4"/>
    <w:rsid w:val="00B36DB5"/>
    <w:rsid w:val="00B37B26"/>
    <w:rsid w:val="00B4297B"/>
    <w:rsid w:val="00B43BE3"/>
    <w:rsid w:val="00B4506F"/>
    <w:rsid w:val="00B45544"/>
    <w:rsid w:val="00B4584C"/>
    <w:rsid w:val="00B46308"/>
    <w:rsid w:val="00B46FD5"/>
    <w:rsid w:val="00B476F0"/>
    <w:rsid w:val="00B5113C"/>
    <w:rsid w:val="00B51882"/>
    <w:rsid w:val="00B521E4"/>
    <w:rsid w:val="00B52946"/>
    <w:rsid w:val="00B52F6E"/>
    <w:rsid w:val="00B54234"/>
    <w:rsid w:val="00B551AB"/>
    <w:rsid w:val="00B5648E"/>
    <w:rsid w:val="00B568B6"/>
    <w:rsid w:val="00B57534"/>
    <w:rsid w:val="00B6128C"/>
    <w:rsid w:val="00B616E4"/>
    <w:rsid w:val="00B61CB4"/>
    <w:rsid w:val="00B61DA2"/>
    <w:rsid w:val="00B64AB2"/>
    <w:rsid w:val="00B6546A"/>
    <w:rsid w:val="00B6562F"/>
    <w:rsid w:val="00B65F5F"/>
    <w:rsid w:val="00B67968"/>
    <w:rsid w:val="00B67D3B"/>
    <w:rsid w:val="00B700E1"/>
    <w:rsid w:val="00B7050E"/>
    <w:rsid w:val="00B716AF"/>
    <w:rsid w:val="00B719CD"/>
    <w:rsid w:val="00B71AA5"/>
    <w:rsid w:val="00B73C68"/>
    <w:rsid w:val="00B740A2"/>
    <w:rsid w:val="00B74B0B"/>
    <w:rsid w:val="00B751B3"/>
    <w:rsid w:val="00B77D7D"/>
    <w:rsid w:val="00B81A80"/>
    <w:rsid w:val="00B82FEF"/>
    <w:rsid w:val="00B83F47"/>
    <w:rsid w:val="00B843BE"/>
    <w:rsid w:val="00B851BA"/>
    <w:rsid w:val="00B86216"/>
    <w:rsid w:val="00B8676C"/>
    <w:rsid w:val="00B87E39"/>
    <w:rsid w:val="00B90A4B"/>
    <w:rsid w:val="00B90F87"/>
    <w:rsid w:val="00B92C3D"/>
    <w:rsid w:val="00BA0490"/>
    <w:rsid w:val="00BA3D37"/>
    <w:rsid w:val="00BA4899"/>
    <w:rsid w:val="00BA5158"/>
    <w:rsid w:val="00BA5A4E"/>
    <w:rsid w:val="00BA60A6"/>
    <w:rsid w:val="00BA7779"/>
    <w:rsid w:val="00BB1CBB"/>
    <w:rsid w:val="00BB1F40"/>
    <w:rsid w:val="00BB3255"/>
    <w:rsid w:val="00BB3301"/>
    <w:rsid w:val="00BB51F8"/>
    <w:rsid w:val="00BB52C8"/>
    <w:rsid w:val="00BB69F7"/>
    <w:rsid w:val="00BC0A90"/>
    <w:rsid w:val="00BC0CC9"/>
    <w:rsid w:val="00BC189C"/>
    <w:rsid w:val="00BC1EE3"/>
    <w:rsid w:val="00BC266A"/>
    <w:rsid w:val="00BC3764"/>
    <w:rsid w:val="00BC4F3D"/>
    <w:rsid w:val="00BC50FC"/>
    <w:rsid w:val="00BC558D"/>
    <w:rsid w:val="00BC635A"/>
    <w:rsid w:val="00BC7CA4"/>
    <w:rsid w:val="00BD039D"/>
    <w:rsid w:val="00BD0435"/>
    <w:rsid w:val="00BD1D31"/>
    <w:rsid w:val="00BD235F"/>
    <w:rsid w:val="00BD261F"/>
    <w:rsid w:val="00BD30FB"/>
    <w:rsid w:val="00BD4AE2"/>
    <w:rsid w:val="00BD4DCD"/>
    <w:rsid w:val="00BD5BB4"/>
    <w:rsid w:val="00BD661B"/>
    <w:rsid w:val="00BD6956"/>
    <w:rsid w:val="00BD6F67"/>
    <w:rsid w:val="00BE1733"/>
    <w:rsid w:val="00BE24B4"/>
    <w:rsid w:val="00BE3483"/>
    <w:rsid w:val="00BE3611"/>
    <w:rsid w:val="00BE3C2F"/>
    <w:rsid w:val="00BE452E"/>
    <w:rsid w:val="00BE49B5"/>
    <w:rsid w:val="00BE654A"/>
    <w:rsid w:val="00BE798A"/>
    <w:rsid w:val="00BF05DD"/>
    <w:rsid w:val="00BF1D8E"/>
    <w:rsid w:val="00BF2C5B"/>
    <w:rsid w:val="00BF3819"/>
    <w:rsid w:val="00BF6E1F"/>
    <w:rsid w:val="00C000EA"/>
    <w:rsid w:val="00C00B32"/>
    <w:rsid w:val="00C01561"/>
    <w:rsid w:val="00C019FD"/>
    <w:rsid w:val="00C02A16"/>
    <w:rsid w:val="00C030FB"/>
    <w:rsid w:val="00C03354"/>
    <w:rsid w:val="00C03CB7"/>
    <w:rsid w:val="00C04798"/>
    <w:rsid w:val="00C0527D"/>
    <w:rsid w:val="00C0558E"/>
    <w:rsid w:val="00C05F5B"/>
    <w:rsid w:val="00C06AB8"/>
    <w:rsid w:val="00C07F32"/>
    <w:rsid w:val="00C1018A"/>
    <w:rsid w:val="00C1023B"/>
    <w:rsid w:val="00C11400"/>
    <w:rsid w:val="00C12BDE"/>
    <w:rsid w:val="00C12DF4"/>
    <w:rsid w:val="00C131FC"/>
    <w:rsid w:val="00C13827"/>
    <w:rsid w:val="00C13A5A"/>
    <w:rsid w:val="00C15EAD"/>
    <w:rsid w:val="00C17AC5"/>
    <w:rsid w:val="00C20BB5"/>
    <w:rsid w:val="00C20BF3"/>
    <w:rsid w:val="00C21891"/>
    <w:rsid w:val="00C22C22"/>
    <w:rsid w:val="00C2313E"/>
    <w:rsid w:val="00C23DBE"/>
    <w:rsid w:val="00C2546B"/>
    <w:rsid w:val="00C25751"/>
    <w:rsid w:val="00C26458"/>
    <w:rsid w:val="00C26864"/>
    <w:rsid w:val="00C27056"/>
    <w:rsid w:val="00C27269"/>
    <w:rsid w:val="00C278A8"/>
    <w:rsid w:val="00C27919"/>
    <w:rsid w:val="00C30563"/>
    <w:rsid w:val="00C31F90"/>
    <w:rsid w:val="00C3208A"/>
    <w:rsid w:val="00C3241E"/>
    <w:rsid w:val="00C34479"/>
    <w:rsid w:val="00C34846"/>
    <w:rsid w:val="00C36140"/>
    <w:rsid w:val="00C37BDA"/>
    <w:rsid w:val="00C37F74"/>
    <w:rsid w:val="00C40631"/>
    <w:rsid w:val="00C41C4A"/>
    <w:rsid w:val="00C41F24"/>
    <w:rsid w:val="00C428EB"/>
    <w:rsid w:val="00C4451C"/>
    <w:rsid w:val="00C4568A"/>
    <w:rsid w:val="00C45DEA"/>
    <w:rsid w:val="00C4742F"/>
    <w:rsid w:val="00C47A40"/>
    <w:rsid w:val="00C5106D"/>
    <w:rsid w:val="00C54818"/>
    <w:rsid w:val="00C54A0E"/>
    <w:rsid w:val="00C54A10"/>
    <w:rsid w:val="00C54E96"/>
    <w:rsid w:val="00C552D0"/>
    <w:rsid w:val="00C55D17"/>
    <w:rsid w:val="00C55F5B"/>
    <w:rsid w:val="00C567A4"/>
    <w:rsid w:val="00C57AB7"/>
    <w:rsid w:val="00C60F59"/>
    <w:rsid w:val="00C6149D"/>
    <w:rsid w:val="00C61D81"/>
    <w:rsid w:val="00C62299"/>
    <w:rsid w:val="00C62B93"/>
    <w:rsid w:val="00C63546"/>
    <w:rsid w:val="00C63AF2"/>
    <w:rsid w:val="00C65400"/>
    <w:rsid w:val="00C6547B"/>
    <w:rsid w:val="00C65C39"/>
    <w:rsid w:val="00C66E84"/>
    <w:rsid w:val="00C66F23"/>
    <w:rsid w:val="00C670FE"/>
    <w:rsid w:val="00C675C1"/>
    <w:rsid w:val="00C701CE"/>
    <w:rsid w:val="00C71F52"/>
    <w:rsid w:val="00C7219F"/>
    <w:rsid w:val="00C725E2"/>
    <w:rsid w:val="00C735DA"/>
    <w:rsid w:val="00C746A7"/>
    <w:rsid w:val="00C76292"/>
    <w:rsid w:val="00C76404"/>
    <w:rsid w:val="00C76E59"/>
    <w:rsid w:val="00C775FA"/>
    <w:rsid w:val="00C804DC"/>
    <w:rsid w:val="00C81DA6"/>
    <w:rsid w:val="00C81DAD"/>
    <w:rsid w:val="00C824C6"/>
    <w:rsid w:val="00C82603"/>
    <w:rsid w:val="00C82BD4"/>
    <w:rsid w:val="00C83291"/>
    <w:rsid w:val="00C846D1"/>
    <w:rsid w:val="00C8551B"/>
    <w:rsid w:val="00C85716"/>
    <w:rsid w:val="00C85C7B"/>
    <w:rsid w:val="00C90140"/>
    <w:rsid w:val="00C90465"/>
    <w:rsid w:val="00C93220"/>
    <w:rsid w:val="00C94036"/>
    <w:rsid w:val="00C94632"/>
    <w:rsid w:val="00C951A9"/>
    <w:rsid w:val="00C95953"/>
    <w:rsid w:val="00C96836"/>
    <w:rsid w:val="00C97B70"/>
    <w:rsid w:val="00CA01D8"/>
    <w:rsid w:val="00CA094C"/>
    <w:rsid w:val="00CA0AD5"/>
    <w:rsid w:val="00CA19AA"/>
    <w:rsid w:val="00CA2798"/>
    <w:rsid w:val="00CA2E57"/>
    <w:rsid w:val="00CA354B"/>
    <w:rsid w:val="00CA3D65"/>
    <w:rsid w:val="00CA431B"/>
    <w:rsid w:val="00CA43E2"/>
    <w:rsid w:val="00CA649E"/>
    <w:rsid w:val="00CA6D64"/>
    <w:rsid w:val="00CA73D4"/>
    <w:rsid w:val="00CB01D8"/>
    <w:rsid w:val="00CB0E4E"/>
    <w:rsid w:val="00CB143F"/>
    <w:rsid w:val="00CB2684"/>
    <w:rsid w:val="00CB40B0"/>
    <w:rsid w:val="00CB46F0"/>
    <w:rsid w:val="00CB58A5"/>
    <w:rsid w:val="00CC0D01"/>
    <w:rsid w:val="00CC0FC3"/>
    <w:rsid w:val="00CC12D3"/>
    <w:rsid w:val="00CC1B51"/>
    <w:rsid w:val="00CC1B54"/>
    <w:rsid w:val="00CC1CF8"/>
    <w:rsid w:val="00CC294B"/>
    <w:rsid w:val="00CC4ED6"/>
    <w:rsid w:val="00CC568E"/>
    <w:rsid w:val="00CC5A21"/>
    <w:rsid w:val="00CC5B9F"/>
    <w:rsid w:val="00CC7030"/>
    <w:rsid w:val="00CC7BE5"/>
    <w:rsid w:val="00CD0D99"/>
    <w:rsid w:val="00CD103C"/>
    <w:rsid w:val="00CD12C1"/>
    <w:rsid w:val="00CD4045"/>
    <w:rsid w:val="00CD4341"/>
    <w:rsid w:val="00CD49B4"/>
    <w:rsid w:val="00CD50FF"/>
    <w:rsid w:val="00CD5E01"/>
    <w:rsid w:val="00CD6793"/>
    <w:rsid w:val="00CD7D89"/>
    <w:rsid w:val="00CE0660"/>
    <w:rsid w:val="00CE2318"/>
    <w:rsid w:val="00CE327A"/>
    <w:rsid w:val="00CE3FFD"/>
    <w:rsid w:val="00CE446E"/>
    <w:rsid w:val="00CE4DDC"/>
    <w:rsid w:val="00CE502F"/>
    <w:rsid w:val="00CE55C8"/>
    <w:rsid w:val="00CE647D"/>
    <w:rsid w:val="00CE6CB4"/>
    <w:rsid w:val="00CE6FB6"/>
    <w:rsid w:val="00CE7B49"/>
    <w:rsid w:val="00CF0F2F"/>
    <w:rsid w:val="00CF205F"/>
    <w:rsid w:val="00CF2408"/>
    <w:rsid w:val="00CF24C6"/>
    <w:rsid w:val="00CF4A8D"/>
    <w:rsid w:val="00CF51F2"/>
    <w:rsid w:val="00CF5943"/>
    <w:rsid w:val="00CF5ED2"/>
    <w:rsid w:val="00CF6242"/>
    <w:rsid w:val="00CF6FAF"/>
    <w:rsid w:val="00D0088C"/>
    <w:rsid w:val="00D00CB0"/>
    <w:rsid w:val="00D0129F"/>
    <w:rsid w:val="00D0165B"/>
    <w:rsid w:val="00D01758"/>
    <w:rsid w:val="00D0558D"/>
    <w:rsid w:val="00D055CC"/>
    <w:rsid w:val="00D0582C"/>
    <w:rsid w:val="00D059DF"/>
    <w:rsid w:val="00D05C96"/>
    <w:rsid w:val="00D05F34"/>
    <w:rsid w:val="00D05FC1"/>
    <w:rsid w:val="00D0655C"/>
    <w:rsid w:val="00D1114D"/>
    <w:rsid w:val="00D111C2"/>
    <w:rsid w:val="00D12C08"/>
    <w:rsid w:val="00D135F3"/>
    <w:rsid w:val="00D13CF6"/>
    <w:rsid w:val="00D161B0"/>
    <w:rsid w:val="00D1680A"/>
    <w:rsid w:val="00D16E5C"/>
    <w:rsid w:val="00D17B28"/>
    <w:rsid w:val="00D20B13"/>
    <w:rsid w:val="00D2184E"/>
    <w:rsid w:val="00D21897"/>
    <w:rsid w:val="00D231C1"/>
    <w:rsid w:val="00D23DC0"/>
    <w:rsid w:val="00D25AEA"/>
    <w:rsid w:val="00D262B4"/>
    <w:rsid w:val="00D26BD4"/>
    <w:rsid w:val="00D27394"/>
    <w:rsid w:val="00D30076"/>
    <w:rsid w:val="00D314B8"/>
    <w:rsid w:val="00D315EC"/>
    <w:rsid w:val="00D32123"/>
    <w:rsid w:val="00D3465F"/>
    <w:rsid w:val="00D36BE2"/>
    <w:rsid w:val="00D37D14"/>
    <w:rsid w:val="00D40012"/>
    <w:rsid w:val="00D40C64"/>
    <w:rsid w:val="00D4140F"/>
    <w:rsid w:val="00D416B6"/>
    <w:rsid w:val="00D4192B"/>
    <w:rsid w:val="00D41EA7"/>
    <w:rsid w:val="00D4217E"/>
    <w:rsid w:val="00D42746"/>
    <w:rsid w:val="00D428FA"/>
    <w:rsid w:val="00D445C8"/>
    <w:rsid w:val="00D45621"/>
    <w:rsid w:val="00D4583A"/>
    <w:rsid w:val="00D46899"/>
    <w:rsid w:val="00D46926"/>
    <w:rsid w:val="00D51078"/>
    <w:rsid w:val="00D5247F"/>
    <w:rsid w:val="00D54249"/>
    <w:rsid w:val="00D54327"/>
    <w:rsid w:val="00D547C9"/>
    <w:rsid w:val="00D549A5"/>
    <w:rsid w:val="00D5501F"/>
    <w:rsid w:val="00D55BD5"/>
    <w:rsid w:val="00D56D06"/>
    <w:rsid w:val="00D56FEF"/>
    <w:rsid w:val="00D57F82"/>
    <w:rsid w:val="00D6010E"/>
    <w:rsid w:val="00D60673"/>
    <w:rsid w:val="00D60843"/>
    <w:rsid w:val="00D6205E"/>
    <w:rsid w:val="00D62328"/>
    <w:rsid w:val="00D63FAD"/>
    <w:rsid w:val="00D64CD8"/>
    <w:rsid w:val="00D64D8B"/>
    <w:rsid w:val="00D66B8D"/>
    <w:rsid w:val="00D7154F"/>
    <w:rsid w:val="00D71654"/>
    <w:rsid w:val="00D71746"/>
    <w:rsid w:val="00D71FCE"/>
    <w:rsid w:val="00D72A6D"/>
    <w:rsid w:val="00D738BE"/>
    <w:rsid w:val="00D73911"/>
    <w:rsid w:val="00D750C9"/>
    <w:rsid w:val="00D7533B"/>
    <w:rsid w:val="00D75DD4"/>
    <w:rsid w:val="00D76F0E"/>
    <w:rsid w:val="00D81590"/>
    <w:rsid w:val="00D837D4"/>
    <w:rsid w:val="00D83FEF"/>
    <w:rsid w:val="00D84338"/>
    <w:rsid w:val="00D84541"/>
    <w:rsid w:val="00D85417"/>
    <w:rsid w:val="00D86767"/>
    <w:rsid w:val="00D86F61"/>
    <w:rsid w:val="00D873FF"/>
    <w:rsid w:val="00D90A55"/>
    <w:rsid w:val="00D91E91"/>
    <w:rsid w:val="00D9239B"/>
    <w:rsid w:val="00D923B4"/>
    <w:rsid w:val="00D93364"/>
    <w:rsid w:val="00D933A6"/>
    <w:rsid w:val="00D948C8"/>
    <w:rsid w:val="00D94F6A"/>
    <w:rsid w:val="00D97EBF"/>
    <w:rsid w:val="00D97F90"/>
    <w:rsid w:val="00DA02B5"/>
    <w:rsid w:val="00DA0E47"/>
    <w:rsid w:val="00DA185C"/>
    <w:rsid w:val="00DA2234"/>
    <w:rsid w:val="00DA266F"/>
    <w:rsid w:val="00DA3011"/>
    <w:rsid w:val="00DA3876"/>
    <w:rsid w:val="00DA3B3F"/>
    <w:rsid w:val="00DA3BAE"/>
    <w:rsid w:val="00DA3D07"/>
    <w:rsid w:val="00DA56AC"/>
    <w:rsid w:val="00DA6E7E"/>
    <w:rsid w:val="00DB0BDF"/>
    <w:rsid w:val="00DB0D54"/>
    <w:rsid w:val="00DB21C0"/>
    <w:rsid w:val="00DB3331"/>
    <w:rsid w:val="00DB3BD9"/>
    <w:rsid w:val="00DB4087"/>
    <w:rsid w:val="00DB4ADD"/>
    <w:rsid w:val="00DB5784"/>
    <w:rsid w:val="00DB5826"/>
    <w:rsid w:val="00DB5A3D"/>
    <w:rsid w:val="00DB5CD4"/>
    <w:rsid w:val="00DB5E31"/>
    <w:rsid w:val="00DB6059"/>
    <w:rsid w:val="00DB60D2"/>
    <w:rsid w:val="00DC08DE"/>
    <w:rsid w:val="00DC196D"/>
    <w:rsid w:val="00DC214C"/>
    <w:rsid w:val="00DC2E4E"/>
    <w:rsid w:val="00DC7819"/>
    <w:rsid w:val="00DC7FA1"/>
    <w:rsid w:val="00DD0232"/>
    <w:rsid w:val="00DD0525"/>
    <w:rsid w:val="00DD1401"/>
    <w:rsid w:val="00DD1D6B"/>
    <w:rsid w:val="00DD2030"/>
    <w:rsid w:val="00DD2EBF"/>
    <w:rsid w:val="00DD372E"/>
    <w:rsid w:val="00DD62B0"/>
    <w:rsid w:val="00DD6C3D"/>
    <w:rsid w:val="00DE1FA1"/>
    <w:rsid w:val="00DE2ADE"/>
    <w:rsid w:val="00DE2B56"/>
    <w:rsid w:val="00DE431B"/>
    <w:rsid w:val="00DE58E8"/>
    <w:rsid w:val="00DE5FDC"/>
    <w:rsid w:val="00DE6DA4"/>
    <w:rsid w:val="00DE6EDD"/>
    <w:rsid w:val="00DE725E"/>
    <w:rsid w:val="00DF04BA"/>
    <w:rsid w:val="00DF04FA"/>
    <w:rsid w:val="00DF2A86"/>
    <w:rsid w:val="00DF5E22"/>
    <w:rsid w:val="00DF6A29"/>
    <w:rsid w:val="00DF7933"/>
    <w:rsid w:val="00DF7A00"/>
    <w:rsid w:val="00E022AA"/>
    <w:rsid w:val="00E02914"/>
    <w:rsid w:val="00E0363E"/>
    <w:rsid w:val="00E04C93"/>
    <w:rsid w:val="00E06DE4"/>
    <w:rsid w:val="00E10668"/>
    <w:rsid w:val="00E10962"/>
    <w:rsid w:val="00E113BE"/>
    <w:rsid w:val="00E12085"/>
    <w:rsid w:val="00E127F3"/>
    <w:rsid w:val="00E13531"/>
    <w:rsid w:val="00E149B1"/>
    <w:rsid w:val="00E14D46"/>
    <w:rsid w:val="00E158F9"/>
    <w:rsid w:val="00E169A0"/>
    <w:rsid w:val="00E20401"/>
    <w:rsid w:val="00E219EC"/>
    <w:rsid w:val="00E21FEB"/>
    <w:rsid w:val="00E22EB4"/>
    <w:rsid w:val="00E25769"/>
    <w:rsid w:val="00E27B09"/>
    <w:rsid w:val="00E302D9"/>
    <w:rsid w:val="00E3163B"/>
    <w:rsid w:val="00E32A8F"/>
    <w:rsid w:val="00E3434C"/>
    <w:rsid w:val="00E34CF1"/>
    <w:rsid w:val="00E356B8"/>
    <w:rsid w:val="00E357FF"/>
    <w:rsid w:val="00E3659A"/>
    <w:rsid w:val="00E37302"/>
    <w:rsid w:val="00E37438"/>
    <w:rsid w:val="00E4037D"/>
    <w:rsid w:val="00E41980"/>
    <w:rsid w:val="00E41A0B"/>
    <w:rsid w:val="00E41DD3"/>
    <w:rsid w:val="00E42241"/>
    <w:rsid w:val="00E43E1B"/>
    <w:rsid w:val="00E46248"/>
    <w:rsid w:val="00E46A6C"/>
    <w:rsid w:val="00E47838"/>
    <w:rsid w:val="00E50674"/>
    <w:rsid w:val="00E51B03"/>
    <w:rsid w:val="00E51B0C"/>
    <w:rsid w:val="00E51FB9"/>
    <w:rsid w:val="00E534BE"/>
    <w:rsid w:val="00E53789"/>
    <w:rsid w:val="00E54D65"/>
    <w:rsid w:val="00E54E20"/>
    <w:rsid w:val="00E54E4A"/>
    <w:rsid w:val="00E55B99"/>
    <w:rsid w:val="00E5613B"/>
    <w:rsid w:val="00E56E86"/>
    <w:rsid w:val="00E5719D"/>
    <w:rsid w:val="00E609A9"/>
    <w:rsid w:val="00E62150"/>
    <w:rsid w:val="00E62E16"/>
    <w:rsid w:val="00E633EA"/>
    <w:rsid w:val="00E650C2"/>
    <w:rsid w:val="00E65D07"/>
    <w:rsid w:val="00E673A4"/>
    <w:rsid w:val="00E6760B"/>
    <w:rsid w:val="00E71123"/>
    <w:rsid w:val="00E7185E"/>
    <w:rsid w:val="00E71AD5"/>
    <w:rsid w:val="00E72234"/>
    <w:rsid w:val="00E724FB"/>
    <w:rsid w:val="00E72FDF"/>
    <w:rsid w:val="00E74B47"/>
    <w:rsid w:val="00E74C4A"/>
    <w:rsid w:val="00E80606"/>
    <w:rsid w:val="00E8371F"/>
    <w:rsid w:val="00E837A8"/>
    <w:rsid w:val="00E84BE6"/>
    <w:rsid w:val="00E85707"/>
    <w:rsid w:val="00E9014E"/>
    <w:rsid w:val="00E9033A"/>
    <w:rsid w:val="00E908F0"/>
    <w:rsid w:val="00E9094F"/>
    <w:rsid w:val="00E90EB1"/>
    <w:rsid w:val="00E92D0A"/>
    <w:rsid w:val="00E9364B"/>
    <w:rsid w:val="00E9481E"/>
    <w:rsid w:val="00E94882"/>
    <w:rsid w:val="00E95264"/>
    <w:rsid w:val="00E9540D"/>
    <w:rsid w:val="00E95578"/>
    <w:rsid w:val="00E964C1"/>
    <w:rsid w:val="00E96AD6"/>
    <w:rsid w:val="00E97012"/>
    <w:rsid w:val="00E97984"/>
    <w:rsid w:val="00EA0773"/>
    <w:rsid w:val="00EA0DD5"/>
    <w:rsid w:val="00EA349C"/>
    <w:rsid w:val="00EA408B"/>
    <w:rsid w:val="00EA4978"/>
    <w:rsid w:val="00EA51F7"/>
    <w:rsid w:val="00EA6F19"/>
    <w:rsid w:val="00EA705E"/>
    <w:rsid w:val="00EA73A4"/>
    <w:rsid w:val="00EA73A8"/>
    <w:rsid w:val="00EA75AF"/>
    <w:rsid w:val="00EA7EB9"/>
    <w:rsid w:val="00EB0377"/>
    <w:rsid w:val="00EB03BE"/>
    <w:rsid w:val="00EB0B98"/>
    <w:rsid w:val="00EB0CF2"/>
    <w:rsid w:val="00EB1298"/>
    <w:rsid w:val="00EB2B72"/>
    <w:rsid w:val="00EB2ED5"/>
    <w:rsid w:val="00EB3389"/>
    <w:rsid w:val="00EB41DC"/>
    <w:rsid w:val="00EB49F7"/>
    <w:rsid w:val="00EB628A"/>
    <w:rsid w:val="00EB70BF"/>
    <w:rsid w:val="00EC09CB"/>
    <w:rsid w:val="00EC0C09"/>
    <w:rsid w:val="00EC1CD2"/>
    <w:rsid w:val="00EC31DF"/>
    <w:rsid w:val="00EC4078"/>
    <w:rsid w:val="00EC4E3D"/>
    <w:rsid w:val="00EC60AB"/>
    <w:rsid w:val="00EC74CD"/>
    <w:rsid w:val="00ED0AC1"/>
    <w:rsid w:val="00ED16B3"/>
    <w:rsid w:val="00ED1CA5"/>
    <w:rsid w:val="00ED31D3"/>
    <w:rsid w:val="00ED3406"/>
    <w:rsid w:val="00ED37D8"/>
    <w:rsid w:val="00ED6B6E"/>
    <w:rsid w:val="00ED7B15"/>
    <w:rsid w:val="00EE0137"/>
    <w:rsid w:val="00EE01BD"/>
    <w:rsid w:val="00EE0216"/>
    <w:rsid w:val="00EE0364"/>
    <w:rsid w:val="00EE05B4"/>
    <w:rsid w:val="00EE0814"/>
    <w:rsid w:val="00EE0EF2"/>
    <w:rsid w:val="00EE1995"/>
    <w:rsid w:val="00EE28BA"/>
    <w:rsid w:val="00EE34EB"/>
    <w:rsid w:val="00EE3554"/>
    <w:rsid w:val="00EE61FD"/>
    <w:rsid w:val="00EE6D3B"/>
    <w:rsid w:val="00EF0143"/>
    <w:rsid w:val="00EF0975"/>
    <w:rsid w:val="00EF0B18"/>
    <w:rsid w:val="00EF10EB"/>
    <w:rsid w:val="00EF1ADC"/>
    <w:rsid w:val="00EF270C"/>
    <w:rsid w:val="00EF2BCE"/>
    <w:rsid w:val="00EF2F3B"/>
    <w:rsid w:val="00EF474E"/>
    <w:rsid w:val="00EF5CA6"/>
    <w:rsid w:val="00EF5D30"/>
    <w:rsid w:val="00EF69CE"/>
    <w:rsid w:val="00EF6DA9"/>
    <w:rsid w:val="00EF7929"/>
    <w:rsid w:val="00EF7E77"/>
    <w:rsid w:val="00F000F1"/>
    <w:rsid w:val="00F0124F"/>
    <w:rsid w:val="00F0131C"/>
    <w:rsid w:val="00F02255"/>
    <w:rsid w:val="00F042D6"/>
    <w:rsid w:val="00F04439"/>
    <w:rsid w:val="00F0515B"/>
    <w:rsid w:val="00F052DA"/>
    <w:rsid w:val="00F0536C"/>
    <w:rsid w:val="00F06862"/>
    <w:rsid w:val="00F07109"/>
    <w:rsid w:val="00F0789D"/>
    <w:rsid w:val="00F11791"/>
    <w:rsid w:val="00F11E5C"/>
    <w:rsid w:val="00F1264C"/>
    <w:rsid w:val="00F127AB"/>
    <w:rsid w:val="00F12A7E"/>
    <w:rsid w:val="00F13242"/>
    <w:rsid w:val="00F1329F"/>
    <w:rsid w:val="00F133EF"/>
    <w:rsid w:val="00F13A4C"/>
    <w:rsid w:val="00F15C66"/>
    <w:rsid w:val="00F15FD7"/>
    <w:rsid w:val="00F1666D"/>
    <w:rsid w:val="00F16808"/>
    <w:rsid w:val="00F17E34"/>
    <w:rsid w:val="00F204E2"/>
    <w:rsid w:val="00F209E4"/>
    <w:rsid w:val="00F21C54"/>
    <w:rsid w:val="00F220B4"/>
    <w:rsid w:val="00F2347C"/>
    <w:rsid w:val="00F23C53"/>
    <w:rsid w:val="00F24D0A"/>
    <w:rsid w:val="00F256F0"/>
    <w:rsid w:val="00F259F1"/>
    <w:rsid w:val="00F261EB"/>
    <w:rsid w:val="00F269F3"/>
    <w:rsid w:val="00F26AF1"/>
    <w:rsid w:val="00F27CC4"/>
    <w:rsid w:val="00F3047B"/>
    <w:rsid w:val="00F31073"/>
    <w:rsid w:val="00F3170C"/>
    <w:rsid w:val="00F31AE5"/>
    <w:rsid w:val="00F32D9A"/>
    <w:rsid w:val="00F3320B"/>
    <w:rsid w:val="00F3528E"/>
    <w:rsid w:val="00F35F18"/>
    <w:rsid w:val="00F36A45"/>
    <w:rsid w:val="00F36F61"/>
    <w:rsid w:val="00F40DAD"/>
    <w:rsid w:val="00F4101D"/>
    <w:rsid w:val="00F41422"/>
    <w:rsid w:val="00F4206E"/>
    <w:rsid w:val="00F43188"/>
    <w:rsid w:val="00F45F0F"/>
    <w:rsid w:val="00F46C10"/>
    <w:rsid w:val="00F4724F"/>
    <w:rsid w:val="00F47BD0"/>
    <w:rsid w:val="00F50912"/>
    <w:rsid w:val="00F50AD2"/>
    <w:rsid w:val="00F50DB1"/>
    <w:rsid w:val="00F52F1D"/>
    <w:rsid w:val="00F53E6A"/>
    <w:rsid w:val="00F5437D"/>
    <w:rsid w:val="00F54960"/>
    <w:rsid w:val="00F565E9"/>
    <w:rsid w:val="00F57ACD"/>
    <w:rsid w:val="00F6054E"/>
    <w:rsid w:val="00F636E7"/>
    <w:rsid w:val="00F638B7"/>
    <w:rsid w:val="00F63E92"/>
    <w:rsid w:val="00F66107"/>
    <w:rsid w:val="00F66A93"/>
    <w:rsid w:val="00F712BB"/>
    <w:rsid w:val="00F7131F"/>
    <w:rsid w:val="00F71A0F"/>
    <w:rsid w:val="00F73911"/>
    <w:rsid w:val="00F74CB3"/>
    <w:rsid w:val="00F755C4"/>
    <w:rsid w:val="00F7592D"/>
    <w:rsid w:val="00F770EA"/>
    <w:rsid w:val="00F80EBA"/>
    <w:rsid w:val="00F80F48"/>
    <w:rsid w:val="00F8169A"/>
    <w:rsid w:val="00F818B3"/>
    <w:rsid w:val="00F81B27"/>
    <w:rsid w:val="00F84027"/>
    <w:rsid w:val="00F871E4"/>
    <w:rsid w:val="00F877AD"/>
    <w:rsid w:val="00F87C5F"/>
    <w:rsid w:val="00F90A05"/>
    <w:rsid w:val="00F9211C"/>
    <w:rsid w:val="00F92920"/>
    <w:rsid w:val="00F9298C"/>
    <w:rsid w:val="00F92C6E"/>
    <w:rsid w:val="00F92D31"/>
    <w:rsid w:val="00F933A2"/>
    <w:rsid w:val="00F93ED5"/>
    <w:rsid w:val="00F94EC5"/>
    <w:rsid w:val="00F955A5"/>
    <w:rsid w:val="00F9615D"/>
    <w:rsid w:val="00F96C91"/>
    <w:rsid w:val="00F97E0F"/>
    <w:rsid w:val="00F97F6B"/>
    <w:rsid w:val="00FA0234"/>
    <w:rsid w:val="00FA0AF8"/>
    <w:rsid w:val="00FA0FAA"/>
    <w:rsid w:val="00FA1147"/>
    <w:rsid w:val="00FA188A"/>
    <w:rsid w:val="00FA2C0A"/>
    <w:rsid w:val="00FA462A"/>
    <w:rsid w:val="00FA5649"/>
    <w:rsid w:val="00FA64C2"/>
    <w:rsid w:val="00FA670A"/>
    <w:rsid w:val="00FB198D"/>
    <w:rsid w:val="00FB54D8"/>
    <w:rsid w:val="00FB552C"/>
    <w:rsid w:val="00FB61A4"/>
    <w:rsid w:val="00FB6ACB"/>
    <w:rsid w:val="00FC0337"/>
    <w:rsid w:val="00FC2A48"/>
    <w:rsid w:val="00FC2A89"/>
    <w:rsid w:val="00FC2BA8"/>
    <w:rsid w:val="00FC2C32"/>
    <w:rsid w:val="00FC2D20"/>
    <w:rsid w:val="00FC32AA"/>
    <w:rsid w:val="00FC3D78"/>
    <w:rsid w:val="00FC7477"/>
    <w:rsid w:val="00FD04A5"/>
    <w:rsid w:val="00FD31C0"/>
    <w:rsid w:val="00FD3BD7"/>
    <w:rsid w:val="00FD3C47"/>
    <w:rsid w:val="00FD4CA5"/>
    <w:rsid w:val="00FD6285"/>
    <w:rsid w:val="00FD67EA"/>
    <w:rsid w:val="00FD6B7E"/>
    <w:rsid w:val="00FD7809"/>
    <w:rsid w:val="00FD7882"/>
    <w:rsid w:val="00FD7894"/>
    <w:rsid w:val="00FD7C31"/>
    <w:rsid w:val="00FE06A1"/>
    <w:rsid w:val="00FE13DC"/>
    <w:rsid w:val="00FE2D33"/>
    <w:rsid w:val="00FE36B6"/>
    <w:rsid w:val="00FE4F2F"/>
    <w:rsid w:val="00FE547A"/>
    <w:rsid w:val="00FE58EA"/>
    <w:rsid w:val="00FE6257"/>
    <w:rsid w:val="00FE6929"/>
    <w:rsid w:val="00FE72AE"/>
    <w:rsid w:val="00FE7C65"/>
    <w:rsid w:val="00FF0F2F"/>
    <w:rsid w:val="00FF1327"/>
    <w:rsid w:val="00FF14CD"/>
    <w:rsid w:val="00FF165E"/>
    <w:rsid w:val="00FF241F"/>
    <w:rsid w:val="00FF2F83"/>
    <w:rsid w:val="00FF3954"/>
    <w:rsid w:val="00FF3D97"/>
    <w:rsid w:val="00FF4061"/>
    <w:rsid w:val="00FF4AB8"/>
    <w:rsid w:val="00FF53E0"/>
    <w:rsid w:val="00FF66D0"/>
    <w:rsid w:val="00FF7ADF"/>
    <w:rsid w:val="01111726"/>
    <w:rsid w:val="067A4160"/>
    <w:rsid w:val="069A65B0"/>
    <w:rsid w:val="076630BE"/>
    <w:rsid w:val="0A640C38"/>
    <w:rsid w:val="0B2B5E74"/>
    <w:rsid w:val="0DB029DC"/>
    <w:rsid w:val="0DBE4CFD"/>
    <w:rsid w:val="0DFB2AC7"/>
    <w:rsid w:val="0E8C3FB4"/>
    <w:rsid w:val="105B34A4"/>
    <w:rsid w:val="118E62B7"/>
    <w:rsid w:val="119F42F8"/>
    <w:rsid w:val="127914CA"/>
    <w:rsid w:val="13B02591"/>
    <w:rsid w:val="145A4D13"/>
    <w:rsid w:val="15A16A42"/>
    <w:rsid w:val="15C5475E"/>
    <w:rsid w:val="16314110"/>
    <w:rsid w:val="16446462"/>
    <w:rsid w:val="17233E12"/>
    <w:rsid w:val="17AE315E"/>
    <w:rsid w:val="18F67F49"/>
    <w:rsid w:val="19425964"/>
    <w:rsid w:val="1A52003E"/>
    <w:rsid w:val="1AD81468"/>
    <w:rsid w:val="1C933E06"/>
    <w:rsid w:val="1D202B8E"/>
    <w:rsid w:val="1D4C28C7"/>
    <w:rsid w:val="201A443C"/>
    <w:rsid w:val="20610953"/>
    <w:rsid w:val="20EB0D06"/>
    <w:rsid w:val="21620019"/>
    <w:rsid w:val="22A22D88"/>
    <w:rsid w:val="22D6268E"/>
    <w:rsid w:val="22FA4903"/>
    <w:rsid w:val="2400522D"/>
    <w:rsid w:val="2512058A"/>
    <w:rsid w:val="25BA58F7"/>
    <w:rsid w:val="25FC3D90"/>
    <w:rsid w:val="27AA0205"/>
    <w:rsid w:val="27AC295A"/>
    <w:rsid w:val="27C85B20"/>
    <w:rsid w:val="27C9125C"/>
    <w:rsid w:val="28A852BA"/>
    <w:rsid w:val="28F46D15"/>
    <w:rsid w:val="298930A9"/>
    <w:rsid w:val="29FF28CE"/>
    <w:rsid w:val="2A2C4A41"/>
    <w:rsid w:val="2B6A734B"/>
    <w:rsid w:val="2BD77ACC"/>
    <w:rsid w:val="2C397BFC"/>
    <w:rsid w:val="2E834184"/>
    <w:rsid w:val="2F612423"/>
    <w:rsid w:val="2F7C443D"/>
    <w:rsid w:val="30377531"/>
    <w:rsid w:val="3064511F"/>
    <w:rsid w:val="30D1567F"/>
    <w:rsid w:val="30EF69E4"/>
    <w:rsid w:val="325C578F"/>
    <w:rsid w:val="32627267"/>
    <w:rsid w:val="330A1DA7"/>
    <w:rsid w:val="34746B25"/>
    <w:rsid w:val="349C4471"/>
    <w:rsid w:val="35415D24"/>
    <w:rsid w:val="35714885"/>
    <w:rsid w:val="35E8178F"/>
    <w:rsid w:val="37743E6D"/>
    <w:rsid w:val="37762799"/>
    <w:rsid w:val="3D4B5062"/>
    <w:rsid w:val="3E480B27"/>
    <w:rsid w:val="3E76734A"/>
    <w:rsid w:val="401C1DE6"/>
    <w:rsid w:val="42AC06A4"/>
    <w:rsid w:val="4316159A"/>
    <w:rsid w:val="43C52966"/>
    <w:rsid w:val="43CF7AFF"/>
    <w:rsid w:val="45227A3E"/>
    <w:rsid w:val="461B4724"/>
    <w:rsid w:val="468D0A42"/>
    <w:rsid w:val="46AA3009"/>
    <w:rsid w:val="48075EF0"/>
    <w:rsid w:val="480A7168"/>
    <w:rsid w:val="48BB2849"/>
    <w:rsid w:val="49184B37"/>
    <w:rsid w:val="496909C8"/>
    <w:rsid w:val="49790F7D"/>
    <w:rsid w:val="4B4D781C"/>
    <w:rsid w:val="4BFF4671"/>
    <w:rsid w:val="4D296C8B"/>
    <w:rsid w:val="4DBB3FD0"/>
    <w:rsid w:val="4E324E83"/>
    <w:rsid w:val="4E33178D"/>
    <w:rsid w:val="4E7166CD"/>
    <w:rsid w:val="4E945218"/>
    <w:rsid w:val="4EA25810"/>
    <w:rsid w:val="50F62B3E"/>
    <w:rsid w:val="51697B42"/>
    <w:rsid w:val="52233443"/>
    <w:rsid w:val="5238307B"/>
    <w:rsid w:val="53143EDC"/>
    <w:rsid w:val="553B2D66"/>
    <w:rsid w:val="56F20776"/>
    <w:rsid w:val="58821D6C"/>
    <w:rsid w:val="589F37F6"/>
    <w:rsid w:val="590A1CC9"/>
    <w:rsid w:val="593939B9"/>
    <w:rsid w:val="59BD2F05"/>
    <w:rsid w:val="5A19511C"/>
    <w:rsid w:val="5B0745DE"/>
    <w:rsid w:val="5B7D65EA"/>
    <w:rsid w:val="5BBF25B6"/>
    <w:rsid w:val="5D8A315F"/>
    <w:rsid w:val="5E810C4E"/>
    <w:rsid w:val="5EC54DC0"/>
    <w:rsid w:val="5F4347F9"/>
    <w:rsid w:val="5F6467AB"/>
    <w:rsid w:val="61237A5D"/>
    <w:rsid w:val="61DC19A6"/>
    <w:rsid w:val="626D6DF8"/>
    <w:rsid w:val="63B73A22"/>
    <w:rsid w:val="645B74CF"/>
    <w:rsid w:val="6688576E"/>
    <w:rsid w:val="669960A7"/>
    <w:rsid w:val="680B5C12"/>
    <w:rsid w:val="6AA64D62"/>
    <w:rsid w:val="6B890C65"/>
    <w:rsid w:val="6C885E32"/>
    <w:rsid w:val="6D755A9B"/>
    <w:rsid w:val="6D855A48"/>
    <w:rsid w:val="6E767C7B"/>
    <w:rsid w:val="6FD6235B"/>
    <w:rsid w:val="70715A7F"/>
    <w:rsid w:val="70F07506"/>
    <w:rsid w:val="70F620B9"/>
    <w:rsid w:val="723C0683"/>
    <w:rsid w:val="73566908"/>
    <w:rsid w:val="757C0ECA"/>
    <w:rsid w:val="762C7A95"/>
    <w:rsid w:val="76EC2CB1"/>
    <w:rsid w:val="77652489"/>
    <w:rsid w:val="783D11E9"/>
    <w:rsid w:val="787A1759"/>
    <w:rsid w:val="78B63AF9"/>
    <w:rsid w:val="78BA644D"/>
    <w:rsid w:val="78FF1E03"/>
    <w:rsid w:val="7C2606A1"/>
    <w:rsid w:val="7C724F58"/>
    <w:rsid w:val="7CDF21EC"/>
    <w:rsid w:val="7F345680"/>
    <w:rsid w:val="7F9F25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locked/>
    <w:uiPriority w:val="0"/>
    <w:pPr>
      <w:keepNext/>
      <w:keepLines/>
      <w:numPr>
        <w:ilvl w:val="0"/>
        <w:numId w:val="1"/>
      </w:numPr>
      <w:spacing w:beforeLines="100" w:afterLines="100"/>
      <w:jc w:val="left"/>
      <w:outlineLvl w:val="0"/>
    </w:pPr>
    <w:rPr>
      <w:rFonts w:ascii="Calibri" w:hAnsi="Calibri" w:eastAsia="黑体" w:cs="Times New Roman"/>
      <w:bCs/>
      <w:kern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List Paragraph"/>
    <w:basedOn w:val="1"/>
    <w:qFormat/>
    <w:uiPriority w:val="34"/>
    <w:pPr>
      <w:ind w:firstLine="420"/>
    </w:pPr>
  </w:style>
  <w:style w:type="paragraph" w:styleId="4">
    <w:name w:val="annotation text"/>
    <w:basedOn w:val="1"/>
    <w:link w:val="15"/>
    <w:qFormat/>
    <w:uiPriority w:val="99"/>
    <w:pPr>
      <w:jc w:val="left"/>
    </w:pPr>
  </w:style>
  <w:style w:type="paragraph" w:styleId="5">
    <w:name w:val="Body Text"/>
    <w:basedOn w:val="1"/>
    <w:semiHidden/>
    <w:qFormat/>
    <w:uiPriority w:val="0"/>
    <w:rPr>
      <w:rFonts w:ascii="宋体" w:hAnsi="宋体" w:cs="宋体"/>
      <w:sz w:val="52"/>
      <w:szCs w:val="52"/>
      <w:lang w:eastAsia="en-US"/>
    </w:rPr>
  </w:style>
  <w:style w:type="paragraph" w:styleId="6">
    <w:name w:val="Balloon Text"/>
    <w:basedOn w:val="1"/>
    <w:link w:val="16"/>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semiHidden/>
    <w:qFormat/>
    <w:uiPriority w:val="99"/>
    <w:rPr>
      <w:b/>
      <w:bCs/>
    </w:rPr>
  </w:style>
  <w:style w:type="table" w:styleId="11">
    <w:name w:val="Table Grid"/>
    <w:basedOn w:val="10"/>
    <w:qFormat/>
    <w:uiPriority w:val="9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semiHidden/>
    <w:unhideWhenUsed/>
    <w:qFormat/>
    <w:uiPriority w:val="99"/>
    <w:rPr>
      <w:color w:val="0000FF"/>
      <w:u w:val="single"/>
    </w:rPr>
  </w:style>
  <w:style w:type="character" w:styleId="14">
    <w:name w:val="annotation reference"/>
    <w:semiHidden/>
    <w:qFormat/>
    <w:uiPriority w:val="99"/>
    <w:rPr>
      <w:rFonts w:cs="Times New Roman"/>
      <w:sz w:val="21"/>
      <w:szCs w:val="21"/>
    </w:rPr>
  </w:style>
  <w:style w:type="character" w:customStyle="1" w:styleId="15">
    <w:name w:val="批注文字 字符"/>
    <w:link w:val="4"/>
    <w:qFormat/>
    <w:locked/>
    <w:uiPriority w:val="99"/>
    <w:rPr>
      <w:rFonts w:ascii="Times New Roman" w:hAnsi="Times New Roman" w:eastAsia="宋体" w:cs="Times New Roman"/>
      <w:sz w:val="24"/>
      <w:szCs w:val="24"/>
    </w:rPr>
  </w:style>
  <w:style w:type="character" w:customStyle="1" w:styleId="16">
    <w:name w:val="批注框文本 字符"/>
    <w:link w:val="6"/>
    <w:semiHidden/>
    <w:qFormat/>
    <w:locked/>
    <w:uiPriority w:val="99"/>
    <w:rPr>
      <w:rFonts w:ascii="Times New Roman" w:hAnsi="Times New Roman" w:eastAsia="宋体" w:cs="Times New Roman"/>
      <w:sz w:val="18"/>
      <w:szCs w:val="18"/>
    </w:rPr>
  </w:style>
  <w:style w:type="character" w:customStyle="1" w:styleId="17">
    <w:name w:val="页脚 字符"/>
    <w:link w:val="7"/>
    <w:qFormat/>
    <w:locked/>
    <w:uiPriority w:val="99"/>
    <w:rPr>
      <w:rFonts w:cs="Times New Roman"/>
      <w:sz w:val="18"/>
      <w:szCs w:val="18"/>
    </w:rPr>
  </w:style>
  <w:style w:type="character" w:customStyle="1" w:styleId="18">
    <w:name w:val="页眉 字符"/>
    <w:link w:val="8"/>
    <w:autoRedefine/>
    <w:qFormat/>
    <w:locked/>
    <w:uiPriority w:val="99"/>
    <w:rPr>
      <w:rFonts w:cs="Times New Roman"/>
      <w:sz w:val="18"/>
      <w:szCs w:val="18"/>
    </w:rPr>
  </w:style>
  <w:style w:type="character" w:customStyle="1" w:styleId="19">
    <w:name w:val="批注主题 字符"/>
    <w:link w:val="9"/>
    <w:semiHidden/>
    <w:qFormat/>
    <w:locked/>
    <w:uiPriority w:val="99"/>
    <w:rPr>
      <w:rFonts w:ascii="Times New Roman" w:hAnsi="Times New Roman" w:eastAsia="宋体" w:cs="Times New Roman"/>
      <w:b/>
      <w:bCs/>
      <w:kern w:val="2"/>
      <w:sz w:val="24"/>
      <w:szCs w:val="24"/>
    </w:rPr>
  </w:style>
  <w:style w:type="character" w:customStyle="1" w:styleId="20">
    <w:name w:val="章标题 Char"/>
    <w:link w:val="21"/>
    <w:qFormat/>
    <w:locked/>
    <w:uiPriority w:val="99"/>
    <w:rPr>
      <w:rFonts w:ascii="黑体" w:hAnsi="Calibri" w:eastAsia="黑体"/>
      <w:kern w:val="2"/>
      <w:sz w:val="21"/>
      <w:szCs w:val="22"/>
      <w:lang w:val="en-US" w:eastAsia="zh-CN" w:bidi="ar-SA"/>
    </w:rPr>
  </w:style>
  <w:style w:type="paragraph" w:customStyle="1" w:styleId="21">
    <w:name w:val="章标题"/>
    <w:next w:val="22"/>
    <w:link w:val="20"/>
    <w:autoRedefine/>
    <w:qFormat/>
    <w:uiPriority w:val="99"/>
    <w:pPr>
      <w:spacing w:beforeLines="100" w:afterLines="100"/>
      <w:ind w:left="544" w:hanging="181"/>
      <w:jc w:val="both"/>
      <w:outlineLvl w:val="1"/>
    </w:pPr>
    <w:rPr>
      <w:rFonts w:ascii="黑体" w:hAnsi="Calibri" w:eastAsia="黑体" w:cs="Times New Roman"/>
      <w:kern w:val="2"/>
      <w:sz w:val="21"/>
      <w:szCs w:val="22"/>
      <w:lang w:val="en-US" w:eastAsia="zh-CN" w:bidi="ar-SA"/>
    </w:rPr>
  </w:style>
  <w:style w:type="paragraph" w:customStyle="1" w:styleId="22">
    <w:name w:val="段"/>
    <w:link w:val="2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23">
    <w:name w:val="一级条标题 Char"/>
    <w:link w:val="24"/>
    <w:qFormat/>
    <w:locked/>
    <w:uiPriority w:val="99"/>
    <w:rPr>
      <w:rFonts w:ascii="黑体" w:hAnsi="Calibri" w:eastAsia="黑体"/>
      <w:kern w:val="2"/>
      <w:sz w:val="21"/>
      <w:szCs w:val="21"/>
      <w:lang w:val="en-US" w:eastAsia="zh-CN" w:bidi="ar-SA"/>
    </w:rPr>
  </w:style>
  <w:style w:type="paragraph" w:customStyle="1" w:styleId="24">
    <w:name w:val="一级条标题"/>
    <w:next w:val="22"/>
    <w:link w:val="23"/>
    <w:qFormat/>
    <w:uiPriority w:val="99"/>
    <w:pPr>
      <w:tabs>
        <w:tab w:val="left" w:pos="57"/>
      </w:tabs>
      <w:spacing w:beforeLines="50" w:afterLines="50"/>
      <w:ind w:left="363" w:hanging="363"/>
      <w:outlineLvl w:val="2"/>
    </w:pPr>
    <w:rPr>
      <w:rFonts w:ascii="黑体" w:hAnsi="Calibri" w:eastAsia="黑体" w:cs="Times New Roman"/>
      <w:kern w:val="2"/>
      <w:sz w:val="21"/>
      <w:szCs w:val="21"/>
      <w:lang w:val="en-US" w:eastAsia="zh-CN" w:bidi="ar-SA"/>
    </w:rPr>
  </w:style>
  <w:style w:type="character" w:customStyle="1" w:styleId="25">
    <w:name w:val="段 Char"/>
    <w:link w:val="22"/>
    <w:autoRedefine/>
    <w:qFormat/>
    <w:locked/>
    <w:uiPriority w:val="0"/>
    <w:rPr>
      <w:rFonts w:ascii="宋体"/>
      <w:lang w:val="en-US" w:eastAsia="zh-CN" w:bidi="ar-SA"/>
    </w:rPr>
  </w:style>
  <w:style w:type="paragraph" w:customStyle="1" w:styleId="26">
    <w:name w:val="前言、引言标题"/>
    <w:next w:val="22"/>
    <w:autoRedefine/>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
    <w:name w:val="正文表标题"/>
    <w:next w:val="22"/>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8">
    <w:name w:val="标准书眉_奇数页"/>
    <w:next w:val="1"/>
    <w:autoRedefine/>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9">
    <w:name w:val="二级条标题"/>
    <w:basedOn w:val="24"/>
    <w:next w:val="22"/>
    <w:autoRedefine/>
    <w:qFormat/>
    <w:uiPriority w:val="99"/>
    <w:pPr>
      <w:spacing w:before="50" w:after="50"/>
      <w:outlineLvl w:val="3"/>
    </w:pPr>
  </w:style>
  <w:style w:type="paragraph" w:customStyle="1" w:styleId="30">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1">
    <w:name w:val="封面标准英文名称"/>
    <w:basedOn w:val="32"/>
    <w:qFormat/>
    <w:uiPriority w:val="99"/>
    <w:pPr>
      <w:framePr w:wrap="around"/>
      <w:spacing w:before="370" w:line="400" w:lineRule="exact"/>
    </w:pPr>
    <w:rPr>
      <w:rFonts w:ascii="Times New Roman"/>
      <w:sz w:val="28"/>
      <w:szCs w:val="28"/>
    </w:rPr>
  </w:style>
  <w:style w:type="paragraph" w:customStyle="1" w:styleId="3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目次、标准名称标题"/>
    <w:basedOn w:val="1"/>
    <w:next w:val="22"/>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4">
    <w:name w:val="封面一致性程度标识"/>
    <w:basedOn w:val="31"/>
    <w:qFormat/>
    <w:uiPriority w:val="99"/>
    <w:pPr>
      <w:framePr w:wrap="around"/>
      <w:spacing w:before="440"/>
    </w:pPr>
    <w:rPr>
      <w:rFonts w:ascii="宋体" w:eastAsia="宋体"/>
    </w:rPr>
  </w:style>
  <w:style w:type="paragraph" w:customStyle="1" w:styleId="3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36">
    <w:name w:val="标准书脚_奇数页"/>
    <w:autoRedefine/>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37">
    <w:name w:val="其他发布日期"/>
    <w:basedOn w:val="1"/>
    <w:qFormat/>
    <w:uiPriority w:val="99"/>
    <w:pPr>
      <w:framePr w:w="3997" w:h="471" w:hRule="exact" w:vSpace="181" w:wrap="around" w:vAnchor="page" w:hAnchor="page" w:x="1419" w:y="14097" w:anchorLock="1"/>
      <w:widowControl/>
      <w:jc w:val="left"/>
    </w:pPr>
    <w:rPr>
      <w:rFonts w:eastAsia="黑体"/>
      <w:kern w:val="0"/>
      <w:sz w:val="28"/>
      <w:szCs w:val="20"/>
    </w:rPr>
  </w:style>
  <w:style w:type="paragraph" w:customStyle="1" w:styleId="38">
    <w:name w:val="列出段落1"/>
    <w:basedOn w:val="1"/>
    <w:autoRedefine/>
    <w:qFormat/>
    <w:uiPriority w:val="99"/>
    <w:pPr>
      <w:ind w:firstLine="420" w:firstLineChars="200"/>
    </w:pPr>
    <w:rPr>
      <w:rFonts w:ascii="Calibri" w:hAnsi="Calibri"/>
      <w:szCs w:val="22"/>
    </w:rPr>
  </w:style>
  <w:style w:type="paragraph" w:customStyle="1" w:styleId="39">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0">
    <w:name w:val="其他实施日期"/>
    <w:basedOn w:val="1"/>
    <w:qFormat/>
    <w:uiPriority w:val="99"/>
    <w:pPr>
      <w:framePr w:w="3997" w:h="471" w:hRule="exact" w:vSpace="181" w:wrap="around" w:vAnchor="page" w:hAnchor="page" w:x="7089" w:y="14097" w:anchorLock="1"/>
      <w:widowControl/>
      <w:jc w:val="right"/>
    </w:pPr>
    <w:rPr>
      <w:rFonts w:eastAsia="黑体"/>
      <w:kern w:val="0"/>
      <w:sz w:val="28"/>
      <w:szCs w:val="20"/>
    </w:rPr>
  </w:style>
  <w:style w:type="paragraph" w:customStyle="1" w:styleId="41">
    <w:name w:val="Body text|1"/>
    <w:basedOn w:val="1"/>
    <w:qFormat/>
    <w:uiPriority w:val="99"/>
    <w:pPr>
      <w:spacing w:line="346" w:lineRule="auto"/>
    </w:pPr>
    <w:rPr>
      <w:rFonts w:ascii="宋体" w:hAnsi="宋体" w:cs="宋体"/>
      <w:sz w:val="18"/>
      <w:szCs w:val="18"/>
      <w:lang w:val="zh-TW" w:eastAsia="zh-TW"/>
    </w:rPr>
  </w:style>
  <w:style w:type="paragraph" w:customStyle="1" w:styleId="42">
    <w:name w:val="Body text|3"/>
    <w:basedOn w:val="1"/>
    <w:autoRedefine/>
    <w:qFormat/>
    <w:uiPriority w:val="99"/>
    <w:pPr>
      <w:spacing w:line="326" w:lineRule="auto"/>
      <w:ind w:firstLine="420"/>
    </w:pPr>
    <w:rPr>
      <w:sz w:val="20"/>
      <w:szCs w:val="20"/>
    </w:rPr>
  </w:style>
  <w:style w:type="paragraph" w:customStyle="1" w:styleId="43">
    <w:name w:val="Other|1"/>
    <w:basedOn w:val="1"/>
    <w:autoRedefine/>
    <w:qFormat/>
    <w:uiPriority w:val="99"/>
    <w:rPr>
      <w:sz w:val="18"/>
      <w:szCs w:val="18"/>
    </w:rPr>
  </w:style>
  <w:style w:type="paragraph" w:customStyle="1" w:styleId="44">
    <w:name w:val="Other|2"/>
    <w:basedOn w:val="1"/>
    <w:autoRedefine/>
    <w:qFormat/>
    <w:uiPriority w:val="99"/>
    <w:pPr>
      <w:spacing w:line="215" w:lineRule="exact"/>
      <w:jc w:val="center"/>
    </w:pPr>
    <w:rPr>
      <w:rFonts w:ascii="宋体" w:hAnsi="宋体" w:cs="宋体"/>
      <w:sz w:val="20"/>
      <w:szCs w:val="20"/>
      <w:lang w:val="zh-TW" w:eastAsia="zh-TW"/>
    </w:rPr>
  </w:style>
  <w:style w:type="paragraph" w:customStyle="1" w:styleId="45">
    <w:name w:val="Header or footer|2"/>
    <w:basedOn w:val="1"/>
    <w:autoRedefine/>
    <w:qFormat/>
    <w:uiPriority w:val="99"/>
    <w:rPr>
      <w:sz w:val="20"/>
      <w:szCs w:val="20"/>
    </w:rPr>
  </w:style>
  <w:style w:type="paragraph" w:customStyle="1" w:styleId="46">
    <w:name w:val="字母编号列项（一级）"/>
    <w:autoRedefine/>
    <w:qFormat/>
    <w:uiPriority w:val="99"/>
    <w:pPr>
      <w:numPr>
        <w:ilvl w:val="0"/>
        <w:numId w:val="3"/>
      </w:numPr>
      <w:jc w:val="both"/>
    </w:pPr>
    <w:rPr>
      <w:rFonts w:ascii="Times New Roman" w:hAnsi="Times New Roman" w:eastAsia="宋体" w:cs="Times New Roman"/>
      <w:sz w:val="21"/>
      <w:lang w:val="en-US" w:eastAsia="zh-CN" w:bidi="ar-SA"/>
    </w:rPr>
  </w:style>
  <w:style w:type="paragraph" w:customStyle="1" w:styleId="47">
    <w:name w:val="Body text|2"/>
    <w:basedOn w:val="1"/>
    <w:autoRedefine/>
    <w:qFormat/>
    <w:uiPriority w:val="99"/>
    <w:pPr>
      <w:shd w:val="clear" w:color="auto" w:fill="FFFFFF"/>
      <w:spacing w:after="2880" w:line="232" w:lineRule="exact"/>
    </w:pPr>
    <w:rPr>
      <w:rFonts w:ascii="PMingLiU" w:hAnsi="PMingLiU" w:eastAsia="PMingLiU"/>
      <w:spacing w:val="10"/>
      <w:kern w:val="0"/>
      <w:sz w:val="19"/>
      <w:szCs w:val="19"/>
    </w:rPr>
  </w:style>
  <w:style w:type="character" w:customStyle="1" w:styleId="48">
    <w:name w:val="Body text|2 + 8.5 pt"/>
    <w:qFormat/>
    <w:uiPriority w:val="99"/>
    <w:rPr>
      <w:rFonts w:ascii="PMingLiU" w:hAnsi="PMingLiU" w:eastAsia="PMingLiU"/>
      <w:color w:val="000000"/>
      <w:spacing w:val="0"/>
      <w:w w:val="100"/>
      <w:position w:val="0"/>
      <w:sz w:val="17"/>
      <w:u w:val="none"/>
      <w:lang w:val="zh-CN" w:eastAsia="zh-CN"/>
    </w:rPr>
  </w:style>
  <w:style w:type="paragraph" w:customStyle="1" w:styleId="49">
    <w:name w:val="Body text|4"/>
    <w:basedOn w:val="1"/>
    <w:autoRedefine/>
    <w:qFormat/>
    <w:uiPriority w:val="0"/>
    <w:pPr>
      <w:spacing w:after="60" w:line="139" w:lineRule="exact"/>
      <w:jc w:val="right"/>
    </w:pPr>
    <w:rPr>
      <w:rFonts w:ascii="宋体" w:hAnsi="宋体" w:cs="宋体"/>
      <w:i/>
      <w:iCs/>
    </w:rPr>
  </w:style>
  <w:style w:type="paragraph" w:customStyle="1" w:styleId="50">
    <w:name w:val="Heading #2|1"/>
    <w:basedOn w:val="1"/>
    <w:autoRedefine/>
    <w:qFormat/>
    <w:uiPriority w:val="0"/>
    <w:pPr>
      <w:spacing w:after="60"/>
      <w:ind w:firstLine="400"/>
      <w:outlineLvl w:val="1"/>
    </w:pPr>
    <w:rPr>
      <w:rFonts w:ascii="宋体" w:hAnsi="宋体" w:cs="宋体"/>
      <w:sz w:val="19"/>
      <w:szCs w:val="19"/>
      <w:lang w:val="zh-TW" w:eastAsia="zh-TW" w:bidi="zh-TW"/>
    </w:rPr>
  </w:style>
  <w:style w:type="paragraph" w:customStyle="1" w:styleId="51">
    <w:name w:val="Header or footer|1"/>
    <w:basedOn w:val="1"/>
    <w:qFormat/>
    <w:uiPriority w:val="0"/>
    <w:rPr>
      <w:sz w:val="20"/>
      <w:szCs w:val="20"/>
    </w:rPr>
  </w:style>
  <w:style w:type="character" w:customStyle="1" w:styleId="52">
    <w:name w:val="发布"/>
    <w:autoRedefine/>
    <w:qFormat/>
    <w:uiPriority w:val="0"/>
    <w:rPr>
      <w:rFonts w:ascii="黑体" w:eastAsia="黑体"/>
      <w:spacing w:val="85"/>
      <w:w w:val="100"/>
      <w:position w:val="3"/>
      <w:sz w:val="28"/>
      <w:szCs w:val="28"/>
    </w:rPr>
  </w:style>
  <w:style w:type="paragraph" w:customStyle="1" w:styleId="53">
    <w:name w:val="其他发布部门"/>
    <w:basedOn w:val="39"/>
    <w:autoRedefine/>
    <w:qFormat/>
    <w:uiPriority w:val="0"/>
    <w:pPr>
      <w:framePr w:wrap="around" w:y="15310"/>
      <w:spacing w:line="0" w:lineRule="atLeast"/>
    </w:pPr>
    <w:rPr>
      <w:rFonts w:ascii="黑体" w:eastAsia="黑体"/>
      <w:b w:val="0"/>
    </w:rPr>
  </w:style>
  <w:style w:type="table" w:customStyle="1" w:styleId="54">
    <w:name w:val="Table Normal"/>
    <w:autoRedefine/>
    <w:semiHidden/>
    <w:unhideWhenUsed/>
    <w:qFormat/>
    <w:uiPriority w:val="0"/>
    <w:tblPr>
      <w:tblCellMar>
        <w:top w:w="0" w:type="dxa"/>
        <w:left w:w="0" w:type="dxa"/>
        <w:bottom w:w="0" w:type="dxa"/>
        <w:right w:w="0" w:type="dxa"/>
      </w:tblCellMar>
    </w:tblPr>
  </w:style>
  <w:style w:type="paragraph" w:customStyle="1" w:styleId="55">
    <w:name w:val="Table Text"/>
    <w:basedOn w:val="1"/>
    <w:autoRedefine/>
    <w:semiHidden/>
    <w:qFormat/>
    <w:uiPriority w:val="0"/>
    <w:rPr>
      <w:rFonts w:ascii="宋体" w:hAnsi="宋体" w:cs="宋体"/>
      <w:sz w:val="28"/>
      <w:szCs w:val="28"/>
      <w:lang w:eastAsia="en-US"/>
    </w:rPr>
  </w:style>
  <w:style w:type="character" w:customStyle="1" w:styleId="56">
    <w:name w:val="标题 1 字符"/>
    <w:basedOn w:val="12"/>
    <w:link w:val="3"/>
    <w:autoRedefine/>
    <w:qFormat/>
    <w:uiPriority w:val="0"/>
    <w:rPr>
      <w:rFonts w:ascii="Calibri" w:hAnsi="Calibri" w:eastAsia="黑体" w:cs="Times New Roman"/>
      <w:bCs/>
      <w:kern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1026"/>
    <customShpInfo spid="_x0000_s1035"/>
    <customShpInfo spid="_x0000_s103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1472</Words>
  <Characters>8397</Characters>
  <Lines>69</Lines>
  <Paragraphs>19</Paragraphs>
  <TotalTime>8</TotalTime>
  <ScaleCrop>false</ScaleCrop>
  <LinksUpToDate>false</LinksUpToDate>
  <CharactersWithSpaces>9850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2021-01-14T07:13:00Z</dcterms:created>
  <dc:creator>王然</dc:creator>
  <cp:lastModifiedBy>Feeling</cp:lastModifiedBy>
  <cp:lastPrinted>2024-01-26T07:58:00Z</cp:lastPrinted>
  <dcterms:modified xsi:type="dcterms:W3CDTF">2024-01-26T09:15:56Z</dcterms:modified>
  <dc:title>团体标准</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51EBAEBC4EE64BFA9F72C0A2B172F7C7</vt:lpwstr>
  </property>
</Properties>
</file>