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65.020.01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A</w:t>
                  </w:r>
                  <w:r>
                    <w:rPr>
                      <w:rFonts w:hint="eastAsia"/>
                      <w:lang w:val="en-US" w:eastAsia="zh-CN"/>
                    </w:rPr>
                    <w:t>HAASS</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B00/09</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w:t>
      </w:r>
      <w:r>
        <w:rPr>
          <w:rFonts w:hint="eastAsia" w:ascii="黑体" w:eastAsia="黑体"/>
          <w:b w:val="0"/>
          <w:w w:val="100"/>
          <w:sz w:val="48"/>
          <w:lang w:eastAsia="zh-CN"/>
        </w:rPr>
        <w:t>省农学会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A</w:t>
      </w:r>
      <w:r>
        <w:rPr>
          <w:rFonts w:hint="eastAsia"/>
          <w:lang w:val="en-US" w:eastAsia="zh-CN"/>
        </w:rPr>
        <w:t>HAASS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val="en-US" w:eastAsia="zh-CN"/>
        </w:rPr>
        <w:t>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val="en-US" w:eastAsia="zh-CN"/>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富硒玉米</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Selenium-enriched corn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0XX</w:t>
      </w:r>
      <w:bookmarkStart w:id="44" w:name="_GoBack"/>
      <w:bookmarkEnd w:id="44"/>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安徽省</w:t>
      </w:r>
      <w:r>
        <w:rPr>
          <w:rFonts w:hint="eastAsia" w:hAnsi="黑体"/>
          <w:w w:val="100"/>
          <w:sz w:val="28"/>
          <w:lang w:eastAsia="zh-CN"/>
        </w:rPr>
        <w:t>农学会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57"/>
        <w:ind w:firstLine="3200" w:firstLineChars="1000"/>
        <w:rPr>
          <w:rFonts w:hint="eastAsia"/>
          <w:sz w:val="32"/>
          <w:szCs w:val="32"/>
        </w:rPr>
      </w:pPr>
      <w:bookmarkStart w:id="21" w:name="BookMark2"/>
      <w:r>
        <w:rPr>
          <w:rFonts w:hint="eastAsia"/>
          <w:sz w:val="32"/>
          <w:szCs w:val="32"/>
        </w:rPr>
        <w:t>前</w:t>
      </w:r>
      <w:r>
        <w:rPr>
          <w:rFonts w:hint="eastAsia"/>
          <w:sz w:val="32"/>
          <w:szCs w:val="32"/>
          <w:lang w:val="en-US" w:eastAsia="zh-CN"/>
        </w:rPr>
        <w:t xml:space="preserve">     </w:t>
      </w:r>
      <w:r>
        <w:rPr>
          <w:rFonts w:hint="eastAsia"/>
          <w:sz w:val="32"/>
          <w:szCs w:val="32"/>
        </w:rPr>
        <w:t>言</w:t>
      </w:r>
    </w:p>
    <w:p>
      <w:pPr>
        <w:pStyle w:val="57"/>
        <w:ind w:firstLine="420"/>
        <w:rPr>
          <w:rFonts w:hint="eastAsia"/>
        </w:rPr>
      </w:pP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请注意本文件的某些内容可能涉及专利。本标准的发布机构不承担识别专利的责任。</w:t>
      </w:r>
    </w:p>
    <w:p>
      <w:pPr>
        <w:pStyle w:val="57"/>
        <w:ind w:firstLine="420"/>
      </w:pPr>
      <w:r>
        <w:rPr>
          <w:rFonts w:hint="eastAsia"/>
        </w:rPr>
        <w:t>本文件由安徽省</w:t>
      </w:r>
      <w:r>
        <w:rPr>
          <w:rFonts w:hint="eastAsia"/>
          <w:lang w:val="en-US" w:eastAsia="zh-CN"/>
        </w:rPr>
        <w:t>农学会</w:t>
      </w:r>
      <w:r>
        <w:rPr>
          <w:rFonts w:hint="eastAsia"/>
        </w:rPr>
        <w:t>提出并归口。</w:t>
      </w:r>
    </w:p>
    <w:p>
      <w:pPr>
        <w:pStyle w:val="57"/>
        <w:ind w:firstLine="420"/>
        <w:rPr>
          <w:rFonts w:hint="eastAsia"/>
        </w:rPr>
      </w:pPr>
      <w:r>
        <w:rPr>
          <w:rFonts w:hint="eastAsia"/>
        </w:rPr>
        <w:t>本文件起草单位：安徽中志土壤研究院集团有限公司、安徽中志现代食品科技有限公司、安徽中谷生物科技有限公司、安徽田园志农业科技有限公司、安徽农业大学农学院、安徽中青检验认证服务有限公司。</w:t>
      </w:r>
    </w:p>
    <w:p>
      <w:pPr>
        <w:pStyle w:val="57"/>
        <w:ind w:firstLine="420"/>
        <w:rPr>
          <w:rFonts w:hint="eastAsia"/>
        </w:rPr>
      </w:pPr>
      <w:r>
        <w:rPr>
          <w:rFonts w:hint="eastAsia"/>
        </w:rPr>
        <w:t>本文件主要起草人：张立、曹玉兵、钱心伟、毛光祥、李金才、宋贺、李孝良、毕德、韩凯、张其海、丁根琴、马良军、鲁薇薇、张嘉佳、王晨晨。</w:t>
      </w:r>
    </w:p>
    <w:p>
      <w:pPr>
        <w:pStyle w:val="57"/>
        <w:ind w:firstLine="420"/>
      </w:pPr>
    </w:p>
    <w:p>
      <w:pPr>
        <w:pStyle w:val="57"/>
        <w:ind w:firstLine="420"/>
      </w:pPr>
    </w:p>
    <w:p>
      <w:pPr>
        <w:pStyle w:val="57"/>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428EE0D178C740978AFC56E96D59059F"/>
        </w:placeholder>
      </w:sdtPr>
      <w:sdtContent>
        <w:p>
          <w:pPr>
            <w:pStyle w:val="178"/>
            <w:spacing w:before="2" w:beforeLines="1" w:after="528" w:afterLines="220"/>
          </w:pPr>
          <w:bookmarkStart w:id="23" w:name="NEW_STAND_NAME"/>
          <w:r>
            <w:rPr>
              <w:rFonts w:hint="eastAsia"/>
              <w:lang w:val="en-US" w:eastAsia="zh-CN"/>
            </w:rPr>
            <w:t>富硒玉米</w:t>
          </w:r>
        </w:p>
      </w:sdtContent>
    </w:sdt>
    <w:bookmarkEnd w:id="23"/>
    <w:p>
      <w:pPr>
        <w:pStyle w:val="105"/>
        <w:spacing w:before="240" w:after="240"/>
      </w:pPr>
      <w:bookmarkStart w:id="24" w:name="_Toc26648465"/>
      <w:bookmarkStart w:id="25" w:name="_Toc17233333"/>
      <w:bookmarkStart w:id="26" w:name="_Toc26986771"/>
      <w:bookmarkStart w:id="27" w:name="_Toc24884218"/>
      <w:bookmarkStart w:id="28" w:name="_Toc17233325"/>
      <w:bookmarkStart w:id="29" w:name="_Toc26718930"/>
      <w:bookmarkStart w:id="30" w:name="_Toc97192964"/>
      <w:bookmarkStart w:id="31" w:name="_Toc26986530"/>
      <w:bookmarkStart w:id="32" w:name="_Toc24884211"/>
      <w:r>
        <w:rPr>
          <w:rFonts w:hint="eastAsia"/>
        </w:rPr>
        <w:t>范围</w:t>
      </w:r>
      <w:bookmarkEnd w:id="24"/>
      <w:bookmarkEnd w:id="25"/>
      <w:bookmarkEnd w:id="26"/>
      <w:bookmarkEnd w:id="27"/>
      <w:bookmarkEnd w:id="28"/>
      <w:bookmarkEnd w:id="29"/>
      <w:bookmarkEnd w:id="30"/>
      <w:bookmarkEnd w:id="31"/>
      <w:bookmarkEnd w:id="32"/>
    </w:p>
    <w:p>
      <w:pPr>
        <w:pStyle w:val="105"/>
        <w:keepNext w:val="0"/>
        <w:keepLines w:val="0"/>
        <w:pageBreakBefore w:val="0"/>
        <w:widowControl/>
        <w:numPr>
          <w:ilvl w:val="1"/>
          <w:numId w:val="0"/>
        </w:numPr>
        <w:kinsoku/>
        <w:wordWrap/>
        <w:overflowPunct/>
        <w:topLinePunct w:val="0"/>
        <w:bidi w:val="0"/>
        <w:adjustRightInd/>
        <w:snapToGrid/>
        <w:spacing w:before="240" w:after="240" w:line="360" w:lineRule="auto"/>
        <w:ind w:leftChars="0" w:firstLine="420" w:firstLineChars="200"/>
        <w:textAlignment w:val="auto"/>
        <w:rPr>
          <w:rFonts w:hint="eastAsia" w:ascii="宋体" w:hAnsi="宋体" w:eastAsia="宋体" w:cs="宋体"/>
        </w:rPr>
      </w:pPr>
      <w:bookmarkStart w:id="33" w:name="_Toc24884219"/>
      <w:bookmarkStart w:id="34" w:name="_Toc26648466"/>
      <w:bookmarkStart w:id="35" w:name="_Toc97192965"/>
      <w:bookmarkStart w:id="36" w:name="_Toc24884212"/>
      <w:bookmarkStart w:id="37" w:name="_Toc17233326"/>
      <w:bookmarkStart w:id="38" w:name="_Toc26718931"/>
      <w:bookmarkStart w:id="39" w:name="_Toc26986772"/>
      <w:bookmarkStart w:id="40" w:name="_Toc17233334"/>
      <w:bookmarkStart w:id="41" w:name="_Toc26986531"/>
      <w:r>
        <w:rPr>
          <w:rFonts w:hint="eastAsia" w:ascii="宋体" w:hAnsi="宋体" w:eastAsia="宋体" w:cs="宋体"/>
        </w:rPr>
        <w:t>本标准规定了富硒玉米的技术要求、试验方法、检验规则、标签、包装、运输和贮存。本标准适用于安徽省XX区域生产的富硒玉米。</w:t>
      </w:r>
    </w:p>
    <w:p>
      <w:pPr>
        <w:pStyle w:val="105"/>
        <w:keepNext w:val="0"/>
        <w:keepLines w:val="0"/>
        <w:pageBreakBefore w:val="0"/>
        <w:widowControl/>
        <w:numPr>
          <w:ilvl w:val="1"/>
          <w:numId w:val="0"/>
        </w:numPr>
        <w:kinsoku/>
        <w:wordWrap/>
        <w:overflowPunct/>
        <w:topLinePunct w:val="0"/>
        <w:bidi w:val="0"/>
        <w:adjustRightInd/>
        <w:snapToGrid/>
        <w:spacing w:before="240" w:after="240" w:line="360" w:lineRule="auto"/>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2  </w:t>
      </w:r>
      <w:r>
        <w:rPr>
          <w:rFonts w:hint="eastAsia" w:ascii="黑体" w:hAnsi="黑体" w:eastAsia="黑体" w:cs="黑体"/>
          <w:sz w:val="21"/>
          <w:szCs w:val="21"/>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4DE3E0042104A1BBF2822F7B26094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adjustRightInd/>
        <w:spacing w:line="360" w:lineRule="auto"/>
        <w:rPr>
          <w:rFonts w:hint="eastAsia" w:ascii="宋体" w:hAnsi="Times New Roman"/>
          <w:kern w:val="0"/>
          <w:szCs w:val="20"/>
        </w:rPr>
      </w:pPr>
      <w:bookmarkStart w:id="42" w:name="_Toc97192966"/>
      <w:r>
        <w:rPr>
          <w:rFonts w:hint="eastAsia" w:ascii="宋体" w:hAnsi="Times New Roman"/>
          <w:kern w:val="0"/>
          <w:szCs w:val="20"/>
        </w:rPr>
        <w:t>GB 2715     食品安全国家标准 粮食</w:t>
      </w:r>
    </w:p>
    <w:p>
      <w:pPr>
        <w:adjustRightInd/>
        <w:spacing w:line="360" w:lineRule="auto"/>
        <w:rPr>
          <w:rFonts w:hint="eastAsia" w:ascii="宋体" w:hAnsi="Times New Roman"/>
          <w:kern w:val="0"/>
          <w:szCs w:val="20"/>
        </w:rPr>
      </w:pPr>
      <w:r>
        <w:rPr>
          <w:rFonts w:hint="eastAsia" w:ascii="宋体" w:hAnsi="Times New Roman"/>
          <w:kern w:val="0"/>
          <w:szCs w:val="20"/>
        </w:rPr>
        <w:t>GB 5009.93  食品安全国家标准 食品中硒的测定</w:t>
      </w:r>
    </w:p>
    <w:p>
      <w:pPr>
        <w:adjustRightInd/>
        <w:spacing w:line="360" w:lineRule="auto"/>
        <w:rPr>
          <w:rFonts w:hint="eastAsia" w:ascii="宋体" w:hAnsi="Times New Roman"/>
          <w:kern w:val="0"/>
          <w:szCs w:val="20"/>
        </w:rPr>
      </w:pPr>
      <w:r>
        <w:rPr>
          <w:rFonts w:hint="eastAsia" w:ascii="宋体" w:hAnsi="Times New Roman"/>
          <w:kern w:val="0"/>
          <w:szCs w:val="20"/>
        </w:rPr>
        <w:t>GB 7718     食品安全国家标准 预包装食品标签通则</w:t>
      </w:r>
    </w:p>
    <w:p>
      <w:pPr>
        <w:adjustRightInd/>
        <w:spacing w:line="360" w:lineRule="auto"/>
        <w:rPr>
          <w:rFonts w:hint="eastAsia" w:ascii="宋体" w:hAnsi="Times New Roman"/>
          <w:kern w:val="0"/>
          <w:szCs w:val="20"/>
        </w:rPr>
      </w:pPr>
      <w:r>
        <w:rPr>
          <w:rFonts w:hint="eastAsia" w:ascii="宋体" w:hAnsi="Times New Roman"/>
          <w:kern w:val="0"/>
          <w:szCs w:val="20"/>
        </w:rPr>
        <w:t>GB/T 8868   蔬菜塑料周转箱</w:t>
      </w:r>
    </w:p>
    <w:p>
      <w:pPr>
        <w:adjustRightInd/>
        <w:spacing w:line="360" w:lineRule="auto"/>
        <w:rPr>
          <w:rFonts w:hint="eastAsia" w:ascii="宋体" w:hAnsi="Times New Roman"/>
          <w:kern w:val="0"/>
          <w:szCs w:val="20"/>
        </w:rPr>
      </w:pPr>
      <w:r>
        <w:rPr>
          <w:rFonts w:hint="eastAsia" w:ascii="宋体" w:hAnsi="Times New Roman"/>
          <w:kern w:val="0"/>
          <w:szCs w:val="20"/>
        </w:rPr>
        <w:t>NY/T 391    绿色食品 产地环境质量</w:t>
      </w:r>
    </w:p>
    <w:p>
      <w:pPr>
        <w:adjustRightInd/>
        <w:spacing w:line="360" w:lineRule="auto"/>
        <w:rPr>
          <w:rFonts w:hint="eastAsia" w:ascii="宋体" w:hAnsi="Times New Roman"/>
          <w:kern w:val="0"/>
          <w:szCs w:val="20"/>
        </w:rPr>
      </w:pPr>
      <w:r>
        <w:rPr>
          <w:rFonts w:hint="eastAsia" w:ascii="宋体" w:hAnsi="Times New Roman"/>
          <w:kern w:val="0"/>
          <w:szCs w:val="20"/>
        </w:rPr>
        <w:t>NY/T 519    食用玉米</w:t>
      </w:r>
    </w:p>
    <w:p>
      <w:pPr>
        <w:adjustRightInd/>
        <w:spacing w:line="360" w:lineRule="auto"/>
        <w:rPr>
          <w:rFonts w:hint="eastAsia" w:ascii="宋体" w:hAnsi="Times New Roman"/>
          <w:kern w:val="0"/>
          <w:szCs w:val="20"/>
        </w:rPr>
      </w:pPr>
      <w:r>
        <w:rPr>
          <w:rFonts w:hint="eastAsia" w:ascii="宋体" w:hAnsi="Times New Roman"/>
          <w:kern w:val="0"/>
          <w:szCs w:val="20"/>
        </w:rPr>
        <w:t>NY/T 658    绿色食品 包装通用准则</w:t>
      </w:r>
    </w:p>
    <w:p>
      <w:pPr>
        <w:adjustRightInd/>
        <w:spacing w:line="360" w:lineRule="auto"/>
        <w:rPr>
          <w:rFonts w:hint="eastAsia" w:ascii="宋体" w:hAnsi="Times New Roman"/>
          <w:kern w:val="0"/>
          <w:szCs w:val="20"/>
        </w:rPr>
      </w:pPr>
      <w:r>
        <w:rPr>
          <w:rFonts w:hint="eastAsia" w:ascii="宋体" w:hAnsi="Times New Roman"/>
          <w:kern w:val="0"/>
          <w:szCs w:val="20"/>
        </w:rPr>
        <w:t>NY/T 896    绿色食品 产品抽样准则</w:t>
      </w:r>
    </w:p>
    <w:p>
      <w:pPr>
        <w:adjustRightInd/>
        <w:spacing w:line="360" w:lineRule="auto"/>
        <w:rPr>
          <w:rFonts w:hint="eastAsia" w:ascii="宋体" w:hAnsi="Times New Roman"/>
          <w:kern w:val="0"/>
          <w:szCs w:val="20"/>
        </w:rPr>
      </w:pPr>
      <w:r>
        <w:rPr>
          <w:rFonts w:hint="eastAsia" w:ascii="宋体" w:hAnsi="Times New Roman"/>
          <w:kern w:val="0"/>
          <w:szCs w:val="20"/>
        </w:rPr>
        <w:t>NY/T 1055   绿色食品 产品检验规则</w:t>
      </w:r>
    </w:p>
    <w:p>
      <w:pPr>
        <w:adjustRightInd/>
        <w:spacing w:line="360" w:lineRule="auto"/>
        <w:rPr>
          <w:rFonts w:hint="eastAsia" w:ascii="宋体" w:hAnsi="Times New Roman"/>
          <w:kern w:val="0"/>
          <w:szCs w:val="20"/>
        </w:rPr>
      </w:pPr>
      <w:r>
        <w:rPr>
          <w:rFonts w:hint="eastAsia" w:ascii="宋体" w:hAnsi="Times New Roman"/>
          <w:kern w:val="0"/>
          <w:szCs w:val="20"/>
        </w:rPr>
        <w:t>NY/T 1056   绿色食品 贮藏运输准则</w:t>
      </w:r>
    </w:p>
    <w:bookmarkEnd w:id="22"/>
    <w:bookmarkEnd w:id="42"/>
    <w:p>
      <w:pPr>
        <w:pStyle w:val="105"/>
        <w:numPr>
          <w:ilvl w:val="1"/>
          <w:numId w:val="0"/>
        </w:numPr>
        <w:spacing w:before="240" w:after="240"/>
        <w:ind w:leftChars="0"/>
      </w:pPr>
      <w:r>
        <w:rPr>
          <w:rFonts w:hint="eastAsia"/>
          <w:szCs w:val="21"/>
          <w:lang w:val="en-US" w:eastAsia="zh-CN"/>
        </w:rPr>
        <w:t xml:space="preserve">3 </w:t>
      </w:r>
      <w:r>
        <w:rPr>
          <w:rFonts w:hint="eastAsia"/>
          <w:szCs w:val="21"/>
        </w:rPr>
        <w:t>术语和定义</w:t>
      </w:r>
    </w:p>
    <w:p>
      <w:pPr>
        <w:keepNext w:val="0"/>
        <w:keepLines w:val="0"/>
        <w:widowControl/>
        <w:suppressLineNumbers w:val="0"/>
        <w:ind w:left="420" w:hanging="420" w:hangingChars="200"/>
        <w:jc w:val="left"/>
        <w:rPr>
          <w:rFonts w:ascii="黑体" w:hAnsi="黑体" w:eastAsia="黑体"/>
        </w:rPr>
      </w:pPr>
      <w:sdt>
        <w:sdtPr>
          <w:id w:val="-1909835108"/>
          <w:placeholder>
            <w:docPart w:val="{d207a02e-ae72-48f0-82a9-79117df40e9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3" w:name="_Toc26986532"/>
          <w:bookmarkEnd w:id="43"/>
          <w:r>
            <w:rPr>
              <w:rFonts w:hint="eastAsia"/>
              <w:lang w:val="en-US" w:eastAsia="zh-CN"/>
            </w:rPr>
            <w:t xml:space="preserve">    </w:t>
          </w:r>
          <w:r>
            <w:t>下列术语和定义适用于本文件。</w:t>
          </w:r>
        </w:sdtContent>
      </w:sdt>
      <w:r>
        <w:rPr>
          <w:rFonts w:ascii="黑体" w:hAnsi="黑体" w:eastAsia="黑体"/>
        </w:rPr>
        <w:br w:type="textWrapping"/>
      </w:r>
      <w:r>
        <w:rPr>
          <w:rFonts w:hint="eastAsia" w:ascii="黑体" w:hAnsi="黑体" w:eastAsia="黑体"/>
          <w:lang w:eastAsia="zh-CN"/>
        </w:rPr>
        <w:t>富硒</w:t>
      </w:r>
      <w:r>
        <w:rPr>
          <w:rFonts w:hint="eastAsia" w:ascii="黑体" w:hAnsi="黑体" w:eastAsia="黑体"/>
          <w:lang w:val="en-US" w:eastAsia="zh-CN"/>
        </w:rPr>
        <w:t>玉米</w:t>
      </w:r>
      <w:r>
        <w:rPr>
          <w:rFonts w:hint="eastAsia" w:ascii="黑体" w:hAnsi="黑体" w:eastAsia="黑体"/>
          <w:lang w:eastAsia="zh-CN"/>
        </w:rPr>
        <w:t>（</w:t>
      </w:r>
      <w:r>
        <w:rPr>
          <w:rFonts w:hint="eastAsia" w:ascii="黑体" w:hAnsi="宋体" w:eastAsia="黑体" w:cs="黑体"/>
          <w:color w:val="000000"/>
          <w:kern w:val="0"/>
          <w:sz w:val="21"/>
          <w:szCs w:val="21"/>
          <w:lang w:val="en-US" w:eastAsia="zh-CN" w:bidi="ar"/>
        </w:rPr>
        <w:t>Selenium-enriched corn</w:t>
      </w:r>
      <w:r>
        <w:rPr>
          <w:rFonts w:hint="eastAsia" w:ascii="黑体" w:hAnsi="黑体" w:eastAsia="黑体"/>
          <w:lang w:eastAsia="zh-CN"/>
        </w:rPr>
        <w:t>）</w:t>
      </w:r>
    </w:p>
    <w:p>
      <w:pPr>
        <w:pStyle w:val="163"/>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lang w:eastAsia="zh-CN"/>
        </w:rPr>
        <w:t>通过生长过程自然富集硒或通过硒生物营养强化技术，而非收获后添加硒，所获得的富含微量元素</w:t>
      </w:r>
    </w:p>
    <w:p>
      <w:pPr>
        <w:pStyle w:val="163"/>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pPr>
      <w:r>
        <w:rPr>
          <w:rFonts w:hint="eastAsia"/>
          <w:lang w:eastAsia="zh-CN"/>
        </w:rPr>
        <w:t>硒的</w:t>
      </w:r>
      <w:r>
        <w:rPr>
          <w:rFonts w:hint="eastAsia"/>
          <w:lang w:val="en-US" w:eastAsia="zh-CN"/>
        </w:rPr>
        <w:t>玉米</w:t>
      </w:r>
      <w:r>
        <w:rPr>
          <w:rFonts w:hint="eastAsia"/>
          <w:lang w:eastAsia="zh-CN"/>
        </w:rPr>
        <w:t>，其可食部分的总硒含量和硒代氨基酸含量符合本文件规定范围的</w:t>
      </w:r>
      <w:r>
        <w:rPr>
          <w:rFonts w:hint="eastAsia"/>
          <w:lang w:val="en-US" w:eastAsia="zh-CN"/>
        </w:rPr>
        <w:t>玉米</w:t>
      </w:r>
      <w:r>
        <w:rPr>
          <w:rFonts w:hint="eastAsia"/>
          <w:lang w:eastAsia="zh-CN"/>
        </w:rPr>
        <w:t>。</w:t>
      </w:r>
    </w:p>
    <w:p>
      <w:pPr>
        <w:pStyle w:val="133"/>
        <w:numPr>
          <w:ilvl w:val="0"/>
          <w:numId w:val="0"/>
        </w:numPr>
        <w:spacing w:line="360" w:lineRule="auto"/>
        <w:jc w:val="both"/>
        <w:rPr>
          <w:rFonts w:hint="eastAsia" w:ascii="黑体" w:hAnsi="黑体" w:eastAsia="黑体" w:cs="黑体"/>
          <w:lang w:val="en-US" w:eastAsia="zh-CN"/>
        </w:rPr>
      </w:pPr>
    </w:p>
    <w:p>
      <w:pPr>
        <w:pStyle w:val="133"/>
        <w:numPr>
          <w:ilvl w:val="0"/>
          <w:numId w:val="0"/>
        </w:numPr>
        <w:spacing w:line="360" w:lineRule="auto"/>
        <w:jc w:val="both"/>
        <w:rPr>
          <w:rFonts w:hint="eastAsia" w:ascii="黑体" w:hAnsi="黑体" w:eastAsia="黑体" w:cs="黑体"/>
          <w:lang w:val="en-US" w:eastAsia="zh-CN"/>
        </w:rPr>
      </w:pPr>
      <w:r>
        <w:rPr>
          <w:rFonts w:hint="eastAsia" w:ascii="黑体" w:hAnsi="黑体" w:eastAsia="黑体" w:cs="黑体"/>
          <w:lang w:val="en-US" w:eastAsia="zh-CN"/>
        </w:rPr>
        <w:t>4 技术要求</w:t>
      </w:r>
    </w:p>
    <w:p>
      <w:pPr>
        <w:pStyle w:val="133"/>
        <w:numPr>
          <w:ilvl w:val="0"/>
          <w:numId w:val="0"/>
        </w:numPr>
        <w:spacing w:line="360" w:lineRule="auto"/>
        <w:jc w:val="both"/>
        <w:rPr>
          <w:rFonts w:hint="eastAsia"/>
          <w:lang w:val="en-US" w:eastAsia="zh-CN"/>
        </w:rPr>
      </w:pPr>
      <w:r>
        <w:rPr>
          <w:rFonts w:hint="eastAsia"/>
          <w:lang w:val="en-US" w:eastAsia="zh-CN"/>
        </w:rPr>
        <w:t>4.1 产地环境</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应符合NY/T 391的规定。</w:t>
      </w:r>
    </w:p>
    <w:p>
      <w:pPr>
        <w:pStyle w:val="133"/>
        <w:numPr>
          <w:ilvl w:val="0"/>
          <w:numId w:val="0"/>
        </w:numPr>
        <w:spacing w:line="360" w:lineRule="auto"/>
        <w:jc w:val="both"/>
        <w:rPr>
          <w:rFonts w:hint="eastAsia"/>
          <w:lang w:val="en-US" w:eastAsia="zh-CN"/>
        </w:rPr>
      </w:pPr>
      <w:r>
        <w:rPr>
          <w:rFonts w:hint="eastAsia"/>
          <w:lang w:val="en-US" w:eastAsia="zh-CN"/>
        </w:rPr>
        <w:t>4.2 感官要求</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应符合NY/T 519的规定。</w:t>
      </w:r>
    </w:p>
    <w:p>
      <w:pPr>
        <w:pStyle w:val="133"/>
        <w:numPr>
          <w:ilvl w:val="0"/>
          <w:numId w:val="0"/>
        </w:numPr>
        <w:spacing w:line="360" w:lineRule="auto"/>
        <w:jc w:val="both"/>
        <w:rPr>
          <w:rFonts w:hint="eastAsia"/>
          <w:lang w:val="en-US" w:eastAsia="zh-CN"/>
        </w:rPr>
      </w:pPr>
      <w:r>
        <w:rPr>
          <w:rFonts w:hint="eastAsia"/>
          <w:lang w:val="en-US" w:eastAsia="zh-CN"/>
        </w:rPr>
        <w:t>4.3 硒含量</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产品的硒含量为 0.01 mg/kg ～ 0. 10 mg/kg。</w:t>
      </w:r>
    </w:p>
    <w:p>
      <w:pPr>
        <w:pStyle w:val="133"/>
        <w:numPr>
          <w:ilvl w:val="0"/>
          <w:numId w:val="0"/>
        </w:numPr>
        <w:spacing w:line="360" w:lineRule="auto"/>
        <w:jc w:val="both"/>
        <w:rPr>
          <w:rFonts w:hint="eastAsia"/>
          <w:lang w:val="en-US" w:eastAsia="zh-CN"/>
        </w:rPr>
      </w:pPr>
      <w:r>
        <w:rPr>
          <w:rFonts w:hint="eastAsia"/>
          <w:lang w:val="en-US" w:eastAsia="zh-CN"/>
        </w:rPr>
        <w:t>4.4 污染物、农药残留限量</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应符合NY/T 519的规定。</w:t>
      </w:r>
    </w:p>
    <w:p>
      <w:pPr>
        <w:pStyle w:val="133"/>
        <w:numPr>
          <w:ilvl w:val="0"/>
          <w:numId w:val="0"/>
        </w:numPr>
        <w:spacing w:line="360" w:lineRule="auto"/>
        <w:jc w:val="both"/>
        <w:rPr>
          <w:rFonts w:hint="eastAsia" w:ascii="黑体" w:hAnsi="黑体" w:eastAsia="黑体" w:cs="黑体"/>
          <w:lang w:val="en-US" w:eastAsia="zh-CN"/>
        </w:rPr>
      </w:pPr>
    </w:p>
    <w:p>
      <w:pPr>
        <w:pStyle w:val="133"/>
        <w:numPr>
          <w:ilvl w:val="0"/>
          <w:numId w:val="0"/>
        </w:numPr>
        <w:spacing w:line="360" w:lineRule="auto"/>
        <w:jc w:val="both"/>
        <w:rPr>
          <w:rFonts w:hint="eastAsia" w:ascii="黑体" w:hAnsi="黑体" w:eastAsia="黑体" w:cs="黑体"/>
          <w:lang w:val="en-US" w:eastAsia="zh-CN"/>
        </w:rPr>
      </w:pPr>
      <w:r>
        <w:rPr>
          <w:rFonts w:hint="eastAsia" w:ascii="黑体" w:hAnsi="黑体" w:eastAsia="黑体" w:cs="黑体"/>
          <w:lang w:val="en-US" w:eastAsia="zh-CN"/>
        </w:rPr>
        <w:t>5 试验方法</w:t>
      </w:r>
    </w:p>
    <w:p>
      <w:pPr>
        <w:pStyle w:val="133"/>
        <w:numPr>
          <w:ilvl w:val="0"/>
          <w:numId w:val="0"/>
        </w:numPr>
        <w:spacing w:line="360" w:lineRule="auto"/>
        <w:jc w:val="both"/>
        <w:rPr>
          <w:rFonts w:hint="eastAsia"/>
          <w:lang w:val="en-US" w:eastAsia="zh-CN"/>
        </w:rPr>
      </w:pPr>
      <w:r>
        <w:rPr>
          <w:rFonts w:hint="eastAsia"/>
          <w:lang w:val="en-US" w:eastAsia="zh-CN"/>
        </w:rPr>
        <w:t>5.1 感官要求的检测</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按 NY/T 519规定的方法检测。</w:t>
      </w:r>
    </w:p>
    <w:p>
      <w:pPr>
        <w:pStyle w:val="133"/>
        <w:numPr>
          <w:ilvl w:val="0"/>
          <w:numId w:val="0"/>
        </w:numPr>
        <w:spacing w:line="360" w:lineRule="auto"/>
        <w:jc w:val="both"/>
        <w:rPr>
          <w:rFonts w:hint="eastAsia"/>
          <w:lang w:val="en-US" w:eastAsia="zh-CN"/>
        </w:rPr>
      </w:pPr>
      <w:r>
        <w:rPr>
          <w:rFonts w:hint="eastAsia"/>
          <w:lang w:val="en-US" w:eastAsia="zh-CN"/>
        </w:rPr>
        <w:t>5.2 硒含量的检测</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按GB 5009.93的规定检测。</w:t>
      </w:r>
    </w:p>
    <w:p>
      <w:pPr>
        <w:pStyle w:val="133"/>
        <w:numPr>
          <w:ilvl w:val="0"/>
          <w:numId w:val="0"/>
        </w:numPr>
        <w:spacing w:line="360" w:lineRule="auto"/>
        <w:jc w:val="both"/>
        <w:rPr>
          <w:rFonts w:hint="eastAsia"/>
          <w:lang w:val="en-US" w:eastAsia="zh-CN"/>
        </w:rPr>
      </w:pPr>
      <w:r>
        <w:rPr>
          <w:rFonts w:hint="eastAsia"/>
          <w:lang w:val="en-US" w:eastAsia="zh-CN"/>
        </w:rPr>
        <w:t>5.3 污染物、农药残留限量的检测</w:t>
      </w:r>
    </w:p>
    <w:p>
      <w:pPr>
        <w:pStyle w:val="133"/>
        <w:numPr>
          <w:ilvl w:val="0"/>
          <w:numId w:val="0"/>
        </w:numPr>
        <w:spacing w:line="360" w:lineRule="auto"/>
        <w:ind w:firstLine="420" w:firstLineChars="200"/>
        <w:jc w:val="both"/>
        <w:rPr>
          <w:rFonts w:hint="eastAsia" w:ascii="黑体" w:hAnsi="黑体" w:eastAsia="黑体" w:cs="黑体"/>
          <w:lang w:val="en-US" w:eastAsia="zh-CN"/>
        </w:rPr>
      </w:pPr>
      <w:r>
        <w:rPr>
          <w:rFonts w:hint="eastAsia"/>
          <w:lang w:val="en-US" w:eastAsia="zh-CN"/>
        </w:rPr>
        <w:t>按 NY/T 519规定的方法检测。</w:t>
      </w:r>
    </w:p>
    <w:p>
      <w:pPr>
        <w:pStyle w:val="133"/>
        <w:numPr>
          <w:ilvl w:val="0"/>
          <w:numId w:val="0"/>
        </w:numPr>
        <w:spacing w:line="360" w:lineRule="auto"/>
        <w:jc w:val="both"/>
        <w:rPr>
          <w:rFonts w:hint="eastAsia" w:ascii="黑体" w:hAnsi="黑体" w:eastAsia="黑体" w:cs="黑体"/>
          <w:lang w:val="en-US" w:eastAsia="zh-CN"/>
        </w:rPr>
      </w:pPr>
    </w:p>
    <w:p>
      <w:pPr>
        <w:pStyle w:val="133"/>
        <w:numPr>
          <w:ilvl w:val="0"/>
          <w:numId w:val="0"/>
        </w:numPr>
        <w:spacing w:line="360" w:lineRule="auto"/>
        <w:jc w:val="both"/>
        <w:rPr>
          <w:rFonts w:hint="eastAsia" w:ascii="黑体" w:hAnsi="黑体" w:eastAsia="黑体" w:cs="黑体"/>
          <w:lang w:val="en-US" w:eastAsia="zh-CN"/>
        </w:rPr>
      </w:pPr>
      <w:r>
        <w:rPr>
          <w:rFonts w:hint="eastAsia" w:ascii="黑体" w:hAnsi="黑体" w:eastAsia="黑体" w:cs="黑体"/>
          <w:lang w:val="en-US" w:eastAsia="zh-CN"/>
        </w:rPr>
        <w:t>6 检验规则</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产品的交收检验、型式检验需包括硒含量的检测，硒含量不合格则该批产品不合格。其他要求应符合NY/T 1055的规定。</w:t>
      </w:r>
    </w:p>
    <w:p>
      <w:pPr>
        <w:pStyle w:val="133"/>
        <w:numPr>
          <w:ilvl w:val="0"/>
          <w:numId w:val="0"/>
        </w:numPr>
        <w:spacing w:line="360" w:lineRule="auto"/>
        <w:jc w:val="both"/>
        <w:rPr>
          <w:rFonts w:hint="eastAsia" w:ascii="黑体" w:hAnsi="黑体" w:eastAsia="黑体" w:cs="黑体"/>
          <w:lang w:val="en-US" w:eastAsia="zh-CN"/>
        </w:rPr>
      </w:pPr>
    </w:p>
    <w:p>
      <w:pPr>
        <w:pStyle w:val="133"/>
        <w:numPr>
          <w:ilvl w:val="0"/>
          <w:numId w:val="0"/>
        </w:numPr>
        <w:spacing w:line="360" w:lineRule="auto"/>
        <w:jc w:val="both"/>
        <w:rPr>
          <w:rFonts w:hint="eastAsia" w:ascii="黑体" w:hAnsi="黑体" w:eastAsia="黑体" w:cs="黑体"/>
          <w:lang w:val="en-US" w:eastAsia="zh-CN"/>
        </w:rPr>
      </w:pPr>
      <w:r>
        <w:rPr>
          <w:rFonts w:hint="eastAsia" w:ascii="黑体" w:hAnsi="黑体" w:eastAsia="黑体" w:cs="黑体"/>
          <w:lang w:val="en-US" w:eastAsia="zh-CN"/>
        </w:rPr>
        <w:t>7 标签、包装、运输和贮存</w:t>
      </w:r>
    </w:p>
    <w:p>
      <w:pPr>
        <w:pStyle w:val="133"/>
        <w:numPr>
          <w:ilvl w:val="0"/>
          <w:numId w:val="0"/>
        </w:numPr>
        <w:spacing w:line="360" w:lineRule="auto"/>
        <w:jc w:val="both"/>
        <w:rPr>
          <w:rFonts w:hint="eastAsia" w:ascii="黑体" w:hAnsi="黑体" w:eastAsia="黑体" w:cs="黑体"/>
          <w:lang w:val="en-US" w:eastAsia="zh-CN"/>
        </w:rPr>
      </w:pPr>
      <w:r>
        <w:rPr>
          <w:rFonts w:hint="eastAsia" w:ascii="黑体" w:hAnsi="黑体" w:eastAsia="黑体" w:cs="黑体"/>
          <w:lang w:val="en-US" w:eastAsia="zh-CN"/>
        </w:rPr>
        <w:t>7.1 标签</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产品的标签应符合GB 7718的规定，并在显著位置标明产品硒含量。</w:t>
      </w:r>
    </w:p>
    <w:p>
      <w:pPr>
        <w:pStyle w:val="133"/>
        <w:numPr>
          <w:ilvl w:val="0"/>
          <w:numId w:val="0"/>
        </w:numPr>
        <w:spacing w:line="360" w:lineRule="auto"/>
        <w:jc w:val="both"/>
        <w:rPr>
          <w:rFonts w:hint="eastAsia" w:ascii="黑体" w:hAnsi="黑体" w:eastAsia="黑体" w:cs="黑体"/>
          <w:lang w:val="en-US" w:eastAsia="zh-CN"/>
        </w:rPr>
      </w:pPr>
      <w:r>
        <w:rPr>
          <w:rFonts w:hint="eastAsia" w:ascii="黑体" w:hAnsi="黑体" w:eastAsia="黑体" w:cs="黑体"/>
          <w:lang w:val="en-US" w:eastAsia="zh-CN"/>
        </w:rPr>
        <w:t>7.2 包装</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7.2.1 包装应符合 NY/T 658 的规定。</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7.2.2 用于包装的容器如塑料箱、纸箱等应按产品的大小规格设计，同一规格应大小一致，表面光滑平整，整洁、干燥、牢固、透气、无污染、无异味，内壁无小突物，不允许有明显凹陷，无虫蛀、腐烂、霉变等，纸箱无受潮、离层现象。塑料箱应符合 GB/T 8868的要求。</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7.2.3 按产品的规格分别包装，同一包装内的产品应摆放整齐紧密。</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7.2.4 每批产品所用的包装、单位质量应一致。</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7.2.5 包装检验规则：逐件称量抽取的样品。每件的净含量应不低于包装外标注的净含量。根据检测的结果，检查与包装外所示的规格是否一致。</w:t>
      </w:r>
    </w:p>
    <w:p>
      <w:pPr>
        <w:pStyle w:val="133"/>
        <w:numPr>
          <w:ilvl w:val="0"/>
          <w:numId w:val="0"/>
        </w:numPr>
        <w:spacing w:line="360" w:lineRule="auto"/>
        <w:jc w:val="both"/>
        <w:rPr>
          <w:rFonts w:hint="eastAsia" w:ascii="黑体" w:hAnsi="黑体" w:eastAsia="黑体" w:cs="黑体"/>
          <w:lang w:val="en-US" w:eastAsia="zh-CN"/>
        </w:rPr>
      </w:pPr>
      <w:r>
        <w:rPr>
          <w:rFonts w:hint="eastAsia" w:ascii="黑体" w:hAnsi="黑体" w:eastAsia="黑体" w:cs="黑体"/>
          <w:lang w:val="en-US" w:eastAsia="zh-CN"/>
        </w:rPr>
        <w:t>7.3 运输和贮存</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7.3.1 运输和贮存应符合NY/T 1056 的规定。</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7.3.2 运输过程采取控温措施，满足绿色食品品质所需的适宜温度。</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7.3.3 运输设备使用前均应进行清理和消毒，运输过程中注意防冻、防雨淋、防晒、通风散热。</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7.3.4 贮存应按品种、规格分别贮存，不得和有毒、有害、有异味、易污染物品同库存。</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7.3.5 贮存玉米应保证气流均匀流通，确保温度和相对湿度的稳定与均匀。</w:t>
      </w:r>
    </w:p>
    <w:p>
      <w:pPr>
        <w:pStyle w:val="133"/>
        <w:numPr>
          <w:ilvl w:val="0"/>
          <w:numId w:val="0"/>
        </w:numPr>
        <w:spacing w:line="360" w:lineRule="auto"/>
        <w:ind w:firstLine="420" w:firstLineChars="200"/>
        <w:jc w:val="both"/>
        <w:rPr>
          <w:rFonts w:hint="eastAsia"/>
          <w:lang w:val="en-US" w:eastAsia="zh-CN"/>
        </w:rPr>
      </w:pPr>
      <w:r>
        <w:rPr>
          <w:rFonts w:hint="eastAsia"/>
          <w:lang w:val="en-US" w:eastAsia="zh-CN"/>
        </w:rPr>
        <w:t>7.3.6 应定期检查，及时剔除不符合质量和卫生标准的产品。</w:t>
      </w:r>
    </w:p>
    <w:p>
      <w:pPr>
        <w:pStyle w:val="133"/>
        <w:numPr>
          <w:ilvl w:val="0"/>
          <w:numId w:val="0"/>
        </w:numPr>
        <w:spacing w:line="360" w:lineRule="auto"/>
        <w:jc w:val="both"/>
        <w:rPr>
          <w:rFonts w:hint="eastAsia"/>
          <w:lang w:val="en-US" w:eastAsia="zh-CN"/>
        </w:rPr>
      </w:pPr>
      <w:r>
        <w:rPr>
          <w:rFonts w:hint="eastAsia"/>
          <w:lang w:val="en-US" w:eastAsia="zh-CN"/>
        </w:rPr>
        <w:t xml:space="preserve">               </w:t>
      </w:r>
    </w:p>
    <w:p>
      <w:pPr>
        <w:pStyle w:val="133"/>
        <w:numPr>
          <w:ilvl w:val="0"/>
          <w:numId w:val="0"/>
        </w:numPr>
        <w:spacing w:line="360" w:lineRule="auto"/>
        <w:jc w:val="both"/>
        <w:rPr>
          <w:rFonts w:hint="eastAsia"/>
          <w:lang w:val="en-US" w:eastAsia="zh-CN"/>
        </w:rPr>
      </w:pPr>
    </w:p>
    <w:p>
      <w:pPr>
        <w:pStyle w:val="133"/>
        <w:numPr>
          <w:ilvl w:val="0"/>
          <w:numId w:val="0"/>
        </w:numPr>
        <w:spacing w:line="360" w:lineRule="auto"/>
        <w:jc w:val="both"/>
        <w:rPr>
          <w:rFonts w:hint="eastAsia"/>
          <w:lang w:val="en-US" w:eastAsia="zh-CN"/>
        </w:rPr>
      </w:pPr>
    </w:p>
    <w:p>
      <w:pPr>
        <w:pStyle w:val="133"/>
        <w:numPr>
          <w:ilvl w:val="0"/>
          <w:numId w:val="0"/>
        </w:numPr>
        <w:spacing w:line="360" w:lineRule="auto"/>
        <w:ind w:firstLine="1470" w:firstLineChars="700"/>
        <w:jc w:val="both"/>
        <w:rPr>
          <w:rFonts w:hint="eastAsia"/>
          <w:u w:val="single"/>
          <w:lang w:val="en-US" w:eastAsia="zh-CN"/>
        </w:rPr>
      </w:pPr>
      <w:r>
        <w:rPr>
          <w:rFonts w:hint="eastAsia"/>
          <w:lang w:val="en-US" w:eastAsia="zh-CN"/>
        </w:rPr>
        <w:t xml:space="preserve">  __________________________________</w:t>
      </w: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T/AHAASS 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T/AHAASS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6804"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1701" w:firstLine="0"/>
      </w:pPr>
      <w:rPr>
        <w:rFonts w:hint="eastAsia" w:ascii="黑体" w:eastAsia="黑体"/>
        <w:b w:val="0"/>
        <w:i w:val="0"/>
        <w:sz w:val="21"/>
      </w:rPr>
    </w:lvl>
    <w:lvl w:ilvl="4" w:tentative="0">
      <w:start w:val="1"/>
      <w:numFmt w:val="decimal"/>
      <w:pStyle w:val="95"/>
      <w:suff w:val="nothing"/>
      <w:lvlText w:val="%1%2.%3.%4.%5　"/>
      <w:lvlJc w:val="left"/>
      <w:pPr>
        <w:ind w:left="3261"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dit="forms" w:enforcement="1" w:cryptProviderType="rsaAES" w:cryptAlgorithmClass="hash" w:cryptAlgorithmType="typeAny" w:cryptAlgorithmSid="14" w:cryptSpinCount="100000" w:hash="iPgC2tJbdjS75ZgF7MUYygadcJiS3nV4saXN7UxqSt44eayPSoYdtnbPMkhVQ7hdErsE7IotegxK5c1F8nXUpQ==" w:salt="No3mTTWhnaGSI1VjanDTz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4MTU5MTQyZWEwOTA2MGI0YmFlN2QwNDBlNmFjNGEifQ=="/>
  </w:docVars>
  <w:rsids>
    <w:rsidRoot w:val="001A528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EB4"/>
    <w:rsid w:val="00047F28"/>
    <w:rsid w:val="000503AA"/>
    <w:rsid w:val="000506A1"/>
    <w:rsid w:val="000515DD"/>
    <w:rsid w:val="0005265A"/>
    <w:rsid w:val="000539DD"/>
    <w:rsid w:val="00053BD3"/>
    <w:rsid w:val="000556ED"/>
    <w:rsid w:val="00055FE2"/>
    <w:rsid w:val="0005616F"/>
    <w:rsid w:val="00060C2E"/>
    <w:rsid w:val="00061033"/>
    <w:rsid w:val="000619E9"/>
    <w:rsid w:val="0006210D"/>
    <w:rsid w:val="000622D4"/>
    <w:rsid w:val="0006357D"/>
    <w:rsid w:val="00067F1E"/>
    <w:rsid w:val="00071CC0"/>
    <w:rsid w:val="00071CFC"/>
    <w:rsid w:val="00073C8C"/>
    <w:rsid w:val="00077B64"/>
    <w:rsid w:val="00080A1C"/>
    <w:rsid w:val="00082317"/>
    <w:rsid w:val="00083D2C"/>
    <w:rsid w:val="00086AA1"/>
    <w:rsid w:val="00087A47"/>
    <w:rsid w:val="00087A77"/>
    <w:rsid w:val="00090BFB"/>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26B05"/>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125"/>
    <w:rsid w:val="001852C9"/>
    <w:rsid w:val="00187A0B"/>
    <w:rsid w:val="00190087"/>
    <w:rsid w:val="001913C4"/>
    <w:rsid w:val="0019348F"/>
    <w:rsid w:val="00193A07"/>
    <w:rsid w:val="00194C95"/>
    <w:rsid w:val="00195C34"/>
    <w:rsid w:val="001965B8"/>
    <w:rsid w:val="00196EF5"/>
    <w:rsid w:val="001A1A53"/>
    <w:rsid w:val="001A234A"/>
    <w:rsid w:val="001A4CF3"/>
    <w:rsid w:val="001A528A"/>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775"/>
    <w:rsid w:val="0026148A"/>
    <w:rsid w:val="00262696"/>
    <w:rsid w:val="002638CB"/>
    <w:rsid w:val="00263D25"/>
    <w:rsid w:val="002643C3"/>
    <w:rsid w:val="00264A0C"/>
    <w:rsid w:val="00266EEB"/>
    <w:rsid w:val="00267EF4"/>
    <w:rsid w:val="00270CB8"/>
    <w:rsid w:val="00272B08"/>
    <w:rsid w:val="0027455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DB8"/>
    <w:rsid w:val="002F30E0"/>
    <w:rsid w:val="002F35E4"/>
    <w:rsid w:val="002F3730"/>
    <w:rsid w:val="002F38E1"/>
    <w:rsid w:val="002F4A63"/>
    <w:rsid w:val="002F7AF6"/>
    <w:rsid w:val="00300E63"/>
    <w:rsid w:val="00302F5F"/>
    <w:rsid w:val="0030441D"/>
    <w:rsid w:val="00306063"/>
    <w:rsid w:val="00307C74"/>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EC3"/>
    <w:rsid w:val="0036107C"/>
    <w:rsid w:val="003615D2"/>
    <w:rsid w:val="0036429C"/>
    <w:rsid w:val="00364A53"/>
    <w:rsid w:val="003654CB"/>
    <w:rsid w:val="00365AA9"/>
    <w:rsid w:val="00365F86"/>
    <w:rsid w:val="00365F87"/>
    <w:rsid w:val="00366E89"/>
    <w:rsid w:val="003705F4"/>
    <w:rsid w:val="00370D58"/>
    <w:rsid w:val="00371316"/>
    <w:rsid w:val="00374AEF"/>
    <w:rsid w:val="00376713"/>
    <w:rsid w:val="00381815"/>
    <w:rsid w:val="003819AF"/>
    <w:rsid w:val="003820E9"/>
    <w:rsid w:val="00382DE7"/>
    <w:rsid w:val="00384FFC"/>
    <w:rsid w:val="003872EE"/>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FA9"/>
    <w:rsid w:val="003C5A43"/>
    <w:rsid w:val="003D0519"/>
    <w:rsid w:val="003D0FF6"/>
    <w:rsid w:val="003D262C"/>
    <w:rsid w:val="003D4507"/>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882"/>
    <w:rsid w:val="00426BA5"/>
    <w:rsid w:val="00432DAA"/>
    <w:rsid w:val="00434305"/>
    <w:rsid w:val="00435DF7"/>
    <w:rsid w:val="0044083F"/>
    <w:rsid w:val="00441AE7"/>
    <w:rsid w:val="00443DE6"/>
    <w:rsid w:val="00445574"/>
    <w:rsid w:val="004467FB"/>
    <w:rsid w:val="00452D6B"/>
    <w:rsid w:val="00454484"/>
    <w:rsid w:val="0045517B"/>
    <w:rsid w:val="004551A5"/>
    <w:rsid w:val="00463B77"/>
    <w:rsid w:val="00463C7B"/>
    <w:rsid w:val="004644A6"/>
    <w:rsid w:val="004659BD"/>
    <w:rsid w:val="00466565"/>
    <w:rsid w:val="00470775"/>
    <w:rsid w:val="00472C15"/>
    <w:rsid w:val="004746B1"/>
    <w:rsid w:val="0047583F"/>
    <w:rsid w:val="00475DE8"/>
    <w:rsid w:val="00481C44"/>
    <w:rsid w:val="00484936"/>
    <w:rsid w:val="00485C89"/>
    <w:rsid w:val="004867FD"/>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892"/>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F8D"/>
    <w:rsid w:val="00505767"/>
    <w:rsid w:val="005073F0"/>
    <w:rsid w:val="00510A7B"/>
    <w:rsid w:val="00512F6E"/>
    <w:rsid w:val="00513038"/>
    <w:rsid w:val="00514174"/>
    <w:rsid w:val="00516088"/>
    <w:rsid w:val="00516B0B"/>
    <w:rsid w:val="00521812"/>
    <w:rsid w:val="005220EC"/>
    <w:rsid w:val="00523F95"/>
    <w:rsid w:val="00524D65"/>
    <w:rsid w:val="00525B16"/>
    <w:rsid w:val="00533D04"/>
    <w:rsid w:val="0053460B"/>
    <w:rsid w:val="00534804"/>
    <w:rsid w:val="00534BDF"/>
    <w:rsid w:val="005354EA"/>
    <w:rsid w:val="0053585F"/>
    <w:rsid w:val="00535EC4"/>
    <w:rsid w:val="00535ED9"/>
    <w:rsid w:val="0053639B"/>
    <w:rsid w:val="0053692B"/>
    <w:rsid w:val="00541853"/>
    <w:rsid w:val="00543BDA"/>
    <w:rsid w:val="005441CC"/>
    <w:rsid w:val="005479DA"/>
    <w:rsid w:val="00547BCC"/>
    <w:rsid w:val="0055013B"/>
    <w:rsid w:val="00551F6F"/>
    <w:rsid w:val="00555044"/>
    <w:rsid w:val="00561475"/>
    <w:rsid w:val="00562308"/>
    <w:rsid w:val="0056487B"/>
    <w:rsid w:val="00564FB9"/>
    <w:rsid w:val="005664F7"/>
    <w:rsid w:val="00573D9E"/>
    <w:rsid w:val="005773A5"/>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566"/>
    <w:rsid w:val="005C2919"/>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354F"/>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00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849"/>
    <w:rsid w:val="00707669"/>
    <w:rsid w:val="007107E9"/>
    <w:rsid w:val="00711CBA"/>
    <w:rsid w:val="00711FB5"/>
    <w:rsid w:val="00712A01"/>
    <w:rsid w:val="00714F58"/>
    <w:rsid w:val="00715EC8"/>
    <w:rsid w:val="00722FBF"/>
    <w:rsid w:val="00722FC2"/>
    <w:rsid w:val="00724E1B"/>
    <w:rsid w:val="00725949"/>
    <w:rsid w:val="00727FA2"/>
    <w:rsid w:val="007322D9"/>
    <w:rsid w:val="00732BC0"/>
    <w:rsid w:val="0073408E"/>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5C4"/>
    <w:rsid w:val="00780625"/>
    <w:rsid w:val="0078114B"/>
    <w:rsid w:val="00781CD9"/>
    <w:rsid w:val="00781DD2"/>
    <w:rsid w:val="00783ECF"/>
    <w:rsid w:val="0078413A"/>
    <w:rsid w:val="0078772B"/>
    <w:rsid w:val="007959E8"/>
    <w:rsid w:val="00795CF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191"/>
    <w:rsid w:val="00811369"/>
    <w:rsid w:val="00813F26"/>
    <w:rsid w:val="00815419"/>
    <w:rsid w:val="008163C8"/>
    <w:rsid w:val="008164A1"/>
    <w:rsid w:val="00817325"/>
    <w:rsid w:val="008209E6"/>
    <w:rsid w:val="00821D19"/>
    <w:rsid w:val="00823303"/>
    <w:rsid w:val="008233B2"/>
    <w:rsid w:val="00823A9F"/>
    <w:rsid w:val="00823C85"/>
    <w:rsid w:val="00825138"/>
    <w:rsid w:val="008269DD"/>
    <w:rsid w:val="00830621"/>
    <w:rsid w:val="00831868"/>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73B"/>
    <w:rsid w:val="00896542"/>
    <w:rsid w:val="00896DFF"/>
    <w:rsid w:val="0089762C"/>
    <w:rsid w:val="008A173B"/>
    <w:rsid w:val="008A1893"/>
    <w:rsid w:val="008A257C"/>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178"/>
    <w:rsid w:val="009273B3"/>
    <w:rsid w:val="009305B5"/>
    <w:rsid w:val="009378DD"/>
    <w:rsid w:val="009429D5"/>
    <w:rsid w:val="00942BF1"/>
    <w:rsid w:val="00945180"/>
    <w:rsid w:val="00945428"/>
    <w:rsid w:val="0094607B"/>
    <w:rsid w:val="00953604"/>
    <w:rsid w:val="0095480A"/>
    <w:rsid w:val="0095496B"/>
    <w:rsid w:val="00960F1E"/>
    <w:rsid w:val="009610DC"/>
    <w:rsid w:val="00961490"/>
    <w:rsid w:val="0096381A"/>
    <w:rsid w:val="00965E04"/>
    <w:rsid w:val="009674AD"/>
    <w:rsid w:val="00970CDC"/>
    <w:rsid w:val="0097401B"/>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6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1E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001"/>
    <w:rsid w:val="00B049AF"/>
    <w:rsid w:val="00B07242"/>
    <w:rsid w:val="00B10534"/>
    <w:rsid w:val="00B113DB"/>
    <w:rsid w:val="00B11D8A"/>
    <w:rsid w:val="00B12981"/>
    <w:rsid w:val="00B147DD"/>
    <w:rsid w:val="00B156FD"/>
    <w:rsid w:val="00B16BB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A0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07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B9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1B7"/>
    <w:rsid w:val="00CE0C4F"/>
    <w:rsid w:val="00CE30EA"/>
    <w:rsid w:val="00CF048A"/>
    <w:rsid w:val="00CF155A"/>
    <w:rsid w:val="00CF2947"/>
    <w:rsid w:val="00CF686F"/>
    <w:rsid w:val="00CF6E60"/>
    <w:rsid w:val="00CF7BCA"/>
    <w:rsid w:val="00D008FD"/>
    <w:rsid w:val="00D02E13"/>
    <w:rsid w:val="00D0321C"/>
    <w:rsid w:val="00D035EC"/>
    <w:rsid w:val="00D06AB1"/>
    <w:rsid w:val="00D06FC1"/>
    <w:rsid w:val="00D072ED"/>
    <w:rsid w:val="00D07A16"/>
    <w:rsid w:val="00D1067E"/>
    <w:rsid w:val="00D10F50"/>
    <w:rsid w:val="00D11272"/>
    <w:rsid w:val="00D126F5"/>
    <w:rsid w:val="00D14277"/>
    <w:rsid w:val="00D1489E"/>
    <w:rsid w:val="00D20737"/>
    <w:rsid w:val="00D21E81"/>
    <w:rsid w:val="00D223DE"/>
    <w:rsid w:val="00D25E37"/>
    <w:rsid w:val="00D2661A"/>
    <w:rsid w:val="00D27582"/>
    <w:rsid w:val="00D27EC4"/>
    <w:rsid w:val="00D32719"/>
    <w:rsid w:val="00D33333"/>
    <w:rsid w:val="00D352A2"/>
    <w:rsid w:val="00D37442"/>
    <w:rsid w:val="00D4162B"/>
    <w:rsid w:val="00D4514F"/>
    <w:rsid w:val="00D451E2"/>
    <w:rsid w:val="00D45E89"/>
    <w:rsid w:val="00D45E8D"/>
    <w:rsid w:val="00D466AE"/>
    <w:rsid w:val="00D4734F"/>
    <w:rsid w:val="00D501F7"/>
    <w:rsid w:val="00D51BF3"/>
    <w:rsid w:val="00D52B4F"/>
    <w:rsid w:val="00D56E6E"/>
    <w:rsid w:val="00D66846"/>
    <w:rsid w:val="00D675FB"/>
    <w:rsid w:val="00D71F25"/>
    <w:rsid w:val="00D72A9C"/>
    <w:rsid w:val="00D77031"/>
    <w:rsid w:val="00D84941"/>
    <w:rsid w:val="00D84FA1"/>
    <w:rsid w:val="00D851F0"/>
    <w:rsid w:val="00D853FA"/>
    <w:rsid w:val="00D85B9F"/>
    <w:rsid w:val="00D86DB7"/>
    <w:rsid w:val="00D87BF5"/>
    <w:rsid w:val="00D90721"/>
    <w:rsid w:val="00D926D0"/>
    <w:rsid w:val="00D93030"/>
    <w:rsid w:val="00D950E1"/>
    <w:rsid w:val="00D952A6"/>
    <w:rsid w:val="00D9684B"/>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440"/>
    <w:rsid w:val="00DC370B"/>
    <w:rsid w:val="00DC5B90"/>
    <w:rsid w:val="00DD00FF"/>
    <w:rsid w:val="00DD0619"/>
    <w:rsid w:val="00DD07FB"/>
    <w:rsid w:val="00DD25C6"/>
    <w:rsid w:val="00DD4FE5"/>
    <w:rsid w:val="00DD54B0"/>
    <w:rsid w:val="00DD57EE"/>
    <w:rsid w:val="00DD6BCC"/>
    <w:rsid w:val="00DE0A4B"/>
    <w:rsid w:val="00DE1E22"/>
    <w:rsid w:val="00DE2410"/>
    <w:rsid w:val="00DE2939"/>
    <w:rsid w:val="00DE6B97"/>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E55"/>
    <w:rsid w:val="00E56800"/>
    <w:rsid w:val="00E60C63"/>
    <w:rsid w:val="00E62FF9"/>
    <w:rsid w:val="00E635D6"/>
    <w:rsid w:val="00E639BC"/>
    <w:rsid w:val="00E664CC"/>
    <w:rsid w:val="00E70388"/>
    <w:rsid w:val="00E70F92"/>
    <w:rsid w:val="00E73984"/>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F1C"/>
    <w:rsid w:val="00EF3235"/>
    <w:rsid w:val="00EF7E72"/>
    <w:rsid w:val="00F06D37"/>
    <w:rsid w:val="00F07B9D"/>
    <w:rsid w:val="00F11586"/>
    <w:rsid w:val="00F1183B"/>
    <w:rsid w:val="00F11C9F"/>
    <w:rsid w:val="00F12263"/>
    <w:rsid w:val="00F1409D"/>
    <w:rsid w:val="00F14214"/>
    <w:rsid w:val="00F157A9"/>
    <w:rsid w:val="00F15F9D"/>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1EB9"/>
    <w:rsid w:val="00F623AC"/>
    <w:rsid w:val="00F6412A"/>
    <w:rsid w:val="00F65893"/>
    <w:rsid w:val="00F66A4A"/>
    <w:rsid w:val="00F71E22"/>
    <w:rsid w:val="00F72142"/>
    <w:rsid w:val="00F72694"/>
    <w:rsid w:val="00F72AE7"/>
    <w:rsid w:val="00F833BA"/>
    <w:rsid w:val="00F834CA"/>
    <w:rsid w:val="00F84FD0"/>
    <w:rsid w:val="00F859A8"/>
    <w:rsid w:val="00F86D87"/>
    <w:rsid w:val="00F86DC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D0479"/>
    <w:rsid w:val="01A96C88"/>
    <w:rsid w:val="02581886"/>
    <w:rsid w:val="02FE20CD"/>
    <w:rsid w:val="0361366E"/>
    <w:rsid w:val="053F42F9"/>
    <w:rsid w:val="0711514F"/>
    <w:rsid w:val="07D478A0"/>
    <w:rsid w:val="08120A30"/>
    <w:rsid w:val="087E2A99"/>
    <w:rsid w:val="095D5764"/>
    <w:rsid w:val="095E68E9"/>
    <w:rsid w:val="0A87061C"/>
    <w:rsid w:val="0C6F5DE9"/>
    <w:rsid w:val="0C8310F1"/>
    <w:rsid w:val="0E6A098F"/>
    <w:rsid w:val="0E9919B5"/>
    <w:rsid w:val="108A0E7E"/>
    <w:rsid w:val="10E277C0"/>
    <w:rsid w:val="14FE49E3"/>
    <w:rsid w:val="16F62A0B"/>
    <w:rsid w:val="180235EC"/>
    <w:rsid w:val="19470511"/>
    <w:rsid w:val="197E6B61"/>
    <w:rsid w:val="1B09565B"/>
    <w:rsid w:val="1C4A7CD9"/>
    <w:rsid w:val="1F454F5F"/>
    <w:rsid w:val="1F4F6F16"/>
    <w:rsid w:val="1F7635C8"/>
    <w:rsid w:val="20B47E17"/>
    <w:rsid w:val="230445C0"/>
    <w:rsid w:val="2359354B"/>
    <w:rsid w:val="242E2942"/>
    <w:rsid w:val="25757B41"/>
    <w:rsid w:val="263F53D4"/>
    <w:rsid w:val="276205CD"/>
    <w:rsid w:val="28137B19"/>
    <w:rsid w:val="29301998"/>
    <w:rsid w:val="2973087E"/>
    <w:rsid w:val="29D85B7C"/>
    <w:rsid w:val="2A8D4BFD"/>
    <w:rsid w:val="2BA54F2C"/>
    <w:rsid w:val="2C093F4C"/>
    <w:rsid w:val="2EE55832"/>
    <w:rsid w:val="2FCB3E1C"/>
    <w:rsid w:val="309317F7"/>
    <w:rsid w:val="31CD2E5C"/>
    <w:rsid w:val="322A743D"/>
    <w:rsid w:val="329D695D"/>
    <w:rsid w:val="32A50B6A"/>
    <w:rsid w:val="347D25A2"/>
    <w:rsid w:val="39693D74"/>
    <w:rsid w:val="397F500E"/>
    <w:rsid w:val="3A606BEE"/>
    <w:rsid w:val="3B044AEB"/>
    <w:rsid w:val="3D274729"/>
    <w:rsid w:val="3D4F12A7"/>
    <w:rsid w:val="3E3F15CF"/>
    <w:rsid w:val="3EDA4ED4"/>
    <w:rsid w:val="3FED3142"/>
    <w:rsid w:val="41C51A2C"/>
    <w:rsid w:val="43A41F82"/>
    <w:rsid w:val="4693592D"/>
    <w:rsid w:val="47747AE6"/>
    <w:rsid w:val="49A01D61"/>
    <w:rsid w:val="49F36092"/>
    <w:rsid w:val="4A633B90"/>
    <w:rsid w:val="4A960751"/>
    <w:rsid w:val="4F5B39B6"/>
    <w:rsid w:val="4F775119"/>
    <w:rsid w:val="4F9D5D96"/>
    <w:rsid w:val="4FF43C08"/>
    <w:rsid w:val="512322CB"/>
    <w:rsid w:val="54A35BFD"/>
    <w:rsid w:val="557858E9"/>
    <w:rsid w:val="58F5454D"/>
    <w:rsid w:val="5A542191"/>
    <w:rsid w:val="5BC568EC"/>
    <w:rsid w:val="5BCA7F13"/>
    <w:rsid w:val="5C9347A9"/>
    <w:rsid w:val="5D5C1689"/>
    <w:rsid w:val="5ED6097D"/>
    <w:rsid w:val="5EF13A09"/>
    <w:rsid w:val="5FC353A5"/>
    <w:rsid w:val="622B165A"/>
    <w:rsid w:val="62AD5E80"/>
    <w:rsid w:val="62DA6363"/>
    <w:rsid w:val="63892462"/>
    <w:rsid w:val="652C579B"/>
    <w:rsid w:val="66246472"/>
    <w:rsid w:val="66DC64BA"/>
    <w:rsid w:val="671D35ED"/>
    <w:rsid w:val="673E15BB"/>
    <w:rsid w:val="67E15954"/>
    <w:rsid w:val="69295D1C"/>
    <w:rsid w:val="6C143639"/>
    <w:rsid w:val="6C1D5762"/>
    <w:rsid w:val="6D9312F6"/>
    <w:rsid w:val="6E7647D3"/>
    <w:rsid w:val="6ED75809"/>
    <w:rsid w:val="6EED5F9B"/>
    <w:rsid w:val="74311B56"/>
    <w:rsid w:val="7499627D"/>
    <w:rsid w:val="758B68E5"/>
    <w:rsid w:val="77A45665"/>
    <w:rsid w:val="785250C1"/>
    <w:rsid w:val="790F7282"/>
    <w:rsid w:val="7A1F7224"/>
    <w:rsid w:val="7AD86C5D"/>
    <w:rsid w:val="7B2F4974"/>
    <w:rsid w:val="7B34454B"/>
    <w:rsid w:val="7BB51682"/>
    <w:rsid w:val="7BBD6CF5"/>
    <w:rsid w:val="7C211C9D"/>
    <w:rsid w:val="7C7B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caption"/>
    <w:next w:val="1"/>
    <w:autoRedefine/>
    <w:unhideWhenUsed/>
    <w:qFormat/>
    <w:uiPriority w:val="35"/>
    <w:rPr>
      <w:rFonts w:ascii="Cambria" w:hAnsi="Cambria" w:eastAsia="黑体" w:cs="Times New Roman"/>
      <w:kern w:val="2"/>
      <w:lang w:val="en-US" w:eastAsia="zh-CN" w:bidi="ar-SA"/>
    </w:rPr>
  </w:style>
  <w:style w:type="paragraph" w:styleId="14">
    <w:name w:val="Body Text"/>
    <w:basedOn w:val="1"/>
    <w:link w:val="87"/>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9"/>
    <w:autoRedefine/>
    <w:qFormat/>
    <w:uiPriority w:val="99"/>
    <w:rPr>
      <w:kern w:val="2"/>
      <w:sz w:val="18"/>
      <w:szCs w:val="18"/>
    </w:rPr>
  </w:style>
  <w:style w:type="character" w:customStyle="1" w:styleId="45">
    <w:name w:val="页脚 字符"/>
    <w:link w:val="18"/>
    <w:autoRedefine/>
    <w:qFormat/>
    <w:uiPriority w:val="99"/>
    <w:rPr>
      <w:rFonts w:ascii="宋体"/>
      <w:kern w:val="2"/>
      <w:sz w:val="18"/>
      <w:szCs w:val="18"/>
    </w:rPr>
  </w:style>
  <w:style w:type="character" w:customStyle="1" w:styleId="46">
    <w:name w:val="批注框文本 字符"/>
    <w:link w:val="17"/>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ind w:left="0"/>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kern w:val="2"/>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3"/>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32">
    <w:name w:val="表"/>
    <w:next w:val="1"/>
    <w:autoRedefine/>
    <w:qFormat/>
    <w:uiPriority w:val="0"/>
    <w:pPr>
      <w:jc w:val="center"/>
    </w:pPr>
    <w:rPr>
      <w:rFonts w:asciiTheme="minorHAnsi" w:hAnsiTheme="minorHAnsi" w:eastAsiaTheme="minorEastAsia" w:cstheme="minorBidi"/>
      <w:kern w:val="2"/>
      <w:sz w:val="21"/>
      <w:szCs w:val="22"/>
      <w:lang w:val="en-US" w:eastAsia="zh-CN" w:bidi="ar-SA"/>
    </w:rPr>
  </w:style>
  <w:style w:type="character" w:customStyle="1" w:styleId="233">
    <w:name w:val="段 Char"/>
    <w:link w:val="231"/>
    <w:qFormat/>
    <w:locked/>
    <w:uiPriority w:val="0"/>
    <w:rPr>
      <w:rFonts w:ascii="宋体"/>
      <w:kern w:val="2"/>
      <w:sz w:val="21"/>
      <w:szCs w:val="22"/>
    </w:rPr>
  </w:style>
  <w:style w:type="paragraph" w:customStyle="1" w:styleId="234">
    <w:name w:val="图"/>
    <w:autoRedefine/>
    <w:qFormat/>
    <w:uiPriority w:val="0"/>
    <w:pPr>
      <w:keepNext/>
      <w:jc w:val="center"/>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28EE0D178C740978AFC56E96D59059F"/>
        <w:style w:val=""/>
        <w:category>
          <w:name w:val="常规"/>
          <w:gallery w:val="placeholder"/>
        </w:category>
        <w:types>
          <w:type w:val="bbPlcHdr"/>
        </w:types>
        <w:behaviors>
          <w:behavior w:val="content"/>
        </w:behaviors>
        <w:description w:val=""/>
        <w:guid w:val="{028067AB-3932-4963-A4FE-2D7A0EB985F3}"/>
      </w:docPartPr>
      <w:docPartBody>
        <w:p>
          <w:pPr>
            <w:pStyle w:val="5"/>
          </w:pPr>
          <w:r>
            <w:rPr>
              <w:rStyle w:val="4"/>
              <w:rFonts w:hint="eastAsia"/>
            </w:rPr>
            <w:t>单击或点击此处输入文字。</w:t>
          </w:r>
        </w:p>
      </w:docPartBody>
    </w:docPart>
    <w:docPart>
      <w:docPartPr>
        <w:name w:val="14DE3E0042104A1BBF2822F7B26094D0"/>
        <w:style w:val=""/>
        <w:category>
          <w:name w:val="常规"/>
          <w:gallery w:val="placeholder"/>
        </w:category>
        <w:types>
          <w:type w:val="bbPlcHdr"/>
        </w:types>
        <w:behaviors>
          <w:behavior w:val="content"/>
        </w:behaviors>
        <w:description w:val=""/>
        <w:guid w:val="{887C5FEA-E268-48AE-8B3D-6D02B92ADDF3}"/>
      </w:docPartPr>
      <w:docPartBody>
        <w:p>
          <w:pPr>
            <w:pStyle w:val="6"/>
          </w:pPr>
          <w:r>
            <w:rPr>
              <w:rStyle w:val="4"/>
              <w:rFonts w:hint="eastAsia"/>
            </w:rPr>
            <w:t>选择一项。</w:t>
          </w:r>
        </w:p>
      </w:docPartBody>
    </w:docPart>
    <w:docPart>
      <w:docPartPr>
        <w:name w:val="{d207a02e-ae72-48f0-82a9-79117df40e9d}"/>
        <w:style w:val=""/>
        <w:category>
          <w:name w:val="常规"/>
          <w:gallery w:val="placeholder"/>
        </w:category>
        <w:types>
          <w:type w:val="bbPlcHdr"/>
        </w:types>
        <w:behaviors>
          <w:behavior w:val="content"/>
        </w:behaviors>
        <w:description w:val=""/>
        <w:guid w:val="{d207a02e-ae72-48f0-82a9-79117df40e9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CB"/>
    <w:rsid w:val="000363CB"/>
    <w:rsid w:val="00145BC2"/>
    <w:rsid w:val="002C5FE4"/>
    <w:rsid w:val="004B599C"/>
    <w:rsid w:val="00552C01"/>
    <w:rsid w:val="00661C11"/>
    <w:rsid w:val="00A144E8"/>
    <w:rsid w:val="00A42545"/>
    <w:rsid w:val="00B07F21"/>
    <w:rsid w:val="00C826E1"/>
    <w:rsid w:val="00D7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428EE0D178C740978AFC56E96D59059F"/>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4DE3E0042104A1BBF2822F7B26094D0"/>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597D4D87F5054C5093458D04A5C441D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4094</Words>
  <Characters>4578</Characters>
  <Lines>37</Lines>
  <Paragraphs>10</Paragraphs>
  <TotalTime>4</TotalTime>
  <ScaleCrop>false</ScaleCrop>
  <LinksUpToDate>false</LinksUpToDate>
  <CharactersWithSpaces>4752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2023-07-12T02:00:00Z</dcterms:created>
  <dc:creator>曹静</dc:creator>
  <dc:description>&lt;config cover="true" show_menu="true" version="1.0.0" doctype="SDKXY"&gt;_x000d_
&lt;/config&gt;</dc:description>
  <cp:lastModifiedBy>猪蓓蓓</cp:lastModifiedBy>
  <cp:lastPrinted>2021-02-02T08:22:00Z</cp:lastPrinted>
  <dcterms:modified xsi:type="dcterms:W3CDTF">2024-01-19T01:46:01Z</dcterms:modified>
  <dc:title>团体标准</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15704E2CD2754F5F89AEC82107CA4E72_13</vt:lpwstr>
  </property>
</Properties>
</file>