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framePr w:w="0" w:hRule="auto" w:wrap="around" w:x="1466" w:y="2054"/>
        <w:rPr>
          <w:rFonts w:ascii="Times New Roman"/>
          <w:color w:val="000000"/>
        </w:rPr>
      </w:pPr>
    </w:p>
    <w:p>
      <w:pPr>
        <w:pStyle w:val="98"/>
        <w:framePr w:w="0" w:hRule="auto" w:wrap="around" w:x="1466" w:y="2054"/>
        <w:rPr>
          <w:rFonts w:ascii="Times New Roman"/>
          <w:color w:val="000000"/>
          <w:szCs w:val="48"/>
        </w:rPr>
      </w:pPr>
      <w:r>
        <w:rPr>
          <w:rFonts w:ascii="Times New Roman"/>
          <w:color w:val="000000"/>
        </w:rPr>
        <w:t>团体标准</w:t>
      </w:r>
    </w:p>
    <w:p>
      <w:pPr>
        <w:pStyle w:val="79"/>
        <w:framePr w:wrap="around" w:y="2989"/>
        <w:pBdr>
          <w:bottom w:val="single" w:color="auto" w:sz="4" w:space="1"/>
        </w:pBdr>
        <w:wordWrap w:val="0"/>
        <w:rPr>
          <w:rFonts w:hint="default" w:ascii="Times New Roman" w:eastAsia="宋体"/>
          <w:lang w:val="en-US" w:eastAsia="zh-CN"/>
        </w:rPr>
      </w:pPr>
      <w:r>
        <w:rPr>
          <w:rFonts w:ascii="Times New Roman" w:eastAsia="宋体"/>
        </w:rPr>
        <w:t xml:space="preserve">T/SSEA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79"/>
        <w:framePr w:wrap="around" w:y="2989"/>
        <w:pBdr>
          <w:bottom w:val="single" w:color="auto" w:sz="4" w:space="1"/>
        </w:pBdr>
        <w:wordWrap w:val="0"/>
        <w:spacing w:before="120"/>
        <w:rPr>
          <w:rFonts w:hint="default" w:ascii="Times New Roman" w:eastAsia="宋体"/>
          <w:lang w:val="en-US" w:eastAsia="zh-CN"/>
        </w:rPr>
      </w:pPr>
      <w:r>
        <w:rPr>
          <w:rFonts w:ascii="Times New Roman" w:eastAsia="宋体"/>
        </w:rPr>
        <w:t xml:space="preserve">T/CSTA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79"/>
        <w:framePr w:wrap="around" w:y="2989"/>
        <w:rPr>
          <w:rFonts w:ascii="Times New Roman" w:eastAsia="宋体"/>
        </w:rPr>
      </w:pPr>
    </w:p>
    <w:p>
      <w:pPr>
        <w:pStyle w:val="79"/>
        <w:framePr w:wrap="around" w:y="2989"/>
        <w:rPr>
          <w:rFonts w:ascii="Times New Roman" w:eastAsia="宋体"/>
        </w:rPr>
      </w:pPr>
    </w:p>
    <w:p>
      <w:pPr>
        <w:pStyle w:val="69"/>
        <w:framePr w:wrap="around"/>
        <w:rPr>
          <w:rFonts w:ascii="Times New Roman"/>
        </w:rPr>
      </w:pPr>
      <w:r>
        <w:rPr>
          <w:rFonts w:hint="eastAsia" w:ascii="Times New Roman"/>
        </w:rPr>
        <w:t>起重机吊臂用热连轧</w:t>
      </w:r>
      <w:r>
        <w:rPr>
          <w:rFonts w:ascii="Times New Roman"/>
        </w:rPr>
        <w:t>钢板</w:t>
      </w:r>
    </w:p>
    <w:p>
      <w:pPr>
        <w:pStyle w:val="68"/>
        <w:framePr w:wrap="around"/>
      </w:pPr>
      <w:r>
        <w:t>Hot rolled steel plates for crane boom</w:t>
      </w:r>
    </w:p>
    <w:p>
      <w:pPr>
        <w:pStyle w:val="110"/>
        <w:framePr w:wrap="around" w:hAnchor="page" w:x="1175" w:y="14086"/>
        <w:rPr>
          <w:rFonts w:eastAsia="宋体"/>
        </w:rPr>
      </w:pPr>
      <w:bookmarkStart w:id="0" w:name="FM"/>
      <w:r>
        <mc:AlternateContent>
          <mc:Choice Requires="wps">
            <w:drawing>
              <wp:anchor distT="0" distB="0" distL="114300" distR="114300" simplePos="0" relativeHeight="251659264" behindDoc="1" locked="0" layoutInCell="1" allowOverlap="1">
                <wp:simplePos x="0" y="0"/>
                <wp:positionH relativeFrom="column">
                  <wp:posOffset>86995</wp:posOffset>
                </wp:positionH>
                <wp:positionV relativeFrom="paragraph">
                  <wp:posOffset>329565</wp:posOffset>
                </wp:positionV>
                <wp:extent cx="5948680" cy="0"/>
                <wp:effectExtent l="0" t="0" r="0" b="0"/>
                <wp:wrapTight wrapText="bothSides">
                  <wp:wrapPolygon>
                    <wp:start x="0" y="0"/>
                    <wp:lineTo x="0" y="21600"/>
                    <wp:lineTo x="21600" y="21600"/>
                    <wp:lineTo x="21600" y="0"/>
                  </wp:wrapPolygon>
                </wp:wrapTight>
                <wp:docPr id="3"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6.85pt;margin-top:25.95pt;height:0pt;width:468.4pt;mso-wrap-distance-left:9pt;mso-wrap-distance-right:9pt;z-index:-251657216;mso-width-relative:page;mso-height-relative:page;" filled="f" stroked="t" coordsize="21600,21600" wrapcoords="0 0 0 21600 21600 21600 21600 0" o:gfxdata="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6A1g1QAAAAgBAAAPAAAAAAAAAAEAIAAAACIAAABkcnMvZG93&#10;bnJldi54bWxQSwECFAAUAAAACACHTuJANj2phMoBAACfAwAADgAAAAAAAAABACAAAAAkAQAAZHJz&#10;L2Uyb0RvYy54bWxQSwUGAAAAAAYABgBZAQAAYAUAAAAA&#10;">
                <v:fill on="f" focussize="0,0"/>
                <v:stroke color="#000000" joinstyle="round"/>
                <v:imagedata o:title=""/>
                <o:lock v:ext="edit" aspectratio="f"/>
                <w10:wrap type="tight"/>
              </v:line>
            </w:pict>
          </mc:Fallback>
        </mc:AlternateContent>
      </w:r>
      <w:r>
        <w:rPr>
          <w:rFonts w:eastAsia="宋体"/>
        </w:rPr>
        <w:t>XXXX-</w:t>
      </w:r>
      <w:bookmarkEnd w:id="0"/>
      <w:r>
        <w:rPr>
          <w:rFonts w:eastAsia="宋体"/>
        </w:rPr>
        <w:t>XX-XX</w:t>
      </w:r>
      <w:r>
        <w:t>发布</w:t>
      </w:r>
    </w:p>
    <w:p>
      <w:pPr>
        <w:pStyle w:val="141"/>
        <w:framePr w:wrap="around" w:hAnchor="page" w:x="6661" w:y="14041"/>
      </w:pPr>
      <w:r>
        <w:rPr>
          <w:rFonts w:eastAsia="宋体"/>
        </w:rPr>
        <w:t>XXXX-XX-XX</w:t>
      </w:r>
      <w:r>
        <w:t>实施</w:t>
      </w:r>
    </w:p>
    <w:p>
      <w:pPr>
        <w:pStyle w:val="135"/>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5"/>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4"/>
          <w:rFonts w:ascii="Times New Roman" w:eastAsia="宋体"/>
        </w:rPr>
        <w:t>发布</w:t>
      </w:r>
    </w:p>
    <w:p>
      <w:pPr>
        <w:pStyle w:val="135"/>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3"/>
        <w:spacing w:line="340" w:lineRule="exact"/>
        <w:rPr>
          <w:rFonts w:ascii="Times New Roman"/>
          <w:kern w:val="2"/>
          <w:sz w:val="22"/>
          <w:szCs w:val="22"/>
        </w:rPr>
      </w:pPr>
      <w:r>
        <w:rPr>
          <w:rFonts w:ascii="Times New Roman"/>
        </w:rPr>
        <w:t>ICS</w:t>
      </w:r>
      <w:r>
        <w:rPr>
          <w:rFonts w:ascii="Times New Roman"/>
          <w:kern w:val="2"/>
          <w:sz w:val="22"/>
          <w:szCs w:val="22"/>
        </w:rPr>
        <w:t xml:space="preserve"> 77.140.50</w:t>
      </w:r>
    </w:p>
    <w:p>
      <w:pPr>
        <w:pStyle w:val="23"/>
        <w:spacing w:line="340" w:lineRule="exact"/>
        <w:rPr>
          <w:rFonts w:ascii="Times New Roman"/>
        </w:rPr>
      </w:pPr>
      <w:r>
        <w:rPr>
          <w:rFonts w:ascii="Times New Roman"/>
        </w:rPr>
        <w:t>CCS H 46</w:t>
      </w:r>
    </w:p>
    <w:p>
      <w:pPr>
        <w:pStyle w:val="23"/>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bookmarkStart w:id="46" w:name="_GoBack"/>
      <w:bookmarkEnd w:id="46"/>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7715"/>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4" cstate="print"/>
                    <a:srcRect/>
                    <a:stretch>
                      <a:fillRect/>
                    </a:stretch>
                  </pic:blipFill>
                  <pic:spPr>
                    <a:xfrm>
                      <a:off x="0" y="0"/>
                      <a:ext cx="809625" cy="767715"/>
                    </a:xfrm>
                    <a:prstGeom prst="rect">
                      <a:avLst/>
                    </a:prstGeom>
                    <a:noFill/>
                    <a:ln w="9525">
                      <a:noFill/>
                      <a:miter lim="800000"/>
                      <a:headEnd/>
                      <a:tailEnd/>
                    </a:ln>
                  </pic:spPr>
                </pic:pic>
              </a:graphicData>
            </a:graphic>
          </wp:inline>
        </w:drawing>
      </w:r>
      <w:r>
        <w:rPr>
          <w:szCs w:val="21"/>
        </w:rPr>
        <w:t>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82"/>
        <w:rPr>
          <w:rFonts w:ascii="Times New Roman"/>
        </w:rPr>
      </w:pPr>
      <w:r>
        <w:rPr>
          <w:rFonts w:ascii="Times New Roman"/>
        </w:rPr>
        <w:t>前言</w:t>
      </w:r>
      <w:bookmarkEnd w:id="1"/>
    </w:p>
    <w:p>
      <w:pPr>
        <w:pStyle w:val="23"/>
        <w:rPr>
          <w:rFonts w:ascii="Times New Roman"/>
        </w:rPr>
      </w:pPr>
      <w:r>
        <w:rPr>
          <w:rFonts w:ascii="Times New Roman"/>
        </w:rPr>
        <w:t>本文件按照GB/T 1.1-2020《标准化工作导则  第1部分：标准化文件的结构和起草规则》的规定起草。</w:t>
      </w:r>
    </w:p>
    <w:p>
      <w:pPr>
        <w:pStyle w:val="23"/>
        <w:rPr>
          <w:rFonts w:ascii="Times New Roman"/>
        </w:rPr>
      </w:pPr>
      <w:r>
        <w:rPr>
          <w:rFonts w:ascii="Times New Roman"/>
        </w:rPr>
        <w:t>请注意本文件的某些内容可能涉及专利。本文件的发布机构不承担识别专利的责任。</w:t>
      </w:r>
    </w:p>
    <w:p>
      <w:pPr>
        <w:pStyle w:val="23"/>
        <w:rPr>
          <w:rFonts w:ascii="Times New Roman"/>
        </w:rPr>
      </w:pPr>
      <w:r>
        <w:rPr>
          <w:rFonts w:hint="eastAsia" w:ascii="Times New Roman"/>
        </w:rPr>
        <w:t>本标准由中国特钢企业协会团体标准化工作委员会、中关村不锈及特种合金新材料产业技术创新联盟团体标准化工作委员会联合提出并归口</w:t>
      </w:r>
      <w:r>
        <w:rPr>
          <w:rFonts w:ascii="Times New Roman"/>
        </w:rPr>
        <w:t>。</w:t>
      </w:r>
    </w:p>
    <w:p>
      <w:pPr>
        <w:pStyle w:val="23"/>
        <w:rPr>
          <w:rFonts w:ascii="Times New Roman"/>
        </w:rPr>
      </w:pPr>
      <w:r>
        <w:rPr>
          <w:rFonts w:ascii="Times New Roman"/>
        </w:rPr>
        <w:t>本文件起草单位：</w:t>
      </w:r>
    </w:p>
    <w:p>
      <w:pPr>
        <w:pStyle w:val="23"/>
        <w:rPr>
          <w:rFonts w:ascii="Times New Roman"/>
        </w:rPr>
      </w:pPr>
      <w:r>
        <w:rPr>
          <w:rFonts w:ascii="Times New Roman"/>
        </w:rPr>
        <w:t>本文件主要起草人：</w:t>
      </w:r>
    </w:p>
    <w:p>
      <w:pPr>
        <w:pStyle w:val="23"/>
        <w:rPr>
          <w:rFonts w:ascii="Times New Roman"/>
        </w:rPr>
      </w:pPr>
    </w:p>
    <w:p>
      <w:pPr>
        <w:pStyle w:val="23"/>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59"/>
        <w:spacing w:after="624" w:afterLines="200"/>
        <w:rPr>
          <w:rFonts w:ascii="Times New Roman"/>
        </w:rPr>
      </w:pPr>
      <w:bookmarkStart w:id="2" w:name="_Hlk150871467"/>
      <w:r>
        <w:rPr>
          <w:rFonts w:hint="eastAsia" w:ascii="Times New Roman"/>
        </w:rPr>
        <w:t>起重机吊臂用</w:t>
      </w:r>
      <w:r>
        <w:rPr>
          <w:rFonts w:ascii="Times New Roman"/>
        </w:rPr>
        <w:t>钢板</w:t>
      </w:r>
    </w:p>
    <w:bookmarkEnd w:id="2"/>
    <w:p>
      <w:pPr>
        <w:pStyle w:val="46"/>
        <w:numPr>
          <w:ilvl w:val="0"/>
          <w:numId w:val="1"/>
        </w:numPr>
        <w:spacing w:before="312" w:after="312"/>
        <w:rPr>
          <w:rFonts w:ascii="Times New Roman"/>
        </w:rPr>
      </w:pPr>
      <w:bookmarkStart w:id="3" w:name="_Toc520380391"/>
      <w:r>
        <w:rPr>
          <w:rFonts w:ascii="Times New Roman"/>
        </w:rPr>
        <w:t>范围</w:t>
      </w:r>
      <w:bookmarkEnd w:id="3"/>
    </w:p>
    <w:p>
      <w:pPr>
        <w:pStyle w:val="23"/>
        <w:rPr>
          <w:rFonts w:ascii="Times New Roman"/>
        </w:rPr>
      </w:pPr>
      <w:bookmarkStart w:id="4" w:name="_Toc520380392"/>
      <w:r>
        <w:rPr>
          <w:rFonts w:ascii="Times New Roman"/>
        </w:rPr>
        <w:t>本文件规定了</w:t>
      </w:r>
      <w:bookmarkStart w:id="5" w:name="_Hlk150873118"/>
      <w:r>
        <w:rPr>
          <w:rFonts w:hint="eastAsia" w:ascii="Times New Roman"/>
        </w:rPr>
        <w:t>起重机吊臂用</w:t>
      </w:r>
      <w:r>
        <w:rPr>
          <w:rFonts w:ascii="Times New Roman"/>
        </w:rPr>
        <w:t>钢板的牌号表示方法、订货内容、尺寸、外形、重量、技术要求、试验方法、检验规则、包装、标志和质量证明书</w:t>
      </w:r>
      <w:bookmarkEnd w:id="5"/>
      <w:r>
        <w:rPr>
          <w:rFonts w:ascii="Times New Roman"/>
        </w:rPr>
        <w:t>。</w:t>
      </w:r>
    </w:p>
    <w:p>
      <w:pPr>
        <w:pStyle w:val="23"/>
        <w:rPr>
          <w:rFonts w:ascii="Times New Roman"/>
        </w:rPr>
      </w:pPr>
      <w:bookmarkStart w:id="6" w:name="_Hlk150873157"/>
      <w:r>
        <w:rPr>
          <w:rFonts w:ascii="Times New Roman"/>
        </w:rPr>
        <w:t>本文件适用于</w:t>
      </w:r>
      <w:r>
        <w:rPr>
          <w:rFonts w:hint="eastAsia" w:ascii="Times New Roman"/>
        </w:rPr>
        <w:t>起重机吊臂用</w:t>
      </w:r>
      <w:r>
        <w:rPr>
          <w:rFonts w:ascii="Times New Roman"/>
        </w:rPr>
        <w:t>厚度为</w:t>
      </w:r>
      <w:r>
        <w:rPr>
          <w:rFonts w:hint="eastAsia" w:ascii="Times New Roman"/>
        </w:rPr>
        <w:t>3</w:t>
      </w:r>
      <w:r>
        <w:rPr>
          <w:rFonts w:ascii="Times New Roman"/>
        </w:rPr>
        <w:t xml:space="preserve"> mm~</w:t>
      </w:r>
      <w:r>
        <w:rPr>
          <w:rFonts w:hint="eastAsia" w:ascii="Times New Roman"/>
        </w:rPr>
        <w:t>1</w:t>
      </w:r>
      <w:r>
        <w:rPr>
          <w:rFonts w:ascii="Times New Roman"/>
        </w:rPr>
        <w:t>6 mm的钢板（以下简称钢板）</w:t>
      </w:r>
      <w:bookmarkEnd w:id="6"/>
      <w:r>
        <w:rPr>
          <w:rFonts w:ascii="Times New Roman"/>
        </w:rPr>
        <w:t>。</w:t>
      </w:r>
      <w:bookmarkEnd w:id="4"/>
    </w:p>
    <w:p>
      <w:pPr>
        <w:pStyle w:val="46"/>
        <w:numPr>
          <w:ilvl w:val="0"/>
          <w:numId w:val="1"/>
        </w:numPr>
        <w:spacing w:before="312" w:after="312"/>
        <w:rPr>
          <w:rFonts w:ascii="Times New Roman"/>
        </w:rPr>
      </w:pPr>
      <w:bookmarkStart w:id="7" w:name="_Toc520380393"/>
      <w:r>
        <w:rPr>
          <w:rFonts w:ascii="Times New Roman"/>
        </w:rPr>
        <w:t>规范性引用文件</w:t>
      </w:r>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7"/>
    <w:p>
      <w:pPr>
        <w:ind w:firstLine="420" w:firstLineChars="200"/>
      </w:pPr>
      <w:bookmarkStart w:id="8" w:name="_Toc520380394"/>
      <w:r>
        <w:t>GB/T 222  钢的成品化学成分允许偏差</w:t>
      </w:r>
    </w:p>
    <w:p>
      <w:pPr>
        <w:ind w:firstLine="420" w:firstLineChars="200"/>
      </w:pPr>
      <w:r>
        <w:t>GB/T 223.5  钢铁  酸溶硅和全硅含量的测定  还原型硅钼酸盐分光光度法</w:t>
      </w:r>
    </w:p>
    <w:p>
      <w:pPr>
        <w:ind w:firstLine="420" w:firstLineChars="200"/>
      </w:pPr>
      <w:r>
        <w:t>GB/T 223.9  钢铁及合金  铝含量的测定  铬天青S分光光度法</w:t>
      </w:r>
    </w:p>
    <w:p>
      <w:pPr>
        <w:ind w:firstLine="420" w:firstLineChars="200"/>
      </w:pPr>
      <w:r>
        <w:t>GB/T 223.11  钢铁及合金  铬含量的测定  可视滴定或电位滴定法</w:t>
      </w:r>
    </w:p>
    <w:p>
      <w:pPr>
        <w:ind w:firstLine="420" w:firstLineChars="200"/>
      </w:pPr>
      <w:r>
        <w:t>GB/T 223.14  钢铁及合金化学分析方法  钽试剂萃取光度法测定钒含量</w:t>
      </w:r>
    </w:p>
    <w:p>
      <w:pPr>
        <w:ind w:firstLine="420" w:firstLineChars="200"/>
      </w:pPr>
      <w:r>
        <w:t>GB/T 223.18  钢铁及合金化学分析方法  硫代硫酸钠分离—碘量法测定铜量</w:t>
      </w:r>
    </w:p>
    <w:p>
      <w:pPr>
        <w:ind w:firstLine="420" w:firstLineChars="200"/>
      </w:pPr>
      <w:r>
        <w:t>GB/T 223.23  钢铁及合金  镍含量的测定  丁二酮肟分光光度法</w:t>
      </w:r>
    </w:p>
    <w:p>
      <w:pPr>
        <w:ind w:firstLine="420" w:firstLineChars="200"/>
      </w:pPr>
      <w:r>
        <w:t>GB/T 223.26  钢铁及合金  钼含量的测定  硫氰酸盐分光光度法</w:t>
      </w:r>
    </w:p>
    <w:p>
      <w:pPr>
        <w:ind w:firstLine="420" w:firstLineChars="200"/>
      </w:pPr>
      <w:r>
        <w:t>GB/T 223.40  钢铁及合金  铌含量的测定  氯磺酚S分光光度法</w:t>
      </w:r>
    </w:p>
    <w:p>
      <w:pPr>
        <w:ind w:firstLine="420" w:firstLineChars="200"/>
      </w:pPr>
      <w:r>
        <w:t>GB/T 223.62  钢铁及合金化学分析方法  乙酸丁酯萃取光度法测定磷量</w:t>
      </w:r>
    </w:p>
    <w:p>
      <w:pPr>
        <w:ind w:firstLine="420" w:firstLineChars="200"/>
      </w:pPr>
      <w:r>
        <w:t>GB/T 223.63  钢铁及合金化学分析方法  高碘酸钠（钾）光度法测定锰量</w:t>
      </w:r>
    </w:p>
    <w:p>
      <w:pPr>
        <w:ind w:firstLine="420" w:firstLineChars="200"/>
      </w:pPr>
      <w:r>
        <w:t>GB/T 223.69  钢铁及合金  碳含量的测定  管式炉内燃烧后气体容量法</w:t>
      </w:r>
    </w:p>
    <w:p>
      <w:pPr>
        <w:ind w:firstLine="420" w:firstLineChars="200"/>
      </w:pPr>
      <w:r>
        <w:t>GB/T 223.72  钢铁及合金  硫含量的测定  重量法</w:t>
      </w:r>
    </w:p>
    <w:p>
      <w:pPr>
        <w:ind w:firstLine="420" w:firstLineChars="200"/>
      </w:pPr>
      <w:r>
        <w:t>GB/T 228.1  金属材料拉伸试验  第1部分：室温试验方法</w:t>
      </w:r>
    </w:p>
    <w:p>
      <w:pPr>
        <w:ind w:firstLine="420" w:firstLineChars="200"/>
      </w:pPr>
      <w:r>
        <w:t>GB/T 229  金属材料</w:t>
      </w:r>
      <w:r>
        <w:rPr>
          <w:rFonts w:hint="eastAsia"/>
        </w:rPr>
        <w:t xml:space="preserve"> </w:t>
      </w:r>
      <w:r>
        <w:t xml:space="preserve"> 夏比摆锤冲击试验方法</w:t>
      </w:r>
    </w:p>
    <w:p>
      <w:pPr>
        <w:ind w:firstLine="420" w:firstLineChars="200"/>
      </w:pPr>
      <w:r>
        <w:t>GB/T 247  钢板和钢带包装、标志及质量证明书的一般规定</w:t>
      </w:r>
    </w:p>
    <w:p>
      <w:pPr>
        <w:ind w:firstLine="420" w:firstLineChars="200"/>
      </w:pPr>
      <w:r>
        <w:t>GB/T 709-2019  热轧钢板和钢带的尺寸、外形、重量及允许偏差</w:t>
      </w:r>
    </w:p>
    <w:p>
      <w:pPr>
        <w:ind w:firstLine="420" w:firstLineChars="200"/>
      </w:pPr>
      <w:r>
        <w:t>GB/T 2975  钢及钢产品力学性能试验取样位置及试样制备</w:t>
      </w:r>
    </w:p>
    <w:p>
      <w:pPr>
        <w:ind w:firstLine="420" w:firstLineChars="200"/>
      </w:pPr>
      <w:r>
        <w:t>GB/T 4336  碳素钢和中低合金钢多元素含量的测定火花放电原子发射光谱方法（常规法）</w:t>
      </w:r>
    </w:p>
    <w:p>
      <w:pPr>
        <w:ind w:firstLine="420" w:firstLineChars="200"/>
      </w:pPr>
      <w:r>
        <w:t>GB/T 8170  数值修约规则与极限数值的表示和判定</w:t>
      </w:r>
    </w:p>
    <w:p>
      <w:pPr>
        <w:ind w:firstLine="420" w:firstLineChars="200"/>
      </w:pPr>
      <w:r>
        <w:t>GB/T 14977  热轧钢板表面质量的一般要求</w:t>
      </w:r>
    </w:p>
    <w:p>
      <w:pPr>
        <w:ind w:firstLine="420" w:firstLineChars="200"/>
      </w:pPr>
      <w:r>
        <w:t>GB/T 17505  钢及钢产品交货一般技术要求</w:t>
      </w:r>
    </w:p>
    <w:p>
      <w:pPr>
        <w:ind w:firstLine="420" w:firstLineChars="200"/>
      </w:pPr>
      <w:r>
        <w:t>GB/T 20066  钢和铁化学成分测定用试样的取样和制样方法</w:t>
      </w:r>
    </w:p>
    <w:p>
      <w:pPr>
        <w:ind w:firstLine="420" w:firstLineChars="200"/>
      </w:pPr>
      <w:r>
        <w:t>GB/T 20123  钢铁总碳硫含量的测定高频感应炉燃烧后红外吸收法(常规方法)</w:t>
      </w:r>
    </w:p>
    <w:p>
      <w:pPr>
        <w:ind w:firstLine="420" w:firstLineChars="200"/>
      </w:pPr>
      <w:r>
        <w:t>GB/T 20125  低合金钢多元素含量的测定电感耦合等离子体原子发射光谱法</w:t>
      </w:r>
    </w:p>
    <w:p>
      <w:pPr>
        <w:pStyle w:val="46"/>
        <w:numPr>
          <w:ilvl w:val="0"/>
          <w:numId w:val="1"/>
        </w:numPr>
        <w:spacing w:before="312" w:after="312"/>
        <w:rPr>
          <w:rFonts w:ascii="Times New Roman"/>
        </w:rPr>
      </w:pPr>
      <w:r>
        <w:rPr>
          <w:rFonts w:ascii="Times New Roman"/>
        </w:rPr>
        <w:t>术语和定义</w:t>
      </w:r>
    </w:p>
    <w:p>
      <w:pPr>
        <w:ind w:firstLine="420" w:firstLineChars="200"/>
      </w:pPr>
      <w:bookmarkStart w:id="9" w:name="_Hlk73487590"/>
      <w:r>
        <w:t>本文件没有需要界定的术语和定义。</w:t>
      </w:r>
    </w:p>
    <w:bookmarkEnd w:id="9"/>
    <w:p>
      <w:pPr>
        <w:pStyle w:val="46"/>
        <w:numPr>
          <w:ilvl w:val="0"/>
          <w:numId w:val="1"/>
        </w:numPr>
        <w:spacing w:before="312" w:after="312"/>
        <w:rPr>
          <w:rFonts w:ascii="Times New Roman"/>
        </w:rPr>
      </w:pPr>
      <w:r>
        <w:rPr>
          <w:rFonts w:ascii="Times New Roman"/>
        </w:rPr>
        <w:t>牌号表示方法</w:t>
      </w:r>
    </w:p>
    <w:p>
      <w:pPr>
        <w:pStyle w:val="23"/>
        <w:rPr>
          <w:rFonts w:ascii="Times New Roman"/>
        </w:rPr>
      </w:pPr>
      <w:bookmarkStart w:id="10" w:name="_Hlk73487764"/>
      <w:bookmarkStart w:id="11" w:name="_Hlk80132260"/>
      <w:r>
        <w:rPr>
          <w:rFonts w:ascii="Times New Roman"/>
        </w:rPr>
        <w:t>钢的牌号由代表屈服强度的“屈”字的汉语拼音首字母“Q”、规定的最小屈服强度值、</w:t>
      </w:r>
      <w:r>
        <w:rPr>
          <w:rFonts w:hint="eastAsia" w:ascii="Times New Roman"/>
        </w:rPr>
        <w:t>交货状态代号、</w:t>
      </w:r>
      <w:r>
        <w:rPr>
          <w:rFonts w:ascii="Times New Roman"/>
        </w:rPr>
        <w:t>质量等级</w:t>
      </w:r>
      <w:r>
        <w:rPr>
          <w:rFonts w:hint="eastAsia" w:ascii="Times New Roman"/>
        </w:rPr>
        <w:t>（D、E）</w:t>
      </w:r>
      <w:r>
        <w:rPr>
          <w:rFonts w:ascii="Times New Roman"/>
        </w:rPr>
        <w:t>符号</w:t>
      </w:r>
      <w:r>
        <w:rPr>
          <w:rFonts w:hint="eastAsia" w:ascii="Times New Roman"/>
        </w:rPr>
        <w:t>四</w:t>
      </w:r>
      <w:r>
        <w:rPr>
          <w:rFonts w:ascii="Times New Roman"/>
        </w:rPr>
        <w:t>个部分组成。</w:t>
      </w:r>
    </w:p>
    <w:bookmarkEnd w:id="10"/>
    <w:p>
      <w:pPr>
        <w:pStyle w:val="23"/>
        <w:ind w:firstLine="360"/>
        <w:rPr>
          <w:rFonts w:ascii="Times New Roman"/>
          <w:sz w:val="18"/>
          <w:szCs w:val="18"/>
        </w:rPr>
      </w:pPr>
      <w:bookmarkStart w:id="12" w:name="_Hlk73487905"/>
      <w:r>
        <w:rPr>
          <w:rFonts w:hint="eastAsia" w:ascii="Times New Roman"/>
          <w:sz w:val="18"/>
          <w:szCs w:val="18"/>
        </w:rPr>
        <w:t>注：交货状态为淬火+回火时，交货状态代号用Q表示，交货状态为热机械轧制+回火时，交货状态代号用M表示。</w:t>
      </w:r>
    </w:p>
    <w:p>
      <w:pPr>
        <w:pStyle w:val="23"/>
        <w:ind w:firstLine="360"/>
        <w:rPr>
          <w:rFonts w:ascii="Times New Roman"/>
          <w:sz w:val="18"/>
          <w:szCs w:val="18"/>
        </w:rPr>
      </w:pPr>
      <w:r>
        <w:rPr>
          <w:rFonts w:ascii="Times New Roman" w:eastAsia="黑体"/>
          <w:sz w:val="18"/>
          <w:szCs w:val="18"/>
        </w:rPr>
        <w:t>示例</w:t>
      </w:r>
      <w:r>
        <w:rPr>
          <w:rFonts w:ascii="Times New Roman"/>
          <w:sz w:val="18"/>
          <w:szCs w:val="18"/>
        </w:rPr>
        <w:t>：Q1170QE</w:t>
      </w:r>
    </w:p>
    <w:p>
      <w:pPr>
        <w:pStyle w:val="23"/>
        <w:ind w:firstLine="360"/>
        <w:rPr>
          <w:rFonts w:ascii="Times New Roman"/>
          <w:sz w:val="18"/>
          <w:szCs w:val="18"/>
        </w:rPr>
      </w:pPr>
      <w:r>
        <w:rPr>
          <w:rFonts w:ascii="Times New Roman"/>
          <w:sz w:val="18"/>
          <w:szCs w:val="18"/>
        </w:rPr>
        <w:t>Q——屈服强度的“屈”字汉语拼音的首位字母；</w:t>
      </w:r>
    </w:p>
    <w:p>
      <w:pPr>
        <w:pStyle w:val="23"/>
        <w:ind w:firstLine="360"/>
        <w:rPr>
          <w:rFonts w:ascii="Times New Roman"/>
          <w:sz w:val="18"/>
          <w:szCs w:val="18"/>
        </w:rPr>
      </w:pPr>
      <w:r>
        <w:rPr>
          <w:rFonts w:ascii="Times New Roman"/>
          <w:sz w:val="18"/>
          <w:szCs w:val="18"/>
        </w:rPr>
        <w:t>1170——规定的最小屈服强度值，单位为兆帕（MPa)；</w:t>
      </w:r>
    </w:p>
    <w:p>
      <w:pPr>
        <w:pStyle w:val="23"/>
        <w:ind w:firstLine="360"/>
        <w:rPr>
          <w:rFonts w:ascii="Times New Roman"/>
          <w:sz w:val="18"/>
          <w:szCs w:val="18"/>
        </w:rPr>
      </w:pPr>
      <w:r>
        <w:rPr>
          <w:rFonts w:hint="eastAsia" w:ascii="Times New Roman"/>
          <w:sz w:val="18"/>
          <w:szCs w:val="18"/>
        </w:rPr>
        <w:t>Q—表示淬火+回火</w:t>
      </w:r>
      <w:r>
        <w:rPr>
          <w:rFonts w:ascii="Times New Roman"/>
          <w:sz w:val="18"/>
          <w:szCs w:val="18"/>
        </w:rPr>
        <w:t>；</w:t>
      </w:r>
    </w:p>
    <w:p>
      <w:pPr>
        <w:pStyle w:val="23"/>
        <w:ind w:firstLine="360"/>
        <w:rPr>
          <w:rFonts w:ascii="Times New Roman"/>
          <w:sz w:val="18"/>
          <w:szCs w:val="18"/>
        </w:rPr>
      </w:pPr>
      <w:r>
        <w:rPr>
          <w:rFonts w:ascii="Times New Roman"/>
          <w:sz w:val="18"/>
          <w:szCs w:val="18"/>
        </w:rPr>
        <w:t>E——质量等级为E级。</w:t>
      </w:r>
    </w:p>
    <w:p>
      <w:pPr>
        <w:pStyle w:val="46"/>
        <w:numPr>
          <w:ilvl w:val="0"/>
          <w:numId w:val="1"/>
        </w:numPr>
        <w:spacing w:before="312" w:after="312"/>
        <w:rPr>
          <w:rFonts w:ascii="Times New Roman"/>
        </w:rPr>
      </w:pPr>
      <w:r>
        <w:rPr>
          <w:rFonts w:ascii="Times New Roman"/>
        </w:rPr>
        <w:t>订货内容</w:t>
      </w:r>
    </w:p>
    <w:p>
      <w:pPr>
        <w:pStyle w:val="23"/>
        <w:rPr>
          <w:rFonts w:ascii="Times New Roman"/>
        </w:rPr>
      </w:pPr>
      <w:bookmarkStart w:id="13" w:name="_Hlk73487613"/>
      <w:r>
        <w:rPr>
          <w:rFonts w:ascii="Times New Roman"/>
        </w:rPr>
        <w:t>按本文件订货的合同或订单应包括下列内容：</w:t>
      </w:r>
    </w:p>
    <w:p>
      <w:pPr>
        <w:pStyle w:val="103"/>
        <w:numPr>
          <w:ilvl w:val="0"/>
          <w:numId w:val="3"/>
        </w:numPr>
        <w:rPr>
          <w:rFonts w:ascii="Times New Roman"/>
        </w:rPr>
      </w:pPr>
      <w:r>
        <w:rPr>
          <w:rFonts w:ascii="Times New Roman"/>
        </w:rPr>
        <w:t>本文件编号；</w:t>
      </w:r>
    </w:p>
    <w:p>
      <w:pPr>
        <w:pStyle w:val="103"/>
        <w:numPr>
          <w:ilvl w:val="0"/>
          <w:numId w:val="3"/>
        </w:numPr>
        <w:rPr>
          <w:rFonts w:ascii="Times New Roman"/>
        </w:rPr>
      </w:pPr>
      <w:r>
        <w:rPr>
          <w:rFonts w:ascii="Times New Roman"/>
        </w:rPr>
        <w:t>产品名称；</w:t>
      </w:r>
    </w:p>
    <w:p>
      <w:pPr>
        <w:pStyle w:val="103"/>
        <w:numPr>
          <w:ilvl w:val="0"/>
          <w:numId w:val="3"/>
        </w:numPr>
        <w:rPr>
          <w:rFonts w:ascii="Times New Roman"/>
        </w:rPr>
      </w:pPr>
      <w:r>
        <w:rPr>
          <w:rFonts w:ascii="Times New Roman"/>
        </w:rPr>
        <w:t>牌号；</w:t>
      </w:r>
    </w:p>
    <w:p>
      <w:pPr>
        <w:pStyle w:val="103"/>
        <w:numPr>
          <w:ilvl w:val="0"/>
          <w:numId w:val="3"/>
        </w:numPr>
        <w:rPr>
          <w:rFonts w:ascii="Times New Roman"/>
        </w:rPr>
      </w:pPr>
      <w:r>
        <w:rPr>
          <w:rFonts w:ascii="Times New Roman"/>
        </w:rPr>
        <w:t>规格；</w:t>
      </w:r>
    </w:p>
    <w:p>
      <w:pPr>
        <w:pStyle w:val="103"/>
        <w:numPr>
          <w:ilvl w:val="0"/>
          <w:numId w:val="3"/>
        </w:numPr>
        <w:rPr>
          <w:rFonts w:ascii="Times New Roman"/>
        </w:rPr>
      </w:pPr>
      <w:r>
        <w:rPr>
          <w:rFonts w:ascii="Times New Roman"/>
        </w:rPr>
        <w:t>尺寸、外形精度</w:t>
      </w:r>
    </w:p>
    <w:p>
      <w:pPr>
        <w:pStyle w:val="103"/>
        <w:numPr>
          <w:ilvl w:val="0"/>
          <w:numId w:val="3"/>
        </w:numPr>
        <w:rPr>
          <w:rFonts w:ascii="Times New Roman"/>
        </w:rPr>
      </w:pPr>
      <w:r>
        <w:rPr>
          <w:rFonts w:ascii="Times New Roman"/>
        </w:rPr>
        <w:t>交货状态；</w:t>
      </w:r>
    </w:p>
    <w:p>
      <w:pPr>
        <w:pStyle w:val="103"/>
        <w:numPr>
          <w:ilvl w:val="0"/>
          <w:numId w:val="3"/>
        </w:numPr>
        <w:rPr>
          <w:rFonts w:ascii="Times New Roman"/>
        </w:rPr>
      </w:pPr>
      <w:r>
        <w:rPr>
          <w:rFonts w:ascii="Times New Roman"/>
        </w:rPr>
        <w:t>重量；</w:t>
      </w:r>
    </w:p>
    <w:p>
      <w:pPr>
        <w:pStyle w:val="103"/>
        <w:numPr>
          <w:ilvl w:val="0"/>
          <w:numId w:val="3"/>
        </w:numPr>
        <w:rPr>
          <w:rFonts w:ascii="Times New Roman"/>
        </w:rPr>
      </w:pPr>
      <w:r>
        <w:rPr>
          <w:rFonts w:ascii="Times New Roman"/>
        </w:rPr>
        <w:t>其他特殊要求。</w:t>
      </w:r>
    </w:p>
    <w:bookmarkEnd w:id="8"/>
    <w:bookmarkEnd w:id="11"/>
    <w:bookmarkEnd w:id="12"/>
    <w:bookmarkEnd w:id="13"/>
    <w:p>
      <w:pPr>
        <w:pStyle w:val="46"/>
        <w:numPr>
          <w:ilvl w:val="0"/>
          <w:numId w:val="1"/>
        </w:numPr>
        <w:spacing w:before="312" w:after="312"/>
        <w:rPr>
          <w:rFonts w:ascii="Times New Roman"/>
        </w:rPr>
      </w:pPr>
      <w:bookmarkStart w:id="14" w:name="_Toc520380395"/>
      <w:r>
        <w:rPr>
          <w:rFonts w:ascii="Times New Roman"/>
        </w:rPr>
        <w:t>尺寸、外形、重量</w:t>
      </w:r>
      <w:bookmarkEnd w:id="14"/>
    </w:p>
    <w:p>
      <w:pPr>
        <w:pStyle w:val="48"/>
        <w:spacing w:before="156" w:after="156"/>
        <w:ind w:left="0"/>
        <w:jc w:val="both"/>
        <w:rPr>
          <w:rFonts w:ascii="Times New Roman" w:eastAsiaTheme="majorEastAsia"/>
        </w:rPr>
      </w:pPr>
      <w:r>
        <w:rPr>
          <w:rFonts w:ascii="Times New Roman" w:eastAsiaTheme="majorEastAsia"/>
        </w:rPr>
        <w:t>钢板不平度</w:t>
      </w:r>
      <w:r>
        <w:rPr>
          <w:rFonts w:hint="eastAsia" w:ascii="Times New Roman" w:eastAsiaTheme="majorEastAsia"/>
        </w:rPr>
        <w:t>和镰刀弯</w:t>
      </w:r>
      <w:r>
        <w:rPr>
          <w:rFonts w:ascii="Times New Roman" w:eastAsiaTheme="majorEastAsia"/>
        </w:rPr>
        <w:t>应符合表1</w:t>
      </w:r>
      <w:r>
        <w:rPr>
          <w:rFonts w:hint="eastAsia" w:ascii="Times New Roman" w:eastAsiaTheme="majorEastAsia"/>
        </w:rPr>
        <w:t>的规定。</w:t>
      </w:r>
    </w:p>
    <w:p>
      <w:pPr>
        <w:pStyle w:val="78"/>
        <w:numPr>
          <w:ilvl w:val="0"/>
          <w:numId w:val="0"/>
        </w:numPr>
        <w:spacing w:before="156" w:after="156"/>
        <w:jc w:val="right"/>
        <w:rPr>
          <w:rFonts w:ascii="Times New Roman"/>
        </w:rPr>
      </w:pPr>
      <w:bookmarkStart w:id="15" w:name="_Hlk150873737"/>
      <w:r>
        <w:rPr>
          <w:rFonts w:ascii="Times New Roman"/>
        </w:rPr>
        <w:t>表</w:t>
      </w:r>
      <w:r>
        <w:rPr>
          <w:rFonts w:hint="eastAsia" w:ascii="Times New Roman"/>
        </w:rPr>
        <w:t>1</w:t>
      </w:r>
      <w:r>
        <w:rPr>
          <w:rFonts w:ascii="Times New Roman"/>
        </w:rPr>
        <w:t xml:space="preserve"> 钢板</w:t>
      </w:r>
      <w:r>
        <w:rPr>
          <w:rFonts w:hint="eastAsia" w:ascii="Times New Roman"/>
        </w:rPr>
        <w:t xml:space="preserve">不平度及镰刀弯要求            </w:t>
      </w:r>
      <w:r>
        <w:rPr>
          <w:rFonts w:ascii="Times New Roman"/>
        </w:rPr>
        <w:t xml:space="preserve">  </w:t>
      </w:r>
      <w:r>
        <w:rPr>
          <w:rFonts w:hint="eastAsia" w:ascii="Times New Roman"/>
        </w:rPr>
        <w:t xml:space="preserve">       单位：mm</w:t>
      </w:r>
    </w:p>
    <w:tbl>
      <w:tblPr>
        <w:tblStyle w:val="32"/>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485"/>
        <w:gridCol w:w="1465"/>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031" w:type="dxa"/>
            <w:vMerge w:val="restart"/>
            <w:vAlign w:val="center"/>
          </w:tcPr>
          <w:p>
            <w:pPr>
              <w:jc w:val="center"/>
              <w:rPr>
                <w:sz w:val="18"/>
                <w:szCs w:val="18"/>
              </w:rPr>
            </w:pPr>
            <w:r>
              <w:rPr>
                <w:sz w:val="18"/>
                <w:szCs w:val="18"/>
              </w:rPr>
              <w:t>公称厚度</w:t>
            </w:r>
          </w:p>
        </w:tc>
        <w:tc>
          <w:tcPr>
            <w:tcW w:w="2950" w:type="dxa"/>
            <w:gridSpan w:val="2"/>
            <w:vAlign w:val="center"/>
          </w:tcPr>
          <w:p>
            <w:pPr>
              <w:jc w:val="center"/>
              <w:rPr>
                <w:sz w:val="18"/>
                <w:szCs w:val="18"/>
              </w:rPr>
            </w:pPr>
            <w:r>
              <w:rPr>
                <w:sz w:val="18"/>
                <w:szCs w:val="18"/>
              </w:rPr>
              <w:t>不平度</w:t>
            </w:r>
          </w:p>
        </w:tc>
        <w:tc>
          <w:tcPr>
            <w:tcW w:w="3840" w:type="dxa"/>
            <w:vMerge w:val="restart"/>
            <w:vAlign w:val="center"/>
          </w:tcPr>
          <w:p>
            <w:pPr>
              <w:jc w:val="center"/>
              <w:rPr>
                <w:sz w:val="18"/>
                <w:szCs w:val="18"/>
              </w:rPr>
            </w:pPr>
            <w:r>
              <w:rPr>
                <w:sz w:val="18"/>
                <w:szCs w:val="18"/>
              </w:rPr>
              <w:t>镰刀弯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031" w:type="dxa"/>
            <w:vMerge w:val="continue"/>
            <w:vAlign w:val="center"/>
          </w:tcPr>
          <w:p>
            <w:pPr>
              <w:spacing w:line="360" w:lineRule="auto"/>
              <w:jc w:val="center"/>
              <w:rPr>
                <w:sz w:val="18"/>
                <w:szCs w:val="18"/>
              </w:rPr>
            </w:pPr>
          </w:p>
        </w:tc>
        <w:tc>
          <w:tcPr>
            <w:tcW w:w="1485" w:type="dxa"/>
            <w:vAlign w:val="center"/>
          </w:tcPr>
          <w:p>
            <w:pPr>
              <w:jc w:val="center"/>
              <w:rPr>
                <w:sz w:val="18"/>
                <w:szCs w:val="18"/>
              </w:rPr>
            </w:pPr>
            <w:r>
              <w:rPr>
                <w:sz w:val="18"/>
                <w:szCs w:val="18"/>
              </w:rPr>
              <w:t>1000</w:t>
            </w:r>
          </w:p>
        </w:tc>
        <w:tc>
          <w:tcPr>
            <w:tcW w:w="1465" w:type="dxa"/>
            <w:vAlign w:val="center"/>
          </w:tcPr>
          <w:p>
            <w:pPr>
              <w:jc w:val="center"/>
              <w:rPr>
                <w:sz w:val="18"/>
                <w:szCs w:val="18"/>
              </w:rPr>
            </w:pPr>
            <w:r>
              <w:rPr>
                <w:sz w:val="18"/>
                <w:szCs w:val="18"/>
              </w:rPr>
              <w:t>2000</w:t>
            </w:r>
          </w:p>
        </w:tc>
        <w:tc>
          <w:tcPr>
            <w:tcW w:w="3840"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31" w:type="dxa"/>
            <w:vAlign w:val="center"/>
          </w:tcPr>
          <w:p>
            <w:pPr>
              <w:jc w:val="center"/>
              <w:rPr>
                <w:sz w:val="18"/>
                <w:szCs w:val="18"/>
              </w:rPr>
            </w:pPr>
            <w:r>
              <w:rPr>
                <w:sz w:val="18"/>
                <w:szCs w:val="18"/>
              </w:rPr>
              <w:t>3≤t≤16</w:t>
            </w:r>
          </w:p>
        </w:tc>
        <w:tc>
          <w:tcPr>
            <w:tcW w:w="1485" w:type="dxa"/>
            <w:vAlign w:val="center"/>
          </w:tcPr>
          <w:p>
            <w:pPr>
              <w:jc w:val="center"/>
              <w:rPr>
                <w:sz w:val="18"/>
                <w:szCs w:val="18"/>
              </w:rPr>
            </w:pPr>
            <w:r>
              <w:rPr>
                <w:sz w:val="18"/>
                <w:szCs w:val="18"/>
              </w:rPr>
              <w:t>≤3</w:t>
            </w:r>
          </w:p>
        </w:tc>
        <w:tc>
          <w:tcPr>
            <w:tcW w:w="1465" w:type="dxa"/>
            <w:vAlign w:val="center"/>
          </w:tcPr>
          <w:p>
            <w:pPr>
              <w:jc w:val="center"/>
              <w:rPr>
                <w:sz w:val="18"/>
                <w:szCs w:val="18"/>
              </w:rPr>
            </w:pPr>
            <w:r>
              <w:rPr>
                <w:sz w:val="18"/>
                <w:szCs w:val="18"/>
              </w:rPr>
              <w:t>≤5</w:t>
            </w:r>
          </w:p>
        </w:tc>
        <w:tc>
          <w:tcPr>
            <w:tcW w:w="3840" w:type="dxa"/>
            <w:vAlign w:val="center"/>
          </w:tcPr>
          <w:p>
            <w:pPr>
              <w:jc w:val="center"/>
              <w:rPr>
                <w:sz w:val="18"/>
                <w:szCs w:val="18"/>
              </w:rPr>
            </w:pPr>
            <w:r>
              <w:rPr>
                <w:sz w:val="18"/>
                <w:szCs w:val="18"/>
              </w:rPr>
              <w:t>≤5/全长</w:t>
            </w:r>
          </w:p>
        </w:tc>
      </w:tr>
      <w:bookmarkEnd w:id="15"/>
    </w:tbl>
    <w:p>
      <w:pPr>
        <w:pStyle w:val="48"/>
        <w:spacing w:before="156" w:after="156"/>
        <w:ind w:left="0"/>
        <w:jc w:val="both"/>
        <w:rPr>
          <w:rFonts w:ascii="Times New Roman" w:eastAsiaTheme="majorEastAsia"/>
        </w:rPr>
      </w:pPr>
      <w:r>
        <w:rPr>
          <w:rFonts w:ascii="Times New Roman" w:eastAsiaTheme="majorEastAsia"/>
        </w:rPr>
        <w:t>除钢板不平度</w:t>
      </w:r>
      <w:r>
        <w:rPr>
          <w:rFonts w:hint="eastAsia" w:ascii="Times New Roman" w:eastAsiaTheme="majorEastAsia"/>
        </w:rPr>
        <w:t>和镰刀弯</w:t>
      </w:r>
      <w:r>
        <w:rPr>
          <w:rFonts w:ascii="Times New Roman" w:eastAsiaTheme="majorEastAsia"/>
        </w:rPr>
        <w:t>外，钢板的尺寸、外形</w:t>
      </w:r>
      <w:r>
        <w:rPr>
          <w:rFonts w:hint="eastAsia" w:ascii="Times New Roman" w:eastAsiaTheme="majorEastAsia"/>
        </w:rPr>
        <w:t>、重量</w:t>
      </w:r>
      <w:r>
        <w:rPr>
          <w:rFonts w:ascii="Times New Roman" w:eastAsiaTheme="majorEastAsia"/>
        </w:rPr>
        <w:t>及允许偏差应符合GB/T 709-2019的规定。</w:t>
      </w:r>
    </w:p>
    <w:p>
      <w:pPr>
        <w:pStyle w:val="48"/>
        <w:spacing w:before="156" w:after="156"/>
        <w:ind w:left="0"/>
        <w:jc w:val="both"/>
        <w:rPr>
          <w:rFonts w:ascii="Times New Roman" w:eastAsiaTheme="majorEastAsia"/>
        </w:rPr>
      </w:pPr>
      <w:bookmarkStart w:id="16" w:name="_Hlk150873761"/>
      <w:r>
        <w:rPr>
          <w:rFonts w:ascii="Times New Roman" w:eastAsiaTheme="majorEastAsia"/>
        </w:rPr>
        <w:t>经供需双方协商，可供应其他尺寸、外形、重量及允许偏差的钢板</w:t>
      </w:r>
      <w:bookmarkEnd w:id="16"/>
      <w:r>
        <w:rPr>
          <w:rFonts w:ascii="Times New Roman" w:eastAsiaTheme="majorEastAsia"/>
        </w:rPr>
        <w:t>。</w:t>
      </w:r>
    </w:p>
    <w:p>
      <w:pPr>
        <w:pStyle w:val="46"/>
        <w:numPr>
          <w:ilvl w:val="0"/>
          <w:numId w:val="1"/>
        </w:numPr>
        <w:spacing w:before="312" w:after="312"/>
        <w:rPr>
          <w:rFonts w:ascii="Times New Roman"/>
        </w:rPr>
      </w:pPr>
      <w:r>
        <w:rPr>
          <w:rFonts w:ascii="Times New Roman"/>
        </w:rPr>
        <w:t>技术要求</w:t>
      </w:r>
    </w:p>
    <w:p>
      <w:pPr>
        <w:pStyle w:val="48"/>
        <w:spacing w:before="156" w:after="156"/>
        <w:ind w:left="0"/>
        <w:rPr>
          <w:rFonts w:ascii="Times New Roman"/>
        </w:rPr>
      </w:pPr>
      <w:r>
        <w:rPr>
          <w:rFonts w:ascii="Times New Roman"/>
        </w:rPr>
        <w:t>牌号和化学成分</w:t>
      </w:r>
    </w:p>
    <w:p>
      <w:pPr>
        <w:pStyle w:val="51"/>
        <w:spacing w:beforeLines="0" w:afterLines="0"/>
        <w:rPr>
          <w:rFonts w:ascii="Times New Roman" w:eastAsia="宋体"/>
        </w:rPr>
      </w:pPr>
      <w:bookmarkStart w:id="17" w:name="_Hlk73505941"/>
      <w:r>
        <w:rPr>
          <w:rFonts w:ascii="Times New Roman" w:eastAsia="宋体"/>
        </w:rPr>
        <w:t>钢的牌号和化学成分（熔炼分析）应符合表2的规定。</w:t>
      </w:r>
    </w:p>
    <w:p>
      <w:pPr>
        <w:pStyle w:val="78"/>
        <w:numPr>
          <w:ilvl w:val="0"/>
          <w:numId w:val="0"/>
        </w:numPr>
        <w:spacing w:before="156" w:after="156"/>
        <w:rPr>
          <w:rFonts w:ascii="Times New Roman"/>
        </w:rPr>
      </w:pPr>
      <w:r>
        <w:rPr>
          <w:rFonts w:ascii="Times New Roman"/>
        </w:rPr>
        <w:t>表2  牌号及化学成分（熔炼分析）</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66"/>
        <w:gridCol w:w="776"/>
        <w:gridCol w:w="177"/>
        <w:gridCol w:w="207"/>
        <w:gridCol w:w="307"/>
        <w:gridCol w:w="251"/>
        <w:gridCol w:w="251"/>
        <w:gridCol w:w="236"/>
        <w:gridCol w:w="236"/>
        <w:gridCol w:w="307"/>
        <w:gridCol w:w="276"/>
        <w:gridCol w:w="186"/>
        <w:gridCol w:w="210"/>
        <w:gridCol w:w="251"/>
        <w:gridCol w:w="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 w:hRule="atLeast"/>
          <w:jc w:val="center"/>
        </w:trPr>
        <w:tc>
          <w:tcPr>
            <w:tcW w:w="0" w:type="auto"/>
            <w:vMerge w:val="restart"/>
            <w:shd w:val="clear" w:color="auto" w:fill="auto"/>
            <w:vAlign w:val="center"/>
          </w:tcPr>
          <w:p>
            <w:pPr>
              <w:jc w:val="center"/>
              <w:rPr>
                <w:color w:val="000000" w:themeColor="text1"/>
                <w:sz w:val="18"/>
                <w:szCs w:val="18"/>
                <w14:textFill>
                  <w14:solidFill>
                    <w14:schemeClr w14:val="tx1"/>
                  </w14:solidFill>
                </w14:textFill>
              </w:rPr>
            </w:pPr>
            <w:bookmarkStart w:id="18" w:name="_Hlk150873821"/>
            <w:r>
              <w:rPr>
                <w:color w:val="000000" w:themeColor="text1"/>
                <w:sz w:val="18"/>
                <w:szCs w:val="18"/>
                <w14:textFill>
                  <w14:solidFill>
                    <w14:schemeClr w14:val="tx1"/>
                  </w14:solidFill>
                </w14:textFill>
              </w:rPr>
              <w:t>牌号</w:t>
            </w:r>
          </w:p>
        </w:tc>
        <w:tc>
          <w:tcPr>
            <w:tcW w:w="0" w:type="auto"/>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质量等级</w:t>
            </w:r>
          </w:p>
        </w:tc>
        <w:tc>
          <w:tcPr>
            <w:tcW w:w="0" w:type="auto"/>
            <w:gridSpan w:val="13"/>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0" w:type="auto"/>
            <w:vMerge w:val="continue"/>
            <w:shd w:val="clear" w:color="auto" w:fill="auto"/>
            <w:vAlign w:val="center"/>
          </w:tcPr>
          <w:p>
            <w:pPr>
              <w:jc w:val="center"/>
              <w:rPr>
                <w:color w:val="000000" w:themeColor="text1"/>
                <w:sz w:val="18"/>
                <w:szCs w:val="18"/>
                <w14:textFill>
                  <w14:solidFill>
                    <w14:schemeClr w14:val="tx1"/>
                  </w14:solidFill>
                </w14:textFill>
              </w:rPr>
            </w:pPr>
          </w:p>
        </w:tc>
        <w:tc>
          <w:tcPr>
            <w:tcW w:w="0" w:type="auto"/>
            <w:vMerge w:val="continue"/>
          </w:tcPr>
          <w:p>
            <w:pPr>
              <w:jc w:val="center"/>
              <w:rPr>
                <w:color w:val="000000" w:themeColor="text1"/>
                <w:sz w:val="18"/>
                <w:szCs w:val="18"/>
                <w14:textFill>
                  <w14:solidFill>
                    <w14:schemeClr w14:val="tx1"/>
                  </w14:solidFill>
                </w14:textFill>
              </w:rPr>
            </w:pPr>
          </w:p>
        </w:tc>
        <w:tc>
          <w:tcPr>
            <w:tcW w:w="0" w:type="auto"/>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w:t>
            </w:r>
          </w:p>
        </w:tc>
        <w:tc>
          <w:tcPr>
            <w:tcW w:w="0" w:type="auto"/>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w:t>
            </w:r>
          </w:p>
        </w:tc>
        <w:tc>
          <w:tcPr>
            <w:tcW w:w="0" w:type="auto"/>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Mn</w:t>
            </w:r>
          </w:p>
        </w:tc>
        <w:tc>
          <w:tcPr>
            <w:tcW w:w="0" w:type="auto"/>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w:t>
            </w:r>
          </w:p>
        </w:tc>
        <w:tc>
          <w:tcPr>
            <w:tcW w:w="0" w:type="auto"/>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p>
        </w:tc>
        <w:tc>
          <w:tcPr>
            <w:tcW w:w="0" w:type="auto"/>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Ni</w:t>
            </w:r>
          </w:p>
        </w:tc>
        <w:tc>
          <w:tcPr>
            <w:tcW w:w="0" w:type="auto"/>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Cr</w:t>
            </w:r>
          </w:p>
        </w:tc>
        <w:tc>
          <w:tcPr>
            <w:tcW w:w="0" w:type="auto"/>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Mo</w:t>
            </w:r>
          </w:p>
        </w:tc>
        <w:tc>
          <w:tcPr>
            <w:tcW w:w="0" w:type="auto"/>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Nb</w:t>
            </w:r>
          </w:p>
        </w:tc>
        <w:tc>
          <w:tcPr>
            <w:tcW w:w="0" w:type="auto"/>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w:t>
            </w:r>
          </w:p>
        </w:tc>
        <w:tc>
          <w:tcPr>
            <w:tcW w:w="0" w:type="auto"/>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Ti</w:t>
            </w:r>
          </w:p>
        </w:tc>
        <w:tc>
          <w:tcPr>
            <w:tcW w:w="0" w:type="auto"/>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w:t>
            </w:r>
          </w:p>
        </w:tc>
        <w:tc>
          <w:tcPr>
            <w:tcW w:w="0" w:type="auto"/>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0" w:type="auto"/>
            <w:vMerge w:val="continue"/>
            <w:shd w:val="clear" w:color="auto" w:fill="auto"/>
            <w:vAlign w:val="center"/>
          </w:tcPr>
          <w:p>
            <w:pPr>
              <w:jc w:val="center"/>
              <w:rPr>
                <w:color w:val="000000" w:themeColor="text1"/>
                <w:sz w:val="18"/>
                <w:szCs w:val="18"/>
                <w14:textFill>
                  <w14:solidFill>
                    <w14:schemeClr w14:val="tx1"/>
                  </w14:solidFill>
                </w14:textFill>
              </w:rPr>
            </w:pPr>
          </w:p>
        </w:tc>
        <w:tc>
          <w:tcPr>
            <w:tcW w:w="0" w:type="auto"/>
            <w:vMerge w:val="continue"/>
            <w:shd w:val="clear" w:color="auto" w:fill="auto"/>
          </w:tcPr>
          <w:p>
            <w:pPr>
              <w:jc w:val="center"/>
              <w:rPr>
                <w:color w:val="000000" w:themeColor="text1"/>
                <w:sz w:val="18"/>
                <w:szCs w:val="18"/>
                <w14:textFill>
                  <w14:solidFill>
                    <w14:schemeClr w14:val="tx1"/>
                  </w14:solidFill>
                </w14:textFill>
              </w:rPr>
            </w:pPr>
          </w:p>
        </w:tc>
        <w:tc>
          <w:tcPr>
            <w:tcW w:w="0" w:type="auto"/>
            <w:gridSpan w:val="13"/>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Q</w:t>
            </w:r>
            <w:r>
              <w:rPr>
                <w:color w:val="000000" w:themeColor="text1"/>
                <w:sz w:val="18"/>
                <w:szCs w:val="18"/>
                <w14:textFill>
                  <w14:solidFill>
                    <w14:schemeClr w14:val="tx1"/>
                  </w14:solidFill>
                </w14:textFill>
              </w:rPr>
              <w:t>600M</w:t>
            </w:r>
          </w:p>
        </w:tc>
        <w:tc>
          <w:tcPr>
            <w:tcW w:w="0" w:type="auto"/>
            <w:vAlign w:val="center"/>
          </w:tcPr>
          <w:p>
            <w:pPr>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D、E</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0.12</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0" w:type="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0.18</w:t>
            </w:r>
          </w:p>
        </w:tc>
        <w:tc>
          <w:tcPr>
            <w:tcW w:w="0" w:type="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Q</w:t>
            </w:r>
            <w:r>
              <w:rPr>
                <w:color w:val="000000" w:themeColor="text1"/>
                <w:sz w:val="18"/>
                <w:szCs w:val="18"/>
                <w14:textFill>
                  <w14:solidFill>
                    <w14:schemeClr w14:val="tx1"/>
                  </w14:solidFill>
                </w14:textFill>
              </w:rPr>
              <w:t>600Q</w:t>
            </w:r>
          </w:p>
        </w:tc>
        <w:tc>
          <w:tcPr>
            <w:tcW w:w="0" w:type="auto"/>
            <w:vAlign w:val="center"/>
          </w:tcPr>
          <w:p>
            <w:pPr>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E</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0.18</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0.50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1.60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0.020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0.010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0" w:type="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0" w:type="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0" w:type="auto"/>
            <w:shd w:val="clear" w:color="auto" w:fill="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Q700M</w:t>
            </w:r>
          </w:p>
        </w:tc>
        <w:tc>
          <w:tcPr>
            <w:tcW w:w="0" w:type="auto"/>
            <w:vAlign w:val="center"/>
          </w:tcPr>
          <w:p>
            <w:pPr>
              <w:ind w:left="-105" w:leftChars="-50" w:right="-105" w:rightChars="-50"/>
              <w:jc w:val="center"/>
              <w:rPr>
                <w:kern w:val="0"/>
                <w:sz w:val="18"/>
                <w:szCs w:val="18"/>
              </w:rPr>
            </w:pPr>
            <w:r>
              <w:rPr>
                <w:rFonts w:hint="eastAsia"/>
                <w:color w:val="000000" w:themeColor="text1"/>
                <w:sz w:val="18"/>
                <w:szCs w:val="18"/>
                <w14:textFill>
                  <w14:solidFill>
                    <w14:schemeClr w14:val="tx1"/>
                  </w14:solidFill>
                </w14:textFill>
              </w:rPr>
              <w:t>D、E</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0.12</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0.30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2.00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0.020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0.010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0" w:type="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0.18</w:t>
            </w:r>
          </w:p>
        </w:tc>
        <w:tc>
          <w:tcPr>
            <w:tcW w:w="0" w:type="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Q700Q</w:t>
            </w:r>
          </w:p>
        </w:tc>
        <w:tc>
          <w:tcPr>
            <w:tcW w:w="0" w:type="auto"/>
            <w:vAlign w:val="center"/>
          </w:tcPr>
          <w:p>
            <w:pPr>
              <w:ind w:left="-105" w:leftChars="-50" w:right="-105" w:rightChars="-50"/>
              <w:jc w:val="center"/>
              <w:rPr>
                <w:kern w:val="0"/>
                <w:sz w:val="18"/>
                <w:szCs w:val="18"/>
              </w:rPr>
            </w:pPr>
            <w:r>
              <w:rPr>
                <w:rFonts w:hint="eastAsia"/>
                <w:color w:val="000000" w:themeColor="text1"/>
                <w:sz w:val="18"/>
                <w:szCs w:val="18"/>
                <w14:textFill>
                  <w14:solidFill>
                    <w14:schemeClr w14:val="tx1"/>
                  </w14:solidFill>
                </w14:textFill>
              </w:rPr>
              <w:t>E</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0.18</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0.50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1.60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0.020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0.010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0" w:type="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0" w:type="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0" w:type="auto"/>
            <w:shd w:val="clear" w:color="auto" w:fill="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Q800M</w:t>
            </w:r>
          </w:p>
        </w:tc>
        <w:tc>
          <w:tcPr>
            <w:tcW w:w="0" w:type="auto"/>
            <w:vAlign w:val="center"/>
          </w:tcPr>
          <w:p>
            <w:pPr>
              <w:ind w:left="-105" w:leftChars="-50" w:right="-105" w:rightChars="-50"/>
              <w:jc w:val="center"/>
              <w:rPr>
                <w:kern w:val="0"/>
                <w:sz w:val="18"/>
                <w:szCs w:val="18"/>
              </w:rPr>
            </w:pPr>
            <w:r>
              <w:rPr>
                <w:rFonts w:hint="eastAsia"/>
                <w:color w:val="000000" w:themeColor="text1"/>
                <w:sz w:val="18"/>
                <w:szCs w:val="18"/>
                <w14:textFill>
                  <w14:solidFill>
                    <w14:schemeClr w14:val="tx1"/>
                  </w14:solidFill>
                </w14:textFill>
              </w:rPr>
              <w:t>D</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0.12</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0.50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2.00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0.020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0.010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0" w:type="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0.18</w:t>
            </w:r>
          </w:p>
        </w:tc>
        <w:tc>
          <w:tcPr>
            <w:tcW w:w="0" w:type="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0" w:type="auto"/>
            <w:shd w:val="clear" w:color="auto" w:fill="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Q800Q</w:t>
            </w:r>
          </w:p>
        </w:tc>
        <w:tc>
          <w:tcPr>
            <w:tcW w:w="0" w:type="auto"/>
            <w:vAlign w:val="center"/>
          </w:tcPr>
          <w:p>
            <w:pPr>
              <w:ind w:left="-105" w:leftChars="-50" w:right="-105" w:rightChars="-50"/>
              <w:jc w:val="center"/>
              <w:rPr>
                <w:kern w:val="0"/>
                <w:sz w:val="18"/>
                <w:szCs w:val="18"/>
              </w:rPr>
            </w:pPr>
            <w:r>
              <w:rPr>
                <w:rFonts w:hint="eastAsia"/>
                <w:color w:val="000000" w:themeColor="text1"/>
                <w:sz w:val="18"/>
                <w:szCs w:val="18"/>
                <w14:textFill>
                  <w14:solidFill>
                    <w14:schemeClr w14:val="tx1"/>
                  </w14:solidFill>
                </w14:textFill>
              </w:rPr>
              <w:t>E</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0.18</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0.50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1.60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0.020</w:t>
            </w:r>
          </w:p>
        </w:tc>
        <w:tc>
          <w:tcPr>
            <w:tcW w:w="0" w:type="auto"/>
            <w:shd w:val="clear" w:color="auto" w:fill="auto"/>
            <w:vAlign w:val="center"/>
          </w:tcPr>
          <w:p>
            <w:pPr>
              <w:ind w:left="-105" w:leftChars="-50" w:right="-105" w:rightChars="-50"/>
              <w:jc w:val="center"/>
              <w:rPr>
                <w:kern w:val="0"/>
                <w:sz w:val="18"/>
                <w:szCs w:val="18"/>
              </w:rPr>
            </w:pPr>
            <w:r>
              <w:rPr>
                <w:kern w:val="0"/>
                <w:sz w:val="18"/>
                <w:szCs w:val="18"/>
              </w:rPr>
              <w:t>0.010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0" w:type="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0" w:type="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0" w:type="auto"/>
            <w:shd w:val="clear" w:color="auto" w:fill="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0" w:type="auto"/>
            <w:shd w:val="clear" w:color="auto" w:fill="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Q900Q</w:t>
            </w:r>
          </w:p>
        </w:tc>
        <w:tc>
          <w:tcPr>
            <w:tcW w:w="0" w:type="auto"/>
            <w:vAlign w:val="center"/>
          </w:tcPr>
          <w:p>
            <w:pPr>
              <w:ind w:left="-105" w:leftChars="-50" w:right="-105" w:rightChars="-50"/>
              <w:jc w:val="center"/>
              <w:rPr>
                <w:kern w:val="0"/>
                <w:sz w:val="18"/>
                <w:szCs w:val="18"/>
              </w:rPr>
            </w:pPr>
            <w:r>
              <w:rPr>
                <w:rFonts w:hint="eastAsia"/>
                <w:color w:val="000000" w:themeColor="text1"/>
                <w:sz w:val="18"/>
                <w:szCs w:val="18"/>
                <w14:textFill>
                  <w14:solidFill>
                    <w14:schemeClr w14:val="tx1"/>
                  </w14:solidFill>
                </w14:textFill>
              </w:rPr>
              <w:t>D</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0.18</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0.50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1.60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0.020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0.010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0" w:type="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0" w:type="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0" w:type="auto"/>
            <w:shd w:val="clear" w:color="auto" w:fill="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0" w:type="auto"/>
            <w:shd w:val="clear" w:color="auto" w:fill="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Q960Q</w:t>
            </w:r>
          </w:p>
        </w:tc>
        <w:tc>
          <w:tcPr>
            <w:tcW w:w="0" w:type="auto"/>
            <w:vAlign w:val="center"/>
          </w:tcPr>
          <w:p>
            <w:pPr>
              <w:ind w:left="-105" w:leftChars="-50" w:right="-105" w:rightChars="-50"/>
              <w:jc w:val="center"/>
              <w:rPr>
                <w:kern w:val="0"/>
                <w:sz w:val="18"/>
                <w:szCs w:val="18"/>
              </w:rPr>
            </w:pPr>
            <w:r>
              <w:rPr>
                <w:rFonts w:hint="eastAsia"/>
                <w:color w:val="000000" w:themeColor="text1"/>
                <w:sz w:val="18"/>
                <w:szCs w:val="18"/>
                <w14:textFill>
                  <w14:solidFill>
                    <w14:schemeClr w14:val="tx1"/>
                  </w14:solidFill>
                </w14:textFill>
              </w:rPr>
              <w:t>D</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0.18</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0.50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1.60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0.020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0.010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0" w:type="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0" w:type="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0" w:type="auto"/>
            <w:shd w:val="clear" w:color="auto" w:fill="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0" w:type="auto"/>
            <w:shd w:val="clear" w:color="auto" w:fill="auto"/>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Q1100Q</w:t>
            </w:r>
          </w:p>
        </w:tc>
        <w:tc>
          <w:tcPr>
            <w:tcW w:w="0" w:type="auto"/>
            <w:vAlign w:val="center"/>
          </w:tcPr>
          <w:p>
            <w:pPr>
              <w:ind w:left="-105" w:leftChars="-50" w:right="-105" w:rightChars="-50"/>
              <w:jc w:val="center"/>
              <w:rPr>
                <w:kern w:val="0"/>
                <w:sz w:val="18"/>
                <w:szCs w:val="18"/>
              </w:rPr>
            </w:pPr>
            <w:r>
              <w:rPr>
                <w:rFonts w:hint="eastAsia"/>
                <w:color w:val="000000" w:themeColor="text1"/>
                <w:sz w:val="18"/>
                <w:szCs w:val="18"/>
                <w14:textFill>
                  <w14:solidFill>
                    <w14:schemeClr w14:val="tx1"/>
                  </w14:solidFill>
                </w14:textFill>
              </w:rPr>
              <w:t>E</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0.20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0.80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1.60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0.020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0.010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0.14</w:t>
            </w:r>
          </w:p>
        </w:tc>
        <w:tc>
          <w:tcPr>
            <w:tcW w:w="0" w:type="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0" w:type="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c>
          <w:tcPr>
            <w:tcW w:w="0" w:type="auto"/>
            <w:shd w:val="clear" w:color="auto" w:fill="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Q1300Q</w:t>
            </w:r>
          </w:p>
        </w:tc>
        <w:tc>
          <w:tcPr>
            <w:tcW w:w="0" w:type="auto"/>
            <w:vAlign w:val="center"/>
          </w:tcPr>
          <w:p>
            <w:pPr>
              <w:ind w:left="-105" w:leftChars="-50" w:right="-105" w:rightChars="-50"/>
              <w:jc w:val="center"/>
              <w:rPr>
                <w:kern w:val="0"/>
                <w:sz w:val="18"/>
                <w:szCs w:val="18"/>
              </w:rPr>
            </w:pPr>
            <w:r>
              <w:rPr>
                <w:sz w:val="18"/>
                <w:szCs w:val="18"/>
              </w:rPr>
              <w:t>E</w:t>
            </w:r>
            <w:r>
              <w:rPr>
                <w:rFonts w:hint="eastAsia"/>
                <w:sz w:val="18"/>
                <w:szCs w:val="18"/>
              </w:rPr>
              <w:t>、F</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0.25</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0.50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1.60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0.020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0.010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0.14</w:t>
            </w:r>
          </w:p>
        </w:tc>
        <w:tc>
          <w:tcPr>
            <w:tcW w:w="0" w:type="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0" w:type="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c>
          <w:tcPr>
            <w:tcW w:w="0" w:type="auto"/>
            <w:shd w:val="clear" w:color="auto" w:fill="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0" w:type="auto"/>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Q1400Q</w:t>
            </w:r>
          </w:p>
        </w:tc>
        <w:tc>
          <w:tcPr>
            <w:tcW w:w="0" w:type="auto"/>
            <w:vAlign w:val="center"/>
          </w:tcPr>
          <w:p>
            <w:pPr>
              <w:ind w:left="-105" w:leftChars="-50" w:right="-105" w:rightChars="-50"/>
              <w:jc w:val="center"/>
              <w:rPr>
                <w:kern w:val="0"/>
                <w:sz w:val="18"/>
                <w:szCs w:val="18"/>
              </w:rPr>
            </w:pPr>
            <w:r>
              <w:rPr>
                <w:sz w:val="18"/>
                <w:szCs w:val="18"/>
              </w:rPr>
              <w:t>E</w:t>
            </w:r>
            <w:r>
              <w:rPr>
                <w:rFonts w:hint="eastAsia"/>
                <w:sz w:val="18"/>
                <w:szCs w:val="18"/>
              </w:rPr>
              <w:t>、F</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0.28</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0.50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1.60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0.020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kern w:val="0"/>
                <w:sz w:val="18"/>
                <w:szCs w:val="18"/>
              </w:rPr>
              <w:t>0.010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0.70</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0" w:type="auto"/>
            <w:shd w:val="clear" w:color="auto" w:fill="auto"/>
            <w:vAlign w:val="center"/>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0.14</w:t>
            </w:r>
          </w:p>
        </w:tc>
        <w:tc>
          <w:tcPr>
            <w:tcW w:w="0" w:type="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0" w:type="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c>
          <w:tcPr>
            <w:tcW w:w="0" w:type="auto"/>
            <w:shd w:val="clear" w:color="auto" w:fill="auto"/>
          </w:tcPr>
          <w:p>
            <w:pPr>
              <w:ind w:left="-105" w:leftChars="-50" w:right="-105" w:rightChars="-5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bookmarkEnd w:id="18"/>
    </w:tbl>
    <w:p>
      <w:pPr>
        <w:pStyle w:val="51"/>
        <w:spacing w:beforeLines="0" w:afterLines="0"/>
        <w:jc w:val="both"/>
        <w:rPr>
          <w:rFonts w:ascii="Times New Roman" w:eastAsia="宋体"/>
        </w:rPr>
      </w:pPr>
      <w:r>
        <w:rPr>
          <w:rFonts w:ascii="Times New Roman" w:eastAsia="宋体"/>
        </w:rPr>
        <w:t>为改善力学性能，供方也可添加表2规定以外的其他合金元素。</w:t>
      </w:r>
    </w:p>
    <w:p>
      <w:pPr>
        <w:pStyle w:val="51"/>
        <w:spacing w:beforeLines="0" w:afterLines="0"/>
        <w:jc w:val="both"/>
        <w:rPr>
          <w:rFonts w:ascii="Times New Roman" w:eastAsia="宋体"/>
        </w:rPr>
      </w:pPr>
      <w:r>
        <w:rPr>
          <w:rFonts w:ascii="Times New Roman" w:eastAsia="宋体"/>
        </w:rPr>
        <w:t>钢中Cu为残余元素时，其含量应不大于0.30%，Cu为合金元素时，其含量应不大于0.80%。</w:t>
      </w:r>
    </w:p>
    <w:p>
      <w:pPr>
        <w:pStyle w:val="51"/>
        <w:spacing w:beforeLines="0" w:afterLines="0"/>
        <w:jc w:val="both"/>
        <w:rPr>
          <w:rFonts w:ascii="Times New Roman" w:eastAsia="宋体"/>
        </w:rPr>
      </w:pPr>
      <w:bookmarkStart w:id="19" w:name="_Hlk150932403"/>
      <w:r>
        <w:rPr>
          <w:rFonts w:ascii="Times New Roman" w:eastAsia="宋体"/>
        </w:rPr>
        <w:t>根据需方要求，</w:t>
      </w:r>
      <w:r>
        <w:rPr>
          <w:rFonts w:hint="eastAsia" w:ascii="Times New Roman" w:eastAsia="宋体"/>
        </w:rPr>
        <w:t>经</w:t>
      </w:r>
      <w:r>
        <w:rPr>
          <w:rFonts w:ascii="Times New Roman" w:eastAsia="宋体"/>
        </w:rPr>
        <w:t>供需双方</w:t>
      </w:r>
      <w:r>
        <w:rPr>
          <w:rFonts w:hint="eastAsia" w:ascii="Times New Roman" w:eastAsia="宋体"/>
        </w:rPr>
        <w:t>协商</w:t>
      </w:r>
      <w:r>
        <w:rPr>
          <w:rFonts w:ascii="Times New Roman" w:eastAsia="宋体"/>
        </w:rPr>
        <w:t>，可规定各牌号碳当量，</w:t>
      </w:r>
      <w:r>
        <w:rPr>
          <w:rFonts w:hint="eastAsia" w:ascii="Times New Roman" w:eastAsia="宋体"/>
        </w:rPr>
        <w:t>但碳当量不大于0</w:t>
      </w:r>
      <w:r>
        <w:rPr>
          <w:rFonts w:ascii="Times New Roman" w:eastAsia="宋体"/>
        </w:rPr>
        <w:t>.12%</w:t>
      </w:r>
      <w:r>
        <w:rPr>
          <w:rFonts w:hint="eastAsia" w:ascii="Times New Roman" w:eastAsia="宋体"/>
        </w:rPr>
        <w:t>。</w:t>
      </w:r>
      <w:r>
        <w:rPr>
          <w:rFonts w:ascii="Times New Roman" w:eastAsia="宋体"/>
        </w:rPr>
        <w:t>碳当量（CEV）按式（1）计算</w:t>
      </w:r>
      <w:bookmarkEnd w:id="19"/>
      <w:r>
        <w:rPr>
          <w:rFonts w:ascii="Times New Roman" w:eastAsia="宋体"/>
        </w:rPr>
        <w:t>。</w:t>
      </w:r>
    </w:p>
    <w:p>
      <w:pPr>
        <w:pStyle w:val="23"/>
        <w:spacing w:before="156" w:beforeLines="50" w:after="156" w:afterLines="50"/>
        <w:jc w:val="center"/>
        <w:rPr>
          <w:rFonts w:ascii="Times New Roman"/>
        </w:rPr>
      </w:pPr>
      <w:r>
        <w:rPr>
          <w:rFonts w:ascii="Times New Roman"/>
        </w:rPr>
        <w:t>CEV=C+Mn/6+（Cr+Mo+V）/5+（Cu+Ni）/15………………………（1）</w:t>
      </w:r>
    </w:p>
    <w:p>
      <w:pPr>
        <w:pStyle w:val="51"/>
        <w:spacing w:beforeLines="0" w:afterLines="0"/>
        <w:jc w:val="both"/>
        <w:rPr>
          <w:rFonts w:ascii="Times New Roman" w:eastAsia="宋体"/>
        </w:rPr>
      </w:pPr>
      <w:bookmarkStart w:id="20" w:name="_Hlk150932435"/>
      <w:r>
        <w:rPr>
          <w:rFonts w:hint="eastAsia" w:ascii="Times New Roman" w:eastAsia="宋体"/>
        </w:rPr>
        <w:t>根据需方要求，经供需双方协商，可规定各牌号焊接裂纹敏感性指数。</w:t>
      </w:r>
    </w:p>
    <w:p>
      <w:pPr>
        <w:pStyle w:val="51"/>
        <w:spacing w:beforeLines="0" w:afterLines="0"/>
        <w:jc w:val="both"/>
        <w:rPr>
          <w:rFonts w:ascii="Times New Roman" w:eastAsia="宋体"/>
        </w:rPr>
      </w:pPr>
      <w:r>
        <w:rPr>
          <w:rFonts w:ascii="Times New Roman" w:eastAsia="宋体"/>
        </w:rPr>
        <w:t>钢板的成品化学成分允许偏差应符合GB/T 222的规定</w:t>
      </w:r>
      <w:bookmarkEnd w:id="20"/>
      <w:r>
        <w:rPr>
          <w:rFonts w:ascii="Times New Roman" w:eastAsia="宋体"/>
        </w:rPr>
        <w:t>。</w:t>
      </w:r>
    </w:p>
    <w:p>
      <w:pPr>
        <w:pStyle w:val="48"/>
        <w:spacing w:before="156" w:after="156"/>
        <w:ind w:left="0"/>
        <w:jc w:val="both"/>
        <w:rPr>
          <w:rFonts w:ascii="Times New Roman"/>
        </w:rPr>
      </w:pPr>
      <w:r>
        <w:rPr>
          <w:rFonts w:ascii="Times New Roman"/>
        </w:rPr>
        <w:t>冶炼方法</w:t>
      </w:r>
    </w:p>
    <w:p>
      <w:pPr>
        <w:pStyle w:val="23"/>
        <w:spacing w:before="156" w:beforeLines="50" w:after="156" w:afterLines="50"/>
        <w:rPr>
          <w:rFonts w:ascii="Times New Roman"/>
        </w:rPr>
      </w:pPr>
      <w:bookmarkStart w:id="21" w:name="_Hlk150932489"/>
      <w:r>
        <w:rPr>
          <w:rFonts w:ascii="Times New Roman"/>
        </w:rPr>
        <w:t>钢板由转炉或电炉冶炼，并应进行炉外精炼</w:t>
      </w:r>
      <w:bookmarkEnd w:id="21"/>
      <w:r>
        <w:rPr>
          <w:rFonts w:ascii="Times New Roman"/>
        </w:rPr>
        <w:t>。</w:t>
      </w:r>
    </w:p>
    <w:p>
      <w:pPr>
        <w:pStyle w:val="48"/>
        <w:spacing w:before="156" w:after="156"/>
        <w:ind w:left="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交货状态</w:t>
      </w:r>
    </w:p>
    <w:p>
      <w:pPr>
        <w:pStyle w:val="23"/>
        <w:rPr>
          <w:rFonts w:ascii="Times New Roman"/>
        </w:rPr>
      </w:pPr>
      <w:bookmarkStart w:id="22" w:name="_Hlk150932498"/>
      <w:r>
        <w:rPr>
          <w:rFonts w:ascii="Times New Roman"/>
        </w:rPr>
        <w:t>钢板以淬火+回火、或热机械轧制（TMCP）+回火状态交货</w:t>
      </w:r>
      <w:bookmarkEnd w:id="22"/>
      <w:r>
        <w:rPr>
          <w:rFonts w:ascii="Times New Roman"/>
        </w:rPr>
        <w:t>。</w:t>
      </w:r>
    </w:p>
    <w:p>
      <w:pPr>
        <w:pStyle w:val="48"/>
        <w:spacing w:before="156" w:after="156"/>
        <w:ind w:left="0"/>
        <w:jc w:val="both"/>
        <w:rPr>
          <w:rFonts w:ascii="Times New Roman"/>
        </w:rPr>
      </w:pPr>
      <w:r>
        <w:rPr>
          <w:rFonts w:ascii="Times New Roman"/>
        </w:rPr>
        <w:t>力学性能</w:t>
      </w:r>
      <w:r>
        <w:rPr>
          <w:rFonts w:hint="eastAsia" w:ascii="Times New Roman"/>
        </w:rPr>
        <w:t>和工艺性能</w:t>
      </w:r>
    </w:p>
    <w:p>
      <w:pPr>
        <w:pStyle w:val="51"/>
        <w:spacing w:before="156" w:after="156"/>
        <w:jc w:val="both"/>
        <w:rPr>
          <w:rFonts w:ascii="Times New Roman" w:eastAsia="宋体"/>
        </w:rPr>
      </w:pPr>
      <w:r>
        <w:rPr>
          <w:rFonts w:hint="eastAsia" w:ascii="Times New Roman" w:eastAsia="宋体"/>
        </w:rPr>
        <w:t>钢板的力学性和工艺性能能应符合表3的规定。</w:t>
      </w:r>
    </w:p>
    <w:p>
      <w:pPr>
        <w:pStyle w:val="78"/>
        <w:numPr>
          <w:ilvl w:val="0"/>
          <w:numId w:val="0"/>
        </w:numPr>
        <w:spacing w:before="156" w:after="156"/>
        <w:rPr>
          <w:rFonts w:ascii="Times New Roman"/>
        </w:rPr>
      </w:pPr>
    </w:p>
    <w:p>
      <w:pPr>
        <w:pStyle w:val="78"/>
        <w:numPr>
          <w:ilvl w:val="0"/>
          <w:numId w:val="0"/>
        </w:numPr>
        <w:spacing w:before="156" w:after="156"/>
        <w:rPr>
          <w:rFonts w:ascii="Times New Roman"/>
        </w:rPr>
      </w:pPr>
    </w:p>
    <w:p>
      <w:pPr>
        <w:pStyle w:val="78"/>
        <w:numPr>
          <w:ilvl w:val="0"/>
          <w:numId w:val="0"/>
        </w:numPr>
        <w:spacing w:before="156" w:after="156"/>
        <w:rPr>
          <w:rFonts w:ascii="Times New Roman"/>
        </w:rPr>
      </w:pPr>
    </w:p>
    <w:p>
      <w:pPr>
        <w:pStyle w:val="78"/>
        <w:numPr>
          <w:ilvl w:val="0"/>
          <w:numId w:val="0"/>
        </w:numPr>
        <w:spacing w:before="156" w:after="156"/>
        <w:rPr>
          <w:rFonts w:ascii="Times New Roman"/>
        </w:rPr>
      </w:pPr>
    </w:p>
    <w:p>
      <w:pPr>
        <w:pStyle w:val="78"/>
        <w:numPr>
          <w:ilvl w:val="0"/>
          <w:numId w:val="0"/>
        </w:numPr>
        <w:spacing w:before="156" w:after="156"/>
        <w:rPr>
          <w:rFonts w:ascii="Times New Roman"/>
        </w:rPr>
      </w:pPr>
      <w:r>
        <w:rPr>
          <w:rFonts w:ascii="Times New Roman"/>
        </w:rPr>
        <w:t>表3　</w:t>
      </w:r>
      <w:r>
        <w:rPr>
          <w:rFonts w:hint="eastAsia" w:ascii="Times New Roman"/>
        </w:rPr>
        <w:t>力学性能</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0"/>
        <w:gridCol w:w="828"/>
        <w:gridCol w:w="1280"/>
        <w:gridCol w:w="1184"/>
        <w:gridCol w:w="955"/>
        <w:gridCol w:w="1016"/>
        <w:gridCol w:w="1035"/>
        <w:gridCol w:w="1036"/>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Merge w:val="restart"/>
            <w:vAlign w:val="center"/>
          </w:tcPr>
          <w:p>
            <w:pPr>
              <w:pStyle w:val="23"/>
              <w:numPr>
                <w:ilvl w:val="0"/>
                <w:numId w:val="0"/>
              </w:numPr>
              <w:ind w:left="544"/>
              <w:jc w:val="center"/>
              <w:rPr>
                <w:rFonts w:ascii="Times New Roman"/>
                <w:sz w:val="18"/>
                <w:szCs w:val="18"/>
              </w:rPr>
            </w:pPr>
            <w:r>
              <w:rPr>
                <w:rFonts w:ascii="Times New Roman"/>
                <w:sz w:val="18"/>
                <w:szCs w:val="18"/>
              </w:rPr>
              <w:t>牌号</w:t>
            </w:r>
          </w:p>
        </w:tc>
        <w:tc>
          <w:tcPr>
            <w:tcW w:w="658" w:type="dxa"/>
            <w:vMerge w:val="restart"/>
            <w:vAlign w:val="center"/>
          </w:tcPr>
          <w:p>
            <w:pPr>
              <w:pStyle w:val="23"/>
              <w:numPr>
                <w:ilvl w:val="0"/>
                <w:numId w:val="0"/>
              </w:numPr>
              <w:ind w:left="544"/>
              <w:jc w:val="center"/>
              <w:rPr>
                <w:rFonts w:ascii="Times New Roman"/>
                <w:sz w:val="18"/>
                <w:szCs w:val="18"/>
              </w:rPr>
            </w:pPr>
            <w:r>
              <w:rPr>
                <w:rFonts w:ascii="Times New Roman"/>
                <w:sz w:val="18"/>
                <w:szCs w:val="18"/>
              </w:rPr>
              <w:t>质量等级</w:t>
            </w:r>
          </w:p>
        </w:tc>
        <w:tc>
          <w:tcPr>
            <w:tcW w:w="3774" w:type="dxa"/>
            <w:gridSpan w:val="3"/>
            <w:vAlign w:val="center"/>
          </w:tcPr>
          <w:p>
            <w:pPr>
              <w:pStyle w:val="23"/>
              <w:numPr>
                <w:ilvl w:val="0"/>
                <w:numId w:val="0"/>
              </w:numPr>
              <w:ind w:left="544"/>
              <w:jc w:val="center"/>
              <w:rPr>
                <w:rFonts w:ascii="Times New Roman"/>
                <w:sz w:val="18"/>
                <w:szCs w:val="18"/>
              </w:rPr>
            </w:pPr>
            <w:r>
              <w:rPr>
                <w:rFonts w:ascii="Times New Roman"/>
                <w:sz w:val="18"/>
                <w:szCs w:val="18"/>
              </w:rPr>
              <w:t>拉伸试验</w:t>
            </w:r>
          </w:p>
        </w:tc>
        <w:tc>
          <w:tcPr>
            <w:tcW w:w="1531" w:type="dxa"/>
            <w:vMerge w:val="restart"/>
            <w:vAlign w:val="center"/>
          </w:tcPr>
          <w:p>
            <w:pPr>
              <w:pStyle w:val="23"/>
              <w:numPr>
                <w:ilvl w:val="0"/>
                <w:numId w:val="0"/>
              </w:numPr>
              <w:tabs>
                <w:tab w:val="left" w:pos="720"/>
              </w:tabs>
              <w:ind w:left="544"/>
              <w:rPr>
                <w:rFonts w:ascii="Times New Roman"/>
                <w:color w:val="FF0000"/>
                <w:sz w:val="18"/>
                <w:szCs w:val="18"/>
              </w:rPr>
            </w:pPr>
            <w:r>
              <w:rPr>
                <w:rFonts w:ascii="Times New Roman"/>
                <w:color w:val="FF0000"/>
                <w:sz w:val="18"/>
                <w:szCs w:val="18"/>
              </w:rPr>
              <w:t>180°弯曲试验</w:t>
            </w:r>
          </w:p>
          <w:p>
            <w:pPr>
              <w:pStyle w:val="23"/>
              <w:numPr>
                <w:ilvl w:val="0"/>
                <w:numId w:val="0"/>
              </w:numPr>
              <w:tabs>
                <w:tab w:val="left" w:pos="720"/>
              </w:tabs>
              <w:ind w:left="544"/>
              <w:rPr>
                <w:rFonts w:ascii="Times New Roman"/>
                <w:color w:val="FF0000"/>
                <w:sz w:val="18"/>
                <w:szCs w:val="18"/>
              </w:rPr>
            </w:pPr>
            <w:r>
              <w:rPr>
                <w:rFonts w:ascii="Times New Roman"/>
                <w:color w:val="FF0000"/>
                <w:sz w:val="18"/>
                <w:szCs w:val="18"/>
              </w:rPr>
              <w:t>d=弯曲压头直径</w:t>
            </w:r>
          </w:p>
          <w:p>
            <w:pPr>
              <w:pStyle w:val="23"/>
              <w:numPr>
                <w:ilvl w:val="0"/>
                <w:numId w:val="0"/>
              </w:numPr>
              <w:tabs>
                <w:tab w:val="left" w:pos="720"/>
              </w:tabs>
              <w:ind w:left="544"/>
              <w:rPr>
                <w:rFonts w:ascii="Times New Roman"/>
                <w:color w:val="FF0000"/>
                <w:sz w:val="18"/>
                <w:szCs w:val="18"/>
              </w:rPr>
            </w:pPr>
            <w:r>
              <w:rPr>
                <w:rFonts w:ascii="Times New Roman"/>
                <w:color w:val="FF0000"/>
                <w:sz w:val="18"/>
                <w:szCs w:val="18"/>
              </w:rPr>
              <w:t>a=钢材的厚度</w:t>
            </w:r>
          </w:p>
        </w:tc>
        <w:tc>
          <w:tcPr>
            <w:tcW w:w="2545" w:type="dxa"/>
            <w:gridSpan w:val="3"/>
            <w:vAlign w:val="center"/>
          </w:tcPr>
          <w:p>
            <w:pPr>
              <w:pStyle w:val="23"/>
              <w:numPr>
                <w:ilvl w:val="0"/>
                <w:numId w:val="0"/>
              </w:numPr>
              <w:ind w:left="544"/>
              <w:jc w:val="center"/>
              <w:rPr>
                <w:rFonts w:ascii="Times New Roman"/>
                <w:sz w:val="18"/>
                <w:szCs w:val="18"/>
              </w:rPr>
            </w:pPr>
            <w:r>
              <w:rPr>
                <w:rFonts w:ascii="Times New Roman"/>
                <w:sz w:val="18"/>
                <w:szCs w:val="18"/>
              </w:rPr>
              <w:t>夏比（V型缺口）冲击试验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836" w:type="dxa"/>
            <w:vMerge w:val="continue"/>
            <w:vAlign w:val="center"/>
          </w:tcPr>
          <w:p>
            <w:pPr>
              <w:pStyle w:val="23"/>
              <w:numPr>
                <w:ilvl w:val="0"/>
                <w:numId w:val="0"/>
              </w:numPr>
              <w:ind w:left="544"/>
              <w:jc w:val="center"/>
              <w:rPr>
                <w:rFonts w:ascii="Times New Roman"/>
                <w:sz w:val="18"/>
                <w:szCs w:val="18"/>
              </w:rPr>
            </w:pPr>
          </w:p>
        </w:tc>
        <w:tc>
          <w:tcPr>
            <w:tcW w:w="658" w:type="dxa"/>
            <w:vMerge w:val="continue"/>
            <w:vAlign w:val="center"/>
          </w:tcPr>
          <w:p>
            <w:pPr>
              <w:pStyle w:val="23"/>
              <w:numPr>
                <w:ilvl w:val="0"/>
                <w:numId w:val="0"/>
              </w:numPr>
              <w:ind w:left="544"/>
              <w:jc w:val="center"/>
              <w:rPr>
                <w:rFonts w:ascii="Times New Roman"/>
                <w:sz w:val="18"/>
                <w:szCs w:val="18"/>
              </w:rPr>
            </w:pPr>
          </w:p>
        </w:tc>
        <w:tc>
          <w:tcPr>
            <w:tcW w:w="1559" w:type="dxa"/>
            <w:vMerge w:val="restart"/>
            <w:vAlign w:val="center"/>
          </w:tcPr>
          <w:p>
            <w:pPr>
              <w:pStyle w:val="23"/>
              <w:numPr>
                <w:ilvl w:val="0"/>
                <w:numId w:val="0"/>
              </w:numPr>
              <w:ind w:left="544"/>
              <w:jc w:val="center"/>
              <w:rPr>
                <w:rFonts w:ascii="Times New Roman"/>
                <w:sz w:val="18"/>
                <w:szCs w:val="18"/>
              </w:rPr>
            </w:pPr>
            <w:r>
              <w:rPr>
                <w:rFonts w:ascii="Times New Roman"/>
                <w:sz w:val="18"/>
                <w:szCs w:val="18"/>
              </w:rPr>
              <w:t>规定塑性延伸强度R</w:t>
            </w:r>
            <w:r>
              <w:rPr>
                <w:rFonts w:ascii="Times New Roman"/>
                <w:sz w:val="18"/>
                <w:szCs w:val="18"/>
                <w:vertAlign w:val="subscript"/>
              </w:rPr>
              <w:t>p0.2</w:t>
            </w:r>
            <w:r>
              <w:rPr>
                <w:rFonts w:ascii="Times New Roman"/>
                <w:sz w:val="18"/>
                <w:szCs w:val="18"/>
              </w:rPr>
              <w:t>/MPa</w:t>
            </w:r>
          </w:p>
          <w:p>
            <w:pPr>
              <w:pStyle w:val="23"/>
              <w:numPr>
                <w:ilvl w:val="0"/>
                <w:numId w:val="0"/>
              </w:numPr>
              <w:ind w:left="544"/>
              <w:jc w:val="center"/>
              <w:rPr>
                <w:rFonts w:ascii="Times New Roman"/>
                <w:sz w:val="18"/>
                <w:szCs w:val="18"/>
              </w:rPr>
            </w:pPr>
            <w:r>
              <w:rPr>
                <w:rFonts w:ascii="Times New Roman"/>
                <w:sz w:val="18"/>
                <w:szCs w:val="18"/>
              </w:rPr>
              <w:t>不小于</w:t>
            </w:r>
          </w:p>
        </w:tc>
        <w:tc>
          <w:tcPr>
            <w:tcW w:w="1260" w:type="dxa"/>
            <w:vAlign w:val="center"/>
          </w:tcPr>
          <w:p>
            <w:pPr>
              <w:pStyle w:val="23"/>
              <w:numPr>
                <w:ilvl w:val="0"/>
                <w:numId w:val="0"/>
              </w:numPr>
              <w:ind w:left="544"/>
              <w:jc w:val="center"/>
              <w:rPr>
                <w:rFonts w:ascii="Times New Roman"/>
                <w:sz w:val="18"/>
                <w:szCs w:val="18"/>
              </w:rPr>
            </w:pPr>
            <w:r>
              <w:rPr>
                <w:rFonts w:ascii="Times New Roman"/>
                <w:sz w:val="18"/>
                <w:szCs w:val="18"/>
              </w:rPr>
              <w:t>抗拉强度R</w:t>
            </w:r>
            <w:r>
              <w:rPr>
                <w:rFonts w:ascii="Times New Roman"/>
                <w:sz w:val="18"/>
                <w:szCs w:val="18"/>
                <w:vertAlign w:val="subscript"/>
              </w:rPr>
              <w:t>m</w:t>
            </w:r>
            <w:r>
              <w:rPr>
                <w:rFonts w:ascii="Times New Roman"/>
                <w:sz w:val="18"/>
                <w:szCs w:val="18"/>
              </w:rPr>
              <w:t>/MPa</w:t>
            </w:r>
          </w:p>
        </w:tc>
        <w:tc>
          <w:tcPr>
            <w:tcW w:w="955" w:type="dxa"/>
            <w:vMerge w:val="restart"/>
            <w:vAlign w:val="center"/>
          </w:tcPr>
          <w:p>
            <w:pPr>
              <w:pStyle w:val="23"/>
              <w:numPr>
                <w:ilvl w:val="0"/>
                <w:numId w:val="0"/>
              </w:numPr>
              <w:ind w:left="544"/>
              <w:jc w:val="center"/>
              <w:rPr>
                <w:rFonts w:ascii="Times New Roman"/>
                <w:sz w:val="18"/>
                <w:szCs w:val="18"/>
              </w:rPr>
            </w:pPr>
            <w:r>
              <w:rPr>
                <w:rFonts w:ascii="Times New Roman"/>
                <w:sz w:val="18"/>
                <w:szCs w:val="18"/>
              </w:rPr>
              <w:t>断后伸长率A/%</w:t>
            </w:r>
          </w:p>
          <w:p>
            <w:pPr>
              <w:pStyle w:val="23"/>
              <w:numPr>
                <w:ilvl w:val="0"/>
                <w:numId w:val="0"/>
              </w:numPr>
              <w:ind w:left="544"/>
              <w:jc w:val="center"/>
              <w:rPr>
                <w:rFonts w:ascii="Times New Roman"/>
                <w:sz w:val="18"/>
                <w:szCs w:val="18"/>
              </w:rPr>
            </w:pPr>
            <w:r>
              <w:rPr>
                <w:rFonts w:ascii="Times New Roman"/>
                <w:sz w:val="18"/>
                <w:szCs w:val="18"/>
              </w:rPr>
              <w:t>不小于</w:t>
            </w:r>
          </w:p>
        </w:tc>
        <w:tc>
          <w:tcPr>
            <w:tcW w:w="1531" w:type="dxa"/>
            <w:vMerge w:val="continue"/>
          </w:tcPr>
          <w:p>
            <w:pPr>
              <w:pStyle w:val="23"/>
              <w:numPr>
                <w:ilvl w:val="0"/>
                <w:numId w:val="0"/>
              </w:numPr>
              <w:tabs>
                <w:tab w:val="left" w:pos="720"/>
              </w:tabs>
              <w:ind w:left="544"/>
              <w:jc w:val="center"/>
              <w:rPr>
                <w:rFonts w:ascii="Times New Roman"/>
                <w:color w:val="FF0000"/>
                <w:sz w:val="18"/>
                <w:szCs w:val="18"/>
              </w:rPr>
            </w:pPr>
          </w:p>
        </w:tc>
        <w:tc>
          <w:tcPr>
            <w:tcW w:w="2545" w:type="dxa"/>
            <w:gridSpan w:val="3"/>
            <w:vAlign w:val="center"/>
          </w:tcPr>
          <w:p>
            <w:pPr>
              <w:pStyle w:val="23"/>
              <w:numPr>
                <w:ilvl w:val="0"/>
                <w:numId w:val="0"/>
              </w:numPr>
              <w:ind w:left="544"/>
              <w:jc w:val="center"/>
              <w:rPr>
                <w:rFonts w:ascii="Times New Roman"/>
                <w:sz w:val="18"/>
                <w:szCs w:val="18"/>
              </w:rPr>
            </w:pPr>
            <w:r>
              <w:rPr>
                <w:rFonts w:ascii="Times New Roman"/>
                <w:sz w:val="18"/>
                <w:szCs w:val="18"/>
              </w:rPr>
              <w:t>冲击吸收能量/（KV</w:t>
            </w:r>
            <w:r>
              <w:rPr>
                <w:rFonts w:ascii="Times New Roman"/>
                <w:sz w:val="18"/>
                <w:szCs w:val="18"/>
                <w:vertAlign w:val="subscript"/>
              </w:rPr>
              <w:t>2</w:t>
            </w:r>
            <w:r>
              <w:rPr>
                <w:rFonts w:ascii="Times New Roman"/>
                <w:sz w:val="18"/>
                <w:szCs w:val="18"/>
              </w:rPr>
              <w: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836" w:type="dxa"/>
            <w:vMerge w:val="continue"/>
            <w:vAlign w:val="center"/>
          </w:tcPr>
          <w:p>
            <w:pPr>
              <w:pStyle w:val="23"/>
              <w:numPr>
                <w:numId w:val="1"/>
              </w:numPr>
              <w:tabs>
                <w:tab w:val="left" w:pos="720"/>
              </w:tabs>
              <w:ind w:left="544" w:firstLine="0" w:firstLineChars="0"/>
              <w:jc w:val="center"/>
              <w:rPr>
                <w:rFonts w:ascii="Times New Roman"/>
                <w:sz w:val="18"/>
                <w:szCs w:val="18"/>
              </w:rPr>
            </w:pPr>
          </w:p>
        </w:tc>
        <w:tc>
          <w:tcPr>
            <w:tcW w:w="658" w:type="dxa"/>
            <w:vMerge w:val="continue"/>
            <w:vAlign w:val="center"/>
          </w:tcPr>
          <w:p>
            <w:pPr>
              <w:pStyle w:val="23"/>
              <w:numPr>
                <w:ilvl w:val="0"/>
                <w:numId w:val="0"/>
              </w:numPr>
              <w:ind w:left="544"/>
              <w:jc w:val="center"/>
              <w:rPr>
                <w:rFonts w:ascii="Times New Roman"/>
                <w:sz w:val="18"/>
                <w:szCs w:val="18"/>
              </w:rPr>
            </w:pPr>
          </w:p>
        </w:tc>
        <w:tc>
          <w:tcPr>
            <w:tcW w:w="1559" w:type="dxa"/>
            <w:vMerge w:val="continue"/>
            <w:vAlign w:val="center"/>
          </w:tcPr>
          <w:p>
            <w:pPr>
              <w:pStyle w:val="23"/>
              <w:numPr>
                <w:numId w:val="1"/>
              </w:numPr>
              <w:tabs>
                <w:tab w:val="left" w:pos="720"/>
              </w:tabs>
              <w:ind w:left="544" w:firstLine="0" w:firstLineChars="0"/>
              <w:jc w:val="center"/>
              <w:rPr>
                <w:rFonts w:ascii="Times New Roman"/>
                <w:sz w:val="18"/>
                <w:szCs w:val="18"/>
              </w:rPr>
            </w:pPr>
          </w:p>
        </w:tc>
        <w:tc>
          <w:tcPr>
            <w:tcW w:w="1260" w:type="dxa"/>
            <w:vAlign w:val="center"/>
          </w:tcPr>
          <w:p>
            <w:pPr>
              <w:pStyle w:val="23"/>
              <w:numPr>
                <w:ilvl w:val="0"/>
                <w:numId w:val="0"/>
              </w:numPr>
              <w:ind w:left="544"/>
              <w:jc w:val="center"/>
              <w:rPr>
                <w:rFonts w:ascii="Times New Roman"/>
                <w:sz w:val="18"/>
                <w:szCs w:val="18"/>
              </w:rPr>
            </w:pPr>
            <w:r>
              <w:rPr>
                <w:rFonts w:ascii="Times New Roman"/>
                <w:sz w:val="18"/>
                <w:szCs w:val="18"/>
              </w:rPr>
              <w:t>厚度/ mm</w:t>
            </w:r>
          </w:p>
        </w:tc>
        <w:tc>
          <w:tcPr>
            <w:tcW w:w="955" w:type="dxa"/>
            <w:vMerge w:val="continue"/>
            <w:vAlign w:val="center"/>
          </w:tcPr>
          <w:p>
            <w:pPr>
              <w:pStyle w:val="23"/>
              <w:numPr>
                <w:numId w:val="1"/>
              </w:numPr>
              <w:tabs>
                <w:tab w:val="left" w:pos="720"/>
              </w:tabs>
              <w:ind w:left="544" w:firstLine="0" w:firstLineChars="0"/>
              <w:jc w:val="center"/>
              <w:rPr>
                <w:rFonts w:ascii="Times New Roman"/>
                <w:sz w:val="18"/>
                <w:szCs w:val="18"/>
              </w:rPr>
            </w:pPr>
          </w:p>
        </w:tc>
        <w:tc>
          <w:tcPr>
            <w:tcW w:w="1531" w:type="dxa"/>
            <w:vMerge w:val="continue"/>
          </w:tcPr>
          <w:p>
            <w:pPr>
              <w:pStyle w:val="23"/>
              <w:numPr>
                <w:ilvl w:val="0"/>
                <w:numId w:val="0"/>
              </w:numPr>
              <w:tabs>
                <w:tab w:val="left" w:pos="720"/>
              </w:tabs>
              <w:ind w:left="544"/>
              <w:jc w:val="center"/>
              <w:rPr>
                <w:rFonts w:ascii="Times New Roman"/>
                <w:color w:val="FF0000"/>
                <w:sz w:val="18"/>
                <w:szCs w:val="18"/>
              </w:rPr>
            </w:pPr>
          </w:p>
        </w:tc>
        <w:tc>
          <w:tcPr>
            <w:tcW w:w="2545" w:type="dxa"/>
            <w:gridSpan w:val="3"/>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试验温度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836" w:type="dxa"/>
            <w:vMerge w:val="continue"/>
            <w:vAlign w:val="center"/>
          </w:tcPr>
          <w:p>
            <w:pPr>
              <w:pStyle w:val="23"/>
              <w:numPr>
                <w:numId w:val="1"/>
              </w:numPr>
              <w:tabs>
                <w:tab w:val="left" w:pos="720"/>
              </w:tabs>
              <w:ind w:left="544" w:firstLine="0" w:firstLineChars="0"/>
              <w:jc w:val="center"/>
              <w:rPr>
                <w:rFonts w:ascii="Times New Roman"/>
                <w:sz w:val="18"/>
                <w:szCs w:val="18"/>
              </w:rPr>
            </w:pPr>
          </w:p>
        </w:tc>
        <w:tc>
          <w:tcPr>
            <w:tcW w:w="658" w:type="dxa"/>
            <w:vMerge w:val="continue"/>
            <w:vAlign w:val="center"/>
          </w:tcPr>
          <w:p>
            <w:pPr>
              <w:pStyle w:val="23"/>
              <w:numPr>
                <w:ilvl w:val="0"/>
                <w:numId w:val="0"/>
              </w:numPr>
              <w:ind w:left="544"/>
              <w:jc w:val="center"/>
              <w:rPr>
                <w:rFonts w:ascii="Times New Roman"/>
                <w:sz w:val="18"/>
                <w:szCs w:val="18"/>
              </w:rPr>
            </w:pPr>
          </w:p>
        </w:tc>
        <w:tc>
          <w:tcPr>
            <w:tcW w:w="1559" w:type="dxa"/>
            <w:vMerge w:val="continue"/>
            <w:vAlign w:val="center"/>
          </w:tcPr>
          <w:p>
            <w:pPr>
              <w:pStyle w:val="23"/>
              <w:numPr>
                <w:numId w:val="1"/>
              </w:numPr>
              <w:tabs>
                <w:tab w:val="left" w:pos="720"/>
              </w:tabs>
              <w:ind w:left="544" w:firstLine="0" w:firstLineChars="0"/>
              <w:jc w:val="center"/>
              <w:rPr>
                <w:rFonts w:ascii="Times New Roman"/>
                <w:sz w:val="18"/>
                <w:szCs w:val="18"/>
              </w:rPr>
            </w:pPr>
          </w:p>
        </w:tc>
        <w:tc>
          <w:tcPr>
            <w:tcW w:w="1260" w:type="dxa"/>
            <w:vAlign w:val="center"/>
          </w:tcPr>
          <w:p>
            <w:pPr>
              <w:pStyle w:val="23"/>
              <w:numPr>
                <w:ilvl w:val="0"/>
                <w:numId w:val="0"/>
              </w:numPr>
              <w:ind w:left="544"/>
              <w:jc w:val="center"/>
              <w:rPr>
                <w:rFonts w:ascii="Times New Roman"/>
                <w:sz w:val="18"/>
                <w:szCs w:val="18"/>
              </w:rPr>
            </w:pPr>
            <w:r>
              <w:rPr>
                <w:rFonts w:ascii="Times New Roman"/>
                <w:sz w:val="18"/>
                <w:szCs w:val="18"/>
              </w:rPr>
              <w:t>3~16</w:t>
            </w:r>
          </w:p>
        </w:tc>
        <w:tc>
          <w:tcPr>
            <w:tcW w:w="955" w:type="dxa"/>
            <w:vMerge w:val="continue"/>
            <w:vAlign w:val="center"/>
          </w:tcPr>
          <w:p>
            <w:pPr>
              <w:pStyle w:val="23"/>
              <w:numPr>
                <w:numId w:val="1"/>
              </w:numPr>
              <w:tabs>
                <w:tab w:val="left" w:pos="720"/>
              </w:tabs>
              <w:ind w:left="544" w:firstLine="0" w:firstLineChars="0"/>
              <w:jc w:val="center"/>
              <w:rPr>
                <w:rFonts w:ascii="Times New Roman"/>
                <w:sz w:val="18"/>
                <w:szCs w:val="18"/>
              </w:rPr>
            </w:pPr>
          </w:p>
        </w:tc>
        <w:tc>
          <w:tcPr>
            <w:tcW w:w="1531" w:type="dxa"/>
            <w:vMerge w:val="continue"/>
          </w:tcPr>
          <w:p>
            <w:pPr>
              <w:pStyle w:val="23"/>
              <w:numPr>
                <w:ilvl w:val="0"/>
                <w:numId w:val="0"/>
              </w:numPr>
              <w:tabs>
                <w:tab w:val="left" w:pos="720"/>
              </w:tabs>
              <w:ind w:left="544"/>
              <w:jc w:val="center"/>
              <w:rPr>
                <w:rFonts w:ascii="Times New Roman"/>
                <w:color w:val="FF0000"/>
                <w:sz w:val="18"/>
                <w:szCs w:val="18"/>
              </w:rPr>
            </w:pPr>
          </w:p>
        </w:tc>
        <w:tc>
          <w:tcPr>
            <w:tcW w:w="666"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sz w:val="18"/>
                <w:szCs w:val="18"/>
              </w:rPr>
              <w:t>-20℃</w:t>
            </w:r>
          </w:p>
        </w:tc>
        <w:tc>
          <w:tcPr>
            <w:tcW w:w="939"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sz w:val="18"/>
                <w:szCs w:val="18"/>
              </w:rPr>
              <w:t>-40℃</w:t>
            </w:r>
          </w:p>
        </w:tc>
        <w:tc>
          <w:tcPr>
            <w:tcW w:w="940"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836" w:type="dxa"/>
            <w:vMerge w:val="restart"/>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Q600M</w:t>
            </w:r>
          </w:p>
        </w:tc>
        <w:tc>
          <w:tcPr>
            <w:tcW w:w="658"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D</w:t>
            </w:r>
          </w:p>
        </w:tc>
        <w:tc>
          <w:tcPr>
            <w:tcW w:w="1559"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620</w:t>
            </w:r>
          </w:p>
        </w:tc>
        <w:tc>
          <w:tcPr>
            <w:tcW w:w="1260"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690～850</w:t>
            </w:r>
          </w:p>
        </w:tc>
        <w:tc>
          <w:tcPr>
            <w:tcW w:w="955"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15</w:t>
            </w:r>
          </w:p>
        </w:tc>
        <w:tc>
          <w:tcPr>
            <w:tcW w:w="1531" w:type="dxa"/>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=2</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4</w:t>
            </w:r>
            <w:r>
              <w:rPr>
                <w:rFonts w:ascii="Times New Roman"/>
                <w:sz w:val="18"/>
                <w:szCs w:val="18"/>
              </w:rPr>
              <w:t>7</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836" w:type="dxa"/>
            <w:vMerge w:val="continue"/>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p>
        </w:tc>
        <w:tc>
          <w:tcPr>
            <w:tcW w:w="658"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E</w:t>
            </w:r>
          </w:p>
        </w:tc>
        <w:tc>
          <w:tcPr>
            <w:tcW w:w="1559"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620</w:t>
            </w:r>
          </w:p>
        </w:tc>
        <w:tc>
          <w:tcPr>
            <w:tcW w:w="1260"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690～850</w:t>
            </w:r>
          </w:p>
        </w:tc>
        <w:tc>
          <w:tcPr>
            <w:tcW w:w="955"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15</w:t>
            </w:r>
          </w:p>
        </w:tc>
        <w:tc>
          <w:tcPr>
            <w:tcW w:w="1531" w:type="dxa"/>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=2</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2</w:t>
            </w:r>
            <w:r>
              <w:rPr>
                <w:rFonts w:ascii="Times New Roman"/>
                <w:sz w:val="18"/>
                <w:szCs w:val="18"/>
              </w:rPr>
              <w:t>7</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Q600Q</w:t>
            </w:r>
          </w:p>
        </w:tc>
        <w:tc>
          <w:tcPr>
            <w:tcW w:w="658"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E</w:t>
            </w:r>
          </w:p>
        </w:tc>
        <w:tc>
          <w:tcPr>
            <w:tcW w:w="1559"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620</w:t>
            </w:r>
          </w:p>
        </w:tc>
        <w:tc>
          <w:tcPr>
            <w:tcW w:w="1260"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690～850</w:t>
            </w:r>
          </w:p>
        </w:tc>
        <w:tc>
          <w:tcPr>
            <w:tcW w:w="955"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15</w:t>
            </w:r>
          </w:p>
        </w:tc>
        <w:tc>
          <w:tcPr>
            <w:tcW w:w="1531" w:type="dxa"/>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=2</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4</w:t>
            </w:r>
            <w:r>
              <w:rPr>
                <w:rFonts w:ascii="Times New Roman"/>
                <w:sz w:val="18"/>
                <w:szCs w:val="18"/>
              </w:rPr>
              <w:t>7</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Merge w:val="restart"/>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Q700M</w:t>
            </w:r>
          </w:p>
        </w:tc>
        <w:tc>
          <w:tcPr>
            <w:tcW w:w="658"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D</w:t>
            </w:r>
          </w:p>
        </w:tc>
        <w:tc>
          <w:tcPr>
            <w:tcW w:w="1559" w:type="dxa"/>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690</w:t>
            </w:r>
          </w:p>
        </w:tc>
        <w:tc>
          <w:tcPr>
            <w:tcW w:w="1260" w:type="dxa"/>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770～940</w:t>
            </w:r>
          </w:p>
        </w:tc>
        <w:tc>
          <w:tcPr>
            <w:tcW w:w="955" w:type="dxa"/>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14</w:t>
            </w:r>
          </w:p>
        </w:tc>
        <w:tc>
          <w:tcPr>
            <w:tcW w:w="1531" w:type="dxa"/>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=2</w:t>
            </w:r>
            <w:r>
              <w:rPr>
                <w:rFonts w:hint="eastAsia" w:ascii="Times New Roman"/>
                <w:color w:val="FF0000"/>
                <w:sz w:val="18"/>
                <w:szCs w:val="18"/>
              </w:rPr>
              <w:t>a</w:t>
            </w:r>
          </w:p>
        </w:tc>
        <w:tc>
          <w:tcPr>
            <w:tcW w:w="666" w:type="dxa"/>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4</w:t>
            </w:r>
            <w:r>
              <w:rPr>
                <w:rFonts w:ascii="Times New Roman"/>
                <w:sz w:val="18"/>
                <w:szCs w:val="18"/>
              </w:rPr>
              <w:t>7</w:t>
            </w:r>
          </w:p>
        </w:tc>
        <w:tc>
          <w:tcPr>
            <w:tcW w:w="939" w:type="dxa"/>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Merge w:val="continue"/>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p>
        </w:tc>
        <w:tc>
          <w:tcPr>
            <w:tcW w:w="658"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E</w:t>
            </w:r>
          </w:p>
        </w:tc>
        <w:tc>
          <w:tcPr>
            <w:tcW w:w="1559"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690</w:t>
            </w:r>
          </w:p>
        </w:tc>
        <w:tc>
          <w:tcPr>
            <w:tcW w:w="1260"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770～940</w:t>
            </w:r>
          </w:p>
        </w:tc>
        <w:tc>
          <w:tcPr>
            <w:tcW w:w="955"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14</w:t>
            </w:r>
          </w:p>
        </w:tc>
        <w:tc>
          <w:tcPr>
            <w:tcW w:w="1531" w:type="dxa"/>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=2</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2</w:t>
            </w:r>
            <w:r>
              <w:rPr>
                <w:rFonts w:ascii="Times New Roman"/>
                <w:sz w:val="18"/>
                <w:szCs w:val="18"/>
              </w:rPr>
              <w:t>7</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Q700Q</w:t>
            </w:r>
          </w:p>
        </w:tc>
        <w:tc>
          <w:tcPr>
            <w:tcW w:w="658" w:type="dxa"/>
            <w:vAlign w:val="center"/>
          </w:tcPr>
          <w:p>
            <w:pPr>
              <w:pStyle w:val="23"/>
              <w:numPr>
                <w:ilvl w:val="0"/>
                <w:numId w:val="0"/>
              </w:numPr>
              <w:ind w:left="544"/>
              <w:jc w:val="center"/>
              <w:rPr>
                <w:rFonts w:ascii="Times New Roman"/>
                <w:sz w:val="18"/>
                <w:szCs w:val="18"/>
              </w:rPr>
            </w:pPr>
            <w:r>
              <w:rPr>
                <w:rFonts w:ascii="Times New Roman"/>
                <w:sz w:val="18"/>
                <w:szCs w:val="18"/>
              </w:rPr>
              <w:t>E</w:t>
            </w:r>
          </w:p>
        </w:tc>
        <w:tc>
          <w:tcPr>
            <w:tcW w:w="1559"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690</w:t>
            </w:r>
          </w:p>
        </w:tc>
        <w:tc>
          <w:tcPr>
            <w:tcW w:w="1260"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770～940</w:t>
            </w:r>
          </w:p>
        </w:tc>
        <w:tc>
          <w:tcPr>
            <w:tcW w:w="95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14</w:t>
            </w:r>
          </w:p>
        </w:tc>
        <w:tc>
          <w:tcPr>
            <w:tcW w:w="1531" w:type="dxa"/>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=2</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4</w:t>
            </w:r>
            <w:r>
              <w:rPr>
                <w:rFonts w:ascii="Times New Roman"/>
                <w:sz w:val="18"/>
                <w:szCs w:val="18"/>
              </w:rPr>
              <w:t>7</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Align w:val="center"/>
          </w:tcPr>
          <w:p>
            <w:pPr>
              <w:pStyle w:val="23"/>
              <w:numPr>
                <w:ilvl w:val="0"/>
                <w:numId w:val="0"/>
              </w:numPr>
              <w:ind w:left="544"/>
              <w:jc w:val="center"/>
              <w:rPr>
                <w:rFonts w:ascii="Times New Roman"/>
                <w:sz w:val="18"/>
                <w:szCs w:val="18"/>
              </w:rPr>
            </w:pPr>
            <w:r>
              <w:rPr>
                <w:rFonts w:ascii="Times New Roman"/>
                <w:color w:val="000000" w:themeColor="text1"/>
                <w:sz w:val="18"/>
                <w:szCs w:val="18"/>
                <w14:textFill>
                  <w14:solidFill>
                    <w14:schemeClr w14:val="tx1"/>
                  </w14:solidFill>
                </w14:textFill>
              </w:rPr>
              <w:t>Q800M</w:t>
            </w:r>
          </w:p>
        </w:tc>
        <w:tc>
          <w:tcPr>
            <w:tcW w:w="658" w:type="dxa"/>
            <w:vAlign w:val="center"/>
          </w:tcPr>
          <w:p>
            <w:pPr>
              <w:pStyle w:val="23"/>
              <w:numPr>
                <w:ilvl w:val="0"/>
                <w:numId w:val="0"/>
              </w:numPr>
              <w:ind w:left="544"/>
              <w:jc w:val="center"/>
              <w:rPr>
                <w:rFonts w:ascii="Times New Roman"/>
                <w:sz w:val="18"/>
                <w:szCs w:val="18"/>
              </w:rPr>
            </w:pPr>
            <w:r>
              <w:rPr>
                <w:rFonts w:ascii="Times New Roman"/>
                <w:sz w:val="18"/>
                <w:szCs w:val="18"/>
              </w:rPr>
              <w:t>D</w:t>
            </w:r>
          </w:p>
        </w:tc>
        <w:tc>
          <w:tcPr>
            <w:tcW w:w="1559" w:type="dxa"/>
            <w:vAlign w:val="center"/>
          </w:tcPr>
          <w:p>
            <w:pPr>
              <w:pStyle w:val="23"/>
              <w:numPr>
                <w:ilvl w:val="0"/>
                <w:numId w:val="0"/>
              </w:numPr>
              <w:ind w:left="544"/>
              <w:jc w:val="center"/>
              <w:rPr>
                <w:rFonts w:ascii="Times New Roman"/>
                <w:sz w:val="18"/>
                <w:szCs w:val="18"/>
              </w:rPr>
            </w:pPr>
            <w:r>
              <w:rPr>
                <w:rFonts w:ascii="Times New Roman"/>
                <w:sz w:val="18"/>
                <w:szCs w:val="18"/>
              </w:rPr>
              <w:t>800</w:t>
            </w:r>
          </w:p>
        </w:tc>
        <w:tc>
          <w:tcPr>
            <w:tcW w:w="1260" w:type="dxa"/>
            <w:vAlign w:val="center"/>
          </w:tcPr>
          <w:p>
            <w:pPr>
              <w:pStyle w:val="23"/>
              <w:numPr>
                <w:ilvl w:val="0"/>
                <w:numId w:val="0"/>
              </w:numPr>
              <w:ind w:left="544"/>
              <w:jc w:val="center"/>
              <w:rPr>
                <w:rFonts w:ascii="Times New Roman"/>
                <w:sz w:val="18"/>
                <w:szCs w:val="18"/>
              </w:rPr>
            </w:pPr>
            <w:r>
              <w:rPr>
                <w:rFonts w:ascii="Times New Roman"/>
                <w:sz w:val="18"/>
                <w:szCs w:val="18"/>
              </w:rPr>
              <w:t>850～1000</w:t>
            </w:r>
          </w:p>
        </w:tc>
        <w:tc>
          <w:tcPr>
            <w:tcW w:w="955" w:type="dxa"/>
            <w:vAlign w:val="center"/>
          </w:tcPr>
          <w:p>
            <w:pPr>
              <w:pStyle w:val="23"/>
              <w:numPr>
                <w:ilvl w:val="0"/>
                <w:numId w:val="0"/>
              </w:numPr>
              <w:ind w:left="544"/>
              <w:jc w:val="center"/>
              <w:rPr>
                <w:rFonts w:ascii="Times New Roman"/>
                <w:sz w:val="18"/>
                <w:szCs w:val="18"/>
              </w:rPr>
            </w:pPr>
            <w:r>
              <w:rPr>
                <w:rFonts w:ascii="Times New Roman"/>
                <w:sz w:val="18"/>
                <w:szCs w:val="18"/>
              </w:rPr>
              <w:t>13</w:t>
            </w:r>
          </w:p>
        </w:tc>
        <w:tc>
          <w:tcPr>
            <w:tcW w:w="1531"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=3</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4</w:t>
            </w:r>
            <w:r>
              <w:rPr>
                <w:rFonts w:ascii="Times New Roman"/>
                <w:sz w:val="18"/>
                <w:szCs w:val="18"/>
              </w:rPr>
              <w:t>7</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Q800Q</w:t>
            </w:r>
          </w:p>
        </w:tc>
        <w:tc>
          <w:tcPr>
            <w:tcW w:w="658" w:type="dxa"/>
            <w:vAlign w:val="center"/>
          </w:tcPr>
          <w:p>
            <w:pPr>
              <w:pStyle w:val="23"/>
              <w:numPr>
                <w:ilvl w:val="0"/>
                <w:numId w:val="0"/>
              </w:numPr>
              <w:ind w:left="544"/>
              <w:jc w:val="center"/>
              <w:rPr>
                <w:rFonts w:ascii="Times New Roman"/>
                <w:sz w:val="18"/>
                <w:szCs w:val="18"/>
              </w:rPr>
            </w:pPr>
            <w:r>
              <w:rPr>
                <w:rFonts w:ascii="Times New Roman"/>
                <w:sz w:val="18"/>
                <w:szCs w:val="18"/>
              </w:rPr>
              <w:t>E</w:t>
            </w:r>
          </w:p>
        </w:tc>
        <w:tc>
          <w:tcPr>
            <w:tcW w:w="1559"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800</w:t>
            </w:r>
          </w:p>
        </w:tc>
        <w:tc>
          <w:tcPr>
            <w:tcW w:w="1260"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850～1000</w:t>
            </w:r>
          </w:p>
        </w:tc>
        <w:tc>
          <w:tcPr>
            <w:tcW w:w="95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13</w:t>
            </w:r>
          </w:p>
        </w:tc>
        <w:tc>
          <w:tcPr>
            <w:tcW w:w="1531"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=3</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4</w:t>
            </w:r>
            <w:r>
              <w:rPr>
                <w:rFonts w:ascii="Times New Roman"/>
                <w:sz w:val="18"/>
                <w:szCs w:val="18"/>
              </w:rPr>
              <w:t>7</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Align w:val="center"/>
          </w:tcPr>
          <w:p>
            <w:pPr>
              <w:pStyle w:val="23"/>
              <w:numPr>
                <w:ilvl w:val="0"/>
                <w:numId w:val="0"/>
              </w:numPr>
              <w:tabs>
                <w:tab w:val="left" w:pos="720"/>
              </w:tabs>
              <w:ind w:left="544"/>
              <w:jc w:val="center"/>
              <w:rPr>
                <w:rFonts w:ascii="Times New Roman"/>
                <w:sz w:val="18"/>
                <w:szCs w:val="18"/>
              </w:rPr>
            </w:pPr>
            <w:r>
              <w:rPr>
                <w:rFonts w:ascii="Times New Roman"/>
                <w:color w:val="000000" w:themeColor="text1"/>
                <w:sz w:val="18"/>
                <w:szCs w:val="18"/>
                <w14:textFill>
                  <w14:solidFill>
                    <w14:schemeClr w14:val="tx1"/>
                  </w14:solidFill>
                </w14:textFill>
              </w:rPr>
              <w:t>Q900Q</w:t>
            </w:r>
          </w:p>
        </w:tc>
        <w:tc>
          <w:tcPr>
            <w:tcW w:w="658" w:type="dxa"/>
            <w:vAlign w:val="center"/>
          </w:tcPr>
          <w:p>
            <w:pPr>
              <w:pStyle w:val="23"/>
              <w:numPr>
                <w:ilvl w:val="0"/>
                <w:numId w:val="0"/>
              </w:numPr>
              <w:ind w:left="544"/>
              <w:jc w:val="center"/>
              <w:rPr>
                <w:rFonts w:ascii="Times New Roman"/>
                <w:sz w:val="18"/>
                <w:szCs w:val="18"/>
              </w:rPr>
            </w:pPr>
            <w:r>
              <w:rPr>
                <w:rFonts w:ascii="Times New Roman"/>
                <w:sz w:val="18"/>
                <w:szCs w:val="18"/>
              </w:rPr>
              <w:t>D</w:t>
            </w:r>
          </w:p>
        </w:tc>
        <w:tc>
          <w:tcPr>
            <w:tcW w:w="1559"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900</w:t>
            </w:r>
          </w:p>
        </w:tc>
        <w:tc>
          <w:tcPr>
            <w:tcW w:w="1260"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950～1100</w:t>
            </w:r>
          </w:p>
        </w:tc>
        <w:tc>
          <w:tcPr>
            <w:tcW w:w="95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12</w:t>
            </w:r>
          </w:p>
        </w:tc>
        <w:tc>
          <w:tcPr>
            <w:tcW w:w="1531"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=4</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4</w:t>
            </w:r>
            <w:r>
              <w:rPr>
                <w:rFonts w:ascii="Times New Roman"/>
                <w:sz w:val="18"/>
                <w:szCs w:val="18"/>
              </w:rPr>
              <w:t>7</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Align w:val="center"/>
          </w:tcPr>
          <w:p>
            <w:pPr>
              <w:pStyle w:val="23"/>
              <w:numPr>
                <w:ilvl w:val="0"/>
                <w:numId w:val="0"/>
              </w:numPr>
              <w:ind w:left="544"/>
              <w:jc w:val="center"/>
              <w:rPr>
                <w:rFonts w:ascii="Times New Roman"/>
                <w:sz w:val="18"/>
                <w:szCs w:val="18"/>
              </w:rPr>
            </w:pPr>
            <w:r>
              <w:rPr>
                <w:rFonts w:ascii="Times New Roman"/>
                <w:color w:val="000000" w:themeColor="text1"/>
                <w:sz w:val="18"/>
                <w:szCs w:val="18"/>
                <w14:textFill>
                  <w14:solidFill>
                    <w14:schemeClr w14:val="tx1"/>
                  </w14:solidFill>
                </w14:textFill>
              </w:rPr>
              <w:t>Q960Q</w:t>
            </w:r>
          </w:p>
        </w:tc>
        <w:tc>
          <w:tcPr>
            <w:tcW w:w="658" w:type="dxa"/>
            <w:vAlign w:val="center"/>
          </w:tcPr>
          <w:p>
            <w:pPr>
              <w:pStyle w:val="23"/>
              <w:numPr>
                <w:ilvl w:val="0"/>
                <w:numId w:val="0"/>
              </w:numPr>
              <w:ind w:left="544"/>
              <w:jc w:val="center"/>
              <w:rPr>
                <w:rFonts w:ascii="Times New Roman"/>
                <w:sz w:val="18"/>
                <w:szCs w:val="18"/>
              </w:rPr>
            </w:pPr>
            <w:r>
              <w:rPr>
                <w:rFonts w:ascii="Times New Roman"/>
                <w:sz w:val="18"/>
                <w:szCs w:val="18"/>
              </w:rPr>
              <w:t>D</w:t>
            </w:r>
          </w:p>
        </w:tc>
        <w:tc>
          <w:tcPr>
            <w:tcW w:w="1559" w:type="dxa"/>
            <w:vAlign w:val="center"/>
          </w:tcPr>
          <w:p>
            <w:pPr>
              <w:pStyle w:val="23"/>
              <w:numPr>
                <w:ilvl w:val="0"/>
                <w:numId w:val="0"/>
              </w:numPr>
              <w:ind w:left="544"/>
              <w:jc w:val="center"/>
              <w:rPr>
                <w:rFonts w:ascii="Times New Roman"/>
                <w:sz w:val="18"/>
                <w:szCs w:val="18"/>
              </w:rPr>
            </w:pPr>
            <w:r>
              <w:rPr>
                <w:rFonts w:ascii="Times New Roman"/>
                <w:sz w:val="18"/>
                <w:szCs w:val="18"/>
              </w:rPr>
              <w:t>960</w:t>
            </w:r>
          </w:p>
        </w:tc>
        <w:tc>
          <w:tcPr>
            <w:tcW w:w="1260" w:type="dxa"/>
            <w:vAlign w:val="center"/>
          </w:tcPr>
          <w:p>
            <w:pPr>
              <w:pStyle w:val="23"/>
              <w:numPr>
                <w:ilvl w:val="0"/>
                <w:numId w:val="0"/>
              </w:numPr>
              <w:ind w:left="544"/>
              <w:jc w:val="center"/>
              <w:rPr>
                <w:rFonts w:ascii="Times New Roman"/>
                <w:sz w:val="18"/>
                <w:szCs w:val="18"/>
              </w:rPr>
            </w:pPr>
            <w:r>
              <w:rPr>
                <w:rFonts w:ascii="Times New Roman"/>
                <w:sz w:val="18"/>
                <w:szCs w:val="18"/>
              </w:rPr>
              <w:t>980～1150</w:t>
            </w:r>
          </w:p>
        </w:tc>
        <w:tc>
          <w:tcPr>
            <w:tcW w:w="955" w:type="dxa"/>
            <w:vAlign w:val="center"/>
          </w:tcPr>
          <w:p>
            <w:pPr>
              <w:pStyle w:val="23"/>
              <w:numPr>
                <w:ilvl w:val="0"/>
                <w:numId w:val="0"/>
              </w:numPr>
              <w:ind w:left="544"/>
              <w:jc w:val="center"/>
              <w:rPr>
                <w:rFonts w:ascii="Times New Roman"/>
                <w:sz w:val="18"/>
                <w:szCs w:val="18"/>
              </w:rPr>
            </w:pPr>
            <w:r>
              <w:rPr>
                <w:rFonts w:ascii="Times New Roman"/>
                <w:sz w:val="18"/>
                <w:szCs w:val="18"/>
              </w:rPr>
              <w:t>11</w:t>
            </w:r>
          </w:p>
        </w:tc>
        <w:tc>
          <w:tcPr>
            <w:tcW w:w="1531"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=4</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4</w:t>
            </w:r>
            <w:r>
              <w:rPr>
                <w:rFonts w:ascii="Times New Roman"/>
                <w:sz w:val="18"/>
                <w:szCs w:val="18"/>
              </w:rPr>
              <w:t>7</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6" w:type="dxa"/>
            <w:vAlign w:val="center"/>
          </w:tcPr>
          <w:p>
            <w:pPr>
              <w:pStyle w:val="23"/>
              <w:numPr>
                <w:ilvl w:val="0"/>
                <w:numId w:val="0"/>
              </w:numPr>
              <w:tabs>
                <w:tab w:val="left" w:pos="720"/>
              </w:tabs>
              <w:ind w:left="544"/>
              <w:jc w:val="center"/>
              <w:rPr>
                <w:rFonts w:ascii="Times New Roman"/>
                <w:sz w:val="18"/>
                <w:szCs w:val="18"/>
              </w:rPr>
            </w:pPr>
            <w:r>
              <w:rPr>
                <w:rFonts w:ascii="Times New Roman"/>
                <w:color w:val="000000" w:themeColor="text1"/>
                <w:sz w:val="18"/>
                <w:szCs w:val="18"/>
                <w14:textFill>
                  <w14:solidFill>
                    <w14:schemeClr w14:val="tx1"/>
                  </w14:solidFill>
                </w14:textFill>
              </w:rPr>
              <w:t>Q1100Q</w:t>
            </w:r>
          </w:p>
        </w:tc>
        <w:tc>
          <w:tcPr>
            <w:tcW w:w="658" w:type="dxa"/>
            <w:vAlign w:val="center"/>
          </w:tcPr>
          <w:p>
            <w:pPr>
              <w:pStyle w:val="23"/>
              <w:numPr>
                <w:ilvl w:val="0"/>
                <w:numId w:val="0"/>
              </w:numPr>
              <w:ind w:left="544"/>
              <w:jc w:val="center"/>
              <w:rPr>
                <w:rFonts w:ascii="Times New Roman"/>
                <w:sz w:val="18"/>
                <w:szCs w:val="18"/>
              </w:rPr>
            </w:pPr>
            <w:r>
              <w:rPr>
                <w:rFonts w:ascii="Times New Roman"/>
                <w:sz w:val="18"/>
                <w:szCs w:val="18"/>
              </w:rPr>
              <w:t>E</w:t>
            </w:r>
          </w:p>
        </w:tc>
        <w:tc>
          <w:tcPr>
            <w:tcW w:w="1559"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1100</w:t>
            </w:r>
          </w:p>
        </w:tc>
        <w:tc>
          <w:tcPr>
            <w:tcW w:w="1260"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1200～1550</w:t>
            </w:r>
          </w:p>
        </w:tc>
        <w:tc>
          <w:tcPr>
            <w:tcW w:w="95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9</w:t>
            </w:r>
          </w:p>
        </w:tc>
        <w:tc>
          <w:tcPr>
            <w:tcW w:w="1531"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=6</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3</w:t>
            </w:r>
            <w:r>
              <w:rPr>
                <w:rFonts w:ascii="Times New Roman"/>
                <w:sz w:val="18"/>
                <w:szCs w:val="18"/>
              </w:rPr>
              <w:t>4</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Merge w:val="restart"/>
            <w:vAlign w:val="center"/>
          </w:tcPr>
          <w:p>
            <w:pPr>
              <w:pStyle w:val="23"/>
              <w:numPr>
                <w:ilvl w:val="0"/>
                <w:numId w:val="0"/>
              </w:numPr>
              <w:tabs>
                <w:tab w:val="left" w:pos="720"/>
              </w:tabs>
              <w:ind w:left="544"/>
              <w:jc w:val="center"/>
              <w:rPr>
                <w:rFonts w:ascii="Times New Roman"/>
                <w:sz w:val="18"/>
                <w:szCs w:val="18"/>
              </w:rPr>
            </w:pPr>
            <w:r>
              <w:rPr>
                <w:rFonts w:ascii="Times New Roman"/>
                <w:color w:val="000000" w:themeColor="text1"/>
                <w:sz w:val="18"/>
                <w:szCs w:val="18"/>
                <w14:textFill>
                  <w14:solidFill>
                    <w14:schemeClr w14:val="tx1"/>
                  </w14:solidFill>
                </w14:textFill>
              </w:rPr>
              <w:t>Q1300Q</w:t>
            </w:r>
          </w:p>
        </w:tc>
        <w:tc>
          <w:tcPr>
            <w:tcW w:w="658" w:type="dxa"/>
            <w:vAlign w:val="center"/>
          </w:tcPr>
          <w:p>
            <w:pPr>
              <w:pStyle w:val="23"/>
              <w:numPr>
                <w:ilvl w:val="0"/>
                <w:numId w:val="0"/>
              </w:numPr>
              <w:ind w:left="544"/>
              <w:jc w:val="center"/>
              <w:rPr>
                <w:rFonts w:ascii="Times New Roman"/>
                <w:sz w:val="18"/>
                <w:szCs w:val="18"/>
              </w:rPr>
            </w:pPr>
            <w:r>
              <w:rPr>
                <w:rFonts w:ascii="Times New Roman"/>
                <w:sz w:val="18"/>
                <w:szCs w:val="18"/>
              </w:rPr>
              <w:t>E</w:t>
            </w:r>
          </w:p>
        </w:tc>
        <w:tc>
          <w:tcPr>
            <w:tcW w:w="1559"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1300</w:t>
            </w:r>
          </w:p>
        </w:tc>
        <w:tc>
          <w:tcPr>
            <w:tcW w:w="1260"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1350～1700</w:t>
            </w:r>
          </w:p>
        </w:tc>
        <w:tc>
          <w:tcPr>
            <w:tcW w:w="95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8</w:t>
            </w:r>
          </w:p>
        </w:tc>
        <w:tc>
          <w:tcPr>
            <w:tcW w:w="1531"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=8</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2</w:t>
            </w:r>
            <w:r>
              <w:rPr>
                <w:rFonts w:ascii="Times New Roman"/>
                <w:sz w:val="18"/>
                <w:szCs w:val="18"/>
              </w:rPr>
              <w:t>7</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Merge w:val="continue"/>
            <w:vAlign w:val="center"/>
          </w:tcPr>
          <w:p>
            <w:pPr>
              <w:pStyle w:val="23"/>
              <w:numPr>
                <w:ilvl w:val="0"/>
                <w:numId w:val="0"/>
              </w:numPr>
              <w:ind w:left="544"/>
              <w:jc w:val="center"/>
              <w:rPr>
                <w:rFonts w:ascii="Times New Roman"/>
                <w:color w:val="000000" w:themeColor="text1"/>
                <w:sz w:val="18"/>
                <w:szCs w:val="18"/>
                <w14:textFill>
                  <w14:solidFill>
                    <w14:schemeClr w14:val="tx1"/>
                  </w14:solidFill>
                </w14:textFill>
              </w:rPr>
            </w:pPr>
          </w:p>
        </w:tc>
        <w:tc>
          <w:tcPr>
            <w:tcW w:w="658" w:type="dxa"/>
            <w:vAlign w:val="center"/>
          </w:tcPr>
          <w:p>
            <w:pPr>
              <w:pStyle w:val="23"/>
              <w:numPr>
                <w:ilvl w:val="0"/>
                <w:numId w:val="0"/>
              </w:numPr>
              <w:ind w:left="544"/>
              <w:jc w:val="center"/>
              <w:rPr>
                <w:rFonts w:ascii="Times New Roman"/>
                <w:color w:val="FF0000"/>
                <w:sz w:val="18"/>
                <w:szCs w:val="18"/>
              </w:rPr>
            </w:pPr>
            <w:r>
              <w:rPr>
                <w:rFonts w:ascii="Times New Roman"/>
                <w:color w:val="FF0000"/>
                <w:sz w:val="18"/>
                <w:szCs w:val="18"/>
              </w:rPr>
              <w:t>F</w:t>
            </w:r>
          </w:p>
        </w:tc>
        <w:tc>
          <w:tcPr>
            <w:tcW w:w="1559" w:type="dxa"/>
            <w:vAlign w:val="center"/>
          </w:tcPr>
          <w:p>
            <w:pPr>
              <w:pStyle w:val="23"/>
              <w:numPr>
                <w:ilvl w:val="0"/>
                <w:numId w:val="0"/>
              </w:numPr>
              <w:ind w:left="544"/>
              <w:jc w:val="center"/>
              <w:rPr>
                <w:rFonts w:ascii="Times New Roman"/>
                <w:color w:val="FF0000"/>
                <w:sz w:val="18"/>
                <w:szCs w:val="18"/>
              </w:rPr>
            </w:pPr>
            <w:r>
              <w:rPr>
                <w:rFonts w:ascii="Times New Roman"/>
                <w:color w:val="FF0000"/>
                <w:sz w:val="18"/>
                <w:szCs w:val="18"/>
              </w:rPr>
              <w:t>1300</w:t>
            </w:r>
          </w:p>
        </w:tc>
        <w:tc>
          <w:tcPr>
            <w:tcW w:w="1260" w:type="dxa"/>
            <w:vAlign w:val="center"/>
          </w:tcPr>
          <w:p>
            <w:pPr>
              <w:pStyle w:val="23"/>
              <w:numPr>
                <w:ilvl w:val="0"/>
                <w:numId w:val="0"/>
              </w:numPr>
              <w:ind w:left="544"/>
              <w:jc w:val="center"/>
              <w:rPr>
                <w:rFonts w:ascii="Times New Roman"/>
                <w:color w:val="FF0000"/>
                <w:sz w:val="18"/>
                <w:szCs w:val="18"/>
              </w:rPr>
            </w:pPr>
            <w:r>
              <w:rPr>
                <w:rFonts w:ascii="Times New Roman"/>
                <w:color w:val="FF0000"/>
                <w:sz w:val="18"/>
                <w:szCs w:val="18"/>
              </w:rPr>
              <w:t>1350～1700</w:t>
            </w:r>
          </w:p>
        </w:tc>
        <w:tc>
          <w:tcPr>
            <w:tcW w:w="955" w:type="dxa"/>
            <w:vAlign w:val="center"/>
          </w:tcPr>
          <w:p>
            <w:pPr>
              <w:pStyle w:val="23"/>
              <w:numPr>
                <w:ilvl w:val="0"/>
                <w:numId w:val="0"/>
              </w:numPr>
              <w:ind w:left="544"/>
              <w:jc w:val="center"/>
              <w:rPr>
                <w:rFonts w:ascii="Times New Roman"/>
                <w:color w:val="FF0000"/>
                <w:sz w:val="18"/>
                <w:szCs w:val="18"/>
              </w:rPr>
            </w:pPr>
            <w:r>
              <w:rPr>
                <w:rFonts w:ascii="Times New Roman"/>
                <w:color w:val="FF0000"/>
                <w:sz w:val="18"/>
                <w:szCs w:val="18"/>
              </w:rPr>
              <w:t>8</w:t>
            </w:r>
          </w:p>
        </w:tc>
        <w:tc>
          <w:tcPr>
            <w:tcW w:w="1531"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=8</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w:t>
            </w:r>
          </w:p>
        </w:tc>
        <w:tc>
          <w:tcPr>
            <w:tcW w:w="939"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w:t>
            </w:r>
          </w:p>
        </w:tc>
        <w:tc>
          <w:tcPr>
            <w:tcW w:w="940"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2</w:t>
            </w:r>
            <w:r>
              <w:rPr>
                <w:rFonts w:ascii="Times New Roman"/>
                <w:color w:val="FF0000"/>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Merge w:val="restart"/>
            <w:vAlign w:val="center"/>
          </w:tcPr>
          <w:p>
            <w:pPr>
              <w:pStyle w:val="23"/>
              <w:numPr>
                <w:ilvl w:val="0"/>
                <w:numId w:val="0"/>
              </w:numPr>
              <w:tabs>
                <w:tab w:val="left" w:pos="720"/>
              </w:tabs>
              <w:ind w:left="544"/>
              <w:jc w:val="center"/>
              <w:rPr>
                <w:rFonts w:ascii="Times New Roman"/>
                <w:sz w:val="18"/>
                <w:szCs w:val="18"/>
              </w:rPr>
            </w:pPr>
            <w:r>
              <w:rPr>
                <w:rFonts w:ascii="Times New Roman"/>
                <w:color w:val="000000" w:themeColor="text1"/>
                <w:sz w:val="18"/>
                <w:szCs w:val="18"/>
                <w14:textFill>
                  <w14:solidFill>
                    <w14:schemeClr w14:val="tx1"/>
                  </w14:solidFill>
                </w14:textFill>
              </w:rPr>
              <w:t>Q1400Q</w:t>
            </w:r>
          </w:p>
        </w:tc>
        <w:tc>
          <w:tcPr>
            <w:tcW w:w="658" w:type="dxa"/>
            <w:vAlign w:val="center"/>
          </w:tcPr>
          <w:p>
            <w:pPr>
              <w:pStyle w:val="23"/>
              <w:numPr>
                <w:ilvl w:val="0"/>
                <w:numId w:val="0"/>
              </w:numPr>
              <w:ind w:left="544"/>
              <w:jc w:val="center"/>
              <w:rPr>
                <w:rFonts w:ascii="Times New Roman"/>
                <w:sz w:val="18"/>
                <w:szCs w:val="18"/>
              </w:rPr>
            </w:pPr>
            <w:r>
              <w:rPr>
                <w:rFonts w:ascii="Times New Roman"/>
                <w:sz w:val="18"/>
                <w:szCs w:val="18"/>
              </w:rPr>
              <w:t>E</w:t>
            </w:r>
          </w:p>
        </w:tc>
        <w:tc>
          <w:tcPr>
            <w:tcW w:w="1559"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1400</w:t>
            </w:r>
          </w:p>
        </w:tc>
        <w:tc>
          <w:tcPr>
            <w:tcW w:w="1260"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1450～1900</w:t>
            </w:r>
          </w:p>
        </w:tc>
        <w:tc>
          <w:tcPr>
            <w:tcW w:w="95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8</w:t>
            </w:r>
          </w:p>
        </w:tc>
        <w:tc>
          <w:tcPr>
            <w:tcW w:w="1531"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=9</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c>
          <w:tcPr>
            <w:tcW w:w="939"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2</w:t>
            </w:r>
            <w:r>
              <w:rPr>
                <w:rFonts w:ascii="Times New Roman"/>
                <w:sz w:val="18"/>
                <w:szCs w:val="18"/>
              </w:rPr>
              <w:t>7</w:t>
            </w:r>
          </w:p>
        </w:tc>
        <w:tc>
          <w:tcPr>
            <w:tcW w:w="940" w:type="dxa"/>
            <w:vAlign w:val="center"/>
          </w:tcPr>
          <w:p>
            <w:pPr>
              <w:pStyle w:val="23"/>
              <w:numPr>
                <w:ilvl w:val="0"/>
                <w:numId w:val="0"/>
              </w:numPr>
              <w:tabs>
                <w:tab w:val="left" w:pos="720"/>
              </w:tabs>
              <w:ind w:left="544"/>
              <w:jc w:val="center"/>
              <w:rPr>
                <w:rFonts w:ascii="Times New Roman"/>
                <w:sz w:val="18"/>
                <w:szCs w:val="18"/>
              </w:rPr>
            </w:pPr>
            <w:r>
              <w:rPr>
                <w:rFonts w:hint="eastAsia"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6" w:type="dxa"/>
            <w:vMerge w:val="continue"/>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p>
        </w:tc>
        <w:tc>
          <w:tcPr>
            <w:tcW w:w="658" w:type="dxa"/>
            <w:vAlign w:val="center"/>
          </w:tcPr>
          <w:p>
            <w:pPr>
              <w:pStyle w:val="23"/>
              <w:numPr>
                <w:ilvl w:val="0"/>
                <w:numId w:val="0"/>
              </w:numPr>
              <w:tabs>
                <w:tab w:val="left" w:pos="720"/>
              </w:tabs>
              <w:ind w:left="544"/>
              <w:jc w:val="center"/>
              <w:rPr>
                <w:rFonts w:ascii="Times New Roman"/>
                <w:color w:val="FF0000"/>
                <w:sz w:val="18"/>
                <w:szCs w:val="18"/>
              </w:rPr>
            </w:pPr>
            <w:r>
              <w:rPr>
                <w:rFonts w:ascii="Times New Roman"/>
                <w:color w:val="FF0000"/>
                <w:sz w:val="18"/>
                <w:szCs w:val="18"/>
              </w:rPr>
              <w:t>F</w:t>
            </w:r>
          </w:p>
        </w:tc>
        <w:tc>
          <w:tcPr>
            <w:tcW w:w="1559" w:type="dxa"/>
            <w:vAlign w:val="center"/>
          </w:tcPr>
          <w:p>
            <w:pPr>
              <w:pStyle w:val="23"/>
              <w:numPr>
                <w:ilvl w:val="0"/>
                <w:numId w:val="0"/>
              </w:numPr>
              <w:tabs>
                <w:tab w:val="left" w:pos="720"/>
              </w:tabs>
              <w:ind w:left="544"/>
              <w:jc w:val="center"/>
              <w:rPr>
                <w:rFonts w:ascii="Times New Roman"/>
                <w:color w:val="FF0000"/>
                <w:sz w:val="18"/>
                <w:szCs w:val="18"/>
              </w:rPr>
            </w:pPr>
            <w:r>
              <w:rPr>
                <w:rFonts w:ascii="Times New Roman"/>
                <w:color w:val="FF0000"/>
                <w:sz w:val="18"/>
                <w:szCs w:val="18"/>
              </w:rPr>
              <w:t>1400</w:t>
            </w:r>
          </w:p>
        </w:tc>
        <w:tc>
          <w:tcPr>
            <w:tcW w:w="1260" w:type="dxa"/>
            <w:vAlign w:val="center"/>
          </w:tcPr>
          <w:p>
            <w:pPr>
              <w:pStyle w:val="23"/>
              <w:numPr>
                <w:ilvl w:val="0"/>
                <w:numId w:val="0"/>
              </w:numPr>
              <w:tabs>
                <w:tab w:val="left" w:pos="720"/>
              </w:tabs>
              <w:ind w:left="544"/>
              <w:jc w:val="center"/>
              <w:rPr>
                <w:rFonts w:ascii="Times New Roman"/>
                <w:color w:val="FF0000"/>
                <w:sz w:val="18"/>
                <w:szCs w:val="18"/>
              </w:rPr>
            </w:pPr>
            <w:r>
              <w:rPr>
                <w:rFonts w:ascii="Times New Roman"/>
                <w:color w:val="FF0000"/>
                <w:sz w:val="18"/>
                <w:szCs w:val="18"/>
              </w:rPr>
              <w:t>1450～1900</w:t>
            </w:r>
          </w:p>
        </w:tc>
        <w:tc>
          <w:tcPr>
            <w:tcW w:w="955" w:type="dxa"/>
            <w:vAlign w:val="center"/>
          </w:tcPr>
          <w:p>
            <w:pPr>
              <w:pStyle w:val="23"/>
              <w:numPr>
                <w:ilvl w:val="0"/>
                <w:numId w:val="0"/>
              </w:numPr>
              <w:tabs>
                <w:tab w:val="left" w:pos="720"/>
              </w:tabs>
              <w:ind w:left="544"/>
              <w:jc w:val="center"/>
              <w:rPr>
                <w:rFonts w:ascii="Times New Roman"/>
                <w:color w:val="FF0000"/>
                <w:sz w:val="18"/>
                <w:szCs w:val="18"/>
              </w:rPr>
            </w:pPr>
            <w:r>
              <w:rPr>
                <w:rFonts w:ascii="Times New Roman"/>
                <w:color w:val="FF0000"/>
                <w:sz w:val="18"/>
                <w:szCs w:val="18"/>
              </w:rPr>
              <w:t>8</w:t>
            </w:r>
          </w:p>
        </w:tc>
        <w:tc>
          <w:tcPr>
            <w:tcW w:w="1531"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D</w:t>
            </w:r>
            <w:r>
              <w:rPr>
                <w:rFonts w:ascii="Times New Roman"/>
                <w:color w:val="FF0000"/>
                <w:sz w:val="18"/>
                <w:szCs w:val="18"/>
              </w:rPr>
              <w:t>=9</w:t>
            </w:r>
            <w:r>
              <w:rPr>
                <w:rFonts w:hint="eastAsia" w:ascii="Times New Roman"/>
                <w:color w:val="FF0000"/>
                <w:sz w:val="18"/>
                <w:szCs w:val="18"/>
              </w:rPr>
              <w:t>a</w:t>
            </w:r>
          </w:p>
        </w:tc>
        <w:tc>
          <w:tcPr>
            <w:tcW w:w="666"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w:t>
            </w:r>
          </w:p>
        </w:tc>
        <w:tc>
          <w:tcPr>
            <w:tcW w:w="939"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w:t>
            </w:r>
          </w:p>
        </w:tc>
        <w:tc>
          <w:tcPr>
            <w:tcW w:w="940" w:type="dxa"/>
            <w:vAlign w:val="center"/>
          </w:tcPr>
          <w:p>
            <w:pPr>
              <w:pStyle w:val="23"/>
              <w:numPr>
                <w:ilvl w:val="0"/>
                <w:numId w:val="0"/>
              </w:numPr>
              <w:tabs>
                <w:tab w:val="left" w:pos="720"/>
              </w:tabs>
              <w:ind w:left="544"/>
              <w:jc w:val="center"/>
              <w:rPr>
                <w:rFonts w:ascii="Times New Roman"/>
                <w:color w:val="FF0000"/>
                <w:sz w:val="18"/>
                <w:szCs w:val="18"/>
              </w:rPr>
            </w:pPr>
            <w:r>
              <w:rPr>
                <w:rFonts w:hint="eastAsia" w:ascii="Times New Roman"/>
                <w:color w:val="FF0000"/>
                <w:sz w:val="18"/>
                <w:szCs w:val="18"/>
              </w:rPr>
              <w:t>2</w:t>
            </w:r>
            <w:r>
              <w:rPr>
                <w:rFonts w:ascii="Times New Roman"/>
                <w:color w:val="FF0000"/>
                <w:sz w:val="18"/>
                <w:szCs w:val="18"/>
              </w:rPr>
              <w:t>7</w:t>
            </w:r>
          </w:p>
        </w:tc>
      </w:tr>
    </w:tbl>
    <w:p>
      <w:pPr>
        <w:pStyle w:val="51"/>
        <w:overflowPunct w:val="0"/>
        <w:spacing w:before="156" w:after="156"/>
        <w:jc w:val="both"/>
        <w:rPr>
          <w:rFonts w:ascii="Times New Roman" w:eastAsia="宋体"/>
        </w:rPr>
      </w:pPr>
      <w:bookmarkStart w:id="23" w:name="_Hlk150932794"/>
      <w:r>
        <w:rPr>
          <w:rFonts w:hint="eastAsia" w:ascii="Times New Roman" w:eastAsia="宋体"/>
        </w:rPr>
        <w:t>厚度小于1</w:t>
      </w:r>
      <w:r>
        <w:rPr>
          <w:rFonts w:ascii="Times New Roman" w:eastAsia="宋体"/>
        </w:rPr>
        <w:t xml:space="preserve">2 </w:t>
      </w:r>
      <w:r>
        <w:rPr>
          <w:rFonts w:hint="eastAsia" w:ascii="Times New Roman" w:eastAsia="宋体"/>
        </w:rPr>
        <w:t>mm的钢板应采用小尺寸试样进行夏比（V型缺口）冲击试验，钢板厚度＞8</w:t>
      </w:r>
      <w:r>
        <w:rPr>
          <w:rFonts w:ascii="Times New Roman" w:eastAsia="宋体"/>
        </w:rPr>
        <w:t xml:space="preserve"> </w:t>
      </w:r>
      <w:r>
        <w:rPr>
          <w:rFonts w:hint="eastAsia" w:ascii="Times New Roman" w:eastAsia="宋体"/>
        </w:rPr>
        <w:t>mm</w:t>
      </w:r>
      <w:r>
        <w:rPr>
          <w:rFonts w:ascii="Times New Roman" w:eastAsia="宋体"/>
        </w:rPr>
        <w:t>~</w:t>
      </w:r>
      <w:r>
        <w:rPr>
          <w:rFonts w:hint="eastAsia" w:ascii="Times New Roman" w:eastAsia="宋体"/>
        </w:rPr>
        <w:t>＜1</w:t>
      </w:r>
      <w:r>
        <w:rPr>
          <w:rFonts w:ascii="Times New Roman" w:eastAsia="宋体"/>
        </w:rPr>
        <w:t xml:space="preserve">2 </w:t>
      </w:r>
      <w:r>
        <w:rPr>
          <w:rFonts w:hint="eastAsia" w:ascii="Times New Roman" w:eastAsia="宋体"/>
        </w:rPr>
        <w:t>mm时，试样尺寸为7</w:t>
      </w:r>
      <w:r>
        <w:rPr>
          <w:rFonts w:ascii="Times New Roman" w:eastAsia="宋体"/>
        </w:rPr>
        <w:t xml:space="preserve">.5 </w:t>
      </w:r>
      <w:r>
        <w:rPr>
          <w:rFonts w:hint="eastAsia" w:ascii="Times New Roman" w:eastAsia="宋体"/>
        </w:rPr>
        <w:t>mm×</w:t>
      </w:r>
      <w:r>
        <w:rPr>
          <w:rFonts w:ascii="Times New Roman" w:eastAsia="宋体"/>
        </w:rPr>
        <w:t xml:space="preserve">10 </w:t>
      </w:r>
      <w:r>
        <w:rPr>
          <w:rFonts w:hint="eastAsia" w:ascii="Times New Roman" w:eastAsia="宋体"/>
        </w:rPr>
        <w:t>mm×</w:t>
      </w:r>
      <w:r>
        <w:rPr>
          <w:rFonts w:ascii="Times New Roman" w:eastAsia="宋体"/>
        </w:rPr>
        <w:t xml:space="preserve">55 </w:t>
      </w:r>
      <w:r>
        <w:rPr>
          <w:rFonts w:hint="eastAsia" w:ascii="Times New Roman" w:eastAsia="宋体"/>
        </w:rPr>
        <w:t>mm，其试验结果应不小于规定值的7</w:t>
      </w:r>
      <w:r>
        <w:rPr>
          <w:rFonts w:ascii="Times New Roman" w:eastAsia="宋体"/>
        </w:rPr>
        <w:t>5%</w:t>
      </w:r>
      <w:r>
        <w:rPr>
          <w:rFonts w:hint="eastAsia" w:ascii="Times New Roman" w:eastAsia="宋体"/>
        </w:rPr>
        <w:t>；钢板厚度6</w:t>
      </w:r>
      <w:r>
        <w:rPr>
          <w:rFonts w:ascii="Times New Roman" w:eastAsia="宋体"/>
        </w:rPr>
        <w:t xml:space="preserve"> </w:t>
      </w:r>
      <w:r>
        <w:rPr>
          <w:rFonts w:hint="eastAsia" w:ascii="Times New Roman" w:eastAsia="宋体"/>
        </w:rPr>
        <w:t>mm</w:t>
      </w:r>
      <w:r>
        <w:rPr>
          <w:rFonts w:ascii="Times New Roman" w:eastAsia="宋体"/>
        </w:rPr>
        <w:t xml:space="preserve">~8 </w:t>
      </w:r>
      <w:r>
        <w:rPr>
          <w:rFonts w:hint="eastAsia" w:ascii="Times New Roman" w:eastAsia="宋体"/>
        </w:rPr>
        <w:t>mm时，试样尺寸为5</w:t>
      </w:r>
      <w:r>
        <w:rPr>
          <w:rFonts w:ascii="Times New Roman" w:eastAsia="宋体"/>
        </w:rPr>
        <w:t xml:space="preserve"> </w:t>
      </w:r>
      <w:r>
        <w:rPr>
          <w:rFonts w:hint="eastAsia" w:ascii="Times New Roman" w:eastAsia="宋体"/>
        </w:rPr>
        <w:t>mm×</w:t>
      </w:r>
      <w:r>
        <w:rPr>
          <w:rFonts w:ascii="Times New Roman" w:eastAsia="宋体"/>
        </w:rPr>
        <w:t xml:space="preserve">10 </w:t>
      </w:r>
      <w:r>
        <w:rPr>
          <w:rFonts w:hint="eastAsia" w:ascii="Times New Roman" w:eastAsia="宋体"/>
        </w:rPr>
        <w:t>mm×</w:t>
      </w:r>
      <w:r>
        <w:rPr>
          <w:rFonts w:ascii="Times New Roman" w:eastAsia="宋体"/>
        </w:rPr>
        <w:t xml:space="preserve">55 </w:t>
      </w:r>
      <w:r>
        <w:rPr>
          <w:rFonts w:hint="eastAsia" w:ascii="Times New Roman" w:eastAsia="宋体"/>
        </w:rPr>
        <w:t>mm，其试验结果应不小于规定值的5</w:t>
      </w:r>
      <w:r>
        <w:rPr>
          <w:rFonts w:ascii="Times New Roman" w:eastAsia="宋体"/>
        </w:rPr>
        <w:t>0%</w:t>
      </w:r>
      <w:r>
        <w:rPr>
          <w:rFonts w:hint="eastAsia" w:ascii="Times New Roman" w:eastAsia="宋体"/>
        </w:rPr>
        <w:t>；厚度小于6</w:t>
      </w:r>
      <w:r>
        <w:rPr>
          <w:rFonts w:ascii="Times New Roman" w:eastAsia="宋体"/>
        </w:rPr>
        <w:t xml:space="preserve"> </w:t>
      </w:r>
      <w:r>
        <w:rPr>
          <w:rFonts w:hint="eastAsia" w:ascii="Times New Roman" w:eastAsia="宋体"/>
        </w:rPr>
        <w:t>mm的钢板不做冲击试验</w:t>
      </w:r>
      <w:bookmarkEnd w:id="23"/>
      <w:r>
        <w:rPr>
          <w:rFonts w:hint="eastAsia" w:ascii="Times New Roman" w:eastAsia="宋体"/>
        </w:rPr>
        <w:t>。</w:t>
      </w:r>
    </w:p>
    <w:p>
      <w:pPr>
        <w:pStyle w:val="51"/>
        <w:spacing w:before="156" w:after="156"/>
        <w:jc w:val="both"/>
        <w:rPr>
          <w:rFonts w:ascii="Times New Roman" w:eastAsia="宋体"/>
        </w:rPr>
      </w:pPr>
      <w:bookmarkStart w:id="24" w:name="_Hlk150932826"/>
      <w:r>
        <w:rPr>
          <w:rFonts w:hint="eastAsia" w:ascii="Times New Roman" w:eastAsia="宋体"/>
        </w:rPr>
        <w:t>钢板的夏比（V型缺口）冲击试验结果按一组三个试样的算术平均值计算，允许其中一个试样值低于规定值，但不应低于规定值的</w:t>
      </w:r>
      <w:r>
        <w:rPr>
          <w:rFonts w:ascii="Times New Roman" w:eastAsia="宋体"/>
        </w:rPr>
        <w:t>70%</w:t>
      </w:r>
      <w:r>
        <w:rPr>
          <w:rFonts w:hint="eastAsia" w:ascii="Times New Roman" w:eastAsia="宋体"/>
        </w:rPr>
        <w:t>。如果试验结果不符合上述规定时，应从同一张钢板（或同一样坯上）再取3个试样进行试验，前后两组6个试样的算术平均值不应低于规定值，允许有2个试样小于规定值，但其中小于规定值</w:t>
      </w:r>
      <w:r>
        <w:rPr>
          <w:rFonts w:ascii="Times New Roman" w:eastAsia="宋体"/>
        </w:rPr>
        <w:t>70%</w:t>
      </w:r>
      <w:r>
        <w:rPr>
          <w:rFonts w:hint="eastAsia" w:ascii="Times New Roman" w:eastAsia="宋体"/>
        </w:rPr>
        <w:t>的试样只允许有1个</w:t>
      </w:r>
      <w:bookmarkEnd w:id="24"/>
      <w:r>
        <w:rPr>
          <w:rFonts w:hint="eastAsia" w:ascii="Times New Roman" w:eastAsia="宋体"/>
        </w:rPr>
        <w:t>。</w:t>
      </w:r>
    </w:p>
    <w:bookmarkEnd w:id="17"/>
    <w:p>
      <w:pPr>
        <w:pStyle w:val="48"/>
        <w:spacing w:before="156" w:after="156"/>
        <w:ind w:left="0"/>
        <w:jc w:val="both"/>
        <w:rPr>
          <w:rFonts w:ascii="Times New Roman"/>
        </w:rPr>
      </w:pPr>
      <w:bookmarkStart w:id="25" w:name="_Toc520380396"/>
      <w:r>
        <w:rPr>
          <w:rFonts w:ascii="Times New Roman"/>
        </w:rPr>
        <w:t>表面质量</w:t>
      </w:r>
    </w:p>
    <w:p>
      <w:pPr>
        <w:pStyle w:val="51"/>
        <w:spacing w:beforeLines="0" w:afterLines="0"/>
        <w:jc w:val="both"/>
        <w:rPr>
          <w:rFonts w:ascii="Times New Roman" w:eastAsia="宋体"/>
        </w:rPr>
      </w:pPr>
      <w:bookmarkStart w:id="26" w:name="_Hlk150933092"/>
      <w:bookmarkStart w:id="27" w:name="_Hlk73506784"/>
      <w:r>
        <w:rPr>
          <w:rFonts w:ascii="Times New Roman" w:eastAsia="宋体"/>
        </w:rPr>
        <w:t>钢板表面不允许存在裂纹、气泡、结疤、折叠和夹杂等缺陷。如有上述表面缺陷，允许清理，清理深度从钢板实际尺寸算起，不得超过钢板厚度公差之半，清理处钢板厚度应不小于钢板的最小厚度，缺陷清理处应平滑无棱角，钢板不应有目视可见的分层</w:t>
      </w:r>
      <w:bookmarkEnd w:id="26"/>
      <w:r>
        <w:rPr>
          <w:rFonts w:ascii="Times New Roman" w:eastAsia="宋体"/>
        </w:rPr>
        <w:t>。</w:t>
      </w:r>
    </w:p>
    <w:p>
      <w:pPr>
        <w:pStyle w:val="51"/>
        <w:spacing w:beforeLines="0" w:afterLines="0"/>
        <w:jc w:val="both"/>
        <w:rPr>
          <w:rFonts w:ascii="Times New Roman" w:eastAsia="宋体"/>
        </w:rPr>
      </w:pPr>
      <w:bookmarkStart w:id="28" w:name="_Hlk150933103"/>
      <w:r>
        <w:rPr>
          <w:rFonts w:ascii="Times New Roman" w:eastAsia="宋体"/>
        </w:rPr>
        <w:t>钢板表面允许有不妨碍检查表面缺陷的薄层氧化铁皮、铁锈、由压入氧化铁皮脱落引起的不显著的表面粗糙、划伤、压痕及其他局部缺欠，但其深度不得大于钢板厚度公差之半，且缺陷处厚度应不小于钢板允许最小厚度</w:t>
      </w:r>
      <w:bookmarkEnd w:id="28"/>
      <w:r>
        <w:rPr>
          <w:rFonts w:ascii="Times New Roman" w:eastAsia="宋体"/>
        </w:rPr>
        <w:t>。</w:t>
      </w:r>
    </w:p>
    <w:p>
      <w:pPr>
        <w:pStyle w:val="51"/>
        <w:spacing w:beforeLines="0" w:afterLines="0"/>
        <w:jc w:val="both"/>
        <w:rPr>
          <w:rFonts w:ascii="Times New Roman" w:eastAsia="宋体"/>
        </w:rPr>
      </w:pPr>
      <w:bookmarkStart w:id="29" w:name="_Hlk150933123"/>
      <w:r>
        <w:rPr>
          <w:rFonts w:ascii="Times New Roman" w:eastAsia="宋体"/>
        </w:rPr>
        <w:t>钢板不允许焊补</w:t>
      </w:r>
      <w:bookmarkEnd w:id="29"/>
      <w:r>
        <w:rPr>
          <w:rFonts w:ascii="Times New Roman" w:eastAsia="宋体"/>
        </w:rPr>
        <w:t>。</w:t>
      </w:r>
    </w:p>
    <w:p>
      <w:pPr>
        <w:pStyle w:val="51"/>
        <w:spacing w:beforeLines="0" w:afterLines="0"/>
        <w:jc w:val="both"/>
        <w:rPr>
          <w:rFonts w:ascii="Times New Roman" w:eastAsia="宋体"/>
        </w:rPr>
      </w:pPr>
      <w:bookmarkStart w:id="30" w:name="_Hlk150933133"/>
      <w:r>
        <w:rPr>
          <w:rFonts w:hint="eastAsia" w:ascii="Times New Roman" w:eastAsia="宋体"/>
        </w:rPr>
        <w:t>除焊补的规定外，经供需双方协商，并在合同中注明，表面质量也可执行G</w:t>
      </w:r>
      <w:r>
        <w:rPr>
          <w:rFonts w:ascii="Times New Roman" w:eastAsia="宋体"/>
        </w:rPr>
        <w:t>B/T 14977</w:t>
      </w:r>
      <w:r>
        <w:rPr>
          <w:rFonts w:hint="eastAsia" w:ascii="Times New Roman" w:eastAsia="宋体"/>
        </w:rPr>
        <w:t>的规定。</w:t>
      </w:r>
    </w:p>
    <w:bookmarkEnd w:id="30"/>
    <w:p>
      <w:pPr>
        <w:pStyle w:val="48"/>
        <w:spacing w:before="156" w:after="156"/>
        <w:ind w:left="0"/>
        <w:jc w:val="both"/>
        <w:rPr>
          <w:rFonts w:ascii="Times New Roman"/>
        </w:rPr>
      </w:pPr>
      <w:r>
        <w:rPr>
          <w:rFonts w:ascii="Times New Roman"/>
        </w:rPr>
        <w:t>超声检测</w:t>
      </w:r>
    </w:p>
    <w:p>
      <w:pPr>
        <w:pStyle w:val="23"/>
        <w:rPr>
          <w:rFonts w:ascii="Times New Roman"/>
        </w:rPr>
      </w:pPr>
      <w:bookmarkStart w:id="31" w:name="_Hlk150933278"/>
      <w:r>
        <w:rPr>
          <w:rFonts w:hint="eastAsia" w:ascii="Times New Roman"/>
        </w:rPr>
        <w:t>根据需方要求，对于厚度为1</w:t>
      </w:r>
      <w:r>
        <w:rPr>
          <w:rFonts w:ascii="Times New Roman"/>
        </w:rPr>
        <w:t xml:space="preserve">6 </w:t>
      </w:r>
      <w:r>
        <w:rPr>
          <w:rFonts w:hint="eastAsia" w:ascii="Times New Roman"/>
        </w:rPr>
        <w:t>mm的钢板应逐张进行超声检测，检测方法按照G</w:t>
      </w:r>
      <w:r>
        <w:rPr>
          <w:rFonts w:ascii="Times New Roman"/>
        </w:rPr>
        <w:t>B/T 2970</w:t>
      </w:r>
      <w:r>
        <w:rPr>
          <w:rFonts w:hint="eastAsia" w:ascii="Times New Roman"/>
        </w:rPr>
        <w:t>的规定，I</w:t>
      </w:r>
      <w:r>
        <w:rPr>
          <w:rFonts w:ascii="Times New Roman"/>
        </w:rPr>
        <w:t>II</w:t>
      </w:r>
      <w:r>
        <w:rPr>
          <w:rFonts w:hint="eastAsia" w:ascii="Times New Roman"/>
        </w:rPr>
        <w:t>级合格。经双方协商，也可采用其他检测标准，具体检测标准和合格级别应在合同中注明</w:t>
      </w:r>
      <w:bookmarkEnd w:id="31"/>
      <w:r>
        <w:rPr>
          <w:rFonts w:ascii="Times New Roman"/>
        </w:rPr>
        <w:t>。</w:t>
      </w:r>
    </w:p>
    <w:bookmarkEnd w:id="27"/>
    <w:p>
      <w:pPr>
        <w:pStyle w:val="48"/>
        <w:spacing w:before="156" w:after="156"/>
        <w:ind w:left="0"/>
        <w:jc w:val="both"/>
        <w:rPr>
          <w:rFonts w:ascii="Times New Roman"/>
        </w:rPr>
      </w:pPr>
      <w:r>
        <w:rPr>
          <w:rFonts w:ascii="Times New Roman"/>
        </w:rPr>
        <w:t>特殊要求</w:t>
      </w:r>
    </w:p>
    <w:p>
      <w:pPr>
        <w:pStyle w:val="23"/>
        <w:rPr>
          <w:rFonts w:ascii="Times New Roman"/>
        </w:rPr>
      </w:pPr>
      <w:bookmarkStart w:id="32" w:name="_Hlk73507034"/>
      <w:r>
        <w:rPr>
          <w:rFonts w:ascii="Times New Roman"/>
        </w:rPr>
        <w:t>根据供需双方协商，</w:t>
      </w:r>
      <w:r>
        <w:rPr>
          <w:rFonts w:hint="eastAsia" w:ascii="Times New Roman"/>
        </w:rPr>
        <w:t>可对钢板提供提出其他特殊要求</w:t>
      </w:r>
      <w:r>
        <w:rPr>
          <w:rFonts w:ascii="Times New Roman"/>
        </w:rPr>
        <w:t>。</w:t>
      </w:r>
    </w:p>
    <w:bookmarkEnd w:id="25"/>
    <w:bookmarkEnd w:id="32"/>
    <w:p>
      <w:pPr>
        <w:pStyle w:val="46"/>
        <w:numPr>
          <w:ilvl w:val="0"/>
          <w:numId w:val="1"/>
        </w:numPr>
        <w:spacing w:before="312" w:after="312"/>
        <w:rPr>
          <w:rFonts w:ascii="Times New Roman" w:eastAsia="宋体"/>
          <w:szCs w:val="21"/>
        </w:rPr>
      </w:pPr>
      <w:r>
        <w:rPr>
          <w:rFonts w:ascii="Times New Roman"/>
        </w:rPr>
        <w:t>试验方法</w:t>
      </w:r>
    </w:p>
    <w:p>
      <w:pPr>
        <w:pStyle w:val="48"/>
        <w:overflowPunct w:val="0"/>
        <w:spacing w:before="156" w:after="156"/>
        <w:ind w:left="0"/>
        <w:jc w:val="both"/>
        <w:rPr>
          <w:rFonts w:ascii="Times New Roman" w:eastAsia="宋体"/>
        </w:rPr>
      </w:pPr>
      <w:bookmarkStart w:id="33" w:name="_Hlk150933367"/>
      <w:bookmarkStart w:id="34" w:name="_Hlk80136150"/>
      <w:bookmarkStart w:id="35" w:name="_Hlk59177872"/>
      <w:bookmarkStart w:id="36" w:name="_Hlk73507091"/>
      <w:r>
        <w:rPr>
          <w:rFonts w:hint="eastAsia" w:ascii="Times New Roman" w:eastAsia="宋体"/>
        </w:rPr>
        <w:t>钢的化学成分试验方法应按照G</w:t>
      </w:r>
      <w:r>
        <w:rPr>
          <w:rFonts w:ascii="Times New Roman" w:eastAsia="宋体"/>
        </w:rPr>
        <w:t>B/T 223.5</w:t>
      </w:r>
      <w:r>
        <w:rPr>
          <w:rFonts w:hint="eastAsia" w:ascii="Times New Roman" w:eastAsia="宋体"/>
        </w:rPr>
        <w:t>、G</w:t>
      </w:r>
      <w:r>
        <w:rPr>
          <w:rFonts w:ascii="Times New Roman" w:eastAsia="宋体"/>
        </w:rPr>
        <w:t>B/T 223.9</w:t>
      </w:r>
      <w:r>
        <w:rPr>
          <w:rFonts w:hint="eastAsia" w:ascii="Times New Roman" w:eastAsia="宋体"/>
        </w:rPr>
        <w:t>、G</w:t>
      </w:r>
      <w:r>
        <w:rPr>
          <w:rFonts w:ascii="Times New Roman" w:eastAsia="宋体"/>
        </w:rPr>
        <w:t>B/T 223.11</w:t>
      </w:r>
      <w:r>
        <w:rPr>
          <w:rFonts w:hint="eastAsia" w:ascii="Times New Roman" w:eastAsia="宋体"/>
        </w:rPr>
        <w:t>、G</w:t>
      </w:r>
      <w:r>
        <w:rPr>
          <w:rFonts w:ascii="Times New Roman" w:eastAsia="宋体"/>
        </w:rPr>
        <w:t>B/T 223.14</w:t>
      </w:r>
      <w:r>
        <w:rPr>
          <w:rFonts w:hint="eastAsia" w:ascii="Times New Roman" w:eastAsia="宋体"/>
        </w:rPr>
        <w:t>、G</w:t>
      </w:r>
      <w:r>
        <w:rPr>
          <w:rFonts w:ascii="Times New Roman" w:eastAsia="宋体"/>
        </w:rPr>
        <w:t>B/T 223.18</w:t>
      </w:r>
      <w:r>
        <w:rPr>
          <w:rFonts w:hint="eastAsia" w:ascii="Times New Roman" w:eastAsia="宋体"/>
        </w:rPr>
        <w:t>、G</w:t>
      </w:r>
      <w:r>
        <w:rPr>
          <w:rFonts w:ascii="Times New Roman" w:eastAsia="宋体"/>
        </w:rPr>
        <w:t>B/T 223.23</w:t>
      </w:r>
      <w:r>
        <w:rPr>
          <w:rFonts w:hint="eastAsia" w:ascii="Times New Roman" w:eastAsia="宋体"/>
        </w:rPr>
        <w:t>、G</w:t>
      </w:r>
      <w:r>
        <w:rPr>
          <w:rFonts w:ascii="Times New Roman" w:eastAsia="宋体"/>
        </w:rPr>
        <w:t>B/T 223.26</w:t>
      </w:r>
      <w:r>
        <w:rPr>
          <w:rFonts w:hint="eastAsia" w:ascii="Times New Roman" w:eastAsia="宋体"/>
        </w:rPr>
        <w:t>、G</w:t>
      </w:r>
      <w:r>
        <w:rPr>
          <w:rFonts w:ascii="Times New Roman" w:eastAsia="宋体"/>
        </w:rPr>
        <w:t>B/T 223.40</w:t>
      </w:r>
      <w:r>
        <w:rPr>
          <w:rFonts w:hint="eastAsia" w:ascii="Times New Roman" w:eastAsia="宋体"/>
        </w:rPr>
        <w:t>、G</w:t>
      </w:r>
      <w:r>
        <w:rPr>
          <w:rFonts w:ascii="Times New Roman" w:eastAsia="宋体"/>
        </w:rPr>
        <w:t>B/T 223.62</w:t>
      </w:r>
      <w:r>
        <w:rPr>
          <w:rFonts w:hint="eastAsia" w:ascii="Times New Roman" w:eastAsia="宋体"/>
        </w:rPr>
        <w:t>、G</w:t>
      </w:r>
      <w:r>
        <w:rPr>
          <w:rFonts w:ascii="Times New Roman" w:eastAsia="宋体"/>
        </w:rPr>
        <w:t>B/T 223.63</w:t>
      </w:r>
      <w:r>
        <w:rPr>
          <w:rFonts w:hint="eastAsia" w:ascii="Times New Roman" w:eastAsia="宋体"/>
        </w:rPr>
        <w:t>、G</w:t>
      </w:r>
      <w:r>
        <w:rPr>
          <w:rFonts w:ascii="Times New Roman" w:eastAsia="宋体"/>
        </w:rPr>
        <w:t>B/T 223.69</w:t>
      </w:r>
      <w:r>
        <w:rPr>
          <w:rFonts w:hint="eastAsia" w:ascii="Times New Roman" w:eastAsia="宋体"/>
        </w:rPr>
        <w:t>、G</w:t>
      </w:r>
      <w:r>
        <w:rPr>
          <w:rFonts w:ascii="Times New Roman" w:eastAsia="宋体"/>
        </w:rPr>
        <w:t>B/T 223.72</w:t>
      </w:r>
      <w:r>
        <w:rPr>
          <w:rFonts w:hint="eastAsia" w:ascii="Times New Roman" w:eastAsia="宋体"/>
        </w:rPr>
        <w:t>、</w:t>
      </w:r>
      <w:r>
        <w:rPr>
          <w:rFonts w:ascii="Times New Roman" w:eastAsia="宋体"/>
        </w:rPr>
        <w:t>GB/T 4336、GB/T 20123、GB/T 2</w:t>
      </w:r>
      <w:r>
        <w:rPr>
          <w:rFonts w:ascii="Times New Roman" w:eastAsia="宋体"/>
          <w:color w:val="000000" w:themeColor="text1"/>
          <w14:textFill>
            <w14:solidFill>
              <w14:schemeClr w14:val="tx1"/>
            </w14:solidFill>
          </w14:textFill>
        </w:rPr>
        <w:t>0124、</w:t>
      </w:r>
      <w:r>
        <w:rPr>
          <w:rFonts w:ascii="Times New Roman" w:eastAsia="宋体"/>
        </w:rPr>
        <w:t>GB/T 20125或其他通用方法进行，仲裁时按照GB/T 223.5、GB/T 223.9、GB/T 223.11、GB/T 223.14、GB/T 223.18、GB/T 223.23、GB/T 223.26、GB/T 223.40、GB/T 223.62、GB/T 223.63、GB/T 223.69、GB/T 223.72的规定进行</w:t>
      </w:r>
      <w:bookmarkEnd w:id="33"/>
      <w:r>
        <w:rPr>
          <w:rFonts w:ascii="Times New Roman" w:eastAsia="宋体"/>
        </w:rPr>
        <w:t>。</w:t>
      </w:r>
    </w:p>
    <w:bookmarkEnd w:id="34"/>
    <w:bookmarkEnd w:id="35"/>
    <w:p>
      <w:pPr>
        <w:pStyle w:val="48"/>
        <w:spacing w:before="156" w:after="156"/>
        <w:ind w:left="0"/>
        <w:rPr>
          <w:rFonts w:ascii="Times New Roman" w:eastAsia="宋体"/>
        </w:rPr>
      </w:pPr>
      <w:r>
        <w:rPr>
          <w:rFonts w:ascii="Times New Roman" w:eastAsia="宋体"/>
        </w:rPr>
        <w:t>每批钢板的检验项目和试验方法应符合表4的规定。</w:t>
      </w:r>
    </w:p>
    <w:bookmarkEnd w:id="36"/>
    <w:p>
      <w:pPr>
        <w:pStyle w:val="78"/>
        <w:numPr>
          <w:ilvl w:val="0"/>
          <w:numId w:val="0"/>
        </w:numPr>
        <w:spacing w:before="156" w:after="156"/>
        <w:rPr>
          <w:rFonts w:ascii="Times New Roman"/>
        </w:rPr>
      </w:pPr>
      <w:bookmarkStart w:id="37" w:name="_Hlk80136164"/>
      <w:bookmarkStart w:id="38" w:name="_Hlk73507109"/>
      <w:r>
        <w:rPr>
          <w:rFonts w:ascii="Times New Roman"/>
        </w:rPr>
        <w:t>表4　检验项目、取样数量、取样方法和试验方法</w:t>
      </w:r>
    </w:p>
    <w:bookmarkEnd w:id="37"/>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3"/>
        <w:gridCol w:w="1335"/>
        <w:gridCol w:w="1885"/>
        <w:gridCol w:w="1042"/>
        <w:gridCol w:w="1367"/>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tcMar>
              <w:left w:w="28" w:type="dxa"/>
              <w:right w:w="28" w:type="dxa"/>
            </w:tcMar>
            <w:vAlign w:val="center"/>
          </w:tcPr>
          <w:p>
            <w:pPr>
              <w:spacing w:line="360" w:lineRule="exact"/>
              <w:jc w:val="center"/>
              <w:rPr>
                <w:color w:val="000000"/>
                <w:sz w:val="18"/>
                <w:szCs w:val="18"/>
              </w:rPr>
            </w:pPr>
            <w:bookmarkStart w:id="39" w:name="_Hlk121125624"/>
            <w:r>
              <w:rPr>
                <w:color w:val="000000"/>
                <w:sz w:val="18"/>
                <w:szCs w:val="18"/>
              </w:rPr>
              <w:t>序号</w:t>
            </w:r>
          </w:p>
        </w:tc>
        <w:tc>
          <w:tcPr>
            <w:tcW w:w="711" w:type="pct"/>
            <w:tcMar>
              <w:left w:w="28" w:type="dxa"/>
              <w:right w:w="28" w:type="dxa"/>
            </w:tcMar>
            <w:vAlign w:val="center"/>
          </w:tcPr>
          <w:p>
            <w:pPr>
              <w:spacing w:line="360" w:lineRule="exact"/>
              <w:jc w:val="center"/>
              <w:rPr>
                <w:color w:val="000000"/>
                <w:sz w:val="18"/>
                <w:szCs w:val="18"/>
              </w:rPr>
            </w:pPr>
            <w:r>
              <w:rPr>
                <w:color w:val="000000"/>
                <w:sz w:val="18"/>
                <w:szCs w:val="18"/>
              </w:rPr>
              <w:t>检验项目</w:t>
            </w:r>
          </w:p>
        </w:tc>
        <w:tc>
          <w:tcPr>
            <w:tcW w:w="1004" w:type="pct"/>
            <w:tcMar>
              <w:left w:w="28" w:type="dxa"/>
              <w:right w:w="28" w:type="dxa"/>
            </w:tcMar>
            <w:vAlign w:val="center"/>
          </w:tcPr>
          <w:p>
            <w:pPr>
              <w:spacing w:line="360" w:lineRule="exact"/>
              <w:jc w:val="center"/>
              <w:rPr>
                <w:color w:val="000000"/>
                <w:sz w:val="18"/>
                <w:szCs w:val="18"/>
              </w:rPr>
            </w:pPr>
            <w:r>
              <w:rPr>
                <w:color w:val="000000"/>
                <w:sz w:val="18"/>
                <w:szCs w:val="18"/>
              </w:rPr>
              <w:t>取样数量</w:t>
            </w:r>
          </w:p>
        </w:tc>
        <w:tc>
          <w:tcPr>
            <w:tcW w:w="555" w:type="pct"/>
          </w:tcPr>
          <w:p>
            <w:pPr>
              <w:spacing w:line="360" w:lineRule="exact"/>
              <w:jc w:val="center"/>
              <w:rPr>
                <w:color w:val="000000"/>
                <w:sz w:val="18"/>
                <w:szCs w:val="18"/>
              </w:rPr>
            </w:pPr>
            <w:r>
              <w:rPr>
                <w:rFonts w:hint="eastAsia"/>
                <w:color w:val="000000"/>
                <w:sz w:val="18"/>
                <w:szCs w:val="18"/>
              </w:rPr>
              <w:t>取样方向</w:t>
            </w:r>
          </w:p>
        </w:tc>
        <w:tc>
          <w:tcPr>
            <w:tcW w:w="728" w:type="pct"/>
            <w:tcMar>
              <w:left w:w="28" w:type="dxa"/>
              <w:right w:w="28" w:type="dxa"/>
            </w:tcMar>
            <w:vAlign w:val="center"/>
          </w:tcPr>
          <w:p>
            <w:pPr>
              <w:spacing w:line="360" w:lineRule="exact"/>
              <w:jc w:val="center"/>
              <w:rPr>
                <w:color w:val="000000"/>
                <w:sz w:val="18"/>
                <w:szCs w:val="18"/>
              </w:rPr>
            </w:pPr>
            <w:r>
              <w:rPr>
                <w:color w:val="000000"/>
                <w:sz w:val="18"/>
                <w:szCs w:val="18"/>
              </w:rPr>
              <w:t>取样方法</w:t>
            </w:r>
          </w:p>
        </w:tc>
        <w:tc>
          <w:tcPr>
            <w:tcW w:w="1686" w:type="pct"/>
            <w:vAlign w:val="center"/>
          </w:tcPr>
          <w:p>
            <w:pPr>
              <w:spacing w:line="360" w:lineRule="exact"/>
              <w:jc w:val="center"/>
              <w:rPr>
                <w:color w:val="000000"/>
                <w:sz w:val="18"/>
                <w:szCs w:val="18"/>
              </w:rPr>
            </w:pPr>
            <w:r>
              <w:rPr>
                <w:color w:val="000000"/>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tcMar>
              <w:left w:w="28" w:type="dxa"/>
              <w:right w:w="28" w:type="dxa"/>
            </w:tcMar>
            <w:vAlign w:val="center"/>
          </w:tcPr>
          <w:p>
            <w:pPr>
              <w:jc w:val="center"/>
              <w:rPr>
                <w:color w:val="000000"/>
                <w:sz w:val="18"/>
                <w:szCs w:val="18"/>
              </w:rPr>
            </w:pPr>
            <w:r>
              <w:rPr>
                <w:color w:val="000000"/>
                <w:sz w:val="18"/>
                <w:szCs w:val="18"/>
              </w:rPr>
              <w:t>1</w:t>
            </w:r>
          </w:p>
        </w:tc>
        <w:tc>
          <w:tcPr>
            <w:tcW w:w="711" w:type="pct"/>
            <w:tcMar>
              <w:left w:w="28" w:type="dxa"/>
              <w:right w:w="28" w:type="dxa"/>
            </w:tcMar>
            <w:vAlign w:val="center"/>
          </w:tcPr>
          <w:p>
            <w:pPr>
              <w:jc w:val="center"/>
              <w:rPr>
                <w:color w:val="000000"/>
                <w:sz w:val="18"/>
                <w:szCs w:val="18"/>
              </w:rPr>
            </w:pPr>
            <w:r>
              <w:rPr>
                <w:color w:val="000000"/>
                <w:sz w:val="18"/>
                <w:szCs w:val="18"/>
              </w:rPr>
              <w:t>化学成分</w:t>
            </w:r>
          </w:p>
        </w:tc>
        <w:tc>
          <w:tcPr>
            <w:tcW w:w="1004" w:type="pct"/>
            <w:tcMar>
              <w:left w:w="28" w:type="dxa"/>
              <w:right w:w="28" w:type="dxa"/>
            </w:tcMar>
            <w:vAlign w:val="center"/>
          </w:tcPr>
          <w:p>
            <w:pPr>
              <w:jc w:val="center"/>
              <w:rPr>
                <w:color w:val="000000"/>
                <w:sz w:val="18"/>
                <w:szCs w:val="18"/>
              </w:rPr>
            </w:pPr>
            <w:r>
              <w:rPr>
                <w:color w:val="000000"/>
                <w:sz w:val="18"/>
                <w:szCs w:val="18"/>
              </w:rPr>
              <w:t>1个/炉</w:t>
            </w:r>
          </w:p>
        </w:tc>
        <w:tc>
          <w:tcPr>
            <w:tcW w:w="555" w:type="pct"/>
          </w:tcPr>
          <w:p>
            <w:pPr>
              <w:jc w:val="center"/>
              <w:rPr>
                <w:color w:val="000000"/>
                <w:sz w:val="18"/>
                <w:szCs w:val="18"/>
              </w:rPr>
            </w:pPr>
            <w:r>
              <w:rPr>
                <w:color w:val="000000"/>
                <w:sz w:val="18"/>
                <w:szCs w:val="18"/>
              </w:rPr>
              <w:t>—</w:t>
            </w:r>
          </w:p>
        </w:tc>
        <w:tc>
          <w:tcPr>
            <w:tcW w:w="728" w:type="pct"/>
            <w:tcMar>
              <w:left w:w="28" w:type="dxa"/>
              <w:right w:w="28" w:type="dxa"/>
            </w:tcMar>
            <w:vAlign w:val="center"/>
          </w:tcPr>
          <w:p>
            <w:pPr>
              <w:jc w:val="center"/>
              <w:rPr>
                <w:color w:val="000000"/>
                <w:sz w:val="18"/>
                <w:szCs w:val="18"/>
              </w:rPr>
            </w:pPr>
            <w:r>
              <w:rPr>
                <w:color w:val="000000"/>
                <w:sz w:val="18"/>
                <w:szCs w:val="18"/>
              </w:rPr>
              <w:t>GB/T 20066</w:t>
            </w:r>
          </w:p>
        </w:tc>
        <w:tc>
          <w:tcPr>
            <w:tcW w:w="1686" w:type="pct"/>
            <w:vAlign w:val="center"/>
          </w:tcPr>
          <w:p>
            <w:pPr>
              <w:jc w:val="center"/>
              <w:rPr>
                <w:color w:val="000000"/>
                <w:sz w:val="18"/>
                <w:szCs w:val="18"/>
              </w:rPr>
            </w:pPr>
            <w:r>
              <w:rPr>
                <w:color w:val="000000"/>
                <w:sz w:val="18"/>
                <w:szCs w:val="18"/>
              </w:rPr>
              <w:t>见8.1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tcMar>
              <w:left w:w="28" w:type="dxa"/>
              <w:right w:w="28" w:type="dxa"/>
            </w:tcMar>
            <w:vAlign w:val="center"/>
          </w:tcPr>
          <w:p>
            <w:pPr>
              <w:jc w:val="center"/>
              <w:rPr>
                <w:color w:val="000000"/>
                <w:sz w:val="18"/>
                <w:szCs w:val="18"/>
              </w:rPr>
            </w:pPr>
            <w:r>
              <w:rPr>
                <w:color w:val="000000"/>
                <w:sz w:val="18"/>
                <w:szCs w:val="18"/>
              </w:rPr>
              <w:t>2</w:t>
            </w:r>
          </w:p>
        </w:tc>
        <w:tc>
          <w:tcPr>
            <w:tcW w:w="711" w:type="pct"/>
            <w:tcMar>
              <w:left w:w="28" w:type="dxa"/>
              <w:right w:w="28" w:type="dxa"/>
            </w:tcMar>
            <w:vAlign w:val="center"/>
          </w:tcPr>
          <w:p>
            <w:pPr>
              <w:jc w:val="center"/>
              <w:rPr>
                <w:color w:val="000000"/>
                <w:sz w:val="18"/>
                <w:szCs w:val="18"/>
              </w:rPr>
            </w:pPr>
            <w:r>
              <w:rPr>
                <w:color w:val="000000"/>
                <w:sz w:val="18"/>
                <w:szCs w:val="18"/>
              </w:rPr>
              <w:t>拉伸试验</w:t>
            </w:r>
          </w:p>
        </w:tc>
        <w:tc>
          <w:tcPr>
            <w:tcW w:w="1004" w:type="pct"/>
            <w:tcMar>
              <w:left w:w="28" w:type="dxa"/>
              <w:right w:w="28" w:type="dxa"/>
            </w:tcMar>
            <w:vAlign w:val="center"/>
          </w:tcPr>
          <w:p>
            <w:pPr>
              <w:jc w:val="center"/>
              <w:rPr>
                <w:color w:val="000000"/>
                <w:sz w:val="18"/>
                <w:szCs w:val="18"/>
              </w:rPr>
            </w:pPr>
            <w:r>
              <w:rPr>
                <w:color w:val="000000"/>
                <w:sz w:val="18"/>
                <w:szCs w:val="18"/>
              </w:rPr>
              <w:t>1个/批</w:t>
            </w:r>
          </w:p>
        </w:tc>
        <w:tc>
          <w:tcPr>
            <w:tcW w:w="555" w:type="pct"/>
          </w:tcPr>
          <w:p>
            <w:pPr>
              <w:jc w:val="center"/>
              <w:rPr>
                <w:color w:val="000000"/>
                <w:sz w:val="18"/>
                <w:szCs w:val="18"/>
              </w:rPr>
            </w:pPr>
            <w:r>
              <w:rPr>
                <w:rFonts w:hint="eastAsia"/>
                <w:color w:val="000000"/>
                <w:sz w:val="18"/>
                <w:szCs w:val="18"/>
              </w:rPr>
              <w:t>横向</w:t>
            </w:r>
          </w:p>
        </w:tc>
        <w:tc>
          <w:tcPr>
            <w:tcW w:w="728" w:type="pct"/>
            <w:tcMar>
              <w:left w:w="28" w:type="dxa"/>
              <w:right w:w="28" w:type="dxa"/>
            </w:tcMar>
            <w:vAlign w:val="center"/>
          </w:tcPr>
          <w:p>
            <w:pPr>
              <w:jc w:val="center"/>
              <w:rPr>
                <w:color w:val="000000"/>
                <w:sz w:val="18"/>
                <w:szCs w:val="18"/>
              </w:rPr>
            </w:pPr>
            <w:r>
              <w:rPr>
                <w:color w:val="000000"/>
                <w:sz w:val="18"/>
                <w:szCs w:val="18"/>
              </w:rPr>
              <w:t>GB/T 2975</w:t>
            </w:r>
          </w:p>
        </w:tc>
        <w:tc>
          <w:tcPr>
            <w:tcW w:w="1686" w:type="pct"/>
            <w:vAlign w:val="center"/>
          </w:tcPr>
          <w:p>
            <w:pPr>
              <w:jc w:val="center"/>
              <w:rPr>
                <w:color w:val="000000"/>
                <w:sz w:val="18"/>
                <w:szCs w:val="18"/>
              </w:rPr>
            </w:pPr>
            <w:r>
              <w:rPr>
                <w:color w:val="000000"/>
                <w:sz w:val="18"/>
                <w:szCs w:val="18"/>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tcMar>
              <w:left w:w="28" w:type="dxa"/>
              <w:right w:w="28" w:type="dxa"/>
            </w:tcMar>
            <w:vAlign w:val="center"/>
          </w:tcPr>
          <w:p>
            <w:pPr>
              <w:jc w:val="center"/>
              <w:rPr>
                <w:color w:val="000000"/>
                <w:sz w:val="18"/>
                <w:szCs w:val="18"/>
              </w:rPr>
            </w:pPr>
            <w:r>
              <w:rPr>
                <w:rFonts w:hint="eastAsia"/>
                <w:color w:val="000000"/>
                <w:sz w:val="18"/>
                <w:szCs w:val="18"/>
              </w:rPr>
              <w:t>3</w:t>
            </w:r>
          </w:p>
        </w:tc>
        <w:tc>
          <w:tcPr>
            <w:tcW w:w="711" w:type="pct"/>
            <w:tcMar>
              <w:left w:w="28" w:type="dxa"/>
              <w:right w:w="28" w:type="dxa"/>
            </w:tcMar>
            <w:vAlign w:val="center"/>
          </w:tcPr>
          <w:p>
            <w:pPr>
              <w:jc w:val="center"/>
              <w:rPr>
                <w:color w:val="000000"/>
                <w:sz w:val="18"/>
                <w:szCs w:val="18"/>
              </w:rPr>
            </w:pPr>
            <w:r>
              <w:rPr>
                <w:rFonts w:hint="eastAsia"/>
                <w:color w:val="000000"/>
                <w:sz w:val="18"/>
                <w:szCs w:val="18"/>
              </w:rPr>
              <w:t>弯曲试验</w:t>
            </w:r>
          </w:p>
        </w:tc>
        <w:tc>
          <w:tcPr>
            <w:tcW w:w="1004" w:type="pct"/>
            <w:tcMar>
              <w:left w:w="28" w:type="dxa"/>
              <w:right w:w="28" w:type="dxa"/>
            </w:tcMar>
            <w:vAlign w:val="center"/>
          </w:tcPr>
          <w:p>
            <w:pPr>
              <w:jc w:val="center"/>
              <w:rPr>
                <w:color w:val="000000"/>
                <w:sz w:val="18"/>
                <w:szCs w:val="18"/>
              </w:rPr>
            </w:pPr>
            <w:r>
              <w:rPr>
                <w:rFonts w:hint="eastAsia"/>
                <w:color w:val="000000"/>
                <w:sz w:val="18"/>
                <w:szCs w:val="18"/>
              </w:rPr>
              <w:t>1个/批</w:t>
            </w:r>
          </w:p>
        </w:tc>
        <w:tc>
          <w:tcPr>
            <w:tcW w:w="555" w:type="pct"/>
          </w:tcPr>
          <w:p>
            <w:pPr>
              <w:jc w:val="center"/>
              <w:rPr>
                <w:color w:val="000000"/>
                <w:sz w:val="18"/>
                <w:szCs w:val="18"/>
              </w:rPr>
            </w:pPr>
            <w:r>
              <w:rPr>
                <w:rFonts w:hint="eastAsia"/>
                <w:color w:val="000000"/>
                <w:sz w:val="18"/>
                <w:szCs w:val="18"/>
              </w:rPr>
              <w:t>横向</w:t>
            </w:r>
          </w:p>
        </w:tc>
        <w:tc>
          <w:tcPr>
            <w:tcW w:w="728" w:type="pct"/>
            <w:tcMar>
              <w:left w:w="28" w:type="dxa"/>
              <w:right w:w="28" w:type="dxa"/>
            </w:tcMar>
            <w:vAlign w:val="center"/>
          </w:tcPr>
          <w:p>
            <w:pPr>
              <w:jc w:val="center"/>
              <w:rPr>
                <w:color w:val="000000"/>
                <w:sz w:val="18"/>
                <w:szCs w:val="18"/>
              </w:rPr>
            </w:pPr>
            <w:r>
              <w:rPr>
                <w:rFonts w:hint="eastAsia"/>
                <w:color w:val="000000"/>
                <w:sz w:val="18"/>
                <w:szCs w:val="18"/>
              </w:rPr>
              <w:t>G</w:t>
            </w:r>
            <w:r>
              <w:rPr>
                <w:color w:val="000000"/>
                <w:sz w:val="18"/>
                <w:szCs w:val="18"/>
              </w:rPr>
              <w:t>B/T 2975</w:t>
            </w:r>
          </w:p>
        </w:tc>
        <w:tc>
          <w:tcPr>
            <w:tcW w:w="1686" w:type="pct"/>
            <w:vAlign w:val="center"/>
          </w:tcPr>
          <w:p>
            <w:pPr>
              <w:jc w:val="center"/>
              <w:rPr>
                <w:color w:val="000000"/>
                <w:sz w:val="18"/>
                <w:szCs w:val="18"/>
              </w:rPr>
            </w:pPr>
            <w:r>
              <w:rPr>
                <w:rFonts w:hint="eastAsia"/>
                <w:color w:val="000000"/>
                <w:sz w:val="18"/>
                <w:szCs w:val="18"/>
              </w:rPr>
              <w:t>G</w:t>
            </w:r>
            <w:r>
              <w:rPr>
                <w:color w:val="000000"/>
                <w:sz w:val="18"/>
                <w:szCs w:val="18"/>
              </w:rPr>
              <w:t>B/T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tcMar>
              <w:left w:w="28" w:type="dxa"/>
              <w:right w:w="28" w:type="dxa"/>
            </w:tcMar>
            <w:vAlign w:val="center"/>
          </w:tcPr>
          <w:p>
            <w:pPr>
              <w:jc w:val="center"/>
              <w:rPr>
                <w:color w:val="000000"/>
                <w:sz w:val="18"/>
                <w:szCs w:val="18"/>
              </w:rPr>
            </w:pPr>
            <w:r>
              <w:rPr>
                <w:rFonts w:hint="eastAsia"/>
                <w:color w:val="000000"/>
                <w:sz w:val="18"/>
                <w:szCs w:val="18"/>
              </w:rPr>
              <w:t>5</w:t>
            </w:r>
          </w:p>
        </w:tc>
        <w:tc>
          <w:tcPr>
            <w:tcW w:w="711" w:type="pct"/>
            <w:tcMar>
              <w:left w:w="28" w:type="dxa"/>
              <w:right w:w="28" w:type="dxa"/>
            </w:tcMar>
            <w:vAlign w:val="center"/>
          </w:tcPr>
          <w:p>
            <w:pPr>
              <w:jc w:val="center"/>
              <w:rPr>
                <w:color w:val="000000"/>
                <w:sz w:val="18"/>
                <w:szCs w:val="18"/>
              </w:rPr>
            </w:pPr>
            <w:r>
              <w:rPr>
                <w:color w:val="000000"/>
                <w:sz w:val="18"/>
                <w:szCs w:val="18"/>
              </w:rPr>
              <w:t>冲击试验</w:t>
            </w:r>
          </w:p>
        </w:tc>
        <w:tc>
          <w:tcPr>
            <w:tcW w:w="1004" w:type="pct"/>
            <w:tcMar>
              <w:left w:w="28" w:type="dxa"/>
              <w:right w:w="28" w:type="dxa"/>
            </w:tcMar>
            <w:vAlign w:val="center"/>
          </w:tcPr>
          <w:p>
            <w:pPr>
              <w:jc w:val="center"/>
              <w:rPr>
                <w:color w:val="000000"/>
                <w:sz w:val="18"/>
                <w:szCs w:val="18"/>
              </w:rPr>
            </w:pPr>
            <w:r>
              <w:rPr>
                <w:color w:val="000000"/>
                <w:sz w:val="18"/>
                <w:szCs w:val="18"/>
              </w:rPr>
              <w:t>一组（3个）/批</w:t>
            </w:r>
          </w:p>
        </w:tc>
        <w:tc>
          <w:tcPr>
            <w:tcW w:w="555" w:type="pct"/>
          </w:tcPr>
          <w:p>
            <w:pPr>
              <w:jc w:val="center"/>
              <w:rPr>
                <w:color w:val="000000"/>
                <w:sz w:val="18"/>
                <w:szCs w:val="18"/>
              </w:rPr>
            </w:pPr>
            <w:r>
              <w:rPr>
                <w:rFonts w:hint="eastAsia"/>
                <w:color w:val="000000"/>
                <w:sz w:val="18"/>
                <w:szCs w:val="18"/>
              </w:rPr>
              <w:t>纵向</w:t>
            </w:r>
          </w:p>
        </w:tc>
        <w:tc>
          <w:tcPr>
            <w:tcW w:w="728" w:type="pct"/>
            <w:tcMar>
              <w:left w:w="28" w:type="dxa"/>
              <w:right w:w="28" w:type="dxa"/>
            </w:tcMar>
            <w:vAlign w:val="center"/>
          </w:tcPr>
          <w:p>
            <w:pPr>
              <w:jc w:val="center"/>
              <w:rPr>
                <w:color w:val="000000"/>
                <w:sz w:val="18"/>
                <w:szCs w:val="18"/>
              </w:rPr>
            </w:pPr>
            <w:r>
              <w:rPr>
                <w:color w:val="000000"/>
                <w:sz w:val="18"/>
                <w:szCs w:val="18"/>
              </w:rPr>
              <w:t>GB/T 2975</w:t>
            </w:r>
          </w:p>
        </w:tc>
        <w:tc>
          <w:tcPr>
            <w:tcW w:w="1686" w:type="pct"/>
            <w:vAlign w:val="center"/>
          </w:tcPr>
          <w:p>
            <w:pPr>
              <w:jc w:val="center"/>
              <w:rPr>
                <w:color w:val="000000"/>
                <w:sz w:val="18"/>
                <w:szCs w:val="18"/>
              </w:rPr>
            </w:pPr>
            <w:r>
              <w:rPr>
                <w:color w:val="000000"/>
                <w:sz w:val="18"/>
                <w:szCs w:val="18"/>
              </w:rPr>
              <w:t>GB/T 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tcMar>
              <w:left w:w="28" w:type="dxa"/>
              <w:right w:w="28" w:type="dxa"/>
            </w:tcMar>
            <w:vAlign w:val="center"/>
          </w:tcPr>
          <w:p>
            <w:pPr>
              <w:jc w:val="center"/>
              <w:rPr>
                <w:color w:val="000000"/>
                <w:spacing w:val="-2"/>
                <w:sz w:val="18"/>
                <w:szCs w:val="18"/>
              </w:rPr>
            </w:pPr>
            <w:r>
              <w:rPr>
                <w:rFonts w:hint="eastAsia"/>
                <w:color w:val="000000"/>
                <w:spacing w:val="-2"/>
                <w:sz w:val="18"/>
                <w:szCs w:val="18"/>
              </w:rPr>
              <w:t>6</w:t>
            </w:r>
          </w:p>
        </w:tc>
        <w:tc>
          <w:tcPr>
            <w:tcW w:w="711" w:type="pct"/>
            <w:tcMar>
              <w:left w:w="28" w:type="dxa"/>
              <w:right w:w="28" w:type="dxa"/>
            </w:tcMar>
            <w:vAlign w:val="center"/>
          </w:tcPr>
          <w:p>
            <w:pPr>
              <w:jc w:val="center"/>
              <w:rPr>
                <w:color w:val="000000"/>
                <w:spacing w:val="-2"/>
                <w:sz w:val="18"/>
                <w:szCs w:val="18"/>
              </w:rPr>
            </w:pPr>
            <w:r>
              <w:rPr>
                <w:color w:val="000000"/>
                <w:spacing w:val="-2"/>
                <w:sz w:val="18"/>
                <w:szCs w:val="18"/>
              </w:rPr>
              <w:t>尺寸、外形</w:t>
            </w:r>
          </w:p>
        </w:tc>
        <w:tc>
          <w:tcPr>
            <w:tcW w:w="1004" w:type="pct"/>
            <w:tcMar>
              <w:left w:w="28" w:type="dxa"/>
              <w:right w:w="28" w:type="dxa"/>
            </w:tcMar>
            <w:vAlign w:val="center"/>
          </w:tcPr>
          <w:p>
            <w:pPr>
              <w:jc w:val="center"/>
              <w:rPr>
                <w:color w:val="000000"/>
                <w:spacing w:val="-2"/>
                <w:sz w:val="18"/>
                <w:szCs w:val="18"/>
              </w:rPr>
            </w:pPr>
            <w:r>
              <w:rPr>
                <w:color w:val="000000"/>
                <w:spacing w:val="-2"/>
                <w:sz w:val="18"/>
                <w:szCs w:val="18"/>
              </w:rPr>
              <w:t>逐张</w:t>
            </w:r>
          </w:p>
        </w:tc>
        <w:tc>
          <w:tcPr>
            <w:tcW w:w="555" w:type="pct"/>
          </w:tcPr>
          <w:p>
            <w:pPr>
              <w:jc w:val="center"/>
              <w:rPr>
                <w:color w:val="000000"/>
                <w:sz w:val="18"/>
                <w:szCs w:val="18"/>
              </w:rPr>
            </w:pPr>
            <w:r>
              <w:rPr>
                <w:color w:val="000000"/>
                <w:sz w:val="18"/>
                <w:szCs w:val="18"/>
              </w:rPr>
              <w:t>—</w:t>
            </w:r>
          </w:p>
        </w:tc>
        <w:tc>
          <w:tcPr>
            <w:tcW w:w="728" w:type="pct"/>
            <w:tcMar>
              <w:left w:w="28" w:type="dxa"/>
              <w:right w:w="28" w:type="dxa"/>
            </w:tcMar>
            <w:vAlign w:val="center"/>
          </w:tcPr>
          <w:p>
            <w:pPr>
              <w:jc w:val="center"/>
              <w:rPr>
                <w:color w:val="000000"/>
              </w:rPr>
            </w:pPr>
            <w:r>
              <w:rPr>
                <w:color w:val="000000"/>
                <w:sz w:val="18"/>
                <w:szCs w:val="18"/>
              </w:rPr>
              <w:t>—</w:t>
            </w:r>
          </w:p>
        </w:tc>
        <w:tc>
          <w:tcPr>
            <w:tcW w:w="1686" w:type="pct"/>
            <w:vAlign w:val="center"/>
          </w:tcPr>
          <w:p>
            <w:pPr>
              <w:jc w:val="center"/>
              <w:rPr>
                <w:color w:val="000000"/>
                <w:spacing w:val="-2"/>
                <w:sz w:val="18"/>
                <w:szCs w:val="18"/>
              </w:rPr>
            </w:pPr>
            <w:r>
              <w:rPr>
                <w:color w:val="000000"/>
                <w:sz w:val="18"/>
                <w:szCs w:val="18"/>
              </w:rPr>
              <w:t>合适的量具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tcMar>
              <w:left w:w="28" w:type="dxa"/>
              <w:right w:w="28" w:type="dxa"/>
            </w:tcMar>
            <w:vAlign w:val="center"/>
          </w:tcPr>
          <w:p>
            <w:pPr>
              <w:jc w:val="center"/>
              <w:rPr>
                <w:color w:val="000000"/>
                <w:spacing w:val="-2"/>
                <w:sz w:val="18"/>
                <w:szCs w:val="18"/>
              </w:rPr>
            </w:pPr>
            <w:r>
              <w:rPr>
                <w:rFonts w:hint="eastAsia"/>
                <w:color w:val="000000"/>
                <w:spacing w:val="-2"/>
                <w:sz w:val="18"/>
                <w:szCs w:val="18"/>
              </w:rPr>
              <w:t>7</w:t>
            </w:r>
          </w:p>
        </w:tc>
        <w:tc>
          <w:tcPr>
            <w:tcW w:w="711" w:type="pct"/>
            <w:tcMar>
              <w:left w:w="28" w:type="dxa"/>
              <w:right w:w="28" w:type="dxa"/>
            </w:tcMar>
            <w:vAlign w:val="center"/>
          </w:tcPr>
          <w:p>
            <w:pPr>
              <w:jc w:val="center"/>
              <w:rPr>
                <w:color w:val="000000"/>
                <w:spacing w:val="-2"/>
                <w:sz w:val="18"/>
                <w:szCs w:val="18"/>
              </w:rPr>
            </w:pPr>
            <w:r>
              <w:rPr>
                <w:color w:val="000000"/>
                <w:spacing w:val="-2"/>
                <w:sz w:val="18"/>
                <w:szCs w:val="18"/>
              </w:rPr>
              <w:t>表面质量</w:t>
            </w:r>
          </w:p>
        </w:tc>
        <w:tc>
          <w:tcPr>
            <w:tcW w:w="1004" w:type="pct"/>
            <w:tcMar>
              <w:left w:w="28" w:type="dxa"/>
              <w:right w:w="28" w:type="dxa"/>
            </w:tcMar>
            <w:vAlign w:val="center"/>
          </w:tcPr>
          <w:p>
            <w:pPr>
              <w:jc w:val="center"/>
              <w:rPr>
                <w:color w:val="000000"/>
                <w:spacing w:val="-2"/>
                <w:sz w:val="18"/>
                <w:szCs w:val="18"/>
              </w:rPr>
            </w:pPr>
            <w:r>
              <w:rPr>
                <w:color w:val="000000"/>
                <w:spacing w:val="-2"/>
                <w:sz w:val="18"/>
                <w:szCs w:val="18"/>
              </w:rPr>
              <w:t>逐张</w:t>
            </w:r>
          </w:p>
        </w:tc>
        <w:tc>
          <w:tcPr>
            <w:tcW w:w="555" w:type="pct"/>
          </w:tcPr>
          <w:p>
            <w:pPr>
              <w:jc w:val="center"/>
              <w:rPr>
                <w:color w:val="000000"/>
                <w:sz w:val="18"/>
                <w:szCs w:val="18"/>
              </w:rPr>
            </w:pPr>
            <w:r>
              <w:rPr>
                <w:color w:val="000000"/>
                <w:sz w:val="18"/>
                <w:szCs w:val="18"/>
              </w:rPr>
              <w:t>—</w:t>
            </w:r>
          </w:p>
        </w:tc>
        <w:tc>
          <w:tcPr>
            <w:tcW w:w="728" w:type="pct"/>
            <w:tcMar>
              <w:left w:w="28" w:type="dxa"/>
              <w:right w:w="28" w:type="dxa"/>
            </w:tcMar>
            <w:vAlign w:val="center"/>
          </w:tcPr>
          <w:p>
            <w:pPr>
              <w:jc w:val="center"/>
              <w:rPr>
                <w:color w:val="000000"/>
                <w:spacing w:val="-2"/>
                <w:sz w:val="18"/>
                <w:szCs w:val="18"/>
              </w:rPr>
            </w:pPr>
            <w:r>
              <w:rPr>
                <w:color w:val="000000"/>
                <w:sz w:val="18"/>
                <w:szCs w:val="18"/>
              </w:rPr>
              <w:t>—</w:t>
            </w:r>
          </w:p>
        </w:tc>
        <w:tc>
          <w:tcPr>
            <w:tcW w:w="1686" w:type="pct"/>
            <w:vAlign w:val="center"/>
          </w:tcPr>
          <w:p>
            <w:pPr>
              <w:jc w:val="center"/>
              <w:rPr>
                <w:color w:val="000000"/>
                <w:spacing w:val="-2"/>
                <w:sz w:val="18"/>
                <w:szCs w:val="18"/>
              </w:rPr>
            </w:pPr>
            <w:r>
              <w:rPr>
                <w:color w:val="000000"/>
                <w:spacing w:val="-2"/>
                <w:sz w:val="18"/>
                <w:szCs w:val="18"/>
              </w:rPr>
              <w:t>目视及测量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tcMar>
              <w:left w:w="28" w:type="dxa"/>
              <w:right w:w="28" w:type="dxa"/>
            </w:tcMar>
            <w:vAlign w:val="center"/>
          </w:tcPr>
          <w:p>
            <w:pPr>
              <w:jc w:val="center"/>
              <w:rPr>
                <w:color w:val="000000"/>
                <w:spacing w:val="-2"/>
                <w:sz w:val="18"/>
                <w:szCs w:val="18"/>
              </w:rPr>
            </w:pPr>
            <w:r>
              <w:rPr>
                <w:rFonts w:hint="eastAsia"/>
                <w:color w:val="000000"/>
                <w:spacing w:val="-2"/>
                <w:sz w:val="18"/>
                <w:szCs w:val="18"/>
              </w:rPr>
              <w:t>8</w:t>
            </w:r>
          </w:p>
        </w:tc>
        <w:tc>
          <w:tcPr>
            <w:tcW w:w="711" w:type="pct"/>
            <w:shd w:val="clear" w:color="auto" w:fill="auto"/>
            <w:tcMar>
              <w:left w:w="28" w:type="dxa"/>
              <w:right w:w="28" w:type="dxa"/>
            </w:tcMar>
            <w:vAlign w:val="center"/>
          </w:tcPr>
          <w:p>
            <w:pPr>
              <w:jc w:val="center"/>
              <w:rPr>
                <w:color w:val="000000"/>
                <w:sz w:val="18"/>
                <w:szCs w:val="18"/>
              </w:rPr>
            </w:pPr>
            <w:r>
              <w:rPr>
                <w:color w:val="000000"/>
                <w:sz w:val="18"/>
                <w:szCs w:val="18"/>
              </w:rPr>
              <w:t>超声检测</w:t>
            </w:r>
          </w:p>
        </w:tc>
        <w:tc>
          <w:tcPr>
            <w:tcW w:w="1004" w:type="pct"/>
            <w:shd w:val="clear" w:color="auto" w:fill="auto"/>
            <w:tcMar>
              <w:left w:w="28" w:type="dxa"/>
              <w:right w:w="28" w:type="dxa"/>
            </w:tcMar>
            <w:vAlign w:val="center"/>
          </w:tcPr>
          <w:p>
            <w:pPr>
              <w:jc w:val="center"/>
              <w:rPr>
                <w:color w:val="000000"/>
                <w:sz w:val="18"/>
                <w:szCs w:val="18"/>
              </w:rPr>
            </w:pPr>
            <w:r>
              <w:rPr>
                <w:color w:val="000000"/>
                <w:spacing w:val="-2"/>
                <w:sz w:val="18"/>
                <w:szCs w:val="18"/>
              </w:rPr>
              <w:t>逐张</w:t>
            </w:r>
          </w:p>
        </w:tc>
        <w:tc>
          <w:tcPr>
            <w:tcW w:w="555" w:type="pct"/>
          </w:tcPr>
          <w:p>
            <w:pPr>
              <w:jc w:val="center"/>
              <w:rPr>
                <w:color w:val="000000"/>
                <w:sz w:val="18"/>
                <w:szCs w:val="18"/>
              </w:rPr>
            </w:pPr>
            <w:r>
              <w:rPr>
                <w:color w:val="000000"/>
                <w:sz w:val="18"/>
                <w:szCs w:val="18"/>
              </w:rPr>
              <w:t>—</w:t>
            </w:r>
          </w:p>
        </w:tc>
        <w:tc>
          <w:tcPr>
            <w:tcW w:w="728" w:type="pct"/>
            <w:shd w:val="clear" w:color="auto" w:fill="auto"/>
            <w:tcMar>
              <w:left w:w="28" w:type="dxa"/>
              <w:right w:w="28" w:type="dxa"/>
            </w:tcMar>
            <w:vAlign w:val="center"/>
          </w:tcPr>
          <w:p>
            <w:pPr>
              <w:jc w:val="center"/>
              <w:rPr>
                <w:color w:val="000000"/>
                <w:sz w:val="18"/>
                <w:szCs w:val="18"/>
              </w:rPr>
            </w:pPr>
            <w:r>
              <w:rPr>
                <w:color w:val="000000"/>
                <w:sz w:val="18"/>
                <w:szCs w:val="18"/>
              </w:rPr>
              <w:t>—</w:t>
            </w:r>
          </w:p>
        </w:tc>
        <w:tc>
          <w:tcPr>
            <w:tcW w:w="1686" w:type="pct"/>
            <w:shd w:val="clear" w:color="auto" w:fill="auto"/>
            <w:vAlign w:val="center"/>
          </w:tcPr>
          <w:p>
            <w:pPr>
              <w:jc w:val="center"/>
              <w:rPr>
                <w:color w:val="000000"/>
                <w:sz w:val="18"/>
                <w:szCs w:val="18"/>
              </w:rPr>
            </w:pPr>
            <w:r>
              <w:rPr>
                <w:rFonts w:hint="eastAsia"/>
                <w:color w:val="000000"/>
                <w:sz w:val="18"/>
                <w:szCs w:val="18"/>
              </w:rPr>
              <w:t>G</w:t>
            </w:r>
            <w:r>
              <w:rPr>
                <w:color w:val="000000"/>
                <w:sz w:val="18"/>
                <w:szCs w:val="18"/>
              </w:rPr>
              <w:t>B/T 2970</w:t>
            </w:r>
          </w:p>
        </w:tc>
      </w:tr>
      <w:bookmarkEnd w:id="38"/>
      <w:bookmarkEnd w:id="39"/>
    </w:tbl>
    <w:p>
      <w:pPr>
        <w:pStyle w:val="46"/>
        <w:numPr>
          <w:ilvl w:val="0"/>
          <w:numId w:val="1"/>
        </w:numPr>
        <w:spacing w:before="312" w:after="312"/>
        <w:rPr>
          <w:rFonts w:ascii="Times New Roman"/>
        </w:rPr>
      </w:pPr>
      <w:r>
        <w:rPr>
          <w:rFonts w:ascii="Times New Roman"/>
        </w:rPr>
        <w:t>检验规则</w:t>
      </w:r>
    </w:p>
    <w:p>
      <w:pPr>
        <w:pStyle w:val="48"/>
        <w:spacing w:before="156" w:after="156"/>
        <w:ind w:left="0"/>
        <w:rPr>
          <w:rFonts w:ascii="Times New Roman"/>
        </w:rPr>
      </w:pPr>
      <w:r>
        <w:rPr>
          <w:rFonts w:ascii="Times New Roman"/>
        </w:rPr>
        <w:t>检查和验收</w:t>
      </w:r>
    </w:p>
    <w:p>
      <w:pPr>
        <w:pStyle w:val="144"/>
        <w:ind w:left="374" w:firstLine="0" w:firstLineChars="0"/>
        <w:rPr>
          <w:rFonts w:ascii="Times New Roman" w:hAnsi="Times New Roman"/>
        </w:rPr>
      </w:pPr>
      <w:bookmarkStart w:id="40" w:name="_Hlk73507193"/>
      <w:r>
        <w:rPr>
          <w:rFonts w:ascii="Times New Roman" w:hAnsi="Times New Roman"/>
        </w:rPr>
        <w:t>钢板的检查和验收由供方质量检验部门进行。</w:t>
      </w:r>
    </w:p>
    <w:bookmarkEnd w:id="40"/>
    <w:p>
      <w:pPr>
        <w:pStyle w:val="48"/>
        <w:spacing w:before="156" w:after="156"/>
        <w:ind w:left="0"/>
        <w:rPr>
          <w:rFonts w:ascii="Times New Roman"/>
        </w:rPr>
      </w:pPr>
      <w:r>
        <w:rPr>
          <w:rFonts w:ascii="Times New Roman"/>
        </w:rPr>
        <w:t>组批规则</w:t>
      </w:r>
    </w:p>
    <w:p>
      <w:pPr>
        <w:pStyle w:val="51"/>
        <w:spacing w:beforeLines="0" w:afterLines="0"/>
        <w:rPr>
          <w:rFonts w:ascii="Times New Roman" w:eastAsia="宋体"/>
        </w:rPr>
      </w:pPr>
      <w:bookmarkStart w:id="41" w:name="_Hlk150933431"/>
      <w:bookmarkStart w:id="42" w:name="_Hlk73507218"/>
      <w:r>
        <w:rPr>
          <w:rFonts w:ascii="Times New Roman" w:eastAsia="宋体"/>
        </w:rPr>
        <w:t>钢板应成批验收。每批应由同一牌号、同一炉号、同一厚度、同一轧制制度或热处理制度的钢板组成，每批重量不大于60 t</w:t>
      </w:r>
      <w:bookmarkEnd w:id="41"/>
      <w:r>
        <w:rPr>
          <w:rFonts w:ascii="Times New Roman" w:eastAsia="宋体"/>
        </w:rPr>
        <w:t>。</w:t>
      </w:r>
    </w:p>
    <w:p>
      <w:pPr>
        <w:pStyle w:val="51"/>
        <w:spacing w:beforeLines="0" w:afterLines="0"/>
        <w:rPr>
          <w:rFonts w:ascii="Times New Roman" w:eastAsia="宋体"/>
        </w:rPr>
      </w:pPr>
      <w:r>
        <w:rPr>
          <w:rFonts w:ascii="Times New Roman" w:eastAsia="宋体"/>
        </w:rPr>
        <w:t>根据用户需求，也可按逐轧制张组批，需方应在合同中注明。</w:t>
      </w:r>
    </w:p>
    <w:p>
      <w:pPr>
        <w:pStyle w:val="48"/>
        <w:spacing w:before="156" w:after="156"/>
        <w:ind w:left="0"/>
        <w:rPr>
          <w:rFonts w:ascii="Times New Roman"/>
        </w:rPr>
      </w:pPr>
      <w:r>
        <w:rPr>
          <w:rFonts w:ascii="Times New Roman"/>
        </w:rPr>
        <w:t>取样数量</w:t>
      </w:r>
    </w:p>
    <w:p>
      <w:pPr>
        <w:pStyle w:val="23"/>
        <w:rPr>
          <w:rFonts w:ascii="Times New Roman"/>
        </w:rPr>
      </w:pPr>
      <w:r>
        <w:rPr>
          <w:rFonts w:ascii="Times New Roman"/>
        </w:rPr>
        <w:t>钢板的取样数量和取样方法应符合表4的规定。</w:t>
      </w:r>
    </w:p>
    <w:bookmarkEnd w:id="42"/>
    <w:p>
      <w:pPr>
        <w:pStyle w:val="48"/>
        <w:spacing w:before="156" w:after="156"/>
        <w:ind w:left="0"/>
        <w:rPr>
          <w:rFonts w:ascii="Times New Roman"/>
        </w:rPr>
      </w:pPr>
      <w:r>
        <w:rPr>
          <w:rFonts w:ascii="Times New Roman"/>
        </w:rPr>
        <w:t>复验和判定规则</w:t>
      </w:r>
    </w:p>
    <w:p>
      <w:pPr>
        <w:pStyle w:val="51"/>
        <w:spacing w:beforeLines="0" w:afterLines="0"/>
        <w:rPr>
          <w:rFonts w:ascii="Times New Roman" w:eastAsia="宋体"/>
        </w:rPr>
      </w:pPr>
      <w:bookmarkStart w:id="43" w:name="_Hlk73507318"/>
      <w:r>
        <w:rPr>
          <w:rFonts w:ascii="Times New Roman" w:eastAsia="宋体"/>
        </w:rPr>
        <w:t>钢板的复验与判定应符合 GB/T 17505 的规定。</w:t>
      </w:r>
    </w:p>
    <w:bookmarkEnd w:id="43"/>
    <w:p>
      <w:pPr>
        <w:pStyle w:val="48"/>
        <w:spacing w:before="156" w:after="156"/>
        <w:ind w:left="0"/>
        <w:rPr>
          <w:rFonts w:ascii="Times New Roman"/>
        </w:rPr>
      </w:pPr>
      <w:r>
        <w:rPr>
          <w:rFonts w:ascii="Times New Roman"/>
        </w:rPr>
        <w:t>数值修约</w:t>
      </w:r>
    </w:p>
    <w:p>
      <w:pPr>
        <w:ind w:firstLine="420" w:firstLineChars="200"/>
      </w:pPr>
      <w:bookmarkStart w:id="44" w:name="_Hlk73507347"/>
      <w:r>
        <w:t>数值判定采用修约值比较法进行修约，修约规则应符合GB/T 8170的规定。</w:t>
      </w:r>
    </w:p>
    <w:bookmarkEnd w:id="44"/>
    <w:p>
      <w:pPr>
        <w:pStyle w:val="46"/>
        <w:numPr>
          <w:ilvl w:val="0"/>
          <w:numId w:val="1"/>
        </w:numPr>
        <w:spacing w:before="312" w:after="312"/>
        <w:rPr>
          <w:rFonts w:ascii="Times New Roman"/>
        </w:rPr>
      </w:pPr>
      <w:r>
        <w:rPr>
          <w:rFonts w:ascii="Times New Roman"/>
        </w:rPr>
        <w:t>包装、标志和质量证明书</w:t>
      </w:r>
    </w:p>
    <w:p>
      <w:pPr>
        <w:pStyle w:val="144"/>
        <w:ind w:left="374" w:firstLine="0" w:firstLineChars="0"/>
        <w:rPr>
          <w:rFonts w:ascii="Times New Roman" w:hAnsi="Times New Roman"/>
        </w:rPr>
      </w:pPr>
      <w:bookmarkStart w:id="45" w:name="_Hlk73507429"/>
      <w:r>
        <w:rPr>
          <w:rFonts w:ascii="Times New Roman" w:hAnsi="Times New Roman"/>
        </w:rPr>
        <w:t>钢板的包装、标志、质量证明书应符合GB/T 247的规定。</w:t>
      </w:r>
      <w:bookmarkEnd w:id="45"/>
    </w:p>
    <w:p>
      <w:pPr>
        <w:widowControl/>
        <w:jc w:val="left"/>
        <w:rPr>
          <w:szCs w:val="22"/>
        </w:rPr>
      </w:pPr>
      <w:r>
        <mc:AlternateContent>
          <mc:Choice Requires="wps">
            <w:drawing>
              <wp:anchor distT="0" distB="0" distL="114300" distR="114300" simplePos="0" relativeHeight="251659264" behindDoc="0" locked="0" layoutInCell="1" allowOverlap="1">
                <wp:simplePos x="0" y="0"/>
                <wp:positionH relativeFrom="column">
                  <wp:posOffset>2183765</wp:posOffset>
                </wp:positionH>
                <wp:positionV relativeFrom="paragraph">
                  <wp:posOffset>572135</wp:posOffset>
                </wp:positionV>
                <wp:extent cx="1465580" cy="0"/>
                <wp:effectExtent l="0" t="0" r="0" b="0"/>
                <wp:wrapNone/>
                <wp:docPr id="2" name="AutoShape 4"/>
                <wp:cNvGraphicFramePr/>
                <a:graphic xmlns:a="http://schemas.openxmlformats.org/drawingml/2006/main">
                  <a:graphicData uri="http://schemas.microsoft.com/office/word/2010/wordprocessingShape">
                    <wps:wsp>
                      <wps:cNvCnPr>
                        <a:cxnSpLocks noChangeShapeType="1"/>
                      </wps:cNvCnPr>
                      <wps:spPr bwMode="auto">
                        <a:xfrm>
                          <a:off x="0" y="0"/>
                          <a:ext cx="1465580"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171.95pt;margin-top:45.05pt;height:0pt;width:115.4pt;z-index:251659264;mso-width-relative:page;mso-height-relative:page;" filled="f" stroked="t" coordsize="21600,21600" o:gfxdata="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SFQjYAAAACQEAAA8AAAAAAAAAAQAg&#10;AAAAIgAAAGRycy9kb3ducmV2LnhtbFBLAQIUABQAAAAIAIdO4kDfuawU1QEAALIDAAAOAAAAAAAA&#10;AAEAIAAAACcBAABkcnMvZTJvRG9jLnhtbFBLBQYAAAAABgAGAFkBAABuBQAAAAA=&#10;">
                <v:fill on="f" focussize="0,0"/>
                <v:stroke color="#000000" joinstyle="round"/>
                <v:imagedata o:title=""/>
                <o:lock v:ext="edit" aspectratio="f"/>
              </v:shape>
            </w:pict>
          </mc:Fallback>
        </mc:AlternateContent>
      </w:r>
    </w:p>
    <w:sectPr>
      <w:headerReference r:id="rId12"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docPartObj>
        <w:docPartGallery w:val="autotext"/>
      </w:docPartObj>
    </w:sdtPr>
    <w:sdtContent>
      <w:p>
        <w:pPr>
          <w:pStyle w:val="17"/>
          <w:jc w:val="left"/>
        </w:pPr>
        <w:r>
          <w:fldChar w:fldCharType="begin"/>
        </w:r>
        <w:r>
          <w:instrText xml:space="preserve">PAGE   \* MERGEFORMAT</w:instrText>
        </w:r>
        <w:r>
          <w:fldChar w:fldCharType="separate"/>
        </w:r>
        <w:r>
          <w:rPr>
            <w:lang w:val="zh-CN"/>
          </w:rPr>
          <w:t>4</w:t>
        </w:r>
        <w:r>
          <w:rPr>
            <w:lang w:val="zh-CN"/>
          </w:rPr>
          <w:fldChar w:fldCharType="end"/>
        </w:r>
      </w:p>
    </w:sdtContent>
  </w:sdt>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43371"/>
    <w:multiLevelType w:val="multilevel"/>
    <w:tmpl w:val="14943371"/>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113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78"/>
      <w:suff w:val="nothing"/>
      <w:lvlText w:val="表%1　"/>
      <w:lvlJc w:val="left"/>
      <w:pPr>
        <w:ind w:left="3261" w:firstLine="0"/>
      </w:pPr>
      <w:rPr>
        <w:rFonts w:hint="eastAsia" w:ascii="黑体" w:hAnsi="Times New Roman" w:eastAsia="黑体"/>
        <w:b w:val="0"/>
        <w:i w:val="0"/>
        <w:dstrike w:val="0"/>
        <w:sz w:val="21"/>
        <w:lang w:val="en-US"/>
      </w:rPr>
    </w:lvl>
    <w:lvl w:ilvl="1" w:tentative="0">
      <w:start w:val="1"/>
      <w:numFmt w:val="decimal"/>
      <w:lvlText w:val="%1.%2"/>
      <w:lvlJc w:val="left"/>
      <w:pPr>
        <w:tabs>
          <w:tab w:val="left" w:pos="142"/>
        </w:tabs>
        <w:ind w:left="142" w:hanging="567"/>
      </w:pPr>
      <w:rPr>
        <w:rFonts w:hint="eastAsia"/>
      </w:rPr>
    </w:lvl>
    <w:lvl w:ilvl="2" w:tentative="0">
      <w:start w:val="1"/>
      <w:numFmt w:val="decimal"/>
      <w:lvlText w:val="%1.%2.%3"/>
      <w:lvlJc w:val="left"/>
      <w:pPr>
        <w:tabs>
          <w:tab w:val="left" w:pos="568"/>
        </w:tabs>
        <w:ind w:left="568" w:hanging="567"/>
      </w:pPr>
      <w:rPr>
        <w:rFonts w:hint="eastAsia"/>
      </w:rPr>
    </w:lvl>
    <w:lvl w:ilvl="3" w:tentative="0">
      <w:start w:val="1"/>
      <w:numFmt w:val="decimal"/>
      <w:lvlText w:val="%1.%2.%3.%4"/>
      <w:lvlJc w:val="left"/>
      <w:pPr>
        <w:tabs>
          <w:tab w:val="left" w:pos="1134"/>
        </w:tabs>
        <w:ind w:left="1134" w:hanging="708"/>
      </w:pPr>
      <w:rPr>
        <w:rFonts w:hint="eastAsia"/>
      </w:rPr>
    </w:lvl>
    <w:lvl w:ilvl="4" w:tentative="0">
      <w:start w:val="1"/>
      <w:numFmt w:val="decimal"/>
      <w:lvlText w:val="%1.%2.%3.%4.%5"/>
      <w:lvlJc w:val="left"/>
      <w:pPr>
        <w:tabs>
          <w:tab w:val="left" w:pos="1701"/>
        </w:tabs>
        <w:ind w:left="1701" w:hanging="850"/>
      </w:pPr>
      <w:rPr>
        <w:rFonts w:hint="eastAsia"/>
      </w:rPr>
    </w:lvl>
    <w:lvl w:ilvl="5" w:tentative="0">
      <w:start w:val="1"/>
      <w:numFmt w:val="decimal"/>
      <w:lvlText w:val="%1.%2.%3.%4.%5.%6"/>
      <w:lvlJc w:val="left"/>
      <w:pPr>
        <w:tabs>
          <w:tab w:val="left" w:pos="2410"/>
        </w:tabs>
        <w:ind w:left="2410" w:hanging="1134"/>
      </w:pPr>
      <w:rPr>
        <w:rFonts w:hint="eastAsia"/>
      </w:rPr>
    </w:lvl>
    <w:lvl w:ilvl="6" w:tentative="0">
      <w:start w:val="1"/>
      <w:numFmt w:val="decimal"/>
      <w:lvlText w:val="%1.%2.%3.%4.%5.%6.%7"/>
      <w:lvlJc w:val="left"/>
      <w:pPr>
        <w:tabs>
          <w:tab w:val="left" w:pos="2977"/>
        </w:tabs>
        <w:ind w:left="2977" w:hanging="1276"/>
      </w:pPr>
      <w:rPr>
        <w:rFonts w:hint="eastAsia"/>
      </w:rPr>
    </w:lvl>
    <w:lvl w:ilvl="7" w:tentative="0">
      <w:start w:val="1"/>
      <w:numFmt w:val="decimal"/>
      <w:lvlText w:val="%1.%2.%3.%4.%5.%6.%7.%8"/>
      <w:lvlJc w:val="left"/>
      <w:pPr>
        <w:tabs>
          <w:tab w:val="left" w:pos="3544"/>
        </w:tabs>
        <w:ind w:left="3544" w:hanging="1418"/>
      </w:pPr>
      <w:rPr>
        <w:rFonts w:hint="eastAsia"/>
      </w:rPr>
    </w:lvl>
    <w:lvl w:ilvl="8" w:tentative="0">
      <w:start w:val="1"/>
      <w:numFmt w:val="decimal"/>
      <w:lvlText w:val="%1.%2.%3.%4.%5.%6.%7.%8.%9"/>
      <w:lvlJc w:val="left"/>
      <w:pPr>
        <w:tabs>
          <w:tab w:val="left" w:pos="4252"/>
        </w:tabs>
        <w:ind w:left="425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244"/>
    <w:rsid w:val="00001266"/>
    <w:rsid w:val="0000185F"/>
    <w:rsid w:val="00001EDD"/>
    <w:rsid w:val="0000525E"/>
    <w:rsid w:val="0000586F"/>
    <w:rsid w:val="00005D79"/>
    <w:rsid w:val="00007340"/>
    <w:rsid w:val="00013D86"/>
    <w:rsid w:val="00013E02"/>
    <w:rsid w:val="000151B2"/>
    <w:rsid w:val="00016427"/>
    <w:rsid w:val="00016966"/>
    <w:rsid w:val="00017E7B"/>
    <w:rsid w:val="00020414"/>
    <w:rsid w:val="00020E6E"/>
    <w:rsid w:val="0002143C"/>
    <w:rsid w:val="00022016"/>
    <w:rsid w:val="00024EC6"/>
    <w:rsid w:val="00025A65"/>
    <w:rsid w:val="00026145"/>
    <w:rsid w:val="000267B2"/>
    <w:rsid w:val="00026C31"/>
    <w:rsid w:val="00027280"/>
    <w:rsid w:val="00027DFC"/>
    <w:rsid w:val="000306E3"/>
    <w:rsid w:val="000320A7"/>
    <w:rsid w:val="00035925"/>
    <w:rsid w:val="000366F4"/>
    <w:rsid w:val="00037633"/>
    <w:rsid w:val="00037DAC"/>
    <w:rsid w:val="00041127"/>
    <w:rsid w:val="000431C0"/>
    <w:rsid w:val="000452CE"/>
    <w:rsid w:val="0004569D"/>
    <w:rsid w:val="00045C9B"/>
    <w:rsid w:val="000466F7"/>
    <w:rsid w:val="00047C59"/>
    <w:rsid w:val="0005140E"/>
    <w:rsid w:val="0005292E"/>
    <w:rsid w:val="00053E40"/>
    <w:rsid w:val="0005610D"/>
    <w:rsid w:val="00057EFE"/>
    <w:rsid w:val="0006253B"/>
    <w:rsid w:val="00063162"/>
    <w:rsid w:val="000639E9"/>
    <w:rsid w:val="00063E76"/>
    <w:rsid w:val="00067CDF"/>
    <w:rsid w:val="00071747"/>
    <w:rsid w:val="00071A67"/>
    <w:rsid w:val="00073222"/>
    <w:rsid w:val="00074FBE"/>
    <w:rsid w:val="00075BE2"/>
    <w:rsid w:val="000772BB"/>
    <w:rsid w:val="00077E45"/>
    <w:rsid w:val="000818DD"/>
    <w:rsid w:val="00083A09"/>
    <w:rsid w:val="0009005E"/>
    <w:rsid w:val="00090E08"/>
    <w:rsid w:val="00092857"/>
    <w:rsid w:val="000946E3"/>
    <w:rsid w:val="000A0454"/>
    <w:rsid w:val="000A20A9"/>
    <w:rsid w:val="000A37DF"/>
    <w:rsid w:val="000A3B20"/>
    <w:rsid w:val="000A48B1"/>
    <w:rsid w:val="000A5495"/>
    <w:rsid w:val="000A619A"/>
    <w:rsid w:val="000B1418"/>
    <w:rsid w:val="000B2F77"/>
    <w:rsid w:val="000B3143"/>
    <w:rsid w:val="000B6BA0"/>
    <w:rsid w:val="000C2EE2"/>
    <w:rsid w:val="000C30C7"/>
    <w:rsid w:val="000C6B05"/>
    <w:rsid w:val="000C6DD6"/>
    <w:rsid w:val="000C7164"/>
    <w:rsid w:val="000C73D4"/>
    <w:rsid w:val="000D03F1"/>
    <w:rsid w:val="000D114F"/>
    <w:rsid w:val="000D379C"/>
    <w:rsid w:val="000D3D4C"/>
    <w:rsid w:val="000D4406"/>
    <w:rsid w:val="000D4505"/>
    <w:rsid w:val="000D4F51"/>
    <w:rsid w:val="000D718B"/>
    <w:rsid w:val="000E01C6"/>
    <w:rsid w:val="000E0C46"/>
    <w:rsid w:val="000E3838"/>
    <w:rsid w:val="000E3EC7"/>
    <w:rsid w:val="000E749B"/>
    <w:rsid w:val="000E7D49"/>
    <w:rsid w:val="000F030C"/>
    <w:rsid w:val="000F04B4"/>
    <w:rsid w:val="000F1191"/>
    <w:rsid w:val="000F129C"/>
    <w:rsid w:val="000F303F"/>
    <w:rsid w:val="000F30CB"/>
    <w:rsid w:val="000F374C"/>
    <w:rsid w:val="000F37E3"/>
    <w:rsid w:val="000F7539"/>
    <w:rsid w:val="000F7A4A"/>
    <w:rsid w:val="001056DE"/>
    <w:rsid w:val="00106993"/>
    <w:rsid w:val="0011126A"/>
    <w:rsid w:val="00111863"/>
    <w:rsid w:val="001124C0"/>
    <w:rsid w:val="0011255E"/>
    <w:rsid w:val="00116CAB"/>
    <w:rsid w:val="001221D7"/>
    <w:rsid w:val="00122B7B"/>
    <w:rsid w:val="00125B46"/>
    <w:rsid w:val="001278EF"/>
    <w:rsid w:val="0013175F"/>
    <w:rsid w:val="00131941"/>
    <w:rsid w:val="00131EE5"/>
    <w:rsid w:val="00132C41"/>
    <w:rsid w:val="001331D4"/>
    <w:rsid w:val="00134999"/>
    <w:rsid w:val="0013783E"/>
    <w:rsid w:val="0014015E"/>
    <w:rsid w:val="001409E0"/>
    <w:rsid w:val="001433B1"/>
    <w:rsid w:val="001441A1"/>
    <w:rsid w:val="001469FA"/>
    <w:rsid w:val="001512B4"/>
    <w:rsid w:val="00152179"/>
    <w:rsid w:val="00153969"/>
    <w:rsid w:val="00154746"/>
    <w:rsid w:val="00154A8E"/>
    <w:rsid w:val="0015626C"/>
    <w:rsid w:val="00156D41"/>
    <w:rsid w:val="00160652"/>
    <w:rsid w:val="001620A5"/>
    <w:rsid w:val="00163A69"/>
    <w:rsid w:val="00164E53"/>
    <w:rsid w:val="0016686F"/>
    <w:rsid w:val="0016699D"/>
    <w:rsid w:val="001701E9"/>
    <w:rsid w:val="00170D62"/>
    <w:rsid w:val="0017259F"/>
    <w:rsid w:val="001747C1"/>
    <w:rsid w:val="00175159"/>
    <w:rsid w:val="00175477"/>
    <w:rsid w:val="00176208"/>
    <w:rsid w:val="0017711B"/>
    <w:rsid w:val="0018211B"/>
    <w:rsid w:val="00183712"/>
    <w:rsid w:val="001840D3"/>
    <w:rsid w:val="00185FB4"/>
    <w:rsid w:val="00186BF7"/>
    <w:rsid w:val="00187A9A"/>
    <w:rsid w:val="001900F8"/>
    <w:rsid w:val="0019112B"/>
    <w:rsid w:val="00191258"/>
    <w:rsid w:val="00192680"/>
    <w:rsid w:val="00193037"/>
    <w:rsid w:val="00193A2C"/>
    <w:rsid w:val="0019679A"/>
    <w:rsid w:val="00197D88"/>
    <w:rsid w:val="001A01D4"/>
    <w:rsid w:val="001A0CE5"/>
    <w:rsid w:val="001A167D"/>
    <w:rsid w:val="001A288E"/>
    <w:rsid w:val="001A32EE"/>
    <w:rsid w:val="001A3890"/>
    <w:rsid w:val="001A4764"/>
    <w:rsid w:val="001A7B82"/>
    <w:rsid w:val="001B5B9E"/>
    <w:rsid w:val="001B5E5F"/>
    <w:rsid w:val="001B6DC2"/>
    <w:rsid w:val="001B7CAF"/>
    <w:rsid w:val="001C149C"/>
    <w:rsid w:val="001C1740"/>
    <w:rsid w:val="001C21AC"/>
    <w:rsid w:val="001C2C74"/>
    <w:rsid w:val="001C459C"/>
    <w:rsid w:val="001C47BA"/>
    <w:rsid w:val="001C59EA"/>
    <w:rsid w:val="001C71B3"/>
    <w:rsid w:val="001D406C"/>
    <w:rsid w:val="001D41EE"/>
    <w:rsid w:val="001D4EC2"/>
    <w:rsid w:val="001D6160"/>
    <w:rsid w:val="001D68C7"/>
    <w:rsid w:val="001E022E"/>
    <w:rsid w:val="001E0380"/>
    <w:rsid w:val="001E13B1"/>
    <w:rsid w:val="001E55B7"/>
    <w:rsid w:val="001E666F"/>
    <w:rsid w:val="001E69DB"/>
    <w:rsid w:val="001F2F7C"/>
    <w:rsid w:val="001F3A19"/>
    <w:rsid w:val="001F3BC3"/>
    <w:rsid w:val="001F5F73"/>
    <w:rsid w:val="001F64B3"/>
    <w:rsid w:val="001F73E5"/>
    <w:rsid w:val="002002E4"/>
    <w:rsid w:val="00204239"/>
    <w:rsid w:val="00206EC1"/>
    <w:rsid w:val="00211E41"/>
    <w:rsid w:val="002160BE"/>
    <w:rsid w:val="0022046A"/>
    <w:rsid w:val="00220BCA"/>
    <w:rsid w:val="00223618"/>
    <w:rsid w:val="0022368D"/>
    <w:rsid w:val="00225370"/>
    <w:rsid w:val="0023008B"/>
    <w:rsid w:val="00231142"/>
    <w:rsid w:val="00231970"/>
    <w:rsid w:val="0023382E"/>
    <w:rsid w:val="00234467"/>
    <w:rsid w:val="00236FDB"/>
    <w:rsid w:val="00237D8D"/>
    <w:rsid w:val="00240622"/>
    <w:rsid w:val="00240FE6"/>
    <w:rsid w:val="00241DA2"/>
    <w:rsid w:val="002446C3"/>
    <w:rsid w:val="00245B95"/>
    <w:rsid w:val="00247FEE"/>
    <w:rsid w:val="00250E7D"/>
    <w:rsid w:val="00253C2D"/>
    <w:rsid w:val="00254FBD"/>
    <w:rsid w:val="0025577E"/>
    <w:rsid w:val="002565D5"/>
    <w:rsid w:val="00257415"/>
    <w:rsid w:val="0025757B"/>
    <w:rsid w:val="00257C39"/>
    <w:rsid w:val="002622C0"/>
    <w:rsid w:val="00262D2E"/>
    <w:rsid w:val="00262D55"/>
    <w:rsid w:val="00264B63"/>
    <w:rsid w:val="00264F9B"/>
    <w:rsid w:val="0026634A"/>
    <w:rsid w:val="00266923"/>
    <w:rsid w:val="002671CB"/>
    <w:rsid w:val="00271476"/>
    <w:rsid w:val="0027201B"/>
    <w:rsid w:val="002759BB"/>
    <w:rsid w:val="00276B08"/>
    <w:rsid w:val="002778AE"/>
    <w:rsid w:val="0028022A"/>
    <w:rsid w:val="00281919"/>
    <w:rsid w:val="002824CB"/>
    <w:rsid w:val="0028269A"/>
    <w:rsid w:val="00283590"/>
    <w:rsid w:val="00286973"/>
    <w:rsid w:val="002904AF"/>
    <w:rsid w:val="00294E70"/>
    <w:rsid w:val="002965ED"/>
    <w:rsid w:val="00296FB8"/>
    <w:rsid w:val="002A06B3"/>
    <w:rsid w:val="002A1924"/>
    <w:rsid w:val="002A1F72"/>
    <w:rsid w:val="002A4B10"/>
    <w:rsid w:val="002A5AE5"/>
    <w:rsid w:val="002A7420"/>
    <w:rsid w:val="002A7855"/>
    <w:rsid w:val="002B074C"/>
    <w:rsid w:val="002B0F12"/>
    <w:rsid w:val="002B1308"/>
    <w:rsid w:val="002B4449"/>
    <w:rsid w:val="002B4554"/>
    <w:rsid w:val="002B4FE3"/>
    <w:rsid w:val="002B6B78"/>
    <w:rsid w:val="002C261B"/>
    <w:rsid w:val="002C2696"/>
    <w:rsid w:val="002C281F"/>
    <w:rsid w:val="002C560C"/>
    <w:rsid w:val="002C72D8"/>
    <w:rsid w:val="002D11FA"/>
    <w:rsid w:val="002D545A"/>
    <w:rsid w:val="002E0AE5"/>
    <w:rsid w:val="002E0DDF"/>
    <w:rsid w:val="002E2906"/>
    <w:rsid w:val="002E4C50"/>
    <w:rsid w:val="002E5635"/>
    <w:rsid w:val="002E64C3"/>
    <w:rsid w:val="002E6A2C"/>
    <w:rsid w:val="002E7F66"/>
    <w:rsid w:val="002F1D8C"/>
    <w:rsid w:val="002F21DA"/>
    <w:rsid w:val="002F31F1"/>
    <w:rsid w:val="002F3F0D"/>
    <w:rsid w:val="002F42E2"/>
    <w:rsid w:val="002F4512"/>
    <w:rsid w:val="002F45CA"/>
    <w:rsid w:val="002F57F3"/>
    <w:rsid w:val="00301F39"/>
    <w:rsid w:val="00302116"/>
    <w:rsid w:val="00305812"/>
    <w:rsid w:val="003073E0"/>
    <w:rsid w:val="00307C21"/>
    <w:rsid w:val="00310478"/>
    <w:rsid w:val="0031125B"/>
    <w:rsid w:val="00313B20"/>
    <w:rsid w:val="00315F34"/>
    <w:rsid w:val="00317A37"/>
    <w:rsid w:val="0032071A"/>
    <w:rsid w:val="00325926"/>
    <w:rsid w:val="00327A8A"/>
    <w:rsid w:val="00333447"/>
    <w:rsid w:val="00334E7C"/>
    <w:rsid w:val="00335A65"/>
    <w:rsid w:val="00336610"/>
    <w:rsid w:val="003373DE"/>
    <w:rsid w:val="003379A6"/>
    <w:rsid w:val="00342C91"/>
    <w:rsid w:val="00343620"/>
    <w:rsid w:val="0034387A"/>
    <w:rsid w:val="00343F73"/>
    <w:rsid w:val="00345060"/>
    <w:rsid w:val="00350BC9"/>
    <w:rsid w:val="00351AE2"/>
    <w:rsid w:val="003523A7"/>
    <w:rsid w:val="0035323B"/>
    <w:rsid w:val="00356876"/>
    <w:rsid w:val="003609D2"/>
    <w:rsid w:val="00363709"/>
    <w:rsid w:val="00363F22"/>
    <w:rsid w:val="003650D5"/>
    <w:rsid w:val="003659A4"/>
    <w:rsid w:val="003732A9"/>
    <w:rsid w:val="0037473D"/>
    <w:rsid w:val="00375564"/>
    <w:rsid w:val="0037662F"/>
    <w:rsid w:val="003768C0"/>
    <w:rsid w:val="00383191"/>
    <w:rsid w:val="003839CA"/>
    <w:rsid w:val="00383BD0"/>
    <w:rsid w:val="003852DB"/>
    <w:rsid w:val="00385F2D"/>
    <w:rsid w:val="00386DED"/>
    <w:rsid w:val="00386FCF"/>
    <w:rsid w:val="003912E7"/>
    <w:rsid w:val="0039140F"/>
    <w:rsid w:val="00393947"/>
    <w:rsid w:val="00393C2D"/>
    <w:rsid w:val="003A1F65"/>
    <w:rsid w:val="003A2275"/>
    <w:rsid w:val="003A3F2D"/>
    <w:rsid w:val="003A48CA"/>
    <w:rsid w:val="003A5141"/>
    <w:rsid w:val="003A6A4F"/>
    <w:rsid w:val="003A7088"/>
    <w:rsid w:val="003A7A14"/>
    <w:rsid w:val="003B00DF"/>
    <w:rsid w:val="003B1275"/>
    <w:rsid w:val="003B1778"/>
    <w:rsid w:val="003B217D"/>
    <w:rsid w:val="003B3356"/>
    <w:rsid w:val="003B7520"/>
    <w:rsid w:val="003C11CB"/>
    <w:rsid w:val="003C1A52"/>
    <w:rsid w:val="003C2DF7"/>
    <w:rsid w:val="003C3DE3"/>
    <w:rsid w:val="003C5654"/>
    <w:rsid w:val="003C6894"/>
    <w:rsid w:val="003C75F3"/>
    <w:rsid w:val="003C78A3"/>
    <w:rsid w:val="003D26FC"/>
    <w:rsid w:val="003D4026"/>
    <w:rsid w:val="003D69C7"/>
    <w:rsid w:val="003D6C45"/>
    <w:rsid w:val="003D721E"/>
    <w:rsid w:val="003E03E5"/>
    <w:rsid w:val="003E0D6C"/>
    <w:rsid w:val="003E1867"/>
    <w:rsid w:val="003E5000"/>
    <w:rsid w:val="003E5729"/>
    <w:rsid w:val="003E5A57"/>
    <w:rsid w:val="003F4EE0"/>
    <w:rsid w:val="00400C28"/>
    <w:rsid w:val="00402153"/>
    <w:rsid w:val="00402FC1"/>
    <w:rsid w:val="004035D5"/>
    <w:rsid w:val="00403B1D"/>
    <w:rsid w:val="00404494"/>
    <w:rsid w:val="00412C65"/>
    <w:rsid w:val="004134DD"/>
    <w:rsid w:val="004145B9"/>
    <w:rsid w:val="004166CD"/>
    <w:rsid w:val="0041793A"/>
    <w:rsid w:val="004209BC"/>
    <w:rsid w:val="00423779"/>
    <w:rsid w:val="00423DBC"/>
    <w:rsid w:val="00425054"/>
    <w:rsid w:val="00425082"/>
    <w:rsid w:val="004265BA"/>
    <w:rsid w:val="00430317"/>
    <w:rsid w:val="00431DEB"/>
    <w:rsid w:val="0043287C"/>
    <w:rsid w:val="00433284"/>
    <w:rsid w:val="004336C3"/>
    <w:rsid w:val="004345BF"/>
    <w:rsid w:val="00446B29"/>
    <w:rsid w:val="00447BB0"/>
    <w:rsid w:val="004509E6"/>
    <w:rsid w:val="00453F9A"/>
    <w:rsid w:val="004557BE"/>
    <w:rsid w:val="0045659F"/>
    <w:rsid w:val="00460525"/>
    <w:rsid w:val="00461B64"/>
    <w:rsid w:val="0046288C"/>
    <w:rsid w:val="00462EF3"/>
    <w:rsid w:val="004641BF"/>
    <w:rsid w:val="00465A88"/>
    <w:rsid w:val="00465B21"/>
    <w:rsid w:val="00471022"/>
    <w:rsid w:val="0047198F"/>
    <w:rsid w:val="00471E91"/>
    <w:rsid w:val="00472AF6"/>
    <w:rsid w:val="00472C6E"/>
    <w:rsid w:val="00474675"/>
    <w:rsid w:val="0047470C"/>
    <w:rsid w:val="00476BA1"/>
    <w:rsid w:val="00476DC1"/>
    <w:rsid w:val="0047745F"/>
    <w:rsid w:val="00482E8C"/>
    <w:rsid w:val="0048305A"/>
    <w:rsid w:val="0048446C"/>
    <w:rsid w:val="00485828"/>
    <w:rsid w:val="0048765E"/>
    <w:rsid w:val="00490635"/>
    <w:rsid w:val="00490762"/>
    <w:rsid w:val="00496C81"/>
    <w:rsid w:val="0049742A"/>
    <w:rsid w:val="004A029F"/>
    <w:rsid w:val="004A0900"/>
    <w:rsid w:val="004A0E30"/>
    <w:rsid w:val="004A1850"/>
    <w:rsid w:val="004A2EB0"/>
    <w:rsid w:val="004A35F9"/>
    <w:rsid w:val="004A3BF1"/>
    <w:rsid w:val="004A646F"/>
    <w:rsid w:val="004B1054"/>
    <w:rsid w:val="004B1107"/>
    <w:rsid w:val="004B1EA1"/>
    <w:rsid w:val="004B24C1"/>
    <w:rsid w:val="004B2828"/>
    <w:rsid w:val="004B3527"/>
    <w:rsid w:val="004B4141"/>
    <w:rsid w:val="004B7A61"/>
    <w:rsid w:val="004C00B5"/>
    <w:rsid w:val="004C0DE4"/>
    <w:rsid w:val="004C1BA9"/>
    <w:rsid w:val="004C1C51"/>
    <w:rsid w:val="004C292F"/>
    <w:rsid w:val="004C52B4"/>
    <w:rsid w:val="004C5D0B"/>
    <w:rsid w:val="004C6D21"/>
    <w:rsid w:val="004D00EB"/>
    <w:rsid w:val="004D0FB0"/>
    <w:rsid w:val="004D197C"/>
    <w:rsid w:val="004D1F4A"/>
    <w:rsid w:val="004D75C0"/>
    <w:rsid w:val="004E4034"/>
    <w:rsid w:val="004E504F"/>
    <w:rsid w:val="004E7359"/>
    <w:rsid w:val="004E7695"/>
    <w:rsid w:val="004F10FB"/>
    <w:rsid w:val="004F11CA"/>
    <w:rsid w:val="004F4699"/>
    <w:rsid w:val="004F50F4"/>
    <w:rsid w:val="004F526E"/>
    <w:rsid w:val="004F5EDD"/>
    <w:rsid w:val="004F6A72"/>
    <w:rsid w:val="00500A34"/>
    <w:rsid w:val="00500A8A"/>
    <w:rsid w:val="00503616"/>
    <w:rsid w:val="00505F90"/>
    <w:rsid w:val="00506B12"/>
    <w:rsid w:val="00506E9E"/>
    <w:rsid w:val="00510280"/>
    <w:rsid w:val="005107C9"/>
    <w:rsid w:val="0051347B"/>
    <w:rsid w:val="00513480"/>
    <w:rsid w:val="00513D73"/>
    <w:rsid w:val="00514A43"/>
    <w:rsid w:val="005153A2"/>
    <w:rsid w:val="00515C1F"/>
    <w:rsid w:val="005174E5"/>
    <w:rsid w:val="00522393"/>
    <w:rsid w:val="00522620"/>
    <w:rsid w:val="00522F9A"/>
    <w:rsid w:val="00524E05"/>
    <w:rsid w:val="00525656"/>
    <w:rsid w:val="00530D66"/>
    <w:rsid w:val="00534C02"/>
    <w:rsid w:val="00534D29"/>
    <w:rsid w:val="00534EC9"/>
    <w:rsid w:val="00536123"/>
    <w:rsid w:val="0054264B"/>
    <w:rsid w:val="00543292"/>
    <w:rsid w:val="00543786"/>
    <w:rsid w:val="00544BF9"/>
    <w:rsid w:val="00545704"/>
    <w:rsid w:val="0054579C"/>
    <w:rsid w:val="00546442"/>
    <w:rsid w:val="00547B43"/>
    <w:rsid w:val="00550AC2"/>
    <w:rsid w:val="005517EF"/>
    <w:rsid w:val="00551857"/>
    <w:rsid w:val="005533D7"/>
    <w:rsid w:val="00554C85"/>
    <w:rsid w:val="00560E0C"/>
    <w:rsid w:val="0056113D"/>
    <w:rsid w:val="00561286"/>
    <w:rsid w:val="005646CE"/>
    <w:rsid w:val="005655A8"/>
    <w:rsid w:val="005703DE"/>
    <w:rsid w:val="00573D31"/>
    <w:rsid w:val="00575169"/>
    <w:rsid w:val="0057615C"/>
    <w:rsid w:val="00580B6B"/>
    <w:rsid w:val="00581D0A"/>
    <w:rsid w:val="005828EB"/>
    <w:rsid w:val="0058407D"/>
    <w:rsid w:val="0058464E"/>
    <w:rsid w:val="00587FD0"/>
    <w:rsid w:val="00591DE2"/>
    <w:rsid w:val="00592C13"/>
    <w:rsid w:val="005940BD"/>
    <w:rsid w:val="00594EAD"/>
    <w:rsid w:val="005A01CB"/>
    <w:rsid w:val="005A04CA"/>
    <w:rsid w:val="005A050A"/>
    <w:rsid w:val="005A2B74"/>
    <w:rsid w:val="005A440C"/>
    <w:rsid w:val="005A58FF"/>
    <w:rsid w:val="005A5BD3"/>
    <w:rsid w:val="005A5EAF"/>
    <w:rsid w:val="005A64C0"/>
    <w:rsid w:val="005B1AD6"/>
    <w:rsid w:val="005B3747"/>
    <w:rsid w:val="005B38E8"/>
    <w:rsid w:val="005B3C11"/>
    <w:rsid w:val="005B3CB5"/>
    <w:rsid w:val="005B73B1"/>
    <w:rsid w:val="005C1190"/>
    <w:rsid w:val="005C1C28"/>
    <w:rsid w:val="005C3767"/>
    <w:rsid w:val="005C3953"/>
    <w:rsid w:val="005C40BF"/>
    <w:rsid w:val="005C4EE0"/>
    <w:rsid w:val="005C6DB5"/>
    <w:rsid w:val="005C7E1D"/>
    <w:rsid w:val="005D0596"/>
    <w:rsid w:val="005D25BC"/>
    <w:rsid w:val="005D2715"/>
    <w:rsid w:val="005D347A"/>
    <w:rsid w:val="005D4E43"/>
    <w:rsid w:val="005E0135"/>
    <w:rsid w:val="005E0595"/>
    <w:rsid w:val="005E19E7"/>
    <w:rsid w:val="005E6661"/>
    <w:rsid w:val="005E71F4"/>
    <w:rsid w:val="005E7A66"/>
    <w:rsid w:val="005F030A"/>
    <w:rsid w:val="005F0721"/>
    <w:rsid w:val="005F1913"/>
    <w:rsid w:val="005F2504"/>
    <w:rsid w:val="005F3C1C"/>
    <w:rsid w:val="005F7EFC"/>
    <w:rsid w:val="00603CAD"/>
    <w:rsid w:val="006049DA"/>
    <w:rsid w:val="006068E6"/>
    <w:rsid w:val="00607588"/>
    <w:rsid w:val="006123BE"/>
    <w:rsid w:val="0061716C"/>
    <w:rsid w:val="00617792"/>
    <w:rsid w:val="0062427C"/>
    <w:rsid w:val="006243A1"/>
    <w:rsid w:val="0062469C"/>
    <w:rsid w:val="0062654B"/>
    <w:rsid w:val="006268F1"/>
    <w:rsid w:val="006274A6"/>
    <w:rsid w:val="0063111E"/>
    <w:rsid w:val="00632E56"/>
    <w:rsid w:val="00635CBA"/>
    <w:rsid w:val="00641C62"/>
    <w:rsid w:val="006423A6"/>
    <w:rsid w:val="0064338B"/>
    <w:rsid w:val="00646542"/>
    <w:rsid w:val="00646A44"/>
    <w:rsid w:val="00646A5E"/>
    <w:rsid w:val="00647DEB"/>
    <w:rsid w:val="006503C0"/>
    <w:rsid w:val="006504F4"/>
    <w:rsid w:val="00650762"/>
    <w:rsid w:val="00651429"/>
    <w:rsid w:val="00651D37"/>
    <w:rsid w:val="00652A8E"/>
    <w:rsid w:val="00653CBB"/>
    <w:rsid w:val="0065465D"/>
    <w:rsid w:val="00654BC9"/>
    <w:rsid w:val="006552FD"/>
    <w:rsid w:val="006554A5"/>
    <w:rsid w:val="00662954"/>
    <w:rsid w:val="00663AF3"/>
    <w:rsid w:val="00666B6C"/>
    <w:rsid w:val="00670690"/>
    <w:rsid w:val="00671695"/>
    <w:rsid w:val="00672157"/>
    <w:rsid w:val="00676D9C"/>
    <w:rsid w:val="00682095"/>
    <w:rsid w:val="00682682"/>
    <w:rsid w:val="00682702"/>
    <w:rsid w:val="00682BBC"/>
    <w:rsid w:val="006842E4"/>
    <w:rsid w:val="0068543E"/>
    <w:rsid w:val="006862EB"/>
    <w:rsid w:val="00686C64"/>
    <w:rsid w:val="00690751"/>
    <w:rsid w:val="006915B7"/>
    <w:rsid w:val="006916B9"/>
    <w:rsid w:val="00692368"/>
    <w:rsid w:val="00692DB1"/>
    <w:rsid w:val="00692EAF"/>
    <w:rsid w:val="006965CE"/>
    <w:rsid w:val="00697A9A"/>
    <w:rsid w:val="006A0737"/>
    <w:rsid w:val="006A2EBC"/>
    <w:rsid w:val="006A5EA0"/>
    <w:rsid w:val="006A61D0"/>
    <w:rsid w:val="006A783B"/>
    <w:rsid w:val="006A7AEB"/>
    <w:rsid w:val="006A7B33"/>
    <w:rsid w:val="006B0009"/>
    <w:rsid w:val="006B3B7D"/>
    <w:rsid w:val="006B47BB"/>
    <w:rsid w:val="006B4E13"/>
    <w:rsid w:val="006B65C8"/>
    <w:rsid w:val="006B75DD"/>
    <w:rsid w:val="006C33D6"/>
    <w:rsid w:val="006C3EC4"/>
    <w:rsid w:val="006C5EC8"/>
    <w:rsid w:val="006C67E0"/>
    <w:rsid w:val="006C7ABA"/>
    <w:rsid w:val="006D0D60"/>
    <w:rsid w:val="006D1122"/>
    <w:rsid w:val="006D3C00"/>
    <w:rsid w:val="006E3675"/>
    <w:rsid w:val="006E41D1"/>
    <w:rsid w:val="006E4A7F"/>
    <w:rsid w:val="006E4FE1"/>
    <w:rsid w:val="006E5E69"/>
    <w:rsid w:val="006F2977"/>
    <w:rsid w:val="006F2AB3"/>
    <w:rsid w:val="00701ABE"/>
    <w:rsid w:val="00702335"/>
    <w:rsid w:val="00702EE5"/>
    <w:rsid w:val="00704DF6"/>
    <w:rsid w:val="0070651C"/>
    <w:rsid w:val="00707D93"/>
    <w:rsid w:val="00710179"/>
    <w:rsid w:val="0071145F"/>
    <w:rsid w:val="007116D2"/>
    <w:rsid w:val="007119B7"/>
    <w:rsid w:val="00711B5A"/>
    <w:rsid w:val="00712AD6"/>
    <w:rsid w:val="007132A3"/>
    <w:rsid w:val="00716421"/>
    <w:rsid w:val="00716797"/>
    <w:rsid w:val="00717651"/>
    <w:rsid w:val="00722133"/>
    <w:rsid w:val="00722D17"/>
    <w:rsid w:val="00724859"/>
    <w:rsid w:val="00724EFB"/>
    <w:rsid w:val="00726C02"/>
    <w:rsid w:val="00732949"/>
    <w:rsid w:val="007355CF"/>
    <w:rsid w:val="00737541"/>
    <w:rsid w:val="00740E95"/>
    <w:rsid w:val="00741546"/>
    <w:rsid w:val="007419C3"/>
    <w:rsid w:val="00743B4A"/>
    <w:rsid w:val="007445E8"/>
    <w:rsid w:val="00744823"/>
    <w:rsid w:val="00744AEB"/>
    <w:rsid w:val="00744FA3"/>
    <w:rsid w:val="007467A7"/>
    <w:rsid w:val="007469DD"/>
    <w:rsid w:val="00747275"/>
    <w:rsid w:val="0074741B"/>
    <w:rsid w:val="0074759E"/>
    <w:rsid w:val="007478EA"/>
    <w:rsid w:val="00753E0E"/>
    <w:rsid w:val="0075415C"/>
    <w:rsid w:val="0075775B"/>
    <w:rsid w:val="007601F7"/>
    <w:rsid w:val="00763424"/>
    <w:rsid w:val="00763502"/>
    <w:rsid w:val="00764E40"/>
    <w:rsid w:val="00765463"/>
    <w:rsid w:val="00765465"/>
    <w:rsid w:val="0076791E"/>
    <w:rsid w:val="00767D83"/>
    <w:rsid w:val="00771B48"/>
    <w:rsid w:val="00774629"/>
    <w:rsid w:val="00774E9B"/>
    <w:rsid w:val="00774F0C"/>
    <w:rsid w:val="00780C5E"/>
    <w:rsid w:val="0078177E"/>
    <w:rsid w:val="00783C52"/>
    <w:rsid w:val="007848C5"/>
    <w:rsid w:val="00784DB9"/>
    <w:rsid w:val="007872F9"/>
    <w:rsid w:val="007913AB"/>
    <w:rsid w:val="007914F7"/>
    <w:rsid w:val="00791C7F"/>
    <w:rsid w:val="0079278A"/>
    <w:rsid w:val="00797015"/>
    <w:rsid w:val="007B09EF"/>
    <w:rsid w:val="007B0C68"/>
    <w:rsid w:val="007B0D38"/>
    <w:rsid w:val="007B1625"/>
    <w:rsid w:val="007B2AA6"/>
    <w:rsid w:val="007B3B44"/>
    <w:rsid w:val="007B706E"/>
    <w:rsid w:val="007B71EB"/>
    <w:rsid w:val="007B7F4D"/>
    <w:rsid w:val="007C0A15"/>
    <w:rsid w:val="007C1641"/>
    <w:rsid w:val="007C2D77"/>
    <w:rsid w:val="007C31CC"/>
    <w:rsid w:val="007C3257"/>
    <w:rsid w:val="007C44C3"/>
    <w:rsid w:val="007C487E"/>
    <w:rsid w:val="007C6205"/>
    <w:rsid w:val="007C686A"/>
    <w:rsid w:val="007C728E"/>
    <w:rsid w:val="007C744D"/>
    <w:rsid w:val="007D1064"/>
    <w:rsid w:val="007D12D6"/>
    <w:rsid w:val="007D2C53"/>
    <w:rsid w:val="007D376D"/>
    <w:rsid w:val="007D3D60"/>
    <w:rsid w:val="007D40BA"/>
    <w:rsid w:val="007D6FE0"/>
    <w:rsid w:val="007E1980"/>
    <w:rsid w:val="007E4B76"/>
    <w:rsid w:val="007E4C8A"/>
    <w:rsid w:val="007E518A"/>
    <w:rsid w:val="007E5EA8"/>
    <w:rsid w:val="007E7C5B"/>
    <w:rsid w:val="007F0949"/>
    <w:rsid w:val="007F0CF1"/>
    <w:rsid w:val="007F12A5"/>
    <w:rsid w:val="007F2D6D"/>
    <w:rsid w:val="007F3B0B"/>
    <w:rsid w:val="007F4CF1"/>
    <w:rsid w:val="007F758D"/>
    <w:rsid w:val="007F7D52"/>
    <w:rsid w:val="00802398"/>
    <w:rsid w:val="00804928"/>
    <w:rsid w:val="0080654C"/>
    <w:rsid w:val="00806614"/>
    <w:rsid w:val="00807057"/>
    <w:rsid w:val="008071C6"/>
    <w:rsid w:val="008109D6"/>
    <w:rsid w:val="00811750"/>
    <w:rsid w:val="00811ABA"/>
    <w:rsid w:val="00813193"/>
    <w:rsid w:val="00813AA5"/>
    <w:rsid w:val="00815237"/>
    <w:rsid w:val="00815C84"/>
    <w:rsid w:val="00817A00"/>
    <w:rsid w:val="0082032D"/>
    <w:rsid w:val="00821C5F"/>
    <w:rsid w:val="00823D98"/>
    <w:rsid w:val="00824D49"/>
    <w:rsid w:val="00830A12"/>
    <w:rsid w:val="00834B6C"/>
    <w:rsid w:val="00835107"/>
    <w:rsid w:val="00835DB3"/>
    <w:rsid w:val="0083617B"/>
    <w:rsid w:val="008371BD"/>
    <w:rsid w:val="00837E4B"/>
    <w:rsid w:val="00840D73"/>
    <w:rsid w:val="00846ACC"/>
    <w:rsid w:val="00847C83"/>
    <w:rsid w:val="008504A8"/>
    <w:rsid w:val="0085282E"/>
    <w:rsid w:val="008533B6"/>
    <w:rsid w:val="00857A3C"/>
    <w:rsid w:val="00862151"/>
    <w:rsid w:val="00864FB4"/>
    <w:rsid w:val="00865A85"/>
    <w:rsid w:val="0087198C"/>
    <w:rsid w:val="00872896"/>
    <w:rsid w:val="00872C1F"/>
    <w:rsid w:val="00873B42"/>
    <w:rsid w:val="008743BC"/>
    <w:rsid w:val="00874A40"/>
    <w:rsid w:val="0087668A"/>
    <w:rsid w:val="008770F5"/>
    <w:rsid w:val="00877177"/>
    <w:rsid w:val="008776B2"/>
    <w:rsid w:val="0087773E"/>
    <w:rsid w:val="0088001D"/>
    <w:rsid w:val="00880B73"/>
    <w:rsid w:val="008816E7"/>
    <w:rsid w:val="0088194D"/>
    <w:rsid w:val="00882D2B"/>
    <w:rsid w:val="00885289"/>
    <w:rsid w:val="008856D8"/>
    <w:rsid w:val="0088573B"/>
    <w:rsid w:val="00887859"/>
    <w:rsid w:val="00892E82"/>
    <w:rsid w:val="00893638"/>
    <w:rsid w:val="00894F0E"/>
    <w:rsid w:val="00894FC6"/>
    <w:rsid w:val="008A1E8A"/>
    <w:rsid w:val="008A2439"/>
    <w:rsid w:val="008A40CD"/>
    <w:rsid w:val="008B151F"/>
    <w:rsid w:val="008B4531"/>
    <w:rsid w:val="008B5E62"/>
    <w:rsid w:val="008C0D91"/>
    <w:rsid w:val="008C1B58"/>
    <w:rsid w:val="008C309D"/>
    <w:rsid w:val="008C38FE"/>
    <w:rsid w:val="008C39AE"/>
    <w:rsid w:val="008C39E1"/>
    <w:rsid w:val="008C590D"/>
    <w:rsid w:val="008C6C6E"/>
    <w:rsid w:val="008C786F"/>
    <w:rsid w:val="008D009D"/>
    <w:rsid w:val="008D0EE3"/>
    <w:rsid w:val="008D19B1"/>
    <w:rsid w:val="008D250B"/>
    <w:rsid w:val="008D4071"/>
    <w:rsid w:val="008D4EA9"/>
    <w:rsid w:val="008E031B"/>
    <w:rsid w:val="008E0E05"/>
    <w:rsid w:val="008E2388"/>
    <w:rsid w:val="008E4014"/>
    <w:rsid w:val="008E4837"/>
    <w:rsid w:val="008E60E2"/>
    <w:rsid w:val="008E657B"/>
    <w:rsid w:val="008E7029"/>
    <w:rsid w:val="008E7EF6"/>
    <w:rsid w:val="008F0B46"/>
    <w:rsid w:val="008F18F7"/>
    <w:rsid w:val="008F1F98"/>
    <w:rsid w:val="008F5765"/>
    <w:rsid w:val="008F6758"/>
    <w:rsid w:val="008F744E"/>
    <w:rsid w:val="008F7861"/>
    <w:rsid w:val="00900900"/>
    <w:rsid w:val="00902A08"/>
    <w:rsid w:val="0090326F"/>
    <w:rsid w:val="009040DD"/>
    <w:rsid w:val="00905B47"/>
    <w:rsid w:val="00906F0A"/>
    <w:rsid w:val="0090711E"/>
    <w:rsid w:val="00907703"/>
    <w:rsid w:val="00907EF4"/>
    <w:rsid w:val="0091331C"/>
    <w:rsid w:val="0091457E"/>
    <w:rsid w:val="00916945"/>
    <w:rsid w:val="009236CF"/>
    <w:rsid w:val="00923B51"/>
    <w:rsid w:val="009240E8"/>
    <w:rsid w:val="00924BA0"/>
    <w:rsid w:val="00927116"/>
    <w:rsid w:val="009279DE"/>
    <w:rsid w:val="00930116"/>
    <w:rsid w:val="00932576"/>
    <w:rsid w:val="00933DC7"/>
    <w:rsid w:val="00935676"/>
    <w:rsid w:val="009363F2"/>
    <w:rsid w:val="00936F05"/>
    <w:rsid w:val="0093742D"/>
    <w:rsid w:val="009374DF"/>
    <w:rsid w:val="009375C7"/>
    <w:rsid w:val="00940FAC"/>
    <w:rsid w:val="00941421"/>
    <w:rsid w:val="0094212C"/>
    <w:rsid w:val="009421BE"/>
    <w:rsid w:val="00942BFB"/>
    <w:rsid w:val="00944733"/>
    <w:rsid w:val="00945F4B"/>
    <w:rsid w:val="00946042"/>
    <w:rsid w:val="009478A8"/>
    <w:rsid w:val="009504BC"/>
    <w:rsid w:val="009507F6"/>
    <w:rsid w:val="00951D89"/>
    <w:rsid w:val="009520CA"/>
    <w:rsid w:val="00953278"/>
    <w:rsid w:val="00954689"/>
    <w:rsid w:val="009562D4"/>
    <w:rsid w:val="00956813"/>
    <w:rsid w:val="009602EB"/>
    <w:rsid w:val="009617C9"/>
    <w:rsid w:val="00961C93"/>
    <w:rsid w:val="00963087"/>
    <w:rsid w:val="00965324"/>
    <w:rsid w:val="00965DDD"/>
    <w:rsid w:val="00966F13"/>
    <w:rsid w:val="0097091E"/>
    <w:rsid w:val="0097312C"/>
    <w:rsid w:val="0097332D"/>
    <w:rsid w:val="009752B7"/>
    <w:rsid w:val="009760D3"/>
    <w:rsid w:val="00977132"/>
    <w:rsid w:val="00980089"/>
    <w:rsid w:val="00980A86"/>
    <w:rsid w:val="009811DE"/>
    <w:rsid w:val="00981A4B"/>
    <w:rsid w:val="0098238C"/>
    <w:rsid w:val="00982501"/>
    <w:rsid w:val="0098485C"/>
    <w:rsid w:val="009858E1"/>
    <w:rsid w:val="00985D50"/>
    <w:rsid w:val="00987386"/>
    <w:rsid w:val="009877D3"/>
    <w:rsid w:val="009933D6"/>
    <w:rsid w:val="00994AD9"/>
    <w:rsid w:val="00994E8F"/>
    <w:rsid w:val="009951DC"/>
    <w:rsid w:val="009959BB"/>
    <w:rsid w:val="00996669"/>
    <w:rsid w:val="00997158"/>
    <w:rsid w:val="009A01D6"/>
    <w:rsid w:val="009A207A"/>
    <w:rsid w:val="009A3753"/>
    <w:rsid w:val="009A3A7C"/>
    <w:rsid w:val="009A70BB"/>
    <w:rsid w:val="009B2ADB"/>
    <w:rsid w:val="009B603A"/>
    <w:rsid w:val="009C0F68"/>
    <w:rsid w:val="009C10BD"/>
    <w:rsid w:val="009C1A6C"/>
    <w:rsid w:val="009C2120"/>
    <w:rsid w:val="009C2D0E"/>
    <w:rsid w:val="009C3540"/>
    <w:rsid w:val="009C3DAC"/>
    <w:rsid w:val="009C42E0"/>
    <w:rsid w:val="009C49B7"/>
    <w:rsid w:val="009C4EEC"/>
    <w:rsid w:val="009C7DCB"/>
    <w:rsid w:val="009D28B6"/>
    <w:rsid w:val="009D2B49"/>
    <w:rsid w:val="009D32F9"/>
    <w:rsid w:val="009D3F57"/>
    <w:rsid w:val="009D4A0B"/>
    <w:rsid w:val="009D5362"/>
    <w:rsid w:val="009D7BD3"/>
    <w:rsid w:val="009E09B4"/>
    <w:rsid w:val="009E1415"/>
    <w:rsid w:val="009E4174"/>
    <w:rsid w:val="009E4E89"/>
    <w:rsid w:val="009E5754"/>
    <w:rsid w:val="009E6116"/>
    <w:rsid w:val="009E67D3"/>
    <w:rsid w:val="009E6A1B"/>
    <w:rsid w:val="009E6FE5"/>
    <w:rsid w:val="009F11B8"/>
    <w:rsid w:val="009F1B15"/>
    <w:rsid w:val="009F2170"/>
    <w:rsid w:val="009F4ACD"/>
    <w:rsid w:val="009F4C79"/>
    <w:rsid w:val="009F51BD"/>
    <w:rsid w:val="009F66E4"/>
    <w:rsid w:val="009F73D8"/>
    <w:rsid w:val="00A00B9D"/>
    <w:rsid w:val="00A0112A"/>
    <w:rsid w:val="00A02412"/>
    <w:rsid w:val="00A02E43"/>
    <w:rsid w:val="00A03553"/>
    <w:rsid w:val="00A065F9"/>
    <w:rsid w:val="00A06618"/>
    <w:rsid w:val="00A06A5B"/>
    <w:rsid w:val="00A07F34"/>
    <w:rsid w:val="00A15069"/>
    <w:rsid w:val="00A15157"/>
    <w:rsid w:val="00A22154"/>
    <w:rsid w:val="00A23610"/>
    <w:rsid w:val="00A24393"/>
    <w:rsid w:val="00A25077"/>
    <w:rsid w:val="00A25C38"/>
    <w:rsid w:val="00A26308"/>
    <w:rsid w:val="00A26A96"/>
    <w:rsid w:val="00A26B66"/>
    <w:rsid w:val="00A27B20"/>
    <w:rsid w:val="00A30B79"/>
    <w:rsid w:val="00A34775"/>
    <w:rsid w:val="00A34D69"/>
    <w:rsid w:val="00A35E42"/>
    <w:rsid w:val="00A36B92"/>
    <w:rsid w:val="00A36BBE"/>
    <w:rsid w:val="00A37AF3"/>
    <w:rsid w:val="00A41191"/>
    <w:rsid w:val="00A41C1E"/>
    <w:rsid w:val="00A4307A"/>
    <w:rsid w:val="00A43097"/>
    <w:rsid w:val="00A44B0E"/>
    <w:rsid w:val="00A47D1C"/>
    <w:rsid w:val="00A47EBB"/>
    <w:rsid w:val="00A50675"/>
    <w:rsid w:val="00A51CDD"/>
    <w:rsid w:val="00A54746"/>
    <w:rsid w:val="00A55B6B"/>
    <w:rsid w:val="00A55CBE"/>
    <w:rsid w:val="00A5600F"/>
    <w:rsid w:val="00A56487"/>
    <w:rsid w:val="00A577E8"/>
    <w:rsid w:val="00A6107E"/>
    <w:rsid w:val="00A6394B"/>
    <w:rsid w:val="00A6730D"/>
    <w:rsid w:val="00A67462"/>
    <w:rsid w:val="00A6746D"/>
    <w:rsid w:val="00A711A2"/>
    <w:rsid w:val="00A71625"/>
    <w:rsid w:val="00A71B9B"/>
    <w:rsid w:val="00A751C0"/>
    <w:rsid w:val="00A751C7"/>
    <w:rsid w:val="00A817B8"/>
    <w:rsid w:val="00A81D94"/>
    <w:rsid w:val="00A828DE"/>
    <w:rsid w:val="00A82CF5"/>
    <w:rsid w:val="00A87844"/>
    <w:rsid w:val="00A92ADF"/>
    <w:rsid w:val="00A94C41"/>
    <w:rsid w:val="00A96FFF"/>
    <w:rsid w:val="00A97D1F"/>
    <w:rsid w:val="00AA038C"/>
    <w:rsid w:val="00AA1737"/>
    <w:rsid w:val="00AA243D"/>
    <w:rsid w:val="00AA6C25"/>
    <w:rsid w:val="00AA7A09"/>
    <w:rsid w:val="00AA7AD2"/>
    <w:rsid w:val="00AB2D90"/>
    <w:rsid w:val="00AB3B50"/>
    <w:rsid w:val="00AB3C6A"/>
    <w:rsid w:val="00AB3E17"/>
    <w:rsid w:val="00AB4402"/>
    <w:rsid w:val="00AC05B1"/>
    <w:rsid w:val="00AC0F91"/>
    <w:rsid w:val="00AC49C9"/>
    <w:rsid w:val="00AC6F5A"/>
    <w:rsid w:val="00AD2DFC"/>
    <w:rsid w:val="00AD356C"/>
    <w:rsid w:val="00AD42AF"/>
    <w:rsid w:val="00AD50DD"/>
    <w:rsid w:val="00AD6245"/>
    <w:rsid w:val="00AE229E"/>
    <w:rsid w:val="00AE2914"/>
    <w:rsid w:val="00AE2E72"/>
    <w:rsid w:val="00AE42A9"/>
    <w:rsid w:val="00AE6D15"/>
    <w:rsid w:val="00AE7BBA"/>
    <w:rsid w:val="00AF0DAF"/>
    <w:rsid w:val="00AF40A2"/>
    <w:rsid w:val="00AF4D12"/>
    <w:rsid w:val="00AF52B0"/>
    <w:rsid w:val="00AF7697"/>
    <w:rsid w:val="00B01D5B"/>
    <w:rsid w:val="00B01FF6"/>
    <w:rsid w:val="00B04039"/>
    <w:rsid w:val="00B04182"/>
    <w:rsid w:val="00B04F1D"/>
    <w:rsid w:val="00B067CE"/>
    <w:rsid w:val="00B07AE3"/>
    <w:rsid w:val="00B07C1A"/>
    <w:rsid w:val="00B10F4F"/>
    <w:rsid w:val="00B113A6"/>
    <w:rsid w:val="00B1142F"/>
    <w:rsid w:val="00B11430"/>
    <w:rsid w:val="00B11DD1"/>
    <w:rsid w:val="00B12D55"/>
    <w:rsid w:val="00B16B31"/>
    <w:rsid w:val="00B17B5B"/>
    <w:rsid w:val="00B2006B"/>
    <w:rsid w:val="00B202D0"/>
    <w:rsid w:val="00B20561"/>
    <w:rsid w:val="00B25877"/>
    <w:rsid w:val="00B25A31"/>
    <w:rsid w:val="00B3352A"/>
    <w:rsid w:val="00B33B18"/>
    <w:rsid w:val="00B34238"/>
    <w:rsid w:val="00B34A96"/>
    <w:rsid w:val="00B353EB"/>
    <w:rsid w:val="00B4281D"/>
    <w:rsid w:val="00B439C4"/>
    <w:rsid w:val="00B44E12"/>
    <w:rsid w:val="00B4535E"/>
    <w:rsid w:val="00B46117"/>
    <w:rsid w:val="00B50D6E"/>
    <w:rsid w:val="00B52A8C"/>
    <w:rsid w:val="00B52F2C"/>
    <w:rsid w:val="00B53C7E"/>
    <w:rsid w:val="00B545F8"/>
    <w:rsid w:val="00B54DF3"/>
    <w:rsid w:val="00B60A4D"/>
    <w:rsid w:val="00B61939"/>
    <w:rsid w:val="00B6239F"/>
    <w:rsid w:val="00B636A8"/>
    <w:rsid w:val="00B649EF"/>
    <w:rsid w:val="00B651BB"/>
    <w:rsid w:val="00B665C6"/>
    <w:rsid w:val="00B66FA5"/>
    <w:rsid w:val="00B679EE"/>
    <w:rsid w:val="00B67A2D"/>
    <w:rsid w:val="00B74AFC"/>
    <w:rsid w:val="00B74EB5"/>
    <w:rsid w:val="00B75384"/>
    <w:rsid w:val="00B76DDF"/>
    <w:rsid w:val="00B805AF"/>
    <w:rsid w:val="00B83739"/>
    <w:rsid w:val="00B84518"/>
    <w:rsid w:val="00B869EC"/>
    <w:rsid w:val="00B86D7D"/>
    <w:rsid w:val="00B87A23"/>
    <w:rsid w:val="00B9076F"/>
    <w:rsid w:val="00B91275"/>
    <w:rsid w:val="00B9397A"/>
    <w:rsid w:val="00B95E90"/>
    <w:rsid w:val="00B9633D"/>
    <w:rsid w:val="00B97F3D"/>
    <w:rsid w:val="00BA2EBE"/>
    <w:rsid w:val="00BA45EC"/>
    <w:rsid w:val="00BA4DFE"/>
    <w:rsid w:val="00BA5F3B"/>
    <w:rsid w:val="00BA6E1A"/>
    <w:rsid w:val="00BA76FA"/>
    <w:rsid w:val="00BA78BF"/>
    <w:rsid w:val="00BB01A0"/>
    <w:rsid w:val="00BB0F28"/>
    <w:rsid w:val="00BB0F47"/>
    <w:rsid w:val="00BB195F"/>
    <w:rsid w:val="00BB20D3"/>
    <w:rsid w:val="00BB41EA"/>
    <w:rsid w:val="00BB458A"/>
    <w:rsid w:val="00BC0EF7"/>
    <w:rsid w:val="00BC18E2"/>
    <w:rsid w:val="00BC2780"/>
    <w:rsid w:val="00BC46C9"/>
    <w:rsid w:val="00BC47D0"/>
    <w:rsid w:val="00BD00D3"/>
    <w:rsid w:val="00BD13A9"/>
    <w:rsid w:val="00BD1659"/>
    <w:rsid w:val="00BD3AA9"/>
    <w:rsid w:val="00BD4A18"/>
    <w:rsid w:val="00BD5554"/>
    <w:rsid w:val="00BD58B6"/>
    <w:rsid w:val="00BD5928"/>
    <w:rsid w:val="00BD6DB2"/>
    <w:rsid w:val="00BE042B"/>
    <w:rsid w:val="00BE11CF"/>
    <w:rsid w:val="00BE21AB"/>
    <w:rsid w:val="00BE2E40"/>
    <w:rsid w:val="00BE4E0E"/>
    <w:rsid w:val="00BE55CB"/>
    <w:rsid w:val="00BF178A"/>
    <w:rsid w:val="00BF356A"/>
    <w:rsid w:val="00BF5C30"/>
    <w:rsid w:val="00BF617A"/>
    <w:rsid w:val="00C00102"/>
    <w:rsid w:val="00C0216D"/>
    <w:rsid w:val="00C02C4E"/>
    <w:rsid w:val="00C0379D"/>
    <w:rsid w:val="00C03931"/>
    <w:rsid w:val="00C04DBB"/>
    <w:rsid w:val="00C05FE3"/>
    <w:rsid w:val="00C06B2A"/>
    <w:rsid w:val="00C11062"/>
    <w:rsid w:val="00C13D45"/>
    <w:rsid w:val="00C14A56"/>
    <w:rsid w:val="00C159D6"/>
    <w:rsid w:val="00C174F4"/>
    <w:rsid w:val="00C20CFB"/>
    <w:rsid w:val="00C2136D"/>
    <w:rsid w:val="00C214EE"/>
    <w:rsid w:val="00C21508"/>
    <w:rsid w:val="00C2314B"/>
    <w:rsid w:val="00C233BE"/>
    <w:rsid w:val="00C23EAB"/>
    <w:rsid w:val="00C246C2"/>
    <w:rsid w:val="00C24971"/>
    <w:rsid w:val="00C24C75"/>
    <w:rsid w:val="00C253B2"/>
    <w:rsid w:val="00C26BE5"/>
    <w:rsid w:val="00C26E4D"/>
    <w:rsid w:val="00C2757E"/>
    <w:rsid w:val="00C27909"/>
    <w:rsid w:val="00C27B03"/>
    <w:rsid w:val="00C3025F"/>
    <w:rsid w:val="00C314E1"/>
    <w:rsid w:val="00C31A79"/>
    <w:rsid w:val="00C32DD9"/>
    <w:rsid w:val="00C33EB7"/>
    <w:rsid w:val="00C34397"/>
    <w:rsid w:val="00C3448E"/>
    <w:rsid w:val="00C4095D"/>
    <w:rsid w:val="00C43AC6"/>
    <w:rsid w:val="00C458E9"/>
    <w:rsid w:val="00C52E28"/>
    <w:rsid w:val="00C543C0"/>
    <w:rsid w:val="00C54EA9"/>
    <w:rsid w:val="00C55F2B"/>
    <w:rsid w:val="00C5655B"/>
    <w:rsid w:val="00C56DF0"/>
    <w:rsid w:val="00C601D2"/>
    <w:rsid w:val="00C613DE"/>
    <w:rsid w:val="00C61CA0"/>
    <w:rsid w:val="00C61E58"/>
    <w:rsid w:val="00C6236C"/>
    <w:rsid w:val="00C626BD"/>
    <w:rsid w:val="00C636F9"/>
    <w:rsid w:val="00C64E94"/>
    <w:rsid w:val="00C653C3"/>
    <w:rsid w:val="00C657AB"/>
    <w:rsid w:val="00C65BCC"/>
    <w:rsid w:val="00C66970"/>
    <w:rsid w:val="00C73BC7"/>
    <w:rsid w:val="00C74B26"/>
    <w:rsid w:val="00C74BF3"/>
    <w:rsid w:val="00C7609F"/>
    <w:rsid w:val="00C778A9"/>
    <w:rsid w:val="00C77B57"/>
    <w:rsid w:val="00C84D2A"/>
    <w:rsid w:val="00C8585D"/>
    <w:rsid w:val="00C85E22"/>
    <w:rsid w:val="00C8691C"/>
    <w:rsid w:val="00C86A9E"/>
    <w:rsid w:val="00C86E38"/>
    <w:rsid w:val="00C905B4"/>
    <w:rsid w:val="00C90606"/>
    <w:rsid w:val="00C916A3"/>
    <w:rsid w:val="00C95B40"/>
    <w:rsid w:val="00C96050"/>
    <w:rsid w:val="00C966B8"/>
    <w:rsid w:val="00C97BC5"/>
    <w:rsid w:val="00CA168A"/>
    <w:rsid w:val="00CA357E"/>
    <w:rsid w:val="00CA44F9"/>
    <w:rsid w:val="00CA4A69"/>
    <w:rsid w:val="00CA4A7D"/>
    <w:rsid w:val="00CA69CB"/>
    <w:rsid w:val="00CB2D67"/>
    <w:rsid w:val="00CB3641"/>
    <w:rsid w:val="00CB4043"/>
    <w:rsid w:val="00CB40FD"/>
    <w:rsid w:val="00CB449D"/>
    <w:rsid w:val="00CC13EB"/>
    <w:rsid w:val="00CC141E"/>
    <w:rsid w:val="00CC3E0C"/>
    <w:rsid w:val="00CC58D3"/>
    <w:rsid w:val="00CC784D"/>
    <w:rsid w:val="00CD2033"/>
    <w:rsid w:val="00CD2F47"/>
    <w:rsid w:val="00CD3B5B"/>
    <w:rsid w:val="00CD584A"/>
    <w:rsid w:val="00CE2006"/>
    <w:rsid w:val="00CE51F7"/>
    <w:rsid w:val="00CE57F9"/>
    <w:rsid w:val="00CE5CE5"/>
    <w:rsid w:val="00CF15CF"/>
    <w:rsid w:val="00CF2834"/>
    <w:rsid w:val="00CF79D3"/>
    <w:rsid w:val="00D00396"/>
    <w:rsid w:val="00D0173F"/>
    <w:rsid w:val="00D0337B"/>
    <w:rsid w:val="00D04F64"/>
    <w:rsid w:val="00D05B87"/>
    <w:rsid w:val="00D07049"/>
    <w:rsid w:val="00D079B2"/>
    <w:rsid w:val="00D114E9"/>
    <w:rsid w:val="00D11A67"/>
    <w:rsid w:val="00D11FDA"/>
    <w:rsid w:val="00D12894"/>
    <w:rsid w:val="00D168F5"/>
    <w:rsid w:val="00D17D22"/>
    <w:rsid w:val="00D17E02"/>
    <w:rsid w:val="00D221F1"/>
    <w:rsid w:val="00D2393C"/>
    <w:rsid w:val="00D242F8"/>
    <w:rsid w:val="00D247A7"/>
    <w:rsid w:val="00D34E6B"/>
    <w:rsid w:val="00D374DC"/>
    <w:rsid w:val="00D37A4C"/>
    <w:rsid w:val="00D414A3"/>
    <w:rsid w:val="00D41BB5"/>
    <w:rsid w:val="00D429C6"/>
    <w:rsid w:val="00D444C6"/>
    <w:rsid w:val="00D47748"/>
    <w:rsid w:val="00D53C88"/>
    <w:rsid w:val="00D54CC3"/>
    <w:rsid w:val="00D567B0"/>
    <w:rsid w:val="00D6041A"/>
    <w:rsid w:val="00D605AA"/>
    <w:rsid w:val="00D61462"/>
    <w:rsid w:val="00D633EB"/>
    <w:rsid w:val="00D65F2A"/>
    <w:rsid w:val="00D67713"/>
    <w:rsid w:val="00D71C2B"/>
    <w:rsid w:val="00D723EE"/>
    <w:rsid w:val="00D72509"/>
    <w:rsid w:val="00D72991"/>
    <w:rsid w:val="00D72B18"/>
    <w:rsid w:val="00D72D8F"/>
    <w:rsid w:val="00D74666"/>
    <w:rsid w:val="00D74717"/>
    <w:rsid w:val="00D75FED"/>
    <w:rsid w:val="00D77237"/>
    <w:rsid w:val="00D82D5F"/>
    <w:rsid w:val="00D82FF7"/>
    <w:rsid w:val="00D83842"/>
    <w:rsid w:val="00D840DF"/>
    <w:rsid w:val="00D842DC"/>
    <w:rsid w:val="00D84714"/>
    <w:rsid w:val="00D847FE"/>
    <w:rsid w:val="00D85F8E"/>
    <w:rsid w:val="00D86644"/>
    <w:rsid w:val="00D86EC2"/>
    <w:rsid w:val="00D8787E"/>
    <w:rsid w:val="00D9137F"/>
    <w:rsid w:val="00D9561C"/>
    <w:rsid w:val="00D964EA"/>
    <w:rsid w:val="00D966D0"/>
    <w:rsid w:val="00DA0C59"/>
    <w:rsid w:val="00DA1646"/>
    <w:rsid w:val="00DA3671"/>
    <w:rsid w:val="00DA3991"/>
    <w:rsid w:val="00DA43C3"/>
    <w:rsid w:val="00DA5E0A"/>
    <w:rsid w:val="00DB0D63"/>
    <w:rsid w:val="00DB12DE"/>
    <w:rsid w:val="00DB45A7"/>
    <w:rsid w:val="00DB4A6F"/>
    <w:rsid w:val="00DB5463"/>
    <w:rsid w:val="00DB5F1D"/>
    <w:rsid w:val="00DB6D98"/>
    <w:rsid w:val="00DB7566"/>
    <w:rsid w:val="00DB7E6C"/>
    <w:rsid w:val="00DC1267"/>
    <w:rsid w:val="00DC28FF"/>
    <w:rsid w:val="00DC3B61"/>
    <w:rsid w:val="00DC516B"/>
    <w:rsid w:val="00DC52E4"/>
    <w:rsid w:val="00DC5317"/>
    <w:rsid w:val="00DC6D7E"/>
    <w:rsid w:val="00DC71CC"/>
    <w:rsid w:val="00DD09D2"/>
    <w:rsid w:val="00DD33B6"/>
    <w:rsid w:val="00DD5A29"/>
    <w:rsid w:val="00DD5D9D"/>
    <w:rsid w:val="00DD6A92"/>
    <w:rsid w:val="00DD7BD7"/>
    <w:rsid w:val="00DE1E8C"/>
    <w:rsid w:val="00DE32C6"/>
    <w:rsid w:val="00DE35CB"/>
    <w:rsid w:val="00DE54C0"/>
    <w:rsid w:val="00DE5EE0"/>
    <w:rsid w:val="00DE7017"/>
    <w:rsid w:val="00DE7382"/>
    <w:rsid w:val="00DF21E9"/>
    <w:rsid w:val="00DF3746"/>
    <w:rsid w:val="00DF3835"/>
    <w:rsid w:val="00DF45C6"/>
    <w:rsid w:val="00DF4689"/>
    <w:rsid w:val="00DF510C"/>
    <w:rsid w:val="00DF5466"/>
    <w:rsid w:val="00DF7A74"/>
    <w:rsid w:val="00E00F14"/>
    <w:rsid w:val="00E014DB"/>
    <w:rsid w:val="00E01E2C"/>
    <w:rsid w:val="00E05272"/>
    <w:rsid w:val="00E06386"/>
    <w:rsid w:val="00E06724"/>
    <w:rsid w:val="00E06A22"/>
    <w:rsid w:val="00E1006D"/>
    <w:rsid w:val="00E12ED5"/>
    <w:rsid w:val="00E201EE"/>
    <w:rsid w:val="00E20F3F"/>
    <w:rsid w:val="00E2446A"/>
    <w:rsid w:val="00E24EB4"/>
    <w:rsid w:val="00E265F5"/>
    <w:rsid w:val="00E27C3A"/>
    <w:rsid w:val="00E30B8D"/>
    <w:rsid w:val="00E315AB"/>
    <w:rsid w:val="00E31FCF"/>
    <w:rsid w:val="00E320ED"/>
    <w:rsid w:val="00E32A3C"/>
    <w:rsid w:val="00E32DF6"/>
    <w:rsid w:val="00E33AFB"/>
    <w:rsid w:val="00E34218"/>
    <w:rsid w:val="00E36B6A"/>
    <w:rsid w:val="00E42989"/>
    <w:rsid w:val="00E45B09"/>
    <w:rsid w:val="00E46282"/>
    <w:rsid w:val="00E47E10"/>
    <w:rsid w:val="00E47F54"/>
    <w:rsid w:val="00E51468"/>
    <w:rsid w:val="00E5216E"/>
    <w:rsid w:val="00E52EE2"/>
    <w:rsid w:val="00E57BBB"/>
    <w:rsid w:val="00E608D9"/>
    <w:rsid w:val="00E60B84"/>
    <w:rsid w:val="00E70631"/>
    <w:rsid w:val="00E71B6C"/>
    <w:rsid w:val="00E72A9E"/>
    <w:rsid w:val="00E76BAF"/>
    <w:rsid w:val="00E76C52"/>
    <w:rsid w:val="00E76F94"/>
    <w:rsid w:val="00E800F4"/>
    <w:rsid w:val="00E82344"/>
    <w:rsid w:val="00E84C82"/>
    <w:rsid w:val="00E84D46"/>
    <w:rsid w:val="00E84D64"/>
    <w:rsid w:val="00E87408"/>
    <w:rsid w:val="00E908AB"/>
    <w:rsid w:val="00E914C4"/>
    <w:rsid w:val="00E91D1D"/>
    <w:rsid w:val="00E934F5"/>
    <w:rsid w:val="00E96702"/>
    <w:rsid w:val="00E96961"/>
    <w:rsid w:val="00EA0BA1"/>
    <w:rsid w:val="00EA2BBC"/>
    <w:rsid w:val="00EA72EC"/>
    <w:rsid w:val="00EB04E1"/>
    <w:rsid w:val="00EB11CB"/>
    <w:rsid w:val="00EB275A"/>
    <w:rsid w:val="00EB3E99"/>
    <w:rsid w:val="00EB786A"/>
    <w:rsid w:val="00EC0EDC"/>
    <w:rsid w:val="00EC1578"/>
    <w:rsid w:val="00EC1C72"/>
    <w:rsid w:val="00EC2945"/>
    <w:rsid w:val="00EC3CC9"/>
    <w:rsid w:val="00EC680A"/>
    <w:rsid w:val="00ED0130"/>
    <w:rsid w:val="00ED1196"/>
    <w:rsid w:val="00ED737E"/>
    <w:rsid w:val="00ED764F"/>
    <w:rsid w:val="00ED7AEE"/>
    <w:rsid w:val="00EE1830"/>
    <w:rsid w:val="00EE1BF1"/>
    <w:rsid w:val="00EE205B"/>
    <w:rsid w:val="00EE2BED"/>
    <w:rsid w:val="00EE3414"/>
    <w:rsid w:val="00EE34E1"/>
    <w:rsid w:val="00EE374B"/>
    <w:rsid w:val="00EE4805"/>
    <w:rsid w:val="00EE4C4F"/>
    <w:rsid w:val="00EE59FB"/>
    <w:rsid w:val="00EF0D33"/>
    <w:rsid w:val="00EF10F8"/>
    <w:rsid w:val="00EF16C0"/>
    <w:rsid w:val="00EF230E"/>
    <w:rsid w:val="00EF45D6"/>
    <w:rsid w:val="00EF58BA"/>
    <w:rsid w:val="00EF6BC7"/>
    <w:rsid w:val="00EF7629"/>
    <w:rsid w:val="00F01332"/>
    <w:rsid w:val="00F0195C"/>
    <w:rsid w:val="00F06B18"/>
    <w:rsid w:val="00F07DB4"/>
    <w:rsid w:val="00F1075A"/>
    <w:rsid w:val="00F11BB5"/>
    <w:rsid w:val="00F1417B"/>
    <w:rsid w:val="00F14489"/>
    <w:rsid w:val="00F1787C"/>
    <w:rsid w:val="00F200C1"/>
    <w:rsid w:val="00F25249"/>
    <w:rsid w:val="00F30E67"/>
    <w:rsid w:val="00F3123E"/>
    <w:rsid w:val="00F31B87"/>
    <w:rsid w:val="00F33631"/>
    <w:rsid w:val="00F3390A"/>
    <w:rsid w:val="00F34B99"/>
    <w:rsid w:val="00F37A7F"/>
    <w:rsid w:val="00F420F2"/>
    <w:rsid w:val="00F42633"/>
    <w:rsid w:val="00F44F85"/>
    <w:rsid w:val="00F510E6"/>
    <w:rsid w:val="00F52DAB"/>
    <w:rsid w:val="00F54196"/>
    <w:rsid w:val="00F543F0"/>
    <w:rsid w:val="00F55827"/>
    <w:rsid w:val="00F62639"/>
    <w:rsid w:val="00F6373D"/>
    <w:rsid w:val="00F63A1E"/>
    <w:rsid w:val="00F63CA9"/>
    <w:rsid w:val="00F65923"/>
    <w:rsid w:val="00F72314"/>
    <w:rsid w:val="00F737AD"/>
    <w:rsid w:val="00F75807"/>
    <w:rsid w:val="00F81158"/>
    <w:rsid w:val="00F812AD"/>
    <w:rsid w:val="00F81D29"/>
    <w:rsid w:val="00F81D61"/>
    <w:rsid w:val="00F81DC8"/>
    <w:rsid w:val="00F8732D"/>
    <w:rsid w:val="00F8740C"/>
    <w:rsid w:val="00F90061"/>
    <w:rsid w:val="00F9011E"/>
    <w:rsid w:val="00F91C4D"/>
    <w:rsid w:val="00F92FD9"/>
    <w:rsid w:val="00F934E2"/>
    <w:rsid w:val="00F96BC5"/>
    <w:rsid w:val="00F976AD"/>
    <w:rsid w:val="00FA1947"/>
    <w:rsid w:val="00FA2541"/>
    <w:rsid w:val="00FA42EF"/>
    <w:rsid w:val="00FA6470"/>
    <w:rsid w:val="00FA6684"/>
    <w:rsid w:val="00FA698C"/>
    <w:rsid w:val="00FA705E"/>
    <w:rsid w:val="00FA731E"/>
    <w:rsid w:val="00FB0B66"/>
    <w:rsid w:val="00FB1366"/>
    <w:rsid w:val="00FB2B38"/>
    <w:rsid w:val="00FB3791"/>
    <w:rsid w:val="00FB653E"/>
    <w:rsid w:val="00FB6698"/>
    <w:rsid w:val="00FC228D"/>
    <w:rsid w:val="00FC249D"/>
    <w:rsid w:val="00FC3DF9"/>
    <w:rsid w:val="00FC43FE"/>
    <w:rsid w:val="00FC6358"/>
    <w:rsid w:val="00FC6C90"/>
    <w:rsid w:val="00FD04BB"/>
    <w:rsid w:val="00FD0A3B"/>
    <w:rsid w:val="00FD320D"/>
    <w:rsid w:val="00FD3841"/>
    <w:rsid w:val="00FD570D"/>
    <w:rsid w:val="00FE04CB"/>
    <w:rsid w:val="00FE05C6"/>
    <w:rsid w:val="00FE06DA"/>
    <w:rsid w:val="00FE12D5"/>
    <w:rsid w:val="00FE1498"/>
    <w:rsid w:val="00FE23DE"/>
    <w:rsid w:val="00FE400D"/>
    <w:rsid w:val="00FF118C"/>
    <w:rsid w:val="00FF381C"/>
    <w:rsid w:val="00FF4A58"/>
    <w:rsid w:val="00FF783A"/>
    <w:rsid w:val="0A842761"/>
    <w:rsid w:val="0C68411F"/>
    <w:rsid w:val="0DD7773F"/>
    <w:rsid w:val="0E8D76BF"/>
    <w:rsid w:val="128A1009"/>
    <w:rsid w:val="1F3E57F5"/>
    <w:rsid w:val="215C14F1"/>
    <w:rsid w:val="24642242"/>
    <w:rsid w:val="258D47B6"/>
    <w:rsid w:val="2E1C1A4E"/>
    <w:rsid w:val="4DC024C2"/>
    <w:rsid w:val="4F9B24EE"/>
    <w:rsid w:val="51C508AC"/>
    <w:rsid w:val="5AE12A2F"/>
    <w:rsid w:val="5F7B5377"/>
    <w:rsid w:val="6568477B"/>
    <w:rsid w:val="674B0307"/>
    <w:rsid w:val="68D52A0C"/>
    <w:rsid w:val="6E906FA7"/>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8"/>
    <w:semiHidden/>
    <w:unhideWhenUsed/>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link w:val="150"/>
    <w:semiHidden/>
    <w:unhideWhenUsed/>
    <w:uiPriority w:val="0"/>
    <w:pPr>
      <w:ind w:left="100" w:leftChars="2500"/>
    </w:pPr>
  </w:style>
  <w:style w:type="paragraph" w:styleId="15">
    <w:name w:val="endnote text"/>
    <w:basedOn w:val="1"/>
    <w:semiHidden/>
    <w:qFormat/>
    <w:uiPriority w:val="0"/>
    <w:pPr>
      <w:snapToGrid w:val="0"/>
      <w:jc w:val="left"/>
    </w:pPr>
  </w:style>
  <w:style w:type="paragraph" w:styleId="16">
    <w:name w:val="Balloon Text"/>
    <w:basedOn w:val="1"/>
    <w:link w:val="43"/>
    <w:qFormat/>
    <w:uiPriority w:val="0"/>
    <w:rPr>
      <w:sz w:val="18"/>
      <w:szCs w:val="18"/>
    </w:rPr>
  </w:style>
  <w:style w:type="paragraph" w:styleId="17">
    <w:name w:val="footer"/>
    <w:basedOn w:val="1"/>
    <w:link w:val="54"/>
    <w:qFormat/>
    <w:uiPriority w:val="99"/>
    <w:pPr>
      <w:snapToGrid w:val="0"/>
      <w:ind w:right="210" w:rightChars="100"/>
      <w:jc w:val="right"/>
    </w:pPr>
    <w:rPr>
      <w:sz w:val="18"/>
      <w:szCs w:val="18"/>
    </w:rPr>
  </w:style>
  <w:style w:type="paragraph" w:styleId="18">
    <w:name w:val="header"/>
    <w:basedOn w:val="1"/>
    <w:link w:val="42"/>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tabs>
        <w:tab w:val="left" w:pos="0"/>
      </w:tabs>
      <w:snapToGrid w:val="0"/>
      <w:ind w:left="720" w:hanging="357"/>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7"/>
    <w:next w:val="7"/>
    <w:link w:val="149"/>
    <w:semiHidden/>
    <w:unhideWhenUsed/>
    <w:uiPriority w:val="0"/>
    <w:rPr>
      <w:b/>
      <w:bCs/>
    </w:rPr>
  </w:style>
  <w:style w:type="table" w:styleId="33">
    <w:name w:val="Table Grid"/>
    <w:basedOn w:val="32"/>
    <w:qFormat/>
    <w:uiPriority w:val="59"/>
    <w:pPr>
      <w:numPr>
        <w:numId w:val="1"/>
      </w:numPr>
      <w:tabs>
        <w:tab w:val="left" w:pos="72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Hyperlink"/>
    <w:qFormat/>
    <w:uiPriority w:val="0"/>
    <w:rPr>
      <w:color w:val="0000FF"/>
      <w:spacing w:val="0"/>
      <w:w w:val="100"/>
      <w:szCs w:val="21"/>
      <w:u w:val="single"/>
      <w:lang w:val="en-US" w:eastAsia="zh-CN"/>
    </w:rPr>
  </w:style>
  <w:style w:type="character" w:styleId="38">
    <w:name w:val="annotation reference"/>
    <w:basedOn w:val="34"/>
    <w:semiHidden/>
    <w:unhideWhenUsed/>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3"/>
    <w:qFormat/>
    <w:uiPriority w:val="0"/>
    <w:rPr>
      <w:rFonts w:ascii="宋体"/>
      <w:sz w:val="21"/>
      <w:lang w:val="en-US" w:eastAsia="zh-CN" w:bidi="ar-SA"/>
    </w:rPr>
  </w:style>
  <w:style w:type="character" w:customStyle="1" w:styleId="41">
    <w:name w:val="访问过的超链接1"/>
    <w:qFormat/>
    <w:uiPriority w:val="0"/>
    <w:rPr>
      <w:color w:val="800080"/>
      <w:u w:val="single"/>
    </w:rPr>
  </w:style>
  <w:style w:type="character" w:customStyle="1" w:styleId="42">
    <w:name w:val="页眉 字符"/>
    <w:link w:val="18"/>
    <w:qFormat/>
    <w:locked/>
    <w:uiPriority w:val="0"/>
    <w:rPr>
      <w:kern w:val="2"/>
      <w:sz w:val="18"/>
      <w:szCs w:val="18"/>
    </w:rPr>
  </w:style>
  <w:style w:type="character" w:customStyle="1" w:styleId="43">
    <w:name w:val="批注框文本 字符"/>
    <w:link w:val="16"/>
    <w:qFormat/>
    <w:uiPriority w:val="0"/>
    <w:rPr>
      <w:kern w:val="2"/>
      <w:sz w:val="18"/>
      <w:szCs w:val="18"/>
    </w:rPr>
  </w:style>
  <w:style w:type="character" w:customStyle="1" w:styleId="44">
    <w:name w:val="发布"/>
    <w:qFormat/>
    <w:uiPriority w:val="0"/>
    <w:rPr>
      <w:rFonts w:ascii="黑体" w:eastAsia="黑体"/>
      <w:spacing w:val="85"/>
      <w:w w:val="100"/>
      <w:position w:val="3"/>
      <w:sz w:val="28"/>
      <w:szCs w:val="28"/>
    </w:rPr>
  </w:style>
  <w:style w:type="character" w:customStyle="1" w:styleId="45">
    <w:name w:val="章标题 Char"/>
    <w:link w:val="46"/>
    <w:qFormat/>
    <w:locked/>
    <w:uiPriority w:val="0"/>
    <w:rPr>
      <w:rFonts w:ascii="黑体" w:eastAsia="黑体"/>
      <w:sz w:val="21"/>
    </w:rPr>
  </w:style>
  <w:style w:type="paragraph" w:customStyle="1" w:styleId="46">
    <w:name w:val="章标题"/>
    <w:next w:val="23"/>
    <w:link w:val="45"/>
    <w:qFormat/>
    <w:uiPriority w:val="99"/>
    <w:pPr>
      <w:spacing w:beforeLines="100" w:afterLines="100"/>
      <w:jc w:val="both"/>
      <w:outlineLvl w:val="1"/>
    </w:pPr>
    <w:rPr>
      <w:rFonts w:ascii="黑体" w:hAnsi="Times New Roman" w:eastAsia="黑体" w:cs="Times New Roman"/>
      <w:sz w:val="21"/>
      <w:lang w:val="en-US" w:eastAsia="zh-CN" w:bidi="ar-SA"/>
    </w:rPr>
  </w:style>
  <w:style w:type="character" w:customStyle="1" w:styleId="47">
    <w:name w:val="一级条标题 Char"/>
    <w:link w:val="48"/>
    <w:qFormat/>
    <w:locked/>
    <w:uiPriority w:val="99"/>
    <w:rPr>
      <w:rFonts w:ascii="黑体" w:eastAsia="黑体"/>
      <w:sz w:val="21"/>
      <w:szCs w:val="21"/>
    </w:rPr>
  </w:style>
  <w:style w:type="paragraph" w:customStyle="1" w:styleId="48">
    <w:name w:val="一级条标题"/>
    <w:next w:val="23"/>
    <w:link w:val="47"/>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49">
    <w:name w:val="二级无 Char"/>
    <w:link w:val="50"/>
    <w:qFormat/>
    <w:locked/>
    <w:uiPriority w:val="0"/>
    <w:rPr>
      <w:rFonts w:ascii="宋体"/>
      <w:sz w:val="21"/>
      <w:szCs w:val="21"/>
    </w:rPr>
  </w:style>
  <w:style w:type="paragraph" w:customStyle="1" w:styleId="50">
    <w:name w:val="二级无"/>
    <w:basedOn w:val="51"/>
    <w:link w:val="49"/>
    <w:qFormat/>
    <w:uiPriority w:val="0"/>
    <w:pPr>
      <w:spacing w:beforeLines="0" w:afterLines="0"/>
    </w:pPr>
    <w:rPr>
      <w:rFonts w:ascii="宋体" w:eastAsia="宋体"/>
    </w:rPr>
  </w:style>
  <w:style w:type="paragraph" w:customStyle="1" w:styleId="51">
    <w:name w:val="二级条标题"/>
    <w:basedOn w:val="48"/>
    <w:next w:val="23"/>
    <w:link w:val="146"/>
    <w:qFormat/>
    <w:uiPriority w:val="99"/>
    <w:pPr>
      <w:numPr>
        <w:ilvl w:val="2"/>
      </w:numPr>
      <w:spacing w:before="50" w:after="50"/>
      <w:outlineLvl w:val="3"/>
    </w:pPr>
  </w:style>
  <w:style w:type="character" w:customStyle="1" w:styleId="52">
    <w:name w:val="附录公式 Char"/>
    <w:basedOn w:val="40"/>
    <w:link w:val="53"/>
    <w:qFormat/>
    <w:uiPriority w:val="0"/>
    <w:rPr>
      <w:rFonts w:ascii="宋体"/>
      <w:sz w:val="21"/>
      <w:lang w:val="en-US" w:eastAsia="zh-CN" w:bidi="ar-SA"/>
    </w:rPr>
  </w:style>
  <w:style w:type="paragraph" w:customStyle="1" w:styleId="53">
    <w:name w:val="附录公式"/>
    <w:basedOn w:val="23"/>
    <w:next w:val="23"/>
    <w:link w:val="52"/>
    <w:qFormat/>
    <w:uiPriority w:val="0"/>
  </w:style>
  <w:style w:type="character" w:customStyle="1" w:styleId="54">
    <w:name w:val="页脚 字符"/>
    <w:link w:val="17"/>
    <w:qFormat/>
    <w:locked/>
    <w:uiPriority w:val="99"/>
    <w:rPr>
      <w:kern w:val="2"/>
      <w:sz w:val="18"/>
      <w:szCs w:val="18"/>
    </w:rPr>
  </w:style>
  <w:style w:type="character" w:customStyle="1" w:styleId="55">
    <w:name w:val="首示例 Char"/>
    <w:link w:val="56"/>
    <w:qFormat/>
    <w:uiPriority w:val="0"/>
    <w:rPr>
      <w:rFonts w:ascii="宋体" w:hAnsi="宋体"/>
      <w:kern w:val="2"/>
      <w:sz w:val="18"/>
      <w:szCs w:val="18"/>
    </w:rPr>
  </w:style>
  <w:style w:type="paragraph" w:customStyle="1" w:styleId="56">
    <w:name w:val="首示例"/>
    <w:next w:val="23"/>
    <w:link w:val="55"/>
    <w:qFormat/>
    <w:uiPriority w:val="0"/>
    <w:pPr>
      <w:tabs>
        <w:tab w:val="left" w:pos="360"/>
      </w:tabs>
    </w:pPr>
    <w:rPr>
      <w:rFonts w:ascii="宋体" w:hAnsi="宋体" w:eastAsia="宋体" w:cs="Times New Roman"/>
      <w:kern w:val="2"/>
      <w:sz w:val="18"/>
      <w:szCs w:val="18"/>
      <w:lang w:val="en-US" w:eastAsia="zh-CN" w:bidi="ar-SA"/>
    </w:rPr>
  </w:style>
  <w:style w:type="paragraph" w:customStyle="1" w:styleId="57">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9">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正文图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2">
    <w:name w:val="示例后文字"/>
    <w:basedOn w:val="23"/>
    <w:next w:val="23"/>
    <w:qFormat/>
    <w:uiPriority w:val="0"/>
    <w:pPr>
      <w:ind w:firstLine="360"/>
    </w:pPr>
    <w:rPr>
      <w:sz w:val="18"/>
    </w:rPr>
  </w:style>
  <w:style w:type="paragraph" w:customStyle="1" w:styleId="6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附录表标号"/>
    <w:basedOn w:val="1"/>
    <w:next w:val="23"/>
    <w:qFormat/>
    <w:uiPriority w:val="0"/>
    <w:pPr>
      <w:spacing w:line="14" w:lineRule="exact"/>
      <w:ind w:left="811" w:hanging="448"/>
      <w:jc w:val="center"/>
      <w:outlineLvl w:val="0"/>
    </w:pPr>
    <w:rPr>
      <w:color w:val="FFFFFF"/>
    </w:rPr>
  </w:style>
  <w:style w:type="paragraph" w:customStyle="1" w:styleId="66">
    <w:name w:val="附录二级条标题"/>
    <w:basedOn w:val="1"/>
    <w:next w:val="2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7">
    <w:name w:val="封面一致性程度标识"/>
    <w:basedOn w:val="68"/>
    <w:qFormat/>
    <w:uiPriority w:val="99"/>
    <w:pPr>
      <w:framePr w:wrap="around"/>
      <w:spacing w:before="440"/>
    </w:pPr>
    <w:rPr>
      <w:rFonts w:ascii="宋体" w:eastAsia="宋体"/>
    </w:rPr>
  </w:style>
  <w:style w:type="paragraph" w:customStyle="1" w:styleId="68">
    <w:name w:val="封面标准英文名称"/>
    <w:basedOn w:val="69"/>
    <w:qFormat/>
    <w:uiPriority w:val="0"/>
    <w:pPr>
      <w:framePr w:wrap="around"/>
      <w:spacing w:before="370" w:line="400" w:lineRule="exact"/>
    </w:pPr>
    <w:rPr>
      <w:rFonts w:ascii="Times New Roman"/>
      <w:sz w:val="28"/>
      <w:szCs w:val="28"/>
    </w:rPr>
  </w:style>
  <w:style w:type="paragraph" w:customStyle="1" w:styleId="6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附录二级无"/>
    <w:basedOn w:val="66"/>
    <w:qFormat/>
    <w:uiPriority w:val="0"/>
    <w:pPr>
      <w:tabs>
        <w:tab w:val="clear" w:pos="360"/>
      </w:tabs>
      <w:spacing w:beforeLines="0" w:afterLines="0"/>
    </w:pPr>
    <w:rPr>
      <w:rFonts w:ascii="宋体" w:eastAsia="宋体"/>
      <w:szCs w:val="21"/>
    </w:rPr>
  </w:style>
  <w:style w:type="paragraph" w:customStyle="1" w:styleId="71">
    <w:name w:val="一级无"/>
    <w:basedOn w:val="48"/>
    <w:qFormat/>
    <w:uiPriority w:val="0"/>
    <w:pPr>
      <w:spacing w:beforeLines="0" w:afterLines="0"/>
    </w:pPr>
    <w:rPr>
      <w:rFonts w:ascii="宋体" w:eastAsia="宋体"/>
    </w:rPr>
  </w:style>
  <w:style w:type="paragraph" w:customStyle="1" w:styleId="72">
    <w:name w:val="实施日期"/>
    <w:basedOn w:val="58"/>
    <w:qFormat/>
    <w:uiPriority w:val="0"/>
    <w:pPr>
      <w:framePr w:wrap="around" w:vAnchor="page" w:hAnchor="text"/>
      <w:jc w:val="right"/>
    </w:pPr>
  </w:style>
  <w:style w:type="paragraph" w:customStyle="1" w:styleId="73">
    <w:name w:val="四级无"/>
    <w:basedOn w:val="74"/>
    <w:uiPriority w:val="0"/>
    <w:pPr>
      <w:spacing w:beforeLines="0" w:afterLines="0"/>
    </w:pPr>
    <w:rPr>
      <w:rFonts w:ascii="宋体" w:eastAsia="宋体"/>
    </w:rPr>
  </w:style>
  <w:style w:type="paragraph" w:customStyle="1" w:styleId="74">
    <w:name w:val="四级条标题"/>
    <w:basedOn w:val="75"/>
    <w:next w:val="23"/>
    <w:qFormat/>
    <w:uiPriority w:val="99"/>
    <w:pPr>
      <w:outlineLvl w:val="5"/>
    </w:pPr>
  </w:style>
  <w:style w:type="paragraph" w:customStyle="1" w:styleId="75">
    <w:name w:val="三级条标题"/>
    <w:basedOn w:val="51"/>
    <w:next w:val="23"/>
    <w:qFormat/>
    <w:uiPriority w:val="99"/>
    <w:pPr>
      <w:numPr>
        <w:ilvl w:val="0"/>
        <w:numId w:val="0"/>
      </w:numPr>
      <w:outlineLvl w:val="4"/>
    </w:pPr>
  </w:style>
  <w:style w:type="paragraph" w:customStyle="1" w:styleId="76">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7">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8">
    <w:name w:val="正文表标题"/>
    <w:next w:val="23"/>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0">
    <w:name w:val="图标脚注说明"/>
    <w:basedOn w:val="23"/>
    <w:uiPriority w:val="0"/>
    <w:pPr>
      <w:ind w:left="840" w:hanging="420" w:firstLineChars="0"/>
    </w:pPr>
    <w:rPr>
      <w:sz w:val="18"/>
      <w:szCs w:val="18"/>
    </w:rPr>
  </w:style>
  <w:style w:type="paragraph" w:customStyle="1" w:styleId="81">
    <w:name w:val="列项◆（三级）"/>
    <w:basedOn w:val="1"/>
    <w:qFormat/>
    <w:uiPriority w:val="0"/>
    <w:pPr>
      <w:tabs>
        <w:tab w:val="left" w:pos="1678"/>
      </w:tabs>
      <w:ind w:left="1678" w:hanging="414"/>
    </w:pPr>
    <w:rPr>
      <w:rFonts w:ascii="宋体"/>
      <w:szCs w:val="21"/>
    </w:rPr>
  </w:style>
  <w:style w:type="paragraph" w:customStyle="1" w:styleId="8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3">
    <w:name w:val="附录三级条标题"/>
    <w:basedOn w:val="66"/>
    <w:next w:val="23"/>
    <w:qFormat/>
    <w:uiPriority w:val="0"/>
    <w:pPr>
      <w:outlineLvl w:val="4"/>
    </w:p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附录五级无"/>
    <w:basedOn w:val="86"/>
    <w:qFormat/>
    <w:uiPriority w:val="0"/>
    <w:pPr>
      <w:tabs>
        <w:tab w:val="left" w:pos="360"/>
      </w:tabs>
      <w:spacing w:beforeLines="0" w:afterLines="0"/>
    </w:pPr>
    <w:rPr>
      <w:rFonts w:ascii="宋体" w:eastAsia="宋体"/>
      <w:szCs w:val="21"/>
    </w:rPr>
  </w:style>
  <w:style w:type="paragraph" w:customStyle="1" w:styleId="86">
    <w:name w:val="附录五级条标题"/>
    <w:basedOn w:val="87"/>
    <w:next w:val="23"/>
    <w:qFormat/>
    <w:uiPriority w:val="0"/>
    <w:pPr>
      <w:tabs>
        <w:tab w:val="left" w:pos="360"/>
      </w:tabs>
      <w:outlineLvl w:val="6"/>
    </w:pPr>
  </w:style>
  <w:style w:type="paragraph" w:customStyle="1" w:styleId="87">
    <w:name w:val="附录四级条标题"/>
    <w:basedOn w:val="83"/>
    <w:next w:val="23"/>
    <w:qFormat/>
    <w:uiPriority w:val="0"/>
    <w:pPr>
      <w:outlineLvl w:val="5"/>
    </w:pPr>
  </w:style>
  <w:style w:type="paragraph" w:customStyle="1" w:styleId="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附录一级无"/>
    <w:basedOn w:val="90"/>
    <w:uiPriority w:val="0"/>
    <w:pPr>
      <w:tabs>
        <w:tab w:val="left" w:pos="360"/>
      </w:tabs>
      <w:spacing w:beforeLines="0" w:afterLines="0"/>
    </w:pPr>
    <w:rPr>
      <w:rFonts w:ascii="宋体" w:eastAsia="宋体"/>
      <w:szCs w:val="21"/>
    </w:rPr>
  </w:style>
  <w:style w:type="paragraph" w:customStyle="1" w:styleId="90">
    <w:name w:val="附录一级条标题"/>
    <w:basedOn w:val="91"/>
    <w:next w:val="23"/>
    <w:qFormat/>
    <w:uiPriority w:val="0"/>
    <w:pPr>
      <w:tabs>
        <w:tab w:val="left" w:pos="360"/>
      </w:tabs>
      <w:autoSpaceDN w:val="0"/>
      <w:spacing w:beforeLines="50" w:afterLines="50"/>
      <w:outlineLvl w:val="2"/>
    </w:pPr>
  </w:style>
  <w:style w:type="paragraph" w:customStyle="1" w:styleId="91">
    <w:name w:val="附录章标题"/>
    <w:next w:val="2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4">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图标题"/>
    <w:basedOn w:val="1"/>
    <w:next w:val="23"/>
    <w:qFormat/>
    <w:uiPriority w:val="0"/>
    <w:pPr>
      <w:tabs>
        <w:tab w:val="left" w:pos="363"/>
      </w:tabs>
      <w:spacing w:beforeLines="50" w:afterLines="50"/>
      <w:jc w:val="center"/>
    </w:pPr>
    <w:rPr>
      <w:rFonts w:ascii="黑体" w:eastAsia="黑体"/>
      <w:szCs w:val="21"/>
    </w:rPr>
  </w:style>
  <w:style w:type="paragraph" w:customStyle="1" w:styleId="96">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7">
    <w:name w:val="参考文献、索引标题"/>
    <w:basedOn w:val="1"/>
    <w:next w:val="23"/>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9">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1">
    <w:name w:val="条文脚注"/>
    <w:basedOn w:val="24"/>
    <w:qFormat/>
    <w:uiPriority w:val="0"/>
    <w:pPr>
      <w:ind w:left="0" w:firstLine="0"/>
      <w:jc w:val="both"/>
    </w:pPr>
  </w:style>
  <w:style w:type="paragraph" w:customStyle="1" w:styleId="10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4">
    <w:name w:val="示例"/>
    <w:next w:val="10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6">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7">
    <w:name w:val="封面一致性程度标识2"/>
    <w:basedOn w:val="67"/>
    <w:qFormat/>
    <w:uiPriority w:val="0"/>
    <w:pPr>
      <w:framePr w:wrap="around" w:y="4469"/>
    </w:pPr>
  </w:style>
  <w:style w:type="paragraph" w:customStyle="1" w:styleId="108">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9">
    <w:name w:val="附录三级无"/>
    <w:basedOn w:val="83"/>
    <w:qFormat/>
    <w:uiPriority w:val="0"/>
    <w:pPr>
      <w:tabs>
        <w:tab w:val="clear" w:pos="360"/>
      </w:tabs>
      <w:spacing w:beforeLines="0" w:afterLines="0"/>
    </w:pPr>
    <w:rPr>
      <w:rFonts w:ascii="宋体" w:eastAsia="宋体"/>
      <w:szCs w:val="21"/>
    </w:rPr>
  </w:style>
  <w:style w:type="paragraph" w:customStyle="1" w:styleId="110">
    <w:name w:val="其他发布日期"/>
    <w:basedOn w:val="58"/>
    <w:qFormat/>
    <w:uiPriority w:val="99"/>
    <w:pPr>
      <w:framePr w:wrap="around" w:vAnchor="page" w:hAnchor="text" w:x="1419"/>
    </w:pPr>
  </w:style>
  <w:style w:type="paragraph" w:customStyle="1" w:styleId="111">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2">
    <w:name w:val="其他标准标志"/>
    <w:basedOn w:val="102"/>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图表脚注说明"/>
    <w:basedOn w:val="1"/>
    <w:qFormat/>
    <w:uiPriority w:val="0"/>
    <w:pPr>
      <w:ind w:left="544" w:hanging="181"/>
    </w:pPr>
    <w:rPr>
      <w:rFonts w:ascii="宋体"/>
      <w:sz w:val="18"/>
      <w:szCs w:val="18"/>
    </w:rPr>
  </w:style>
  <w:style w:type="paragraph" w:customStyle="1" w:styleId="115">
    <w:name w:val="五级条标题"/>
    <w:basedOn w:val="74"/>
    <w:next w:val="23"/>
    <w:qFormat/>
    <w:uiPriority w:val="99"/>
    <w:pPr>
      <w:numPr>
        <w:ilvl w:val="5"/>
      </w:numPr>
      <w:outlineLvl w:val="6"/>
    </w:pPr>
  </w:style>
  <w:style w:type="paragraph" w:customStyle="1" w:styleId="116">
    <w:name w:val="封面标准文稿类别"/>
    <w:basedOn w:val="67"/>
    <w:qFormat/>
    <w:uiPriority w:val="0"/>
    <w:pPr>
      <w:framePr w:wrap="around"/>
      <w:spacing w:after="160" w:line="240" w:lineRule="auto"/>
    </w:pPr>
    <w:rPr>
      <w:sz w:val="24"/>
    </w:r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示例×："/>
    <w:basedOn w:val="46"/>
    <w:qFormat/>
    <w:uiPriority w:val="0"/>
    <w:pPr>
      <w:spacing w:beforeLines="0" w:afterLines="0"/>
      <w:ind w:firstLine="363"/>
      <w:outlineLvl w:val="9"/>
    </w:pPr>
    <w:rPr>
      <w:rFonts w:ascii="宋体" w:eastAsia="宋体"/>
      <w:sz w:val="18"/>
      <w:szCs w:val="18"/>
    </w:rPr>
  </w:style>
  <w:style w:type="paragraph" w:customStyle="1" w:styleId="11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1">
    <w:name w:val="附录标识"/>
    <w:basedOn w:val="1"/>
    <w:next w:val="23"/>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2">
    <w:name w:val="标准书眉_偶数页"/>
    <w:basedOn w:val="84"/>
    <w:next w:val="1"/>
    <w:qFormat/>
    <w:uiPriority w:val="0"/>
    <w:pPr>
      <w:jc w:val="left"/>
    </w:pPr>
  </w:style>
  <w:style w:type="paragraph" w:customStyle="1" w:styleId="123">
    <w:name w:val="封面标准文稿编辑信息"/>
    <w:basedOn w:val="116"/>
    <w:qFormat/>
    <w:uiPriority w:val="0"/>
    <w:pPr>
      <w:framePr w:wrap="around"/>
      <w:spacing w:before="180" w:line="180" w:lineRule="exact"/>
    </w:pPr>
    <w:rPr>
      <w:sz w:val="21"/>
    </w:rPr>
  </w:style>
  <w:style w:type="paragraph" w:customStyle="1" w:styleId="124">
    <w:name w:val="附录表标题"/>
    <w:basedOn w:val="1"/>
    <w:next w:val="23"/>
    <w:qFormat/>
    <w:uiPriority w:val="0"/>
    <w:pPr>
      <w:tabs>
        <w:tab w:val="left" w:pos="180"/>
      </w:tabs>
      <w:spacing w:beforeLines="50" w:afterLines="50"/>
      <w:jc w:val="center"/>
    </w:pPr>
    <w:rPr>
      <w:rFonts w:ascii="黑体" w:eastAsia="黑体"/>
      <w:szCs w:val="21"/>
    </w:rPr>
  </w:style>
  <w:style w:type="paragraph" w:customStyle="1" w:styleId="125">
    <w:name w:val="注："/>
    <w:next w:val="2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6">
    <w:name w:val="注：（正文）"/>
    <w:basedOn w:val="125"/>
    <w:next w:val="23"/>
    <w:qFormat/>
    <w:uiPriority w:val="0"/>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0">
    <w:name w:val="附录标题"/>
    <w:basedOn w:val="23"/>
    <w:next w:val="23"/>
    <w:qFormat/>
    <w:uiPriority w:val="0"/>
    <w:pPr>
      <w:ind w:firstLine="0" w:firstLineChars="0"/>
      <w:jc w:val="center"/>
    </w:pPr>
    <w:rPr>
      <w:rFonts w:ascii="黑体" w:eastAsia="黑体"/>
    </w:rPr>
  </w:style>
  <w:style w:type="paragraph" w:customStyle="1" w:styleId="13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封面标准名称2"/>
    <w:basedOn w:val="69"/>
    <w:qFormat/>
    <w:uiPriority w:val="0"/>
    <w:pPr>
      <w:framePr w:wrap="around" w:y="4469"/>
      <w:spacing w:beforeLines="630"/>
    </w:pPr>
  </w:style>
  <w:style w:type="paragraph" w:customStyle="1" w:styleId="133">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4">
    <w:name w:val="封面标准文稿编辑信息2"/>
    <w:basedOn w:val="123"/>
    <w:qFormat/>
    <w:uiPriority w:val="0"/>
    <w:pPr>
      <w:framePr w:wrap="around" w:y="4469"/>
    </w:pPr>
  </w:style>
  <w:style w:type="paragraph" w:customStyle="1" w:styleId="135">
    <w:name w:val="其他发布部门"/>
    <w:basedOn w:val="133"/>
    <w:qFormat/>
    <w:uiPriority w:val="0"/>
    <w:pPr>
      <w:framePr w:wrap="around" w:y="15310"/>
      <w:spacing w:line="0" w:lineRule="atLeast"/>
    </w:pPr>
    <w:rPr>
      <w:rFonts w:ascii="黑体" w:eastAsia="黑体"/>
      <w:b w:val="0"/>
    </w:rPr>
  </w:style>
  <w:style w:type="paragraph" w:customStyle="1" w:styleId="136">
    <w:name w:val="附录四级无"/>
    <w:basedOn w:val="87"/>
    <w:qFormat/>
    <w:uiPriority w:val="0"/>
    <w:pPr>
      <w:tabs>
        <w:tab w:val="clear" w:pos="360"/>
      </w:tabs>
      <w:spacing w:beforeLines="0" w:afterLines="0"/>
    </w:pPr>
    <w:rPr>
      <w:rFonts w:ascii="宋体" w:eastAsia="宋体"/>
      <w:szCs w:val="21"/>
    </w:rPr>
  </w:style>
  <w:style w:type="paragraph" w:customStyle="1" w:styleId="137">
    <w:name w:val="三级无"/>
    <w:basedOn w:val="75"/>
    <w:qFormat/>
    <w:uiPriority w:val="0"/>
    <w:pPr>
      <w:spacing w:beforeLines="0" w:afterLines="0"/>
    </w:pPr>
    <w:rPr>
      <w:rFonts w:ascii="宋体" w:eastAsia="宋体"/>
    </w:rPr>
  </w:style>
  <w:style w:type="paragraph" w:customStyle="1" w:styleId="138">
    <w:name w:val="五级无"/>
    <w:basedOn w:val="115"/>
    <w:qFormat/>
    <w:uiPriority w:val="0"/>
    <w:pPr>
      <w:spacing w:beforeLines="0" w:afterLines="0"/>
    </w:pPr>
    <w:rPr>
      <w:rFonts w:ascii="宋体" w:eastAsia="宋体"/>
    </w:rPr>
  </w:style>
  <w:style w:type="paragraph" w:customStyle="1" w:styleId="139">
    <w:name w:val="正文公式编号制表符"/>
    <w:basedOn w:val="23"/>
    <w:next w:val="23"/>
    <w:qFormat/>
    <w:uiPriority w:val="0"/>
    <w:pPr>
      <w:ind w:firstLine="0" w:firstLineChars="0"/>
    </w:pPr>
  </w:style>
  <w:style w:type="paragraph" w:customStyle="1" w:styleId="140">
    <w:name w:val="终结线"/>
    <w:basedOn w:val="1"/>
    <w:qFormat/>
    <w:uiPriority w:val="0"/>
    <w:pPr>
      <w:framePr w:hSpace="181" w:vSpace="181" w:wrap="around" w:vAnchor="text" w:hAnchor="margin" w:xAlign="center" w:y="285"/>
    </w:pPr>
  </w:style>
  <w:style w:type="paragraph" w:customStyle="1" w:styleId="141">
    <w:name w:val="其他实施日期"/>
    <w:basedOn w:val="72"/>
    <w:qFormat/>
    <w:uiPriority w:val="99"/>
    <w:pPr>
      <w:framePr w:wrap="around"/>
    </w:pPr>
  </w:style>
  <w:style w:type="paragraph" w:customStyle="1" w:styleId="142">
    <w:name w:val="封面标准英文名称2"/>
    <w:basedOn w:val="68"/>
    <w:qFormat/>
    <w:uiPriority w:val="0"/>
    <w:pPr>
      <w:framePr w:wrap="around" w:y="4469"/>
    </w:pPr>
  </w:style>
  <w:style w:type="paragraph" w:customStyle="1" w:styleId="143">
    <w:name w:val="封面标准文稿类别2"/>
    <w:basedOn w:val="116"/>
    <w:qFormat/>
    <w:uiPriority w:val="0"/>
    <w:pPr>
      <w:framePr w:wrap="around" w:y="4469"/>
    </w:pPr>
  </w:style>
  <w:style w:type="paragraph" w:styleId="144">
    <w:name w:val="List Paragraph"/>
    <w:basedOn w:val="1"/>
    <w:qFormat/>
    <w:uiPriority w:val="34"/>
    <w:pPr>
      <w:ind w:firstLine="420" w:firstLineChars="200"/>
    </w:pPr>
    <w:rPr>
      <w:rFonts w:ascii="Calibri" w:hAnsi="Calibri"/>
      <w:szCs w:val="22"/>
    </w:rPr>
  </w:style>
  <w:style w:type="paragraph" w:customStyle="1" w:styleId="145">
    <w:name w:val="Char Char Char Char"/>
    <w:basedOn w:val="1"/>
    <w:qFormat/>
    <w:uiPriority w:val="0"/>
    <w:pPr>
      <w:adjustRightInd w:val="0"/>
      <w:spacing w:line="360" w:lineRule="auto"/>
    </w:pPr>
    <w:rPr>
      <w:kern w:val="0"/>
      <w:sz w:val="24"/>
      <w:szCs w:val="20"/>
    </w:rPr>
  </w:style>
  <w:style w:type="character" w:customStyle="1" w:styleId="146">
    <w:name w:val="二级条标题 Char"/>
    <w:link w:val="51"/>
    <w:qFormat/>
    <w:locked/>
    <w:uiPriority w:val="99"/>
    <w:rPr>
      <w:rFonts w:ascii="黑体" w:eastAsia="黑体"/>
      <w:sz w:val="21"/>
      <w:szCs w:val="21"/>
    </w:rPr>
  </w:style>
  <w:style w:type="character" w:styleId="147">
    <w:name w:val="Placeholder Text"/>
    <w:basedOn w:val="34"/>
    <w:semiHidden/>
    <w:uiPriority w:val="99"/>
    <w:rPr>
      <w:color w:val="808080"/>
    </w:rPr>
  </w:style>
  <w:style w:type="character" w:customStyle="1" w:styleId="148">
    <w:name w:val="批注文字 字符"/>
    <w:basedOn w:val="34"/>
    <w:link w:val="7"/>
    <w:semiHidden/>
    <w:uiPriority w:val="0"/>
    <w:rPr>
      <w:kern w:val="2"/>
      <w:sz w:val="21"/>
      <w:szCs w:val="24"/>
    </w:rPr>
  </w:style>
  <w:style w:type="character" w:customStyle="1" w:styleId="149">
    <w:name w:val="批注主题 字符"/>
    <w:basedOn w:val="148"/>
    <w:link w:val="31"/>
    <w:semiHidden/>
    <w:uiPriority w:val="0"/>
    <w:rPr>
      <w:b/>
      <w:bCs/>
      <w:kern w:val="2"/>
      <w:sz w:val="21"/>
      <w:szCs w:val="24"/>
    </w:rPr>
  </w:style>
  <w:style w:type="character" w:customStyle="1" w:styleId="150">
    <w:name w:val="日期 字符"/>
    <w:basedOn w:val="34"/>
    <w:link w:val="14"/>
    <w:semiHidden/>
    <w:uiPriority w:val="0"/>
    <w:rPr>
      <w:kern w:val="2"/>
      <w:sz w:val="21"/>
      <w:szCs w:val="24"/>
    </w:rPr>
  </w:style>
  <w:style w:type="paragraph" w:customStyle="1" w:styleId="151">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152">
    <w:name w:val="列出段落1"/>
    <w:basedOn w:val="1"/>
    <w:qFormat/>
    <w:uiPriority w:val="34"/>
    <w:pPr>
      <w:ind w:firstLine="420" w:firstLineChars="200"/>
    </w:pPr>
    <w:rPr>
      <w:rFonts w:ascii="Calibri" w:hAnsi="Calibri"/>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3BB8B2-205D-48FA-B1CA-97FAB025CEA0}">
  <ds:schemaRefs/>
</ds:datastoreItem>
</file>

<file path=docProps/app.xml><?xml version="1.0" encoding="utf-8"?>
<Properties xmlns="http://schemas.openxmlformats.org/officeDocument/2006/extended-properties" xmlns:vt="http://schemas.openxmlformats.org/officeDocument/2006/docPropsVTypes">
  <Template>Normal</Template>
  <Pages>11</Pages>
  <Words>852</Words>
  <Characters>4861</Characters>
  <Lines>40</Lines>
  <Paragraphs>11</Paragraphs>
  <TotalTime>0</TotalTime>
  <ScaleCrop>false</ScaleCrop>
  <LinksUpToDate>false</LinksUpToDate>
  <CharactersWithSpaces>5702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2024-01-17T08:04:00Z</dcterms:created>
  <dcterms:modified xsi:type="dcterms:W3CDTF">2024-01-18T03:28:40Z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DBA16D82E791497CAFFC016445F1F96D</vt:lpwstr>
  </property>
</Properties>
</file>