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y="2989"/>
        <w:pBdr>
          <w:bottom w:val="single" w:color="auto" w:sz="4" w:space="1"/>
        </w:pBdr>
        <w:wordWrap w:val="0"/>
        <w:rPr>
          <w:rFonts w:hint="default" w:ascii="Times New Roman" w:eastAsia="宋体"/>
          <w:lang w:val="en-US" w:eastAsia="zh-CN"/>
        </w:rPr>
      </w:pPr>
      <w:r>
        <w:rPr>
          <w:rFonts w:ascii="Times New Roman" w:eastAsia="宋体"/>
        </w:rPr>
        <w:t xml:space="preserve">T/SSEA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147"/>
        <w:framePr w:wrap="around" w:y="2989"/>
        <w:pBdr>
          <w:bottom w:val="single" w:color="auto" w:sz="4" w:space="1"/>
        </w:pBdr>
        <w:wordWrap w:val="0"/>
        <w:spacing w:before="120"/>
        <w:rPr>
          <w:rFonts w:hint="default" w:ascii="Times New Roman" w:eastAsia="宋体"/>
          <w:lang w:val="en-US" w:eastAsia="zh-CN"/>
        </w:rPr>
      </w:pPr>
      <w:r>
        <w:rPr>
          <w:rFonts w:ascii="Times New Roman" w:eastAsia="宋体"/>
        </w:rPr>
        <w:t xml:space="preserve">T/CSTA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147"/>
        <w:framePr w:wrap="around" w:y="2989"/>
        <w:rPr>
          <w:rFonts w:ascii="Times New Roman" w:eastAsia="宋体"/>
        </w:rPr>
      </w:pPr>
    </w:p>
    <w:p>
      <w:pPr>
        <w:pStyle w:val="147"/>
        <w:framePr w:wrap="around" w:y="2989"/>
        <w:rPr>
          <w:rFonts w:ascii="Times New Roman" w:eastAsia="宋体"/>
        </w:rPr>
      </w:pPr>
    </w:p>
    <w:p>
      <w:pPr>
        <w:pStyle w:val="71"/>
        <w:framePr w:wrap="around" w:x="1381" w:y="6406"/>
        <w:rPr>
          <w:rFonts w:ascii="Times New Roman"/>
        </w:rPr>
      </w:pPr>
      <w:bookmarkStart w:id="17" w:name="_GoBack"/>
      <w:bookmarkEnd w:id="17"/>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装饰用不锈钢冷轧钢板和钢带</w:t>
      </w:r>
    </w:p>
    <w:p>
      <w:pPr>
        <w:pStyle w:val="70"/>
        <w:framePr w:wrap="around" w:x="1381" w:y="6406"/>
      </w:pPr>
      <w:r>
        <w:t>Technical specification for green-design product assessment—</w:t>
      </w:r>
    </w:p>
    <w:p>
      <w:pPr>
        <w:pStyle w:val="70"/>
        <w:framePr w:wrap="around" w:x="1381" w:y="6406"/>
      </w:pPr>
      <w:r>
        <w:rPr>
          <w:rFonts w:hint="eastAsia"/>
        </w:rPr>
        <w:t>Cold rolled stainless steel sheet and strip for decoration</w:t>
      </w:r>
    </w:p>
    <w:p>
      <w:pPr>
        <w:pStyle w:val="113"/>
        <w:framePr w:wrap="around" w:hAnchor="page" w:x="1387" w:y="14075"/>
        <w:rPr>
          <w:rFonts w:eastAsia="宋体"/>
        </w:rPr>
      </w:pPr>
      <w:bookmarkStart w:id="0" w:name="FM"/>
      <w:r>
        <w:rPr>
          <w:rFonts w:hint="eastAsia" w:eastAsia="宋体"/>
          <w:lang w:val="en-US" w:eastAsia="zh-CN"/>
        </w:rPr>
        <w:t>XXXX</w:t>
      </w:r>
      <w:r>
        <w:rPr>
          <w:rFonts w:eastAsia="宋体"/>
        </w:rPr>
        <w:t>-</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hint="eastAsia" w:eastAsia="宋体"/>
          <w:lang w:val="en-US" w:eastAsia="zh-CN"/>
        </w:rPr>
        <w:t>XXXX</w:t>
      </w:r>
      <w:r>
        <w:rPr>
          <w:rFonts w:eastAsia="宋体"/>
        </w:rPr>
        <w:t>-XX-XX实施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w:t>
      </w:r>
      <w:r>
        <w:rPr>
          <w:rFonts w:hint="eastAsia" w:ascii="Times New Roman"/>
          <w:kern w:val="2"/>
          <w:sz w:val="22"/>
          <w:szCs w:val="22"/>
        </w:rPr>
        <w:t>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6</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1337"/>
      <w:bookmarkStart w:id="2" w:name="_Toc534127476"/>
      <w:bookmarkStart w:id="3" w:name="_Toc40475545"/>
      <w:bookmarkStart w:id="4" w:name="_Toc40476791"/>
      <w:bookmarkStart w:id="5" w:name="_Toc26452183"/>
      <w:bookmarkStart w:id="6" w:name="_Toc951"/>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rPr>
      </w:pPr>
      <w:r>
        <w:rPr>
          <w:rFonts w:ascii="Times New Roman"/>
        </w:rPr>
        <w:t>目</w:t>
      </w:r>
      <w:bookmarkEnd w:id="1"/>
      <w:bookmarkEnd w:id="2"/>
      <w:bookmarkEnd w:id="3"/>
      <w:bookmarkEnd w:id="4"/>
      <w:bookmarkEnd w:id="5"/>
      <w:r>
        <w:rPr>
          <w:rFonts w:ascii="Times New Roman"/>
        </w:rPr>
        <w:t xml:space="preserve">  次</w:t>
      </w:r>
      <w:bookmarkEnd w:id="6"/>
      <w:r>
        <w:rPr>
          <w:rFonts w:ascii="Times New Roman"/>
        </w:rPr>
        <w:fldChar w:fldCharType="begin"/>
      </w:r>
      <w:r>
        <w:rPr>
          <w:rFonts w:ascii="Times New Roman"/>
        </w:rPr>
        <w:instrText xml:space="preserve"> TOC \o "1-2" \h \z \u </w:instrText>
      </w:r>
      <w:r>
        <w:rPr>
          <w:rFonts w:ascii="Times New Roman"/>
        </w:rPr>
        <w:fldChar w:fldCharType="separate"/>
      </w:r>
    </w:p>
    <w:p>
      <w:pPr>
        <w:pStyle w:val="18"/>
        <w:tabs>
          <w:tab w:val="right" w:leader="dot" w:pos="9354"/>
          <w:tab w:val="clear" w:pos="9242"/>
        </w:tabs>
        <w:spacing w:before="78" w:after="78"/>
        <w:rPr>
          <w:rFonts w:ascii="Times New Roman"/>
        </w:rPr>
      </w:pPr>
      <w:r>
        <w:fldChar w:fldCharType="begin"/>
      </w:r>
      <w:r>
        <w:instrText xml:space="preserve"> HYPERLINK \l "_Toc31329" </w:instrText>
      </w:r>
      <w:r>
        <w:fldChar w:fldCharType="separate"/>
      </w:r>
      <w:r>
        <w:rPr>
          <w:rFonts w:ascii="Times New Roman"/>
        </w:rPr>
        <w:t>前  言</w:t>
      </w:r>
      <w:r>
        <w:rPr>
          <w:rFonts w:ascii="Times New Roman"/>
        </w:rPr>
        <w:tab/>
      </w:r>
      <w:r>
        <w:rPr>
          <w:rFonts w:ascii="Times New Roman"/>
        </w:rPr>
        <w:t>Ⅱ</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"_Toc31747" </w:instrText>
      </w:r>
      <w:r>
        <w:fldChar w:fldCharType="separate"/>
      </w:r>
      <w:r>
        <w:rPr>
          <w:rFonts w:ascii="Times New Roman"/>
        </w:rPr>
        <w:t>1 范围</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"_Toc2222" </w:instrText>
      </w:r>
      <w:r>
        <w:fldChar w:fldCharType="separate"/>
      </w:r>
      <w:r>
        <w:rPr>
          <w:rFonts w:ascii="Times New Roman"/>
        </w:rPr>
        <w:t>2 规范性引用文件</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"_Toc10886" </w:instrText>
      </w:r>
      <w:r>
        <w:fldChar w:fldCharType="separate"/>
      </w:r>
      <w:r>
        <w:rPr>
          <w:rFonts w:ascii="Times New Roman"/>
        </w:rPr>
        <w:t>3 术语和定义</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4 </w:t>
      </w:r>
      <w:r>
        <w:rPr>
          <w:rFonts w:hint="eastAsia" w:ascii="Times New Roman"/>
        </w:rPr>
        <w:t>评价原则和方法</w:t>
      </w:r>
      <w:r>
        <w:rPr>
          <w:rFonts w:ascii="Times New Roman"/>
        </w:rPr>
        <w:tab/>
      </w:r>
      <w:r>
        <w:rPr>
          <w:rFonts w:hint="eastAsia" w:ascii="Times New Roman"/>
        </w:rPr>
        <w:t>2</w:t>
      </w:r>
      <w:r>
        <w:rPr>
          <w:rFonts w:hint="eastAsia"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5 </w:t>
      </w:r>
      <w:r>
        <w:rPr>
          <w:rFonts w:hint="eastAsia" w:ascii="Times New Roman"/>
        </w:rPr>
        <w:t>评价要求</w:t>
      </w:r>
      <w:r>
        <w:rPr>
          <w:rFonts w:ascii="Times New Roman"/>
        </w:rPr>
        <w:tab/>
      </w:r>
      <w:r>
        <w:rPr>
          <w:rFonts w:ascii="Times New Roman"/>
        </w:rPr>
        <w:t>2</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6 </w:t>
      </w:r>
      <w:r>
        <w:rPr>
          <w:rFonts w:hint="eastAsia" w:ascii="Times New Roman"/>
        </w:rPr>
        <w:t>生命周期评价报告编制方法</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附录A（规范性）评价指标计算方法</w:t>
      </w:r>
      <w:r>
        <w:fldChar w:fldCharType="begin"/>
      </w:r>
      <w:r>
        <w:instrText xml:space="preserve"> HYPERLINK \l "_Toc4036" </w:instrText>
      </w:r>
      <w:r>
        <w:fldChar w:fldCharType="separate"/>
      </w:r>
      <w:r>
        <w:rPr>
          <w:rFonts w:ascii="Times New Roman"/>
        </w:rPr>
        <w:tab/>
      </w:r>
      <w:r>
        <w:rPr>
          <w:rFonts w:hint="eastAsia" w:ascii="Times New Roman"/>
        </w:rPr>
        <w:t>7</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附录B（规范性）装饰用不锈钢冷轧钢板和钢带生命周期评价方法框架</w:t>
      </w:r>
      <w:r>
        <w:fldChar w:fldCharType="begin"/>
      </w:r>
      <w:r>
        <w:instrText xml:space="preserve"> HYPERLINK \l "_Toc4036" </w:instrText>
      </w:r>
      <w:r>
        <w:fldChar w:fldCharType="separate"/>
      </w:r>
      <w:r>
        <w:rPr>
          <w:rFonts w:ascii="Times New Roman"/>
        </w:rPr>
        <w:tab/>
      </w:r>
      <w:r>
        <w:rPr>
          <w:rFonts w:hint="eastAsia" w:ascii="Times New Roman"/>
        </w:rPr>
        <w:t>9</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附录C（资料性）数据收集表格</w:t>
      </w:r>
      <w:r>
        <w:fldChar w:fldCharType="begin"/>
      </w:r>
      <w:r>
        <w:instrText xml:space="preserve"> HYPERLINK \l "_Toc4036" </w:instrText>
      </w:r>
      <w:r>
        <w:fldChar w:fldCharType="separate"/>
      </w:r>
      <w:r>
        <w:rPr>
          <w:rFonts w:ascii="Times New Roman"/>
        </w:rPr>
        <w:tab/>
      </w:r>
      <w:r>
        <w:rPr>
          <w:rFonts w:hint="eastAsia" w:ascii="Times New Roman"/>
        </w:rPr>
        <w:t>14</w:t>
      </w:r>
      <w:r>
        <w:rPr>
          <w:rFonts w:hint="eastAsia" w:ascii="Times New Roman"/>
        </w:rPr>
        <w:fldChar w:fldCharType="end"/>
      </w:r>
    </w:p>
    <w:p/>
    <w:p>
      <w:pPr>
        <w:pStyle w:val="90"/>
        <w:rPr>
          <w:rFonts w:ascii="Times New Roman"/>
        </w:rPr>
      </w:pPr>
      <w:r>
        <w:rPr>
          <w:rFonts w:ascii="Times New Roman"/>
        </w:rPr>
        <w:fldChar w:fldCharType="end"/>
      </w: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hint="eastAsia" w:ascii="Times New Roman"/>
        </w:rPr>
        <w:t>本标准由中国特钢企业协会团体标准化工作委员会、中关村不锈及特种合金新材料产业技术创新联盟团体标准化工作委员会联合提出并归口</w:t>
      </w:r>
      <w:r>
        <w:rPr>
          <w:rFonts w:ascii="Times New Roman"/>
        </w:rPr>
        <w:t>。</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r>
        <w:rPr>
          <w:rFonts w:hint="eastAsia" w:ascii="Times New Roman"/>
        </w:rPr>
        <w:t xml:space="preserve">  装饰用不锈钢冷轧钢板和钢带</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装饰用不锈钢冷轧钢板和钢带</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装饰用不锈钢冷轧钢板和钢带</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 xml:space="preserve">GB/T 4223  </w:t>
      </w:r>
      <w:r>
        <w:rPr>
          <w:rFonts w:hint="eastAsia" w:ascii="Times New Roman"/>
        </w:rPr>
        <w:t>废钢铁</w:t>
      </w:r>
    </w:p>
    <w:p>
      <w:pPr>
        <w:pStyle w:val="22"/>
        <w:rPr>
          <w:rFonts w:ascii="Times New Roman"/>
        </w:rPr>
      </w:pPr>
      <w:r>
        <w:rPr>
          <w:rFonts w:hint="eastAsia" w:ascii="Times New Roman"/>
        </w:rPr>
        <w:t>GB/T 6394    金属平均晶粒度测定方法</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w:t>
      </w:r>
      <w:r>
        <w:rPr>
          <w:rFonts w:hint="eastAsia" w:ascii="Times New Roman"/>
        </w:rPr>
        <w:t xml:space="preserve"> </w:t>
      </w:r>
      <w:r>
        <w:rPr>
          <w:rFonts w:ascii="Times New Roman"/>
        </w:rPr>
        <w:t xml:space="preserve"> 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w:t>
      </w:r>
      <w:r>
        <w:rPr>
          <w:rFonts w:hint="eastAsia" w:ascii="Times New Roman"/>
        </w:rPr>
        <w:t xml:space="preserve">  </w:t>
      </w:r>
      <w:r>
        <w:rPr>
          <w:rFonts w:ascii="Times New Roman"/>
        </w:rPr>
        <w:t>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w:t>
      </w:r>
      <w:r>
        <w:rPr>
          <w:rFonts w:hint="eastAsia" w:ascii="Times New Roman"/>
        </w:rPr>
        <w:t xml:space="preserve">  </w:t>
      </w:r>
      <w:r>
        <w:rPr>
          <w:rFonts w:ascii="Times New Roman"/>
        </w:rPr>
        <w:t>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环境管理生命周期评价</w:t>
      </w:r>
      <w:r>
        <w:rPr>
          <w:rFonts w:hint="eastAsia" w:ascii="Times New Roman"/>
        </w:rPr>
        <w:t xml:space="preserve">  </w:t>
      </w:r>
      <w:r>
        <w:rPr>
          <w:rFonts w:ascii="Times New Roman"/>
        </w:rPr>
        <w:t>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环境管理生命周期评价</w:t>
      </w:r>
      <w:r>
        <w:rPr>
          <w:rFonts w:hint="eastAsia" w:ascii="Times New Roman"/>
        </w:rPr>
        <w:t xml:space="preserve">  </w:t>
      </w:r>
      <w:r>
        <w:rPr>
          <w:rFonts w:ascii="Times New Roman"/>
        </w:rPr>
        <w:t>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w:t>
      </w:r>
      <w:r>
        <w:rPr>
          <w:rFonts w:hint="eastAsia" w:ascii="Times New Roman"/>
        </w:rPr>
        <w:t xml:space="preserve">  </w:t>
      </w:r>
      <w:r>
        <w:rPr>
          <w:rFonts w:ascii="Times New Roman"/>
        </w:rPr>
        <w:t>要求及使用指南</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ind w:left="0"/>
        <w:rPr>
          <w:rFonts w:ascii="Times New Roman"/>
          <w:szCs w:val="22"/>
        </w:rPr>
      </w:pPr>
    </w:p>
    <w:p>
      <w:pPr>
        <w:pStyle w:val="22"/>
        <w:rPr>
          <w:rFonts w:ascii="Times New Roman"/>
        </w:rPr>
      </w:pPr>
      <w:r>
        <w:rPr>
          <w:rFonts w:ascii="Times New Roman"/>
        </w:rPr>
        <w:t>产品制造生命周期  life cycle of steel products manufacture</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ind w:left="0"/>
        <w:rPr>
          <w:rFonts w:ascii="Times New Roman"/>
          <w:szCs w:val="22"/>
        </w:rPr>
      </w:pPr>
    </w:p>
    <w:p>
      <w:pPr>
        <w:pStyle w:val="22"/>
        <w:rPr>
          <w:rFonts w:ascii="Times New Roman"/>
        </w:rPr>
      </w:pPr>
      <w:r>
        <w:rPr>
          <w:rFonts w:ascii="Times New Roman"/>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ind w:left="0"/>
        <w:rPr>
          <w:rFonts w:ascii="Times New Roman"/>
          <w:szCs w:val="22"/>
        </w:rPr>
      </w:pPr>
    </w:p>
    <w:p>
      <w:pPr>
        <w:pStyle w:val="22"/>
        <w:rPr>
          <w:rFonts w:ascii="Times New Roman"/>
        </w:rPr>
      </w:pPr>
      <w:r>
        <w:rPr>
          <w:rFonts w:ascii="Times New Roman"/>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ind w:left="0"/>
        <w:rPr>
          <w:rFonts w:ascii="Times New Roman"/>
          <w:szCs w:val="22"/>
        </w:rPr>
      </w:pPr>
    </w:p>
    <w:p>
      <w:pPr>
        <w:pStyle w:val="22"/>
        <w:rPr>
          <w:rFonts w:ascii="Times New Roman"/>
        </w:rPr>
      </w:pPr>
      <w:r>
        <w:rPr>
          <w:rFonts w:ascii="Times New Roman"/>
        </w:rPr>
        <w:t xml:space="preserve">生命周期评价报告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ind w:left="0"/>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rPr>
        <w:t>装饰用不锈钢冷轧钢板和钢带</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ind w:left="0"/>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装饰用不锈钢冷轧钢板和钢带</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装饰用不锈钢冷轧钢板和钢带</w:t>
      </w:r>
      <w:r>
        <w:rPr>
          <w:rFonts w:ascii="Times New Roman"/>
        </w:rPr>
        <w:t>产品生命周期评价报告（见6.2）。</w:t>
      </w:r>
    </w:p>
    <w:p>
      <w:pPr>
        <w:pStyle w:val="52"/>
        <w:rPr>
          <w:rFonts w:ascii="Times New Roman"/>
          <w:szCs w:val="22"/>
        </w:rPr>
      </w:pPr>
      <w:r>
        <w:rPr>
          <w:rFonts w:ascii="Times New Roman"/>
          <w:szCs w:val="22"/>
        </w:rPr>
        <w:t>评价要求</w:t>
      </w:r>
    </w:p>
    <w:p>
      <w:pPr>
        <w:pStyle w:val="54"/>
        <w:ind w:left="0"/>
        <w:rPr>
          <w:rFonts w:ascii="Times New Roman"/>
          <w:szCs w:val="22"/>
        </w:rPr>
      </w:pPr>
      <w:r>
        <w:rPr>
          <w:rFonts w:ascii="Times New Roman"/>
          <w:szCs w:val="22"/>
        </w:rPr>
        <w:t>基本要求</w:t>
      </w:r>
    </w:p>
    <w:p>
      <w:pPr>
        <w:pStyle w:val="22"/>
        <w:rPr>
          <w:rFonts w:ascii="Times New Roman"/>
        </w:rPr>
      </w:pPr>
      <w:r>
        <w:rPr>
          <w:rFonts w:hint="eastAsia" w:ascii="Times New Roman"/>
        </w:rPr>
        <w:t>装饰用不锈钢冷轧钢板和钢带</w:t>
      </w:r>
      <w:r>
        <w:rPr>
          <w:rFonts w:ascii="Times New Roman"/>
        </w:rPr>
        <w:t>生产企业应满足以下要求，包括但不限于：</w:t>
      </w:r>
    </w:p>
    <w:p>
      <w:pPr>
        <w:pStyle w:val="22"/>
        <w:numPr>
          <w:ilvl w:val="0"/>
          <w:numId w:val="18"/>
        </w:numPr>
        <w:rPr>
          <w:rFonts w:ascii="Times New Roman"/>
        </w:rPr>
      </w:pPr>
      <w:r>
        <w:rPr>
          <w:rFonts w:ascii="Times New Roman"/>
        </w:rPr>
        <w:t>符合安全生产规范，生产企业三年内（投产不足三年的，自投产之日起）无重大安全和环境污染事故；</w:t>
      </w:r>
    </w:p>
    <w:p>
      <w:pPr>
        <w:pStyle w:val="22"/>
        <w:numPr>
          <w:ilvl w:val="0"/>
          <w:numId w:val="18"/>
        </w:numPr>
        <w:rPr>
          <w:rFonts w:ascii="Times New Roman"/>
        </w:rPr>
      </w:pP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污染物排放达到国家和地方排放控制和排污许可管理要求；</w:t>
      </w:r>
    </w:p>
    <w:p>
      <w:pPr>
        <w:pStyle w:val="22"/>
        <w:numPr>
          <w:ilvl w:val="0"/>
          <w:numId w:val="18"/>
        </w:numPr>
        <w:rPr>
          <w:rFonts w:ascii="Times New Roman"/>
        </w:rPr>
      </w:pPr>
      <w:r>
        <w:rPr>
          <w:rFonts w:hint="eastAsia" w:ascii="Times New Roman"/>
        </w:rPr>
        <w:t>污染物总量控制应达到国家和地方污染物排放总量控制指标；</w:t>
      </w:r>
    </w:p>
    <w:p>
      <w:pPr>
        <w:pStyle w:val="22"/>
        <w:numPr>
          <w:ilvl w:val="0"/>
          <w:numId w:val="18"/>
        </w:numPr>
        <w:rPr>
          <w:rFonts w:ascii="Times New Roman"/>
        </w:rPr>
      </w:pPr>
      <w:r>
        <w:rPr>
          <w:rFonts w:ascii="Times New Roman"/>
        </w:rPr>
        <w:t>应确保参与绿色设计产品评价的产品基本性能符合</w:t>
      </w:r>
      <w:r>
        <w:rPr>
          <w:rFonts w:hint="eastAsia" w:ascii="Times New Roman"/>
        </w:rPr>
        <w:t>相关国家</w:t>
      </w:r>
      <w:r>
        <w:rPr>
          <w:rFonts w:ascii="Times New Roman"/>
        </w:rPr>
        <w:t>标准、行业标准的规定，并满足用户设计和使用的要求</w:t>
      </w:r>
      <w:r>
        <w:rPr>
          <w:rFonts w:hint="eastAsia" w:ascii="Times New Roman"/>
        </w:rPr>
        <w:t>。</w:t>
      </w:r>
    </w:p>
    <w:p>
      <w:pPr>
        <w:pStyle w:val="111"/>
        <w:numPr>
          <w:ilvl w:val="0"/>
          <w:numId w:val="18"/>
        </w:numPr>
        <w:ind w:firstLineChars="0"/>
        <w:rPr>
          <w:rFonts w:ascii="Times New Roman" w:hAnsi="Times New Roman"/>
          <w:kern w:val="0"/>
          <w:szCs w:val="20"/>
        </w:rPr>
      </w:pPr>
      <w:r>
        <w:rPr>
          <w:rFonts w:hint="eastAsia" w:ascii="Times New Roman" w:hAnsi="Times New Roman"/>
          <w:kern w:val="0"/>
          <w:szCs w:val="20"/>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w:t>
      </w:r>
      <w:r>
        <w:rPr>
          <w:rFonts w:hint="eastAsia" w:ascii="Times New Roman"/>
        </w:rPr>
        <w:t>检测或配备</w:t>
      </w:r>
      <w:r>
        <w:rPr>
          <w:rFonts w:ascii="Times New Roman"/>
        </w:rPr>
        <w:t>在线监测设备</w:t>
      </w:r>
      <w:r>
        <w:rPr>
          <w:rFonts w:hint="eastAsia" w:ascii="Times New Roman"/>
        </w:rPr>
        <w:t>。</w:t>
      </w:r>
    </w:p>
    <w:p>
      <w:pPr>
        <w:pStyle w:val="54"/>
        <w:ind w:left="0"/>
        <w:rPr>
          <w:rFonts w:ascii="Times New Roman"/>
          <w:szCs w:val="22"/>
        </w:rPr>
      </w:pPr>
      <w:r>
        <w:rPr>
          <w:rFonts w:ascii="Times New Roman"/>
          <w:szCs w:val="22"/>
        </w:rPr>
        <w:t>评价指标要求</w:t>
      </w:r>
    </w:p>
    <w:p>
      <w:pPr>
        <w:pStyle w:val="22"/>
        <w:rPr>
          <w:rFonts w:ascii="Times New Roman"/>
        </w:rPr>
      </w:pPr>
      <w:r>
        <w:rPr>
          <w:rFonts w:hint="eastAsia" w:ascii="Times New Roman"/>
        </w:rPr>
        <w:t>装饰用不锈钢冷轧钢板和钢带</w:t>
      </w:r>
      <w:r>
        <w:rPr>
          <w:rFonts w:ascii="Times New Roman"/>
        </w:rPr>
        <w:t>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指标和低碳属性</w:t>
      </w:r>
      <w:r>
        <w:rPr>
          <w:rFonts w:ascii="Times New Roman"/>
        </w:rPr>
        <w:t>指标。</w:t>
      </w:r>
    </w:p>
    <w:p>
      <w:pPr>
        <w:pStyle w:val="22"/>
        <w:rPr>
          <w:rFonts w:ascii="Times New Roman"/>
        </w:rPr>
      </w:pPr>
      <w:r>
        <w:rPr>
          <w:rFonts w:hint="eastAsia" w:ascii="Times New Roman"/>
        </w:rPr>
        <w:t>装饰用不锈钢冷轧钢板和钢带</w:t>
      </w:r>
      <w:r>
        <w:rPr>
          <w:rFonts w:ascii="Times New Roman"/>
        </w:rPr>
        <w:t>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szCs w:val="22"/>
        </w:rPr>
      </w:pPr>
      <w:r>
        <w:rPr>
          <w:rFonts w:eastAsia="黑体"/>
          <w:kern w:val="0"/>
          <w:sz w:val="21"/>
          <w:szCs w:val="22"/>
          <w:lang w:bidi="ar"/>
        </w:rPr>
        <w:t xml:space="preserve">表1 </w:t>
      </w:r>
      <w:r>
        <w:rPr>
          <w:rFonts w:hint="eastAsia" w:eastAsia="黑体"/>
          <w:kern w:val="0"/>
          <w:sz w:val="21"/>
          <w:szCs w:val="22"/>
          <w:lang w:bidi="ar"/>
        </w:rPr>
        <w:t xml:space="preserve"> 装饰用不锈钢冷轧钢板和钢带</w:t>
      </w:r>
      <w:r>
        <w:rPr>
          <w:rFonts w:eastAsia="黑体"/>
          <w:kern w:val="0"/>
          <w:sz w:val="21"/>
          <w:szCs w:val="22"/>
          <w:lang w:bidi="ar"/>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13"/>
        <w:gridCol w:w="677"/>
        <w:gridCol w:w="566"/>
        <w:gridCol w:w="141"/>
        <w:gridCol w:w="8"/>
        <w:gridCol w:w="1104"/>
        <w:gridCol w:w="743"/>
        <w:gridCol w:w="1302"/>
        <w:gridCol w:w="222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3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一级指标</w:t>
            </w:r>
          </w:p>
        </w:tc>
        <w:tc>
          <w:tcPr>
            <w:tcW w:w="1886" w:type="pct"/>
            <w:gridSpan w:val="6"/>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二级指标</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单位</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基准值</w:t>
            </w:r>
          </w:p>
        </w:tc>
        <w:tc>
          <w:tcPr>
            <w:tcW w:w="1163"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测试依据和确认条件</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1"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资源属性</w:t>
            </w:r>
          </w:p>
        </w:tc>
        <w:tc>
          <w:tcPr>
            <w:tcW w:w="582"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原材料质量要求</w:t>
            </w: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红土镍矿</w:t>
            </w:r>
            <w:r>
              <w:rPr>
                <w:color w:val="auto"/>
                <w:sz w:val="18"/>
                <w:szCs w:val="18"/>
                <w:highlight w:val="none"/>
              </w:rPr>
              <w:t>高炉生产工艺</w:t>
            </w:r>
          </w:p>
          <w:p>
            <w:pPr>
              <w:jc w:val="center"/>
              <w:rPr>
                <w:color w:val="auto"/>
                <w:sz w:val="18"/>
                <w:szCs w:val="18"/>
                <w:highlight w:val="none"/>
              </w:rPr>
            </w:pPr>
            <w:r>
              <w:rPr>
                <w:color w:val="auto"/>
                <w:sz w:val="18"/>
                <w:szCs w:val="18"/>
                <w:highlight w:val="none"/>
              </w:rPr>
              <w:t>（</w:t>
            </w:r>
            <w:r>
              <w:rPr>
                <w:rFonts w:hint="eastAsia"/>
                <w:color w:val="auto"/>
                <w:sz w:val="18"/>
                <w:szCs w:val="18"/>
                <w:highlight w:val="none"/>
              </w:rPr>
              <w:t>入炉</w:t>
            </w:r>
            <w:r>
              <w:rPr>
                <w:color w:val="auto"/>
                <w:sz w:val="18"/>
                <w:szCs w:val="18"/>
                <w:highlight w:val="none"/>
              </w:rPr>
              <w:t>镍矿）</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18"/>
                <w:szCs w:val="18"/>
                <w:highlight w:val="none"/>
              </w:rPr>
            </w:pPr>
            <w:r>
              <w:rPr>
                <w:rFonts w:hint="eastAsia"/>
                <w:color w:val="auto"/>
                <w:sz w:val="18"/>
                <w:szCs w:val="18"/>
                <w:highlight w:val="none"/>
              </w:rPr>
              <w:t>Ni</w:t>
            </w:r>
            <w:r>
              <w:rPr>
                <w:color w:val="auto"/>
                <w:sz w:val="18"/>
                <w:szCs w:val="18"/>
                <w:highlight w:val="none"/>
              </w:rPr>
              <w:t>≥0.8%且TFe≥40.0%</w:t>
            </w:r>
          </w:p>
        </w:tc>
        <w:tc>
          <w:tcPr>
            <w:tcW w:w="1163" w:type="pct"/>
            <w:vMerge w:val="restart"/>
            <w:tcBorders>
              <w:top w:val="single" w:color="auto" w:sz="4" w:space="0"/>
              <w:left w:val="single" w:color="auto" w:sz="4" w:space="0"/>
              <w:right w:val="single" w:color="auto" w:sz="4" w:space="0"/>
            </w:tcBorders>
            <w:vAlign w:val="center"/>
          </w:tcPr>
          <w:p>
            <w:pPr>
              <w:snapToGrid w:val="0"/>
              <w:jc w:val="left"/>
              <w:rPr>
                <w:color w:val="auto"/>
                <w:sz w:val="18"/>
                <w:szCs w:val="18"/>
                <w:highlight w:val="none"/>
              </w:rPr>
            </w:pPr>
            <w:r>
              <w:rPr>
                <w:color w:val="auto"/>
                <w:sz w:val="18"/>
                <w:szCs w:val="18"/>
                <w:highlight w:val="none"/>
              </w:rPr>
              <w:t>提供采购合同、采购原料清单及证明材料</w:t>
            </w:r>
          </w:p>
        </w:tc>
        <w:tc>
          <w:tcPr>
            <w:tcW w:w="551" w:type="pct"/>
            <w:tcBorders>
              <w:top w:val="single" w:color="auto" w:sz="4" w:space="0"/>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582"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红土镍矿</w:t>
            </w:r>
            <w:r>
              <w:rPr>
                <w:color w:val="auto"/>
                <w:sz w:val="18"/>
                <w:szCs w:val="18"/>
                <w:highlight w:val="none"/>
              </w:rPr>
              <w:t>RKEF（</w:t>
            </w:r>
            <w:r>
              <w:rPr>
                <w:rFonts w:hint="eastAsia"/>
                <w:color w:val="auto"/>
                <w:sz w:val="18"/>
                <w:szCs w:val="18"/>
                <w:highlight w:val="none"/>
              </w:rPr>
              <w:t>R</w:t>
            </w:r>
            <w:r>
              <w:rPr>
                <w:color w:val="auto"/>
                <w:sz w:val="18"/>
                <w:szCs w:val="18"/>
                <w:highlight w:val="none"/>
              </w:rPr>
              <w:t>otary Klin Electric Furnace）</w:t>
            </w:r>
            <w:r>
              <w:rPr>
                <w:rFonts w:hint="eastAsia"/>
                <w:color w:val="auto"/>
                <w:sz w:val="18"/>
                <w:szCs w:val="18"/>
                <w:highlight w:val="none"/>
              </w:rPr>
              <w:t>生产</w:t>
            </w:r>
            <w:r>
              <w:rPr>
                <w:color w:val="auto"/>
                <w:sz w:val="18"/>
                <w:szCs w:val="18"/>
                <w:highlight w:val="none"/>
              </w:rPr>
              <w:t>工艺（</w:t>
            </w:r>
            <w:r>
              <w:rPr>
                <w:rFonts w:hint="eastAsia"/>
                <w:color w:val="auto"/>
                <w:sz w:val="18"/>
                <w:szCs w:val="18"/>
                <w:highlight w:val="none"/>
              </w:rPr>
              <w:t>入炉</w:t>
            </w:r>
            <w:r>
              <w:rPr>
                <w:color w:val="auto"/>
                <w:sz w:val="18"/>
                <w:szCs w:val="18"/>
                <w:highlight w:val="none"/>
              </w:rPr>
              <w:t>镍矿）</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18"/>
                <w:szCs w:val="18"/>
                <w:highlight w:val="none"/>
              </w:rPr>
            </w:pPr>
            <w:r>
              <w:rPr>
                <w:rFonts w:hint="eastAsia"/>
                <w:color w:val="auto"/>
                <w:sz w:val="18"/>
                <w:szCs w:val="18"/>
                <w:highlight w:val="none"/>
              </w:rPr>
              <w:t>Ni</w:t>
            </w:r>
            <w:r>
              <w:rPr>
                <w:color w:val="auto"/>
                <w:sz w:val="18"/>
                <w:szCs w:val="18"/>
                <w:highlight w:val="none"/>
              </w:rPr>
              <w:t>≥1.5%</w:t>
            </w:r>
          </w:p>
        </w:tc>
        <w:tc>
          <w:tcPr>
            <w:tcW w:w="1163" w:type="pct"/>
            <w:vMerge w:val="continue"/>
            <w:tcBorders>
              <w:left w:val="single" w:color="auto" w:sz="4" w:space="0"/>
              <w:bottom w:val="single" w:color="auto" w:sz="4" w:space="0"/>
              <w:right w:val="single" w:color="auto" w:sz="4" w:space="0"/>
            </w:tcBorders>
            <w:vAlign w:val="center"/>
          </w:tcPr>
          <w:p>
            <w:pPr>
              <w:snapToGrid w:val="0"/>
              <w:jc w:val="left"/>
              <w:rPr>
                <w:color w:val="auto"/>
                <w:sz w:val="18"/>
                <w:szCs w:val="18"/>
                <w:highlight w:val="none"/>
              </w:rPr>
            </w:pPr>
          </w:p>
        </w:tc>
        <w:tc>
          <w:tcPr>
            <w:tcW w:w="551" w:type="pct"/>
            <w:tcBorders>
              <w:top w:val="single" w:color="auto" w:sz="4" w:space="0"/>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rPr>
            </w:pPr>
          </w:p>
        </w:tc>
        <w:tc>
          <w:tcPr>
            <w:tcW w:w="582" w:type="pct"/>
            <w:vMerge w:val="continue"/>
            <w:tcBorders>
              <w:left w:val="single" w:color="auto" w:sz="4" w:space="0"/>
              <w:right w:val="single" w:color="auto" w:sz="4" w:space="0"/>
            </w:tcBorders>
            <w:vAlign w:val="center"/>
          </w:tcPr>
          <w:p>
            <w:pPr>
              <w:jc w:val="center"/>
              <w:rPr>
                <w:color w:val="auto"/>
                <w:sz w:val="18"/>
                <w:szCs w:val="18"/>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rFonts w:hint="eastAsia"/>
                <w:color w:val="auto"/>
                <w:sz w:val="18"/>
                <w:szCs w:val="18"/>
                <w:highlight w:val="none"/>
              </w:rPr>
              <w:t>高炉-转炉</w:t>
            </w:r>
            <w:r>
              <w:rPr>
                <w:color w:val="auto"/>
                <w:sz w:val="18"/>
                <w:szCs w:val="18"/>
                <w:highlight w:val="none"/>
              </w:rPr>
              <w:t>工艺：高炉入炉品位</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sz w:val="18"/>
                <w:szCs w:val="18"/>
                <w:highlight w:val="none"/>
              </w:rPr>
              <w: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18"/>
                <w:szCs w:val="18"/>
                <w:highlight w:val="none"/>
              </w:rPr>
            </w:pPr>
            <w:r>
              <w:rPr>
                <w:color w:val="auto"/>
                <w:sz w:val="18"/>
                <w:szCs w:val="18"/>
                <w:highlight w:val="none"/>
              </w:rPr>
              <w:t>≥57</w:t>
            </w:r>
          </w:p>
        </w:tc>
        <w:tc>
          <w:tcPr>
            <w:tcW w:w="1163" w:type="pct"/>
            <w:tcBorders>
              <w:top w:val="single" w:color="auto" w:sz="4" w:space="0"/>
              <w:left w:val="single" w:color="auto" w:sz="4" w:space="0"/>
              <w:bottom w:val="single" w:color="auto" w:sz="4" w:space="0"/>
              <w:right w:val="single" w:color="auto" w:sz="4" w:space="0"/>
            </w:tcBorders>
            <w:vAlign w:val="center"/>
          </w:tcPr>
          <w:p>
            <w:pPr>
              <w:snapToGrid w:val="0"/>
              <w:jc w:val="left"/>
              <w:rPr>
                <w:color w:val="auto"/>
                <w:sz w:val="18"/>
                <w:szCs w:val="18"/>
                <w:highlight w:val="none"/>
              </w:rPr>
            </w:pPr>
            <w:r>
              <w:rPr>
                <w:color w:val="auto"/>
                <w:sz w:val="18"/>
                <w:szCs w:val="18"/>
                <w:highlight w:val="none"/>
              </w:rPr>
              <w:t>按照《钢铁行业（高炉炼铁）清洁生产评价指标体系》</w:t>
            </w:r>
            <w:r>
              <w:rPr>
                <w:rFonts w:hint="eastAsia"/>
                <w:color w:val="auto"/>
                <w:sz w:val="18"/>
                <w:szCs w:val="18"/>
                <w:highlight w:val="none"/>
              </w:rPr>
              <w:t>要求</w:t>
            </w:r>
          </w:p>
        </w:tc>
        <w:tc>
          <w:tcPr>
            <w:tcW w:w="551"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582" w:type="pct"/>
            <w:vMerge w:val="continue"/>
            <w:tcBorders>
              <w:left w:val="single" w:color="auto" w:sz="4" w:space="0"/>
              <w:bottom w:val="single" w:color="auto" w:sz="4" w:space="0"/>
              <w:right w:val="single" w:color="auto" w:sz="4" w:space="0"/>
            </w:tcBorders>
            <w:vAlign w:val="center"/>
          </w:tcPr>
          <w:p>
            <w:pPr>
              <w:jc w:val="center"/>
              <w:rPr>
                <w:color w:val="auto"/>
                <w:sz w:val="18"/>
                <w:szCs w:val="18"/>
                <w:highlight w:val="none"/>
                <w:lang w:bidi="ar"/>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rFonts w:hint="eastAsia"/>
                <w:color w:val="auto"/>
                <w:kern w:val="0"/>
                <w:sz w:val="18"/>
                <w:szCs w:val="18"/>
                <w:highlight w:val="none"/>
              </w:rPr>
              <w:t>电炉、</w:t>
            </w:r>
            <w:r>
              <w:rPr>
                <w:color w:val="auto"/>
                <w:kern w:val="0"/>
                <w:sz w:val="18"/>
                <w:szCs w:val="18"/>
                <w:highlight w:val="none"/>
              </w:rPr>
              <w:t>AOD或其他组合的生产</w:t>
            </w:r>
            <w:r>
              <w:rPr>
                <w:rFonts w:hint="eastAsia"/>
                <w:color w:val="auto"/>
                <w:kern w:val="0"/>
                <w:sz w:val="18"/>
                <w:szCs w:val="18"/>
                <w:highlight w:val="none"/>
              </w:rPr>
              <w:t>工艺</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kern w:val="0"/>
                <w:sz w:val="18"/>
                <w:szCs w:val="18"/>
                <w:highlight w:val="none"/>
              </w:rPr>
              <w:t>-</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rFonts w:hint="eastAsia"/>
                <w:color w:val="auto"/>
                <w:kern w:val="0"/>
                <w:sz w:val="18"/>
                <w:szCs w:val="18"/>
                <w:highlight w:val="none"/>
              </w:rPr>
              <w:t>符合GB</w:t>
            </w:r>
            <w:r>
              <w:rPr>
                <w:color w:val="auto"/>
                <w:kern w:val="0"/>
                <w:sz w:val="18"/>
                <w:szCs w:val="18"/>
                <w:highlight w:val="none"/>
              </w:rPr>
              <w:t>/T 4223</w:t>
            </w:r>
            <w:r>
              <w:rPr>
                <w:rFonts w:hint="eastAsia"/>
                <w:color w:val="auto"/>
                <w:kern w:val="0"/>
                <w:sz w:val="18"/>
                <w:szCs w:val="18"/>
                <w:highlight w:val="none"/>
              </w:rPr>
              <w:t>要求</w:t>
            </w:r>
          </w:p>
        </w:tc>
        <w:tc>
          <w:tcPr>
            <w:tcW w:w="1163" w:type="pct"/>
            <w:tcBorders>
              <w:top w:val="single" w:color="auto" w:sz="4" w:space="0"/>
              <w:left w:val="single" w:color="auto" w:sz="4" w:space="0"/>
              <w:bottom w:val="single" w:color="auto" w:sz="4" w:space="0"/>
              <w:right w:val="single" w:color="auto" w:sz="4" w:space="0"/>
            </w:tcBorders>
            <w:vAlign w:val="center"/>
          </w:tcPr>
          <w:p>
            <w:pPr>
              <w:snapToGrid w:val="0"/>
              <w:jc w:val="left"/>
              <w:rPr>
                <w:color w:val="auto"/>
                <w:sz w:val="18"/>
                <w:szCs w:val="18"/>
                <w:highlight w:val="none"/>
              </w:rPr>
            </w:pPr>
            <w:r>
              <w:rPr>
                <w:color w:val="auto"/>
                <w:sz w:val="18"/>
                <w:szCs w:val="18"/>
                <w:highlight w:val="none"/>
              </w:rPr>
              <w:t>提供采购合同、采购原料清单及证明材料</w:t>
            </w:r>
          </w:p>
        </w:tc>
        <w:tc>
          <w:tcPr>
            <w:tcW w:w="551" w:type="pct"/>
            <w:vMerge w:val="continue"/>
            <w:tcBorders>
              <w:left w:val="single" w:color="auto" w:sz="4" w:space="0"/>
              <w:bottom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水资源</w:t>
            </w: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高炉/RKEF</w:t>
            </w:r>
            <w:r>
              <w:rPr>
                <w:rFonts w:hint="eastAsia"/>
                <w:color w:val="auto"/>
                <w:sz w:val="18"/>
                <w:szCs w:val="18"/>
                <w:highlight w:val="none"/>
                <w:lang w:bidi="ar"/>
              </w:rPr>
              <w:t>、</w:t>
            </w:r>
            <w:r>
              <w:rPr>
                <w:color w:val="auto"/>
                <w:sz w:val="18"/>
                <w:szCs w:val="18"/>
                <w:highlight w:val="none"/>
                <w:lang w:bidi="ar"/>
              </w:rPr>
              <w:t>转炉</w:t>
            </w:r>
            <w:r>
              <w:rPr>
                <w:rFonts w:hint="eastAsia"/>
                <w:color w:val="auto"/>
                <w:sz w:val="18"/>
                <w:szCs w:val="18"/>
                <w:highlight w:val="none"/>
                <w:lang w:bidi="ar"/>
              </w:rPr>
              <w:t>/</w:t>
            </w:r>
            <w:r>
              <w:rPr>
                <w:color w:val="auto"/>
                <w:sz w:val="18"/>
                <w:szCs w:val="18"/>
                <w:highlight w:val="none"/>
                <w:lang w:bidi="ar"/>
              </w:rPr>
              <w:t>AOD</w:t>
            </w:r>
            <w:r>
              <w:rPr>
                <w:rFonts w:hint="eastAsia"/>
                <w:color w:val="auto"/>
                <w:sz w:val="18"/>
                <w:szCs w:val="18"/>
                <w:highlight w:val="none"/>
                <w:lang w:bidi="ar"/>
              </w:rPr>
              <w:t>组合</w:t>
            </w:r>
            <w:r>
              <w:rPr>
                <w:color w:val="auto"/>
                <w:sz w:val="18"/>
                <w:szCs w:val="18"/>
                <w:highlight w:val="none"/>
                <w:lang w:bidi="ar"/>
              </w:rPr>
              <w:t>的生产工艺单位产品</w:t>
            </w:r>
            <w:r>
              <w:rPr>
                <w:rFonts w:hint="eastAsia"/>
                <w:color w:val="auto"/>
                <w:sz w:val="18"/>
                <w:szCs w:val="18"/>
                <w:highlight w:val="none"/>
                <w:lang w:bidi="ar"/>
              </w:rPr>
              <w:t>新鲜</w:t>
            </w:r>
            <w:r>
              <w:rPr>
                <w:color w:val="auto"/>
                <w:sz w:val="18"/>
                <w:szCs w:val="18"/>
                <w:highlight w:val="none"/>
                <w:lang w:bidi="ar"/>
              </w:rPr>
              <w:t>水量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m</w:t>
            </w:r>
            <w:r>
              <w:rPr>
                <w:color w:val="auto"/>
                <w:sz w:val="18"/>
                <w:szCs w:val="18"/>
                <w:highlight w:val="none"/>
                <w:vertAlign w:val="superscript"/>
                <w:lang w:bidi="ar"/>
              </w:rPr>
              <w:t>3</w:t>
            </w:r>
            <w:r>
              <w:rPr>
                <w:color w:val="auto"/>
                <w:sz w:val="18"/>
                <w:szCs w:val="18"/>
                <w:highlight w:val="none"/>
                <w:lang w:bidi="ar"/>
              </w:rPr>
              <w:t>/t</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color w:val="auto"/>
                <w:sz w:val="18"/>
                <w:szCs w:val="18"/>
                <w:highlight w:val="none"/>
              </w:rPr>
              <w:t>≤</w:t>
            </w:r>
            <w:r>
              <w:rPr>
                <w:color w:val="auto"/>
                <w:sz w:val="18"/>
                <w:szCs w:val="18"/>
                <w:highlight w:val="none"/>
                <w:lang w:bidi="ar"/>
              </w:rPr>
              <w:t>3.5</w:t>
            </w:r>
          </w:p>
        </w:tc>
        <w:tc>
          <w:tcPr>
            <w:tcW w:w="1163" w:type="pct"/>
            <w:tcBorders>
              <w:top w:val="single" w:color="auto" w:sz="4" w:space="0"/>
              <w:left w:val="single" w:color="auto" w:sz="4" w:space="0"/>
              <w:right w:val="single" w:color="auto" w:sz="4" w:space="0"/>
            </w:tcBorders>
            <w:vAlign w:val="center"/>
          </w:tcPr>
          <w:p>
            <w:pPr>
              <w:snapToGrid w:val="0"/>
              <w:jc w:val="left"/>
              <w:rPr>
                <w:color w:val="auto"/>
                <w:sz w:val="18"/>
                <w:szCs w:val="18"/>
                <w:highlight w:val="none"/>
              </w:rPr>
            </w:pPr>
            <w:r>
              <w:rPr>
                <w:color w:val="auto"/>
                <w:sz w:val="18"/>
                <w:szCs w:val="18"/>
                <w:highlight w:val="none"/>
              </w:rPr>
              <w:t>按照《钢铁行业清洁生产评价指标体系》要求，并提供基础数据</w:t>
            </w:r>
          </w:p>
        </w:tc>
        <w:tc>
          <w:tcPr>
            <w:tcW w:w="551"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31" w:type="pct"/>
            <w:vMerge w:val="continue"/>
            <w:tcBorders>
              <w:left w:val="single" w:color="auto" w:sz="4" w:space="0"/>
              <w:bottom w:val="single" w:color="auto" w:sz="4" w:space="0"/>
              <w:right w:val="single" w:color="auto" w:sz="4" w:space="0"/>
            </w:tcBorders>
            <w:vAlign w:val="center"/>
          </w:tcPr>
          <w:p>
            <w:pPr>
              <w:rPr>
                <w:color w:val="auto"/>
                <w:sz w:val="20"/>
                <w:szCs w:val="20"/>
                <w:highlight w:val="none"/>
              </w:rPr>
            </w:pPr>
          </w:p>
        </w:tc>
        <w:tc>
          <w:tcPr>
            <w:tcW w:w="582"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水重复利用率</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kern w:val="0"/>
                <w:sz w:val="18"/>
                <w:szCs w:val="18"/>
                <w:highlight w:val="none"/>
              </w:rPr>
              <w:t>≥97</w:t>
            </w:r>
          </w:p>
        </w:tc>
        <w:tc>
          <w:tcPr>
            <w:tcW w:w="1163" w:type="pct"/>
            <w:tcBorders>
              <w:top w:val="single" w:color="auto" w:sz="4" w:space="0"/>
              <w:left w:val="single" w:color="auto" w:sz="4" w:space="0"/>
              <w:bottom w:val="single" w:color="auto" w:sz="4" w:space="0"/>
              <w:right w:val="single" w:color="auto" w:sz="4" w:space="0"/>
            </w:tcBorders>
            <w:vAlign w:val="center"/>
          </w:tcPr>
          <w:p>
            <w:pPr>
              <w:snapToGrid w:val="0"/>
              <w:jc w:val="left"/>
              <w:rPr>
                <w:color w:val="auto"/>
                <w:sz w:val="18"/>
                <w:szCs w:val="18"/>
                <w:highlight w:val="none"/>
              </w:rPr>
            </w:pPr>
            <w:r>
              <w:rPr>
                <w:color w:val="auto"/>
                <w:sz w:val="18"/>
                <w:szCs w:val="18"/>
                <w:highlight w:val="none"/>
              </w:rPr>
              <w:t>按照GB/T 26924标准和附录A</w:t>
            </w:r>
            <w:r>
              <w:rPr>
                <w:rFonts w:hint="eastAsia"/>
                <w:color w:val="auto"/>
                <w:sz w:val="18"/>
                <w:szCs w:val="18"/>
                <w:highlight w:val="none"/>
              </w:rPr>
              <w:t>，</w:t>
            </w:r>
            <w:r>
              <w:rPr>
                <w:color w:val="auto"/>
                <w:sz w:val="18"/>
                <w:szCs w:val="18"/>
                <w:highlight w:val="none"/>
              </w:rPr>
              <w:t>并提供基础数据</w:t>
            </w:r>
          </w:p>
        </w:tc>
        <w:tc>
          <w:tcPr>
            <w:tcW w:w="551"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1"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能源属性</w:t>
            </w:r>
          </w:p>
        </w:tc>
        <w:tc>
          <w:tcPr>
            <w:tcW w:w="582"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单位产品</w:t>
            </w:r>
          </w:p>
          <w:p>
            <w:pPr>
              <w:jc w:val="center"/>
              <w:rPr>
                <w:color w:val="auto"/>
                <w:sz w:val="18"/>
                <w:szCs w:val="18"/>
                <w:highlight w:val="none"/>
              </w:rPr>
            </w:pPr>
            <w:r>
              <w:rPr>
                <w:color w:val="auto"/>
                <w:sz w:val="18"/>
                <w:szCs w:val="18"/>
                <w:highlight w:val="none"/>
                <w:lang w:bidi="ar"/>
              </w:rPr>
              <w:t>能耗指标</w:t>
            </w: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烧结工序（</w:t>
            </w:r>
            <w:r>
              <w:rPr>
                <w:rFonts w:hint="eastAsia"/>
                <w:color w:val="auto"/>
                <w:sz w:val="18"/>
                <w:szCs w:val="18"/>
                <w:highlight w:val="none"/>
              </w:rPr>
              <w:t>不</w:t>
            </w:r>
            <w:r>
              <w:rPr>
                <w:color w:val="auto"/>
                <w:sz w:val="18"/>
                <w:szCs w:val="18"/>
                <w:highlight w:val="none"/>
              </w:rPr>
              <w:t>含脱硝）</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≤50</w:t>
            </w:r>
          </w:p>
        </w:tc>
        <w:tc>
          <w:tcPr>
            <w:tcW w:w="1163" w:type="pct"/>
            <w:vMerge w:val="restart"/>
            <w:tcBorders>
              <w:top w:val="single" w:color="auto" w:sz="4" w:space="0"/>
              <w:left w:val="single" w:color="auto" w:sz="4" w:space="0"/>
              <w:right w:val="single" w:color="auto" w:sz="4" w:space="0"/>
            </w:tcBorders>
            <w:vAlign w:val="center"/>
          </w:tcPr>
          <w:p>
            <w:pPr>
              <w:snapToGrid w:val="0"/>
              <w:jc w:val="left"/>
              <w:rPr>
                <w:color w:val="auto"/>
                <w:sz w:val="18"/>
                <w:szCs w:val="18"/>
                <w:highlight w:val="none"/>
              </w:rPr>
            </w:pPr>
            <w:r>
              <w:rPr>
                <w:color w:val="auto"/>
                <w:sz w:val="18"/>
                <w:szCs w:val="18"/>
                <w:highlight w:val="none"/>
              </w:rPr>
              <w:t>按照《钢铁行业（烧结、球团）清洁生产评价指标体系》标准和附录A，并提供基础数据</w:t>
            </w:r>
          </w:p>
        </w:tc>
        <w:tc>
          <w:tcPr>
            <w:tcW w:w="551"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582"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球团工序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≤29</w:t>
            </w:r>
          </w:p>
        </w:tc>
        <w:tc>
          <w:tcPr>
            <w:tcW w:w="1163" w:type="pct"/>
            <w:vMerge w:val="continue"/>
            <w:tcBorders>
              <w:left w:val="single" w:color="auto" w:sz="4" w:space="0"/>
              <w:right w:val="single" w:color="auto" w:sz="4" w:space="0"/>
            </w:tcBorders>
            <w:vAlign w:val="center"/>
          </w:tcPr>
          <w:p>
            <w:pPr>
              <w:jc w:val="center"/>
              <w:rPr>
                <w:color w:val="auto"/>
                <w:sz w:val="18"/>
                <w:szCs w:val="18"/>
                <w:highlight w:val="none"/>
              </w:rPr>
            </w:pPr>
          </w:p>
        </w:tc>
        <w:tc>
          <w:tcPr>
            <w:tcW w:w="55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582"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烧结工序（</w:t>
            </w:r>
            <w:r>
              <w:rPr>
                <w:rFonts w:hint="eastAsia"/>
                <w:color w:val="auto"/>
                <w:sz w:val="18"/>
                <w:szCs w:val="18"/>
                <w:highlight w:val="none"/>
              </w:rPr>
              <w:t>红土镍矿</w:t>
            </w:r>
            <w:r>
              <w:rPr>
                <w:color w:val="auto"/>
                <w:sz w:val="18"/>
                <w:szCs w:val="18"/>
                <w:highlight w:val="none"/>
              </w:rPr>
              <w:t>，含脱硝）</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rPr>
              <w:t>≤140</w:t>
            </w:r>
          </w:p>
        </w:tc>
        <w:tc>
          <w:tcPr>
            <w:tcW w:w="1163" w:type="pct"/>
            <w:vMerge w:val="continue"/>
            <w:tcBorders>
              <w:left w:val="single" w:color="auto" w:sz="4" w:space="0"/>
              <w:bottom w:val="single" w:color="auto" w:sz="4" w:space="0"/>
              <w:right w:val="single" w:color="auto" w:sz="4" w:space="0"/>
            </w:tcBorders>
            <w:vAlign w:val="center"/>
          </w:tcPr>
          <w:p>
            <w:pPr>
              <w:jc w:val="center"/>
              <w:rPr>
                <w:color w:val="auto"/>
                <w:sz w:val="18"/>
                <w:szCs w:val="18"/>
                <w:highlight w:val="none"/>
              </w:rPr>
            </w:pPr>
          </w:p>
        </w:tc>
        <w:tc>
          <w:tcPr>
            <w:tcW w:w="55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vertAlign w:val="superscript"/>
              </w:rPr>
            </w:pPr>
            <w:r>
              <w:rPr>
                <w:rFonts w:hint="eastAsia"/>
                <w:color w:val="auto"/>
                <w:kern w:val="0"/>
                <w:sz w:val="18"/>
                <w:szCs w:val="18"/>
                <w:highlight w:val="none"/>
              </w:rPr>
              <w:t>红土镍矿</w:t>
            </w:r>
            <w:r>
              <w:rPr>
                <w:color w:val="auto"/>
                <w:kern w:val="0"/>
                <w:sz w:val="18"/>
                <w:szCs w:val="18"/>
                <w:highlight w:val="none"/>
              </w:rPr>
              <w:t>高炉工序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color w:val="auto"/>
                <w:kern w:val="0"/>
                <w:sz w:val="18"/>
                <w:szCs w:val="18"/>
                <w:highlight w:val="none"/>
                <w:lang w:val="en-US" w:eastAsia="zh-CN"/>
              </w:rPr>
            </w:pPr>
            <w:r>
              <w:rPr>
                <w:rFonts w:hint="eastAsia"/>
                <w:color w:val="auto"/>
                <w:kern w:val="0"/>
                <w:sz w:val="18"/>
                <w:szCs w:val="18"/>
                <w:highlight w:val="none"/>
              </w:rPr>
              <w:t>≤550</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kern w:val="0"/>
                <w:sz w:val="18"/>
                <w:szCs w:val="18"/>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红土镍矿矿热炉工序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≤1700</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高炉</w:t>
            </w:r>
            <w:r>
              <w:rPr>
                <w:color w:val="auto"/>
                <w:kern w:val="0"/>
                <w:sz w:val="18"/>
                <w:szCs w:val="18"/>
                <w:highlight w:val="none"/>
              </w:rPr>
              <w:t>工序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≤400</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按照《钢铁行业（高炉炼铁）清洁生产评价指标体系》标准和附录A，并提供基础数据</w:t>
            </w:r>
          </w:p>
        </w:tc>
        <w:tc>
          <w:tcPr>
            <w:tcW w:w="551" w:type="pct"/>
            <w:vMerge w:val="continue"/>
            <w:tcBorders>
              <w:left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auto"/>
              <w:rPr>
                <w:rFonts w:hint="eastAsia"/>
                <w:color w:val="auto"/>
                <w:kern w:val="0"/>
                <w:sz w:val="18"/>
                <w:szCs w:val="18"/>
                <w:highlight w:val="none"/>
              </w:rPr>
            </w:pPr>
            <w:r>
              <w:rPr>
                <w:rFonts w:hint="eastAsia"/>
                <w:color w:val="auto"/>
                <w:kern w:val="0"/>
                <w:sz w:val="18"/>
                <w:szCs w:val="18"/>
                <w:highlight w:val="none"/>
              </w:rPr>
              <w:t>转炉工序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kern w:val="0"/>
                <w:sz w:val="18"/>
                <w:szCs w:val="18"/>
                <w:highlight w:val="none"/>
              </w:rPr>
            </w:pPr>
            <w:r>
              <w:rPr>
                <w:rFonts w:ascii="Times New Roman"/>
                <w:color w:val="auto"/>
                <w:sz w:val="18"/>
                <w:szCs w:val="18"/>
                <w:highlight w:val="none"/>
              </w:rPr>
              <w:t>≤30</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sz w:val="18"/>
                <w:szCs w:val="18"/>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电炉工序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ind w:firstLine="360" w:firstLineChars="200"/>
              <w:rPr>
                <w:color w:val="auto"/>
                <w:kern w:val="0"/>
                <w:sz w:val="18"/>
                <w:szCs w:val="18"/>
                <w:highlight w:val="none"/>
              </w:rPr>
            </w:pPr>
            <w:r>
              <w:rPr>
                <w:rFonts w:hint="eastAsia" w:ascii="Times New Roman"/>
                <w:color w:val="auto"/>
                <w:kern w:val="0"/>
                <w:sz w:val="18"/>
                <w:szCs w:val="18"/>
                <w:highlight w:val="none"/>
              </w:rPr>
              <w:t>≤77</w:t>
            </w:r>
          </w:p>
        </w:tc>
        <w:tc>
          <w:tcPr>
            <w:tcW w:w="1163" w:type="pct"/>
            <w:tcBorders>
              <w:top w:val="single" w:color="auto" w:sz="4" w:space="0"/>
              <w:left w:val="single" w:color="auto" w:sz="4" w:space="0"/>
              <w:right w:val="single" w:color="auto" w:sz="4" w:space="0"/>
            </w:tcBorders>
            <w:vAlign w:val="center"/>
          </w:tcPr>
          <w:p>
            <w:pPr>
              <w:widowControl/>
              <w:snapToGrid w:val="0"/>
              <w:jc w:val="center"/>
              <w:rPr>
                <w:color w:val="auto"/>
                <w:sz w:val="18"/>
                <w:szCs w:val="18"/>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31" w:type="pct"/>
            <w:vMerge w:val="continue"/>
            <w:tcBorders>
              <w:left w:val="single" w:color="auto" w:sz="4" w:space="0"/>
              <w:right w:val="single" w:color="auto" w:sz="4" w:space="0"/>
            </w:tcBorders>
            <w:vAlign w:val="center"/>
          </w:tcPr>
          <w:p>
            <w:pPr>
              <w:widowControl/>
              <w:snapToGrid w:val="0"/>
              <w:jc w:val="center"/>
              <w:rPr>
                <w:color w:val="auto"/>
                <w:highlight w:val="none"/>
              </w:rPr>
            </w:pPr>
          </w:p>
        </w:tc>
        <w:tc>
          <w:tcPr>
            <w:tcW w:w="582" w:type="pct"/>
            <w:vMerge w:val="continue"/>
            <w:tcBorders>
              <w:left w:val="single" w:color="auto" w:sz="4" w:space="0"/>
              <w:right w:val="single" w:color="auto" w:sz="4" w:space="0"/>
            </w:tcBorders>
            <w:vAlign w:val="center"/>
          </w:tcPr>
          <w:p>
            <w:pPr>
              <w:widowControl/>
              <w:snapToGrid w:val="0"/>
              <w:jc w:val="center"/>
              <w:rPr>
                <w:color w:val="auto"/>
                <w:highlight w:val="none"/>
              </w:rPr>
            </w:pPr>
          </w:p>
        </w:tc>
        <w:tc>
          <w:tcPr>
            <w:tcW w:w="649" w:type="pct"/>
            <w:gridSpan w:val="2"/>
            <w:vMerge w:val="restart"/>
            <w:tcBorders>
              <w:left w:val="single" w:color="auto" w:sz="4" w:space="0"/>
              <w:right w:val="single" w:color="auto" w:sz="4" w:space="0"/>
            </w:tcBorders>
            <w:vAlign w:val="center"/>
          </w:tcPr>
          <w:p>
            <w:pPr>
              <w:widowControl/>
              <w:snapToGrid w:val="0"/>
              <w:jc w:val="center"/>
              <w:rPr>
                <w:color w:val="auto"/>
                <w:highlight w:val="none"/>
              </w:rPr>
            </w:pPr>
            <w:r>
              <w:rPr>
                <w:rFonts w:hint="eastAsia"/>
                <w:color w:val="auto"/>
                <w:kern w:val="0"/>
                <w:sz w:val="18"/>
                <w:szCs w:val="18"/>
                <w:highlight w:val="none"/>
              </w:rPr>
              <w:t>热轧工序</w:t>
            </w:r>
          </w:p>
        </w:tc>
        <w:tc>
          <w:tcPr>
            <w:tcW w:w="654"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auto"/>
                <w:kern w:val="0"/>
                <w:sz w:val="18"/>
                <w:szCs w:val="18"/>
                <w:highlight w:val="none"/>
              </w:rPr>
            </w:pPr>
            <w:r>
              <w:rPr>
                <w:rFonts w:hint="eastAsia"/>
                <w:color w:val="auto"/>
                <w:kern w:val="0"/>
                <w:sz w:val="18"/>
                <w:szCs w:val="18"/>
                <w:highlight w:val="none"/>
              </w:rPr>
              <w:t>宽带不锈钢</w:t>
            </w:r>
          </w:p>
          <w:p>
            <w:pPr>
              <w:widowControl/>
              <w:snapToGrid w:val="0"/>
              <w:jc w:val="center"/>
              <w:textAlignment w:val="center"/>
              <w:rPr>
                <w:rFonts w:hint="eastAsia"/>
                <w:color w:val="auto"/>
                <w:kern w:val="0"/>
                <w:sz w:val="18"/>
                <w:szCs w:val="18"/>
                <w:highlight w:val="none"/>
              </w:rPr>
            </w:pPr>
            <w:r>
              <w:rPr>
                <w:rFonts w:hint="eastAsia"/>
                <w:color w:val="auto"/>
                <w:kern w:val="0"/>
                <w:sz w:val="18"/>
                <w:szCs w:val="18"/>
                <w:highlight w:val="none"/>
              </w:rPr>
              <w:t>宽度＞1000mm</w:t>
            </w:r>
          </w:p>
        </w:tc>
        <w:tc>
          <w:tcPr>
            <w:tcW w:w="388" w:type="pct"/>
            <w:vMerge w:val="restart"/>
            <w:tcBorders>
              <w:left w:val="single" w:color="auto" w:sz="4" w:space="0"/>
              <w:right w:val="single" w:color="auto" w:sz="4" w:space="0"/>
            </w:tcBorders>
            <w:vAlign w:val="center"/>
          </w:tcPr>
          <w:p>
            <w:pPr>
              <w:widowControl/>
              <w:snapToGrid w:val="0"/>
              <w:jc w:val="center"/>
              <w:rPr>
                <w:color w:val="auto"/>
                <w:highlight w:val="none"/>
              </w:rPr>
            </w:pPr>
            <w:r>
              <w:rPr>
                <w:color w:val="auto"/>
                <w:kern w:val="0"/>
                <w:sz w:val="18"/>
                <w:szCs w:val="18"/>
                <w:highlight w:val="none"/>
              </w:rPr>
              <w:t>kgce/t</w:t>
            </w:r>
          </w:p>
        </w:tc>
        <w:tc>
          <w:tcPr>
            <w:tcW w:w="680"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w:t>
            </w:r>
            <w:r>
              <w:rPr>
                <w:rFonts w:hint="eastAsia"/>
                <w:color w:val="auto"/>
                <w:kern w:val="0"/>
                <w:sz w:val="18"/>
                <w:szCs w:val="18"/>
                <w:highlight w:val="none"/>
              </w:rPr>
              <w:t>60</w:t>
            </w:r>
          </w:p>
        </w:tc>
        <w:tc>
          <w:tcPr>
            <w:tcW w:w="1163" w:type="pct"/>
            <w:tcBorders>
              <w:left w:val="single" w:color="auto" w:sz="4" w:space="0"/>
              <w:bottom w:val="single" w:color="auto" w:sz="4" w:space="0"/>
              <w:right w:val="single" w:color="auto" w:sz="4" w:space="0"/>
            </w:tcBorders>
            <w:vAlign w:val="center"/>
          </w:tcPr>
          <w:p>
            <w:pPr>
              <w:widowControl/>
              <w:snapToGrid w:val="0"/>
              <w:jc w:val="center"/>
              <w:rPr>
                <w:rFonts w:hint="eastAsia"/>
                <w:color w:val="auto"/>
                <w:kern w:val="0"/>
                <w:sz w:val="18"/>
                <w:szCs w:val="18"/>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widowControl/>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31" w:type="pct"/>
            <w:vMerge w:val="continue"/>
            <w:tcBorders>
              <w:left w:val="single" w:color="auto" w:sz="4" w:space="0"/>
              <w:right w:val="single" w:color="auto" w:sz="4" w:space="0"/>
            </w:tcBorders>
            <w:vAlign w:val="center"/>
          </w:tcPr>
          <w:p>
            <w:pPr>
              <w:widowControl/>
              <w:snapToGrid w:val="0"/>
              <w:jc w:val="center"/>
              <w:rPr>
                <w:color w:val="auto"/>
                <w:highlight w:val="none"/>
              </w:rPr>
            </w:pPr>
          </w:p>
        </w:tc>
        <w:tc>
          <w:tcPr>
            <w:tcW w:w="582" w:type="pct"/>
            <w:vMerge w:val="continue"/>
            <w:tcBorders>
              <w:left w:val="single" w:color="auto" w:sz="4" w:space="0"/>
              <w:right w:val="single" w:color="auto" w:sz="4" w:space="0"/>
            </w:tcBorders>
            <w:vAlign w:val="center"/>
          </w:tcPr>
          <w:p>
            <w:pPr>
              <w:widowControl/>
              <w:snapToGrid w:val="0"/>
              <w:jc w:val="center"/>
              <w:rPr>
                <w:color w:val="auto"/>
                <w:highlight w:val="none"/>
              </w:rPr>
            </w:pPr>
          </w:p>
        </w:tc>
        <w:tc>
          <w:tcPr>
            <w:tcW w:w="649" w:type="pct"/>
            <w:gridSpan w:val="2"/>
            <w:vMerge w:val="continue"/>
            <w:tcBorders>
              <w:left w:val="single" w:color="auto" w:sz="4" w:space="0"/>
              <w:bottom w:val="single" w:color="auto" w:sz="4" w:space="0"/>
              <w:right w:val="single" w:color="auto" w:sz="4" w:space="0"/>
            </w:tcBorders>
            <w:vAlign w:val="center"/>
          </w:tcPr>
          <w:p>
            <w:pPr>
              <w:widowControl/>
              <w:snapToGrid w:val="0"/>
              <w:jc w:val="center"/>
              <w:rPr>
                <w:color w:val="auto"/>
                <w:highlight w:val="none"/>
              </w:rPr>
            </w:pPr>
          </w:p>
        </w:tc>
        <w:tc>
          <w:tcPr>
            <w:tcW w:w="654"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color w:val="auto"/>
                <w:kern w:val="0"/>
                <w:sz w:val="18"/>
                <w:szCs w:val="18"/>
                <w:highlight w:val="none"/>
              </w:rPr>
            </w:pPr>
            <w:r>
              <w:rPr>
                <w:rFonts w:hint="eastAsia"/>
                <w:color w:val="auto"/>
                <w:kern w:val="0"/>
                <w:sz w:val="18"/>
                <w:szCs w:val="18"/>
                <w:highlight w:val="none"/>
              </w:rPr>
              <w:t>宽带不锈钢</w:t>
            </w:r>
          </w:p>
          <w:p>
            <w:pPr>
              <w:widowControl/>
              <w:snapToGrid w:val="0"/>
              <w:jc w:val="center"/>
              <w:textAlignment w:val="center"/>
              <w:rPr>
                <w:color w:val="auto"/>
                <w:highlight w:val="none"/>
              </w:rPr>
            </w:pPr>
            <w:r>
              <w:rPr>
                <w:rFonts w:hint="eastAsia"/>
                <w:color w:val="auto"/>
                <w:kern w:val="0"/>
                <w:sz w:val="18"/>
                <w:szCs w:val="18"/>
                <w:highlight w:val="none"/>
              </w:rPr>
              <w:t>宽度≤1000mm</w:t>
            </w:r>
          </w:p>
        </w:tc>
        <w:tc>
          <w:tcPr>
            <w:tcW w:w="388" w:type="pct"/>
            <w:vMerge w:val="continue"/>
            <w:tcBorders>
              <w:left w:val="single" w:color="auto" w:sz="4" w:space="0"/>
              <w:bottom w:val="single" w:color="auto" w:sz="4" w:space="0"/>
              <w:right w:val="single" w:color="auto" w:sz="4" w:space="0"/>
            </w:tcBorders>
            <w:vAlign w:val="center"/>
          </w:tcPr>
          <w:p>
            <w:pPr>
              <w:widowControl/>
              <w:snapToGrid w:val="0"/>
              <w:jc w:val="center"/>
              <w:rPr>
                <w:color w:val="auto"/>
                <w:highlight w:val="none"/>
              </w:rPr>
            </w:pPr>
          </w:p>
        </w:tc>
        <w:tc>
          <w:tcPr>
            <w:tcW w:w="680" w:type="pct"/>
            <w:tcBorders>
              <w:left w:val="single" w:color="auto" w:sz="4" w:space="0"/>
              <w:bottom w:val="single" w:color="auto" w:sz="4" w:space="0"/>
              <w:right w:val="single" w:color="auto" w:sz="4" w:space="0"/>
            </w:tcBorders>
            <w:vAlign w:val="center"/>
          </w:tcPr>
          <w:p>
            <w:pPr>
              <w:widowControl/>
              <w:snapToGrid w:val="0"/>
              <w:jc w:val="center"/>
              <w:rPr>
                <w:color w:val="auto"/>
                <w:highlight w:val="none"/>
              </w:rPr>
            </w:pPr>
            <w:r>
              <w:rPr>
                <w:color w:val="auto"/>
                <w:kern w:val="0"/>
                <w:sz w:val="18"/>
                <w:szCs w:val="18"/>
                <w:highlight w:val="none"/>
              </w:rPr>
              <w:t>≤</w:t>
            </w:r>
            <w:r>
              <w:rPr>
                <w:rFonts w:hint="eastAsia"/>
                <w:color w:val="auto"/>
                <w:kern w:val="0"/>
                <w:sz w:val="18"/>
                <w:szCs w:val="18"/>
                <w:highlight w:val="none"/>
                <w:lang w:val="en-US" w:eastAsia="zh-CN"/>
              </w:rPr>
              <w:t>7</w:t>
            </w:r>
            <w:r>
              <w:rPr>
                <w:rFonts w:hint="eastAsia"/>
                <w:color w:val="auto"/>
                <w:kern w:val="0"/>
                <w:sz w:val="18"/>
                <w:szCs w:val="18"/>
                <w:highlight w:val="none"/>
              </w:rPr>
              <w:t>0</w:t>
            </w:r>
          </w:p>
        </w:tc>
        <w:tc>
          <w:tcPr>
            <w:tcW w:w="1163" w:type="pct"/>
            <w:tcBorders>
              <w:left w:val="single" w:color="auto" w:sz="4" w:space="0"/>
              <w:bottom w:val="single" w:color="auto" w:sz="4" w:space="0"/>
              <w:right w:val="single" w:color="auto" w:sz="4" w:space="0"/>
            </w:tcBorders>
            <w:vAlign w:val="center"/>
          </w:tcPr>
          <w:p>
            <w:pPr>
              <w:widowControl/>
              <w:snapToGrid w:val="0"/>
              <w:jc w:val="center"/>
              <w:rPr>
                <w:color w:val="auto"/>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widowControl/>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1303"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冷轧工序</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kgce/t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w:t>
            </w:r>
            <w:r>
              <w:rPr>
                <w:rFonts w:hint="eastAsia"/>
                <w:color w:val="auto"/>
                <w:kern w:val="0"/>
                <w:sz w:val="18"/>
                <w:szCs w:val="18"/>
                <w:highlight w:val="none"/>
              </w:rPr>
              <w:t>223</w:t>
            </w:r>
          </w:p>
        </w:tc>
        <w:tc>
          <w:tcPr>
            <w:tcW w:w="1163" w:type="pct"/>
            <w:tcBorders>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r>
              <w:rPr>
                <w:rFonts w:hint="eastAsia"/>
                <w:color w:val="auto"/>
                <w:kern w:val="0"/>
                <w:sz w:val="18"/>
                <w:szCs w:val="18"/>
                <w:highlight w:val="none"/>
              </w:rPr>
              <w:t>不锈钢单位产品能源消耗限额</w:t>
            </w:r>
          </w:p>
        </w:tc>
        <w:tc>
          <w:tcPr>
            <w:tcW w:w="551" w:type="pct"/>
            <w:vMerge w:val="continue"/>
            <w:tcBorders>
              <w:left w:val="single" w:color="auto" w:sz="4" w:space="0"/>
              <w:right w:val="single" w:color="auto"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31"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环境属性</w:t>
            </w:r>
          </w:p>
        </w:tc>
        <w:tc>
          <w:tcPr>
            <w:tcW w:w="582" w:type="pct"/>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生产过程中污染物排放量</w:t>
            </w:r>
          </w:p>
        </w:tc>
        <w:tc>
          <w:tcPr>
            <w:tcW w:w="1303"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无组织排放（颗粒物）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sz w:val="18"/>
                <w:szCs w:val="18"/>
                <w:highlight w:val="none"/>
              </w:rPr>
              <w: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车间（工序）无组织排放控制措施与浓度标准满足钢铁行业排污许可要求</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kern w:val="0"/>
                <w:sz w:val="18"/>
                <w:szCs w:val="18"/>
                <w:highlight w:val="none"/>
              </w:rPr>
            </w:pPr>
            <w:r>
              <w:rPr>
                <w:color w:val="auto"/>
                <w:kern w:val="0"/>
                <w:sz w:val="18"/>
                <w:szCs w:val="18"/>
                <w:highlight w:val="none"/>
              </w:rPr>
              <w:t>提供无组织排放控制措施清单；每半年第三方检测机构监测报告中所涉及的车间（工序）无组织监测结果</w:t>
            </w:r>
          </w:p>
        </w:tc>
        <w:tc>
          <w:tcPr>
            <w:tcW w:w="551" w:type="pct"/>
            <w:vMerge w:val="continue"/>
            <w:tcBorders>
              <w:left w:val="single" w:color="auto" w:sz="4" w:space="0"/>
              <w:right w:val="single" w:color="auto" w:sz="4" w:space="0"/>
            </w:tcBorders>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烧结工序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≤0.09</w:t>
            </w:r>
          </w:p>
        </w:tc>
        <w:tc>
          <w:tcPr>
            <w:tcW w:w="1163"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按照《钢铁行业（烧结、球团）清洁生产评价指标体系》，并提供基础数据（按照一年生产周期计算平均值）</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SO</w:t>
            </w:r>
            <w:r>
              <w:rPr>
                <w:color w:val="auto"/>
                <w:kern w:val="0"/>
                <w:sz w:val="18"/>
                <w:szCs w:val="18"/>
                <w:highlight w:val="none"/>
                <w:vertAlign w:val="subscript"/>
              </w:rPr>
              <w:t>2</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≤0.14</w:t>
            </w:r>
          </w:p>
        </w:tc>
        <w:tc>
          <w:tcPr>
            <w:tcW w:w="1163" w:type="pct"/>
            <w:vMerge w:val="continue"/>
            <w:tcBorders>
              <w:left w:val="single" w:color="auto" w:sz="4" w:space="0"/>
              <w:right w:val="single" w:color="auto" w:sz="4" w:space="0"/>
            </w:tcBorders>
            <w:vAlign w:val="center"/>
          </w:tcPr>
          <w:p>
            <w:pPr>
              <w:snapToGrid w:val="0"/>
              <w:jc w:val="left"/>
              <w:rPr>
                <w:color w:val="auto"/>
                <w:sz w:val="20"/>
                <w:szCs w:val="20"/>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NO</w:t>
            </w:r>
            <w:r>
              <w:rPr>
                <w:color w:val="auto"/>
                <w:kern w:val="0"/>
                <w:sz w:val="18"/>
                <w:szCs w:val="18"/>
                <w:highlight w:val="none"/>
                <w:vertAlign w:val="subscript"/>
              </w:rPr>
              <w:t>X</w:t>
            </w:r>
            <w:r>
              <w:rPr>
                <w:color w:val="auto"/>
                <w:kern w:val="0"/>
                <w:sz w:val="18"/>
                <w:szCs w:val="18"/>
                <w:highlight w:val="none"/>
              </w:rPr>
              <w:t>（以NO</w:t>
            </w:r>
            <w:r>
              <w:rPr>
                <w:color w:val="auto"/>
                <w:kern w:val="0"/>
                <w:sz w:val="18"/>
                <w:szCs w:val="18"/>
                <w:highlight w:val="none"/>
                <w:vertAlign w:val="subscript"/>
              </w:rPr>
              <w:t>2</w:t>
            </w:r>
            <w:r>
              <w:rPr>
                <w:color w:val="auto"/>
                <w:kern w:val="0"/>
                <w:sz w:val="18"/>
                <w:szCs w:val="18"/>
                <w:highlight w:val="none"/>
              </w:rPr>
              <w:t>计）</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≤0.28</w:t>
            </w:r>
          </w:p>
        </w:tc>
        <w:tc>
          <w:tcPr>
            <w:tcW w:w="1163" w:type="pct"/>
            <w:vMerge w:val="continue"/>
            <w:tcBorders>
              <w:left w:val="single" w:color="auto" w:sz="4" w:space="0"/>
              <w:right w:val="single" w:color="auto" w:sz="4" w:space="0"/>
            </w:tcBorders>
            <w:vAlign w:val="center"/>
          </w:tcPr>
          <w:p>
            <w:pPr>
              <w:snapToGrid w:val="0"/>
              <w:jc w:val="left"/>
              <w:rPr>
                <w:color w:val="auto"/>
                <w:sz w:val="20"/>
                <w:szCs w:val="20"/>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color w:val="auto"/>
                <w:sz w:val="18"/>
                <w:szCs w:val="18"/>
                <w:highlight w:val="none"/>
                <w:lang w:bidi="ar"/>
              </w:rPr>
              <w:t>球团工序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kern w:val="0"/>
                <w:sz w:val="18"/>
                <w:szCs w:val="18"/>
                <w:highlight w:val="none"/>
              </w:rPr>
            </w:pPr>
            <w:r>
              <w:rPr>
                <w:color w:val="auto"/>
                <w:kern w:val="0"/>
                <w:sz w:val="18"/>
                <w:szCs w:val="18"/>
                <w:highlight w:val="none"/>
              </w:rPr>
              <w:t>≤0.08</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SO</w:t>
            </w:r>
            <w:r>
              <w:rPr>
                <w:color w:val="auto"/>
                <w:kern w:val="0"/>
                <w:sz w:val="18"/>
                <w:szCs w:val="18"/>
                <w:highlight w:val="none"/>
                <w:vertAlign w:val="subscript"/>
              </w:rPr>
              <w:t>2</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highlight w:val="none"/>
              </w:rPr>
            </w:pPr>
            <w:r>
              <w:rPr>
                <w:color w:val="auto"/>
                <w:kern w:val="0"/>
                <w:sz w:val="18"/>
                <w:szCs w:val="18"/>
                <w:highlight w:val="none"/>
              </w:rPr>
              <w:t>≤0.13</w:t>
            </w:r>
          </w:p>
        </w:tc>
        <w:tc>
          <w:tcPr>
            <w:tcW w:w="1163" w:type="pct"/>
            <w:vMerge w:val="continue"/>
            <w:tcBorders>
              <w:left w:val="single" w:color="auto" w:sz="4" w:space="0"/>
              <w:right w:val="single" w:color="auto" w:sz="4" w:space="0"/>
            </w:tcBorders>
            <w:vAlign w:val="center"/>
          </w:tcPr>
          <w:p>
            <w:pPr>
              <w:rPr>
                <w:color w:val="auto"/>
                <w:sz w:val="20"/>
                <w:szCs w:val="20"/>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NO</w:t>
            </w:r>
            <w:r>
              <w:rPr>
                <w:color w:val="auto"/>
                <w:kern w:val="0"/>
                <w:sz w:val="18"/>
                <w:szCs w:val="18"/>
                <w:highlight w:val="none"/>
                <w:vertAlign w:val="subscript"/>
              </w:rPr>
              <w:t>X</w:t>
            </w:r>
            <w:r>
              <w:rPr>
                <w:color w:val="auto"/>
                <w:kern w:val="0"/>
                <w:sz w:val="18"/>
                <w:szCs w:val="18"/>
                <w:highlight w:val="none"/>
              </w:rPr>
              <w:t>（以NO</w:t>
            </w:r>
            <w:r>
              <w:rPr>
                <w:color w:val="auto"/>
                <w:kern w:val="0"/>
                <w:sz w:val="18"/>
                <w:szCs w:val="18"/>
                <w:highlight w:val="none"/>
                <w:vertAlign w:val="subscript"/>
              </w:rPr>
              <w:t>2</w:t>
            </w:r>
            <w:r>
              <w:rPr>
                <w:color w:val="auto"/>
                <w:kern w:val="0"/>
                <w:sz w:val="18"/>
                <w:szCs w:val="18"/>
                <w:highlight w:val="none"/>
              </w:rPr>
              <w:t>计）</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highlight w:val="none"/>
              </w:rPr>
            </w:pPr>
            <w:r>
              <w:rPr>
                <w:color w:val="auto"/>
                <w:kern w:val="0"/>
                <w:sz w:val="18"/>
                <w:szCs w:val="18"/>
                <w:highlight w:val="none"/>
              </w:rPr>
              <w:t>≤0.25</w:t>
            </w:r>
          </w:p>
        </w:tc>
        <w:tc>
          <w:tcPr>
            <w:tcW w:w="1163" w:type="pct"/>
            <w:vMerge w:val="continue"/>
            <w:tcBorders>
              <w:left w:val="single" w:color="auto" w:sz="4" w:space="0"/>
              <w:bottom w:val="single" w:color="auto" w:sz="4" w:space="0"/>
              <w:right w:val="single" w:color="auto" w:sz="4" w:space="0"/>
            </w:tcBorders>
            <w:vAlign w:val="center"/>
          </w:tcPr>
          <w:p>
            <w:pPr>
              <w:rPr>
                <w:color w:val="auto"/>
                <w:sz w:val="20"/>
                <w:szCs w:val="20"/>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sz w:val="18"/>
                <w:szCs w:val="18"/>
                <w:highlight w:val="none"/>
                <w:lang w:bidi="ar"/>
              </w:rPr>
            </w:pPr>
            <w:r>
              <w:rPr>
                <w:color w:val="auto"/>
                <w:sz w:val="18"/>
                <w:szCs w:val="18"/>
                <w:highlight w:val="none"/>
                <w:lang w:bidi="ar"/>
              </w:rPr>
              <w:t>高炉</w:t>
            </w:r>
          </w:p>
          <w:p>
            <w:pPr>
              <w:widowControl/>
              <w:snapToGrid w:val="0"/>
              <w:jc w:val="center"/>
              <w:rPr>
                <w:color w:val="auto"/>
                <w:sz w:val="18"/>
                <w:szCs w:val="18"/>
                <w:highlight w:val="none"/>
              </w:rPr>
            </w:pPr>
            <w:r>
              <w:rPr>
                <w:color w:val="auto"/>
                <w:kern w:val="0"/>
                <w:sz w:val="18"/>
                <w:szCs w:val="18"/>
                <w:highlight w:val="none"/>
              </w:rPr>
              <w:t>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18"/>
                <w:szCs w:val="18"/>
                <w:highlight w:val="none"/>
              </w:rPr>
            </w:pPr>
            <w:r>
              <w:rPr>
                <w:color w:val="auto"/>
                <w:sz w:val="18"/>
                <w:szCs w:val="18"/>
                <w:highlight w:val="none"/>
              </w:rPr>
              <w:t>≤0.2</w:t>
            </w:r>
          </w:p>
        </w:tc>
        <w:tc>
          <w:tcPr>
            <w:tcW w:w="1163"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按照《钢铁行业（高炉炼铁）清洁生产评价指标体系》，并提供基础数据（按照一年生产周期计算平均值）</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SO</w:t>
            </w:r>
            <w:r>
              <w:rPr>
                <w:color w:val="auto"/>
                <w:kern w:val="0"/>
                <w:sz w:val="18"/>
                <w:szCs w:val="18"/>
                <w:highlight w:val="none"/>
                <w:vertAlign w:val="subscript"/>
              </w:rPr>
              <w:t>2</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highlight w:val="none"/>
              </w:rPr>
            </w:pPr>
            <w:r>
              <w:rPr>
                <w:color w:val="auto"/>
                <w:sz w:val="18"/>
                <w:szCs w:val="18"/>
                <w:highlight w:val="none"/>
              </w:rPr>
              <w:t>≤0.10</w:t>
            </w:r>
          </w:p>
        </w:tc>
        <w:tc>
          <w:tcPr>
            <w:tcW w:w="116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NO</w:t>
            </w:r>
            <w:r>
              <w:rPr>
                <w:color w:val="auto"/>
                <w:kern w:val="0"/>
                <w:sz w:val="18"/>
                <w:szCs w:val="18"/>
                <w:highlight w:val="none"/>
                <w:vertAlign w:val="subscript"/>
              </w:rPr>
              <w:t>X</w:t>
            </w:r>
            <w:r>
              <w:rPr>
                <w:color w:val="auto"/>
                <w:kern w:val="0"/>
                <w:sz w:val="18"/>
                <w:szCs w:val="18"/>
                <w:highlight w:val="none"/>
              </w:rPr>
              <w:t>（以NO</w:t>
            </w:r>
            <w:r>
              <w:rPr>
                <w:color w:val="auto"/>
                <w:kern w:val="0"/>
                <w:sz w:val="18"/>
                <w:szCs w:val="18"/>
                <w:highlight w:val="none"/>
                <w:vertAlign w:val="subscript"/>
              </w:rPr>
              <w:t>2</w:t>
            </w:r>
            <w:r>
              <w:rPr>
                <w:color w:val="auto"/>
                <w:kern w:val="0"/>
                <w:sz w:val="18"/>
                <w:szCs w:val="18"/>
                <w:highlight w:val="none"/>
              </w:rPr>
              <w:t>计）</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highlight w:val="none"/>
              </w:rPr>
            </w:pPr>
            <w:r>
              <w:rPr>
                <w:color w:val="auto"/>
                <w:sz w:val="18"/>
                <w:szCs w:val="18"/>
                <w:highlight w:val="none"/>
              </w:rPr>
              <w:t>≤0.30</w:t>
            </w:r>
          </w:p>
        </w:tc>
        <w:tc>
          <w:tcPr>
            <w:tcW w:w="1163"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转炉</w:t>
            </w:r>
          </w:p>
          <w:p>
            <w:pPr>
              <w:widowControl/>
              <w:snapToGrid w:val="0"/>
              <w:jc w:val="center"/>
              <w:rPr>
                <w:color w:val="auto"/>
                <w:kern w:val="0"/>
                <w:sz w:val="18"/>
                <w:szCs w:val="18"/>
                <w:highlight w:val="none"/>
              </w:rPr>
            </w:pPr>
            <w:r>
              <w:rPr>
                <w:color w:val="auto"/>
                <w:kern w:val="0"/>
                <w:sz w:val="18"/>
                <w:szCs w:val="18"/>
                <w:highlight w:val="none"/>
              </w:rPr>
              <w:t>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≤0.11</w:t>
            </w:r>
          </w:p>
        </w:tc>
        <w:tc>
          <w:tcPr>
            <w:tcW w:w="1163"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按照《钢铁行业（炼钢）清洁生产评价指标体系》，并提供基础数据（按照一年生产周期计算平均值）</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电炉</w:t>
            </w:r>
          </w:p>
          <w:p>
            <w:pPr>
              <w:widowControl/>
              <w:snapToGrid w:val="0"/>
              <w:jc w:val="center"/>
              <w:rPr>
                <w:color w:val="auto"/>
                <w:kern w:val="0"/>
                <w:sz w:val="18"/>
                <w:szCs w:val="18"/>
                <w:highlight w:val="none"/>
              </w:rPr>
            </w:pPr>
            <w:r>
              <w:rPr>
                <w:color w:val="auto"/>
                <w:kern w:val="0"/>
                <w:sz w:val="18"/>
                <w:szCs w:val="18"/>
                <w:highlight w:val="none"/>
              </w:rPr>
              <w:t>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≤0.10</w:t>
            </w:r>
          </w:p>
        </w:tc>
        <w:tc>
          <w:tcPr>
            <w:tcW w:w="1163" w:type="pct"/>
            <w:vMerge w:val="continue"/>
            <w:tcBorders>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RKEF</w:t>
            </w:r>
          </w:p>
          <w:p>
            <w:pPr>
              <w:widowControl/>
              <w:snapToGrid w:val="0"/>
              <w:jc w:val="center"/>
              <w:rPr>
                <w:color w:val="auto"/>
                <w:kern w:val="0"/>
                <w:sz w:val="18"/>
                <w:szCs w:val="18"/>
                <w:highlight w:val="none"/>
              </w:rPr>
            </w:pPr>
            <w:r>
              <w:rPr>
                <w:color w:val="auto"/>
                <w:kern w:val="0"/>
                <w:sz w:val="18"/>
                <w:szCs w:val="18"/>
                <w:highlight w:val="none"/>
              </w:rPr>
              <w:t>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sz w:val="18"/>
                <w:szCs w:val="18"/>
                <w:highlight w:val="none"/>
              </w:rPr>
              <w:t>≤0.15</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提供</w:t>
            </w:r>
            <w:r>
              <w:rPr>
                <w:rFonts w:hint="eastAsia"/>
                <w:color w:val="auto"/>
                <w:sz w:val="18"/>
                <w:szCs w:val="18"/>
                <w:highlight w:val="none"/>
              </w:rPr>
              <w:t>吨产品</w:t>
            </w:r>
            <w:r>
              <w:rPr>
                <w:color w:val="auto"/>
                <w:sz w:val="18"/>
                <w:szCs w:val="18"/>
                <w:highlight w:val="none"/>
              </w:rPr>
              <w:t>（</w:t>
            </w:r>
            <w:r>
              <w:rPr>
                <w:rFonts w:hint="eastAsia"/>
                <w:color w:val="auto"/>
                <w:sz w:val="18"/>
                <w:szCs w:val="18"/>
                <w:highlight w:val="none"/>
              </w:rPr>
              <w:t>不锈钢）颗粒物排放量证明</w:t>
            </w:r>
            <w:r>
              <w:rPr>
                <w:color w:val="auto"/>
                <w:sz w:val="18"/>
                <w:szCs w:val="18"/>
                <w:highlight w:val="none"/>
              </w:rPr>
              <w:t>（按照一年生产周期计算平均值）</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热轧工序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sz w:val="18"/>
                <w:szCs w:val="18"/>
                <w:highlight w:val="none"/>
                <w:lang w:bidi="ar"/>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18"/>
                <w:szCs w:val="18"/>
                <w:highlight w:val="none"/>
              </w:rPr>
            </w:pPr>
            <w:r>
              <w:rPr>
                <w:color w:val="auto"/>
                <w:kern w:val="0"/>
                <w:sz w:val="18"/>
                <w:szCs w:val="18"/>
                <w:highlight w:val="none"/>
              </w:rPr>
              <w:t>≤0.025</w:t>
            </w:r>
          </w:p>
        </w:tc>
        <w:tc>
          <w:tcPr>
            <w:tcW w:w="1163"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提供轧钢工序颗粒物</w:t>
            </w:r>
            <w:r>
              <w:rPr>
                <w:rFonts w:hint="eastAsia"/>
                <w:color w:val="auto"/>
                <w:sz w:val="18"/>
                <w:szCs w:val="18"/>
                <w:highlight w:val="none"/>
              </w:rPr>
              <w:t>、SO₂、NO₂、废水、化学需氧量、石油类</w:t>
            </w:r>
            <w:r>
              <w:rPr>
                <w:color w:val="auto"/>
                <w:sz w:val="18"/>
                <w:szCs w:val="18"/>
                <w:highlight w:val="none"/>
              </w:rPr>
              <w:t>排放量证明（按照一年生产周期计算平均值）</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pStyle w:val="158"/>
              <w:spacing w:before="42" w:line="213" w:lineRule="auto"/>
              <w:ind w:right="103"/>
              <w:jc w:val="center"/>
              <w:rPr>
                <w:color w:val="auto"/>
                <w:kern w:val="0"/>
                <w:highlight w:val="none"/>
                <w:lang w:eastAsia="zh-CN"/>
              </w:rPr>
            </w:pPr>
            <w:r>
              <w:rPr>
                <w:rFonts w:ascii="宋体" w:hAnsi="宋体" w:eastAsia="宋体" w:cs="宋体"/>
                <w:color w:val="auto"/>
                <w:spacing w:val="-10"/>
                <w:highlight w:val="none"/>
              </w:rPr>
              <w:t>二氧化硫单位排放量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0"/>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pStyle w:val="158"/>
              <w:spacing w:before="185" w:line="218" w:lineRule="auto"/>
              <w:jc w:val="center"/>
              <w:rPr>
                <w:color w:val="auto"/>
                <w:kern w:val="0"/>
                <w:highlight w:val="none"/>
              </w:rPr>
            </w:pPr>
            <w:r>
              <w:rPr>
                <w:color w:val="auto"/>
                <w:spacing w:val="-1"/>
                <w:highlight w:val="none"/>
              </w:rPr>
              <w:t>≤0.05</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pStyle w:val="158"/>
              <w:spacing w:before="71" w:line="212" w:lineRule="auto"/>
              <w:jc w:val="center"/>
              <w:rPr>
                <w:color w:val="auto"/>
                <w:kern w:val="0"/>
                <w:highlight w:val="none"/>
                <w:lang w:eastAsia="zh-CN"/>
              </w:rPr>
            </w:pPr>
            <w:r>
              <w:rPr>
                <w:rFonts w:ascii="宋体" w:hAnsi="宋体" w:eastAsia="宋体" w:cs="宋体"/>
                <w:color w:val="auto"/>
                <w:spacing w:val="-10"/>
                <w:highlight w:val="none"/>
              </w:rPr>
              <w:t>氮氧化物单位排放量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0"/>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pStyle w:val="158"/>
              <w:spacing w:before="98" w:line="218" w:lineRule="auto"/>
              <w:jc w:val="center"/>
              <w:rPr>
                <w:color w:val="auto"/>
                <w:kern w:val="0"/>
                <w:highlight w:val="none"/>
              </w:rPr>
            </w:pPr>
            <w:r>
              <w:rPr>
                <w:color w:val="auto"/>
                <w:spacing w:val="-1"/>
                <w:highlight w:val="none"/>
              </w:rPr>
              <w:t>≤0.15</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pStyle w:val="158"/>
              <w:spacing w:before="64" w:line="220" w:lineRule="auto"/>
              <w:jc w:val="center"/>
              <w:rPr>
                <w:rFonts w:eastAsia="宋体"/>
                <w:color w:val="auto"/>
                <w:kern w:val="0"/>
                <w:highlight w:val="none"/>
                <w:lang w:eastAsia="zh-CN"/>
              </w:rPr>
            </w:pPr>
            <w:r>
              <w:rPr>
                <w:rFonts w:ascii="宋体" w:hAnsi="宋体" w:eastAsia="宋体" w:cs="宋体"/>
                <w:color w:val="auto"/>
                <w:spacing w:val="-1"/>
                <w:highlight w:val="none"/>
              </w:rPr>
              <w:t>废水排放量</w:t>
            </w:r>
            <w:r>
              <w:rPr>
                <w:rFonts w:hint="eastAsia" w:ascii="宋体" w:hAnsi="宋体" w:eastAsia="宋体" w:cs="宋体"/>
                <w:color w:val="auto"/>
                <w:spacing w:val="-1"/>
                <w:highlight w:val="none"/>
                <w:vertAlign w:val="superscript"/>
                <w:lang w:eastAsia="zh-CN"/>
              </w:rPr>
              <w:t>c</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
                <w:highlight w:val="none"/>
              </w:rPr>
              <w:t>m</w:t>
            </w:r>
            <w:r>
              <w:rPr>
                <w:color w:val="auto"/>
                <w:spacing w:val="-1"/>
                <w:position w:val="5"/>
                <w:sz w:val="12"/>
                <w:szCs w:val="12"/>
                <w:highlight w:val="none"/>
              </w:rPr>
              <w:t>3</w:t>
            </w:r>
            <w:r>
              <w:rPr>
                <w:color w:val="auto"/>
                <w:spacing w:val="-1"/>
                <w:highlight w:val="none"/>
              </w:rPr>
              <w:t>/t</w:t>
            </w:r>
          </w:p>
        </w:tc>
        <w:tc>
          <w:tcPr>
            <w:tcW w:w="680" w:type="pct"/>
            <w:tcBorders>
              <w:top w:val="single" w:color="auto" w:sz="4" w:space="0"/>
              <w:left w:val="single" w:color="auto" w:sz="4" w:space="0"/>
              <w:bottom w:val="single" w:color="auto" w:sz="4" w:space="0"/>
              <w:right w:val="single" w:color="auto" w:sz="4" w:space="0"/>
            </w:tcBorders>
            <w:vAlign w:val="center"/>
          </w:tcPr>
          <w:p>
            <w:pPr>
              <w:pStyle w:val="158"/>
              <w:spacing w:before="91" w:line="217" w:lineRule="auto"/>
              <w:jc w:val="center"/>
              <w:rPr>
                <w:color w:val="auto"/>
                <w:kern w:val="0"/>
                <w:highlight w:val="none"/>
              </w:rPr>
            </w:pPr>
            <w:r>
              <w:rPr>
                <w:color w:val="auto"/>
                <w:spacing w:val="-1"/>
                <w:highlight w:val="none"/>
              </w:rPr>
              <w:t>≤0.30</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pStyle w:val="158"/>
              <w:spacing w:before="37" w:line="217" w:lineRule="auto"/>
              <w:ind w:right="235"/>
              <w:jc w:val="center"/>
              <w:rPr>
                <w:color w:val="auto"/>
                <w:kern w:val="0"/>
                <w:highlight w:val="none"/>
                <w:lang w:eastAsia="zh-CN"/>
              </w:rPr>
            </w:pPr>
            <w:r>
              <w:rPr>
                <w:rFonts w:ascii="宋体" w:hAnsi="宋体" w:eastAsia="宋体" w:cs="宋体"/>
                <w:color w:val="auto"/>
                <w:spacing w:val="-5"/>
                <w:highlight w:val="none"/>
                <w:lang w:eastAsia="zh-CN"/>
              </w:rPr>
              <w:t>化学需氧量单位排放量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2"/>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pStyle w:val="158"/>
              <w:spacing w:before="181" w:line="218" w:lineRule="auto"/>
              <w:jc w:val="center"/>
              <w:rPr>
                <w:color w:val="auto"/>
                <w:kern w:val="0"/>
                <w:highlight w:val="none"/>
              </w:rPr>
            </w:pPr>
            <w:r>
              <w:rPr>
                <w:color w:val="auto"/>
                <w:spacing w:val="-1"/>
                <w:highlight w:val="none"/>
              </w:rPr>
              <w:t>≤0.015</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pStyle w:val="158"/>
              <w:spacing w:before="39" w:line="216" w:lineRule="auto"/>
              <w:ind w:right="278"/>
              <w:jc w:val="center"/>
              <w:rPr>
                <w:color w:val="auto"/>
                <w:kern w:val="0"/>
                <w:highlight w:val="none"/>
                <w:lang w:eastAsia="zh-CN"/>
              </w:rPr>
            </w:pPr>
            <w:r>
              <w:rPr>
                <w:rFonts w:ascii="宋体" w:hAnsi="宋体" w:eastAsia="宋体" w:cs="宋体"/>
                <w:color w:val="auto"/>
                <w:spacing w:val="-11"/>
                <w:highlight w:val="none"/>
              </w:rPr>
              <w:t>石油类单位排放量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1"/>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pStyle w:val="158"/>
              <w:spacing w:before="182" w:line="218" w:lineRule="auto"/>
              <w:jc w:val="center"/>
              <w:rPr>
                <w:color w:val="auto"/>
                <w:kern w:val="0"/>
                <w:highlight w:val="none"/>
              </w:rPr>
            </w:pPr>
            <w:r>
              <w:rPr>
                <w:color w:val="auto"/>
                <w:spacing w:val="-1"/>
                <w:highlight w:val="none"/>
              </w:rPr>
              <w:t>≤0.0009</w:t>
            </w:r>
          </w:p>
        </w:tc>
        <w:tc>
          <w:tcPr>
            <w:tcW w:w="1163" w:type="pct"/>
            <w:vMerge w:val="continue"/>
            <w:tcBorders>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冷轧工序</w:t>
            </w: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颗粒物</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highlight w:val="none"/>
              </w:rPr>
            </w:pPr>
            <w:r>
              <w:rPr>
                <w:color w:val="auto"/>
                <w:sz w:val="18"/>
                <w:szCs w:val="18"/>
                <w:highlight w:val="none"/>
                <w:lang w:bidi="ar"/>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18"/>
                <w:szCs w:val="18"/>
                <w:highlight w:val="none"/>
              </w:rPr>
            </w:pPr>
            <w:r>
              <w:rPr>
                <w:color w:val="auto"/>
                <w:kern w:val="0"/>
                <w:sz w:val="18"/>
                <w:szCs w:val="18"/>
                <w:highlight w:val="none"/>
              </w:rPr>
              <w:t>≤0.02</w:t>
            </w:r>
            <w:r>
              <w:rPr>
                <w:rFonts w:hint="eastAsia"/>
                <w:color w:val="auto"/>
                <w:kern w:val="0"/>
                <w:sz w:val="18"/>
                <w:szCs w:val="18"/>
                <w:highlight w:val="none"/>
              </w:rPr>
              <w:t>2</w:t>
            </w:r>
          </w:p>
        </w:tc>
        <w:tc>
          <w:tcPr>
            <w:tcW w:w="1163"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highlight w:val="none"/>
              </w:rPr>
            </w:pPr>
            <w:r>
              <w:rPr>
                <w:color w:val="auto"/>
                <w:sz w:val="18"/>
                <w:szCs w:val="18"/>
                <w:highlight w:val="none"/>
              </w:rPr>
              <w:t>提供轧钢工序颗粒物</w:t>
            </w:r>
            <w:r>
              <w:rPr>
                <w:rFonts w:hint="eastAsia"/>
                <w:color w:val="auto"/>
                <w:sz w:val="18"/>
                <w:szCs w:val="18"/>
                <w:highlight w:val="none"/>
              </w:rPr>
              <w:t>、HCl、NO₂、氮氧化物、废水、化学需氧量、石油类</w:t>
            </w:r>
            <w:r>
              <w:rPr>
                <w:color w:val="auto"/>
                <w:sz w:val="18"/>
                <w:szCs w:val="18"/>
                <w:highlight w:val="none"/>
              </w:rPr>
              <w:t>排放量排放量证明（按照一年生产周期计算平均值）</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pStyle w:val="158"/>
              <w:spacing w:before="45" w:line="212" w:lineRule="auto"/>
              <w:ind w:left="99"/>
              <w:rPr>
                <w:rFonts w:eastAsia="宋体"/>
                <w:color w:val="auto"/>
                <w:kern w:val="0"/>
                <w:highlight w:val="none"/>
                <w:lang w:eastAsia="zh-CN"/>
              </w:rPr>
            </w:pPr>
            <w:r>
              <w:rPr>
                <w:rFonts w:hint="eastAsia" w:eastAsia="宋体"/>
                <w:color w:val="auto"/>
                <w:kern w:val="0"/>
                <w:highlight w:val="none"/>
                <w:lang w:eastAsia="zh-CN"/>
              </w:rPr>
              <w:t>HCl 单位产品排放量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1"/>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color w:val="auto"/>
                <w:spacing w:val="-1"/>
                <w:sz w:val="18"/>
                <w:szCs w:val="18"/>
                <w:highlight w:val="none"/>
                <w:lang w:eastAsia="en-US"/>
              </w:rPr>
            </w:pPr>
            <w:r>
              <w:rPr>
                <w:rFonts w:eastAsia="Times New Roman"/>
                <w:color w:val="auto"/>
                <w:spacing w:val="-1"/>
                <w:sz w:val="18"/>
                <w:szCs w:val="18"/>
                <w:highlight w:val="none"/>
                <w:lang w:eastAsia="en-US"/>
              </w:rPr>
              <w:t>≤0.008</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tcPr>
          <w:p>
            <w:pPr>
              <w:pStyle w:val="158"/>
              <w:spacing w:before="45" w:line="212" w:lineRule="auto"/>
              <w:ind w:left="99"/>
              <w:rPr>
                <w:rFonts w:eastAsia="宋体"/>
                <w:color w:val="auto"/>
                <w:kern w:val="0"/>
                <w:highlight w:val="none"/>
                <w:lang w:eastAsia="zh-CN"/>
              </w:rPr>
            </w:pPr>
            <w:r>
              <w:rPr>
                <w:rFonts w:hint="eastAsia" w:eastAsia="宋体"/>
                <w:color w:val="auto"/>
                <w:kern w:val="0"/>
                <w:highlight w:val="none"/>
                <w:lang w:eastAsia="zh-CN"/>
              </w:rPr>
              <w:t xml:space="preserve">二氧化氮单位产品排放量 </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1"/>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Times New Roman"/>
                <w:color w:val="auto"/>
                <w:spacing w:val="-1"/>
                <w:sz w:val="18"/>
                <w:szCs w:val="18"/>
                <w:highlight w:val="none"/>
                <w:lang w:eastAsia="en-US"/>
              </w:rPr>
            </w:pPr>
            <w:r>
              <w:rPr>
                <w:rFonts w:eastAsia="Times New Roman"/>
                <w:color w:val="auto"/>
                <w:spacing w:val="-1"/>
                <w:sz w:val="18"/>
                <w:szCs w:val="18"/>
                <w:highlight w:val="none"/>
                <w:lang w:eastAsia="en-US"/>
              </w:rPr>
              <w:t>≤1.1</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tcPr>
          <w:p>
            <w:pPr>
              <w:pStyle w:val="158"/>
              <w:spacing w:before="45" w:line="212" w:lineRule="auto"/>
              <w:ind w:left="99"/>
              <w:rPr>
                <w:rFonts w:eastAsia="宋体"/>
                <w:color w:val="auto"/>
                <w:kern w:val="0"/>
                <w:highlight w:val="none"/>
                <w:lang w:eastAsia="zh-CN"/>
              </w:rPr>
            </w:pPr>
            <w:r>
              <w:rPr>
                <w:rFonts w:hint="eastAsia" w:eastAsia="宋体"/>
                <w:color w:val="auto"/>
                <w:kern w:val="0"/>
                <w:highlight w:val="none"/>
                <w:lang w:eastAsia="zh-CN"/>
              </w:rPr>
              <w:t>氮氧化物单位产品排放量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9"/>
                <w:highlight w:val="none"/>
              </w:rPr>
              <w:t>kg/t</w:t>
            </w:r>
          </w:p>
        </w:tc>
        <w:tc>
          <w:tcPr>
            <w:tcW w:w="680" w:type="pct"/>
            <w:tcBorders>
              <w:top w:val="single" w:color="auto" w:sz="4" w:space="0"/>
              <w:left w:val="single" w:color="auto" w:sz="4" w:space="0"/>
              <w:bottom w:val="single" w:color="auto" w:sz="4" w:space="0"/>
              <w:right w:val="single" w:color="auto" w:sz="4" w:space="0"/>
            </w:tcBorders>
          </w:tcPr>
          <w:p>
            <w:pPr>
              <w:pStyle w:val="158"/>
              <w:spacing w:before="182" w:line="218" w:lineRule="auto"/>
              <w:jc w:val="center"/>
              <w:rPr>
                <w:color w:val="auto"/>
                <w:spacing w:val="-1"/>
                <w:highlight w:val="none"/>
              </w:rPr>
            </w:pPr>
            <w:r>
              <w:rPr>
                <w:color w:val="auto"/>
                <w:spacing w:val="-1"/>
                <w:highlight w:val="none"/>
              </w:rPr>
              <w:t>≤0.0033</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tcPr>
          <w:p>
            <w:pPr>
              <w:pStyle w:val="158"/>
              <w:spacing w:before="115" w:line="233" w:lineRule="auto"/>
              <w:ind w:left="100"/>
              <w:rPr>
                <w:rFonts w:eastAsia="宋体"/>
                <w:color w:val="auto"/>
                <w:kern w:val="0"/>
                <w:highlight w:val="none"/>
                <w:lang w:eastAsia="zh-CN"/>
              </w:rPr>
            </w:pPr>
            <w:r>
              <w:rPr>
                <w:rFonts w:hint="eastAsia" w:eastAsia="宋体"/>
                <w:color w:val="auto"/>
                <w:kern w:val="0"/>
                <w:highlight w:val="none"/>
                <w:lang w:eastAsia="zh-CN"/>
              </w:rPr>
              <w:t>废水排放量</w:t>
            </w:r>
            <w:r>
              <w:rPr>
                <w:rFonts w:hint="eastAsia" w:eastAsia="宋体"/>
                <w:color w:val="auto"/>
                <w:kern w:val="0"/>
                <w:highlight w:val="none"/>
                <w:vertAlign w:val="superscript"/>
                <w:lang w:eastAsia="zh-CN"/>
              </w:rPr>
              <w:t xml:space="preserve">c </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3"/>
                <w:highlight w:val="none"/>
              </w:rPr>
              <w:t>m</w:t>
            </w:r>
            <w:r>
              <w:rPr>
                <w:color w:val="auto"/>
                <w:spacing w:val="-3"/>
                <w:position w:val="5"/>
                <w:sz w:val="12"/>
                <w:szCs w:val="12"/>
                <w:highlight w:val="none"/>
              </w:rPr>
              <w:t>3</w:t>
            </w:r>
            <w:r>
              <w:rPr>
                <w:color w:val="auto"/>
                <w:spacing w:val="-3"/>
                <w:highlight w:val="none"/>
              </w:rPr>
              <w:t>/t</w:t>
            </w:r>
          </w:p>
        </w:tc>
        <w:tc>
          <w:tcPr>
            <w:tcW w:w="680" w:type="pct"/>
            <w:tcBorders>
              <w:top w:val="single" w:color="auto" w:sz="4" w:space="0"/>
              <w:left w:val="single" w:color="auto" w:sz="4" w:space="0"/>
              <w:bottom w:val="single" w:color="auto" w:sz="4" w:space="0"/>
              <w:right w:val="single" w:color="auto" w:sz="4" w:space="0"/>
            </w:tcBorders>
          </w:tcPr>
          <w:p>
            <w:pPr>
              <w:pStyle w:val="158"/>
              <w:spacing w:before="182" w:line="218" w:lineRule="auto"/>
              <w:jc w:val="center"/>
              <w:rPr>
                <w:color w:val="auto"/>
                <w:spacing w:val="-1"/>
                <w:highlight w:val="none"/>
              </w:rPr>
            </w:pPr>
            <w:r>
              <w:rPr>
                <w:color w:val="auto"/>
                <w:spacing w:val="-1"/>
                <w:highlight w:val="none"/>
              </w:rPr>
              <w:t>≤0.077</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tcPr>
          <w:p>
            <w:pPr>
              <w:pStyle w:val="158"/>
              <w:spacing w:before="58" w:line="212" w:lineRule="auto"/>
              <w:rPr>
                <w:rFonts w:eastAsia="宋体"/>
                <w:color w:val="auto"/>
                <w:kern w:val="0"/>
                <w:highlight w:val="none"/>
                <w:lang w:eastAsia="zh-CN"/>
              </w:rPr>
            </w:pPr>
            <w:r>
              <w:rPr>
                <w:rFonts w:hint="eastAsia" w:eastAsia="宋体"/>
                <w:color w:val="auto"/>
                <w:kern w:val="0"/>
                <w:highlight w:val="none"/>
                <w:lang w:eastAsia="zh-CN"/>
              </w:rPr>
              <w:t xml:space="preserve">石油类单位产品排放量 </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0"/>
                <w:highlight w:val="none"/>
              </w:rPr>
              <w:t>kg/t</w:t>
            </w:r>
          </w:p>
        </w:tc>
        <w:tc>
          <w:tcPr>
            <w:tcW w:w="680" w:type="pct"/>
            <w:tcBorders>
              <w:top w:val="single" w:color="auto" w:sz="4" w:space="0"/>
              <w:left w:val="single" w:color="auto" w:sz="4" w:space="0"/>
              <w:bottom w:val="single" w:color="auto" w:sz="4" w:space="0"/>
              <w:right w:val="single" w:color="auto" w:sz="4" w:space="0"/>
            </w:tcBorders>
          </w:tcPr>
          <w:p>
            <w:pPr>
              <w:pStyle w:val="158"/>
              <w:spacing w:before="182" w:line="218" w:lineRule="auto"/>
              <w:jc w:val="center"/>
              <w:rPr>
                <w:color w:val="auto"/>
                <w:spacing w:val="-1"/>
                <w:highlight w:val="none"/>
              </w:rPr>
            </w:pPr>
            <w:r>
              <w:rPr>
                <w:color w:val="auto"/>
                <w:spacing w:val="-1"/>
                <w:highlight w:val="none"/>
              </w:rPr>
              <w:t>≤0.0055</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tcPr>
          <w:p>
            <w:pPr>
              <w:pStyle w:val="158"/>
              <w:spacing w:before="47" w:line="201" w:lineRule="auto"/>
              <w:rPr>
                <w:rFonts w:eastAsia="宋体"/>
                <w:color w:val="auto"/>
                <w:kern w:val="0"/>
                <w:highlight w:val="none"/>
                <w:lang w:eastAsia="zh-CN"/>
              </w:rPr>
            </w:pPr>
            <w:r>
              <w:rPr>
                <w:rFonts w:hint="eastAsia" w:eastAsia="宋体"/>
                <w:color w:val="auto"/>
                <w:kern w:val="0"/>
                <w:highlight w:val="none"/>
                <w:lang w:eastAsia="zh-CN"/>
              </w:rPr>
              <w:t xml:space="preserve">化学需氧量单位产品排放量 </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9"/>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 w:val="18"/>
                <w:szCs w:val="18"/>
                <w:highlight w:val="none"/>
              </w:rPr>
            </w:pP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tcPr>
          <w:p>
            <w:pPr>
              <w:pStyle w:val="158"/>
              <w:spacing w:before="68" w:line="212" w:lineRule="auto"/>
              <w:rPr>
                <w:rFonts w:eastAsia="宋体"/>
                <w:color w:val="auto"/>
                <w:kern w:val="0"/>
                <w:highlight w:val="none"/>
                <w:lang w:eastAsia="zh-CN"/>
              </w:rPr>
            </w:pPr>
            <w:r>
              <w:rPr>
                <w:rFonts w:hint="eastAsia" w:eastAsia="宋体"/>
                <w:color w:val="auto"/>
                <w:kern w:val="0"/>
                <w:highlight w:val="none"/>
                <w:lang w:eastAsia="zh-CN"/>
              </w:rPr>
              <w:t>氨氮单位产品排放量</w:t>
            </w:r>
          </w:p>
        </w:tc>
        <w:tc>
          <w:tcPr>
            <w:tcW w:w="38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lang w:bidi="ar"/>
              </w:rPr>
            </w:pPr>
            <w:r>
              <w:rPr>
                <w:color w:val="auto"/>
                <w:spacing w:val="-10"/>
                <w:highlight w:val="none"/>
              </w:rPr>
              <w:t>kg/t</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kern w:val="0"/>
                <w:sz w:val="18"/>
                <w:szCs w:val="18"/>
                <w:highlight w:val="none"/>
              </w:rPr>
            </w:pPr>
          </w:p>
        </w:tc>
        <w:tc>
          <w:tcPr>
            <w:tcW w:w="1163" w:type="pct"/>
            <w:vMerge w:val="continue"/>
            <w:tcBorders>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酸洗</w:t>
            </w:r>
            <w:r>
              <w:rPr>
                <w:color w:val="auto"/>
                <w:kern w:val="0"/>
                <w:sz w:val="18"/>
                <w:szCs w:val="18"/>
                <w:highlight w:val="none"/>
              </w:rPr>
              <w:t>工序</w:t>
            </w:r>
          </w:p>
        </w:tc>
        <w:tc>
          <w:tcPr>
            <w:tcW w:w="370" w:type="pct"/>
            <w:gridSpan w:val="2"/>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氯化氢</w:t>
            </w:r>
          </w:p>
        </w:tc>
        <w:tc>
          <w:tcPr>
            <w:tcW w:w="57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酸洗机组</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sz w:val="18"/>
                <w:szCs w:val="18"/>
                <w:highlight w:val="none"/>
              </w:rPr>
              <w:t>≤</w:t>
            </w:r>
            <w:r>
              <w:rPr>
                <w:rFonts w:hint="eastAsia"/>
                <w:color w:val="auto"/>
                <w:kern w:val="0"/>
                <w:sz w:val="18"/>
                <w:szCs w:val="18"/>
                <w:highlight w:val="none"/>
              </w:rPr>
              <w:t>20</w:t>
            </w:r>
          </w:p>
        </w:tc>
        <w:tc>
          <w:tcPr>
            <w:tcW w:w="1163" w:type="pct"/>
            <w:vMerge w:val="restart"/>
            <w:tcBorders>
              <w:top w:val="single" w:color="auto" w:sz="4" w:space="0"/>
              <w:left w:val="single" w:color="auto" w:sz="4" w:space="0"/>
              <w:right w:val="single" w:color="auto" w:sz="4" w:space="0"/>
            </w:tcBorders>
            <w:vAlign w:val="center"/>
          </w:tcPr>
          <w:p>
            <w:pPr>
              <w:widowControl/>
              <w:snapToGrid w:val="0"/>
              <w:rPr>
                <w:color w:val="auto"/>
                <w:sz w:val="18"/>
                <w:szCs w:val="18"/>
                <w:highlight w:val="none"/>
              </w:rPr>
            </w:pPr>
            <w:r>
              <w:rPr>
                <w:rFonts w:hint="eastAsia"/>
                <w:color w:val="auto"/>
                <w:sz w:val="18"/>
                <w:szCs w:val="18"/>
                <w:highlight w:val="none"/>
              </w:rPr>
              <w:t>提供产品颗粒物、SO₂、NO₂、COD、氨氮和废水排放量证明(按照一年生产周期计 算平均值)；每半年第三方检测机构监测报告中所涉及的酸雾排放浓度</w:t>
            </w: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370" w:type="pct"/>
            <w:gridSpan w:val="2"/>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57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废酸再生</w:t>
            </w:r>
          </w:p>
        </w:tc>
        <w:tc>
          <w:tcPr>
            <w:tcW w:w="388" w:type="pct"/>
            <w:tcBorders>
              <w:top w:val="single" w:color="auto" w:sz="4" w:space="0"/>
              <w:left w:val="single" w:color="auto" w:sz="4" w:space="0"/>
              <w:bottom w:val="single" w:color="auto" w:sz="4" w:space="0"/>
              <w:right w:val="single" w:color="auto" w:sz="4" w:space="0"/>
            </w:tcBorders>
            <w:vAlign w:val="center"/>
          </w:tcPr>
          <w:p>
            <w:pPr>
              <w:rPr>
                <w:color w:val="auto"/>
                <w:kern w:val="0"/>
                <w:sz w:val="18"/>
                <w:szCs w:val="18"/>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sz w:val="18"/>
                <w:szCs w:val="18"/>
                <w:highlight w:val="none"/>
              </w:rPr>
              <w:t>≤</w:t>
            </w:r>
            <w:r>
              <w:rPr>
                <w:rFonts w:hint="eastAsia"/>
                <w:color w:val="auto"/>
                <w:kern w:val="0"/>
                <w:sz w:val="18"/>
                <w:szCs w:val="18"/>
                <w:highlight w:val="none"/>
              </w:rPr>
              <w:t>30</w:t>
            </w:r>
          </w:p>
        </w:tc>
        <w:tc>
          <w:tcPr>
            <w:tcW w:w="116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374" w:type="pct"/>
            <w:gridSpan w:val="3"/>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硝酸雾</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酸洗机组</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color w:val="auto"/>
                <w:sz w:val="18"/>
                <w:szCs w:val="18"/>
                <w:highlight w:val="none"/>
              </w:rPr>
              <w:t>≤</w:t>
            </w:r>
            <w:r>
              <w:rPr>
                <w:color w:val="auto"/>
                <w:kern w:val="0"/>
                <w:sz w:val="18"/>
                <w:szCs w:val="18"/>
                <w:highlight w:val="none"/>
              </w:rPr>
              <w:t>150</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374" w:type="pct"/>
            <w:gridSpan w:val="3"/>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废酸再生</w:t>
            </w:r>
          </w:p>
        </w:tc>
        <w:tc>
          <w:tcPr>
            <w:tcW w:w="388"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sz w:val="18"/>
                <w:szCs w:val="18"/>
                <w:highlight w:val="none"/>
              </w:rPr>
            </w:pPr>
            <w:r>
              <w:rPr>
                <w:color w:val="auto"/>
                <w:sz w:val="18"/>
                <w:szCs w:val="18"/>
                <w:highlight w:val="none"/>
              </w:rPr>
              <w:t>≤</w:t>
            </w:r>
            <w:r>
              <w:rPr>
                <w:color w:val="auto"/>
                <w:kern w:val="0"/>
                <w:sz w:val="18"/>
                <w:szCs w:val="18"/>
                <w:highlight w:val="none"/>
              </w:rPr>
              <w:t>240</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374" w:type="pct"/>
            <w:gridSpan w:val="3"/>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氟化物</w:t>
            </w:r>
          </w:p>
        </w:tc>
        <w:tc>
          <w:tcPr>
            <w:tcW w:w="5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酸洗机组</w:t>
            </w:r>
          </w:p>
        </w:tc>
        <w:tc>
          <w:tcPr>
            <w:tcW w:w="388"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6.0</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374" w:type="pct"/>
            <w:gridSpan w:val="3"/>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5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废酸再生</w:t>
            </w:r>
          </w:p>
        </w:tc>
        <w:tc>
          <w:tcPr>
            <w:tcW w:w="388"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9.0</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铬酸雾</w:t>
            </w:r>
          </w:p>
        </w:tc>
        <w:tc>
          <w:tcPr>
            <w:tcW w:w="388"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18"/>
                <w:szCs w:val="18"/>
                <w:highlight w:val="none"/>
              </w:rPr>
              <w:t>≤</w:t>
            </w:r>
            <w:r>
              <w:rPr>
                <w:color w:val="auto"/>
                <w:kern w:val="0"/>
                <w:sz w:val="18"/>
                <w:szCs w:val="18"/>
                <w:highlight w:val="none"/>
              </w:rPr>
              <w:t>0.07</w:t>
            </w:r>
          </w:p>
        </w:tc>
        <w:tc>
          <w:tcPr>
            <w:tcW w:w="1163" w:type="pct"/>
            <w:vMerge w:val="continue"/>
            <w:tcBorders>
              <w:left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31" w:type="pct"/>
            <w:vMerge w:val="continue"/>
            <w:tcBorders>
              <w:left w:val="single" w:color="auto" w:sz="4" w:space="0"/>
              <w:bottom w:val="single" w:color="auto" w:sz="4" w:space="0"/>
              <w:right w:val="single" w:color="auto" w:sz="4" w:space="0"/>
            </w:tcBorders>
            <w:vAlign w:val="center"/>
          </w:tcPr>
          <w:p>
            <w:pPr>
              <w:rPr>
                <w:color w:val="auto"/>
                <w:sz w:val="20"/>
                <w:szCs w:val="20"/>
                <w:highlight w:val="none"/>
              </w:rPr>
            </w:pPr>
          </w:p>
        </w:tc>
        <w:tc>
          <w:tcPr>
            <w:tcW w:w="582" w:type="pct"/>
            <w:vMerge w:val="continue"/>
            <w:tcBorders>
              <w:left w:val="single" w:color="auto" w:sz="4" w:space="0"/>
              <w:bottom w:val="single" w:color="auto" w:sz="4" w:space="0"/>
              <w:right w:val="single" w:color="auto" w:sz="4" w:space="0"/>
            </w:tcBorders>
            <w:vAlign w:val="center"/>
          </w:tcPr>
          <w:p>
            <w:pPr>
              <w:rPr>
                <w:color w:val="auto"/>
                <w:sz w:val="20"/>
                <w:szCs w:val="20"/>
                <w:highlight w:val="none"/>
              </w:rPr>
            </w:pPr>
          </w:p>
        </w:tc>
        <w:tc>
          <w:tcPr>
            <w:tcW w:w="353" w:type="pct"/>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p>
        </w:tc>
        <w:tc>
          <w:tcPr>
            <w:tcW w:w="949"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highlight w:val="none"/>
              </w:rPr>
            </w:pPr>
            <w:r>
              <w:rPr>
                <w:rFonts w:hint="eastAsia"/>
                <w:color w:val="auto"/>
                <w:kern w:val="0"/>
                <w:sz w:val="18"/>
                <w:szCs w:val="18"/>
                <w:highlight w:val="none"/>
              </w:rPr>
              <w:t>硫酸雾</w:t>
            </w:r>
          </w:p>
        </w:tc>
        <w:tc>
          <w:tcPr>
            <w:tcW w:w="388"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kern w:val="0"/>
                <w:sz w:val="18"/>
                <w:szCs w:val="18"/>
                <w:highlight w:val="none"/>
              </w:rPr>
              <w:t>mg/m</w:t>
            </w:r>
            <w:r>
              <w:rPr>
                <w:color w:val="auto"/>
                <w:kern w:val="0"/>
                <w:sz w:val="18"/>
                <w:szCs w:val="18"/>
                <w:highlight w:val="none"/>
                <w:vertAlign w:val="superscript"/>
              </w:rPr>
              <w:t>3</w:t>
            </w:r>
          </w:p>
        </w:tc>
        <w:tc>
          <w:tcPr>
            <w:tcW w:w="680"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18"/>
                <w:szCs w:val="18"/>
                <w:highlight w:val="none"/>
              </w:rPr>
              <w:t>≤</w:t>
            </w:r>
            <w:r>
              <w:rPr>
                <w:color w:val="auto"/>
                <w:kern w:val="0"/>
                <w:sz w:val="18"/>
                <w:szCs w:val="18"/>
                <w:highlight w:val="none"/>
              </w:rPr>
              <w:t>10</w:t>
            </w:r>
          </w:p>
        </w:tc>
        <w:tc>
          <w:tcPr>
            <w:tcW w:w="1163" w:type="pct"/>
            <w:vMerge w:val="continue"/>
            <w:tcBorders>
              <w:left w:val="single" w:color="auto" w:sz="4" w:space="0"/>
              <w:bottom w:val="single" w:color="auto" w:sz="4" w:space="0"/>
              <w:right w:val="single" w:color="auto" w:sz="4" w:space="0"/>
            </w:tcBorders>
            <w:vAlign w:val="center"/>
          </w:tcPr>
          <w:p>
            <w:pPr>
              <w:widowControl/>
              <w:snapToGrid w:val="0"/>
              <w:jc w:val="left"/>
              <w:rPr>
                <w:color w:val="auto"/>
                <w:sz w:val="18"/>
                <w:szCs w:val="18"/>
                <w:highlight w:val="none"/>
              </w:rPr>
            </w:pPr>
          </w:p>
        </w:tc>
        <w:tc>
          <w:tcPr>
            <w:tcW w:w="551" w:type="pct"/>
            <w:vMerge w:val="continue"/>
            <w:tcBorders>
              <w:left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331" w:type="pct"/>
            <w:vMerge w:val="restart"/>
            <w:tcBorders>
              <w:left w:val="single" w:color="auto" w:sz="4"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产品属性</w:t>
            </w:r>
          </w:p>
        </w:tc>
        <w:tc>
          <w:tcPr>
            <w:tcW w:w="1886" w:type="pct"/>
            <w:gridSpan w:val="6"/>
            <w:vMerge w:val="restart"/>
            <w:tcBorders>
              <w:top w:val="single" w:color="auto" w:sz="4" w:space="0"/>
              <w:left w:val="single" w:color="auto" w:sz="4" w:space="0"/>
              <w:right w:val="single" w:color="auto" w:sz="4" w:space="0"/>
            </w:tcBorders>
            <w:vAlign w:val="center"/>
          </w:tcPr>
          <w:p>
            <w:pPr>
              <w:snapToGrid w:val="0"/>
              <w:jc w:val="center"/>
              <w:rPr>
                <w:color w:val="auto"/>
                <w:sz w:val="18"/>
                <w:szCs w:val="18"/>
                <w:highlight w:val="none"/>
              </w:rPr>
            </w:pPr>
            <w:r>
              <w:rPr>
                <w:rFonts w:hint="eastAsia"/>
                <w:color w:val="auto"/>
                <w:kern w:val="0"/>
                <w:sz w:val="18"/>
                <w:szCs w:val="18"/>
                <w:highlight w:val="none"/>
              </w:rPr>
              <w:t>杂质元素</w:t>
            </w:r>
          </w:p>
        </w:tc>
        <w:tc>
          <w:tcPr>
            <w:tcW w:w="388" w:type="pct"/>
            <w:vMerge w:val="restart"/>
            <w:tcBorders>
              <w:left w:val="single" w:color="auto" w:sz="4" w:space="0"/>
              <w:right w:val="single" w:color="auto" w:sz="4" w:space="0"/>
            </w:tcBorders>
            <w:vAlign w:val="center"/>
          </w:tcPr>
          <w:p>
            <w:pPr>
              <w:snapToGrid w:val="0"/>
              <w:jc w:val="center"/>
              <w:rPr>
                <w:color w:val="auto"/>
                <w:sz w:val="18"/>
                <w:szCs w:val="18"/>
                <w:highlight w:val="none"/>
              </w:rPr>
            </w:pPr>
            <w:r>
              <w:rPr>
                <w:rFonts w:hint="eastAsia"/>
                <w:color w:val="auto"/>
                <w:kern w:val="0"/>
                <w:sz w:val="18"/>
                <w:szCs w:val="18"/>
                <w:highlight w:val="none"/>
              </w:rPr>
              <w:t>%</w:t>
            </w:r>
          </w:p>
        </w:tc>
        <w:tc>
          <w:tcPr>
            <w:tcW w:w="680" w:type="pct"/>
            <w:tcBorders>
              <w:left w:val="single" w:color="auto" w:sz="4" w:space="0"/>
              <w:bottom w:val="single" w:color="auto" w:sz="4" w:space="0"/>
              <w:right w:val="single" w:color="auto" w:sz="4" w:space="0"/>
            </w:tcBorders>
            <w:vAlign w:val="center"/>
          </w:tcPr>
          <w:p>
            <w:pPr>
              <w:snapToGrid w:val="0"/>
              <w:jc w:val="center"/>
              <w:rPr>
                <w:color w:val="auto"/>
                <w:kern w:val="0"/>
                <w:sz w:val="18"/>
                <w:szCs w:val="18"/>
                <w:highlight w:val="none"/>
              </w:rPr>
            </w:pPr>
            <w:r>
              <w:rPr>
                <w:rFonts w:hint="eastAsia"/>
                <w:color w:val="auto"/>
                <w:kern w:val="0"/>
                <w:sz w:val="18"/>
                <w:szCs w:val="18"/>
                <w:highlight w:val="none"/>
              </w:rPr>
              <w:t>S≤0.005</w:t>
            </w:r>
          </w:p>
        </w:tc>
        <w:tc>
          <w:tcPr>
            <w:tcW w:w="1163" w:type="pct"/>
            <w:vMerge w:val="restart"/>
            <w:tcBorders>
              <w:left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检测方法按照GB/T 223的规定，提供检测报告</w:t>
            </w:r>
          </w:p>
        </w:tc>
        <w:tc>
          <w:tcPr>
            <w:tcW w:w="551" w:type="pct"/>
            <w:vMerge w:val="restart"/>
            <w:tcBorders>
              <w:left w:val="single" w:color="auto" w:sz="4" w:space="0"/>
              <w:right w:val="single" w:color="auto" w:sz="4" w:space="0"/>
            </w:tcBorders>
            <w:vAlign w:val="center"/>
          </w:tcPr>
          <w:p>
            <w:pPr>
              <w:jc w:val="center"/>
              <w:rPr>
                <w:color w:val="auto"/>
                <w:sz w:val="18"/>
                <w:szCs w:val="18"/>
                <w:highlight w:val="none"/>
                <w:lang w:bidi="ar"/>
              </w:rPr>
            </w:pPr>
            <w:r>
              <w:rPr>
                <w:color w:val="auto"/>
                <w:sz w:val="18"/>
                <w:szCs w:val="18"/>
                <w:highlight w:val="none"/>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1886" w:type="pct"/>
            <w:gridSpan w:val="6"/>
            <w:vMerge w:val="continue"/>
            <w:tcBorders>
              <w:left w:val="single" w:color="auto" w:sz="4" w:space="0"/>
              <w:bottom w:val="single" w:color="auto" w:sz="4" w:space="0"/>
              <w:right w:val="single" w:color="auto" w:sz="4" w:space="0"/>
            </w:tcBorders>
            <w:vAlign w:val="center"/>
          </w:tcPr>
          <w:p>
            <w:pPr>
              <w:snapToGrid w:val="0"/>
              <w:jc w:val="center"/>
              <w:rPr>
                <w:color w:val="auto"/>
                <w:kern w:val="0"/>
                <w:sz w:val="18"/>
                <w:szCs w:val="18"/>
                <w:highlight w:val="none"/>
              </w:rPr>
            </w:pPr>
          </w:p>
        </w:tc>
        <w:tc>
          <w:tcPr>
            <w:tcW w:w="388" w:type="pct"/>
            <w:vMerge w:val="continue"/>
            <w:tcBorders>
              <w:left w:val="single" w:color="auto" w:sz="4" w:space="0"/>
              <w:bottom w:val="single" w:color="auto" w:sz="4" w:space="0"/>
              <w:right w:val="single" w:color="auto" w:sz="4" w:space="0"/>
            </w:tcBorders>
            <w:vAlign w:val="center"/>
          </w:tcPr>
          <w:p>
            <w:pPr>
              <w:snapToGrid w:val="0"/>
              <w:jc w:val="center"/>
              <w:rPr>
                <w:color w:val="auto"/>
                <w:kern w:val="0"/>
                <w:sz w:val="18"/>
                <w:szCs w:val="18"/>
                <w:highlight w:val="none"/>
              </w:rPr>
            </w:pPr>
          </w:p>
        </w:tc>
        <w:tc>
          <w:tcPr>
            <w:tcW w:w="680" w:type="pct"/>
            <w:tcBorders>
              <w:left w:val="single" w:color="auto" w:sz="4" w:space="0"/>
              <w:bottom w:val="single" w:color="auto" w:sz="4" w:space="0"/>
              <w:right w:val="single" w:color="auto" w:sz="4" w:space="0"/>
            </w:tcBorders>
            <w:vAlign w:val="center"/>
          </w:tcPr>
          <w:p>
            <w:pPr>
              <w:snapToGrid w:val="0"/>
              <w:jc w:val="center"/>
              <w:rPr>
                <w:color w:val="auto"/>
                <w:kern w:val="0"/>
                <w:sz w:val="18"/>
                <w:szCs w:val="18"/>
                <w:highlight w:val="none"/>
              </w:rPr>
            </w:pPr>
            <w:r>
              <w:rPr>
                <w:rFonts w:hint="eastAsia"/>
                <w:color w:val="auto"/>
                <w:kern w:val="0"/>
                <w:sz w:val="18"/>
                <w:szCs w:val="18"/>
                <w:highlight w:val="none"/>
              </w:rPr>
              <w:t>P≤0.045</w:t>
            </w:r>
          </w:p>
        </w:tc>
        <w:tc>
          <w:tcPr>
            <w:tcW w:w="1163" w:type="pct"/>
            <w:vMerge w:val="continue"/>
            <w:tcBorders>
              <w:left w:val="single" w:color="auto" w:sz="4" w:space="0"/>
              <w:bottom w:val="single" w:color="auto" w:sz="4" w:space="0"/>
              <w:right w:val="single" w:color="auto" w:sz="4" w:space="0"/>
            </w:tcBorders>
            <w:vAlign w:val="center"/>
          </w:tcPr>
          <w:p>
            <w:pPr>
              <w:jc w:val="center"/>
              <w:rPr>
                <w:color w:val="auto"/>
                <w:sz w:val="18"/>
                <w:szCs w:val="18"/>
                <w:highlight w:val="none"/>
              </w:rPr>
            </w:pPr>
          </w:p>
        </w:tc>
        <w:tc>
          <w:tcPr>
            <w:tcW w:w="55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1886" w:type="pct"/>
            <w:gridSpan w:val="6"/>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18"/>
                <w:szCs w:val="18"/>
                <w:highlight w:val="none"/>
              </w:rPr>
            </w:pPr>
            <w:r>
              <w:rPr>
                <w:rFonts w:hint="eastAsia"/>
                <w:color w:val="auto"/>
                <w:kern w:val="0"/>
                <w:sz w:val="18"/>
                <w:szCs w:val="18"/>
                <w:highlight w:val="none"/>
              </w:rPr>
              <w:t>五害元素（As、Sn、Sb、Pb、Bi）</w:t>
            </w:r>
          </w:p>
        </w:tc>
        <w:tc>
          <w:tcPr>
            <w:tcW w:w="388" w:type="pct"/>
            <w:tcBorders>
              <w:left w:val="single" w:color="auto" w:sz="4" w:space="0"/>
              <w:bottom w:val="single" w:color="auto" w:sz="4" w:space="0"/>
              <w:right w:val="single" w:color="auto" w:sz="4" w:space="0"/>
            </w:tcBorders>
            <w:vAlign w:val="center"/>
          </w:tcPr>
          <w:p>
            <w:pPr>
              <w:snapToGrid w:val="0"/>
              <w:jc w:val="center"/>
              <w:rPr>
                <w:color w:val="auto"/>
                <w:sz w:val="18"/>
                <w:szCs w:val="18"/>
                <w:highlight w:val="none"/>
              </w:rPr>
            </w:pPr>
            <w:r>
              <w:rPr>
                <w:rFonts w:hint="eastAsia"/>
                <w:color w:val="auto"/>
                <w:kern w:val="0"/>
                <w:sz w:val="18"/>
                <w:szCs w:val="18"/>
                <w:highlight w:val="none"/>
              </w:rPr>
              <w:t>ppm</w:t>
            </w:r>
          </w:p>
        </w:tc>
        <w:tc>
          <w:tcPr>
            <w:tcW w:w="680" w:type="pct"/>
            <w:tcBorders>
              <w:left w:val="single" w:color="auto" w:sz="4" w:space="0"/>
              <w:bottom w:val="single" w:color="auto" w:sz="4" w:space="0"/>
              <w:right w:val="single" w:color="auto" w:sz="4" w:space="0"/>
            </w:tcBorders>
            <w:vAlign w:val="center"/>
          </w:tcPr>
          <w:p>
            <w:pPr>
              <w:snapToGrid w:val="0"/>
              <w:jc w:val="center"/>
              <w:rPr>
                <w:color w:val="auto"/>
                <w:kern w:val="0"/>
                <w:sz w:val="18"/>
                <w:szCs w:val="18"/>
                <w:highlight w:val="none"/>
              </w:rPr>
            </w:pPr>
            <w:r>
              <w:rPr>
                <w:rFonts w:hint="eastAsia"/>
                <w:color w:val="auto"/>
                <w:kern w:val="0"/>
                <w:sz w:val="18"/>
                <w:szCs w:val="18"/>
                <w:highlight w:val="none"/>
              </w:rPr>
              <w:t>累计值≤200</w:t>
            </w:r>
          </w:p>
        </w:tc>
        <w:tc>
          <w:tcPr>
            <w:tcW w:w="1163" w:type="pct"/>
            <w:tcBorders>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检测方法按照GB/T 223的规定，提供检测报告</w:t>
            </w:r>
          </w:p>
        </w:tc>
        <w:tc>
          <w:tcPr>
            <w:tcW w:w="55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3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c>
          <w:tcPr>
            <w:tcW w:w="1886" w:type="pct"/>
            <w:gridSpan w:val="6"/>
            <w:tcBorders>
              <w:top w:val="single" w:color="auto" w:sz="4" w:space="0"/>
              <w:left w:val="single" w:color="auto" w:sz="4" w:space="0"/>
              <w:right w:val="single" w:color="auto" w:sz="4" w:space="0"/>
            </w:tcBorders>
            <w:vAlign w:val="center"/>
          </w:tcPr>
          <w:p>
            <w:pPr>
              <w:snapToGrid w:val="0"/>
              <w:jc w:val="center"/>
              <w:rPr>
                <w:color w:val="auto"/>
                <w:sz w:val="18"/>
                <w:szCs w:val="18"/>
                <w:highlight w:val="none"/>
              </w:rPr>
            </w:pPr>
            <w:r>
              <w:rPr>
                <w:rFonts w:hint="eastAsia"/>
                <w:color w:val="auto"/>
                <w:sz w:val="18"/>
                <w:szCs w:val="18"/>
                <w:highlight w:val="none"/>
              </w:rPr>
              <w:t>晶粒度</w:t>
            </w:r>
          </w:p>
        </w:tc>
        <w:tc>
          <w:tcPr>
            <w:tcW w:w="388" w:type="pct"/>
            <w:tcBorders>
              <w:left w:val="single" w:color="auto" w:sz="4" w:space="0"/>
              <w:right w:val="single" w:color="auto" w:sz="4" w:space="0"/>
            </w:tcBorders>
            <w:vAlign w:val="center"/>
          </w:tcPr>
          <w:p>
            <w:pPr>
              <w:snapToGrid w:val="0"/>
              <w:jc w:val="center"/>
              <w:rPr>
                <w:color w:val="auto"/>
                <w:sz w:val="18"/>
                <w:szCs w:val="18"/>
                <w:highlight w:val="none"/>
              </w:rPr>
            </w:pPr>
            <w:r>
              <w:rPr>
                <w:rFonts w:hint="eastAsia"/>
                <w:color w:val="auto"/>
                <w:sz w:val="18"/>
                <w:szCs w:val="18"/>
                <w:highlight w:val="none"/>
              </w:rPr>
              <w:t>级</w:t>
            </w:r>
          </w:p>
        </w:tc>
        <w:tc>
          <w:tcPr>
            <w:tcW w:w="680" w:type="pct"/>
            <w:tcBorders>
              <w:left w:val="single" w:color="auto" w:sz="4" w:space="0"/>
              <w:right w:val="single" w:color="auto" w:sz="4" w:space="0"/>
            </w:tcBorders>
            <w:vAlign w:val="center"/>
          </w:tcPr>
          <w:p>
            <w:pPr>
              <w:snapToGrid w:val="0"/>
              <w:jc w:val="center"/>
              <w:rPr>
                <w:color w:val="auto"/>
                <w:kern w:val="0"/>
                <w:sz w:val="18"/>
                <w:szCs w:val="18"/>
                <w:highlight w:val="none"/>
              </w:rPr>
            </w:pPr>
            <w:r>
              <w:rPr>
                <w:rFonts w:hint="eastAsia"/>
                <w:color w:val="auto"/>
                <w:kern w:val="0"/>
                <w:sz w:val="18"/>
                <w:szCs w:val="18"/>
                <w:highlight w:val="none"/>
              </w:rPr>
              <w:t>7级或更细</w:t>
            </w:r>
          </w:p>
        </w:tc>
        <w:tc>
          <w:tcPr>
            <w:tcW w:w="1163" w:type="pct"/>
            <w:tcBorders>
              <w:left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检测方法按照</w:t>
            </w:r>
            <w:r>
              <w:rPr>
                <w:rFonts w:hint="eastAsia" w:hAnsi="宋体"/>
                <w:bCs/>
                <w:color w:val="auto"/>
                <w:sz w:val="18"/>
                <w:szCs w:val="18"/>
                <w:highlight w:val="none"/>
              </w:rPr>
              <w:t>GB/T 6394</w:t>
            </w:r>
            <w:r>
              <w:rPr>
                <w:rFonts w:hint="eastAsia"/>
                <w:color w:val="auto"/>
                <w:sz w:val="18"/>
                <w:szCs w:val="18"/>
                <w:highlight w:val="none"/>
              </w:rPr>
              <w:t>的规定</w:t>
            </w:r>
            <w:r>
              <w:rPr>
                <w:color w:val="auto"/>
                <w:sz w:val="18"/>
                <w:szCs w:val="18"/>
                <w:highlight w:val="none"/>
              </w:rPr>
              <w:t>，</w:t>
            </w:r>
            <w:r>
              <w:rPr>
                <w:rFonts w:hint="eastAsia"/>
                <w:color w:val="auto"/>
                <w:sz w:val="18"/>
                <w:szCs w:val="18"/>
                <w:highlight w:val="none"/>
              </w:rPr>
              <w:t>提供检测报告</w:t>
            </w:r>
          </w:p>
        </w:tc>
        <w:tc>
          <w:tcPr>
            <w:tcW w:w="551" w:type="pct"/>
            <w:vMerge w:val="continue"/>
            <w:tcBorders>
              <w:left w:val="single" w:color="auto" w:sz="4" w:space="0"/>
              <w:right w:val="single" w:color="auto" w:sz="4" w:space="0"/>
            </w:tcBorders>
            <w:vAlign w:val="center"/>
          </w:tcPr>
          <w:p>
            <w:pPr>
              <w:jc w:val="center"/>
              <w:rPr>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5000" w:type="pct"/>
            <w:gridSpan w:val="11"/>
            <w:vAlign w:val="center"/>
          </w:tcPr>
          <w:p>
            <w:pPr>
              <w:widowControl/>
              <w:snapToGrid w:val="0"/>
              <w:spacing w:line="276" w:lineRule="auto"/>
              <w:jc w:val="left"/>
              <w:rPr>
                <w:color w:val="auto"/>
                <w:kern w:val="0"/>
                <w:sz w:val="18"/>
                <w:szCs w:val="18"/>
                <w:highlight w:val="none"/>
              </w:rPr>
            </w:pPr>
            <w:r>
              <w:rPr>
                <w:color w:val="auto"/>
                <w:sz w:val="18"/>
                <w:szCs w:val="18"/>
                <w:highlight w:val="none"/>
                <w:vertAlign w:val="superscript"/>
              </w:rPr>
              <w:t>a</w:t>
            </w:r>
            <w:r>
              <w:rPr>
                <w:rFonts w:hint="eastAsia"/>
                <w:color w:val="auto"/>
                <w:sz w:val="18"/>
                <w:szCs w:val="18"/>
                <w:highlight w:val="none"/>
              </w:rPr>
              <w:t>不包括Consteel</w:t>
            </w:r>
            <w:r>
              <w:rPr>
                <w:color w:val="auto"/>
                <w:sz w:val="18"/>
                <w:szCs w:val="18"/>
                <w:highlight w:val="none"/>
              </w:rPr>
              <w:t>炉，且指无</w:t>
            </w:r>
            <w:r>
              <w:rPr>
                <w:rFonts w:hint="eastAsia"/>
                <w:color w:val="auto"/>
                <w:sz w:val="18"/>
                <w:szCs w:val="18"/>
                <w:highlight w:val="none"/>
              </w:rPr>
              <w:t>预</w:t>
            </w:r>
            <w:r>
              <w:rPr>
                <w:color w:val="auto"/>
                <w:sz w:val="18"/>
                <w:szCs w:val="18"/>
                <w:highlight w:val="none"/>
              </w:rPr>
              <w:t>热电弧炉</w:t>
            </w:r>
            <w:r>
              <w:rPr>
                <w:rFonts w:hint="eastAsia"/>
                <w:color w:val="auto"/>
                <w:sz w:val="18"/>
                <w:szCs w:val="18"/>
                <w:highlight w:val="none"/>
              </w:rPr>
              <w:t>，</w:t>
            </w:r>
            <w:r>
              <w:rPr>
                <w:color w:val="auto"/>
                <w:sz w:val="18"/>
                <w:szCs w:val="18"/>
                <w:highlight w:val="none"/>
              </w:rPr>
              <w:t>全废钢法炉料组成应为</w:t>
            </w:r>
            <w:r>
              <w:rPr>
                <w:rFonts w:hint="eastAsia"/>
                <w:color w:val="auto"/>
                <w:sz w:val="18"/>
                <w:szCs w:val="18"/>
                <w:highlight w:val="none"/>
              </w:rPr>
              <w:t>85</w:t>
            </w:r>
            <w:r>
              <w:rPr>
                <w:color w:val="auto"/>
                <w:sz w:val="18"/>
                <w:szCs w:val="18"/>
                <w:highlight w:val="none"/>
              </w:rPr>
              <w:t>%废钢、15%生铁</w:t>
            </w:r>
            <w:r>
              <w:rPr>
                <w:rFonts w:hint="eastAsia"/>
                <w:color w:val="auto"/>
                <w:sz w:val="18"/>
                <w:szCs w:val="18"/>
                <w:highlight w:val="none"/>
              </w:rPr>
              <w:t>每减少</w:t>
            </w:r>
            <w:r>
              <w:rPr>
                <w:color w:val="auto"/>
                <w:sz w:val="18"/>
                <w:szCs w:val="18"/>
                <w:highlight w:val="none"/>
              </w:rPr>
              <w:t>或增加生铁</w:t>
            </w:r>
            <w:r>
              <w:rPr>
                <w:rFonts w:hint="eastAsia"/>
                <w:color w:val="auto"/>
                <w:sz w:val="18"/>
                <w:szCs w:val="18"/>
                <w:highlight w:val="none"/>
              </w:rPr>
              <w:t>1</w:t>
            </w:r>
            <w:r>
              <w:rPr>
                <w:color w:val="auto"/>
                <w:sz w:val="18"/>
                <w:szCs w:val="18"/>
                <w:highlight w:val="none"/>
              </w:rPr>
              <w:t>%</w:t>
            </w:r>
            <w:r>
              <w:rPr>
                <w:rFonts w:hint="eastAsia"/>
                <w:color w:val="auto"/>
                <w:sz w:val="18"/>
                <w:szCs w:val="18"/>
                <w:highlight w:val="none"/>
              </w:rPr>
              <w:t>，</w:t>
            </w:r>
            <w:r>
              <w:rPr>
                <w:color w:val="auto"/>
                <w:sz w:val="18"/>
                <w:szCs w:val="18"/>
                <w:highlight w:val="none"/>
              </w:rPr>
              <w:t>则</w:t>
            </w:r>
            <w:r>
              <w:rPr>
                <w:rFonts w:hint="eastAsia"/>
                <w:color w:val="auto"/>
                <w:sz w:val="18"/>
                <w:szCs w:val="18"/>
                <w:highlight w:val="none"/>
              </w:rPr>
              <w:t>能耗</w:t>
            </w:r>
            <w:r>
              <w:rPr>
                <w:color w:val="auto"/>
                <w:sz w:val="18"/>
                <w:szCs w:val="18"/>
                <w:highlight w:val="none"/>
              </w:rPr>
              <w:t>指标相应增加或减少0.1475 kgce/t。</w:t>
            </w:r>
            <w:r>
              <w:rPr>
                <w:rFonts w:hint="eastAsia"/>
                <w:color w:val="auto"/>
                <w:sz w:val="18"/>
                <w:szCs w:val="18"/>
                <w:highlight w:val="none"/>
              </w:rPr>
              <w:t>炉料</w:t>
            </w:r>
            <w:r>
              <w:rPr>
                <w:color w:val="auto"/>
                <w:sz w:val="18"/>
                <w:szCs w:val="18"/>
                <w:highlight w:val="none"/>
              </w:rPr>
              <w:t>中若</w:t>
            </w:r>
            <w:r>
              <w:rPr>
                <w:rFonts w:hint="eastAsia"/>
                <w:color w:val="auto"/>
                <w:sz w:val="18"/>
                <w:szCs w:val="18"/>
                <w:highlight w:val="none"/>
              </w:rPr>
              <w:t>配加直接还原铁</w:t>
            </w:r>
            <w:r>
              <w:rPr>
                <w:color w:val="auto"/>
                <w:sz w:val="18"/>
                <w:szCs w:val="18"/>
                <w:highlight w:val="none"/>
              </w:rPr>
              <w:t>（</w:t>
            </w:r>
            <w:r>
              <w:rPr>
                <w:rFonts w:hint="eastAsia"/>
                <w:color w:val="auto"/>
                <w:sz w:val="18"/>
                <w:szCs w:val="18"/>
                <w:highlight w:val="none"/>
              </w:rPr>
              <w:t>金属</w:t>
            </w:r>
            <w:r>
              <w:rPr>
                <w:color w:val="auto"/>
                <w:sz w:val="18"/>
                <w:szCs w:val="18"/>
                <w:highlight w:val="none"/>
              </w:rPr>
              <w:t>化率</w:t>
            </w:r>
            <w:r>
              <w:rPr>
                <w:rFonts w:hint="eastAsia"/>
                <w:color w:val="auto"/>
                <w:sz w:val="18"/>
                <w:szCs w:val="18"/>
                <w:highlight w:val="none"/>
              </w:rPr>
              <w:t>93.1</w:t>
            </w:r>
            <w:r>
              <w:rPr>
                <w:color w:val="auto"/>
                <w:sz w:val="18"/>
                <w:szCs w:val="18"/>
                <w:highlight w:val="none"/>
              </w:rPr>
              <w:t>%</w:t>
            </w:r>
            <w:r>
              <w:rPr>
                <w:rFonts w:hint="eastAsia"/>
                <w:color w:val="auto"/>
                <w:sz w:val="18"/>
                <w:szCs w:val="18"/>
                <w:highlight w:val="none"/>
              </w:rPr>
              <w:t>~</w:t>
            </w:r>
            <w:r>
              <w:rPr>
                <w:color w:val="auto"/>
                <w:sz w:val="18"/>
                <w:szCs w:val="18"/>
                <w:highlight w:val="none"/>
              </w:rPr>
              <w:t>96.3%）</w:t>
            </w:r>
            <w:r>
              <w:rPr>
                <w:rFonts w:hint="eastAsia"/>
                <w:color w:val="auto"/>
                <w:sz w:val="18"/>
                <w:szCs w:val="18"/>
                <w:highlight w:val="none"/>
              </w:rPr>
              <w:t>，</w:t>
            </w:r>
            <w:r>
              <w:rPr>
                <w:color w:val="auto"/>
                <w:sz w:val="18"/>
                <w:szCs w:val="18"/>
                <w:highlight w:val="none"/>
              </w:rPr>
              <w:t>每增加</w:t>
            </w:r>
            <w:r>
              <w:rPr>
                <w:rFonts w:hint="eastAsia"/>
                <w:color w:val="auto"/>
                <w:sz w:val="18"/>
                <w:szCs w:val="18"/>
                <w:highlight w:val="none"/>
              </w:rPr>
              <w:t>10</w:t>
            </w:r>
            <w:r>
              <w:rPr>
                <w:color w:val="auto"/>
                <w:sz w:val="18"/>
                <w:szCs w:val="18"/>
                <w:highlight w:val="none"/>
              </w:rPr>
              <w:t>%直接还原铁，能耗指标相应增加</w:t>
            </w:r>
            <w:r>
              <w:rPr>
                <w:rFonts w:hint="eastAsia"/>
                <w:color w:val="auto"/>
                <w:sz w:val="18"/>
                <w:szCs w:val="18"/>
                <w:highlight w:val="none"/>
              </w:rPr>
              <w:t>0.7620</w:t>
            </w:r>
            <w:r>
              <w:rPr>
                <w:color w:val="auto"/>
                <w:sz w:val="18"/>
                <w:szCs w:val="18"/>
                <w:highlight w:val="none"/>
              </w:rPr>
              <w:t xml:space="preserve"> kgce/t。</w:t>
            </w:r>
          </w:p>
          <w:p>
            <w:pPr>
              <w:widowControl/>
              <w:snapToGrid w:val="0"/>
              <w:spacing w:line="276" w:lineRule="auto"/>
              <w:jc w:val="left"/>
              <w:rPr>
                <w:color w:val="auto"/>
                <w:sz w:val="18"/>
                <w:szCs w:val="18"/>
                <w:highlight w:val="none"/>
              </w:rPr>
            </w:pPr>
            <w:r>
              <w:rPr>
                <w:color w:val="auto"/>
                <w:sz w:val="18"/>
                <w:szCs w:val="18"/>
                <w:highlight w:val="none"/>
                <w:vertAlign w:val="superscript"/>
              </w:rPr>
              <w:t>b</w:t>
            </w:r>
            <w:r>
              <w:rPr>
                <w:rFonts w:hint="eastAsia"/>
                <w:color w:val="auto"/>
                <w:sz w:val="18"/>
                <w:szCs w:val="18"/>
                <w:highlight w:val="none"/>
              </w:rPr>
              <w:t>不包括Consteel</w:t>
            </w:r>
            <w:r>
              <w:rPr>
                <w:color w:val="auto"/>
                <w:sz w:val="18"/>
                <w:szCs w:val="18"/>
                <w:highlight w:val="none"/>
              </w:rPr>
              <w:t>炉，且指无</w:t>
            </w:r>
            <w:r>
              <w:rPr>
                <w:rFonts w:hint="eastAsia"/>
                <w:color w:val="auto"/>
                <w:sz w:val="18"/>
                <w:szCs w:val="18"/>
                <w:highlight w:val="none"/>
              </w:rPr>
              <w:t>预</w:t>
            </w:r>
            <w:r>
              <w:rPr>
                <w:color w:val="auto"/>
                <w:sz w:val="18"/>
                <w:szCs w:val="18"/>
                <w:highlight w:val="none"/>
              </w:rPr>
              <w:t>热电弧炉</w:t>
            </w:r>
            <w:r>
              <w:rPr>
                <w:rFonts w:hint="eastAsia"/>
                <w:color w:val="auto"/>
                <w:sz w:val="18"/>
                <w:szCs w:val="18"/>
                <w:highlight w:val="none"/>
              </w:rPr>
              <w:t>，铁水比不大于50</w:t>
            </w:r>
            <w:r>
              <w:rPr>
                <w:color w:val="auto"/>
                <w:sz w:val="18"/>
                <w:szCs w:val="18"/>
                <w:highlight w:val="none"/>
              </w:rPr>
              <w:t>%时，</w:t>
            </w:r>
            <w:r>
              <w:rPr>
                <w:rFonts w:hint="eastAsia"/>
                <w:color w:val="auto"/>
                <w:sz w:val="18"/>
                <w:szCs w:val="18"/>
                <w:highlight w:val="none"/>
              </w:rPr>
              <w:t>配加</w:t>
            </w:r>
            <w:r>
              <w:rPr>
                <w:color w:val="auto"/>
                <w:sz w:val="18"/>
                <w:szCs w:val="18"/>
                <w:highlight w:val="none"/>
              </w:rPr>
              <w:t>铁水量</w:t>
            </w:r>
            <w:r>
              <w:rPr>
                <w:rFonts w:hint="eastAsia"/>
                <w:color w:val="auto"/>
                <w:sz w:val="18"/>
                <w:szCs w:val="18"/>
                <w:highlight w:val="none"/>
              </w:rPr>
              <w:t>每</w:t>
            </w:r>
            <w:r>
              <w:rPr>
                <w:color w:val="auto"/>
                <w:sz w:val="18"/>
                <w:szCs w:val="18"/>
                <w:highlight w:val="none"/>
              </w:rPr>
              <w:t>增加或</w:t>
            </w:r>
            <w:r>
              <w:rPr>
                <w:rFonts w:hint="eastAsia"/>
                <w:color w:val="auto"/>
                <w:sz w:val="18"/>
                <w:szCs w:val="18"/>
                <w:highlight w:val="none"/>
              </w:rPr>
              <w:t>减少1</w:t>
            </w:r>
            <w:r>
              <w:rPr>
                <w:color w:val="auto"/>
                <w:sz w:val="18"/>
                <w:szCs w:val="18"/>
                <w:highlight w:val="none"/>
              </w:rPr>
              <w:t>%</w:t>
            </w:r>
            <w:r>
              <w:rPr>
                <w:rFonts w:hint="eastAsia"/>
                <w:color w:val="auto"/>
                <w:sz w:val="18"/>
                <w:szCs w:val="18"/>
                <w:highlight w:val="none"/>
              </w:rPr>
              <w:t>，相应能耗</w:t>
            </w:r>
            <w:r>
              <w:rPr>
                <w:color w:val="auto"/>
                <w:sz w:val="18"/>
                <w:szCs w:val="18"/>
                <w:highlight w:val="none"/>
              </w:rPr>
              <w:t>减少或增加0.5727 kgce/t。</w:t>
            </w:r>
            <w:r>
              <w:rPr>
                <w:rFonts w:hint="eastAsia"/>
                <w:color w:val="auto"/>
                <w:sz w:val="18"/>
                <w:szCs w:val="18"/>
                <w:highlight w:val="none"/>
              </w:rPr>
              <w:t>炉料</w:t>
            </w:r>
            <w:r>
              <w:rPr>
                <w:color w:val="auto"/>
                <w:sz w:val="18"/>
                <w:szCs w:val="18"/>
                <w:highlight w:val="none"/>
              </w:rPr>
              <w:t>中若</w:t>
            </w:r>
            <w:r>
              <w:rPr>
                <w:rFonts w:hint="eastAsia"/>
                <w:color w:val="auto"/>
                <w:sz w:val="18"/>
                <w:szCs w:val="18"/>
                <w:highlight w:val="none"/>
              </w:rPr>
              <w:t>配加直接还原铁</w:t>
            </w:r>
            <w:r>
              <w:rPr>
                <w:color w:val="auto"/>
                <w:sz w:val="18"/>
                <w:szCs w:val="18"/>
                <w:highlight w:val="none"/>
              </w:rPr>
              <w:t>（</w:t>
            </w:r>
            <w:r>
              <w:rPr>
                <w:rFonts w:hint="eastAsia"/>
                <w:color w:val="auto"/>
                <w:sz w:val="18"/>
                <w:szCs w:val="18"/>
                <w:highlight w:val="none"/>
              </w:rPr>
              <w:t>金属</w:t>
            </w:r>
            <w:r>
              <w:rPr>
                <w:color w:val="auto"/>
                <w:sz w:val="18"/>
                <w:szCs w:val="18"/>
                <w:highlight w:val="none"/>
              </w:rPr>
              <w:t>化率</w:t>
            </w:r>
            <w:r>
              <w:rPr>
                <w:rFonts w:hint="eastAsia"/>
                <w:color w:val="auto"/>
                <w:sz w:val="18"/>
                <w:szCs w:val="18"/>
                <w:highlight w:val="none"/>
              </w:rPr>
              <w:t>93.1</w:t>
            </w:r>
            <w:r>
              <w:rPr>
                <w:color w:val="auto"/>
                <w:sz w:val="18"/>
                <w:szCs w:val="18"/>
                <w:highlight w:val="none"/>
              </w:rPr>
              <w:t>%</w:t>
            </w:r>
            <w:r>
              <w:rPr>
                <w:rFonts w:hint="eastAsia"/>
                <w:color w:val="auto"/>
                <w:sz w:val="18"/>
                <w:szCs w:val="18"/>
                <w:highlight w:val="none"/>
              </w:rPr>
              <w:t>~</w:t>
            </w:r>
            <w:r>
              <w:rPr>
                <w:color w:val="auto"/>
                <w:sz w:val="18"/>
                <w:szCs w:val="18"/>
                <w:highlight w:val="none"/>
              </w:rPr>
              <w:t>96.3%）</w:t>
            </w:r>
            <w:r>
              <w:rPr>
                <w:rFonts w:hint="eastAsia"/>
                <w:color w:val="auto"/>
                <w:sz w:val="18"/>
                <w:szCs w:val="18"/>
                <w:highlight w:val="none"/>
              </w:rPr>
              <w:t>，</w:t>
            </w:r>
            <w:r>
              <w:rPr>
                <w:color w:val="auto"/>
                <w:sz w:val="18"/>
                <w:szCs w:val="18"/>
                <w:highlight w:val="none"/>
              </w:rPr>
              <w:t>每增加</w:t>
            </w:r>
            <w:r>
              <w:rPr>
                <w:rFonts w:hint="eastAsia"/>
                <w:color w:val="auto"/>
                <w:sz w:val="18"/>
                <w:szCs w:val="18"/>
                <w:highlight w:val="none"/>
              </w:rPr>
              <w:t>10</w:t>
            </w:r>
            <w:r>
              <w:rPr>
                <w:color w:val="auto"/>
                <w:sz w:val="18"/>
                <w:szCs w:val="18"/>
                <w:highlight w:val="none"/>
              </w:rPr>
              <w:t>%直接还原铁，能耗指标相应增加</w:t>
            </w:r>
            <w:r>
              <w:rPr>
                <w:rFonts w:hint="eastAsia"/>
                <w:color w:val="auto"/>
                <w:sz w:val="18"/>
                <w:szCs w:val="18"/>
                <w:highlight w:val="none"/>
              </w:rPr>
              <w:t>0.7620</w:t>
            </w:r>
            <w:r>
              <w:rPr>
                <w:color w:val="auto"/>
                <w:sz w:val="18"/>
                <w:szCs w:val="18"/>
                <w:highlight w:val="none"/>
              </w:rPr>
              <w:t xml:space="preserve"> kgce/t。</w:t>
            </w:r>
          </w:p>
          <w:p>
            <w:pPr>
              <w:widowControl/>
              <w:snapToGrid w:val="0"/>
              <w:spacing w:line="276" w:lineRule="auto"/>
              <w:jc w:val="left"/>
              <w:rPr>
                <w:color w:val="auto"/>
                <w:sz w:val="18"/>
                <w:szCs w:val="18"/>
                <w:highlight w:val="none"/>
              </w:rPr>
            </w:pPr>
            <w:r>
              <w:rPr>
                <w:rFonts w:hint="eastAsia"/>
                <w:color w:val="auto"/>
                <w:sz w:val="18"/>
                <w:szCs w:val="18"/>
                <w:highlight w:val="none"/>
                <w:vertAlign w:val="superscript"/>
              </w:rPr>
              <w:t>c</w:t>
            </w:r>
            <w:r>
              <w:rPr>
                <w:rFonts w:ascii="宋体" w:hAnsi="宋体" w:cs="宋体"/>
                <w:color w:val="auto"/>
                <w:spacing w:val="-4"/>
                <w:sz w:val="18"/>
                <w:szCs w:val="18"/>
                <w:highlight w:val="none"/>
              </w:rPr>
              <w:t>采用双预热蓄热燃烧技术不包括纯燃焦炉煤气的加热炉。</w:t>
            </w:r>
          </w:p>
        </w:tc>
      </w:tr>
    </w:tbl>
    <w:p>
      <w:pPr>
        <w:pStyle w:val="54"/>
        <w:ind w:left="0"/>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ind w:left="0"/>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装饰用不锈钢冷轧钢板和钢带</w:t>
      </w:r>
      <w:r>
        <w:rPr>
          <w:sz w:val="21"/>
        </w:rPr>
        <w:t>产品生命周期评价方法框架建立生命周期评价方法学，并依据此方法学编制生命周期评价报告。</w:t>
      </w:r>
    </w:p>
    <w:p>
      <w:pPr>
        <w:pStyle w:val="54"/>
        <w:ind w:left="0"/>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装饰用不锈钢冷轧钢板和钢带</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装饰用不锈钢冷轧钢板和钢带</w:t>
      </w:r>
      <w:r>
        <w:rPr>
          <w:sz w:val="21"/>
        </w:rPr>
        <w:t>的原材料构成及主要技术参数表，绘制并说明</w:t>
      </w:r>
      <w:r>
        <w:rPr>
          <w:rFonts w:hint="eastAsia"/>
          <w:sz w:val="21"/>
        </w:rPr>
        <w:t>装饰用不锈钢冷轧钢板和钢带</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rPr>
        <w:t>装饰用不锈钢冷轧钢板和钢带</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装饰用不锈钢冷轧钢板和钢带</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装饰用不锈钢冷轧钢板和钢带</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rPr>
        <w:t>装饰用不锈钢冷轧钢板和钢带</w:t>
      </w:r>
      <w:r>
        <w:rPr>
          <w:sz w:val="21"/>
        </w:rPr>
        <w:t>对评价指标的符合性结论、生命周期评价结果、提出的改进方案，并根据评价结论初步判断</w:t>
      </w:r>
      <w:r>
        <w:rPr>
          <w:rFonts w:hint="eastAsia"/>
          <w:sz w:val="21"/>
        </w:rPr>
        <w:t>装饰用不锈钢冷轧钢板和钢带</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w:t>
      </w:r>
      <w:r>
        <w:rPr>
          <w:rFonts w:hint="eastAsia"/>
          <w:sz w:val="21"/>
        </w:rPr>
        <w:t>原、辅料清单</w:t>
      </w:r>
      <w:r>
        <w:rPr>
          <w:sz w:val="21"/>
        </w:rPr>
        <w:t>；</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生产过程中的用水量，计算时按照1年生产为周期计算平均值。每生产1吨装饰用不锈钢冷轧钢板和钢带所消耗的新水量，按照公式（A.1）计算：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装饰用不锈钢冷轧钢板和钢带取新水量，</w:t>
      </w:r>
      <w:r>
        <w:t>单位为</w:t>
      </w:r>
      <w:r>
        <w:rPr>
          <w:rFonts w:hint="eastAsia"/>
        </w:rPr>
        <w:t>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装饰用不锈钢冷轧钢板和钢带生产取新水量，单位为立方米（m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rPr>
        <w:t>装饰用不锈钢冷轧钢板和钢带生产总量，单位为吨（t）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、NOx等主要污染物排放量，计算时按照1年生产周期计算平均值。各工序每生产1吨产品所排放的主要污染物量，按照公式（A.3）计算：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bookmarkStart w:id="16" w:name="OLE_LINK1"/>
      <w:r>
        <w:rPr>
          <w:rFonts w:hint="eastAsia" w:eastAsia="黑体"/>
          <w:sz w:val="21"/>
          <w:szCs w:val="21"/>
        </w:rPr>
        <w:t>单位产品能源消耗</w:t>
      </w:r>
    </w:p>
    <w:bookmarkEnd w:id="16"/>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装饰用不锈钢冷轧钢板和钢带</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装饰用不锈钢冷轧钢板和钢带</w:t>
      </w:r>
      <w:r>
        <w:rPr>
          <w:sz w:val="21"/>
        </w:rPr>
        <w:t>原料的获取、生产、运输、销售、使用的过程中对环境造成的影响，通过评价</w:t>
      </w:r>
      <w:r>
        <w:rPr>
          <w:rFonts w:hint="eastAsia"/>
          <w:sz w:val="21"/>
        </w:rPr>
        <w:t>装饰用不锈钢冷轧钢板和钢带</w:t>
      </w:r>
      <w:r>
        <w:rPr>
          <w:sz w:val="21"/>
        </w:rPr>
        <w:t>全生命周期的环境影响大小，提出</w:t>
      </w:r>
      <w:r>
        <w:rPr>
          <w:rFonts w:hint="eastAsia"/>
          <w:sz w:val="21"/>
        </w:rPr>
        <w:t>装饰用不锈钢冷轧钢板和钢带产品</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本文件界定的装饰用不锈钢冷轧钢板和钢带生命周期系统边界，包括三个阶段：原材料获取阶段、生产阶段及使用阶段，如图B.1、图B.2、图B.</w:t>
      </w:r>
      <w:r>
        <w:rPr>
          <w:sz w:val="21"/>
          <w:lang w:bidi="ar"/>
        </w:rPr>
        <w:t>3</w:t>
      </w:r>
      <w:r>
        <w:rPr>
          <w:rFonts w:hint="eastAsia"/>
          <w:sz w:val="21"/>
          <w:lang w:bidi="ar"/>
        </w:rPr>
        <w:t>所示。</w:t>
      </w:r>
    </w:p>
    <w:p>
      <w:pPr>
        <w:jc w:val="center"/>
        <w:rPr>
          <w:sz w:val="18"/>
          <w:szCs w:val="18"/>
        </w:rPr>
      </w:pPr>
      <w:r>
        <w:drawing>
          <wp:inline distT="0" distB="0" distL="114300" distR="114300">
            <wp:extent cx="5934075" cy="2334895"/>
            <wp:effectExtent l="0" t="0" r="9525" b="1206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5934075" cy="2334895"/>
                    </a:xfrm>
                    <a:prstGeom prst="rect">
                      <a:avLst/>
                    </a:prstGeom>
                    <a:noFill/>
                    <a:ln>
                      <a:noFill/>
                    </a:ln>
                  </pic:spPr>
                </pic:pic>
              </a:graphicData>
            </a:graphic>
          </wp:inline>
        </w:drawing>
      </w:r>
    </w:p>
    <w:p>
      <w:pPr>
        <w:spacing w:before="156" w:beforeLines="50" w:after="156" w:afterLines="50"/>
        <w:jc w:val="center"/>
        <w:rPr>
          <w:sz w:val="18"/>
          <w:szCs w:val="18"/>
          <w:lang w:bidi="ar"/>
        </w:rPr>
      </w:pPr>
      <w:r>
        <w:rPr>
          <w:sz w:val="18"/>
          <w:szCs w:val="18"/>
          <w:lang w:bidi="ar"/>
        </w:rPr>
        <w:t xml:space="preserve">图B.1  </w:t>
      </w:r>
      <w:r>
        <w:rPr>
          <w:rFonts w:hint="eastAsia"/>
          <w:sz w:val="18"/>
          <w:szCs w:val="18"/>
          <w:lang w:bidi="ar"/>
        </w:rPr>
        <w:t>长流程生产工艺</w:t>
      </w:r>
    </w:p>
    <w:p>
      <w:pPr>
        <w:jc w:val="center"/>
        <w:rPr>
          <w:sz w:val="18"/>
          <w:szCs w:val="18"/>
        </w:rPr>
      </w:pPr>
      <w:r>
        <w:drawing>
          <wp:inline distT="0" distB="0" distL="114300" distR="114300">
            <wp:extent cx="5933440" cy="2701290"/>
            <wp:effectExtent l="0" t="0" r="10160"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933440" cy="2701290"/>
                    </a:xfrm>
                    <a:prstGeom prst="rect">
                      <a:avLst/>
                    </a:prstGeom>
                    <a:noFill/>
                    <a:ln>
                      <a:noFill/>
                    </a:ln>
                  </pic:spPr>
                </pic:pic>
              </a:graphicData>
            </a:graphic>
          </wp:inline>
        </w:drawing>
      </w:r>
    </w:p>
    <w:p>
      <w:pPr>
        <w:spacing w:before="156" w:beforeLines="50" w:after="156" w:afterLines="50"/>
        <w:jc w:val="center"/>
        <w:rPr>
          <w:sz w:val="18"/>
          <w:szCs w:val="18"/>
          <w:lang w:bidi="ar"/>
        </w:rPr>
      </w:pPr>
      <w:r>
        <w:rPr>
          <w:rFonts w:hint="eastAsia"/>
          <w:sz w:val="18"/>
          <w:szCs w:val="18"/>
          <w:lang w:bidi="ar"/>
        </w:rPr>
        <w:t>图B.2  RKEF生产工艺</w:t>
      </w:r>
    </w:p>
    <w:p>
      <w:pPr>
        <w:jc w:val="center"/>
        <w:rPr>
          <w:sz w:val="18"/>
          <w:szCs w:val="18"/>
        </w:rPr>
      </w:pPr>
      <w:r>
        <w:drawing>
          <wp:inline distT="0" distB="0" distL="114300" distR="114300">
            <wp:extent cx="5937885" cy="3122930"/>
            <wp:effectExtent l="0" t="0" r="571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937885" cy="3122930"/>
                    </a:xfrm>
                    <a:prstGeom prst="rect">
                      <a:avLst/>
                    </a:prstGeom>
                    <a:noFill/>
                    <a:ln>
                      <a:noFill/>
                    </a:ln>
                  </pic:spPr>
                </pic:pic>
              </a:graphicData>
            </a:graphic>
          </wp:inline>
        </w:drawing>
      </w:r>
    </w:p>
    <w:p>
      <w:pPr>
        <w:spacing w:before="156" w:beforeLines="50" w:after="156" w:afterLines="50"/>
        <w:jc w:val="center"/>
        <w:rPr>
          <w:sz w:val="18"/>
          <w:szCs w:val="18"/>
          <w:lang w:bidi="ar"/>
        </w:rPr>
      </w:pPr>
      <w:r>
        <w:rPr>
          <w:rFonts w:hint="eastAsia"/>
          <w:sz w:val="18"/>
          <w:szCs w:val="18"/>
          <w:lang w:bidi="ar"/>
        </w:rPr>
        <w:t>图B.</w:t>
      </w:r>
      <w:r>
        <w:rPr>
          <w:sz w:val="18"/>
          <w:szCs w:val="18"/>
          <w:lang w:bidi="ar"/>
        </w:rPr>
        <w:t>3</w:t>
      </w:r>
      <w:r>
        <w:rPr>
          <w:rFonts w:hint="eastAsia"/>
          <w:sz w:val="18"/>
          <w:szCs w:val="18"/>
          <w:lang w:bidi="ar"/>
        </w:rPr>
        <w:t xml:space="preserve">  短流程生产工艺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装饰用不锈钢冷轧钢板和钢带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w:t>
      </w:r>
      <w:r>
        <w:rPr>
          <w:rFonts w:hint="eastAsia"/>
          <w:lang w:bidi="ar"/>
        </w:rPr>
        <w:t>基准</w:t>
      </w:r>
      <w:r>
        <w:rPr>
          <w:lang w:bidi="ar"/>
        </w:rPr>
        <w:t>吨</w:t>
      </w:r>
      <w:r>
        <w:rPr>
          <w:rFonts w:hint="eastAsia"/>
        </w:rPr>
        <w:t>装饰用不锈钢冷轧钢板和钢带</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装饰用不锈钢冷轧钢板和钢带</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装饰用不锈钢冷轧钢板和钢带</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装饰用不锈钢冷轧钢板和钢带</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装饰用不锈钢冷轧钢板和钢带</w:t>
      </w:r>
      <w:r>
        <w:rPr>
          <w:lang w:bidi="ar"/>
        </w:rPr>
        <w:t>产品原料进入生产设施，结束于产品离开生产设施。生产活动包括化学处理、制造、制造过程中半成品的运输、产品包装等。此过程涵盖高炉</w:t>
      </w:r>
      <w:r>
        <w:rPr>
          <w:rFonts w:hint="eastAsia"/>
          <w:lang w:bidi="ar"/>
        </w:rPr>
        <w:t>/</w:t>
      </w:r>
      <w:r>
        <w:rPr>
          <w:lang w:bidi="ar"/>
        </w:rPr>
        <w:t>RKEF、转炉</w:t>
      </w:r>
      <w:r>
        <w:rPr>
          <w:rFonts w:hint="eastAsia"/>
          <w:lang w:bidi="ar"/>
        </w:rPr>
        <w:t>/</w:t>
      </w:r>
      <w:r>
        <w:rPr>
          <w:lang w:bidi="ar"/>
        </w:rPr>
        <w:t>AOD</w:t>
      </w:r>
      <w:r>
        <w:rPr>
          <w:rFonts w:hint="eastAsia"/>
          <w:lang w:bidi="ar"/>
        </w:rPr>
        <w:t>组合</w:t>
      </w:r>
      <w:r>
        <w:rPr>
          <w:lang w:bidi="ar"/>
        </w:rPr>
        <w:t>的生产工艺和电炉</w:t>
      </w:r>
      <w:r>
        <w:rPr>
          <w:rFonts w:hint="eastAsia"/>
          <w:lang w:bidi="ar"/>
        </w:rPr>
        <w:t>、转炉</w:t>
      </w:r>
      <w:r>
        <w:rPr>
          <w:lang w:bidi="ar"/>
        </w:rPr>
        <w:t>、AOD或其</w:t>
      </w:r>
      <w:r>
        <w:rPr>
          <w:rFonts w:hint="eastAsia"/>
          <w:lang w:bidi="ar"/>
        </w:rPr>
        <w:t>组合</w:t>
      </w:r>
      <w:r>
        <w:rPr>
          <w:lang w:bidi="ar"/>
        </w:rPr>
        <w:t>的生产工艺中的情形。</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w:t>
      </w:r>
      <w:r>
        <w:rPr>
          <w:rFonts w:hint="eastAsia"/>
          <w:lang w:bidi="ar"/>
        </w:rPr>
        <w:t>大气</w:t>
      </w:r>
      <w:r>
        <w:rPr>
          <w:lang w:bidi="ar"/>
        </w:rPr>
        <w:t>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装饰用不锈钢冷轧钢板和钢带</w:t>
      </w:r>
      <w:r>
        <w:rPr>
          <w:lang w:bidi="ar"/>
        </w:rPr>
        <w:t>生命周期评价的过程中涉及到数据分配问题，特别是</w:t>
      </w:r>
      <w:r>
        <w:rPr>
          <w:rFonts w:hint="eastAsia"/>
        </w:rPr>
        <w:t>装饰用不锈钢冷轧钢板和钢带</w:t>
      </w:r>
      <w:r>
        <w:rPr>
          <w:lang w:bidi="ar"/>
        </w:rPr>
        <w:t>的生产环节。对于</w:t>
      </w:r>
      <w:r>
        <w:rPr>
          <w:rFonts w:hint="eastAsia"/>
        </w:rPr>
        <w:t>装饰用不锈钢冷轧钢板和钢带</w:t>
      </w:r>
      <w:r>
        <w:rPr>
          <w:lang w:bidi="ar"/>
        </w:rPr>
        <w:t>生产而言，由于厂家往往同时生产多种类型的产品，一条工艺线上或一个车间里可能会同时生产多种</w:t>
      </w:r>
      <w:r>
        <w:rPr>
          <w:rFonts w:hint="eastAsia"/>
          <w:lang w:bidi="ar"/>
        </w:rPr>
        <w:t>牌</w:t>
      </w:r>
      <w:r>
        <w:rPr>
          <w:lang w:bidi="ar"/>
        </w:rPr>
        <w:t>号</w:t>
      </w:r>
      <w:r>
        <w:rPr>
          <w:rFonts w:hint="eastAsia"/>
        </w:rPr>
        <w:t>装饰用不锈钢冷轧钢板和钢带</w:t>
      </w:r>
      <w:r>
        <w:rPr>
          <w:lang w:bidi="ar"/>
        </w:rPr>
        <w:t>。很难就某单个型号的产品生产来收集清单数据，往往会就某个车间、某条流水线或某个工艺来收集数据，然后再分配到具体的产品上。针对</w:t>
      </w:r>
      <w:r>
        <w:rPr>
          <w:rFonts w:hint="eastAsia"/>
        </w:rPr>
        <w:t>装饰用不锈钢冷轧钢板和钢带</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.8</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装饰用不锈钢冷轧钢板和钢带</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装饰用不锈钢冷轧钢板和钢带</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装饰用不锈钢冷轧钢板和钢带</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装饰用不锈钢冷轧钢板和钢带</w:t>
      </w:r>
      <w:r>
        <w:rPr>
          <w:rFonts w:eastAsia="黑体"/>
          <w:color w:val="000000"/>
          <w:kern w:val="0"/>
          <w:szCs w:val="21"/>
          <w:lang w:bidi="ar"/>
        </w:rPr>
        <w:t>产品生命周期影响评价</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2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9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83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autoSpaceDE w:val="0"/>
        <w:autoSpaceDN w:val="0"/>
        <w:adjustRightInd w:val="0"/>
        <w:spacing w:before="156" w:after="156"/>
        <w:jc w:val="center"/>
        <w:rPr>
          <w:rFonts w:eastAsia="黑体"/>
          <w:color w:val="000000"/>
          <w:kern w:val="0"/>
          <w:szCs w:val="21"/>
          <w:lang w:bidi="ar"/>
        </w:rPr>
      </w:pP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红土镍矿</w:t>
            </w:r>
            <w:r>
              <w:rPr>
                <w:color w:val="000000"/>
                <w:kern w:val="0"/>
                <w:sz w:val="18"/>
                <w:szCs w:val="18"/>
                <w:lang w:bidi="ar"/>
              </w:rPr>
              <w:t>（</w:t>
            </w:r>
            <w:r>
              <w:rPr>
                <w:rFonts w:hint="eastAsia"/>
                <w:color w:val="000000"/>
                <w:kern w:val="0"/>
                <w:sz w:val="18"/>
                <w:szCs w:val="18"/>
                <w:lang w:bidi="ar"/>
              </w:rPr>
              <w:t>Ni</w:t>
            </w:r>
            <w:r>
              <w:rPr>
                <w:color w:val="000000"/>
                <w:kern w:val="0"/>
                <w:sz w:val="18"/>
                <w:szCs w:val="18"/>
                <w:lang w:bidi="ar"/>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废钢</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氢氟酸</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34" w:type="dxa"/>
            <w:vMerge w:val="continue"/>
            <w:tcBorders>
              <w:left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硫酸</w:t>
            </w:r>
          </w:p>
        </w:tc>
        <w:tc>
          <w:tcPr>
            <w:tcW w:w="13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34" w:type="dxa"/>
            <w:vMerge w:val="continue"/>
            <w:tcBorders>
              <w:left w:val="single" w:color="000000" w:sz="4" w:space="0"/>
              <w:right w:val="single" w:color="000000" w:sz="4" w:space="0"/>
            </w:tcBorders>
            <w:vAlign w:val="center"/>
          </w:tcPr>
          <w:p>
            <w:pPr>
              <w:rPr>
                <w:sz w:val="20"/>
                <w:szCs w:val="20"/>
              </w:rPr>
            </w:pPr>
          </w:p>
        </w:tc>
        <w:tc>
          <w:tcPr>
            <w:tcW w:w="11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盐酸</w:t>
            </w:r>
          </w:p>
        </w:tc>
        <w:tc>
          <w:tcPr>
            <w:tcW w:w="13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34" w:type="dxa"/>
            <w:vMerge w:val="continue"/>
            <w:tcBorders>
              <w:left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硝酸</w:t>
            </w:r>
          </w:p>
        </w:tc>
        <w:tc>
          <w:tcPr>
            <w:tcW w:w="13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34"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红土镍矿高炉工序能源消耗清单</w:t>
      </w:r>
    </w:p>
    <w:p>
      <w:pPr>
        <w:autoSpaceDE w:val="0"/>
        <w:autoSpaceDN w:val="0"/>
        <w:adjustRightInd w:val="0"/>
        <w:spacing w:before="156" w:after="156"/>
        <w:ind w:firstLine="420" w:firstLineChars="200"/>
        <w:rPr>
          <w:b/>
          <w:color w:val="000000"/>
          <w:kern w:val="0"/>
          <w:szCs w:val="21"/>
        </w:rPr>
      </w:pPr>
      <w:r>
        <w:rPr>
          <w:rFonts w:hint="eastAsia"/>
          <w:color w:val="000000"/>
          <w:kern w:val="0"/>
          <w:szCs w:val="21"/>
          <w:lang w:bidi="ar"/>
        </w:rPr>
        <w:t>红土镍矿高炉工序能源消耗清单如表C.2所示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C.2　红土镍矿高炉工序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红土镍矿</w:t>
      </w:r>
      <w:r>
        <w:rPr>
          <w:rFonts w:eastAsia="黑体"/>
          <w:sz w:val="21"/>
          <w:szCs w:val="21"/>
        </w:rPr>
        <w:t>RKEF</w:t>
      </w:r>
      <w:r>
        <w:rPr>
          <w:rFonts w:hint="eastAsia" w:eastAsia="黑体"/>
          <w:sz w:val="21"/>
          <w:szCs w:val="21"/>
        </w:rPr>
        <w:t>工序能源消耗清单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红土镍矿RKEF工序能源消耗清单如表C.3所示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红土镍矿RKEF工序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转炉工序能源消耗清单</w:t>
      </w:r>
    </w:p>
    <w:p>
      <w:pPr>
        <w:autoSpaceDE w:val="0"/>
        <w:autoSpaceDN w:val="0"/>
        <w:adjustRightInd w:val="0"/>
        <w:spacing w:before="156" w:after="156"/>
        <w:ind w:firstLine="420" w:firstLineChars="200"/>
      </w:pPr>
      <w:r>
        <w:rPr>
          <w:rFonts w:hint="eastAsia"/>
          <w:color w:val="000000"/>
          <w:kern w:val="0"/>
          <w:szCs w:val="21"/>
          <w:lang w:bidi="ar"/>
        </w:rPr>
        <w:t>转炉工序能源消耗清单如表C.4所示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转炉</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电炉工序能源消耗清单</w:t>
      </w:r>
    </w:p>
    <w:p>
      <w:pPr>
        <w:autoSpaceDE w:val="0"/>
        <w:autoSpaceDN w:val="0"/>
        <w:adjustRightInd w:val="0"/>
        <w:spacing w:before="156" w:after="156"/>
        <w:ind w:firstLine="420" w:firstLineChars="200"/>
      </w:pPr>
      <w:r>
        <w:rPr>
          <w:rFonts w:hint="eastAsia"/>
          <w:color w:val="000000"/>
          <w:kern w:val="0"/>
          <w:szCs w:val="21"/>
          <w:lang w:bidi="ar"/>
        </w:rPr>
        <w:t>电炉工序能源消耗清单如表C.</w:t>
      </w:r>
      <w:r>
        <w:rPr>
          <w:color w:val="000000"/>
          <w:kern w:val="0"/>
          <w:szCs w:val="21"/>
          <w:lang w:bidi="ar"/>
        </w:rPr>
        <w:t>5</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电炉</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冷轧不锈钢工序能源消耗清单</w:t>
      </w:r>
    </w:p>
    <w:p>
      <w:pPr>
        <w:autoSpaceDE w:val="0"/>
        <w:autoSpaceDN w:val="0"/>
        <w:adjustRightInd w:val="0"/>
        <w:spacing w:before="156" w:after="156"/>
        <w:ind w:firstLine="420" w:firstLineChars="200"/>
      </w:pPr>
      <w:r>
        <w:rPr>
          <w:rFonts w:hint="eastAsia"/>
          <w:color w:val="000000"/>
          <w:kern w:val="0"/>
          <w:szCs w:val="21"/>
          <w:lang w:bidi="ar"/>
        </w:rPr>
        <w:t>冷轧不锈钢工序能源消耗清单如表C.</w:t>
      </w:r>
      <w:r>
        <w:rPr>
          <w:color w:val="000000"/>
          <w:kern w:val="0"/>
          <w:szCs w:val="21"/>
          <w:lang w:bidi="ar"/>
        </w:rPr>
        <w:t>6</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冷轧不锈钢工序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7</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.7</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w:t>
      </w:r>
      <w:r>
        <w:rPr>
          <w:color w:val="000000"/>
          <w:kern w:val="0"/>
          <w:szCs w:val="21"/>
          <w:lang w:bidi="ar"/>
        </w:rPr>
        <w:t>8</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.8</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widowControl/>
        <w:jc w:val="left"/>
        <w:rPr>
          <w:kern w:val="0"/>
          <w:szCs w:val="20"/>
        </w:rPr>
      </w:pPr>
    </w:p>
    <w:p>
      <w:pPr>
        <w:widowControl/>
        <w:jc w:val="left"/>
        <w:rPr>
          <w:kern w:val="0"/>
          <w:szCs w:val="20"/>
        </w:rPr>
      </w:pP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before="120" w:after="120"/>
      <w:rPr>
        <w:color w:val="000000"/>
      </w:rPr>
    </w:pPr>
    <w:r>
      <w:t>T/SSEA XXXX-</w:t>
    </w:r>
    <w:r>
      <w:rPr>
        <w:rFonts w:hint="eastAsia"/>
        <w:color w:val="000000"/>
      </w:rPr>
      <w:t>202</w:t>
    </w:r>
    <w:r>
      <w:rPr>
        <w:color w:val="00000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172A27"/>
    <w:rsid w:val="00000244"/>
    <w:rsid w:val="0000185F"/>
    <w:rsid w:val="00003464"/>
    <w:rsid w:val="0000586F"/>
    <w:rsid w:val="00005D79"/>
    <w:rsid w:val="00007340"/>
    <w:rsid w:val="00010A5B"/>
    <w:rsid w:val="00011C01"/>
    <w:rsid w:val="00013D86"/>
    <w:rsid w:val="00013E02"/>
    <w:rsid w:val="0001738C"/>
    <w:rsid w:val="0002143C"/>
    <w:rsid w:val="00022016"/>
    <w:rsid w:val="00025A65"/>
    <w:rsid w:val="00026977"/>
    <w:rsid w:val="00026C31"/>
    <w:rsid w:val="00027280"/>
    <w:rsid w:val="000306E3"/>
    <w:rsid w:val="000320A7"/>
    <w:rsid w:val="00032420"/>
    <w:rsid w:val="00034B19"/>
    <w:rsid w:val="00035925"/>
    <w:rsid w:val="000366F4"/>
    <w:rsid w:val="00037DAC"/>
    <w:rsid w:val="00037DB3"/>
    <w:rsid w:val="00041127"/>
    <w:rsid w:val="00045C9B"/>
    <w:rsid w:val="000466F7"/>
    <w:rsid w:val="000522F9"/>
    <w:rsid w:val="0005448B"/>
    <w:rsid w:val="000639E9"/>
    <w:rsid w:val="00063E76"/>
    <w:rsid w:val="0006738B"/>
    <w:rsid w:val="00067CDF"/>
    <w:rsid w:val="00070BE3"/>
    <w:rsid w:val="0007402A"/>
    <w:rsid w:val="00074B69"/>
    <w:rsid w:val="00074FBE"/>
    <w:rsid w:val="000772BB"/>
    <w:rsid w:val="000822C7"/>
    <w:rsid w:val="00083A09"/>
    <w:rsid w:val="00083EA1"/>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9EF"/>
    <w:rsid w:val="000E0C46"/>
    <w:rsid w:val="000E39E5"/>
    <w:rsid w:val="000E3EC7"/>
    <w:rsid w:val="000E5AA6"/>
    <w:rsid w:val="000F030C"/>
    <w:rsid w:val="000F04B4"/>
    <w:rsid w:val="000F129C"/>
    <w:rsid w:val="000F6242"/>
    <w:rsid w:val="00104DFD"/>
    <w:rsid w:val="00104E0B"/>
    <w:rsid w:val="001056DE"/>
    <w:rsid w:val="00107602"/>
    <w:rsid w:val="00111863"/>
    <w:rsid w:val="001124C0"/>
    <w:rsid w:val="0012309C"/>
    <w:rsid w:val="00125647"/>
    <w:rsid w:val="001278EF"/>
    <w:rsid w:val="0013175F"/>
    <w:rsid w:val="00135CD6"/>
    <w:rsid w:val="00144E03"/>
    <w:rsid w:val="001512B4"/>
    <w:rsid w:val="00152179"/>
    <w:rsid w:val="00156D41"/>
    <w:rsid w:val="0016056B"/>
    <w:rsid w:val="001620A5"/>
    <w:rsid w:val="00162F72"/>
    <w:rsid w:val="00164E53"/>
    <w:rsid w:val="0016699D"/>
    <w:rsid w:val="001701E9"/>
    <w:rsid w:val="00170F6D"/>
    <w:rsid w:val="0017259F"/>
    <w:rsid w:val="00172A27"/>
    <w:rsid w:val="00175159"/>
    <w:rsid w:val="00176208"/>
    <w:rsid w:val="0018211B"/>
    <w:rsid w:val="00182D67"/>
    <w:rsid w:val="001830E2"/>
    <w:rsid w:val="001840D3"/>
    <w:rsid w:val="001841AA"/>
    <w:rsid w:val="00184BBB"/>
    <w:rsid w:val="00187A9A"/>
    <w:rsid w:val="00187C08"/>
    <w:rsid w:val="001900F8"/>
    <w:rsid w:val="001910D9"/>
    <w:rsid w:val="00191258"/>
    <w:rsid w:val="00192680"/>
    <w:rsid w:val="00193037"/>
    <w:rsid w:val="00193A2C"/>
    <w:rsid w:val="001A01D4"/>
    <w:rsid w:val="001A1974"/>
    <w:rsid w:val="001A25CD"/>
    <w:rsid w:val="001A288E"/>
    <w:rsid w:val="001A2C54"/>
    <w:rsid w:val="001A32EE"/>
    <w:rsid w:val="001A6DD3"/>
    <w:rsid w:val="001B2277"/>
    <w:rsid w:val="001B6DC2"/>
    <w:rsid w:val="001C05F1"/>
    <w:rsid w:val="001C149C"/>
    <w:rsid w:val="001C21AC"/>
    <w:rsid w:val="001C47BA"/>
    <w:rsid w:val="001C59EA"/>
    <w:rsid w:val="001D406C"/>
    <w:rsid w:val="001D414F"/>
    <w:rsid w:val="001D41EE"/>
    <w:rsid w:val="001E0380"/>
    <w:rsid w:val="001E13B1"/>
    <w:rsid w:val="001E4676"/>
    <w:rsid w:val="001E55B7"/>
    <w:rsid w:val="001E5BE7"/>
    <w:rsid w:val="001E69DB"/>
    <w:rsid w:val="001F0A9A"/>
    <w:rsid w:val="001F22E7"/>
    <w:rsid w:val="001F3A19"/>
    <w:rsid w:val="00210BFB"/>
    <w:rsid w:val="0022046A"/>
    <w:rsid w:val="00231142"/>
    <w:rsid w:val="0023115B"/>
    <w:rsid w:val="00231970"/>
    <w:rsid w:val="00232990"/>
    <w:rsid w:val="002332A1"/>
    <w:rsid w:val="0023428E"/>
    <w:rsid w:val="00234467"/>
    <w:rsid w:val="00237D8D"/>
    <w:rsid w:val="00237DD2"/>
    <w:rsid w:val="00240FE6"/>
    <w:rsid w:val="00241648"/>
    <w:rsid w:val="00241DA2"/>
    <w:rsid w:val="00245B95"/>
    <w:rsid w:val="00247FEE"/>
    <w:rsid w:val="00250E7D"/>
    <w:rsid w:val="002535F0"/>
    <w:rsid w:val="002565D5"/>
    <w:rsid w:val="00257C39"/>
    <w:rsid w:val="00257CFA"/>
    <w:rsid w:val="002621E4"/>
    <w:rsid w:val="002622C0"/>
    <w:rsid w:val="00262D2E"/>
    <w:rsid w:val="0026466E"/>
    <w:rsid w:val="002665C3"/>
    <w:rsid w:val="0027356A"/>
    <w:rsid w:val="00276B08"/>
    <w:rsid w:val="002778AE"/>
    <w:rsid w:val="00281919"/>
    <w:rsid w:val="002824CB"/>
    <w:rsid w:val="0028269A"/>
    <w:rsid w:val="00283590"/>
    <w:rsid w:val="00284913"/>
    <w:rsid w:val="00286973"/>
    <w:rsid w:val="002904AF"/>
    <w:rsid w:val="00290F60"/>
    <w:rsid w:val="00294E70"/>
    <w:rsid w:val="00295B84"/>
    <w:rsid w:val="00296FB8"/>
    <w:rsid w:val="002A06B3"/>
    <w:rsid w:val="002A1924"/>
    <w:rsid w:val="002A7420"/>
    <w:rsid w:val="002B0F12"/>
    <w:rsid w:val="002B1308"/>
    <w:rsid w:val="002B4554"/>
    <w:rsid w:val="002C0FEA"/>
    <w:rsid w:val="002C2696"/>
    <w:rsid w:val="002C42FF"/>
    <w:rsid w:val="002C5B7F"/>
    <w:rsid w:val="002C72D8"/>
    <w:rsid w:val="002D11FA"/>
    <w:rsid w:val="002D430D"/>
    <w:rsid w:val="002E0DDF"/>
    <w:rsid w:val="002E2906"/>
    <w:rsid w:val="002E5635"/>
    <w:rsid w:val="002E64C3"/>
    <w:rsid w:val="002E6A2C"/>
    <w:rsid w:val="002F1D8C"/>
    <w:rsid w:val="002F21DA"/>
    <w:rsid w:val="002F3F0D"/>
    <w:rsid w:val="002F409E"/>
    <w:rsid w:val="002F42E2"/>
    <w:rsid w:val="002F57F3"/>
    <w:rsid w:val="002F5C1B"/>
    <w:rsid w:val="00301F39"/>
    <w:rsid w:val="00301F9F"/>
    <w:rsid w:val="003046C0"/>
    <w:rsid w:val="00305812"/>
    <w:rsid w:val="003073E0"/>
    <w:rsid w:val="00310478"/>
    <w:rsid w:val="00317A37"/>
    <w:rsid w:val="0032071A"/>
    <w:rsid w:val="00325926"/>
    <w:rsid w:val="00327A8A"/>
    <w:rsid w:val="0033124C"/>
    <w:rsid w:val="00336610"/>
    <w:rsid w:val="003379E6"/>
    <w:rsid w:val="00342930"/>
    <w:rsid w:val="00343F73"/>
    <w:rsid w:val="00345060"/>
    <w:rsid w:val="00350323"/>
    <w:rsid w:val="00350BC9"/>
    <w:rsid w:val="0035323B"/>
    <w:rsid w:val="003532E7"/>
    <w:rsid w:val="003559CE"/>
    <w:rsid w:val="00355CB5"/>
    <w:rsid w:val="00356876"/>
    <w:rsid w:val="00360844"/>
    <w:rsid w:val="00360858"/>
    <w:rsid w:val="003609D2"/>
    <w:rsid w:val="00363F22"/>
    <w:rsid w:val="003650D5"/>
    <w:rsid w:val="003659A4"/>
    <w:rsid w:val="00370570"/>
    <w:rsid w:val="0037473D"/>
    <w:rsid w:val="00375564"/>
    <w:rsid w:val="003756CD"/>
    <w:rsid w:val="0037662F"/>
    <w:rsid w:val="003768C0"/>
    <w:rsid w:val="00383191"/>
    <w:rsid w:val="003852DB"/>
    <w:rsid w:val="00386DED"/>
    <w:rsid w:val="003912E7"/>
    <w:rsid w:val="0039140F"/>
    <w:rsid w:val="00393947"/>
    <w:rsid w:val="003A1F65"/>
    <w:rsid w:val="003A2275"/>
    <w:rsid w:val="003A48CA"/>
    <w:rsid w:val="003A6207"/>
    <w:rsid w:val="003A6A4F"/>
    <w:rsid w:val="003A7088"/>
    <w:rsid w:val="003B00DF"/>
    <w:rsid w:val="003B1275"/>
    <w:rsid w:val="003B1778"/>
    <w:rsid w:val="003B2A92"/>
    <w:rsid w:val="003C0C95"/>
    <w:rsid w:val="003C11CB"/>
    <w:rsid w:val="003C75F3"/>
    <w:rsid w:val="003C78A3"/>
    <w:rsid w:val="003D3D76"/>
    <w:rsid w:val="003D721E"/>
    <w:rsid w:val="003E0D6C"/>
    <w:rsid w:val="003E1867"/>
    <w:rsid w:val="003E4DAE"/>
    <w:rsid w:val="003E5729"/>
    <w:rsid w:val="003E5A57"/>
    <w:rsid w:val="003F0150"/>
    <w:rsid w:val="003F1CB3"/>
    <w:rsid w:val="003F214C"/>
    <w:rsid w:val="003F4EE0"/>
    <w:rsid w:val="003F4FCE"/>
    <w:rsid w:val="003F5CAE"/>
    <w:rsid w:val="004009E5"/>
    <w:rsid w:val="00400C28"/>
    <w:rsid w:val="00402153"/>
    <w:rsid w:val="00402FC1"/>
    <w:rsid w:val="00410255"/>
    <w:rsid w:val="004120FF"/>
    <w:rsid w:val="004134DD"/>
    <w:rsid w:val="00413B0E"/>
    <w:rsid w:val="00415CE8"/>
    <w:rsid w:val="004166CD"/>
    <w:rsid w:val="00417391"/>
    <w:rsid w:val="0041793A"/>
    <w:rsid w:val="00423779"/>
    <w:rsid w:val="004239C2"/>
    <w:rsid w:val="00423DBC"/>
    <w:rsid w:val="00425082"/>
    <w:rsid w:val="00431A96"/>
    <w:rsid w:val="00431DEB"/>
    <w:rsid w:val="00433D81"/>
    <w:rsid w:val="00446B29"/>
    <w:rsid w:val="004519EC"/>
    <w:rsid w:val="00453F9A"/>
    <w:rsid w:val="00454F40"/>
    <w:rsid w:val="0045659F"/>
    <w:rsid w:val="00462311"/>
    <w:rsid w:val="00466999"/>
    <w:rsid w:val="00471E91"/>
    <w:rsid w:val="00472AF6"/>
    <w:rsid w:val="00472C6E"/>
    <w:rsid w:val="00474675"/>
    <w:rsid w:val="0047470C"/>
    <w:rsid w:val="004822E1"/>
    <w:rsid w:val="004851C9"/>
    <w:rsid w:val="00485828"/>
    <w:rsid w:val="00490008"/>
    <w:rsid w:val="00493970"/>
    <w:rsid w:val="004949C7"/>
    <w:rsid w:val="004A029F"/>
    <w:rsid w:val="004A0900"/>
    <w:rsid w:val="004A3380"/>
    <w:rsid w:val="004A35F9"/>
    <w:rsid w:val="004A52C6"/>
    <w:rsid w:val="004B24C1"/>
    <w:rsid w:val="004B2F2F"/>
    <w:rsid w:val="004B3527"/>
    <w:rsid w:val="004B7A61"/>
    <w:rsid w:val="004C0DE4"/>
    <w:rsid w:val="004C208F"/>
    <w:rsid w:val="004C292F"/>
    <w:rsid w:val="004C3B1F"/>
    <w:rsid w:val="004C52B4"/>
    <w:rsid w:val="004D197C"/>
    <w:rsid w:val="004E056C"/>
    <w:rsid w:val="004E4034"/>
    <w:rsid w:val="004E7695"/>
    <w:rsid w:val="004F10FB"/>
    <w:rsid w:val="004F11CA"/>
    <w:rsid w:val="004F3DE1"/>
    <w:rsid w:val="004F5484"/>
    <w:rsid w:val="00506363"/>
    <w:rsid w:val="00510280"/>
    <w:rsid w:val="005107C9"/>
    <w:rsid w:val="005122F6"/>
    <w:rsid w:val="00512425"/>
    <w:rsid w:val="0051268B"/>
    <w:rsid w:val="00513D73"/>
    <w:rsid w:val="00514A43"/>
    <w:rsid w:val="005174E5"/>
    <w:rsid w:val="00520FE0"/>
    <w:rsid w:val="00522393"/>
    <w:rsid w:val="00522620"/>
    <w:rsid w:val="005230CD"/>
    <w:rsid w:val="00525656"/>
    <w:rsid w:val="00532F7A"/>
    <w:rsid w:val="00534C02"/>
    <w:rsid w:val="00534D29"/>
    <w:rsid w:val="00534EC9"/>
    <w:rsid w:val="0053668C"/>
    <w:rsid w:val="0054264B"/>
    <w:rsid w:val="00543786"/>
    <w:rsid w:val="00545170"/>
    <w:rsid w:val="00550AC2"/>
    <w:rsid w:val="00550F4A"/>
    <w:rsid w:val="005521BC"/>
    <w:rsid w:val="005527D5"/>
    <w:rsid w:val="005528F0"/>
    <w:rsid w:val="005533D7"/>
    <w:rsid w:val="0055430C"/>
    <w:rsid w:val="0055617E"/>
    <w:rsid w:val="005703DE"/>
    <w:rsid w:val="00573FF1"/>
    <w:rsid w:val="00575169"/>
    <w:rsid w:val="005828EB"/>
    <w:rsid w:val="0058464E"/>
    <w:rsid w:val="005873F7"/>
    <w:rsid w:val="00587FD0"/>
    <w:rsid w:val="00592C13"/>
    <w:rsid w:val="0059333D"/>
    <w:rsid w:val="00594AEB"/>
    <w:rsid w:val="00594D40"/>
    <w:rsid w:val="005A01CB"/>
    <w:rsid w:val="005A58FF"/>
    <w:rsid w:val="005A5EAF"/>
    <w:rsid w:val="005A64C0"/>
    <w:rsid w:val="005B12B4"/>
    <w:rsid w:val="005B3C11"/>
    <w:rsid w:val="005B3CB5"/>
    <w:rsid w:val="005B6E15"/>
    <w:rsid w:val="005B73B1"/>
    <w:rsid w:val="005B7BCA"/>
    <w:rsid w:val="005C1190"/>
    <w:rsid w:val="005C1C28"/>
    <w:rsid w:val="005C40BF"/>
    <w:rsid w:val="005C51F7"/>
    <w:rsid w:val="005C6DB5"/>
    <w:rsid w:val="005C7E1D"/>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7EFC"/>
    <w:rsid w:val="00603CAD"/>
    <w:rsid w:val="00612C98"/>
    <w:rsid w:val="00616C04"/>
    <w:rsid w:val="0061716C"/>
    <w:rsid w:val="006243A1"/>
    <w:rsid w:val="0062500E"/>
    <w:rsid w:val="00626C34"/>
    <w:rsid w:val="0063099E"/>
    <w:rsid w:val="0063111E"/>
    <w:rsid w:val="00632E56"/>
    <w:rsid w:val="00635B45"/>
    <w:rsid w:val="00635CBA"/>
    <w:rsid w:val="00641A9B"/>
    <w:rsid w:val="00641C62"/>
    <w:rsid w:val="006423A6"/>
    <w:rsid w:val="0064338B"/>
    <w:rsid w:val="00643D85"/>
    <w:rsid w:val="00646542"/>
    <w:rsid w:val="00646A44"/>
    <w:rsid w:val="00646A5E"/>
    <w:rsid w:val="006471BF"/>
    <w:rsid w:val="006504F4"/>
    <w:rsid w:val="00651D37"/>
    <w:rsid w:val="00652972"/>
    <w:rsid w:val="00652A8E"/>
    <w:rsid w:val="00654BC9"/>
    <w:rsid w:val="006552FD"/>
    <w:rsid w:val="0065544C"/>
    <w:rsid w:val="006554A5"/>
    <w:rsid w:val="00663AF3"/>
    <w:rsid w:val="00666B6C"/>
    <w:rsid w:val="00674409"/>
    <w:rsid w:val="00676D9C"/>
    <w:rsid w:val="006771B8"/>
    <w:rsid w:val="0067773B"/>
    <w:rsid w:val="00682682"/>
    <w:rsid w:val="006826F4"/>
    <w:rsid w:val="00682702"/>
    <w:rsid w:val="006862EB"/>
    <w:rsid w:val="00692368"/>
    <w:rsid w:val="00692D89"/>
    <w:rsid w:val="00696196"/>
    <w:rsid w:val="006961ED"/>
    <w:rsid w:val="006A2EBC"/>
    <w:rsid w:val="006A5EA0"/>
    <w:rsid w:val="006A70C5"/>
    <w:rsid w:val="006A783B"/>
    <w:rsid w:val="006A79A5"/>
    <w:rsid w:val="006A7AEB"/>
    <w:rsid w:val="006A7B33"/>
    <w:rsid w:val="006B0009"/>
    <w:rsid w:val="006B240C"/>
    <w:rsid w:val="006B4E13"/>
    <w:rsid w:val="006B75DD"/>
    <w:rsid w:val="006C2AB8"/>
    <w:rsid w:val="006C3EC4"/>
    <w:rsid w:val="006C4C67"/>
    <w:rsid w:val="006C558C"/>
    <w:rsid w:val="006C5EC8"/>
    <w:rsid w:val="006C67E0"/>
    <w:rsid w:val="006C7ABA"/>
    <w:rsid w:val="006D08F4"/>
    <w:rsid w:val="006D0D60"/>
    <w:rsid w:val="006D1122"/>
    <w:rsid w:val="006D3C00"/>
    <w:rsid w:val="006D4D2E"/>
    <w:rsid w:val="006D4D40"/>
    <w:rsid w:val="006D51B3"/>
    <w:rsid w:val="006E3675"/>
    <w:rsid w:val="006E37CB"/>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35FBA"/>
    <w:rsid w:val="007410DC"/>
    <w:rsid w:val="007419C3"/>
    <w:rsid w:val="00743B4A"/>
    <w:rsid w:val="007467A7"/>
    <w:rsid w:val="007469DD"/>
    <w:rsid w:val="00747275"/>
    <w:rsid w:val="0074741B"/>
    <w:rsid w:val="0074759E"/>
    <w:rsid w:val="007478EA"/>
    <w:rsid w:val="00750DC8"/>
    <w:rsid w:val="00753E0E"/>
    <w:rsid w:val="0075415C"/>
    <w:rsid w:val="00763502"/>
    <w:rsid w:val="00764C9D"/>
    <w:rsid w:val="00765463"/>
    <w:rsid w:val="00767D83"/>
    <w:rsid w:val="00774E9B"/>
    <w:rsid w:val="00776E00"/>
    <w:rsid w:val="00777400"/>
    <w:rsid w:val="007848C5"/>
    <w:rsid w:val="00784DB9"/>
    <w:rsid w:val="007913AB"/>
    <w:rsid w:val="007914F7"/>
    <w:rsid w:val="007930AA"/>
    <w:rsid w:val="00797015"/>
    <w:rsid w:val="0079710D"/>
    <w:rsid w:val="007A15FC"/>
    <w:rsid w:val="007B0C68"/>
    <w:rsid w:val="007B1625"/>
    <w:rsid w:val="007B2AA6"/>
    <w:rsid w:val="007B706E"/>
    <w:rsid w:val="007B71EB"/>
    <w:rsid w:val="007B7F4D"/>
    <w:rsid w:val="007C065D"/>
    <w:rsid w:val="007C0AE1"/>
    <w:rsid w:val="007C2248"/>
    <w:rsid w:val="007C31CC"/>
    <w:rsid w:val="007C6205"/>
    <w:rsid w:val="007C686A"/>
    <w:rsid w:val="007C728E"/>
    <w:rsid w:val="007D2C53"/>
    <w:rsid w:val="007D3D60"/>
    <w:rsid w:val="007D5AF6"/>
    <w:rsid w:val="007E1980"/>
    <w:rsid w:val="007E1A9B"/>
    <w:rsid w:val="007E4B76"/>
    <w:rsid w:val="007E4C8A"/>
    <w:rsid w:val="007E5EA8"/>
    <w:rsid w:val="007F0CF1"/>
    <w:rsid w:val="007F12A5"/>
    <w:rsid w:val="007F3B0B"/>
    <w:rsid w:val="007F4CF1"/>
    <w:rsid w:val="007F758D"/>
    <w:rsid w:val="007F7D52"/>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504A8"/>
    <w:rsid w:val="0085282E"/>
    <w:rsid w:val="008533B6"/>
    <w:rsid w:val="00862151"/>
    <w:rsid w:val="00864FB4"/>
    <w:rsid w:val="0087198C"/>
    <w:rsid w:val="00872C1F"/>
    <w:rsid w:val="00872E5B"/>
    <w:rsid w:val="00873B42"/>
    <w:rsid w:val="00874516"/>
    <w:rsid w:val="00874A40"/>
    <w:rsid w:val="00875A74"/>
    <w:rsid w:val="008770F5"/>
    <w:rsid w:val="00877177"/>
    <w:rsid w:val="0087773E"/>
    <w:rsid w:val="00877910"/>
    <w:rsid w:val="00877AB5"/>
    <w:rsid w:val="00882095"/>
    <w:rsid w:val="00882D2B"/>
    <w:rsid w:val="008838F4"/>
    <w:rsid w:val="00884075"/>
    <w:rsid w:val="008856D8"/>
    <w:rsid w:val="00892E82"/>
    <w:rsid w:val="008949A7"/>
    <w:rsid w:val="008B1A58"/>
    <w:rsid w:val="008B2414"/>
    <w:rsid w:val="008C0D91"/>
    <w:rsid w:val="008C1B58"/>
    <w:rsid w:val="008C3376"/>
    <w:rsid w:val="008C39AE"/>
    <w:rsid w:val="008C590D"/>
    <w:rsid w:val="008C5F12"/>
    <w:rsid w:val="008D009D"/>
    <w:rsid w:val="008D250B"/>
    <w:rsid w:val="008D4EA9"/>
    <w:rsid w:val="008D7B45"/>
    <w:rsid w:val="008E031B"/>
    <w:rsid w:val="008E10CC"/>
    <w:rsid w:val="008E1E00"/>
    <w:rsid w:val="008E2388"/>
    <w:rsid w:val="008E4014"/>
    <w:rsid w:val="008E58D7"/>
    <w:rsid w:val="008E5F27"/>
    <w:rsid w:val="008E60E2"/>
    <w:rsid w:val="008E7029"/>
    <w:rsid w:val="008E7EF6"/>
    <w:rsid w:val="008F1F98"/>
    <w:rsid w:val="008F46BC"/>
    <w:rsid w:val="008F5765"/>
    <w:rsid w:val="008F6758"/>
    <w:rsid w:val="00902A08"/>
    <w:rsid w:val="0090326F"/>
    <w:rsid w:val="009040DD"/>
    <w:rsid w:val="00905B47"/>
    <w:rsid w:val="0091331C"/>
    <w:rsid w:val="00913AC3"/>
    <w:rsid w:val="0091457E"/>
    <w:rsid w:val="00917DEE"/>
    <w:rsid w:val="009236CF"/>
    <w:rsid w:val="009240E8"/>
    <w:rsid w:val="00924BEA"/>
    <w:rsid w:val="009279DE"/>
    <w:rsid w:val="00930116"/>
    <w:rsid w:val="0093079D"/>
    <w:rsid w:val="0093442B"/>
    <w:rsid w:val="00936007"/>
    <w:rsid w:val="009363F2"/>
    <w:rsid w:val="0093742D"/>
    <w:rsid w:val="009375FD"/>
    <w:rsid w:val="00940FAC"/>
    <w:rsid w:val="0094212C"/>
    <w:rsid w:val="009421BE"/>
    <w:rsid w:val="00944D81"/>
    <w:rsid w:val="00946042"/>
    <w:rsid w:val="009504BC"/>
    <w:rsid w:val="009507F6"/>
    <w:rsid w:val="00950899"/>
    <w:rsid w:val="00951D89"/>
    <w:rsid w:val="009520CA"/>
    <w:rsid w:val="00954689"/>
    <w:rsid w:val="009562D4"/>
    <w:rsid w:val="0095636A"/>
    <w:rsid w:val="00957E34"/>
    <w:rsid w:val="009602EB"/>
    <w:rsid w:val="009617C9"/>
    <w:rsid w:val="00961C93"/>
    <w:rsid w:val="00962B24"/>
    <w:rsid w:val="00963087"/>
    <w:rsid w:val="00965324"/>
    <w:rsid w:val="0097091E"/>
    <w:rsid w:val="0097312C"/>
    <w:rsid w:val="009760D3"/>
    <w:rsid w:val="00977132"/>
    <w:rsid w:val="00980089"/>
    <w:rsid w:val="00981020"/>
    <w:rsid w:val="00981A4B"/>
    <w:rsid w:val="00982501"/>
    <w:rsid w:val="0098403E"/>
    <w:rsid w:val="00987386"/>
    <w:rsid w:val="009877D3"/>
    <w:rsid w:val="00994E8F"/>
    <w:rsid w:val="009951DC"/>
    <w:rsid w:val="009959BB"/>
    <w:rsid w:val="00996669"/>
    <w:rsid w:val="00997158"/>
    <w:rsid w:val="009971BB"/>
    <w:rsid w:val="009A3A7C"/>
    <w:rsid w:val="009A65E2"/>
    <w:rsid w:val="009B2ADB"/>
    <w:rsid w:val="009B31F4"/>
    <w:rsid w:val="009B603A"/>
    <w:rsid w:val="009B7BD0"/>
    <w:rsid w:val="009C0F68"/>
    <w:rsid w:val="009C2D0E"/>
    <w:rsid w:val="009C3DAC"/>
    <w:rsid w:val="009C42E0"/>
    <w:rsid w:val="009C4EEC"/>
    <w:rsid w:val="009C7DCB"/>
    <w:rsid w:val="009D28B6"/>
    <w:rsid w:val="009D2B49"/>
    <w:rsid w:val="009D42C7"/>
    <w:rsid w:val="009D5362"/>
    <w:rsid w:val="009D5919"/>
    <w:rsid w:val="009E09B4"/>
    <w:rsid w:val="009E1415"/>
    <w:rsid w:val="009E5754"/>
    <w:rsid w:val="009E6116"/>
    <w:rsid w:val="009F11B8"/>
    <w:rsid w:val="009F1B15"/>
    <w:rsid w:val="009F679C"/>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168B"/>
    <w:rsid w:val="00A34D69"/>
    <w:rsid w:val="00A35B1A"/>
    <w:rsid w:val="00A36411"/>
    <w:rsid w:val="00A36BBE"/>
    <w:rsid w:val="00A41191"/>
    <w:rsid w:val="00A4307A"/>
    <w:rsid w:val="00A43097"/>
    <w:rsid w:val="00A47EBB"/>
    <w:rsid w:val="00A50675"/>
    <w:rsid w:val="00A51CDD"/>
    <w:rsid w:val="00A60078"/>
    <w:rsid w:val="00A6107E"/>
    <w:rsid w:val="00A6208C"/>
    <w:rsid w:val="00A6394B"/>
    <w:rsid w:val="00A64559"/>
    <w:rsid w:val="00A65215"/>
    <w:rsid w:val="00A671A9"/>
    <w:rsid w:val="00A6730D"/>
    <w:rsid w:val="00A6746D"/>
    <w:rsid w:val="00A71625"/>
    <w:rsid w:val="00A71B9B"/>
    <w:rsid w:val="00A751C7"/>
    <w:rsid w:val="00A77DA8"/>
    <w:rsid w:val="00A828DE"/>
    <w:rsid w:val="00A8492D"/>
    <w:rsid w:val="00A85A00"/>
    <w:rsid w:val="00A85B30"/>
    <w:rsid w:val="00A87373"/>
    <w:rsid w:val="00A87844"/>
    <w:rsid w:val="00A9269C"/>
    <w:rsid w:val="00A92ADF"/>
    <w:rsid w:val="00A94C41"/>
    <w:rsid w:val="00AA038C"/>
    <w:rsid w:val="00AA1737"/>
    <w:rsid w:val="00AA3DA9"/>
    <w:rsid w:val="00AA4E96"/>
    <w:rsid w:val="00AA7A09"/>
    <w:rsid w:val="00AB2D90"/>
    <w:rsid w:val="00AB3B50"/>
    <w:rsid w:val="00AB3C6A"/>
    <w:rsid w:val="00AC05B1"/>
    <w:rsid w:val="00AC6F5A"/>
    <w:rsid w:val="00AD0268"/>
    <w:rsid w:val="00AD1C43"/>
    <w:rsid w:val="00AD356C"/>
    <w:rsid w:val="00AD6C43"/>
    <w:rsid w:val="00AE2914"/>
    <w:rsid w:val="00AE42A9"/>
    <w:rsid w:val="00AE4B7D"/>
    <w:rsid w:val="00AE6D15"/>
    <w:rsid w:val="00AE7BBA"/>
    <w:rsid w:val="00AF4D12"/>
    <w:rsid w:val="00AF5F62"/>
    <w:rsid w:val="00B01D5B"/>
    <w:rsid w:val="00B01FF6"/>
    <w:rsid w:val="00B04182"/>
    <w:rsid w:val="00B07AE3"/>
    <w:rsid w:val="00B11430"/>
    <w:rsid w:val="00B13C00"/>
    <w:rsid w:val="00B157F4"/>
    <w:rsid w:val="00B24CB6"/>
    <w:rsid w:val="00B25BDF"/>
    <w:rsid w:val="00B3352A"/>
    <w:rsid w:val="00B34238"/>
    <w:rsid w:val="00B34A96"/>
    <w:rsid w:val="00B353EB"/>
    <w:rsid w:val="00B36260"/>
    <w:rsid w:val="00B439C4"/>
    <w:rsid w:val="00B43E20"/>
    <w:rsid w:val="00B440D6"/>
    <w:rsid w:val="00B446FB"/>
    <w:rsid w:val="00B4535E"/>
    <w:rsid w:val="00B50B59"/>
    <w:rsid w:val="00B50D6E"/>
    <w:rsid w:val="00B5197C"/>
    <w:rsid w:val="00B52A8C"/>
    <w:rsid w:val="00B56E2D"/>
    <w:rsid w:val="00B6239F"/>
    <w:rsid w:val="00B62B02"/>
    <w:rsid w:val="00B636A8"/>
    <w:rsid w:val="00B64F53"/>
    <w:rsid w:val="00B651BB"/>
    <w:rsid w:val="00B665C6"/>
    <w:rsid w:val="00B66749"/>
    <w:rsid w:val="00B679EE"/>
    <w:rsid w:val="00B7172A"/>
    <w:rsid w:val="00B74EB5"/>
    <w:rsid w:val="00B77776"/>
    <w:rsid w:val="00B805AF"/>
    <w:rsid w:val="00B806EB"/>
    <w:rsid w:val="00B869E5"/>
    <w:rsid w:val="00B869EC"/>
    <w:rsid w:val="00B86D7D"/>
    <w:rsid w:val="00B86F4F"/>
    <w:rsid w:val="00B9076F"/>
    <w:rsid w:val="00B9397A"/>
    <w:rsid w:val="00B95E90"/>
    <w:rsid w:val="00B9633D"/>
    <w:rsid w:val="00B963C1"/>
    <w:rsid w:val="00BA03B9"/>
    <w:rsid w:val="00BA2EBE"/>
    <w:rsid w:val="00BA78BF"/>
    <w:rsid w:val="00BB0F28"/>
    <w:rsid w:val="00BB0F47"/>
    <w:rsid w:val="00BB1AEC"/>
    <w:rsid w:val="00BB41EA"/>
    <w:rsid w:val="00BB458A"/>
    <w:rsid w:val="00BB51B7"/>
    <w:rsid w:val="00BC18E2"/>
    <w:rsid w:val="00BD00D3"/>
    <w:rsid w:val="00BD1659"/>
    <w:rsid w:val="00BD3AA9"/>
    <w:rsid w:val="00BD4A18"/>
    <w:rsid w:val="00BD52D4"/>
    <w:rsid w:val="00BD6DB2"/>
    <w:rsid w:val="00BE042B"/>
    <w:rsid w:val="00BE046E"/>
    <w:rsid w:val="00BE11CF"/>
    <w:rsid w:val="00BE21AB"/>
    <w:rsid w:val="00BE25BF"/>
    <w:rsid w:val="00BE2E40"/>
    <w:rsid w:val="00BE4E0E"/>
    <w:rsid w:val="00BE55CB"/>
    <w:rsid w:val="00BE5F37"/>
    <w:rsid w:val="00BF101B"/>
    <w:rsid w:val="00BF356A"/>
    <w:rsid w:val="00BF5EEE"/>
    <w:rsid w:val="00BF617A"/>
    <w:rsid w:val="00C00524"/>
    <w:rsid w:val="00C0216D"/>
    <w:rsid w:val="00C02813"/>
    <w:rsid w:val="00C02A73"/>
    <w:rsid w:val="00C033A6"/>
    <w:rsid w:val="00C0379D"/>
    <w:rsid w:val="00C03931"/>
    <w:rsid w:val="00C05FE3"/>
    <w:rsid w:val="00C066AB"/>
    <w:rsid w:val="00C13D45"/>
    <w:rsid w:val="00C16220"/>
    <w:rsid w:val="00C174F4"/>
    <w:rsid w:val="00C2136D"/>
    <w:rsid w:val="00C214EE"/>
    <w:rsid w:val="00C21AB5"/>
    <w:rsid w:val="00C21AC9"/>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46D1"/>
    <w:rsid w:val="00C458E9"/>
    <w:rsid w:val="00C45A5A"/>
    <w:rsid w:val="00C50805"/>
    <w:rsid w:val="00C50BA5"/>
    <w:rsid w:val="00C51C07"/>
    <w:rsid w:val="00C543C0"/>
    <w:rsid w:val="00C55F2B"/>
    <w:rsid w:val="00C56DF0"/>
    <w:rsid w:val="00C601D2"/>
    <w:rsid w:val="00C60B1E"/>
    <w:rsid w:val="00C613DE"/>
    <w:rsid w:val="00C61CA0"/>
    <w:rsid w:val="00C621B3"/>
    <w:rsid w:val="00C636F9"/>
    <w:rsid w:val="00C64305"/>
    <w:rsid w:val="00C657AB"/>
    <w:rsid w:val="00C65BCC"/>
    <w:rsid w:val="00C66970"/>
    <w:rsid w:val="00C67EE6"/>
    <w:rsid w:val="00C73BC7"/>
    <w:rsid w:val="00C7740A"/>
    <w:rsid w:val="00C778A9"/>
    <w:rsid w:val="00C8585D"/>
    <w:rsid w:val="00C8691C"/>
    <w:rsid w:val="00C86A9E"/>
    <w:rsid w:val="00C87771"/>
    <w:rsid w:val="00C90606"/>
    <w:rsid w:val="00C95B40"/>
    <w:rsid w:val="00CA168A"/>
    <w:rsid w:val="00CA357E"/>
    <w:rsid w:val="00CA4088"/>
    <w:rsid w:val="00CA44F9"/>
    <w:rsid w:val="00CA4A69"/>
    <w:rsid w:val="00CB2D67"/>
    <w:rsid w:val="00CC12AE"/>
    <w:rsid w:val="00CC2872"/>
    <w:rsid w:val="00CC3E0C"/>
    <w:rsid w:val="00CC58D3"/>
    <w:rsid w:val="00CC784D"/>
    <w:rsid w:val="00CC7E72"/>
    <w:rsid w:val="00CD08A9"/>
    <w:rsid w:val="00CD10D1"/>
    <w:rsid w:val="00CD26AC"/>
    <w:rsid w:val="00CD2F47"/>
    <w:rsid w:val="00CD72C8"/>
    <w:rsid w:val="00CE1E88"/>
    <w:rsid w:val="00CE2006"/>
    <w:rsid w:val="00CE51F5"/>
    <w:rsid w:val="00CE51F7"/>
    <w:rsid w:val="00CF15CF"/>
    <w:rsid w:val="00CF24B2"/>
    <w:rsid w:val="00CF69EF"/>
    <w:rsid w:val="00D01147"/>
    <w:rsid w:val="00D0337B"/>
    <w:rsid w:val="00D0412E"/>
    <w:rsid w:val="00D04F64"/>
    <w:rsid w:val="00D05B87"/>
    <w:rsid w:val="00D079B2"/>
    <w:rsid w:val="00D114E9"/>
    <w:rsid w:val="00D11A67"/>
    <w:rsid w:val="00D11FDA"/>
    <w:rsid w:val="00D12894"/>
    <w:rsid w:val="00D2393C"/>
    <w:rsid w:val="00D242F8"/>
    <w:rsid w:val="00D25665"/>
    <w:rsid w:val="00D362C8"/>
    <w:rsid w:val="00D369BE"/>
    <w:rsid w:val="00D37A4C"/>
    <w:rsid w:val="00D41BB5"/>
    <w:rsid w:val="00D429C6"/>
    <w:rsid w:val="00D45385"/>
    <w:rsid w:val="00D45825"/>
    <w:rsid w:val="00D470DA"/>
    <w:rsid w:val="00D47748"/>
    <w:rsid w:val="00D502F1"/>
    <w:rsid w:val="00D5483F"/>
    <w:rsid w:val="00D54CC3"/>
    <w:rsid w:val="00D567B0"/>
    <w:rsid w:val="00D60196"/>
    <w:rsid w:val="00D6041A"/>
    <w:rsid w:val="00D6053E"/>
    <w:rsid w:val="00D61769"/>
    <w:rsid w:val="00D633EB"/>
    <w:rsid w:val="00D67C55"/>
    <w:rsid w:val="00D71C2B"/>
    <w:rsid w:val="00D72991"/>
    <w:rsid w:val="00D7361B"/>
    <w:rsid w:val="00D738EF"/>
    <w:rsid w:val="00D827AB"/>
    <w:rsid w:val="00D82FF7"/>
    <w:rsid w:val="00D83842"/>
    <w:rsid w:val="00D847FE"/>
    <w:rsid w:val="00D85F8E"/>
    <w:rsid w:val="00D86EC2"/>
    <w:rsid w:val="00D9561C"/>
    <w:rsid w:val="00D964EA"/>
    <w:rsid w:val="00D966D0"/>
    <w:rsid w:val="00D977E3"/>
    <w:rsid w:val="00DA0C59"/>
    <w:rsid w:val="00DA1E1B"/>
    <w:rsid w:val="00DA255C"/>
    <w:rsid w:val="00DA2D15"/>
    <w:rsid w:val="00DA3991"/>
    <w:rsid w:val="00DA3A00"/>
    <w:rsid w:val="00DB1642"/>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422D"/>
    <w:rsid w:val="00DE54C0"/>
    <w:rsid w:val="00DE663F"/>
    <w:rsid w:val="00DF21E9"/>
    <w:rsid w:val="00DF3835"/>
    <w:rsid w:val="00DF4689"/>
    <w:rsid w:val="00DF642F"/>
    <w:rsid w:val="00DF7839"/>
    <w:rsid w:val="00DF7B36"/>
    <w:rsid w:val="00E00F14"/>
    <w:rsid w:val="00E014DB"/>
    <w:rsid w:val="00E01E2C"/>
    <w:rsid w:val="00E06386"/>
    <w:rsid w:val="00E06724"/>
    <w:rsid w:val="00E1121D"/>
    <w:rsid w:val="00E13AFD"/>
    <w:rsid w:val="00E14F96"/>
    <w:rsid w:val="00E16106"/>
    <w:rsid w:val="00E1779D"/>
    <w:rsid w:val="00E24EB4"/>
    <w:rsid w:val="00E30161"/>
    <w:rsid w:val="00E307BF"/>
    <w:rsid w:val="00E320ED"/>
    <w:rsid w:val="00E32C91"/>
    <w:rsid w:val="00E32DF6"/>
    <w:rsid w:val="00E33AFB"/>
    <w:rsid w:val="00E34218"/>
    <w:rsid w:val="00E36B6A"/>
    <w:rsid w:val="00E46282"/>
    <w:rsid w:val="00E47E10"/>
    <w:rsid w:val="00E51468"/>
    <w:rsid w:val="00E5216E"/>
    <w:rsid w:val="00E57BBB"/>
    <w:rsid w:val="00E608D9"/>
    <w:rsid w:val="00E60B84"/>
    <w:rsid w:val="00E65663"/>
    <w:rsid w:val="00E70631"/>
    <w:rsid w:val="00E72A9E"/>
    <w:rsid w:val="00E76C52"/>
    <w:rsid w:val="00E76F30"/>
    <w:rsid w:val="00E80B7C"/>
    <w:rsid w:val="00E82344"/>
    <w:rsid w:val="00E84C82"/>
    <w:rsid w:val="00E84D64"/>
    <w:rsid w:val="00E87408"/>
    <w:rsid w:val="00E914C4"/>
    <w:rsid w:val="00E934F5"/>
    <w:rsid w:val="00E96961"/>
    <w:rsid w:val="00EA6F38"/>
    <w:rsid w:val="00EA72EC"/>
    <w:rsid w:val="00EB04E1"/>
    <w:rsid w:val="00EB11CB"/>
    <w:rsid w:val="00EB19AF"/>
    <w:rsid w:val="00EB275A"/>
    <w:rsid w:val="00EB786A"/>
    <w:rsid w:val="00EB7F95"/>
    <w:rsid w:val="00EC1578"/>
    <w:rsid w:val="00EC1C72"/>
    <w:rsid w:val="00EC2945"/>
    <w:rsid w:val="00EC3CC9"/>
    <w:rsid w:val="00EC680A"/>
    <w:rsid w:val="00ED1196"/>
    <w:rsid w:val="00ED4DD7"/>
    <w:rsid w:val="00ED7980"/>
    <w:rsid w:val="00ED7AEE"/>
    <w:rsid w:val="00EE1A36"/>
    <w:rsid w:val="00EE1BF1"/>
    <w:rsid w:val="00EE205B"/>
    <w:rsid w:val="00EE2BED"/>
    <w:rsid w:val="00EE3414"/>
    <w:rsid w:val="00EE374B"/>
    <w:rsid w:val="00EE59FB"/>
    <w:rsid w:val="00EF10F8"/>
    <w:rsid w:val="00EF3D77"/>
    <w:rsid w:val="00EF58BA"/>
    <w:rsid w:val="00EF7629"/>
    <w:rsid w:val="00F01332"/>
    <w:rsid w:val="00F03415"/>
    <w:rsid w:val="00F03885"/>
    <w:rsid w:val="00F04C3F"/>
    <w:rsid w:val="00F11BB5"/>
    <w:rsid w:val="00F1417B"/>
    <w:rsid w:val="00F175E9"/>
    <w:rsid w:val="00F1787C"/>
    <w:rsid w:val="00F17E9C"/>
    <w:rsid w:val="00F25CC7"/>
    <w:rsid w:val="00F27FF2"/>
    <w:rsid w:val="00F34B99"/>
    <w:rsid w:val="00F37A7F"/>
    <w:rsid w:val="00F43145"/>
    <w:rsid w:val="00F47811"/>
    <w:rsid w:val="00F510E6"/>
    <w:rsid w:val="00F52DAB"/>
    <w:rsid w:val="00F543F0"/>
    <w:rsid w:val="00F54E41"/>
    <w:rsid w:val="00F57A6A"/>
    <w:rsid w:val="00F6373D"/>
    <w:rsid w:val="00F70F68"/>
    <w:rsid w:val="00F72314"/>
    <w:rsid w:val="00F737AD"/>
    <w:rsid w:val="00F81158"/>
    <w:rsid w:val="00F81D29"/>
    <w:rsid w:val="00F81D61"/>
    <w:rsid w:val="00F81DC8"/>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C2F6E"/>
    <w:rsid w:val="00FC6358"/>
    <w:rsid w:val="00FC6C90"/>
    <w:rsid w:val="00FD04BB"/>
    <w:rsid w:val="00FD320D"/>
    <w:rsid w:val="00FD570D"/>
    <w:rsid w:val="00FD5950"/>
    <w:rsid w:val="00FE23DE"/>
    <w:rsid w:val="00FE5E6A"/>
    <w:rsid w:val="00FE773B"/>
    <w:rsid w:val="00FF3033"/>
    <w:rsid w:val="03563CE3"/>
    <w:rsid w:val="04AF42EF"/>
    <w:rsid w:val="05C14567"/>
    <w:rsid w:val="05FF07B5"/>
    <w:rsid w:val="08E55DE7"/>
    <w:rsid w:val="0A130E9A"/>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F3E57F5"/>
    <w:rsid w:val="20236CFE"/>
    <w:rsid w:val="202E6203"/>
    <w:rsid w:val="208F11E7"/>
    <w:rsid w:val="215C14F1"/>
    <w:rsid w:val="22063364"/>
    <w:rsid w:val="22AA14D2"/>
    <w:rsid w:val="23671F2C"/>
    <w:rsid w:val="23CA246C"/>
    <w:rsid w:val="24642242"/>
    <w:rsid w:val="24767468"/>
    <w:rsid w:val="26615569"/>
    <w:rsid w:val="26834513"/>
    <w:rsid w:val="274A5AC6"/>
    <w:rsid w:val="28752F46"/>
    <w:rsid w:val="2AF66E22"/>
    <w:rsid w:val="2B8B7DC3"/>
    <w:rsid w:val="2BD650E5"/>
    <w:rsid w:val="2C2D37D2"/>
    <w:rsid w:val="2D1F1D65"/>
    <w:rsid w:val="2DAC5F75"/>
    <w:rsid w:val="2E1C1A4E"/>
    <w:rsid w:val="2E5D1AEE"/>
    <w:rsid w:val="2F062103"/>
    <w:rsid w:val="2FE82495"/>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8961A3"/>
    <w:rsid w:val="40EE303B"/>
    <w:rsid w:val="41695BCD"/>
    <w:rsid w:val="41B778CF"/>
    <w:rsid w:val="4383564A"/>
    <w:rsid w:val="451C3C40"/>
    <w:rsid w:val="45B03890"/>
    <w:rsid w:val="45C00343"/>
    <w:rsid w:val="469C2D08"/>
    <w:rsid w:val="46E9564A"/>
    <w:rsid w:val="47792D7C"/>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11666C"/>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5F100F"/>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autoRedefine/>
    <w:semiHidden/>
    <w:unhideWhenUsed/>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42"/>
    <w:autoRedefine/>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43"/>
    <w:autoRedefine/>
    <w:qFormat/>
    <w:uiPriority w:val="0"/>
    <w:rPr>
      <w:sz w:val="18"/>
      <w:szCs w:val="18"/>
    </w:rPr>
  </w:style>
  <w:style w:type="paragraph" w:styleId="16">
    <w:name w:val="footer"/>
    <w:basedOn w:val="1"/>
    <w:link w:val="44"/>
    <w:autoRedefine/>
    <w:qFormat/>
    <w:uiPriority w:val="99"/>
    <w:pPr>
      <w:snapToGrid w:val="0"/>
      <w:ind w:right="210" w:rightChars="100"/>
      <w:jc w:val="right"/>
    </w:pPr>
    <w:rPr>
      <w:sz w:val="18"/>
      <w:szCs w:val="18"/>
    </w:rPr>
  </w:style>
  <w:style w:type="paragraph" w:styleId="17">
    <w:name w:val="header"/>
    <w:basedOn w:val="1"/>
    <w:link w:val="45"/>
    <w:autoRedefine/>
    <w:qFormat/>
    <w:uiPriority w:val="99"/>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Body Text Indent 3"/>
    <w:basedOn w:val="1"/>
    <w:autoRedefine/>
    <w:qFormat/>
    <w:uiPriority w:val="99"/>
    <w:pPr>
      <w:spacing w:after="120"/>
      <w:ind w:left="420" w:leftChars="200"/>
    </w:pPr>
    <w:rPr>
      <w:sz w:val="16"/>
      <w:szCs w:val="16"/>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Normal (Web)"/>
    <w:basedOn w:val="1"/>
    <w:autoRedefine/>
    <w:qFormat/>
    <w:uiPriority w:val="0"/>
    <w:rPr>
      <w:sz w:val="24"/>
    </w:rPr>
  </w:style>
  <w:style w:type="paragraph" w:styleId="31">
    <w:name w:val="index 2"/>
    <w:basedOn w:val="1"/>
    <w:next w:val="1"/>
    <w:autoRedefine/>
    <w:qFormat/>
    <w:uiPriority w:val="0"/>
    <w:pPr>
      <w:ind w:left="420" w:hanging="210"/>
      <w:jc w:val="left"/>
    </w:pPr>
    <w:rPr>
      <w:rFonts w:ascii="Calibri" w:hAnsi="Calibri"/>
      <w:sz w:val="20"/>
      <w:szCs w:val="20"/>
    </w:rPr>
  </w:style>
  <w:style w:type="paragraph" w:styleId="32">
    <w:name w:val="annotation subject"/>
    <w:basedOn w:val="7"/>
    <w:next w:val="7"/>
    <w:link w:val="47"/>
    <w:autoRedefine/>
    <w:qFormat/>
    <w:uiPriority w:val="0"/>
    <w:rPr>
      <w:b/>
      <w:bCs/>
    </w:rPr>
  </w:style>
  <w:style w:type="table" w:styleId="34">
    <w:name w:val="Table Grid"/>
    <w:basedOn w:val="33"/>
    <w:autoRedefine/>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0"/>
    <w:rPr>
      <w:color w:val="800080"/>
      <w:u w:val="single"/>
    </w:rPr>
  </w:style>
  <w:style w:type="character" w:styleId="39">
    <w:name w:val="Hyperlink"/>
    <w:autoRedefine/>
    <w:qFormat/>
    <w:uiPriority w:val="0"/>
    <w:rPr>
      <w:color w:val="0000FF"/>
      <w:spacing w:val="0"/>
      <w:w w:val="100"/>
      <w:szCs w:val="21"/>
      <w:u w:val="single"/>
    </w:rPr>
  </w:style>
  <w:style w:type="character" w:styleId="40">
    <w:name w:val="annotation reference"/>
    <w:autoRedefine/>
    <w:qFormat/>
    <w:uiPriority w:val="0"/>
    <w:rPr>
      <w:sz w:val="21"/>
      <w:szCs w:val="21"/>
    </w:rPr>
  </w:style>
  <w:style w:type="character" w:styleId="41">
    <w:name w:val="footnote reference"/>
    <w:autoRedefine/>
    <w:semiHidden/>
    <w:qFormat/>
    <w:uiPriority w:val="0"/>
    <w:rPr>
      <w:vertAlign w:val="superscript"/>
    </w:rPr>
  </w:style>
  <w:style w:type="character" w:customStyle="1" w:styleId="42">
    <w:name w:val="批注文字 字符"/>
    <w:link w:val="7"/>
    <w:autoRedefine/>
    <w:qFormat/>
    <w:uiPriority w:val="0"/>
    <w:rPr>
      <w:kern w:val="2"/>
      <w:sz w:val="21"/>
      <w:szCs w:val="24"/>
    </w:rPr>
  </w:style>
  <w:style w:type="character" w:customStyle="1" w:styleId="43">
    <w:name w:val="批注框文本 字符"/>
    <w:link w:val="15"/>
    <w:autoRedefine/>
    <w:qFormat/>
    <w:uiPriority w:val="0"/>
    <w:rPr>
      <w:kern w:val="2"/>
      <w:sz w:val="18"/>
      <w:szCs w:val="18"/>
    </w:rPr>
  </w:style>
  <w:style w:type="character" w:customStyle="1" w:styleId="44">
    <w:name w:val="页脚 字符"/>
    <w:link w:val="16"/>
    <w:autoRedefine/>
    <w:qFormat/>
    <w:locked/>
    <w:uiPriority w:val="99"/>
    <w:rPr>
      <w:kern w:val="2"/>
      <w:sz w:val="18"/>
      <w:szCs w:val="18"/>
    </w:rPr>
  </w:style>
  <w:style w:type="character" w:customStyle="1" w:styleId="45">
    <w:name w:val="页眉 字符"/>
    <w:link w:val="17"/>
    <w:autoRedefine/>
    <w:qFormat/>
    <w:locked/>
    <w:uiPriority w:val="99"/>
    <w:rPr>
      <w:kern w:val="2"/>
      <w:sz w:val="18"/>
      <w:szCs w:val="18"/>
    </w:rPr>
  </w:style>
  <w:style w:type="character" w:customStyle="1" w:styleId="46">
    <w:name w:val="段 Char"/>
    <w:link w:val="22"/>
    <w:autoRedefine/>
    <w:qFormat/>
    <w:uiPriority w:val="0"/>
    <w:rPr>
      <w:rFonts w:ascii="宋体"/>
      <w:sz w:val="21"/>
      <w:lang w:val="en-US" w:eastAsia="zh-CN" w:bidi="ar-SA"/>
    </w:rPr>
  </w:style>
  <w:style w:type="character" w:customStyle="1" w:styleId="47">
    <w:name w:val="批注主题 字符"/>
    <w:link w:val="32"/>
    <w:autoRedefine/>
    <w:qFormat/>
    <w:uiPriority w:val="0"/>
    <w:rPr>
      <w:b/>
      <w:bCs/>
      <w:kern w:val="2"/>
      <w:sz w:val="21"/>
      <w:szCs w:val="24"/>
    </w:rPr>
  </w:style>
  <w:style w:type="character" w:customStyle="1" w:styleId="48">
    <w:name w:val="发布"/>
    <w:autoRedefine/>
    <w:qFormat/>
    <w:uiPriority w:val="0"/>
    <w:rPr>
      <w:rFonts w:ascii="黑体" w:eastAsia="黑体"/>
      <w:spacing w:val="85"/>
      <w:w w:val="100"/>
      <w:position w:val="3"/>
      <w:sz w:val="28"/>
      <w:szCs w:val="28"/>
    </w:rPr>
  </w:style>
  <w:style w:type="character" w:customStyle="1" w:styleId="49">
    <w:name w:val="附录公式 Char"/>
    <w:link w:val="50"/>
    <w:autoRedefine/>
    <w:qFormat/>
    <w:uiPriority w:val="0"/>
    <w:rPr>
      <w:lang w:val="en-US" w:eastAsia="zh-CN" w:bidi="ar-SA"/>
    </w:rPr>
  </w:style>
  <w:style w:type="paragraph" w:customStyle="1" w:styleId="50">
    <w:name w:val="附录公式"/>
    <w:basedOn w:val="22"/>
    <w:next w:val="22"/>
    <w:link w:val="49"/>
    <w:autoRedefine/>
    <w:qFormat/>
    <w:uiPriority w:val="0"/>
    <w:rPr>
      <w:rFonts w:ascii="Times New Roman"/>
      <w:sz w:val="20"/>
    </w:rPr>
  </w:style>
  <w:style w:type="character" w:customStyle="1" w:styleId="51">
    <w:name w:val="章标题 Char"/>
    <w:link w:val="52"/>
    <w:autoRedefine/>
    <w:qFormat/>
    <w:locked/>
    <w:uiPriority w:val="0"/>
    <w:rPr>
      <w:rFonts w:ascii="黑体" w:eastAsia="黑体"/>
      <w:sz w:val="21"/>
      <w:lang w:val="en-US" w:eastAsia="zh-CN" w:bidi="ar-SA"/>
    </w:rPr>
  </w:style>
  <w:style w:type="paragraph" w:customStyle="1" w:styleId="52">
    <w:name w:val="章标题"/>
    <w:next w:val="22"/>
    <w:link w:val="51"/>
    <w:autoRedefine/>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autoRedefine/>
    <w:qFormat/>
    <w:locked/>
    <w:uiPriority w:val="0"/>
    <w:rPr>
      <w:rFonts w:ascii="黑体" w:eastAsia="黑体"/>
      <w:sz w:val="21"/>
      <w:szCs w:val="21"/>
      <w:lang w:val="en-US" w:eastAsia="zh-CN" w:bidi="ar-SA"/>
    </w:rPr>
  </w:style>
  <w:style w:type="paragraph" w:customStyle="1" w:styleId="54">
    <w:name w:val="一级条标题"/>
    <w:next w:val="22"/>
    <w:link w:val="53"/>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autoRedefine/>
    <w:qFormat/>
    <w:locked/>
    <w:uiPriority w:val="0"/>
    <w:rPr>
      <w:rFonts w:ascii="黑体" w:eastAsia="黑体"/>
      <w:sz w:val="21"/>
      <w:szCs w:val="21"/>
    </w:rPr>
  </w:style>
  <w:style w:type="paragraph" w:customStyle="1" w:styleId="56">
    <w:name w:val="二级条标题"/>
    <w:basedOn w:val="54"/>
    <w:next w:val="22"/>
    <w:link w:val="55"/>
    <w:autoRedefine/>
    <w:qFormat/>
    <w:uiPriority w:val="0"/>
    <w:pPr>
      <w:numPr>
        <w:ilvl w:val="2"/>
      </w:numPr>
      <w:spacing w:before="50" w:after="50"/>
      <w:outlineLvl w:val="3"/>
    </w:pPr>
  </w:style>
  <w:style w:type="character" w:customStyle="1" w:styleId="57">
    <w:name w:val="首示例 Char"/>
    <w:link w:val="58"/>
    <w:autoRedefine/>
    <w:qFormat/>
    <w:uiPriority w:val="0"/>
    <w:rPr>
      <w:rFonts w:ascii="宋体" w:hAnsi="宋体"/>
      <w:kern w:val="2"/>
      <w:sz w:val="18"/>
      <w:szCs w:val="18"/>
      <w:lang w:val="en-US" w:eastAsia="zh-CN" w:bidi="ar-SA"/>
    </w:rPr>
  </w:style>
  <w:style w:type="paragraph" w:customStyle="1" w:styleId="58">
    <w:name w:val="首示例"/>
    <w:next w:val="22"/>
    <w:link w:val="57"/>
    <w:autoRedefine/>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autoRedefine/>
    <w:qFormat/>
    <w:locked/>
    <w:uiPriority w:val="0"/>
    <w:rPr>
      <w:rFonts w:ascii="宋体"/>
      <w:sz w:val="21"/>
      <w:szCs w:val="21"/>
    </w:rPr>
  </w:style>
  <w:style w:type="paragraph" w:customStyle="1" w:styleId="60">
    <w:name w:val="二级无"/>
    <w:basedOn w:val="56"/>
    <w:link w:val="59"/>
    <w:autoRedefine/>
    <w:qFormat/>
    <w:uiPriority w:val="0"/>
    <w:pPr>
      <w:spacing w:before="0" w:beforeLines="0" w:after="0" w:afterLines="0"/>
    </w:pPr>
    <w:rPr>
      <w:rFonts w:ascii="宋体" w:eastAsia="宋体"/>
    </w:rPr>
  </w:style>
  <w:style w:type="paragraph" w:customStyle="1" w:styleId="61">
    <w:name w:val="列项◆（三级）"/>
    <w:basedOn w:val="1"/>
    <w:autoRedefine/>
    <w:qFormat/>
    <w:uiPriority w:val="0"/>
    <w:pPr>
      <w:numPr>
        <w:ilvl w:val="2"/>
        <w:numId w:val="5"/>
      </w:numPr>
    </w:pPr>
    <w:rPr>
      <w:rFonts w:ascii="宋体"/>
      <w:szCs w:val="21"/>
    </w:rPr>
  </w:style>
  <w:style w:type="paragraph" w:customStyle="1" w:styleId="6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autoRedefine/>
    <w:qFormat/>
    <w:uiPriority w:val="0"/>
    <w:pPr>
      <w:numPr>
        <w:numId w:val="0"/>
      </w:numPr>
      <w:jc w:val="both"/>
    </w:pPr>
  </w:style>
  <w:style w:type="paragraph" w:customStyle="1" w:styleId="64">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autoRedefine/>
    <w:qFormat/>
    <w:uiPriority w:val="0"/>
    <w:pPr>
      <w:framePr w:wrap="around"/>
      <w:spacing w:after="160" w:line="240" w:lineRule="auto"/>
    </w:pPr>
    <w:rPr>
      <w:sz w:val="24"/>
    </w:rPr>
  </w:style>
  <w:style w:type="paragraph" w:customStyle="1" w:styleId="69">
    <w:name w:val="封面一致性程度标识"/>
    <w:basedOn w:val="70"/>
    <w:autoRedefine/>
    <w:qFormat/>
    <w:uiPriority w:val="99"/>
    <w:pPr>
      <w:framePr w:wrap="around"/>
      <w:spacing w:before="440"/>
    </w:pPr>
    <w:rPr>
      <w:rFonts w:ascii="宋体" w:eastAsia="宋体"/>
    </w:rPr>
  </w:style>
  <w:style w:type="paragraph" w:customStyle="1" w:styleId="70">
    <w:name w:val="封面标准英文名称"/>
    <w:basedOn w:val="71"/>
    <w:autoRedefine/>
    <w:qFormat/>
    <w:uiPriority w:val="0"/>
    <w:pPr>
      <w:framePr w:wrap="around"/>
      <w:spacing w:before="370" w:line="400" w:lineRule="exact"/>
    </w:pPr>
    <w:rPr>
      <w:rFonts w:ascii="Times New Roman"/>
      <w:sz w:val="28"/>
      <w:szCs w:val="28"/>
    </w:rPr>
  </w:style>
  <w:style w:type="paragraph" w:customStyle="1" w:styleId="7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autoRedefine/>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autoRedefine/>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autoRedefine/>
    <w:qFormat/>
    <w:uiPriority w:val="0"/>
    <w:pPr>
      <w:numPr>
        <w:ilvl w:val="5"/>
      </w:numPr>
      <w:tabs>
        <w:tab w:val="left" w:pos="360"/>
      </w:tabs>
      <w:outlineLvl w:val="5"/>
    </w:pPr>
  </w:style>
  <w:style w:type="paragraph" w:customStyle="1" w:styleId="76">
    <w:name w:val="附录三级条标题"/>
    <w:basedOn w:val="77"/>
    <w:next w:val="22"/>
    <w:autoRedefine/>
    <w:qFormat/>
    <w:uiPriority w:val="0"/>
    <w:pPr>
      <w:numPr>
        <w:ilvl w:val="4"/>
      </w:numPr>
      <w:tabs>
        <w:tab w:val="left" w:pos="360"/>
      </w:tabs>
      <w:outlineLvl w:val="4"/>
    </w:pPr>
  </w:style>
  <w:style w:type="paragraph" w:customStyle="1" w:styleId="77">
    <w:name w:val="附录二级条标题"/>
    <w:basedOn w:val="1"/>
    <w:next w:val="22"/>
    <w:autoRedefine/>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autoRedefine/>
    <w:qFormat/>
    <w:uiPriority w:val="0"/>
    <w:pPr>
      <w:numPr>
        <w:ilvl w:val="3"/>
      </w:numPr>
      <w:outlineLvl w:val="4"/>
    </w:pPr>
  </w:style>
  <w:style w:type="paragraph" w:customStyle="1" w:styleId="79">
    <w:name w:val="四级条标题"/>
    <w:basedOn w:val="78"/>
    <w:next w:val="22"/>
    <w:autoRedefine/>
    <w:qFormat/>
    <w:uiPriority w:val="0"/>
    <w:pPr>
      <w:numPr>
        <w:ilvl w:val="4"/>
      </w:numPr>
      <w:outlineLvl w:val="5"/>
    </w:pPr>
  </w:style>
  <w:style w:type="paragraph" w:customStyle="1" w:styleId="80">
    <w:name w:val="示例×："/>
    <w:basedOn w:val="52"/>
    <w:autoRedefine/>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autoRedefine/>
    <w:qFormat/>
    <w:uiPriority w:val="0"/>
    <w:pPr>
      <w:framePr w:w="6101" w:wrap="around" w:vAnchor="page" w:hAnchor="page" w:x="4673" w:y="942"/>
    </w:pPr>
    <w:rPr>
      <w:w w:val="130"/>
    </w:rPr>
  </w:style>
  <w:style w:type="paragraph" w:customStyle="1" w:styleId="8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autoRedefine/>
    <w:qFormat/>
    <w:uiPriority w:val="0"/>
    <w:pPr>
      <w:framePr w:wrap="around" w:y="4469"/>
    </w:pPr>
  </w:style>
  <w:style w:type="paragraph" w:customStyle="1" w:styleId="87">
    <w:name w:val="封面标准文稿编辑信息"/>
    <w:basedOn w:val="68"/>
    <w:autoRedefine/>
    <w:qFormat/>
    <w:uiPriority w:val="0"/>
    <w:pPr>
      <w:framePr w:wrap="around"/>
      <w:spacing w:before="180" w:line="180" w:lineRule="exact"/>
    </w:pPr>
    <w:rPr>
      <w:sz w:val="21"/>
    </w:rPr>
  </w:style>
  <w:style w:type="paragraph" w:customStyle="1" w:styleId="88">
    <w:name w:val="封面标准英文名称2"/>
    <w:basedOn w:val="70"/>
    <w:autoRedefine/>
    <w:qFormat/>
    <w:uiPriority w:val="0"/>
    <w:pPr>
      <w:framePr w:wrap="around" w:y="4469"/>
    </w:pPr>
  </w:style>
  <w:style w:type="paragraph" w:customStyle="1" w:styleId="89">
    <w:name w:val="封面一致性程度标识2"/>
    <w:basedOn w:val="69"/>
    <w:autoRedefine/>
    <w:qFormat/>
    <w:uiPriority w:val="0"/>
    <w:pPr>
      <w:framePr w:wrap="around" w:y="4469"/>
    </w:pPr>
  </w:style>
  <w:style w:type="paragraph" w:customStyle="1" w:styleId="90">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autoRedefine/>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autoRedefine/>
    <w:qFormat/>
    <w:uiPriority w:val="99"/>
    <w:pPr>
      <w:framePr w:wrap="around"/>
    </w:pPr>
  </w:style>
  <w:style w:type="paragraph" w:customStyle="1" w:styleId="93">
    <w:name w:val="实施日期"/>
    <w:basedOn w:val="66"/>
    <w:autoRedefine/>
    <w:qFormat/>
    <w:uiPriority w:val="0"/>
    <w:pPr>
      <w:framePr w:wrap="around" w:vAnchor="page" w:hAnchor="text"/>
      <w:jc w:val="right"/>
    </w:pPr>
  </w:style>
  <w:style w:type="paragraph" w:customStyle="1" w:styleId="94">
    <w:name w:val="附录表标题"/>
    <w:basedOn w:val="1"/>
    <w:next w:val="22"/>
    <w:autoRedefine/>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autoRedefine/>
    <w:qFormat/>
    <w:uiPriority w:val="0"/>
    <w:pPr>
      <w:ind w:firstLine="360"/>
    </w:pPr>
    <w:rPr>
      <w:sz w:val="18"/>
    </w:rPr>
  </w:style>
  <w:style w:type="paragraph" w:customStyle="1" w:styleId="99">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autoRedefine/>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autoRedefine/>
    <w:qFormat/>
    <w:uiPriority w:val="0"/>
    <w:pPr>
      <w:numPr>
        <w:ilvl w:val="6"/>
      </w:numPr>
      <w:outlineLvl w:val="6"/>
    </w:pPr>
  </w:style>
  <w:style w:type="paragraph" w:customStyle="1" w:styleId="10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autoRedefine/>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autoRedefine/>
    <w:qFormat/>
    <w:uiPriority w:val="0"/>
    <w:pPr>
      <w:numPr>
        <w:ilvl w:val="5"/>
      </w:numPr>
      <w:outlineLvl w:val="6"/>
    </w:pPr>
  </w:style>
  <w:style w:type="paragraph" w:customStyle="1" w:styleId="105">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autoRedefine/>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autoRedefine/>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autoRedefine/>
    <w:qFormat/>
    <w:uiPriority w:val="0"/>
    <w:pPr>
      <w:framePr w:hSpace="181" w:vSpace="181" w:wrap="around" w:vAnchor="text" w:hAnchor="margin" w:xAlign="center" w:y="285"/>
    </w:pPr>
  </w:style>
  <w:style w:type="paragraph" w:customStyle="1" w:styleId="110">
    <w:name w:val="其他发布部门"/>
    <w:basedOn w:val="105"/>
    <w:autoRedefine/>
    <w:qFormat/>
    <w:uiPriority w:val="0"/>
    <w:pPr>
      <w:framePr w:wrap="around" w:y="15310"/>
      <w:spacing w:line="0" w:lineRule="atLeast"/>
    </w:pPr>
    <w:rPr>
      <w:rFonts w:ascii="黑体" w:eastAsia="黑体"/>
      <w:b w:val="0"/>
    </w:rPr>
  </w:style>
  <w:style w:type="paragraph" w:styleId="111">
    <w:name w:val="List Paragraph"/>
    <w:basedOn w:val="1"/>
    <w:autoRedefine/>
    <w:qFormat/>
    <w:uiPriority w:val="34"/>
    <w:pPr>
      <w:ind w:firstLine="420" w:firstLineChars="200"/>
    </w:pPr>
    <w:rPr>
      <w:rFonts w:ascii="Calibri" w:hAnsi="Calibri"/>
      <w:szCs w:val="22"/>
    </w:rPr>
  </w:style>
  <w:style w:type="paragraph" w:customStyle="1" w:styleId="112">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autoRedefine/>
    <w:qFormat/>
    <w:uiPriority w:val="99"/>
    <w:pPr>
      <w:framePr w:wrap="around" w:vAnchor="page" w:hAnchor="text" w:x="1419"/>
    </w:pPr>
  </w:style>
  <w:style w:type="paragraph" w:customStyle="1" w:styleId="11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autoRedefine/>
    <w:qFormat/>
    <w:uiPriority w:val="0"/>
    <w:pPr>
      <w:spacing w:before="0" w:beforeLines="0" w:after="0" w:afterLines="0"/>
    </w:pPr>
    <w:rPr>
      <w:rFonts w:ascii="宋体" w:eastAsia="宋体"/>
    </w:rPr>
  </w:style>
  <w:style w:type="paragraph" w:customStyle="1" w:styleId="116">
    <w:name w:val="三级无"/>
    <w:basedOn w:val="78"/>
    <w:autoRedefine/>
    <w:qFormat/>
    <w:uiPriority w:val="0"/>
    <w:pPr>
      <w:spacing w:before="0" w:beforeLines="0" w:after="0" w:afterLines="0"/>
    </w:pPr>
    <w:rPr>
      <w:rFonts w:ascii="宋体" w:eastAsia="宋体"/>
    </w:rPr>
  </w:style>
  <w:style w:type="paragraph" w:customStyle="1" w:styleId="117">
    <w:name w:val="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autoRedefine/>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autoRedefine/>
    <w:qFormat/>
    <w:uiPriority w:val="0"/>
    <w:pPr>
      <w:framePr w:wrap="around" w:y="4469"/>
    </w:pPr>
  </w:style>
  <w:style w:type="paragraph" w:customStyle="1" w:styleId="120">
    <w:name w:val="五级无"/>
    <w:basedOn w:val="104"/>
    <w:autoRedefine/>
    <w:qFormat/>
    <w:uiPriority w:val="0"/>
    <w:pPr>
      <w:spacing w:before="0" w:beforeLines="0" w:after="0" w:afterLines="0"/>
    </w:pPr>
    <w:rPr>
      <w:rFonts w:ascii="宋体" w:eastAsia="宋体"/>
    </w:rPr>
  </w:style>
  <w:style w:type="paragraph" w:customStyle="1" w:styleId="121">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autoRedefine/>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autoRedefine/>
    <w:qFormat/>
    <w:uiPriority w:val="0"/>
    <w:pPr>
      <w:framePr w:wrap="around" w:y="4469"/>
      <w:spacing w:before="630" w:beforeLines="630"/>
    </w:pPr>
  </w:style>
  <w:style w:type="paragraph" w:customStyle="1" w:styleId="126">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autoRedefine/>
    <w:qFormat/>
    <w:uiPriority w:val="0"/>
    <w:pPr>
      <w:spacing w:before="0" w:beforeLines="0" w:after="0" w:afterLines="0"/>
    </w:pPr>
    <w:rPr>
      <w:rFonts w:ascii="宋体" w:eastAsia="宋体"/>
    </w:rPr>
  </w:style>
  <w:style w:type="paragraph" w:customStyle="1" w:styleId="12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autoRedefine/>
    <w:qFormat/>
    <w:uiPriority w:val="0"/>
    <w:pPr>
      <w:numPr>
        <w:ilvl w:val="2"/>
      </w:numPr>
      <w:autoSpaceDN w:val="0"/>
      <w:spacing w:before="50" w:beforeLines="50" w:after="50" w:afterLines="50"/>
      <w:outlineLvl w:val="2"/>
    </w:pPr>
  </w:style>
  <w:style w:type="paragraph" w:customStyle="1" w:styleId="130">
    <w:name w:val="附录标题"/>
    <w:basedOn w:val="22"/>
    <w:next w:val="22"/>
    <w:autoRedefine/>
    <w:qFormat/>
    <w:uiPriority w:val="0"/>
    <w:pPr>
      <w:ind w:firstLine="0" w:firstLineChars="0"/>
      <w:jc w:val="center"/>
    </w:pPr>
    <w:rPr>
      <w:rFonts w:ascii="黑体" w:eastAsia="黑体"/>
    </w:rPr>
  </w:style>
  <w:style w:type="paragraph" w:customStyle="1" w:styleId="131">
    <w:name w:val="标准书眉_偶数页"/>
    <w:basedOn w:val="62"/>
    <w:next w:val="1"/>
    <w:autoRedefine/>
    <w:qFormat/>
    <w:uiPriority w:val="0"/>
    <w:pPr>
      <w:jc w:val="left"/>
    </w:pPr>
  </w:style>
  <w:style w:type="paragraph" w:customStyle="1" w:styleId="13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autoRedefine/>
    <w:qFormat/>
    <w:uiPriority w:val="0"/>
  </w:style>
  <w:style w:type="paragraph" w:customStyle="1" w:styleId="134">
    <w:name w:val="附录图标题"/>
    <w:basedOn w:val="1"/>
    <w:next w:val="22"/>
    <w:autoRedefine/>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autoRedefine/>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autoRedefine/>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autoRedefine/>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autoRedefine/>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autoRedefine/>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autoRedefine/>
    <w:qFormat/>
    <w:uiPriority w:val="0"/>
    <w:pPr>
      <w:adjustRightInd w:val="0"/>
      <w:spacing w:line="360" w:lineRule="auto"/>
    </w:pPr>
    <w:rPr>
      <w:kern w:val="0"/>
      <w:sz w:val="24"/>
      <w:szCs w:val="20"/>
    </w:rPr>
  </w:style>
  <w:style w:type="paragraph" w:customStyle="1" w:styleId="143">
    <w:name w:val="图表脚注说明"/>
    <w:basedOn w:val="1"/>
    <w:autoRedefine/>
    <w:qFormat/>
    <w:uiPriority w:val="0"/>
    <w:pPr>
      <w:numPr>
        <w:ilvl w:val="0"/>
        <w:numId w:val="2"/>
      </w:numPr>
    </w:pPr>
    <w:rPr>
      <w:rFonts w:ascii="宋体"/>
      <w:sz w:val="18"/>
      <w:szCs w:val="18"/>
    </w:rPr>
  </w:style>
  <w:style w:type="paragraph" w:customStyle="1" w:styleId="144">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autoRedefine/>
    <w:qFormat/>
    <w:uiPriority w:val="0"/>
    <w:pPr>
      <w:ind w:left="840" w:hanging="420" w:firstLineChars="0"/>
    </w:pPr>
    <w:rPr>
      <w:sz w:val="18"/>
      <w:szCs w:val="18"/>
    </w:rPr>
  </w:style>
  <w:style w:type="paragraph" w:customStyle="1" w:styleId="146">
    <w:name w:val="附录二级无"/>
    <w:basedOn w:val="77"/>
    <w:autoRedefine/>
    <w:qFormat/>
    <w:uiPriority w:val="0"/>
    <w:pPr>
      <w:tabs>
        <w:tab w:val="clear" w:pos="360"/>
      </w:tabs>
      <w:spacing w:before="0" w:beforeLines="0" w:after="0" w:afterLines="0"/>
    </w:pPr>
    <w:rPr>
      <w:rFonts w:ascii="宋体" w:eastAsia="宋体"/>
      <w:szCs w:val="21"/>
    </w:rPr>
  </w:style>
  <w:style w:type="paragraph" w:customStyle="1" w:styleId="147">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autoRedefine/>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autoRedefine/>
    <w:qFormat/>
    <w:uiPriority w:val="0"/>
    <w:pPr>
      <w:ind w:firstLine="0" w:firstLineChars="0"/>
    </w:pPr>
  </w:style>
  <w:style w:type="character" w:customStyle="1" w:styleId="150">
    <w:name w:val="font41"/>
    <w:autoRedefine/>
    <w:qFormat/>
    <w:uiPriority w:val="0"/>
    <w:rPr>
      <w:rFonts w:hint="eastAsia" w:ascii="黑体" w:hAnsi="宋体" w:eastAsia="黑体" w:cs="黑体"/>
      <w:b/>
      <w:bCs/>
      <w:color w:val="000000"/>
      <w:sz w:val="24"/>
      <w:szCs w:val="24"/>
      <w:u w:val="none"/>
    </w:rPr>
  </w:style>
  <w:style w:type="character" w:customStyle="1" w:styleId="151">
    <w:name w:val="font31"/>
    <w:autoRedefine/>
    <w:qFormat/>
    <w:uiPriority w:val="0"/>
    <w:rPr>
      <w:rFonts w:hint="eastAsia" w:ascii="黑体" w:hAnsi="宋体" w:eastAsia="黑体" w:cs="黑体"/>
      <w:color w:val="000000"/>
      <w:sz w:val="22"/>
      <w:szCs w:val="22"/>
      <w:u w:val="none"/>
    </w:rPr>
  </w:style>
  <w:style w:type="character" w:customStyle="1" w:styleId="152">
    <w:name w:val="font01"/>
    <w:autoRedefine/>
    <w:qFormat/>
    <w:uiPriority w:val="0"/>
    <w:rPr>
      <w:rFonts w:hint="eastAsia" w:ascii="宋体" w:hAnsi="宋体" w:eastAsia="宋体" w:cs="宋体"/>
      <w:color w:val="000000"/>
      <w:sz w:val="22"/>
      <w:szCs w:val="22"/>
      <w:u w:val="none"/>
    </w:rPr>
  </w:style>
  <w:style w:type="paragraph" w:customStyle="1" w:styleId="15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autoRedefine/>
    <w:qFormat/>
    <w:uiPriority w:val="0"/>
    <w:rPr>
      <w:rFonts w:hint="eastAsia" w:ascii="宋体" w:hAnsi="宋体" w:eastAsia="宋体"/>
      <w:color w:val="000000"/>
      <w:sz w:val="22"/>
      <w:szCs w:val="22"/>
    </w:rPr>
  </w:style>
  <w:style w:type="character" w:customStyle="1" w:styleId="156">
    <w:name w:val="fontstyle21"/>
    <w:autoRedefine/>
    <w:qFormat/>
    <w:uiPriority w:val="0"/>
    <w:rPr>
      <w:rFonts w:hint="eastAsia" w:ascii="黑体" w:hAnsi="黑体" w:eastAsia="黑体"/>
      <w:color w:val="000000"/>
      <w:sz w:val="22"/>
      <w:szCs w:val="22"/>
    </w:rPr>
  </w:style>
  <w:style w:type="paragraph" w:customStyle="1" w:styleId="157">
    <w:name w:val="msolistparagraph"/>
    <w:basedOn w:val="1"/>
    <w:autoRedefine/>
    <w:qFormat/>
    <w:uiPriority w:val="0"/>
    <w:pPr>
      <w:ind w:firstLine="420" w:firstLineChars="200"/>
    </w:pPr>
  </w:style>
  <w:style w:type="paragraph" w:customStyle="1" w:styleId="158">
    <w:name w:val="Table Text"/>
    <w:basedOn w:val="1"/>
    <w:autoRedefine/>
    <w:semiHidden/>
    <w:qFormat/>
    <w:uiPriority w:val="0"/>
    <w:rPr>
      <w:rFonts w:eastAsia="Times New Roman"/>
      <w:sz w:val="18"/>
      <w:szCs w:val="18"/>
      <w:lang w:eastAsia="en-US"/>
    </w:rPr>
  </w:style>
  <w:style w:type="table" w:customStyle="1" w:styleId="159">
    <w:name w:val="Table Normal"/>
    <w:autoRedefine/>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1940</Words>
  <Characters>11062</Characters>
  <Lines>92</Lines>
  <Paragraphs>25</Paragraphs>
  <TotalTime>0</TotalTime>
  <ScaleCrop>false</ScaleCrop>
  <LinksUpToDate>false</LinksUpToDate>
  <CharactersWithSpaces>12977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2024-01-18T03:25:15Z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871FF01CB9864BDFA70E199055EA1C67_13</vt:lpwstr>
  </property>
</Properties>
</file>