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海洋工程用特厚超高强钢板</w:t>
      </w:r>
      <w:r>
        <w:rPr>
          <w:rFonts w:ascii="Times New Roman" w:hAnsi="Times New Roman" w:eastAsia="黑体" w:cs="Times New Roman"/>
          <w:b/>
          <w:kern w:val="0"/>
          <w:sz w:val="36"/>
          <w:szCs w:val="36"/>
        </w:rPr>
        <w:t>》</w:t>
      </w:r>
    </w:p>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南京钢铁联合有限公司、</w:t>
      </w:r>
      <w:r>
        <w:rPr>
          <w:rFonts w:ascii="Times New Roman" w:hAnsi="Times New Roman" w:eastAsia="仿宋_GB2312" w:cs="Times New Roman"/>
          <w:sz w:val="28"/>
          <w:szCs w:val="28"/>
        </w:rPr>
        <w:t>冶金工业规划研究</w:t>
      </w:r>
      <w:r>
        <w:rPr>
          <w:rFonts w:hint="eastAsia" w:ascii="Times New Roman" w:hAnsi="Times New Roman" w:eastAsia="仿宋_GB2312" w:cs="Times New Roman"/>
          <w:sz w:val="28"/>
          <w:szCs w:val="28"/>
        </w:rPr>
        <w:t>院</w:t>
      </w:r>
      <w:r>
        <w:rPr>
          <w:rFonts w:ascii="Times New Roman" w:hAnsi="Times New Roman" w:eastAsia="仿宋_GB2312" w:cs="Times New Roman"/>
          <w:sz w:val="28"/>
          <w:szCs w:val="28"/>
        </w:rPr>
        <w:t>等单位共同参与起草，计划于20</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前完成《</w:t>
      </w:r>
      <w:r>
        <w:rPr>
          <w:rFonts w:hint="eastAsia" w:ascii="Times New Roman" w:hAnsi="Times New Roman" w:eastAsia="仿宋_GB2312" w:cs="Times New Roman"/>
          <w:sz w:val="28"/>
          <w:szCs w:val="28"/>
          <w:lang w:eastAsia="zh-CN"/>
        </w:rPr>
        <w:t>海洋工程用特厚超高强钢板</w:t>
      </w:r>
      <w:r>
        <w:rPr>
          <w:rFonts w:ascii="Times New Roman" w:hAnsi="Times New Roman" w:eastAsia="仿宋_GB2312" w:cs="Times New Roman"/>
          <w:sz w:val="28"/>
          <w:szCs w:val="28"/>
        </w:rPr>
        <w:t>》标准的制定工作。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二、制定本文件的目的和意义</w:t>
      </w:r>
    </w:p>
    <w:p>
      <w:pPr>
        <w:spacing w:line="588" w:lineRule="exact"/>
        <w:ind w:firstLine="640" w:firstLineChars="0"/>
        <w:rPr>
          <w:rFonts w:ascii="Times New Roman" w:hAnsi="Times New Roman" w:eastAsia="黑体" w:cs="Times New Roman"/>
          <w:bCs/>
        </w:rPr>
      </w:pPr>
      <w:r>
        <w:rPr>
          <w:rFonts w:hint="eastAsia" w:ascii="Times New Roman" w:hAnsi="Times New Roman" w:eastAsia="仿宋_GB2312" w:cs="Times New Roman"/>
          <w:sz w:val="28"/>
          <w:szCs w:val="28"/>
        </w:rPr>
        <w:t>随着我国海洋开发的不断发展,近海石油的开采逐步向深海区域发展，尤其是在国家发展海洋战略的要求下，海洋平台的建造迎来了一个新的高速发展时期，而我国海洋平台用特厚钢板长期处于整套进口，国内组装的局面，特厚钢板的生产与应用受限于国外钢厂与相对的国外标准。</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我国特厚钢板的生产，应用都没有形成统一的标准，企业与国外厂家签订供货协议时，只能接受国外的技术条件与国外的焊接方法，没有国内成套的技术体系，受制于人，极大的影响了国内特厚海工钢的发展。</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目前行业内主要执行标准有CCS 船规以及GB/T 712，两者内容存在一定相似，钢板最大厚度为250mm，实际在应用过程中，150mm以上的钢板多为技术协议生产，并不完全按照船规要求。为发挥市场主体作用，满足创新需求，促进市场公平竞争，提高企业参与标准化工作积极性，中国特钢企业协会团标委联合标准发起单位，共同开展标准研制工作。</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本文件进一步</w:t>
      </w:r>
      <w:r>
        <w:rPr>
          <w:rFonts w:ascii="Times New Roman" w:hAnsi="Times New Roman" w:eastAsia="仿宋_GB2312" w:cs="Times New Roman"/>
          <w:sz w:val="28"/>
          <w:szCs w:val="28"/>
        </w:rPr>
        <w:t>扩大</w:t>
      </w:r>
      <w:r>
        <w:rPr>
          <w:rFonts w:hint="eastAsia" w:ascii="Times New Roman" w:hAnsi="Times New Roman" w:eastAsia="仿宋_GB2312" w:cs="Times New Roman"/>
          <w:sz w:val="28"/>
          <w:szCs w:val="28"/>
        </w:rPr>
        <w:t>钢带的尺寸范围</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对钢板硬度，碳当量等技术指标进行规范，以满足企业实际生产销售中的标准化需求。</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spacing w:line="588" w:lineRule="exact"/>
        <w:ind w:firstLine="640" w:firstLineChars="0"/>
        <w:rPr>
          <w:rFonts w:hint="eastAsia" w:ascii="Times New Roman" w:hAnsi="Times New Roman" w:eastAsia="仿宋_GB2312" w:cs="Times New Roman"/>
          <w:sz w:val="28"/>
          <w:szCs w:val="28"/>
        </w:rPr>
      </w:pPr>
      <w:bookmarkStart w:id="2" w:name="_GoBack"/>
      <w:r>
        <w:rPr>
          <w:rFonts w:hint="eastAsia" w:ascii="Times New Roman" w:hAnsi="Times New Roman" w:eastAsia="仿宋_GB2312" w:cs="Times New Roman"/>
          <w:sz w:val="28"/>
          <w:szCs w:val="28"/>
        </w:rPr>
        <w:t>2023年1月：提出制定标准项目，并进行了标准立项征求意见和论证工作；</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2023年2月：中国特钢企业协会发布项目计划；</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w:t>
      </w:r>
      <w:r>
        <w:rPr>
          <w:rFonts w:hint="eastAsia" w:ascii="Times New Roman" w:hAnsi="Times New Roman" w:eastAsia="仿宋_GB2312" w:cs="Times New Roman"/>
          <w:sz w:val="28"/>
          <w:szCs w:val="28"/>
          <w:lang w:val="en-US" w:eastAsia="zh-CN"/>
        </w:rPr>
        <w:t>3-6</w:t>
      </w:r>
      <w:r>
        <w:rPr>
          <w:rFonts w:hint="eastAsia" w:ascii="Times New Roman" w:hAnsi="Times New Roman" w:eastAsia="仿宋_GB2312" w:cs="Times New Roman"/>
          <w:sz w:val="28"/>
          <w:szCs w:val="28"/>
        </w:rPr>
        <w:t>月：进行起草标准的调研、问题分析和相关资料收集等准备工作，完成了标准制定提纲、标准草案；</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7-8</w:t>
      </w:r>
      <w:r>
        <w:rPr>
          <w:rFonts w:hint="eastAsia" w:ascii="Times New Roman" w:hAnsi="Times New Roman" w:eastAsia="仿宋_GB2312" w:cs="Times New Roman"/>
          <w:sz w:val="28"/>
          <w:szCs w:val="28"/>
        </w:rPr>
        <w:t>月：工作组内征求意见和讨论；</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9-12</w:t>
      </w:r>
      <w:r>
        <w:rPr>
          <w:rFonts w:hint="eastAsia" w:ascii="Times New Roman" w:hAnsi="Times New Roman" w:eastAsia="仿宋_GB2312" w:cs="Times New Roman"/>
          <w:sz w:val="28"/>
          <w:szCs w:val="28"/>
        </w:rPr>
        <w:t>月：计划召开标准启动会，围绕标准草案进行讨论，按照与会意见和建议进行修改，形成征求意见稿并发出征求意见；</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月：计划完成征求意见处理、形成标准送审稿；</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024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月：计划完成该标准审定会和标准报批稿，上报中国特钢企业协会审批；</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2022年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月：计划发布、实施标准。</w:t>
      </w:r>
    </w:p>
    <w:bookmarkEnd w:id="2"/>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牵头单位湖南华菱湘潭钢铁有限公司具有较强的细分领域钢板产品生产经验，为进一步完善钢材产品标准体系，湖南湘钢等单位积极配合起草组开展标准预研等基础工作，标准研制过程中，编制组广泛收集国内外技术资料，比对现行有效标准，结合国内外海洋工程用特厚超高强钢板生产现状，着重调研下游行业重点关注的技术指标，并广泛征求利益相关方意见，强化标准的适用性、先进性和公正性，提升标准应用实施效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海洋工程用特厚超高强钢板</w:t>
      </w:r>
      <w:r>
        <w:rPr>
          <w:rFonts w:hint="eastAsia" w:ascii="Times New Roman" w:hAnsi="Times New Roman" w:eastAsia="仿宋_GB2312" w:cs="Times New Roman"/>
          <w:sz w:val="28"/>
          <w:szCs w:val="28"/>
        </w:rPr>
        <w:t>》主要以解决企业生产和市场需求为导向，进行标准设计与研制。据悉，</w:t>
      </w:r>
      <w:r>
        <w:rPr>
          <w:rFonts w:hint="eastAsia" w:ascii="Times New Roman" w:hAnsi="Times New Roman" w:eastAsia="仿宋_GB2312" w:cs="Times New Roman"/>
          <w:sz w:val="28"/>
          <w:szCs w:val="28"/>
          <w:lang w:eastAsia="zh-CN"/>
        </w:rPr>
        <w:t>海洋工程用特厚超高强钢板</w:t>
      </w:r>
      <w:r>
        <w:rPr>
          <w:rFonts w:hint="eastAsia" w:ascii="Times New Roman" w:hAnsi="Times New Roman" w:eastAsia="仿宋_GB2312" w:cs="Times New Roman"/>
          <w:sz w:val="28"/>
          <w:szCs w:val="28"/>
        </w:rPr>
        <w:t>往往用在比较重要的如齿条等位置的结构件，对钢板的全厚度均匀性，焊接性能，表面硬度等有较高的要求。同时为保证钢板的使用性能，还需要对钢板的不平度等表面质量提出要求。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本文件在编制过程中以CCS船级社规范为指导，补充产品尺寸规格，并重点对下游客户关注的技术指标进行完善补充，使标准更具有针对性和实用性。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本文件包含以下部分</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3术语和定义</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rPr>
        <w:t>分类和代号</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 尺寸、外形、重量</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主要</w:t>
      </w:r>
      <w:r>
        <w:rPr>
          <w:rFonts w:ascii="Times New Roman" w:hAnsi="Times New Roman" w:eastAsia="仿宋_GB2312" w:cs="Times New Roman"/>
          <w:sz w:val="28"/>
          <w:szCs w:val="28"/>
        </w:rPr>
        <w:t>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海洋工程用特厚超高强钢板</w:t>
      </w:r>
      <w:r>
        <w:rPr>
          <w:rFonts w:hint="eastAsia" w:ascii="Times New Roman" w:hAnsi="Times New Roman" w:eastAsia="仿宋_GB2312" w:cs="Times New Roman"/>
          <w:sz w:val="28"/>
          <w:szCs w:val="28"/>
        </w:rPr>
        <w:t>的分类和代号、订货内容、尺寸、外形、重量、技术要求、试验方法、检验规则、包装、标志及质量证明书。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本文件基于国内新装备的生产能力以及可以预见的冶金能力与市场需求，将钢板的适用厚度提高到了350mm。</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本文件按照GB/T 1.1—2020《标准化工作导则 第1部分:标准化文件的结构和起草规则》的规定起草。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本文件没有需要界定的术语和定义。</w:t>
      </w:r>
    </w:p>
    <w:p>
      <w:pPr>
        <w:spacing w:line="560" w:lineRule="exact"/>
        <w:ind w:firstLine="560"/>
        <w:contextualSpacing/>
        <w:rPr>
          <w:rFonts w:ascii="Times New Roman" w:hAnsi="Times New Roman" w:eastAsia="仿宋_GB2312" w:cs="Times New Roman"/>
          <w:sz w:val="28"/>
          <w:szCs w:val="28"/>
        </w:rPr>
      </w:pPr>
      <w:bookmarkStart w:id="0" w:name="_Hlk70686220"/>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．分类和代号</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本文件未增加新的分类和代号</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产品名称；</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本文件编号；</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牌号；</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尺寸及尺寸、外形精度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e)</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交货状态；</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f)</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g)</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其他特殊要求。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rPr>
        <w:t>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本章节从尺寸、外形及重量三个维度对钢板产品提出指标要求，其中尺寸部分，重点从厚度、宽度及允许偏差等方面对钢板产品提出规范。</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6.1 尺寸及允许偏差</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钢材</w:t>
      </w:r>
      <w:r>
        <w:rPr>
          <w:rFonts w:ascii="Times New Roman" w:hAnsi="Times New Roman" w:eastAsia="仿宋_GB2312" w:cs="Times New Roman"/>
          <w:sz w:val="28"/>
          <w:szCs w:val="28"/>
        </w:rPr>
        <w:t>产品的尺寸偏差会影响</w:t>
      </w:r>
      <w:r>
        <w:rPr>
          <w:rFonts w:hint="eastAsia" w:ascii="Times New Roman" w:hAnsi="Times New Roman" w:eastAsia="仿宋_GB2312" w:cs="Times New Roman"/>
          <w:sz w:val="28"/>
          <w:szCs w:val="28"/>
        </w:rPr>
        <w:t>特厚钢板最终的应力大小计算，由于特厚钢板本身厚度同板差较大，并且不易压平矫直。规定钢板的厚度负偏差为0.3mm，并且不平度≤3mm/m</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7.1牌号及化学成分</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化学</w:t>
      </w:r>
      <w:r>
        <w:rPr>
          <w:rFonts w:ascii="Times New Roman" w:hAnsi="Times New Roman" w:eastAsia="仿宋_GB2312" w:cs="Times New Roman"/>
          <w:sz w:val="28"/>
          <w:szCs w:val="28"/>
        </w:rPr>
        <w:t>成</w:t>
      </w:r>
      <w:r>
        <w:rPr>
          <w:rFonts w:hint="eastAsia" w:ascii="Times New Roman" w:hAnsi="Times New Roman" w:eastAsia="仿宋_GB2312" w:cs="Times New Roman"/>
          <w:sz w:val="28"/>
          <w:szCs w:val="28"/>
        </w:rPr>
        <w:t>分</w:t>
      </w:r>
      <w:r>
        <w:rPr>
          <w:rFonts w:ascii="Times New Roman" w:hAnsi="Times New Roman" w:eastAsia="仿宋_GB2312" w:cs="Times New Roman"/>
          <w:sz w:val="28"/>
          <w:szCs w:val="28"/>
        </w:rPr>
        <w:t>含量是钢材均匀性</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性能稳定性的重要保障，</w:t>
      </w:r>
      <w:r>
        <w:rPr>
          <w:rFonts w:hint="eastAsia" w:ascii="Times New Roman" w:hAnsi="Times New Roman" w:eastAsia="仿宋_GB2312" w:cs="Times New Roman"/>
          <w:sz w:val="28"/>
          <w:szCs w:val="28"/>
        </w:rPr>
        <w:t>本文件结合各国船级社船规以及各钢厂生产实践提出钢板的化学成分控制范围。其中降低P\S\Si\N的控制范围是基于特厚高韧性钢板需要较低的残余元素，实际各钢厂供货也能满足要求。提高Ni含量是基于ABS船规较高的强度与Ni含量控制范围，并根据本标准更大的厚度，提高到更高的Ni上限。</w:t>
      </w:r>
      <w:r>
        <w:rPr>
          <w:rFonts w:hint="eastAsia" w:ascii="Times New Roman" w:hAnsi="Times New Roman" w:eastAsia="仿宋_GB2312" w:cs="Times New Roman"/>
          <w:sz w:val="28"/>
          <w:szCs w:val="28"/>
          <w:lang w:val="en-US" w:eastAsia="zh-CN"/>
        </w:rPr>
        <w:t>增加O含量控制要求。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CEV基于各厂的生产实践与客户要求。</w:t>
      </w:r>
    </w:p>
    <w:p>
      <w:pPr>
        <w:pStyle w:val="34"/>
        <w:tabs>
          <w:tab w:val="left" w:pos="360"/>
        </w:tabs>
        <w:spacing w:before="156" w:after="156"/>
      </w:pPr>
      <w:bookmarkStart w:id="1" w:name="_Hlk75612273"/>
      <w:r>
        <w:rPr>
          <w:rFonts w:hint="eastAsia" w:ascii="Times New Roman"/>
        </w:rPr>
        <w:t>表1 钢的牌号和化学成分</w:t>
      </w:r>
    </w:p>
    <w:tbl>
      <w:tblPr>
        <w:tblStyle w:val="12"/>
        <w:tblW w:w="5210" w:type="pct"/>
        <w:tblInd w:w="0" w:type="dxa"/>
        <w:tblLayout w:type="fixed"/>
        <w:tblCellMar>
          <w:top w:w="0" w:type="dxa"/>
          <w:left w:w="108" w:type="dxa"/>
          <w:bottom w:w="0" w:type="dxa"/>
          <w:right w:w="108" w:type="dxa"/>
        </w:tblCellMar>
      </w:tblPr>
      <w:tblGrid>
        <w:gridCol w:w="709"/>
        <w:gridCol w:w="549"/>
        <w:gridCol w:w="455"/>
        <w:gridCol w:w="549"/>
        <w:gridCol w:w="549"/>
        <w:gridCol w:w="645"/>
        <w:gridCol w:w="549"/>
        <w:gridCol w:w="455"/>
        <w:gridCol w:w="549"/>
        <w:gridCol w:w="549"/>
        <w:gridCol w:w="543"/>
        <w:gridCol w:w="543"/>
        <w:gridCol w:w="543"/>
        <w:gridCol w:w="558"/>
        <w:gridCol w:w="565"/>
        <w:gridCol w:w="570"/>
      </w:tblGrid>
      <w:tr>
        <w:tblPrEx>
          <w:tblCellMar>
            <w:top w:w="0" w:type="dxa"/>
            <w:left w:w="108" w:type="dxa"/>
            <w:bottom w:w="0" w:type="dxa"/>
            <w:right w:w="108" w:type="dxa"/>
          </w:tblCellMar>
        </w:tblPrEx>
        <w:trPr>
          <w:trHeight w:val="270" w:hRule="atLeast"/>
        </w:trPr>
        <w:tc>
          <w:tcPr>
            <w:tcW w:w="39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牌号</w:t>
            </w:r>
          </w:p>
        </w:tc>
        <w:tc>
          <w:tcPr>
            <w:tcW w:w="46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化学成分（质量分数）/%</w:t>
            </w:r>
          </w:p>
        </w:tc>
      </w:tr>
      <w:tr>
        <w:tblPrEx>
          <w:tblCellMar>
            <w:top w:w="0" w:type="dxa"/>
            <w:left w:w="108" w:type="dxa"/>
            <w:bottom w:w="0" w:type="dxa"/>
            <w:right w:w="108" w:type="dxa"/>
          </w:tblCellMar>
        </w:tblPrEx>
        <w:trPr>
          <w:trHeight w:val="270" w:hRule="atLeast"/>
        </w:trPr>
        <w:tc>
          <w:tcPr>
            <w:tcW w:w="399" w:type="pct"/>
            <w:vMerge w:val="continue"/>
            <w:tcBorders>
              <w:left w:val="single" w:color="000000" w:sz="4" w:space="0"/>
              <w:right w:val="single" w:color="000000" w:sz="4" w:space="0"/>
            </w:tcBorders>
            <w:shd w:val="clear" w:color="auto" w:fill="auto"/>
            <w:vAlign w:val="center"/>
          </w:tcPr>
          <w:p>
            <w:pPr>
              <w:ind w:firstLine="0" w:firstLineChars="0"/>
              <w:jc w:val="center"/>
              <w:rPr>
                <w:color w:val="000000"/>
                <w:sz w:val="20"/>
                <w:szCs w:val="20"/>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C</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Si</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Mn</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P</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S</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Cr</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Ni</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Cu</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Mo</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Nb</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V</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Ti</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rFonts w:hint="eastAsia"/>
                <w:color w:val="000000"/>
                <w:sz w:val="20"/>
                <w:szCs w:val="20"/>
              </w:rPr>
              <w:t>N</w:t>
            </w:r>
            <w:r>
              <w:rPr>
                <w:rFonts w:hint="eastAsia"/>
                <w:color w:val="000000"/>
                <w:kern w:val="0"/>
                <w:sz w:val="20"/>
                <w:szCs w:val="20"/>
                <w:vertAlign w:val="superscript"/>
              </w:rPr>
              <w:t>a</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Al</w:t>
            </w:r>
            <w:r>
              <w:rPr>
                <w:color w:val="000000"/>
                <w:kern w:val="0"/>
                <w:sz w:val="20"/>
                <w:szCs w:val="20"/>
                <w:vertAlign w:val="subscript"/>
              </w:rPr>
              <w:t>t</w:t>
            </w:r>
            <w:r>
              <w:rPr>
                <w:rFonts w:hint="eastAsia"/>
                <w:color w:val="000000"/>
                <w:kern w:val="0"/>
                <w:sz w:val="20"/>
                <w:szCs w:val="20"/>
                <w:vertAlign w:val="superscript"/>
              </w:rPr>
              <w:t>a</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eastAsia="仿宋"/>
                <w:color w:val="000000"/>
                <w:kern w:val="0"/>
                <w:sz w:val="20"/>
                <w:szCs w:val="20"/>
                <w:lang w:val="en-US" w:eastAsia="zh-CN"/>
              </w:rPr>
            </w:pPr>
            <w:r>
              <w:rPr>
                <w:rFonts w:hint="eastAsia"/>
                <w:color w:val="000000"/>
                <w:kern w:val="0"/>
                <w:sz w:val="20"/>
                <w:szCs w:val="20"/>
                <w:lang w:val="en-US" w:eastAsia="zh-CN"/>
              </w:rPr>
              <w:t>O</w:t>
            </w:r>
          </w:p>
        </w:tc>
      </w:tr>
      <w:tr>
        <w:tblPrEx>
          <w:tblCellMar>
            <w:top w:w="0" w:type="dxa"/>
            <w:left w:w="108" w:type="dxa"/>
            <w:bottom w:w="0" w:type="dxa"/>
            <w:right w:w="108" w:type="dxa"/>
          </w:tblCellMar>
        </w:tblPrEx>
        <w:trPr>
          <w:trHeight w:val="270" w:hRule="atLeast"/>
        </w:trPr>
        <w:tc>
          <w:tcPr>
            <w:tcW w:w="399" w:type="pct"/>
            <w:vMerge w:val="continue"/>
            <w:tcBorders>
              <w:left w:val="single" w:color="000000" w:sz="4" w:space="0"/>
              <w:bottom w:val="single" w:color="000000" w:sz="4" w:space="0"/>
              <w:right w:val="single" w:color="000000" w:sz="4" w:space="0"/>
            </w:tcBorders>
            <w:shd w:val="clear" w:color="auto" w:fill="auto"/>
            <w:vAlign w:val="center"/>
          </w:tcPr>
          <w:p>
            <w:pPr>
              <w:ind w:firstLine="0" w:firstLineChars="0"/>
              <w:jc w:val="center"/>
              <w:rPr>
                <w:color w:val="000000"/>
                <w:sz w:val="20"/>
                <w:szCs w:val="20"/>
              </w:rPr>
            </w:pPr>
          </w:p>
        </w:tc>
        <w:tc>
          <w:tcPr>
            <w:tcW w:w="396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rFonts w:hint="eastAsia"/>
                <w:color w:val="000000"/>
                <w:kern w:val="0"/>
                <w:sz w:val="20"/>
                <w:szCs w:val="20"/>
              </w:rPr>
              <w:t>≤</w:t>
            </w:r>
          </w:p>
        </w:tc>
        <w:tc>
          <w:tcPr>
            <w:tcW w:w="318"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rFonts w:hint="eastAsia"/>
                <w:color w:val="000000"/>
                <w:kern w:val="0"/>
                <w:sz w:val="20"/>
                <w:szCs w:val="20"/>
              </w:rPr>
              <w:t>≥0.02</w:t>
            </w:r>
          </w:p>
        </w:tc>
        <w:tc>
          <w:tcPr>
            <w:tcW w:w="320" w:type="pc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color w:val="000000"/>
                <w:kern w:val="0"/>
                <w:sz w:val="20"/>
                <w:szCs w:val="20"/>
              </w:rPr>
            </w:pPr>
            <w:r>
              <w:rPr>
                <w:rFonts w:hint="eastAsia"/>
                <w:color w:val="000000"/>
                <w:kern w:val="0"/>
                <w:sz w:val="20"/>
                <w:szCs w:val="20"/>
              </w:rPr>
              <w:t>≤</w:t>
            </w: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EH</w:t>
            </w:r>
            <w:r>
              <w:rPr>
                <w:rFonts w:hint="eastAsia"/>
                <w:color w:val="000000"/>
                <w:kern w:val="0"/>
                <w:sz w:val="20"/>
                <w:szCs w:val="20"/>
              </w:rPr>
              <w:t>42</w:t>
            </w:r>
            <w:r>
              <w:rPr>
                <w:color w:val="000000"/>
                <w:kern w:val="0"/>
                <w:sz w:val="20"/>
                <w:szCs w:val="20"/>
              </w:rPr>
              <w:t>0</w:t>
            </w:r>
          </w:p>
        </w:tc>
        <w:tc>
          <w:tcPr>
            <w:tcW w:w="30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rFonts w:hint="eastAsia"/>
                <w:color w:val="000000"/>
                <w:kern w:val="0"/>
                <w:sz w:val="20"/>
                <w:szCs w:val="20"/>
              </w:rPr>
              <w:t>0.18</w:t>
            </w:r>
          </w:p>
        </w:tc>
        <w:tc>
          <w:tcPr>
            <w:tcW w:w="256"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rFonts w:hint="eastAsia"/>
                <w:color w:val="000000"/>
                <w:kern w:val="0"/>
                <w:sz w:val="20"/>
                <w:szCs w:val="20"/>
                <w:highlight w:val="yellow"/>
              </w:rPr>
              <w:t>0.5</w:t>
            </w:r>
          </w:p>
        </w:tc>
        <w:tc>
          <w:tcPr>
            <w:tcW w:w="30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eastAsia="仿宋"/>
                <w:color w:val="000000"/>
                <w:kern w:val="0"/>
                <w:sz w:val="20"/>
                <w:szCs w:val="20"/>
                <w:lang w:val="en-US" w:eastAsia="zh-CN"/>
              </w:rPr>
            </w:pPr>
            <w:r>
              <w:rPr>
                <w:rFonts w:hint="eastAsia"/>
                <w:color w:val="000000"/>
                <w:kern w:val="0"/>
                <w:sz w:val="20"/>
                <w:szCs w:val="20"/>
              </w:rPr>
              <w:t>1.7</w:t>
            </w:r>
            <w:r>
              <w:rPr>
                <w:rFonts w:hint="eastAsia"/>
                <w:color w:val="000000"/>
                <w:kern w:val="0"/>
                <w:sz w:val="20"/>
                <w:szCs w:val="20"/>
                <w:lang w:val="en-US" w:eastAsia="zh-CN"/>
              </w:rPr>
              <w:t>0</w:t>
            </w:r>
          </w:p>
        </w:tc>
        <w:tc>
          <w:tcPr>
            <w:tcW w:w="30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highlight w:val="yellow"/>
              </w:rPr>
            </w:pPr>
            <w:r>
              <w:rPr>
                <w:rFonts w:hint="eastAsia"/>
                <w:color w:val="000000"/>
                <w:kern w:val="0"/>
                <w:sz w:val="20"/>
                <w:szCs w:val="20"/>
                <w:highlight w:val="yellow"/>
              </w:rPr>
              <w:t>0.01</w:t>
            </w:r>
          </w:p>
        </w:tc>
        <w:tc>
          <w:tcPr>
            <w:tcW w:w="363"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highlight w:val="yellow"/>
              </w:rPr>
            </w:pPr>
            <w:r>
              <w:rPr>
                <w:rFonts w:hint="eastAsia"/>
                <w:color w:val="000000"/>
                <w:kern w:val="0"/>
                <w:sz w:val="20"/>
                <w:szCs w:val="20"/>
                <w:highlight w:val="yellow"/>
              </w:rPr>
              <w:t>0.003</w:t>
            </w:r>
          </w:p>
        </w:tc>
        <w:tc>
          <w:tcPr>
            <w:tcW w:w="30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eastAsia="仿宋"/>
                <w:color w:val="000000"/>
                <w:kern w:val="0"/>
                <w:sz w:val="20"/>
                <w:szCs w:val="20"/>
                <w:lang w:val="en-US" w:eastAsia="zh-CN"/>
              </w:rPr>
            </w:pPr>
            <w:r>
              <w:rPr>
                <w:rFonts w:hint="eastAsia"/>
                <w:color w:val="000000"/>
                <w:kern w:val="0"/>
                <w:sz w:val="20"/>
                <w:szCs w:val="20"/>
              </w:rPr>
              <w:t>1.5</w:t>
            </w:r>
            <w:r>
              <w:rPr>
                <w:rFonts w:hint="eastAsia"/>
                <w:color w:val="000000"/>
                <w:kern w:val="0"/>
                <w:sz w:val="20"/>
                <w:szCs w:val="20"/>
                <w:lang w:val="en-US" w:eastAsia="zh-CN"/>
              </w:rPr>
              <w:t>0</w:t>
            </w:r>
          </w:p>
        </w:tc>
        <w:tc>
          <w:tcPr>
            <w:tcW w:w="256"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rFonts w:hint="eastAsia"/>
                <w:color w:val="000000"/>
                <w:kern w:val="0"/>
                <w:sz w:val="20"/>
                <w:szCs w:val="20"/>
                <w:highlight w:val="yellow"/>
              </w:rPr>
              <w:t>4.0</w:t>
            </w:r>
          </w:p>
        </w:tc>
        <w:tc>
          <w:tcPr>
            <w:tcW w:w="30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eastAsia="仿宋"/>
                <w:color w:val="000000"/>
                <w:kern w:val="0"/>
                <w:sz w:val="20"/>
                <w:szCs w:val="20"/>
                <w:lang w:val="en-US" w:eastAsia="zh-CN"/>
              </w:rPr>
            </w:pPr>
            <w:r>
              <w:rPr>
                <w:rFonts w:hint="eastAsia"/>
                <w:color w:val="000000"/>
                <w:kern w:val="0"/>
                <w:sz w:val="20"/>
                <w:szCs w:val="20"/>
              </w:rPr>
              <w:t>0.5</w:t>
            </w:r>
            <w:r>
              <w:rPr>
                <w:rFonts w:hint="eastAsia"/>
                <w:color w:val="000000"/>
                <w:kern w:val="0"/>
                <w:sz w:val="20"/>
                <w:szCs w:val="20"/>
                <w:lang w:val="en-US" w:eastAsia="zh-CN"/>
              </w:rPr>
              <w:t>0</w:t>
            </w:r>
          </w:p>
        </w:tc>
        <w:tc>
          <w:tcPr>
            <w:tcW w:w="309"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eastAsia="仿宋"/>
                <w:color w:val="000000"/>
                <w:kern w:val="0"/>
                <w:sz w:val="20"/>
                <w:szCs w:val="20"/>
                <w:lang w:val="en-US" w:eastAsia="zh-CN"/>
              </w:rPr>
            </w:pPr>
            <w:r>
              <w:rPr>
                <w:rFonts w:hint="eastAsia"/>
                <w:color w:val="000000"/>
                <w:kern w:val="0"/>
                <w:sz w:val="20"/>
                <w:szCs w:val="20"/>
              </w:rPr>
              <w:t>0.7</w:t>
            </w:r>
            <w:r>
              <w:rPr>
                <w:rFonts w:hint="eastAsia"/>
                <w:color w:val="000000"/>
                <w:kern w:val="0"/>
                <w:sz w:val="20"/>
                <w:szCs w:val="20"/>
                <w:lang w:val="en-US" w:eastAsia="zh-CN"/>
              </w:rPr>
              <w:t>0</w:t>
            </w:r>
          </w:p>
        </w:tc>
        <w:tc>
          <w:tcPr>
            <w:tcW w:w="305"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r>
              <w:rPr>
                <w:rStyle w:val="71"/>
                <w:rFonts w:hint="eastAsia"/>
              </w:rPr>
              <w:t>0.06</w:t>
            </w:r>
          </w:p>
        </w:tc>
        <w:tc>
          <w:tcPr>
            <w:tcW w:w="305"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r>
              <w:rPr>
                <w:rStyle w:val="71"/>
                <w:rFonts w:hint="eastAsia"/>
              </w:rPr>
              <w:t>0.12</w:t>
            </w:r>
          </w:p>
        </w:tc>
        <w:tc>
          <w:tcPr>
            <w:tcW w:w="305"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r>
              <w:rPr>
                <w:rStyle w:val="71"/>
                <w:rFonts w:hint="eastAsia"/>
              </w:rPr>
              <w:t>0.03</w:t>
            </w:r>
          </w:p>
        </w:tc>
        <w:tc>
          <w:tcPr>
            <w:tcW w:w="314"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r>
              <w:rPr>
                <w:rStyle w:val="71"/>
                <w:rFonts w:hint="eastAsia"/>
              </w:rPr>
              <w:t>0.01</w:t>
            </w: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restart"/>
            <w:tcBorders>
              <w:left w:val="single" w:color="000000" w:sz="4" w:space="0"/>
              <w:right w:val="single" w:color="000000" w:sz="4" w:space="0"/>
            </w:tcBorders>
            <w:shd w:val="clear" w:color="auto" w:fill="auto"/>
            <w:vAlign w:val="center"/>
          </w:tcPr>
          <w:p>
            <w:pPr>
              <w:widowControl/>
              <w:ind w:left="0" w:leftChars="0" w:firstLine="0" w:firstLineChars="0"/>
              <w:jc w:val="both"/>
              <w:textAlignment w:val="center"/>
              <w:rPr>
                <w:rFonts w:hint="default" w:eastAsia="宋体" w:asciiTheme="minorHAnsi" w:hAnsiTheme="minorHAnsi" w:cstheme="minorBidi"/>
                <w:color w:val="000000"/>
                <w:kern w:val="0"/>
                <w:sz w:val="20"/>
                <w:szCs w:val="20"/>
                <w:highlight w:val="yellow"/>
                <w:lang w:val="en-US" w:eastAsia="zh-CN" w:bidi="ar-SA"/>
              </w:rPr>
            </w:pPr>
            <w:r>
              <w:rPr>
                <w:rFonts w:hint="eastAsia"/>
                <w:color w:val="000000"/>
                <w:kern w:val="0"/>
                <w:sz w:val="20"/>
                <w:szCs w:val="20"/>
                <w:highlight w:val="yellow"/>
                <w:lang w:val="en-US" w:eastAsia="zh-CN"/>
              </w:rPr>
              <w:t>0.0020</w:t>
            </w:r>
          </w:p>
          <w:p>
            <w:pPr>
              <w:widowControl/>
              <w:ind w:firstLine="0" w:firstLineChars="0"/>
              <w:jc w:val="center"/>
              <w:textAlignment w:val="center"/>
              <w:rPr>
                <w:color w:val="000000"/>
                <w:kern w:val="0"/>
                <w:sz w:val="20"/>
                <w:szCs w:val="20"/>
                <w:highlight w:val="yellow"/>
              </w:rPr>
            </w:pP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EH</w:t>
            </w:r>
            <w:r>
              <w:rPr>
                <w:rFonts w:hint="eastAsia"/>
                <w:color w:val="000000"/>
                <w:kern w:val="0"/>
                <w:sz w:val="20"/>
                <w:szCs w:val="20"/>
              </w:rPr>
              <w:t>46</w:t>
            </w:r>
            <w:r>
              <w:rPr>
                <w:color w:val="000000"/>
                <w:kern w:val="0"/>
                <w:sz w:val="20"/>
                <w:szCs w:val="20"/>
              </w:rPr>
              <w:t>0</w:t>
            </w: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63"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4"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highlight w:val="yellow"/>
              </w:rPr>
            </w:pP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EH</w:t>
            </w:r>
            <w:r>
              <w:rPr>
                <w:rFonts w:hint="eastAsia"/>
                <w:color w:val="000000"/>
                <w:kern w:val="0"/>
                <w:sz w:val="20"/>
                <w:szCs w:val="20"/>
              </w:rPr>
              <w:t>50</w:t>
            </w:r>
            <w:r>
              <w:rPr>
                <w:color w:val="000000"/>
                <w:kern w:val="0"/>
                <w:sz w:val="20"/>
                <w:szCs w:val="20"/>
              </w:rPr>
              <w:t>0</w:t>
            </w: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63"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4"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highlight w:val="yellow"/>
              </w:rPr>
            </w:pP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EH</w:t>
            </w:r>
            <w:r>
              <w:rPr>
                <w:rFonts w:hint="eastAsia"/>
                <w:color w:val="000000"/>
                <w:kern w:val="0"/>
                <w:sz w:val="20"/>
                <w:szCs w:val="20"/>
              </w:rPr>
              <w:t>55</w:t>
            </w:r>
            <w:r>
              <w:rPr>
                <w:color w:val="000000"/>
                <w:kern w:val="0"/>
                <w:sz w:val="20"/>
                <w:szCs w:val="20"/>
              </w:rPr>
              <w:t>0</w:t>
            </w: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63"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4"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highlight w:val="yellow"/>
              </w:rPr>
            </w:pP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EH</w:t>
            </w:r>
            <w:r>
              <w:rPr>
                <w:rFonts w:hint="eastAsia"/>
                <w:color w:val="000000"/>
                <w:kern w:val="0"/>
                <w:sz w:val="20"/>
                <w:szCs w:val="20"/>
              </w:rPr>
              <w:t>62</w:t>
            </w:r>
            <w:r>
              <w:rPr>
                <w:color w:val="000000"/>
                <w:kern w:val="0"/>
                <w:sz w:val="20"/>
                <w:szCs w:val="20"/>
              </w:rPr>
              <w:t>0</w:t>
            </w: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63"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4"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Style w:val="71"/>
              </w:rPr>
            </w:pP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restart"/>
            <w:tcBorders>
              <w:left w:val="single" w:color="000000" w:sz="4" w:space="0"/>
              <w:right w:val="single" w:color="000000" w:sz="4" w:space="0"/>
            </w:tcBorders>
            <w:shd w:val="clear" w:color="auto" w:fill="auto"/>
            <w:vAlign w:val="center"/>
          </w:tcPr>
          <w:p>
            <w:pPr>
              <w:widowControl/>
              <w:ind w:left="0" w:leftChars="0" w:firstLine="0" w:firstLineChars="0"/>
              <w:jc w:val="both"/>
              <w:textAlignment w:val="center"/>
              <w:rPr>
                <w:rFonts w:hint="default" w:eastAsia="宋体" w:asciiTheme="minorHAnsi" w:hAnsiTheme="minorHAnsi" w:cstheme="minorBidi"/>
                <w:color w:val="000000"/>
                <w:kern w:val="0"/>
                <w:sz w:val="20"/>
                <w:szCs w:val="20"/>
                <w:highlight w:val="yellow"/>
                <w:lang w:val="en-US" w:eastAsia="zh-CN" w:bidi="ar-SA"/>
              </w:rPr>
            </w:pPr>
            <w:r>
              <w:rPr>
                <w:rFonts w:hint="eastAsia"/>
                <w:color w:val="000000"/>
                <w:kern w:val="0"/>
                <w:sz w:val="20"/>
                <w:szCs w:val="20"/>
                <w:highlight w:val="yellow"/>
                <w:lang w:val="en-US" w:eastAsia="zh-CN"/>
              </w:rPr>
              <w:t>0.0015</w:t>
            </w: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r>
              <w:rPr>
                <w:color w:val="000000"/>
                <w:kern w:val="0"/>
                <w:sz w:val="20"/>
                <w:szCs w:val="20"/>
              </w:rPr>
              <w:t>EH690</w:t>
            </w: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63"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14"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eastAsia="仿宋"/>
                <w:color w:val="000000"/>
                <w:kern w:val="0"/>
                <w:sz w:val="20"/>
                <w:szCs w:val="20"/>
                <w:lang w:val="en-US" w:eastAsia="zh-CN"/>
              </w:rPr>
            </w:pPr>
            <w:r>
              <w:rPr>
                <w:color w:val="000000"/>
                <w:kern w:val="0"/>
                <w:sz w:val="20"/>
                <w:szCs w:val="20"/>
                <w:highlight w:val="yellow"/>
              </w:rPr>
              <w:t>EH</w:t>
            </w:r>
            <w:r>
              <w:rPr>
                <w:rFonts w:hint="eastAsia"/>
                <w:color w:val="000000"/>
                <w:kern w:val="0"/>
                <w:sz w:val="20"/>
                <w:szCs w:val="20"/>
                <w:highlight w:val="yellow"/>
              </w:rPr>
              <w:t>7</w:t>
            </w:r>
            <w:r>
              <w:rPr>
                <w:rFonts w:hint="eastAsia"/>
                <w:color w:val="000000"/>
                <w:kern w:val="0"/>
                <w:sz w:val="20"/>
                <w:szCs w:val="20"/>
                <w:highlight w:val="yellow"/>
                <w:lang w:val="en-US" w:eastAsia="zh-CN"/>
              </w:rPr>
              <w:t>90</w:t>
            </w: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63"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14"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18"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r>
      <w:tr>
        <w:tblPrEx>
          <w:tblCellMar>
            <w:top w:w="0" w:type="dxa"/>
            <w:left w:w="108" w:type="dxa"/>
            <w:bottom w:w="0" w:type="dxa"/>
            <w:right w:w="108" w:type="dxa"/>
          </w:tblCellMar>
        </w:tblPrEx>
        <w:trPr>
          <w:trHeight w:val="2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r>
              <w:rPr>
                <w:color w:val="000000"/>
                <w:kern w:val="0"/>
                <w:sz w:val="20"/>
                <w:szCs w:val="20"/>
              </w:rPr>
              <w:t>EH</w:t>
            </w:r>
            <w:r>
              <w:rPr>
                <w:rFonts w:hint="eastAsia"/>
                <w:color w:val="000000"/>
                <w:kern w:val="0"/>
                <w:sz w:val="20"/>
                <w:szCs w:val="20"/>
              </w:rPr>
              <w:t>890</w:t>
            </w:r>
          </w:p>
        </w:tc>
        <w:tc>
          <w:tcPr>
            <w:tcW w:w="309"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63"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256"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05"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14"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sz w:val="20"/>
                <w:szCs w:val="20"/>
              </w:rPr>
            </w:pPr>
          </w:p>
        </w:tc>
        <w:tc>
          <w:tcPr>
            <w:tcW w:w="318"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color w:val="000000"/>
                <w:kern w:val="0"/>
                <w:sz w:val="20"/>
                <w:szCs w:val="20"/>
              </w:rPr>
            </w:pPr>
          </w:p>
        </w:tc>
      </w:tr>
      <w:tr>
        <w:tblPrEx>
          <w:tblCellMar>
            <w:top w:w="0" w:type="dxa"/>
            <w:left w:w="108" w:type="dxa"/>
            <w:bottom w:w="0" w:type="dxa"/>
            <w:right w:w="108" w:type="dxa"/>
          </w:tblCellMar>
        </w:tblPrEx>
        <w:trPr>
          <w:trHeight w:val="438"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color w:val="000000"/>
                <w:kern w:val="0"/>
                <w:sz w:val="20"/>
                <w:szCs w:val="20"/>
                <w:vertAlign w:val="superscript"/>
              </w:rPr>
            </w:pPr>
            <w:r>
              <w:rPr>
                <w:rFonts w:hint="eastAsia"/>
                <w:color w:val="000000"/>
                <w:kern w:val="0"/>
                <w:sz w:val="20"/>
                <w:szCs w:val="20"/>
                <w:vertAlign w:val="superscript"/>
              </w:rPr>
              <w:t>a</w:t>
            </w:r>
            <w:r>
              <w:rPr>
                <w:rFonts w:hint="eastAsia"/>
                <w:color w:val="000000"/>
                <w:kern w:val="0"/>
                <w:sz w:val="20"/>
                <w:szCs w:val="20"/>
              </w:rPr>
              <w:t>Alt/N最小应为2：1。当采用Al以外其他固氮元素时，最小Alt含量和Alt/N可不必满足。</w:t>
            </w:r>
          </w:p>
        </w:tc>
      </w:tr>
      <w:bookmarkEnd w:id="1"/>
    </w:tbl>
    <w:p>
      <w:pPr>
        <w:pStyle w:val="34"/>
        <w:tabs>
          <w:tab w:val="left" w:pos="360"/>
        </w:tabs>
        <w:spacing w:before="156" w:after="156"/>
        <w:rPr>
          <w:rFonts w:hint="eastAsia" w:ascii="Times New Roman"/>
        </w:rPr>
      </w:pPr>
      <w:r>
        <w:rPr>
          <w:rFonts w:hint="eastAsia" w:ascii="Times New Roman"/>
        </w:rPr>
        <w:t>表2 碳当量（熔炼分析）</w:t>
      </w:r>
    </w:p>
    <w:tbl>
      <w:tblPr>
        <w:tblStyle w:val="1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6"/>
        <w:gridCol w:w="2382"/>
        <w:gridCol w:w="2391"/>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790" w:type="pct"/>
            <w:vMerge w:val="restart"/>
            <w:vAlign w:val="center"/>
          </w:tcPr>
          <w:p>
            <w:pPr>
              <w:pStyle w:val="19"/>
              <w:tabs>
                <w:tab w:val="left" w:pos="720"/>
              </w:tabs>
              <w:ind w:firstLine="0" w:firstLineChars="0"/>
              <w:jc w:val="center"/>
              <w:rPr>
                <w:rFonts w:ascii="Times New Roman"/>
                <w:szCs w:val="18"/>
              </w:rPr>
            </w:pPr>
            <w:r>
              <w:rPr>
                <w:rFonts w:ascii="Times New Roman"/>
                <w:szCs w:val="18"/>
              </w:rPr>
              <w:t>牌号</w:t>
            </w:r>
          </w:p>
        </w:tc>
        <w:tc>
          <w:tcPr>
            <w:tcW w:w="2801" w:type="pct"/>
            <w:gridSpan w:val="2"/>
            <w:vAlign w:val="center"/>
          </w:tcPr>
          <w:p>
            <w:pPr>
              <w:pStyle w:val="19"/>
              <w:tabs>
                <w:tab w:val="left" w:pos="720"/>
              </w:tabs>
              <w:ind w:firstLine="0" w:firstLineChars="0"/>
              <w:jc w:val="center"/>
              <w:rPr>
                <w:rFonts w:ascii="Times New Roman"/>
                <w:szCs w:val="18"/>
              </w:rPr>
            </w:pPr>
            <w:r>
              <w:rPr>
                <w:rFonts w:ascii="Times New Roman"/>
                <w:szCs w:val="18"/>
              </w:rPr>
              <w:t>熔炼分析碳当量CEV/%</w:t>
            </w:r>
          </w:p>
        </w:tc>
        <w:tc>
          <w:tcPr>
            <w:tcW w:w="1407" w:type="pct"/>
            <w:vAlign w:val="center"/>
          </w:tcPr>
          <w:p>
            <w:pPr>
              <w:pStyle w:val="19"/>
              <w:tabs>
                <w:tab w:val="left" w:pos="720"/>
              </w:tabs>
              <w:ind w:firstLine="0" w:firstLineChars="0"/>
              <w:jc w:val="center"/>
              <w:rPr>
                <w:rFonts w:ascii="Times New Roman"/>
                <w:szCs w:val="18"/>
              </w:rPr>
            </w:pPr>
            <w:r>
              <w:rPr>
                <w:rFonts w:hint="eastAsia" w:ascii="Times New Roman"/>
                <w:szCs w:val="18"/>
              </w:rPr>
              <w:t>焊接裂纹敏感性指数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790" w:type="pct"/>
            <w:vMerge w:val="continue"/>
            <w:vAlign w:val="center"/>
          </w:tcPr>
          <w:p>
            <w:pPr>
              <w:pStyle w:val="19"/>
              <w:tabs>
                <w:tab w:val="left" w:pos="720"/>
              </w:tabs>
              <w:ind w:firstLine="0" w:firstLineChars="0"/>
              <w:jc w:val="center"/>
              <w:rPr>
                <w:rFonts w:ascii="Times New Roman"/>
                <w:szCs w:val="18"/>
              </w:rPr>
            </w:pPr>
          </w:p>
        </w:tc>
        <w:tc>
          <w:tcPr>
            <w:tcW w:w="2801" w:type="pct"/>
            <w:gridSpan w:val="2"/>
            <w:vAlign w:val="center"/>
          </w:tcPr>
          <w:p>
            <w:pPr>
              <w:pStyle w:val="19"/>
              <w:tabs>
                <w:tab w:val="left" w:pos="720"/>
              </w:tabs>
              <w:ind w:firstLine="0" w:firstLineChars="0"/>
              <w:jc w:val="center"/>
              <w:rPr>
                <w:rFonts w:hint="eastAsia" w:ascii="Times New Roman"/>
                <w:szCs w:val="18"/>
              </w:rPr>
            </w:pPr>
            <w:r>
              <w:rPr>
                <w:rFonts w:hint="eastAsia" w:ascii="Times New Roman"/>
                <w:szCs w:val="18"/>
              </w:rPr>
              <w:t>公称</w:t>
            </w:r>
            <w:r>
              <w:rPr>
                <w:rFonts w:ascii="Times New Roman"/>
                <w:szCs w:val="18"/>
              </w:rPr>
              <w:t>厚度</w:t>
            </w:r>
            <w:r>
              <w:rPr>
                <w:rFonts w:hint="eastAsia" w:ascii="Times New Roman"/>
                <w:szCs w:val="18"/>
              </w:rPr>
              <w:t>/mm</w:t>
            </w:r>
          </w:p>
        </w:tc>
        <w:tc>
          <w:tcPr>
            <w:tcW w:w="1407" w:type="pct"/>
            <w:vMerge w:val="restart"/>
            <w:vAlign w:val="center"/>
          </w:tcPr>
          <w:p>
            <w:pPr>
              <w:pStyle w:val="19"/>
              <w:tabs>
                <w:tab w:val="left" w:pos="720"/>
              </w:tabs>
              <w:ind w:firstLine="0" w:firstLineChars="0"/>
              <w:jc w:val="center"/>
              <w:rPr>
                <w:rFonts w:ascii="Times New Roman"/>
                <w:szCs w:val="18"/>
              </w:rPr>
            </w:pPr>
            <w:r>
              <w:rPr>
                <w:rFonts w:hint="eastAsia" w:ascii="Times New Roman"/>
                <w:szCs w:val="18"/>
              </w:rPr>
              <w:t>Pcm/%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90" w:type="pct"/>
            <w:vMerge w:val="continue"/>
            <w:vAlign w:val="center"/>
          </w:tcPr>
          <w:p>
            <w:pPr>
              <w:pStyle w:val="19"/>
              <w:tabs>
                <w:tab w:val="left" w:pos="720"/>
              </w:tabs>
              <w:ind w:firstLine="0" w:firstLineChars="0"/>
              <w:jc w:val="center"/>
              <w:rPr>
                <w:rFonts w:ascii="Times New Roman"/>
                <w:szCs w:val="18"/>
              </w:rPr>
            </w:pP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highlight w:val="yellow"/>
              </w:rPr>
            </w:pPr>
            <w:r>
              <w:rPr>
                <w:rFonts w:hint="eastAsia" w:ascii="Times New Roman"/>
                <w:szCs w:val="18"/>
                <w:highlight w:val="yellow"/>
              </w:rPr>
              <w:t>t≤</w:t>
            </w:r>
            <w:r>
              <w:rPr>
                <w:rFonts w:hint="eastAsia" w:ascii="Times New Roman"/>
                <w:szCs w:val="18"/>
                <w:highlight w:val="yellow"/>
                <w:lang w:val="en-US" w:eastAsia="zh-CN"/>
              </w:rPr>
              <w:t>25</w:t>
            </w:r>
            <w:r>
              <w:rPr>
                <w:rFonts w:hint="eastAsia" w:ascii="Times New Roman"/>
                <w:szCs w:val="18"/>
                <w:highlight w:val="yellow"/>
              </w:rPr>
              <w:t>0</w:t>
            </w:r>
          </w:p>
        </w:tc>
        <w:tc>
          <w:tcPr>
            <w:tcW w:w="1403" w:type="pct"/>
            <w:vAlign w:val="center"/>
          </w:tcPr>
          <w:p>
            <w:pPr>
              <w:pStyle w:val="19"/>
              <w:tabs>
                <w:tab w:val="left" w:pos="720"/>
              </w:tabs>
              <w:ind w:firstLine="0" w:firstLineChars="0"/>
              <w:jc w:val="center"/>
              <w:rPr>
                <w:rFonts w:ascii="Times New Roman"/>
                <w:szCs w:val="18"/>
                <w:highlight w:val="yellow"/>
              </w:rPr>
            </w:pPr>
            <w:r>
              <w:rPr>
                <w:rFonts w:hint="eastAsia" w:ascii="Times New Roman"/>
                <w:szCs w:val="18"/>
                <w:highlight w:val="yellow"/>
              </w:rPr>
              <w:t>250＜t≤350</w:t>
            </w:r>
          </w:p>
        </w:tc>
        <w:tc>
          <w:tcPr>
            <w:tcW w:w="1407" w:type="pct"/>
            <w:vMerge w:val="continue"/>
            <w:vAlign w:val="center"/>
          </w:tcPr>
          <w:p>
            <w:pPr>
              <w:pStyle w:val="19"/>
              <w:tabs>
                <w:tab w:val="left" w:pos="720"/>
              </w:tabs>
              <w:ind w:firstLine="0" w:firstLineChars="0"/>
              <w:jc w:val="center"/>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w:t>
            </w:r>
            <w:r>
              <w:rPr>
                <w:rFonts w:hint="eastAsia" w:ascii="Times New Roman"/>
                <w:szCs w:val="18"/>
              </w:rPr>
              <w:t>42</w:t>
            </w:r>
            <w:r>
              <w:rPr>
                <w:rFonts w:ascii="Times New Roman"/>
                <w:szCs w:val="18"/>
              </w:rPr>
              <w:t>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0.49</w:t>
            </w:r>
          </w:p>
        </w:tc>
        <w:tc>
          <w:tcPr>
            <w:tcW w:w="1403" w:type="pct"/>
            <w:vAlign w:val="center"/>
          </w:tcPr>
          <w:p>
            <w:pPr>
              <w:pStyle w:val="19"/>
              <w:tabs>
                <w:tab w:val="left" w:pos="720"/>
              </w:tabs>
              <w:ind w:firstLine="0" w:firstLineChars="0"/>
              <w:jc w:val="center"/>
              <w:rPr>
                <w:rFonts w:ascii="Times New Roman"/>
                <w:szCs w:val="18"/>
              </w:rPr>
            </w:pPr>
            <w:r>
              <w:rPr>
                <w:rFonts w:hint="eastAsia" w:ascii="Times New Roman"/>
                <w:szCs w:val="18"/>
              </w:rPr>
              <w:t>0.54</w:t>
            </w:r>
          </w:p>
        </w:tc>
        <w:tc>
          <w:tcPr>
            <w:tcW w:w="1407" w:type="pct"/>
            <w:vAlign w:val="center"/>
          </w:tcPr>
          <w:p>
            <w:pPr>
              <w:pStyle w:val="19"/>
              <w:tabs>
                <w:tab w:val="left" w:pos="720"/>
              </w:tabs>
              <w:ind w:firstLine="0" w:firstLineChars="0"/>
              <w:jc w:val="center"/>
              <w:rPr>
                <w:rFonts w:ascii="Times New Roman"/>
                <w:szCs w:val="18"/>
              </w:rPr>
            </w:pPr>
            <w:r>
              <w:rPr>
                <w:rFonts w:hint="eastAsia" w:ascii="Times New Roman"/>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w:t>
            </w:r>
            <w:r>
              <w:rPr>
                <w:rFonts w:hint="eastAsia" w:ascii="Times New Roman"/>
                <w:szCs w:val="18"/>
              </w:rPr>
              <w:t>46</w:t>
            </w:r>
            <w:r>
              <w:rPr>
                <w:rFonts w:ascii="Times New Roman"/>
                <w:szCs w:val="18"/>
              </w:rPr>
              <w:t>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0.50</w:t>
            </w:r>
          </w:p>
        </w:tc>
        <w:tc>
          <w:tcPr>
            <w:tcW w:w="1403" w:type="pct"/>
            <w:vAlign w:val="center"/>
          </w:tcPr>
          <w:p>
            <w:pPr>
              <w:pStyle w:val="19"/>
              <w:tabs>
                <w:tab w:val="left" w:pos="720"/>
              </w:tabs>
              <w:ind w:firstLine="0" w:firstLineChars="0"/>
              <w:jc w:val="center"/>
              <w:rPr>
                <w:rFonts w:ascii="Times New Roman"/>
                <w:szCs w:val="18"/>
              </w:rPr>
            </w:pPr>
            <w:r>
              <w:rPr>
                <w:rFonts w:hint="eastAsia" w:ascii="Times New Roman"/>
                <w:szCs w:val="18"/>
              </w:rPr>
              <w:t>0.55</w:t>
            </w:r>
          </w:p>
        </w:tc>
        <w:tc>
          <w:tcPr>
            <w:tcW w:w="1407" w:type="pct"/>
            <w:vAlign w:val="center"/>
          </w:tcPr>
          <w:p>
            <w:pPr>
              <w:pStyle w:val="19"/>
              <w:tabs>
                <w:tab w:val="left" w:pos="720"/>
              </w:tabs>
              <w:ind w:firstLine="0" w:firstLineChars="0"/>
              <w:jc w:val="center"/>
              <w:rPr>
                <w:rFonts w:hint="eastAsia" w:ascii="Times New Roman"/>
                <w:szCs w:val="18"/>
                <w:lang w:eastAsia="zh-CN"/>
              </w:rPr>
            </w:pPr>
            <w:r>
              <w:rPr>
                <w:rFonts w:hint="eastAsia" w:ascii="Times New Roman"/>
                <w:szCs w:val="18"/>
              </w:rPr>
              <w:t>0.2</w:t>
            </w:r>
            <w:r>
              <w:rPr>
                <w:rFonts w:hint="eastAsia" w:ascii="Times New Roman"/>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w:t>
            </w:r>
            <w:r>
              <w:rPr>
                <w:rFonts w:hint="eastAsia" w:ascii="Times New Roman"/>
                <w:szCs w:val="18"/>
              </w:rPr>
              <w:t>50</w:t>
            </w:r>
            <w:r>
              <w:rPr>
                <w:rFonts w:ascii="Times New Roman"/>
                <w:szCs w:val="18"/>
              </w:rPr>
              <w:t>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0.54</w:t>
            </w:r>
          </w:p>
        </w:tc>
        <w:tc>
          <w:tcPr>
            <w:tcW w:w="1403" w:type="pct"/>
            <w:vAlign w:val="center"/>
          </w:tcPr>
          <w:p>
            <w:pPr>
              <w:pStyle w:val="19"/>
              <w:tabs>
                <w:tab w:val="left" w:pos="720"/>
              </w:tabs>
              <w:ind w:firstLine="0" w:firstLineChars="0"/>
              <w:jc w:val="center"/>
              <w:rPr>
                <w:rFonts w:ascii="Times New Roman"/>
                <w:szCs w:val="18"/>
              </w:rPr>
            </w:pPr>
            <w:r>
              <w:rPr>
                <w:rFonts w:hint="eastAsia" w:ascii="Times New Roman"/>
                <w:szCs w:val="18"/>
              </w:rPr>
              <w:t>0.59</w:t>
            </w:r>
          </w:p>
        </w:tc>
        <w:tc>
          <w:tcPr>
            <w:tcW w:w="1407" w:type="pct"/>
            <w:vAlign w:val="center"/>
          </w:tcPr>
          <w:p>
            <w:pPr>
              <w:pStyle w:val="19"/>
              <w:tabs>
                <w:tab w:val="left" w:pos="720"/>
              </w:tabs>
              <w:ind w:firstLine="0" w:firstLineChars="0"/>
              <w:jc w:val="center"/>
              <w:rPr>
                <w:rFonts w:hint="eastAsia" w:ascii="Times New Roman"/>
                <w:szCs w:val="18"/>
                <w:lang w:eastAsia="zh-CN"/>
              </w:rPr>
            </w:pPr>
            <w:r>
              <w:rPr>
                <w:rFonts w:hint="eastAsia" w:ascii="Times New Roman"/>
                <w:szCs w:val="18"/>
              </w:rPr>
              <w:t>0.2</w:t>
            </w:r>
            <w:r>
              <w:rPr>
                <w:rFonts w:hint="eastAsia" w:ascii="Times New Roman"/>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w:t>
            </w:r>
            <w:r>
              <w:rPr>
                <w:rFonts w:hint="eastAsia" w:ascii="Times New Roman"/>
                <w:szCs w:val="18"/>
              </w:rPr>
              <w:t>55</w:t>
            </w:r>
            <w:r>
              <w:rPr>
                <w:rFonts w:ascii="Times New Roman"/>
                <w:szCs w:val="18"/>
              </w:rPr>
              <w:t>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0.64</w:t>
            </w:r>
          </w:p>
        </w:tc>
        <w:tc>
          <w:tcPr>
            <w:tcW w:w="1403" w:type="pct"/>
            <w:vAlign w:val="center"/>
          </w:tcPr>
          <w:p>
            <w:pPr>
              <w:pStyle w:val="19"/>
              <w:tabs>
                <w:tab w:val="left" w:pos="720"/>
              </w:tabs>
              <w:ind w:firstLine="0" w:firstLineChars="0"/>
              <w:jc w:val="center"/>
              <w:rPr>
                <w:rFonts w:ascii="Times New Roman"/>
                <w:szCs w:val="18"/>
              </w:rPr>
            </w:pPr>
            <w:r>
              <w:rPr>
                <w:rFonts w:hint="eastAsia" w:ascii="Times New Roman"/>
                <w:szCs w:val="18"/>
              </w:rPr>
              <w:t>0.69</w:t>
            </w:r>
          </w:p>
        </w:tc>
        <w:tc>
          <w:tcPr>
            <w:tcW w:w="1407" w:type="pct"/>
            <w:vAlign w:val="center"/>
          </w:tcPr>
          <w:p>
            <w:pPr>
              <w:pStyle w:val="19"/>
              <w:tabs>
                <w:tab w:val="left" w:pos="720"/>
              </w:tabs>
              <w:ind w:firstLine="0" w:firstLineChars="0"/>
              <w:jc w:val="center"/>
              <w:rPr>
                <w:rFonts w:hint="eastAsia" w:ascii="Times New Roman"/>
                <w:szCs w:val="18"/>
                <w:lang w:eastAsia="zh-CN"/>
              </w:rPr>
            </w:pPr>
            <w:r>
              <w:rPr>
                <w:rFonts w:hint="eastAsia" w:ascii="Times New Roman"/>
                <w:szCs w:val="18"/>
              </w:rPr>
              <w:t>0.2</w:t>
            </w:r>
            <w:r>
              <w:rPr>
                <w:rFonts w:hint="eastAsia" w:ascii="Times New Roman"/>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w:t>
            </w:r>
            <w:r>
              <w:rPr>
                <w:rFonts w:hint="eastAsia" w:ascii="Times New Roman"/>
                <w:szCs w:val="18"/>
              </w:rPr>
              <w:t>62</w:t>
            </w:r>
            <w:r>
              <w:rPr>
                <w:rFonts w:ascii="Times New Roman"/>
                <w:szCs w:val="18"/>
              </w:rPr>
              <w:t>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0.64</w:t>
            </w:r>
          </w:p>
        </w:tc>
        <w:tc>
          <w:tcPr>
            <w:tcW w:w="1403" w:type="pct"/>
            <w:vAlign w:val="center"/>
          </w:tcPr>
          <w:p>
            <w:pPr>
              <w:pStyle w:val="19"/>
              <w:tabs>
                <w:tab w:val="left" w:pos="720"/>
              </w:tabs>
              <w:ind w:firstLine="0" w:firstLineChars="0"/>
              <w:jc w:val="center"/>
              <w:rPr>
                <w:rFonts w:ascii="Times New Roman"/>
                <w:szCs w:val="18"/>
              </w:rPr>
            </w:pPr>
            <w:r>
              <w:rPr>
                <w:rFonts w:hint="eastAsia" w:ascii="Times New Roman"/>
                <w:szCs w:val="18"/>
              </w:rPr>
              <w:t>0.69</w:t>
            </w:r>
          </w:p>
        </w:tc>
        <w:tc>
          <w:tcPr>
            <w:tcW w:w="1407" w:type="pct"/>
            <w:vAlign w:val="center"/>
          </w:tcPr>
          <w:p>
            <w:pPr>
              <w:pStyle w:val="19"/>
              <w:tabs>
                <w:tab w:val="left" w:pos="720"/>
              </w:tabs>
              <w:ind w:firstLine="0" w:firstLineChars="0"/>
              <w:jc w:val="center"/>
              <w:rPr>
                <w:rFonts w:hint="default" w:ascii="Times New Roman"/>
                <w:szCs w:val="18"/>
                <w:lang w:val="en-US" w:eastAsia="zh-CN"/>
              </w:rPr>
            </w:pPr>
            <w:r>
              <w:rPr>
                <w:rFonts w:hint="eastAsia" w:ascii="Times New Roman"/>
                <w:szCs w:val="18"/>
              </w:rPr>
              <w:t>0.</w:t>
            </w:r>
            <w:r>
              <w:rPr>
                <w:rFonts w:hint="eastAsia" w:ascii="Times New Roman"/>
                <w:szCs w:val="18"/>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EH690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0.70</w:t>
            </w:r>
          </w:p>
        </w:tc>
        <w:tc>
          <w:tcPr>
            <w:tcW w:w="1403" w:type="pct"/>
            <w:vMerge w:val="restart"/>
            <w:vAlign w:val="center"/>
          </w:tcPr>
          <w:p>
            <w:pPr>
              <w:pStyle w:val="19"/>
              <w:tabs>
                <w:tab w:val="left" w:pos="720"/>
              </w:tabs>
              <w:ind w:firstLine="0" w:firstLineChars="0"/>
              <w:jc w:val="center"/>
              <w:rPr>
                <w:rFonts w:ascii="Times New Roman"/>
                <w:szCs w:val="18"/>
              </w:rPr>
            </w:pPr>
            <w:r>
              <w:rPr>
                <w:rFonts w:ascii="Times New Roman"/>
                <w:szCs w:val="18"/>
              </w:rPr>
              <w:t>协议</w:t>
            </w:r>
          </w:p>
        </w:tc>
        <w:tc>
          <w:tcPr>
            <w:tcW w:w="1407" w:type="pct"/>
            <w:vAlign w:val="center"/>
          </w:tcPr>
          <w:p>
            <w:pPr>
              <w:pStyle w:val="19"/>
              <w:tabs>
                <w:tab w:val="left" w:pos="720"/>
              </w:tabs>
              <w:ind w:firstLine="0" w:firstLineChars="0"/>
              <w:jc w:val="center"/>
              <w:rPr>
                <w:rFonts w:hint="eastAsia" w:ascii="Times New Roman"/>
                <w:szCs w:val="18"/>
                <w:lang w:eastAsia="zh-CN"/>
              </w:rPr>
            </w:pPr>
            <w:r>
              <w:rPr>
                <w:rFonts w:hint="eastAsia" w:ascii="Times New Roman"/>
                <w:szCs w:val="18"/>
              </w:rPr>
              <w:t>0.3</w:t>
            </w:r>
            <w:r>
              <w:rPr>
                <w:rFonts w:hint="eastAsia" w:ascii="Times New Roman"/>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highlight w:val="yellow"/>
              </w:rPr>
              <w:t>EH</w:t>
            </w:r>
            <w:r>
              <w:rPr>
                <w:rFonts w:hint="eastAsia" w:ascii="Times New Roman"/>
                <w:szCs w:val="18"/>
                <w:highlight w:val="yellow"/>
              </w:rPr>
              <w:t>790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0.73</w:t>
            </w:r>
          </w:p>
        </w:tc>
        <w:tc>
          <w:tcPr>
            <w:tcW w:w="1403" w:type="pct"/>
            <w:vMerge w:val="continue"/>
            <w:vAlign w:val="center"/>
          </w:tcPr>
          <w:p>
            <w:pPr>
              <w:pStyle w:val="19"/>
              <w:tabs>
                <w:tab w:val="left" w:pos="720"/>
              </w:tabs>
              <w:ind w:firstLine="0" w:firstLineChars="0"/>
              <w:jc w:val="center"/>
              <w:rPr>
                <w:rFonts w:ascii="Times New Roman"/>
                <w:szCs w:val="18"/>
              </w:rPr>
            </w:pPr>
          </w:p>
        </w:tc>
        <w:tc>
          <w:tcPr>
            <w:tcW w:w="1407" w:type="pct"/>
            <w:vAlign w:val="center"/>
          </w:tcPr>
          <w:p>
            <w:pPr>
              <w:pStyle w:val="19"/>
              <w:tabs>
                <w:tab w:val="left" w:pos="720"/>
              </w:tabs>
              <w:ind w:firstLine="0" w:firstLineChars="0"/>
              <w:jc w:val="center"/>
              <w:rPr>
                <w:rFonts w:hint="default" w:ascii="Times New Roman"/>
                <w:szCs w:val="18"/>
                <w:lang w:val="en-US" w:eastAsia="zh-CN"/>
              </w:rPr>
            </w:pPr>
            <w:r>
              <w:rPr>
                <w:rFonts w:hint="eastAsia" w:ascii="Times New Roman"/>
                <w:szCs w:val="18"/>
              </w:rPr>
              <w:t>0.</w:t>
            </w:r>
            <w:r>
              <w:rPr>
                <w:rFonts w:hint="eastAsia" w:ascii="Times New Roman"/>
                <w:szCs w:val="18"/>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90" w:type="pct"/>
            <w:vAlign w:val="center"/>
          </w:tcPr>
          <w:p>
            <w:pPr>
              <w:pStyle w:val="19"/>
              <w:tabs>
                <w:tab w:val="left" w:pos="720"/>
              </w:tabs>
              <w:ind w:firstLine="0" w:firstLineChars="0"/>
              <w:jc w:val="center"/>
              <w:rPr>
                <w:rFonts w:ascii="Times New Roman"/>
                <w:szCs w:val="18"/>
              </w:rPr>
            </w:pPr>
            <w:r>
              <w:rPr>
                <w:rFonts w:ascii="Times New Roman"/>
                <w:szCs w:val="18"/>
              </w:rPr>
              <w:t>EH</w:t>
            </w:r>
            <w:r>
              <w:rPr>
                <w:rFonts w:hint="eastAsia" w:ascii="Times New Roman"/>
                <w:szCs w:val="18"/>
              </w:rPr>
              <w:t>89</w:t>
            </w:r>
            <w:r>
              <w:rPr>
                <w:rFonts w:ascii="Times New Roman"/>
                <w:szCs w:val="18"/>
              </w:rPr>
              <w:t>0</w:t>
            </w:r>
          </w:p>
        </w:tc>
        <w:tc>
          <w:tcPr>
            <w:tcW w:w="1398" w:type="pct"/>
            <w:tcBorders>
              <w:right w:val="single" w:color="auto" w:sz="4" w:space="0"/>
            </w:tcBorders>
            <w:vAlign w:val="center"/>
          </w:tcPr>
          <w:p>
            <w:pPr>
              <w:pStyle w:val="19"/>
              <w:tabs>
                <w:tab w:val="left" w:pos="720"/>
              </w:tabs>
              <w:ind w:firstLine="0" w:firstLineChars="0"/>
              <w:jc w:val="center"/>
              <w:rPr>
                <w:rFonts w:ascii="Times New Roman"/>
                <w:szCs w:val="18"/>
              </w:rPr>
            </w:pPr>
            <w:r>
              <w:rPr>
                <w:rFonts w:hint="eastAsia" w:ascii="Times New Roman"/>
                <w:szCs w:val="18"/>
              </w:rPr>
              <w:t>0.77</w:t>
            </w:r>
          </w:p>
        </w:tc>
        <w:tc>
          <w:tcPr>
            <w:tcW w:w="1403" w:type="pct"/>
            <w:vMerge w:val="continue"/>
            <w:vAlign w:val="center"/>
          </w:tcPr>
          <w:p>
            <w:pPr>
              <w:pStyle w:val="19"/>
              <w:tabs>
                <w:tab w:val="left" w:pos="720"/>
              </w:tabs>
              <w:ind w:firstLine="0" w:firstLineChars="0"/>
              <w:jc w:val="center"/>
              <w:rPr>
                <w:rFonts w:ascii="Times New Roman"/>
                <w:szCs w:val="18"/>
              </w:rPr>
            </w:pPr>
          </w:p>
        </w:tc>
        <w:tc>
          <w:tcPr>
            <w:tcW w:w="1407" w:type="pct"/>
            <w:vAlign w:val="center"/>
          </w:tcPr>
          <w:p>
            <w:pPr>
              <w:pStyle w:val="19"/>
              <w:tabs>
                <w:tab w:val="left" w:pos="720"/>
              </w:tabs>
              <w:ind w:firstLine="0" w:firstLineChars="0"/>
              <w:jc w:val="center"/>
              <w:rPr>
                <w:rFonts w:hint="default" w:ascii="Times New Roman"/>
                <w:szCs w:val="18"/>
                <w:lang w:val="en-US" w:eastAsia="zh-CN"/>
              </w:rPr>
            </w:pPr>
            <w:r>
              <w:rPr>
                <w:rFonts w:hint="eastAsia" w:ascii="Times New Roman"/>
                <w:szCs w:val="18"/>
              </w:rPr>
              <w:t>0.</w:t>
            </w:r>
            <w:r>
              <w:rPr>
                <w:rFonts w:hint="eastAsia" w:ascii="Times New Roman"/>
                <w:szCs w:val="18"/>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5000" w:type="pct"/>
            <w:gridSpan w:val="4"/>
            <w:vAlign w:val="center"/>
          </w:tcPr>
          <w:p>
            <w:pPr>
              <w:pStyle w:val="19"/>
              <w:tabs>
                <w:tab w:val="left" w:pos="720"/>
              </w:tabs>
              <w:ind w:firstLine="0" w:firstLineChars="0"/>
              <w:jc w:val="center"/>
              <w:rPr>
                <w:rFonts w:hint="eastAsia" w:ascii="Times New Roman"/>
                <w:szCs w:val="18"/>
              </w:rPr>
            </w:pPr>
            <w:r>
              <w:rPr>
                <w:rFonts w:hint="eastAsia" w:ascii="Times New Roman"/>
                <w:szCs w:val="18"/>
              </w:rPr>
              <w:t>经供需双方协商，船级社同意，可以适当调整碳当量上限。</w:t>
            </w:r>
          </w:p>
        </w:tc>
      </w:tr>
    </w:tbl>
    <w:p>
      <w:pPr>
        <w:pStyle w:val="19"/>
      </w:pP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7.2 制造方法</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本文件规定冶炼方法及轧制压缩比，保证纯净度及组织性能。</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7.3 交货状态</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本文件规定“钢板应以淬火+回火状态交货。经供需双方协商，并在合同中注明，可提供其他交货状态钢板”。</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力学性能</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本文件力学性能基于DNV -OS-B101的海工用钢标准制定。DNV海工标准应用广泛，与其配套有利于国内特厚海工钢与国际标准接轨。</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本文件钢板1/4硬度基于抗拉强度与硬度匹配。其中EH690的表面硬度240-290HBW来自己客户的实际需求。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晶粒度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晶粒大小将对钢材的</w:t>
      </w:r>
      <w:r>
        <w:rPr>
          <w:rFonts w:ascii="Times New Roman" w:hAnsi="Times New Roman" w:eastAsia="仿宋_GB2312" w:cs="Times New Roman"/>
          <w:sz w:val="28"/>
          <w:szCs w:val="28"/>
        </w:rPr>
        <w:t>力学性能</w:t>
      </w:r>
      <w:r>
        <w:rPr>
          <w:rFonts w:hint="eastAsia" w:ascii="Times New Roman" w:hAnsi="Times New Roman" w:eastAsia="仿宋_GB2312" w:cs="Times New Roman"/>
          <w:sz w:val="28"/>
          <w:szCs w:val="28"/>
        </w:rPr>
        <w:t>产生</w:t>
      </w:r>
      <w:r>
        <w:rPr>
          <w:rFonts w:ascii="Times New Roman" w:hAnsi="Times New Roman" w:eastAsia="仿宋_GB2312" w:cs="Times New Roman"/>
          <w:sz w:val="28"/>
          <w:szCs w:val="28"/>
        </w:rPr>
        <w:t>一定影响，</w:t>
      </w:r>
      <w:r>
        <w:rPr>
          <w:rFonts w:hint="eastAsia" w:ascii="Times New Roman" w:hAnsi="Times New Roman" w:eastAsia="仿宋_GB2312" w:cs="Times New Roman"/>
          <w:sz w:val="28"/>
          <w:szCs w:val="28"/>
        </w:rPr>
        <w:t>特厚钢板的原奥氏体晶粒度需保证在一个合理的范围，既可以达到，又不至于过大导致影响冲击性能。本文件要求≤6。</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7.6 表面质量</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本文件参照国标要求。</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7无损检测</w:t>
      </w:r>
    </w:p>
    <w:bookmarkEnd w:id="0"/>
    <w:p>
      <w:pPr>
        <w:tabs>
          <w:tab w:val="left" w:pos="5309"/>
        </w:tabs>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本文件新增表面MT探伤或者其他表面裂纹的检查方法。考虑到应用企业实际，高强特厚板本身有一定脆性，易产生表面裂纹，良好的表面裂纹控制有利于提高钢板使用安全性，避免早期失效。明确检测方法、退磁要求，避免对焊接造成不利影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即增加</w:t>
      </w:r>
      <w:r>
        <w:rPr>
          <w:rFonts w:hint="eastAsia" w:ascii="Times New Roman" w:hAnsi="Times New Roman" w:eastAsia="仿宋_GB2312" w:cs="Times New Roman"/>
          <w:sz w:val="28"/>
          <w:szCs w:val="28"/>
          <w:lang w:eastAsia="zh-CN"/>
        </w:rPr>
        <w:t>“经供需双方协商，可对钢板进行磁粉探伤或者其他方法检测表面裂纹，磁粉探伤标准根据：GB/T 15822，采用磁轭法与触头法进行检验，要求不能检测出裂纹。检验以后根据需方需求，采用磁场震荡法或者反向磁场法法进行消磁”。</w:t>
      </w:r>
    </w:p>
    <w:p>
      <w:pPr>
        <w:tabs>
          <w:tab w:val="left" w:pos="5309"/>
        </w:tabs>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其他标准要求与CCS 船规通用。</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本文件确</w:t>
      </w:r>
      <w:r>
        <w:rPr>
          <w:rFonts w:hint="eastAsia" w:ascii="Times New Roman" w:hAnsi="Times New Roman" w:eastAsia="仿宋_GB2312" w:cs="Times New Roman"/>
          <w:sz w:val="28"/>
          <w:szCs w:val="28"/>
        </w:rPr>
        <w:t>定了</w:t>
      </w:r>
      <w:r>
        <w:rPr>
          <w:rFonts w:hint="eastAsia" w:ascii="Times New Roman" w:hAnsi="Times New Roman" w:eastAsia="仿宋_GB2312" w:cs="Times New Roman"/>
          <w:sz w:val="28"/>
          <w:szCs w:val="28"/>
          <w:lang w:eastAsia="zh-CN"/>
        </w:rPr>
        <w:t>海洋工程用特厚超高强钢板</w:t>
      </w:r>
      <w:r>
        <w:rPr>
          <w:rFonts w:hint="eastAsia" w:ascii="Times New Roman" w:hAnsi="Times New Roman" w:eastAsia="仿宋_GB2312" w:cs="Times New Roman"/>
          <w:sz w:val="28"/>
          <w:szCs w:val="28"/>
        </w:rPr>
        <w:t>的订货内容、尺寸、外形、重量、技术要求、试验方法、检验规则</w:t>
      </w:r>
      <w:r>
        <w:rPr>
          <w:rFonts w:ascii="Times New Roman" w:hAnsi="Times New Roman" w:eastAsia="仿宋_GB2312" w:cs="Times New Roman"/>
          <w:sz w:val="28"/>
          <w:szCs w:val="28"/>
        </w:rPr>
        <w:t>等</w:t>
      </w:r>
      <w:r>
        <w:rPr>
          <w:rFonts w:hint="eastAsia" w:ascii="Times New Roman" w:hAnsi="Times New Roman" w:eastAsia="仿宋_GB2312" w:cs="Times New Roman"/>
          <w:sz w:val="28"/>
          <w:szCs w:val="28"/>
        </w:rPr>
        <w:t>技术指标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进一步</w:t>
      </w:r>
      <w:r>
        <w:rPr>
          <w:rFonts w:ascii="Times New Roman" w:hAnsi="Times New Roman" w:eastAsia="仿宋_GB2312" w:cs="Times New Roman"/>
          <w:sz w:val="28"/>
          <w:szCs w:val="28"/>
        </w:rPr>
        <w:t>满足</w:t>
      </w:r>
      <w:r>
        <w:rPr>
          <w:rFonts w:hint="eastAsia" w:ascii="Times New Roman" w:hAnsi="Times New Roman" w:eastAsia="仿宋_GB2312" w:cs="Times New Roman"/>
          <w:sz w:val="28"/>
          <w:szCs w:val="28"/>
        </w:rPr>
        <w:t>海洋工程</w:t>
      </w:r>
      <w:r>
        <w:rPr>
          <w:rFonts w:ascii="Times New Roman" w:hAnsi="Times New Roman" w:eastAsia="仿宋_GB2312" w:cs="Times New Roman"/>
          <w:sz w:val="28"/>
          <w:szCs w:val="28"/>
        </w:rPr>
        <w:t>需求，对下游用户的采购、加工和制造具有指导意义。强化了上下游企业的衔接和联系，简化了双方采购合同的复杂性，降低了双方企业的管理成本，有助于产业链的</w:t>
      </w:r>
      <w:r>
        <w:rPr>
          <w:rFonts w:hint="eastAsia" w:ascii="Times New Roman" w:hAnsi="Times New Roman" w:eastAsia="仿宋_GB2312" w:cs="Times New Roman"/>
          <w:sz w:val="28"/>
          <w:szCs w:val="28"/>
        </w:rPr>
        <w:t>协同发展</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本文件的实施，</w:t>
      </w:r>
      <w:r>
        <w:rPr>
          <w:rFonts w:hint="eastAsia" w:ascii="Times New Roman" w:hAnsi="Times New Roman" w:eastAsia="仿宋_GB2312" w:cs="Times New Roman"/>
          <w:sz w:val="28"/>
          <w:szCs w:val="28"/>
        </w:rPr>
        <w:t>符合</w:t>
      </w:r>
      <w:r>
        <w:rPr>
          <w:rFonts w:ascii="Times New Roman" w:hAnsi="Times New Roman" w:eastAsia="仿宋_GB2312" w:cs="Times New Roman"/>
          <w:sz w:val="28"/>
          <w:szCs w:val="28"/>
        </w:rPr>
        <w:t>我国钢铁工业由高速度发展向高质量发展的整体趋势，</w:t>
      </w:r>
      <w:r>
        <w:rPr>
          <w:rFonts w:hint="eastAsia" w:ascii="Times New Roman" w:hAnsi="Times New Roman" w:eastAsia="仿宋_GB2312" w:cs="Times New Roman"/>
          <w:sz w:val="28"/>
          <w:szCs w:val="28"/>
        </w:rPr>
        <w:t>能够</w:t>
      </w:r>
      <w:r>
        <w:rPr>
          <w:rFonts w:ascii="Times New Roman" w:hAnsi="Times New Roman" w:eastAsia="仿宋_GB2312" w:cs="Times New Roman"/>
          <w:sz w:val="28"/>
          <w:szCs w:val="28"/>
        </w:rPr>
        <w:t>为我国</w:t>
      </w:r>
      <w:r>
        <w:rPr>
          <w:rFonts w:hint="eastAsia" w:ascii="Times New Roman" w:hAnsi="Times New Roman" w:eastAsia="仿宋_GB2312" w:cs="Times New Roman"/>
          <w:sz w:val="28"/>
          <w:szCs w:val="28"/>
        </w:rPr>
        <w:t>海洋工程建设</w:t>
      </w:r>
      <w:r>
        <w:rPr>
          <w:rFonts w:ascii="Times New Roman" w:hAnsi="Times New Roman" w:eastAsia="仿宋_GB2312" w:cs="Times New Roman"/>
          <w:sz w:val="28"/>
          <w:szCs w:val="28"/>
        </w:rPr>
        <w:t>供有力支撑，使原料生产企业</w:t>
      </w:r>
      <w:r>
        <w:rPr>
          <w:rFonts w:hint="eastAsia" w:ascii="Times New Roman" w:hAnsi="Times New Roman" w:eastAsia="仿宋_GB2312" w:cs="Times New Roman"/>
          <w:sz w:val="28"/>
          <w:szCs w:val="28"/>
        </w:rPr>
        <w:t>充分满足</w:t>
      </w:r>
      <w:r>
        <w:rPr>
          <w:rFonts w:ascii="Times New Roman" w:hAnsi="Times New Roman" w:eastAsia="仿宋_GB2312" w:cs="Times New Roman"/>
          <w:sz w:val="28"/>
          <w:szCs w:val="28"/>
        </w:rPr>
        <w:t>下游用户对</w:t>
      </w:r>
      <w:r>
        <w:rPr>
          <w:rFonts w:hint="eastAsia" w:ascii="Times New Roman" w:hAnsi="Times New Roman" w:eastAsia="仿宋_GB2312" w:cs="Times New Roman"/>
          <w:sz w:val="28"/>
          <w:szCs w:val="28"/>
        </w:rPr>
        <w:t>钢板的</w:t>
      </w:r>
      <w:r>
        <w:rPr>
          <w:rFonts w:ascii="Times New Roman" w:hAnsi="Times New Roman" w:eastAsia="仿宋_GB2312" w:cs="Times New Roman"/>
          <w:sz w:val="28"/>
          <w:szCs w:val="28"/>
        </w:rPr>
        <w:t>各参数</w:t>
      </w:r>
      <w:r>
        <w:rPr>
          <w:rFonts w:hint="eastAsia" w:ascii="Times New Roman" w:hAnsi="Times New Roman" w:eastAsia="仿宋_GB2312" w:cs="Times New Roman"/>
          <w:sz w:val="28"/>
          <w:szCs w:val="28"/>
        </w:rPr>
        <w:t>要求</w:t>
      </w:r>
      <w:r>
        <w:rPr>
          <w:rFonts w:ascii="Times New Roman" w:hAnsi="Times New Roman" w:eastAsia="仿宋_GB2312" w:cs="Times New Roman"/>
          <w:sz w:val="28"/>
          <w:szCs w:val="28"/>
        </w:rPr>
        <w:t>，引导双方形成合力，共同助力</w:t>
      </w:r>
      <w:r>
        <w:rPr>
          <w:rFonts w:hint="eastAsia" w:ascii="Times New Roman" w:hAnsi="Times New Roman" w:eastAsia="仿宋_GB2312" w:cs="Times New Roman"/>
          <w:sz w:val="28"/>
          <w:szCs w:val="28"/>
        </w:rPr>
        <w:t>下游行业</w:t>
      </w:r>
      <w:r>
        <w:rPr>
          <w:rFonts w:ascii="Times New Roman" w:hAnsi="Times New Roman" w:eastAsia="仿宋_GB2312" w:cs="Times New Roman"/>
          <w:sz w:val="28"/>
          <w:szCs w:val="28"/>
        </w:rPr>
        <w:t>快速发展。</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本文件属于钢铁行业团体标准。</w:t>
      </w:r>
    </w:p>
    <w:p>
      <w:pPr>
        <w:spacing w:line="500" w:lineRule="exact"/>
        <w:ind w:firstLine="560"/>
        <w:rPr>
          <w:rFonts w:ascii="Times New Roman" w:hAnsi="Times New Roman" w:cs="Times New Roman"/>
          <w:sz w:val="28"/>
          <w:szCs w:val="28"/>
        </w:rPr>
      </w:pPr>
    </w:p>
    <w:p>
      <w:pPr>
        <w:spacing w:line="560" w:lineRule="exact"/>
        <w:ind w:firstLine="2240" w:firstLineChars="8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海洋工程用特厚超高强钢板</w:t>
      </w:r>
      <w:r>
        <w:rPr>
          <w:rFonts w:ascii="Times New Roman" w:hAnsi="Times New Roman" w:eastAsia="仿宋_GB2312" w:cs="Times New Roman"/>
          <w:sz w:val="28"/>
          <w:szCs w:val="28"/>
        </w:rPr>
        <w:t>》标准编制工作组</w:t>
      </w:r>
    </w:p>
    <w:p>
      <w:pPr>
        <w:spacing w:line="560" w:lineRule="exact"/>
        <w:ind w:firstLine="5040" w:firstLineChars="18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p>
    <w:p>
      <w:pPr>
        <w:ind w:right="640" w:firstLine="0" w:firstLineChars="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37"/>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5"/>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4"/>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6"/>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0"/>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60B55DC2"/>
    <w:multiLevelType w:val="multilevel"/>
    <w:tmpl w:val="60B55DC2"/>
    <w:lvl w:ilvl="0" w:tentative="0">
      <w:start w:val="1"/>
      <w:numFmt w:val="upperLetter"/>
      <w:pStyle w:val="35"/>
      <w:lvlText w:val="%1"/>
      <w:lvlJc w:val="left"/>
      <w:pPr>
        <w:tabs>
          <w:tab w:val="left" w:pos="0"/>
        </w:tabs>
        <w:ind w:hanging="425"/>
      </w:pPr>
      <w:rPr>
        <w:rFonts w:hint="eastAsia" w:cs="Times New Roman"/>
      </w:rPr>
    </w:lvl>
    <w:lvl w:ilvl="1" w:tentative="0">
      <w:start w:val="1"/>
      <w:numFmt w:val="decimal"/>
      <w:pStyle w:val="3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2VmYjQwZGQ2YWRkZTg4NjhiMDRlODRiYWM4ZjAifQ=="/>
  </w:docVars>
  <w:rsids>
    <w:rsidRoot w:val="6DDC178D"/>
    <w:rsid w:val="000011D7"/>
    <w:rsid w:val="000014E4"/>
    <w:rsid w:val="000022CF"/>
    <w:rsid w:val="00002D42"/>
    <w:rsid w:val="00003855"/>
    <w:rsid w:val="00003FB5"/>
    <w:rsid w:val="00006236"/>
    <w:rsid w:val="00014557"/>
    <w:rsid w:val="00015712"/>
    <w:rsid w:val="0001602B"/>
    <w:rsid w:val="00016D37"/>
    <w:rsid w:val="00017A64"/>
    <w:rsid w:val="0002059D"/>
    <w:rsid w:val="000206A2"/>
    <w:rsid w:val="0002118F"/>
    <w:rsid w:val="0002174F"/>
    <w:rsid w:val="00026859"/>
    <w:rsid w:val="000268B9"/>
    <w:rsid w:val="00030BF4"/>
    <w:rsid w:val="00031348"/>
    <w:rsid w:val="0003674C"/>
    <w:rsid w:val="0004119F"/>
    <w:rsid w:val="0004218D"/>
    <w:rsid w:val="0004285E"/>
    <w:rsid w:val="00043DF3"/>
    <w:rsid w:val="000441D2"/>
    <w:rsid w:val="00045991"/>
    <w:rsid w:val="00046F04"/>
    <w:rsid w:val="0004710F"/>
    <w:rsid w:val="00050788"/>
    <w:rsid w:val="00051A9D"/>
    <w:rsid w:val="0005215F"/>
    <w:rsid w:val="000546C8"/>
    <w:rsid w:val="00054D1F"/>
    <w:rsid w:val="00055062"/>
    <w:rsid w:val="00055549"/>
    <w:rsid w:val="0005703E"/>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79D"/>
    <w:rsid w:val="000739D9"/>
    <w:rsid w:val="0007494C"/>
    <w:rsid w:val="00076937"/>
    <w:rsid w:val="000776B9"/>
    <w:rsid w:val="00077D4A"/>
    <w:rsid w:val="00080955"/>
    <w:rsid w:val="00080C30"/>
    <w:rsid w:val="00082C48"/>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A1C"/>
    <w:rsid w:val="000A4CD7"/>
    <w:rsid w:val="000B0A2E"/>
    <w:rsid w:val="000B2DCD"/>
    <w:rsid w:val="000B302C"/>
    <w:rsid w:val="000B4789"/>
    <w:rsid w:val="000B6256"/>
    <w:rsid w:val="000B6A23"/>
    <w:rsid w:val="000B7BA1"/>
    <w:rsid w:val="000C2BC3"/>
    <w:rsid w:val="000C43D7"/>
    <w:rsid w:val="000C4644"/>
    <w:rsid w:val="000C7306"/>
    <w:rsid w:val="000C76B1"/>
    <w:rsid w:val="000D0CB5"/>
    <w:rsid w:val="000D1C38"/>
    <w:rsid w:val="000D1FD3"/>
    <w:rsid w:val="000D2751"/>
    <w:rsid w:val="000D3754"/>
    <w:rsid w:val="000D39C7"/>
    <w:rsid w:val="000D459E"/>
    <w:rsid w:val="000D4C0A"/>
    <w:rsid w:val="000D4E81"/>
    <w:rsid w:val="000D59FB"/>
    <w:rsid w:val="000D627B"/>
    <w:rsid w:val="000D6344"/>
    <w:rsid w:val="000E00EA"/>
    <w:rsid w:val="000E00EB"/>
    <w:rsid w:val="000E0CE9"/>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905"/>
    <w:rsid w:val="00100D26"/>
    <w:rsid w:val="00101192"/>
    <w:rsid w:val="00102A38"/>
    <w:rsid w:val="001048F0"/>
    <w:rsid w:val="00104B53"/>
    <w:rsid w:val="001051F7"/>
    <w:rsid w:val="00106A19"/>
    <w:rsid w:val="00106DB6"/>
    <w:rsid w:val="001070E1"/>
    <w:rsid w:val="00107383"/>
    <w:rsid w:val="00107873"/>
    <w:rsid w:val="00107F36"/>
    <w:rsid w:val="001104AA"/>
    <w:rsid w:val="001107D7"/>
    <w:rsid w:val="001108D4"/>
    <w:rsid w:val="00111EE3"/>
    <w:rsid w:val="001126E6"/>
    <w:rsid w:val="001129E1"/>
    <w:rsid w:val="001131DC"/>
    <w:rsid w:val="00113250"/>
    <w:rsid w:val="00116013"/>
    <w:rsid w:val="0011749C"/>
    <w:rsid w:val="00120712"/>
    <w:rsid w:val="00120823"/>
    <w:rsid w:val="0012454A"/>
    <w:rsid w:val="001250C4"/>
    <w:rsid w:val="00125287"/>
    <w:rsid w:val="0012604D"/>
    <w:rsid w:val="00127BF9"/>
    <w:rsid w:val="001344C9"/>
    <w:rsid w:val="00136288"/>
    <w:rsid w:val="0013726F"/>
    <w:rsid w:val="001372CF"/>
    <w:rsid w:val="001408F4"/>
    <w:rsid w:val="00140C5D"/>
    <w:rsid w:val="0014115E"/>
    <w:rsid w:val="00141C80"/>
    <w:rsid w:val="001440C4"/>
    <w:rsid w:val="0014494E"/>
    <w:rsid w:val="00145996"/>
    <w:rsid w:val="00146A8E"/>
    <w:rsid w:val="00146AAE"/>
    <w:rsid w:val="001500D2"/>
    <w:rsid w:val="001509E2"/>
    <w:rsid w:val="00151C06"/>
    <w:rsid w:val="00151F0F"/>
    <w:rsid w:val="0015518C"/>
    <w:rsid w:val="0015619D"/>
    <w:rsid w:val="00157031"/>
    <w:rsid w:val="001601D3"/>
    <w:rsid w:val="00160D47"/>
    <w:rsid w:val="00160F9A"/>
    <w:rsid w:val="0016160A"/>
    <w:rsid w:val="0016273A"/>
    <w:rsid w:val="0016341F"/>
    <w:rsid w:val="00163AFC"/>
    <w:rsid w:val="00164305"/>
    <w:rsid w:val="001653FD"/>
    <w:rsid w:val="0017076D"/>
    <w:rsid w:val="0017090D"/>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97F3F"/>
    <w:rsid w:val="001A0250"/>
    <w:rsid w:val="001A0EA9"/>
    <w:rsid w:val="001A15F1"/>
    <w:rsid w:val="001A1763"/>
    <w:rsid w:val="001A1A04"/>
    <w:rsid w:val="001A208B"/>
    <w:rsid w:val="001A418C"/>
    <w:rsid w:val="001A4CEA"/>
    <w:rsid w:val="001A5071"/>
    <w:rsid w:val="001A6D8F"/>
    <w:rsid w:val="001A6E48"/>
    <w:rsid w:val="001A70EC"/>
    <w:rsid w:val="001B0D9E"/>
    <w:rsid w:val="001B276D"/>
    <w:rsid w:val="001B28E8"/>
    <w:rsid w:val="001B3F6B"/>
    <w:rsid w:val="001B44F4"/>
    <w:rsid w:val="001B5176"/>
    <w:rsid w:val="001B6456"/>
    <w:rsid w:val="001B79C0"/>
    <w:rsid w:val="001B7D55"/>
    <w:rsid w:val="001C0844"/>
    <w:rsid w:val="001C1449"/>
    <w:rsid w:val="001C19AF"/>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76F8"/>
    <w:rsid w:val="001E7E8E"/>
    <w:rsid w:val="001F0185"/>
    <w:rsid w:val="001F04F3"/>
    <w:rsid w:val="001F13A5"/>
    <w:rsid w:val="001F19C6"/>
    <w:rsid w:val="001F3A05"/>
    <w:rsid w:val="001F4229"/>
    <w:rsid w:val="001F587E"/>
    <w:rsid w:val="001F5F8A"/>
    <w:rsid w:val="001F6EF1"/>
    <w:rsid w:val="002007C4"/>
    <w:rsid w:val="002014D5"/>
    <w:rsid w:val="002029E3"/>
    <w:rsid w:val="002033D6"/>
    <w:rsid w:val="00204B2E"/>
    <w:rsid w:val="002050DA"/>
    <w:rsid w:val="00205D58"/>
    <w:rsid w:val="00205F26"/>
    <w:rsid w:val="00206B26"/>
    <w:rsid w:val="00206CAD"/>
    <w:rsid w:val="00207DBD"/>
    <w:rsid w:val="0021013B"/>
    <w:rsid w:val="00210898"/>
    <w:rsid w:val="00210F7B"/>
    <w:rsid w:val="0021111F"/>
    <w:rsid w:val="00211C1C"/>
    <w:rsid w:val="00212A14"/>
    <w:rsid w:val="002138AC"/>
    <w:rsid w:val="00213AE7"/>
    <w:rsid w:val="00213B57"/>
    <w:rsid w:val="00213E2D"/>
    <w:rsid w:val="00214F0C"/>
    <w:rsid w:val="0021500D"/>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35B9"/>
    <w:rsid w:val="0026464F"/>
    <w:rsid w:val="00264B79"/>
    <w:rsid w:val="00265354"/>
    <w:rsid w:val="00266E38"/>
    <w:rsid w:val="00266F94"/>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32C0"/>
    <w:rsid w:val="002E45E6"/>
    <w:rsid w:val="002E7307"/>
    <w:rsid w:val="002F3557"/>
    <w:rsid w:val="002F4E22"/>
    <w:rsid w:val="002F7D6F"/>
    <w:rsid w:val="0030011D"/>
    <w:rsid w:val="003007A0"/>
    <w:rsid w:val="00300863"/>
    <w:rsid w:val="00300DCE"/>
    <w:rsid w:val="003013E7"/>
    <w:rsid w:val="00301B69"/>
    <w:rsid w:val="00302C03"/>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476A8"/>
    <w:rsid w:val="00350BF7"/>
    <w:rsid w:val="00351330"/>
    <w:rsid w:val="003514B9"/>
    <w:rsid w:val="00355E0F"/>
    <w:rsid w:val="00360996"/>
    <w:rsid w:val="00361115"/>
    <w:rsid w:val="00361150"/>
    <w:rsid w:val="00361688"/>
    <w:rsid w:val="00361A05"/>
    <w:rsid w:val="00362599"/>
    <w:rsid w:val="00365B9B"/>
    <w:rsid w:val="00366A70"/>
    <w:rsid w:val="003671C4"/>
    <w:rsid w:val="00370011"/>
    <w:rsid w:val="00371023"/>
    <w:rsid w:val="00373334"/>
    <w:rsid w:val="003739C6"/>
    <w:rsid w:val="00373B3E"/>
    <w:rsid w:val="00374BD4"/>
    <w:rsid w:val="00376A5B"/>
    <w:rsid w:val="00377583"/>
    <w:rsid w:val="00380486"/>
    <w:rsid w:val="003807D4"/>
    <w:rsid w:val="00381335"/>
    <w:rsid w:val="00381FF6"/>
    <w:rsid w:val="00385032"/>
    <w:rsid w:val="00385C14"/>
    <w:rsid w:val="00386173"/>
    <w:rsid w:val="0038686D"/>
    <w:rsid w:val="00387A01"/>
    <w:rsid w:val="00391E30"/>
    <w:rsid w:val="00393AC1"/>
    <w:rsid w:val="0039422D"/>
    <w:rsid w:val="00396D38"/>
    <w:rsid w:val="00396D49"/>
    <w:rsid w:val="00397529"/>
    <w:rsid w:val="003979A5"/>
    <w:rsid w:val="00397EAF"/>
    <w:rsid w:val="00397FF1"/>
    <w:rsid w:val="003A11ED"/>
    <w:rsid w:val="003A1B7A"/>
    <w:rsid w:val="003A3D8F"/>
    <w:rsid w:val="003A405E"/>
    <w:rsid w:val="003A6895"/>
    <w:rsid w:val="003A7319"/>
    <w:rsid w:val="003B11ED"/>
    <w:rsid w:val="003B2435"/>
    <w:rsid w:val="003B5A7F"/>
    <w:rsid w:val="003B5E22"/>
    <w:rsid w:val="003B6E51"/>
    <w:rsid w:val="003C0918"/>
    <w:rsid w:val="003C10E3"/>
    <w:rsid w:val="003C14E2"/>
    <w:rsid w:val="003C185A"/>
    <w:rsid w:val="003C1F74"/>
    <w:rsid w:val="003C3584"/>
    <w:rsid w:val="003C4CEC"/>
    <w:rsid w:val="003C4D19"/>
    <w:rsid w:val="003C55B2"/>
    <w:rsid w:val="003C5B0B"/>
    <w:rsid w:val="003C6ACB"/>
    <w:rsid w:val="003C6BA7"/>
    <w:rsid w:val="003C7B6D"/>
    <w:rsid w:val="003D2E96"/>
    <w:rsid w:val="003D3554"/>
    <w:rsid w:val="003D3602"/>
    <w:rsid w:val="003D3681"/>
    <w:rsid w:val="003D41C1"/>
    <w:rsid w:val="003D59E7"/>
    <w:rsid w:val="003D7B07"/>
    <w:rsid w:val="003E19F7"/>
    <w:rsid w:val="003E4EDD"/>
    <w:rsid w:val="003E5A4D"/>
    <w:rsid w:val="003E61E1"/>
    <w:rsid w:val="003E70D5"/>
    <w:rsid w:val="003F07C9"/>
    <w:rsid w:val="003F0B47"/>
    <w:rsid w:val="003F2D72"/>
    <w:rsid w:val="003F3167"/>
    <w:rsid w:val="003F33FA"/>
    <w:rsid w:val="003F3B30"/>
    <w:rsid w:val="003F3FDB"/>
    <w:rsid w:val="003F47B6"/>
    <w:rsid w:val="003F526E"/>
    <w:rsid w:val="003F5D38"/>
    <w:rsid w:val="003F67C2"/>
    <w:rsid w:val="003F6C77"/>
    <w:rsid w:val="003F7211"/>
    <w:rsid w:val="003F7E8B"/>
    <w:rsid w:val="004001AF"/>
    <w:rsid w:val="0040091F"/>
    <w:rsid w:val="00401495"/>
    <w:rsid w:val="00401827"/>
    <w:rsid w:val="00401F7D"/>
    <w:rsid w:val="00402E51"/>
    <w:rsid w:val="0040423E"/>
    <w:rsid w:val="0040425E"/>
    <w:rsid w:val="00410225"/>
    <w:rsid w:val="004107CF"/>
    <w:rsid w:val="0041217D"/>
    <w:rsid w:val="004123BE"/>
    <w:rsid w:val="00412B9E"/>
    <w:rsid w:val="00413FD3"/>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367C"/>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4EA0"/>
    <w:rsid w:val="00485FFD"/>
    <w:rsid w:val="00487062"/>
    <w:rsid w:val="00490719"/>
    <w:rsid w:val="00490C20"/>
    <w:rsid w:val="00491DB5"/>
    <w:rsid w:val="004951C2"/>
    <w:rsid w:val="004952C0"/>
    <w:rsid w:val="00495331"/>
    <w:rsid w:val="004A4A85"/>
    <w:rsid w:val="004A66FE"/>
    <w:rsid w:val="004A689D"/>
    <w:rsid w:val="004B0452"/>
    <w:rsid w:val="004B189C"/>
    <w:rsid w:val="004B23E8"/>
    <w:rsid w:val="004B3734"/>
    <w:rsid w:val="004B4525"/>
    <w:rsid w:val="004B58A3"/>
    <w:rsid w:val="004B5ED0"/>
    <w:rsid w:val="004B7084"/>
    <w:rsid w:val="004B7358"/>
    <w:rsid w:val="004B7A5B"/>
    <w:rsid w:val="004C0BBE"/>
    <w:rsid w:val="004C14B5"/>
    <w:rsid w:val="004C17EF"/>
    <w:rsid w:val="004C2B1D"/>
    <w:rsid w:val="004C4B75"/>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F0CDF"/>
    <w:rsid w:val="004F1DE8"/>
    <w:rsid w:val="004F29ED"/>
    <w:rsid w:val="004F3850"/>
    <w:rsid w:val="004F4B05"/>
    <w:rsid w:val="004F6198"/>
    <w:rsid w:val="004F706D"/>
    <w:rsid w:val="004F7C03"/>
    <w:rsid w:val="00500ED7"/>
    <w:rsid w:val="0050162B"/>
    <w:rsid w:val="005022C0"/>
    <w:rsid w:val="00502552"/>
    <w:rsid w:val="005057DA"/>
    <w:rsid w:val="00506E76"/>
    <w:rsid w:val="00507886"/>
    <w:rsid w:val="0051290A"/>
    <w:rsid w:val="00513796"/>
    <w:rsid w:val="00514874"/>
    <w:rsid w:val="005148B7"/>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FD5"/>
    <w:rsid w:val="005362B4"/>
    <w:rsid w:val="00540CDE"/>
    <w:rsid w:val="0054183F"/>
    <w:rsid w:val="00543C1E"/>
    <w:rsid w:val="005442DA"/>
    <w:rsid w:val="00544B4A"/>
    <w:rsid w:val="00545CD3"/>
    <w:rsid w:val="005506B2"/>
    <w:rsid w:val="0055098C"/>
    <w:rsid w:val="00550DFE"/>
    <w:rsid w:val="00551516"/>
    <w:rsid w:val="00551893"/>
    <w:rsid w:val="00554208"/>
    <w:rsid w:val="00554B1F"/>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5101"/>
    <w:rsid w:val="0057691C"/>
    <w:rsid w:val="00577FE6"/>
    <w:rsid w:val="005819E7"/>
    <w:rsid w:val="00582D34"/>
    <w:rsid w:val="00583E58"/>
    <w:rsid w:val="00584527"/>
    <w:rsid w:val="0058561A"/>
    <w:rsid w:val="0058622B"/>
    <w:rsid w:val="00587624"/>
    <w:rsid w:val="00590619"/>
    <w:rsid w:val="00590810"/>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96A"/>
    <w:rsid w:val="005B1F13"/>
    <w:rsid w:val="005B2C45"/>
    <w:rsid w:val="005B439B"/>
    <w:rsid w:val="005B4F39"/>
    <w:rsid w:val="005B51E5"/>
    <w:rsid w:val="005B57FC"/>
    <w:rsid w:val="005B6FBE"/>
    <w:rsid w:val="005B7953"/>
    <w:rsid w:val="005C07C6"/>
    <w:rsid w:val="005C41F7"/>
    <w:rsid w:val="005C46B5"/>
    <w:rsid w:val="005C4FD6"/>
    <w:rsid w:val="005C6205"/>
    <w:rsid w:val="005C6DB3"/>
    <w:rsid w:val="005C6E1E"/>
    <w:rsid w:val="005C7E76"/>
    <w:rsid w:val="005D0A69"/>
    <w:rsid w:val="005D2452"/>
    <w:rsid w:val="005D2D61"/>
    <w:rsid w:val="005D3B1D"/>
    <w:rsid w:val="005D4A8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52F"/>
    <w:rsid w:val="005E68C0"/>
    <w:rsid w:val="005F0684"/>
    <w:rsid w:val="005F10F9"/>
    <w:rsid w:val="005F14D4"/>
    <w:rsid w:val="005F257E"/>
    <w:rsid w:val="005F29DE"/>
    <w:rsid w:val="005F2B00"/>
    <w:rsid w:val="005F2E1E"/>
    <w:rsid w:val="005F3EE9"/>
    <w:rsid w:val="005F44BF"/>
    <w:rsid w:val="005F49A1"/>
    <w:rsid w:val="005F7923"/>
    <w:rsid w:val="006008B2"/>
    <w:rsid w:val="006009C0"/>
    <w:rsid w:val="00600CF0"/>
    <w:rsid w:val="00601567"/>
    <w:rsid w:val="00603522"/>
    <w:rsid w:val="00605EFF"/>
    <w:rsid w:val="00606B70"/>
    <w:rsid w:val="00606E84"/>
    <w:rsid w:val="0060779B"/>
    <w:rsid w:val="00610642"/>
    <w:rsid w:val="006135B2"/>
    <w:rsid w:val="00614734"/>
    <w:rsid w:val="006164DF"/>
    <w:rsid w:val="006165D1"/>
    <w:rsid w:val="006175D0"/>
    <w:rsid w:val="006214D1"/>
    <w:rsid w:val="00622111"/>
    <w:rsid w:val="00622821"/>
    <w:rsid w:val="006229F7"/>
    <w:rsid w:val="00622D59"/>
    <w:rsid w:val="00623552"/>
    <w:rsid w:val="00625203"/>
    <w:rsid w:val="00626E3A"/>
    <w:rsid w:val="006320E9"/>
    <w:rsid w:val="00632806"/>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4344"/>
    <w:rsid w:val="00645547"/>
    <w:rsid w:val="00645934"/>
    <w:rsid w:val="006516DD"/>
    <w:rsid w:val="00652B0A"/>
    <w:rsid w:val="00652B3F"/>
    <w:rsid w:val="006535EC"/>
    <w:rsid w:val="00653CD4"/>
    <w:rsid w:val="00653F7E"/>
    <w:rsid w:val="0065516A"/>
    <w:rsid w:val="00656A23"/>
    <w:rsid w:val="0065787A"/>
    <w:rsid w:val="00662FBE"/>
    <w:rsid w:val="006630A8"/>
    <w:rsid w:val="0066391B"/>
    <w:rsid w:val="00664BC0"/>
    <w:rsid w:val="006656B7"/>
    <w:rsid w:val="006657A5"/>
    <w:rsid w:val="006666C2"/>
    <w:rsid w:val="00666941"/>
    <w:rsid w:val="006670D3"/>
    <w:rsid w:val="006701BE"/>
    <w:rsid w:val="00670384"/>
    <w:rsid w:val="00670DDB"/>
    <w:rsid w:val="006710FF"/>
    <w:rsid w:val="006724F1"/>
    <w:rsid w:val="006736C1"/>
    <w:rsid w:val="0067484D"/>
    <w:rsid w:val="006756E5"/>
    <w:rsid w:val="006775F4"/>
    <w:rsid w:val="00677CC5"/>
    <w:rsid w:val="006800A7"/>
    <w:rsid w:val="006809BE"/>
    <w:rsid w:val="006812C2"/>
    <w:rsid w:val="0068131C"/>
    <w:rsid w:val="00681AC1"/>
    <w:rsid w:val="00682984"/>
    <w:rsid w:val="00683D0A"/>
    <w:rsid w:val="00683F14"/>
    <w:rsid w:val="0068542B"/>
    <w:rsid w:val="00685BB3"/>
    <w:rsid w:val="00687676"/>
    <w:rsid w:val="00687916"/>
    <w:rsid w:val="00687A56"/>
    <w:rsid w:val="00691EE5"/>
    <w:rsid w:val="00692E1B"/>
    <w:rsid w:val="00692FE2"/>
    <w:rsid w:val="00693A88"/>
    <w:rsid w:val="00694431"/>
    <w:rsid w:val="00694CB9"/>
    <w:rsid w:val="00695ED8"/>
    <w:rsid w:val="006A3528"/>
    <w:rsid w:val="006A3587"/>
    <w:rsid w:val="006A5A9E"/>
    <w:rsid w:val="006A6EF5"/>
    <w:rsid w:val="006B42D0"/>
    <w:rsid w:val="006B535D"/>
    <w:rsid w:val="006B6F0D"/>
    <w:rsid w:val="006C0A7B"/>
    <w:rsid w:val="006C10C3"/>
    <w:rsid w:val="006C1681"/>
    <w:rsid w:val="006C23CF"/>
    <w:rsid w:val="006C2CD8"/>
    <w:rsid w:val="006C2F73"/>
    <w:rsid w:val="006C5DE7"/>
    <w:rsid w:val="006C6730"/>
    <w:rsid w:val="006D0985"/>
    <w:rsid w:val="006D13E6"/>
    <w:rsid w:val="006D14AA"/>
    <w:rsid w:val="006D3A89"/>
    <w:rsid w:val="006D74A6"/>
    <w:rsid w:val="006D766B"/>
    <w:rsid w:val="006E02B8"/>
    <w:rsid w:val="006E059B"/>
    <w:rsid w:val="006E1DFD"/>
    <w:rsid w:val="006E2392"/>
    <w:rsid w:val="006E2857"/>
    <w:rsid w:val="006E465F"/>
    <w:rsid w:val="006E5629"/>
    <w:rsid w:val="006E56FB"/>
    <w:rsid w:val="006F104D"/>
    <w:rsid w:val="006F24E4"/>
    <w:rsid w:val="006F3D8B"/>
    <w:rsid w:val="006F62E9"/>
    <w:rsid w:val="006F65DF"/>
    <w:rsid w:val="00700315"/>
    <w:rsid w:val="00700B03"/>
    <w:rsid w:val="00701AA3"/>
    <w:rsid w:val="00703069"/>
    <w:rsid w:val="00703211"/>
    <w:rsid w:val="0070569A"/>
    <w:rsid w:val="007061F3"/>
    <w:rsid w:val="00707E5F"/>
    <w:rsid w:val="007107AF"/>
    <w:rsid w:val="0071168B"/>
    <w:rsid w:val="00713AEB"/>
    <w:rsid w:val="00713FA1"/>
    <w:rsid w:val="007141DC"/>
    <w:rsid w:val="00714DB3"/>
    <w:rsid w:val="00715DC1"/>
    <w:rsid w:val="00715FE4"/>
    <w:rsid w:val="007205D7"/>
    <w:rsid w:val="00721C55"/>
    <w:rsid w:val="00722D39"/>
    <w:rsid w:val="0072424F"/>
    <w:rsid w:val="0072569A"/>
    <w:rsid w:val="00726A01"/>
    <w:rsid w:val="00726CE1"/>
    <w:rsid w:val="00727B47"/>
    <w:rsid w:val="00730383"/>
    <w:rsid w:val="0073044D"/>
    <w:rsid w:val="007304FA"/>
    <w:rsid w:val="00732CD8"/>
    <w:rsid w:val="00734A44"/>
    <w:rsid w:val="00734E36"/>
    <w:rsid w:val="00735A20"/>
    <w:rsid w:val="00735B48"/>
    <w:rsid w:val="00740183"/>
    <w:rsid w:val="0074336D"/>
    <w:rsid w:val="00743488"/>
    <w:rsid w:val="00745475"/>
    <w:rsid w:val="00745642"/>
    <w:rsid w:val="0074619D"/>
    <w:rsid w:val="00747BFD"/>
    <w:rsid w:val="007500E4"/>
    <w:rsid w:val="00750BEC"/>
    <w:rsid w:val="00752191"/>
    <w:rsid w:val="007524E3"/>
    <w:rsid w:val="0075282E"/>
    <w:rsid w:val="00752F4E"/>
    <w:rsid w:val="00753AF2"/>
    <w:rsid w:val="00754836"/>
    <w:rsid w:val="007550E2"/>
    <w:rsid w:val="00757FA8"/>
    <w:rsid w:val="007602D0"/>
    <w:rsid w:val="007606EB"/>
    <w:rsid w:val="00760EA6"/>
    <w:rsid w:val="00761E8D"/>
    <w:rsid w:val="007630EE"/>
    <w:rsid w:val="007637C6"/>
    <w:rsid w:val="00764472"/>
    <w:rsid w:val="007654BD"/>
    <w:rsid w:val="00765E5B"/>
    <w:rsid w:val="00771974"/>
    <w:rsid w:val="00771C9C"/>
    <w:rsid w:val="007722F6"/>
    <w:rsid w:val="00774E99"/>
    <w:rsid w:val="00775AE5"/>
    <w:rsid w:val="0077765A"/>
    <w:rsid w:val="00777FB4"/>
    <w:rsid w:val="00780202"/>
    <w:rsid w:val="00782D3C"/>
    <w:rsid w:val="00783842"/>
    <w:rsid w:val="00783868"/>
    <w:rsid w:val="007841D6"/>
    <w:rsid w:val="007848C0"/>
    <w:rsid w:val="0078521D"/>
    <w:rsid w:val="0078596C"/>
    <w:rsid w:val="0078596F"/>
    <w:rsid w:val="00785F91"/>
    <w:rsid w:val="0078630E"/>
    <w:rsid w:val="00786542"/>
    <w:rsid w:val="00786B55"/>
    <w:rsid w:val="00786D7A"/>
    <w:rsid w:val="007875BF"/>
    <w:rsid w:val="007878CF"/>
    <w:rsid w:val="00791788"/>
    <w:rsid w:val="00791819"/>
    <w:rsid w:val="007932DF"/>
    <w:rsid w:val="0079470C"/>
    <w:rsid w:val="00796002"/>
    <w:rsid w:val="007964BD"/>
    <w:rsid w:val="00796C25"/>
    <w:rsid w:val="00797B72"/>
    <w:rsid w:val="007A35B0"/>
    <w:rsid w:val="007A3F34"/>
    <w:rsid w:val="007A421E"/>
    <w:rsid w:val="007A4664"/>
    <w:rsid w:val="007A4F0B"/>
    <w:rsid w:val="007A57B9"/>
    <w:rsid w:val="007A73BD"/>
    <w:rsid w:val="007B4B46"/>
    <w:rsid w:val="007B578F"/>
    <w:rsid w:val="007B721F"/>
    <w:rsid w:val="007B7B65"/>
    <w:rsid w:val="007C208B"/>
    <w:rsid w:val="007C2F41"/>
    <w:rsid w:val="007C30DD"/>
    <w:rsid w:val="007C4725"/>
    <w:rsid w:val="007C5878"/>
    <w:rsid w:val="007C5FB4"/>
    <w:rsid w:val="007C60BD"/>
    <w:rsid w:val="007C6A60"/>
    <w:rsid w:val="007D00EE"/>
    <w:rsid w:val="007D222F"/>
    <w:rsid w:val="007D536E"/>
    <w:rsid w:val="007D6626"/>
    <w:rsid w:val="007E0662"/>
    <w:rsid w:val="007E1566"/>
    <w:rsid w:val="007E1ADB"/>
    <w:rsid w:val="007E1DFB"/>
    <w:rsid w:val="007E2247"/>
    <w:rsid w:val="007E2794"/>
    <w:rsid w:val="007E2D2C"/>
    <w:rsid w:val="007E4500"/>
    <w:rsid w:val="007E4FBA"/>
    <w:rsid w:val="007E6547"/>
    <w:rsid w:val="007E712C"/>
    <w:rsid w:val="007E737E"/>
    <w:rsid w:val="007E7A66"/>
    <w:rsid w:val="007E7A83"/>
    <w:rsid w:val="007F0A4B"/>
    <w:rsid w:val="007F17AF"/>
    <w:rsid w:val="007F1A54"/>
    <w:rsid w:val="007F205B"/>
    <w:rsid w:val="007F3152"/>
    <w:rsid w:val="007F3D3A"/>
    <w:rsid w:val="007F42E2"/>
    <w:rsid w:val="007F4358"/>
    <w:rsid w:val="007F4C5A"/>
    <w:rsid w:val="007F5937"/>
    <w:rsid w:val="00800E39"/>
    <w:rsid w:val="00801C23"/>
    <w:rsid w:val="00802530"/>
    <w:rsid w:val="008030AC"/>
    <w:rsid w:val="00803EDC"/>
    <w:rsid w:val="008045EF"/>
    <w:rsid w:val="00804AD1"/>
    <w:rsid w:val="00805A37"/>
    <w:rsid w:val="00806410"/>
    <w:rsid w:val="0081044F"/>
    <w:rsid w:val="00810602"/>
    <w:rsid w:val="00811ED3"/>
    <w:rsid w:val="00811FA2"/>
    <w:rsid w:val="00812799"/>
    <w:rsid w:val="00814E3A"/>
    <w:rsid w:val="0082103D"/>
    <w:rsid w:val="008216B0"/>
    <w:rsid w:val="008223FA"/>
    <w:rsid w:val="00822F92"/>
    <w:rsid w:val="008255B6"/>
    <w:rsid w:val="00826C7F"/>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15B6"/>
    <w:rsid w:val="00851ECD"/>
    <w:rsid w:val="008531D2"/>
    <w:rsid w:val="008539BD"/>
    <w:rsid w:val="008541F0"/>
    <w:rsid w:val="00854E98"/>
    <w:rsid w:val="00856598"/>
    <w:rsid w:val="00860014"/>
    <w:rsid w:val="00860ECA"/>
    <w:rsid w:val="008626BC"/>
    <w:rsid w:val="00863C00"/>
    <w:rsid w:val="00866367"/>
    <w:rsid w:val="00867354"/>
    <w:rsid w:val="0087026A"/>
    <w:rsid w:val="00870785"/>
    <w:rsid w:val="008714A9"/>
    <w:rsid w:val="008733B1"/>
    <w:rsid w:val="00873EDB"/>
    <w:rsid w:val="0087455C"/>
    <w:rsid w:val="008775EA"/>
    <w:rsid w:val="00880DB0"/>
    <w:rsid w:val="00880F71"/>
    <w:rsid w:val="00882CC7"/>
    <w:rsid w:val="00883519"/>
    <w:rsid w:val="00886D0E"/>
    <w:rsid w:val="00890AE7"/>
    <w:rsid w:val="00890D4E"/>
    <w:rsid w:val="00891FFF"/>
    <w:rsid w:val="00892B6A"/>
    <w:rsid w:val="00894B5A"/>
    <w:rsid w:val="00894E1B"/>
    <w:rsid w:val="0089500E"/>
    <w:rsid w:val="0089641E"/>
    <w:rsid w:val="008968A2"/>
    <w:rsid w:val="00896EC8"/>
    <w:rsid w:val="008971C9"/>
    <w:rsid w:val="0089775F"/>
    <w:rsid w:val="008A099C"/>
    <w:rsid w:val="008A18A4"/>
    <w:rsid w:val="008A299A"/>
    <w:rsid w:val="008A2DCE"/>
    <w:rsid w:val="008A310C"/>
    <w:rsid w:val="008A522E"/>
    <w:rsid w:val="008A5829"/>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E01"/>
    <w:rsid w:val="008D21AE"/>
    <w:rsid w:val="008D2344"/>
    <w:rsid w:val="008D2795"/>
    <w:rsid w:val="008D2E4D"/>
    <w:rsid w:val="008D33C5"/>
    <w:rsid w:val="008D4187"/>
    <w:rsid w:val="008D4389"/>
    <w:rsid w:val="008D4948"/>
    <w:rsid w:val="008D5F13"/>
    <w:rsid w:val="008D6209"/>
    <w:rsid w:val="008D648E"/>
    <w:rsid w:val="008D7046"/>
    <w:rsid w:val="008E0DF9"/>
    <w:rsid w:val="008E2363"/>
    <w:rsid w:val="008E45B1"/>
    <w:rsid w:val="008E6B15"/>
    <w:rsid w:val="008E7BB7"/>
    <w:rsid w:val="008F0428"/>
    <w:rsid w:val="008F12B3"/>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490C"/>
    <w:rsid w:val="00914CDC"/>
    <w:rsid w:val="009152B9"/>
    <w:rsid w:val="0091706F"/>
    <w:rsid w:val="0091727C"/>
    <w:rsid w:val="00917855"/>
    <w:rsid w:val="00917CF3"/>
    <w:rsid w:val="00921241"/>
    <w:rsid w:val="00921F23"/>
    <w:rsid w:val="00922C32"/>
    <w:rsid w:val="00924997"/>
    <w:rsid w:val="00925AF0"/>
    <w:rsid w:val="00926333"/>
    <w:rsid w:val="00926461"/>
    <w:rsid w:val="00930632"/>
    <w:rsid w:val="00930B23"/>
    <w:rsid w:val="00931645"/>
    <w:rsid w:val="009318E6"/>
    <w:rsid w:val="00933E6F"/>
    <w:rsid w:val="009359E4"/>
    <w:rsid w:val="00935EEF"/>
    <w:rsid w:val="00937100"/>
    <w:rsid w:val="00937C29"/>
    <w:rsid w:val="00940A9D"/>
    <w:rsid w:val="00940B37"/>
    <w:rsid w:val="00940B63"/>
    <w:rsid w:val="009419FE"/>
    <w:rsid w:val="00941AE6"/>
    <w:rsid w:val="00941EF6"/>
    <w:rsid w:val="00943043"/>
    <w:rsid w:val="00943DF9"/>
    <w:rsid w:val="00945664"/>
    <w:rsid w:val="0094579B"/>
    <w:rsid w:val="00945D00"/>
    <w:rsid w:val="0095103D"/>
    <w:rsid w:val="00954139"/>
    <w:rsid w:val="00954DBE"/>
    <w:rsid w:val="00955A02"/>
    <w:rsid w:val="009560BC"/>
    <w:rsid w:val="009562C6"/>
    <w:rsid w:val="009568F6"/>
    <w:rsid w:val="0095757A"/>
    <w:rsid w:val="009579B5"/>
    <w:rsid w:val="00960B7B"/>
    <w:rsid w:val="00960F6C"/>
    <w:rsid w:val="009611EB"/>
    <w:rsid w:val="0096163A"/>
    <w:rsid w:val="009624CD"/>
    <w:rsid w:val="00963AD9"/>
    <w:rsid w:val="00965762"/>
    <w:rsid w:val="00965C40"/>
    <w:rsid w:val="00966C16"/>
    <w:rsid w:val="009701FC"/>
    <w:rsid w:val="00972A9E"/>
    <w:rsid w:val="009731DA"/>
    <w:rsid w:val="00973373"/>
    <w:rsid w:val="00973BE4"/>
    <w:rsid w:val="00973D7D"/>
    <w:rsid w:val="009743BD"/>
    <w:rsid w:val="00974AFA"/>
    <w:rsid w:val="00975507"/>
    <w:rsid w:val="009764AB"/>
    <w:rsid w:val="00977B01"/>
    <w:rsid w:val="00980B90"/>
    <w:rsid w:val="00982788"/>
    <w:rsid w:val="00986B82"/>
    <w:rsid w:val="00987049"/>
    <w:rsid w:val="0098711E"/>
    <w:rsid w:val="009875D0"/>
    <w:rsid w:val="00987ABF"/>
    <w:rsid w:val="00991D67"/>
    <w:rsid w:val="0099341E"/>
    <w:rsid w:val="00993D07"/>
    <w:rsid w:val="00994E32"/>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406A"/>
    <w:rsid w:val="009C4852"/>
    <w:rsid w:val="009C4FA4"/>
    <w:rsid w:val="009C56A4"/>
    <w:rsid w:val="009C7930"/>
    <w:rsid w:val="009D029E"/>
    <w:rsid w:val="009D1115"/>
    <w:rsid w:val="009D293A"/>
    <w:rsid w:val="009D38CA"/>
    <w:rsid w:val="009D5BC9"/>
    <w:rsid w:val="009D60D4"/>
    <w:rsid w:val="009D70C8"/>
    <w:rsid w:val="009E06A5"/>
    <w:rsid w:val="009E0EFC"/>
    <w:rsid w:val="009E1189"/>
    <w:rsid w:val="009E37FE"/>
    <w:rsid w:val="009E4B6C"/>
    <w:rsid w:val="009E56D4"/>
    <w:rsid w:val="009F2B94"/>
    <w:rsid w:val="009F44ED"/>
    <w:rsid w:val="009F46C5"/>
    <w:rsid w:val="009F5603"/>
    <w:rsid w:val="009F5D12"/>
    <w:rsid w:val="00A00672"/>
    <w:rsid w:val="00A00E8A"/>
    <w:rsid w:val="00A02DC1"/>
    <w:rsid w:val="00A0325B"/>
    <w:rsid w:val="00A04710"/>
    <w:rsid w:val="00A049F6"/>
    <w:rsid w:val="00A04B0B"/>
    <w:rsid w:val="00A05661"/>
    <w:rsid w:val="00A05D19"/>
    <w:rsid w:val="00A069C7"/>
    <w:rsid w:val="00A06EE7"/>
    <w:rsid w:val="00A0700F"/>
    <w:rsid w:val="00A106E9"/>
    <w:rsid w:val="00A12E28"/>
    <w:rsid w:val="00A13965"/>
    <w:rsid w:val="00A17A8A"/>
    <w:rsid w:val="00A20C71"/>
    <w:rsid w:val="00A20EC5"/>
    <w:rsid w:val="00A212EB"/>
    <w:rsid w:val="00A2184E"/>
    <w:rsid w:val="00A24D40"/>
    <w:rsid w:val="00A2588C"/>
    <w:rsid w:val="00A26013"/>
    <w:rsid w:val="00A26F31"/>
    <w:rsid w:val="00A3138E"/>
    <w:rsid w:val="00A35443"/>
    <w:rsid w:val="00A36BE3"/>
    <w:rsid w:val="00A36FAC"/>
    <w:rsid w:val="00A401E8"/>
    <w:rsid w:val="00A408EB"/>
    <w:rsid w:val="00A444C4"/>
    <w:rsid w:val="00A46856"/>
    <w:rsid w:val="00A468F0"/>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5D20"/>
    <w:rsid w:val="00A80C6C"/>
    <w:rsid w:val="00A8107A"/>
    <w:rsid w:val="00A81520"/>
    <w:rsid w:val="00A81702"/>
    <w:rsid w:val="00A82108"/>
    <w:rsid w:val="00A84930"/>
    <w:rsid w:val="00A855A2"/>
    <w:rsid w:val="00A85704"/>
    <w:rsid w:val="00A85EA2"/>
    <w:rsid w:val="00A86097"/>
    <w:rsid w:val="00A8657B"/>
    <w:rsid w:val="00A878BD"/>
    <w:rsid w:val="00A879D2"/>
    <w:rsid w:val="00A87F80"/>
    <w:rsid w:val="00A919EF"/>
    <w:rsid w:val="00A91FE6"/>
    <w:rsid w:val="00A933AC"/>
    <w:rsid w:val="00A94392"/>
    <w:rsid w:val="00A95983"/>
    <w:rsid w:val="00A95C83"/>
    <w:rsid w:val="00AA145E"/>
    <w:rsid w:val="00AA1573"/>
    <w:rsid w:val="00AA285B"/>
    <w:rsid w:val="00AA37C0"/>
    <w:rsid w:val="00AA41B4"/>
    <w:rsid w:val="00AA65D5"/>
    <w:rsid w:val="00AA6618"/>
    <w:rsid w:val="00AA7D75"/>
    <w:rsid w:val="00AB0280"/>
    <w:rsid w:val="00AB03AD"/>
    <w:rsid w:val="00AB08C6"/>
    <w:rsid w:val="00AB2305"/>
    <w:rsid w:val="00AB2BD3"/>
    <w:rsid w:val="00AB2DFE"/>
    <w:rsid w:val="00AB36CC"/>
    <w:rsid w:val="00AB4A7F"/>
    <w:rsid w:val="00AB4BA6"/>
    <w:rsid w:val="00AB4F66"/>
    <w:rsid w:val="00AB4FFA"/>
    <w:rsid w:val="00AB5F40"/>
    <w:rsid w:val="00AB6168"/>
    <w:rsid w:val="00AB7E7C"/>
    <w:rsid w:val="00AC0388"/>
    <w:rsid w:val="00AC2477"/>
    <w:rsid w:val="00AC2C9B"/>
    <w:rsid w:val="00AC2F25"/>
    <w:rsid w:val="00AC2F89"/>
    <w:rsid w:val="00AC4076"/>
    <w:rsid w:val="00AC407B"/>
    <w:rsid w:val="00AC4688"/>
    <w:rsid w:val="00AC4C77"/>
    <w:rsid w:val="00AC579B"/>
    <w:rsid w:val="00AC69F4"/>
    <w:rsid w:val="00AC798D"/>
    <w:rsid w:val="00AD217F"/>
    <w:rsid w:val="00AD2497"/>
    <w:rsid w:val="00AD2953"/>
    <w:rsid w:val="00AD319A"/>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81A"/>
    <w:rsid w:val="00B2570C"/>
    <w:rsid w:val="00B25D69"/>
    <w:rsid w:val="00B30E60"/>
    <w:rsid w:val="00B30EB4"/>
    <w:rsid w:val="00B314BC"/>
    <w:rsid w:val="00B318A7"/>
    <w:rsid w:val="00B319B0"/>
    <w:rsid w:val="00B31A94"/>
    <w:rsid w:val="00B31AE3"/>
    <w:rsid w:val="00B3247F"/>
    <w:rsid w:val="00B32714"/>
    <w:rsid w:val="00B33232"/>
    <w:rsid w:val="00B33DD5"/>
    <w:rsid w:val="00B33EEA"/>
    <w:rsid w:val="00B34108"/>
    <w:rsid w:val="00B3535C"/>
    <w:rsid w:val="00B3705B"/>
    <w:rsid w:val="00B41739"/>
    <w:rsid w:val="00B42DED"/>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77A2"/>
    <w:rsid w:val="00B6031B"/>
    <w:rsid w:val="00B605C2"/>
    <w:rsid w:val="00B616F3"/>
    <w:rsid w:val="00B62FB2"/>
    <w:rsid w:val="00B639C4"/>
    <w:rsid w:val="00B63AA2"/>
    <w:rsid w:val="00B640F4"/>
    <w:rsid w:val="00B6442E"/>
    <w:rsid w:val="00B65A26"/>
    <w:rsid w:val="00B65CE7"/>
    <w:rsid w:val="00B66322"/>
    <w:rsid w:val="00B7023B"/>
    <w:rsid w:val="00B706CB"/>
    <w:rsid w:val="00B70895"/>
    <w:rsid w:val="00B70A1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1C32"/>
    <w:rsid w:val="00BB2555"/>
    <w:rsid w:val="00BB2A82"/>
    <w:rsid w:val="00BB553A"/>
    <w:rsid w:val="00BB5CA1"/>
    <w:rsid w:val="00BB6336"/>
    <w:rsid w:val="00BB654F"/>
    <w:rsid w:val="00BB6880"/>
    <w:rsid w:val="00BB76C9"/>
    <w:rsid w:val="00BC0005"/>
    <w:rsid w:val="00BC1B5C"/>
    <w:rsid w:val="00BC555B"/>
    <w:rsid w:val="00BC63D0"/>
    <w:rsid w:val="00BC745C"/>
    <w:rsid w:val="00BD00D5"/>
    <w:rsid w:val="00BD0321"/>
    <w:rsid w:val="00BD27C6"/>
    <w:rsid w:val="00BD3152"/>
    <w:rsid w:val="00BD4D1C"/>
    <w:rsid w:val="00BD5147"/>
    <w:rsid w:val="00BD5D5C"/>
    <w:rsid w:val="00BD5F73"/>
    <w:rsid w:val="00BD7BBA"/>
    <w:rsid w:val="00BE28A5"/>
    <w:rsid w:val="00BE3071"/>
    <w:rsid w:val="00BE32E6"/>
    <w:rsid w:val="00BE39AA"/>
    <w:rsid w:val="00BE3F36"/>
    <w:rsid w:val="00BE5810"/>
    <w:rsid w:val="00BE5C21"/>
    <w:rsid w:val="00BE5DAD"/>
    <w:rsid w:val="00BE6646"/>
    <w:rsid w:val="00BE6C80"/>
    <w:rsid w:val="00BF0093"/>
    <w:rsid w:val="00BF030F"/>
    <w:rsid w:val="00BF1E1B"/>
    <w:rsid w:val="00BF2AA4"/>
    <w:rsid w:val="00BF2DCF"/>
    <w:rsid w:val="00BF337F"/>
    <w:rsid w:val="00C004FF"/>
    <w:rsid w:val="00C00937"/>
    <w:rsid w:val="00C01376"/>
    <w:rsid w:val="00C0196C"/>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4A1D"/>
    <w:rsid w:val="00C360B7"/>
    <w:rsid w:val="00C36576"/>
    <w:rsid w:val="00C37BC1"/>
    <w:rsid w:val="00C40356"/>
    <w:rsid w:val="00C40694"/>
    <w:rsid w:val="00C40CC0"/>
    <w:rsid w:val="00C41679"/>
    <w:rsid w:val="00C41BDC"/>
    <w:rsid w:val="00C41CAD"/>
    <w:rsid w:val="00C43090"/>
    <w:rsid w:val="00C43B72"/>
    <w:rsid w:val="00C43E66"/>
    <w:rsid w:val="00C46206"/>
    <w:rsid w:val="00C5003E"/>
    <w:rsid w:val="00C50ED2"/>
    <w:rsid w:val="00C513FC"/>
    <w:rsid w:val="00C522AC"/>
    <w:rsid w:val="00C53AAD"/>
    <w:rsid w:val="00C553CA"/>
    <w:rsid w:val="00C557D0"/>
    <w:rsid w:val="00C56293"/>
    <w:rsid w:val="00C6101F"/>
    <w:rsid w:val="00C66C5C"/>
    <w:rsid w:val="00C67231"/>
    <w:rsid w:val="00C708DD"/>
    <w:rsid w:val="00C70B1B"/>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338E"/>
    <w:rsid w:val="00C939F3"/>
    <w:rsid w:val="00C9466A"/>
    <w:rsid w:val="00C94F6B"/>
    <w:rsid w:val="00C95E07"/>
    <w:rsid w:val="00C9637E"/>
    <w:rsid w:val="00C96E01"/>
    <w:rsid w:val="00CA0340"/>
    <w:rsid w:val="00CA14C7"/>
    <w:rsid w:val="00CA2C52"/>
    <w:rsid w:val="00CA663C"/>
    <w:rsid w:val="00CB0331"/>
    <w:rsid w:val="00CB0AD0"/>
    <w:rsid w:val="00CB0DC7"/>
    <w:rsid w:val="00CB5185"/>
    <w:rsid w:val="00CB6BAB"/>
    <w:rsid w:val="00CC007A"/>
    <w:rsid w:val="00CC0673"/>
    <w:rsid w:val="00CC11CB"/>
    <w:rsid w:val="00CC1A03"/>
    <w:rsid w:val="00CC1CBF"/>
    <w:rsid w:val="00CC2B2C"/>
    <w:rsid w:val="00CC2DEB"/>
    <w:rsid w:val="00CC353D"/>
    <w:rsid w:val="00CC361D"/>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367"/>
    <w:rsid w:val="00CE3A09"/>
    <w:rsid w:val="00CE3DD5"/>
    <w:rsid w:val="00CE433D"/>
    <w:rsid w:val="00CE44F6"/>
    <w:rsid w:val="00CE4FE2"/>
    <w:rsid w:val="00CE625F"/>
    <w:rsid w:val="00CE6A6F"/>
    <w:rsid w:val="00CF06C5"/>
    <w:rsid w:val="00CF2947"/>
    <w:rsid w:val="00CF2E2F"/>
    <w:rsid w:val="00CF3328"/>
    <w:rsid w:val="00CF3E2E"/>
    <w:rsid w:val="00CF46AB"/>
    <w:rsid w:val="00CF4DF5"/>
    <w:rsid w:val="00CF500A"/>
    <w:rsid w:val="00CF5324"/>
    <w:rsid w:val="00CF6A64"/>
    <w:rsid w:val="00CF6BAB"/>
    <w:rsid w:val="00D00EC1"/>
    <w:rsid w:val="00D0289B"/>
    <w:rsid w:val="00D03201"/>
    <w:rsid w:val="00D03A1B"/>
    <w:rsid w:val="00D03B5E"/>
    <w:rsid w:val="00D047A5"/>
    <w:rsid w:val="00D04CC9"/>
    <w:rsid w:val="00D06C57"/>
    <w:rsid w:val="00D07A5A"/>
    <w:rsid w:val="00D12A05"/>
    <w:rsid w:val="00D12DEB"/>
    <w:rsid w:val="00D13595"/>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C60"/>
    <w:rsid w:val="00D31E4E"/>
    <w:rsid w:val="00D32CFC"/>
    <w:rsid w:val="00D337A8"/>
    <w:rsid w:val="00D33BD7"/>
    <w:rsid w:val="00D36BCF"/>
    <w:rsid w:val="00D37460"/>
    <w:rsid w:val="00D41B25"/>
    <w:rsid w:val="00D41B30"/>
    <w:rsid w:val="00D43947"/>
    <w:rsid w:val="00D43A6F"/>
    <w:rsid w:val="00D4515B"/>
    <w:rsid w:val="00D4527B"/>
    <w:rsid w:val="00D45A90"/>
    <w:rsid w:val="00D46E13"/>
    <w:rsid w:val="00D472F1"/>
    <w:rsid w:val="00D4742A"/>
    <w:rsid w:val="00D47BB7"/>
    <w:rsid w:val="00D47D08"/>
    <w:rsid w:val="00D50BDB"/>
    <w:rsid w:val="00D50C0E"/>
    <w:rsid w:val="00D5274F"/>
    <w:rsid w:val="00D53FCF"/>
    <w:rsid w:val="00D55DB0"/>
    <w:rsid w:val="00D57C90"/>
    <w:rsid w:val="00D57D7F"/>
    <w:rsid w:val="00D57D9D"/>
    <w:rsid w:val="00D60EAB"/>
    <w:rsid w:val="00D610B0"/>
    <w:rsid w:val="00D6265F"/>
    <w:rsid w:val="00D62A70"/>
    <w:rsid w:val="00D634D7"/>
    <w:rsid w:val="00D66A34"/>
    <w:rsid w:val="00D6741D"/>
    <w:rsid w:val="00D70413"/>
    <w:rsid w:val="00D707D5"/>
    <w:rsid w:val="00D70BB0"/>
    <w:rsid w:val="00D71465"/>
    <w:rsid w:val="00D73287"/>
    <w:rsid w:val="00D738C4"/>
    <w:rsid w:val="00D74A2C"/>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51E5"/>
    <w:rsid w:val="00DE5538"/>
    <w:rsid w:val="00DE59A7"/>
    <w:rsid w:val="00DE66EE"/>
    <w:rsid w:val="00DE6FE4"/>
    <w:rsid w:val="00DE74EA"/>
    <w:rsid w:val="00DF5BFF"/>
    <w:rsid w:val="00DF6215"/>
    <w:rsid w:val="00DF7778"/>
    <w:rsid w:val="00E002D4"/>
    <w:rsid w:val="00E00537"/>
    <w:rsid w:val="00E00A74"/>
    <w:rsid w:val="00E00D68"/>
    <w:rsid w:val="00E010A4"/>
    <w:rsid w:val="00E02499"/>
    <w:rsid w:val="00E025CF"/>
    <w:rsid w:val="00E02EE4"/>
    <w:rsid w:val="00E0438E"/>
    <w:rsid w:val="00E05242"/>
    <w:rsid w:val="00E05F00"/>
    <w:rsid w:val="00E0640C"/>
    <w:rsid w:val="00E076C5"/>
    <w:rsid w:val="00E10DD4"/>
    <w:rsid w:val="00E1128D"/>
    <w:rsid w:val="00E11BA2"/>
    <w:rsid w:val="00E12D91"/>
    <w:rsid w:val="00E142AC"/>
    <w:rsid w:val="00E15FD3"/>
    <w:rsid w:val="00E21341"/>
    <w:rsid w:val="00E22290"/>
    <w:rsid w:val="00E235E0"/>
    <w:rsid w:val="00E23E18"/>
    <w:rsid w:val="00E2447C"/>
    <w:rsid w:val="00E26293"/>
    <w:rsid w:val="00E276A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50654"/>
    <w:rsid w:val="00E52DCF"/>
    <w:rsid w:val="00E5367F"/>
    <w:rsid w:val="00E53717"/>
    <w:rsid w:val="00E54B59"/>
    <w:rsid w:val="00E550A7"/>
    <w:rsid w:val="00E554D3"/>
    <w:rsid w:val="00E561DD"/>
    <w:rsid w:val="00E561F4"/>
    <w:rsid w:val="00E564E2"/>
    <w:rsid w:val="00E568D5"/>
    <w:rsid w:val="00E56EAB"/>
    <w:rsid w:val="00E56F33"/>
    <w:rsid w:val="00E57675"/>
    <w:rsid w:val="00E63BAE"/>
    <w:rsid w:val="00E65375"/>
    <w:rsid w:val="00E7138E"/>
    <w:rsid w:val="00E72B21"/>
    <w:rsid w:val="00E73BB2"/>
    <w:rsid w:val="00E74807"/>
    <w:rsid w:val="00E75AA5"/>
    <w:rsid w:val="00E7699A"/>
    <w:rsid w:val="00E80175"/>
    <w:rsid w:val="00E80A43"/>
    <w:rsid w:val="00E80A50"/>
    <w:rsid w:val="00E82C15"/>
    <w:rsid w:val="00E8395B"/>
    <w:rsid w:val="00E8405E"/>
    <w:rsid w:val="00E84E40"/>
    <w:rsid w:val="00E85F0A"/>
    <w:rsid w:val="00E8771F"/>
    <w:rsid w:val="00E87FCE"/>
    <w:rsid w:val="00E90828"/>
    <w:rsid w:val="00E90FE2"/>
    <w:rsid w:val="00E91162"/>
    <w:rsid w:val="00E92A6E"/>
    <w:rsid w:val="00E931DF"/>
    <w:rsid w:val="00E9389F"/>
    <w:rsid w:val="00E93BB9"/>
    <w:rsid w:val="00E94562"/>
    <w:rsid w:val="00E94610"/>
    <w:rsid w:val="00E957F1"/>
    <w:rsid w:val="00E9601E"/>
    <w:rsid w:val="00E96095"/>
    <w:rsid w:val="00E96331"/>
    <w:rsid w:val="00E9767F"/>
    <w:rsid w:val="00E9784E"/>
    <w:rsid w:val="00E97B63"/>
    <w:rsid w:val="00E97DC6"/>
    <w:rsid w:val="00EA0CD4"/>
    <w:rsid w:val="00EA1126"/>
    <w:rsid w:val="00EA32E9"/>
    <w:rsid w:val="00EA35C9"/>
    <w:rsid w:val="00EA4A4D"/>
    <w:rsid w:val="00EA5252"/>
    <w:rsid w:val="00EA61C1"/>
    <w:rsid w:val="00EB1150"/>
    <w:rsid w:val="00EB3C08"/>
    <w:rsid w:val="00EB4184"/>
    <w:rsid w:val="00EB6590"/>
    <w:rsid w:val="00EC0199"/>
    <w:rsid w:val="00EC0BD4"/>
    <w:rsid w:val="00EC10AB"/>
    <w:rsid w:val="00EC17E6"/>
    <w:rsid w:val="00EC185B"/>
    <w:rsid w:val="00EC2A94"/>
    <w:rsid w:val="00EC2E89"/>
    <w:rsid w:val="00EC3812"/>
    <w:rsid w:val="00EC6851"/>
    <w:rsid w:val="00EC75CD"/>
    <w:rsid w:val="00ED083F"/>
    <w:rsid w:val="00ED084D"/>
    <w:rsid w:val="00ED092D"/>
    <w:rsid w:val="00ED0A39"/>
    <w:rsid w:val="00ED5314"/>
    <w:rsid w:val="00ED56D1"/>
    <w:rsid w:val="00ED7C5C"/>
    <w:rsid w:val="00ED7F72"/>
    <w:rsid w:val="00EE0474"/>
    <w:rsid w:val="00EE0C63"/>
    <w:rsid w:val="00EE1A78"/>
    <w:rsid w:val="00EE1D2F"/>
    <w:rsid w:val="00EE3DAD"/>
    <w:rsid w:val="00EE4023"/>
    <w:rsid w:val="00EE487C"/>
    <w:rsid w:val="00EE6766"/>
    <w:rsid w:val="00EE6C92"/>
    <w:rsid w:val="00EE71CF"/>
    <w:rsid w:val="00EE730B"/>
    <w:rsid w:val="00EE7A34"/>
    <w:rsid w:val="00EF0FA4"/>
    <w:rsid w:val="00EF262B"/>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564A"/>
    <w:rsid w:val="00F35820"/>
    <w:rsid w:val="00F361FF"/>
    <w:rsid w:val="00F3658A"/>
    <w:rsid w:val="00F40DFC"/>
    <w:rsid w:val="00F42796"/>
    <w:rsid w:val="00F42AA8"/>
    <w:rsid w:val="00F439AC"/>
    <w:rsid w:val="00F439C5"/>
    <w:rsid w:val="00F4560A"/>
    <w:rsid w:val="00F46185"/>
    <w:rsid w:val="00F52C4F"/>
    <w:rsid w:val="00F549C8"/>
    <w:rsid w:val="00F55E4A"/>
    <w:rsid w:val="00F57118"/>
    <w:rsid w:val="00F575EB"/>
    <w:rsid w:val="00F57866"/>
    <w:rsid w:val="00F606A8"/>
    <w:rsid w:val="00F606B6"/>
    <w:rsid w:val="00F61641"/>
    <w:rsid w:val="00F64B79"/>
    <w:rsid w:val="00F670F8"/>
    <w:rsid w:val="00F67E0A"/>
    <w:rsid w:val="00F706A4"/>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CD3"/>
    <w:rsid w:val="00FA1D83"/>
    <w:rsid w:val="00FA58D8"/>
    <w:rsid w:val="00FA6785"/>
    <w:rsid w:val="00FA6A32"/>
    <w:rsid w:val="00FA785B"/>
    <w:rsid w:val="00FA7925"/>
    <w:rsid w:val="00FA7C2E"/>
    <w:rsid w:val="00FA7D6F"/>
    <w:rsid w:val="00FB07FC"/>
    <w:rsid w:val="00FB0AD4"/>
    <w:rsid w:val="00FB260B"/>
    <w:rsid w:val="00FB3AB1"/>
    <w:rsid w:val="00FB4328"/>
    <w:rsid w:val="00FB5F86"/>
    <w:rsid w:val="00FB770E"/>
    <w:rsid w:val="00FC29C4"/>
    <w:rsid w:val="00FC32D9"/>
    <w:rsid w:val="00FC4611"/>
    <w:rsid w:val="00FD0C28"/>
    <w:rsid w:val="00FD1301"/>
    <w:rsid w:val="00FD186D"/>
    <w:rsid w:val="00FD1EBA"/>
    <w:rsid w:val="00FD221F"/>
    <w:rsid w:val="00FD23F2"/>
    <w:rsid w:val="00FD2561"/>
    <w:rsid w:val="00FD35ED"/>
    <w:rsid w:val="00FD539F"/>
    <w:rsid w:val="00FD5958"/>
    <w:rsid w:val="00FD5EBD"/>
    <w:rsid w:val="00FD6018"/>
    <w:rsid w:val="00FD6748"/>
    <w:rsid w:val="00FE09FA"/>
    <w:rsid w:val="00FE0F53"/>
    <w:rsid w:val="00FE2B9C"/>
    <w:rsid w:val="00FE3690"/>
    <w:rsid w:val="00FE4732"/>
    <w:rsid w:val="00FE5683"/>
    <w:rsid w:val="00FE713E"/>
    <w:rsid w:val="00FF1607"/>
    <w:rsid w:val="00FF1BE1"/>
    <w:rsid w:val="00FF2B07"/>
    <w:rsid w:val="00FF2E70"/>
    <w:rsid w:val="00FF48AE"/>
    <w:rsid w:val="00FF4BCD"/>
    <w:rsid w:val="00FF4EEE"/>
    <w:rsid w:val="00FF6D02"/>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512C9F"/>
    <w:rsid w:val="08FD1BBC"/>
    <w:rsid w:val="0B52548A"/>
    <w:rsid w:val="0B8E390A"/>
    <w:rsid w:val="0B9F4D98"/>
    <w:rsid w:val="0C301086"/>
    <w:rsid w:val="0C355509"/>
    <w:rsid w:val="0C6467C6"/>
    <w:rsid w:val="0CFC55E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6B79E5"/>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84D2BD3"/>
    <w:rsid w:val="388050CF"/>
    <w:rsid w:val="388741D3"/>
    <w:rsid w:val="39AA2F7F"/>
    <w:rsid w:val="3AA045FD"/>
    <w:rsid w:val="3D2E6B3B"/>
    <w:rsid w:val="3E421FB7"/>
    <w:rsid w:val="3E64673C"/>
    <w:rsid w:val="402674E6"/>
    <w:rsid w:val="41C07145"/>
    <w:rsid w:val="42F265E0"/>
    <w:rsid w:val="44243511"/>
    <w:rsid w:val="45FF5777"/>
    <w:rsid w:val="47EC2027"/>
    <w:rsid w:val="48090121"/>
    <w:rsid w:val="4BFF46EB"/>
    <w:rsid w:val="4C2D1849"/>
    <w:rsid w:val="4D4D29C6"/>
    <w:rsid w:val="4DA931EB"/>
    <w:rsid w:val="4EDB409A"/>
    <w:rsid w:val="4FD4695C"/>
    <w:rsid w:val="50074DB1"/>
    <w:rsid w:val="50646E22"/>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5605834"/>
    <w:rsid w:val="66511D7F"/>
    <w:rsid w:val="67245C40"/>
    <w:rsid w:val="67487E87"/>
    <w:rsid w:val="67AF59F5"/>
    <w:rsid w:val="6A4B1902"/>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A261261"/>
    <w:rsid w:val="7AD76D1F"/>
    <w:rsid w:val="7B4F5E0F"/>
    <w:rsid w:val="7D8C6A5C"/>
    <w:rsid w:val="7D9875D0"/>
    <w:rsid w:val="7DEF58B3"/>
    <w:rsid w:val="7DFA1E09"/>
    <w:rsid w:val="7E06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2"/>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49"/>
    <w:autoRedefine/>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Body Text Indent 2"/>
    <w:basedOn w:val="1"/>
    <w:link w:val="45"/>
    <w:autoRedefine/>
    <w:qFormat/>
    <w:uiPriority w:val="0"/>
    <w:pPr>
      <w:ind w:firstLine="480" w:firstLineChars="0"/>
    </w:pPr>
    <w:rPr>
      <w:rFonts w:ascii="Times New Roman" w:hAnsi="Times New Roman" w:eastAsia="宋体" w:cs="Times New Roman"/>
      <w:b/>
      <w:sz w:val="24"/>
      <w:szCs w:val="20"/>
    </w:rPr>
  </w:style>
  <w:style w:type="paragraph" w:styleId="5">
    <w:name w:val="endnote text"/>
    <w:basedOn w:val="1"/>
    <w:link w:val="54"/>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6">
    <w:name w:val="Balloon Text"/>
    <w:basedOn w:val="1"/>
    <w:link w:val="39"/>
    <w:autoRedefine/>
    <w:semiHidden/>
    <w:unhideWhenUsed/>
    <w:qFormat/>
    <w:uiPriority w:val="0"/>
    <w:pPr>
      <w:spacing w:line="240" w:lineRule="auto"/>
    </w:pPr>
    <w:rPr>
      <w:sz w:val="18"/>
      <w:szCs w:val="18"/>
    </w:rPr>
  </w:style>
  <w:style w:type="paragraph" w:styleId="7">
    <w:name w:val="footer"/>
    <w:basedOn w:val="1"/>
    <w:link w:val="22"/>
    <w:autoRedefine/>
    <w:unhideWhenUsed/>
    <w:qFormat/>
    <w:uiPriority w:val="0"/>
    <w:pPr>
      <w:tabs>
        <w:tab w:val="center" w:pos="4153"/>
        <w:tab w:val="right" w:pos="8306"/>
      </w:tabs>
      <w:snapToGrid w:val="0"/>
      <w:spacing w:line="240" w:lineRule="auto"/>
      <w:jc w:val="left"/>
    </w:pPr>
    <w:rPr>
      <w:sz w:val="18"/>
      <w:szCs w:val="18"/>
    </w:rPr>
  </w:style>
  <w:style w:type="paragraph" w:styleId="8">
    <w:name w:val="header"/>
    <w:basedOn w:val="1"/>
    <w:link w:val="2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0">
    <w:name w:val="footnote text"/>
    <w:basedOn w:val="1"/>
    <w:link w:val="56"/>
    <w:autoRedefine/>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1">
    <w:name w:val="Normal (Web)"/>
    <w:basedOn w:val="1"/>
    <w:autoRedefine/>
    <w:qFormat/>
    <w:uiPriority w:val="99"/>
    <w:pPr>
      <w:spacing w:beforeAutospacing="1" w:afterAutospacing="1"/>
      <w:jc w:val="left"/>
    </w:pPr>
    <w:rPr>
      <w:rFonts w:cs="Times New Roman"/>
      <w:kern w:val="0"/>
      <w:sz w:val="24"/>
    </w:rPr>
  </w:style>
  <w:style w:type="table" w:styleId="13">
    <w:name w:val="Table Grid"/>
    <w:basedOn w:val="1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ndnote reference"/>
    <w:basedOn w:val="14"/>
    <w:autoRedefine/>
    <w:qFormat/>
    <w:uiPriority w:val="0"/>
    <w:rPr>
      <w:vertAlign w:val="superscript"/>
    </w:rPr>
  </w:style>
  <w:style w:type="character" w:styleId="16">
    <w:name w:val="Hyperlink"/>
    <w:basedOn w:val="14"/>
    <w:autoRedefine/>
    <w:unhideWhenUsed/>
    <w:qFormat/>
    <w:uiPriority w:val="99"/>
    <w:rPr>
      <w:color w:val="0000FF"/>
      <w:u w:val="single"/>
    </w:rPr>
  </w:style>
  <w:style w:type="character" w:styleId="17">
    <w:name w:val="footnote reference"/>
    <w:basedOn w:val="14"/>
    <w:autoRedefine/>
    <w:qFormat/>
    <w:uiPriority w:val="0"/>
    <w:rPr>
      <w:vertAlign w:val="superscript"/>
    </w:rPr>
  </w:style>
  <w:style w:type="paragraph" w:customStyle="1" w:styleId="18">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段"/>
    <w:link w:val="2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章标题"/>
    <w:next w:val="19"/>
    <w:link w:val="38"/>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1">
    <w:name w:val="页眉 Char"/>
    <w:basedOn w:val="14"/>
    <w:link w:val="8"/>
    <w:autoRedefine/>
    <w:qFormat/>
    <w:uiPriority w:val="0"/>
    <w:rPr>
      <w:rFonts w:eastAsia="仿宋" w:asciiTheme="minorHAnsi" w:hAnsiTheme="minorHAnsi" w:cstheme="minorBidi"/>
      <w:kern w:val="2"/>
      <w:sz w:val="18"/>
      <w:szCs w:val="18"/>
    </w:rPr>
  </w:style>
  <w:style w:type="character" w:customStyle="1" w:styleId="22">
    <w:name w:val="页脚 Char"/>
    <w:basedOn w:val="14"/>
    <w:link w:val="7"/>
    <w:autoRedefine/>
    <w:qFormat/>
    <w:uiPriority w:val="0"/>
    <w:rPr>
      <w:rFonts w:eastAsia="仿宋" w:asciiTheme="minorHAnsi" w:hAnsiTheme="minorHAnsi" w:cstheme="minorBidi"/>
      <w:kern w:val="2"/>
      <w:sz w:val="18"/>
      <w:szCs w:val="18"/>
    </w:rPr>
  </w:style>
  <w:style w:type="paragraph" w:styleId="23">
    <w:name w:val="List Paragraph"/>
    <w:basedOn w:val="1"/>
    <w:autoRedefine/>
    <w:unhideWhenUsed/>
    <w:qFormat/>
    <w:uiPriority w:val="34"/>
    <w:pPr>
      <w:ind w:firstLine="420"/>
    </w:pPr>
  </w:style>
  <w:style w:type="paragraph" w:customStyle="1" w:styleId="24">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5">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6">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27">
    <w:name w:val="段 Char"/>
    <w:basedOn w:val="14"/>
    <w:link w:val="19"/>
    <w:autoRedefine/>
    <w:qFormat/>
    <w:locked/>
    <w:uiPriority w:val="0"/>
    <w:rPr>
      <w:rFonts w:ascii="宋体"/>
      <w:sz w:val="21"/>
    </w:rPr>
  </w:style>
  <w:style w:type="character" w:customStyle="1" w:styleId="28">
    <w:name w:val="一级条标题 Char"/>
    <w:link w:val="29"/>
    <w:autoRedefine/>
    <w:qFormat/>
    <w:locked/>
    <w:uiPriority w:val="99"/>
    <w:rPr>
      <w:rFonts w:ascii="黑体" w:eastAsia="黑体"/>
      <w:sz w:val="22"/>
    </w:rPr>
  </w:style>
  <w:style w:type="paragraph" w:customStyle="1" w:styleId="29">
    <w:name w:val="一级条标题"/>
    <w:next w:val="19"/>
    <w:link w:val="28"/>
    <w:autoRedefine/>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0">
    <w:name w:val="四级条标题"/>
    <w:basedOn w:val="31"/>
    <w:next w:val="19"/>
    <w:autoRedefine/>
    <w:qFormat/>
    <w:uiPriority w:val="0"/>
    <w:pPr>
      <w:outlineLvl w:val="5"/>
    </w:pPr>
  </w:style>
  <w:style w:type="paragraph" w:customStyle="1" w:styleId="31">
    <w:name w:val="三级条标题"/>
    <w:basedOn w:val="32"/>
    <w:next w:val="19"/>
    <w:autoRedefine/>
    <w:qFormat/>
    <w:uiPriority w:val="0"/>
    <w:pPr>
      <w:outlineLvl w:val="4"/>
    </w:pPr>
  </w:style>
  <w:style w:type="paragraph" w:customStyle="1" w:styleId="32">
    <w:name w:val="二级条标题"/>
    <w:basedOn w:val="29"/>
    <w:next w:val="19"/>
    <w:autoRedefine/>
    <w:qFormat/>
    <w:uiPriority w:val="0"/>
    <w:pPr>
      <w:spacing w:before="50" w:after="50"/>
      <w:outlineLvl w:val="3"/>
    </w:pPr>
  </w:style>
  <w:style w:type="paragraph" w:customStyle="1" w:styleId="33">
    <w:name w:val="五级条标题"/>
    <w:basedOn w:val="30"/>
    <w:next w:val="19"/>
    <w:autoRedefine/>
    <w:qFormat/>
    <w:uiPriority w:val="0"/>
    <w:pPr>
      <w:outlineLvl w:val="6"/>
    </w:pPr>
  </w:style>
  <w:style w:type="paragraph" w:customStyle="1" w:styleId="34">
    <w:name w:val="正文表标题"/>
    <w:next w:val="19"/>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5">
    <w:name w:val="附录表标号"/>
    <w:basedOn w:val="1"/>
    <w:next w:val="19"/>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6">
    <w:name w:val="附录表标题"/>
    <w:basedOn w:val="1"/>
    <w:next w:val="19"/>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37">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38">
    <w:name w:val="章标题 Char"/>
    <w:link w:val="20"/>
    <w:autoRedefine/>
    <w:qFormat/>
    <w:locked/>
    <w:uiPriority w:val="0"/>
    <w:rPr>
      <w:rFonts w:ascii="黑体" w:eastAsia="黑体"/>
      <w:sz w:val="21"/>
    </w:rPr>
  </w:style>
  <w:style w:type="character" w:customStyle="1" w:styleId="39">
    <w:name w:val="批注框文本 Char"/>
    <w:basedOn w:val="14"/>
    <w:link w:val="6"/>
    <w:autoRedefine/>
    <w:semiHidden/>
    <w:qFormat/>
    <w:uiPriority w:val="0"/>
    <w:rPr>
      <w:rFonts w:eastAsia="仿宋" w:asciiTheme="minorHAnsi" w:hAnsiTheme="minorHAnsi" w:cstheme="minorBidi"/>
      <w:kern w:val="2"/>
      <w:sz w:val="18"/>
      <w:szCs w:val="18"/>
    </w:rPr>
  </w:style>
  <w:style w:type="paragraph" w:customStyle="1" w:styleId="40">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1">
    <w:name w:val="标题 2 字符"/>
    <w:basedOn w:val="14"/>
    <w:autoRedefine/>
    <w:semiHidden/>
    <w:qFormat/>
    <w:uiPriority w:val="9"/>
    <w:rPr>
      <w:rFonts w:asciiTheme="majorHAnsi" w:hAnsiTheme="majorHAnsi" w:eastAsiaTheme="majorEastAsia" w:cstheme="majorBidi"/>
      <w:b/>
      <w:bCs/>
      <w:kern w:val="2"/>
      <w:sz w:val="32"/>
      <w:szCs w:val="32"/>
    </w:rPr>
  </w:style>
  <w:style w:type="character" w:customStyle="1" w:styleId="42">
    <w:name w:val="标题 2 Char"/>
    <w:basedOn w:val="14"/>
    <w:link w:val="2"/>
    <w:autoRedefine/>
    <w:qFormat/>
    <w:uiPriority w:val="0"/>
    <w:rPr>
      <w:rFonts w:ascii="Arial" w:hAnsi="Arial" w:eastAsia="黑体"/>
      <w:b/>
      <w:bCs/>
      <w:kern w:val="2"/>
      <w:sz w:val="32"/>
      <w:szCs w:val="32"/>
    </w:rPr>
  </w:style>
  <w:style w:type="paragraph" w:customStyle="1" w:styleId="43">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4">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5">
    <w:name w:val="正文文本缩进 2 Char"/>
    <w:basedOn w:val="14"/>
    <w:link w:val="4"/>
    <w:autoRedefine/>
    <w:qFormat/>
    <w:uiPriority w:val="0"/>
    <w:rPr>
      <w:b/>
      <w:kern w:val="2"/>
      <w:sz w:val="24"/>
    </w:rPr>
  </w:style>
  <w:style w:type="table" w:customStyle="1" w:styleId="46">
    <w:name w:val="网格型1"/>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一级无"/>
    <w:basedOn w:val="29"/>
    <w:autoRedefine/>
    <w:qFormat/>
    <w:uiPriority w:val="0"/>
    <w:pPr>
      <w:spacing w:beforeLines="0" w:afterLines="0"/>
      <w:ind w:left="210"/>
    </w:pPr>
    <w:rPr>
      <w:rFonts w:ascii="宋体" w:eastAsia="宋体"/>
      <w:sz w:val="21"/>
      <w:szCs w:val="21"/>
    </w:rPr>
  </w:style>
  <w:style w:type="paragraph" w:customStyle="1" w:styleId="48">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49">
    <w:name w:val="文档结构图 Char"/>
    <w:basedOn w:val="14"/>
    <w:link w:val="3"/>
    <w:autoRedefine/>
    <w:semiHidden/>
    <w:qFormat/>
    <w:uiPriority w:val="0"/>
    <w:rPr>
      <w:kern w:val="2"/>
      <w:sz w:val="21"/>
      <w:szCs w:val="24"/>
      <w:shd w:val="clear" w:color="auto" w:fill="000080"/>
    </w:rPr>
  </w:style>
  <w:style w:type="paragraph" w:customStyle="1" w:styleId="50">
    <w:name w:val="二级无"/>
    <w:basedOn w:val="32"/>
    <w:autoRedefine/>
    <w:qFormat/>
    <w:uiPriority w:val="0"/>
    <w:pPr>
      <w:spacing w:beforeLines="0" w:afterLines="0"/>
    </w:pPr>
    <w:rPr>
      <w:rFonts w:ascii="宋体" w:eastAsia="宋体"/>
      <w:sz w:val="21"/>
      <w:szCs w:val="21"/>
    </w:rPr>
  </w:style>
  <w:style w:type="paragraph" w:customStyle="1" w:styleId="51">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2">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3">
    <w:name w:val="尾注文本 字符"/>
    <w:basedOn w:val="14"/>
    <w:autoRedefine/>
    <w:semiHidden/>
    <w:qFormat/>
    <w:uiPriority w:val="99"/>
    <w:rPr>
      <w:rFonts w:eastAsia="仿宋" w:asciiTheme="minorHAnsi" w:hAnsiTheme="minorHAnsi" w:cstheme="minorBidi"/>
      <w:kern w:val="2"/>
      <w:sz w:val="32"/>
      <w:szCs w:val="22"/>
    </w:rPr>
  </w:style>
  <w:style w:type="character" w:customStyle="1" w:styleId="54">
    <w:name w:val="尾注文本 Char"/>
    <w:basedOn w:val="14"/>
    <w:link w:val="5"/>
    <w:autoRedefine/>
    <w:qFormat/>
    <w:uiPriority w:val="0"/>
    <w:rPr>
      <w:kern w:val="2"/>
      <w:sz w:val="21"/>
      <w:szCs w:val="24"/>
    </w:rPr>
  </w:style>
  <w:style w:type="character" w:customStyle="1" w:styleId="55">
    <w:name w:val="脚注文本 字符"/>
    <w:basedOn w:val="14"/>
    <w:autoRedefine/>
    <w:semiHidden/>
    <w:qFormat/>
    <w:uiPriority w:val="99"/>
    <w:rPr>
      <w:rFonts w:eastAsia="仿宋" w:asciiTheme="minorHAnsi" w:hAnsiTheme="minorHAnsi" w:cstheme="minorBidi"/>
      <w:kern w:val="2"/>
      <w:sz w:val="18"/>
      <w:szCs w:val="18"/>
    </w:rPr>
  </w:style>
  <w:style w:type="character" w:customStyle="1" w:styleId="56">
    <w:name w:val="脚注文本 Char"/>
    <w:basedOn w:val="14"/>
    <w:link w:val="10"/>
    <w:autoRedefine/>
    <w:qFormat/>
    <w:uiPriority w:val="0"/>
    <w:rPr>
      <w:kern w:val="2"/>
      <w:sz w:val="18"/>
      <w:szCs w:val="18"/>
    </w:rPr>
  </w:style>
  <w:style w:type="table" w:customStyle="1" w:styleId="57">
    <w:name w:val="网格型2"/>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列项——（一级）"/>
    <w:autoRedefine/>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59">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0">
    <w:name w:val="列项◆（三级）"/>
    <w:basedOn w:val="1"/>
    <w:autoRedefine/>
    <w:qFormat/>
    <w:uiPriority w:val="0"/>
    <w:pPr>
      <w:numPr>
        <w:ilvl w:val="2"/>
        <w:numId w:val="6"/>
      </w:numPr>
      <w:spacing w:line="240" w:lineRule="auto"/>
      <w:ind w:firstLine="0" w:firstLineChars="0"/>
    </w:pPr>
    <w:rPr>
      <w:rFonts w:ascii="宋体" w:hAnsi="Times New Roman" w:eastAsia="宋体" w:cs="Times New Roman"/>
      <w:sz w:val="21"/>
      <w:szCs w:val="21"/>
    </w:rPr>
  </w:style>
  <w:style w:type="table" w:customStyle="1" w:styleId="61">
    <w:name w:val="网格型3"/>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4">
    <w:name w:val="Table Paragraph"/>
    <w:basedOn w:val="1"/>
    <w:autoRedefine/>
    <w:qFormat/>
    <w:uiPriority w:val="1"/>
    <w:pPr>
      <w:autoSpaceDE w:val="0"/>
      <w:autoSpaceDN w:val="0"/>
      <w:spacing w:before="21" w:line="240" w:lineRule="auto"/>
      <w:ind w:firstLine="0" w:firstLineChars="0"/>
      <w:jc w:val="center"/>
    </w:pPr>
    <w:rPr>
      <w:rFonts w:ascii="宋体" w:hAnsi="宋体" w:eastAsia="宋体" w:cs="宋体"/>
      <w:kern w:val="0"/>
      <w:sz w:val="22"/>
      <w:lang w:eastAsia="en-US"/>
    </w:rPr>
  </w:style>
  <w:style w:type="table" w:customStyle="1" w:styleId="65">
    <w:name w:val="网格型6"/>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6">
    <w:name w:val="网格型7"/>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8">
    <w:name w:val="网格型9"/>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9">
    <w:name w:val="网格型10"/>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0">
    <w:name w:val="网格型11"/>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1">
    <w:name w:val="font21"/>
    <w:basedOn w:val="14"/>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7CD6-AD64-419D-A650-61F0210F8B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494</Words>
  <Characters>2820</Characters>
  <Lines>23</Lines>
  <Paragraphs>6</Paragraphs>
  <TotalTime>0</TotalTime>
  <ScaleCrop>false</ScaleCrop>
  <LinksUpToDate>false</LinksUpToDate>
  <CharactersWithSpaces>3308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2021-10-08T15:19:00Z</dcterms:created>
  <dc:creator>herodavidgao</dc:creator>
  <cp:lastModifiedBy>Feeling</cp:lastModifiedBy>
  <cp:lastPrinted>2018-08-29T11:18:00Z</cp:lastPrinted>
  <dcterms:modified xsi:type="dcterms:W3CDTF">2024-01-04T09:17:19Z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46BE6E8D9FB34613839D5430FDD6F2F7_12</vt:lpwstr>
  </property>
</Properties>
</file>