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8"/>
        <w:framePr w:w="0" w:hRule="auto" w:wrap="around" w:x="1590" w:y="2356"/>
        <w:rPr>
          <w:rFonts w:ascii="Times New Roman"/>
          <w:color w:val="000000"/>
          <w:szCs w:val="48"/>
        </w:rPr>
      </w:pPr>
      <w:r>
        <w:rPr>
          <w:rFonts w:ascii="Times New Roman"/>
          <w:color w:val="000000"/>
        </w:rPr>
        <w:t>团体标准</w:t>
      </w:r>
    </w:p>
    <w:p>
      <w:pPr>
        <w:pStyle w:val="79"/>
        <w:framePr w:wrap="around" w:y="2989"/>
        <w:pBdr>
          <w:bottom w:val="single" w:color="auto" w:sz="4" w:space="1"/>
        </w:pBdr>
        <w:wordWrap w:val="0"/>
        <w:rPr>
          <w:rFonts w:hint="default" w:ascii="Times New Roman" w:eastAsia="宋体"/>
          <w:lang w:val="en-US" w:eastAsia="zh-CN"/>
        </w:rPr>
      </w:pPr>
      <w:r>
        <w:rPr>
          <w:rFonts w:ascii="Times New Roman" w:eastAsia="宋体"/>
        </w:rPr>
        <w:t xml:space="preserve">T/SSEA </w:t>
      </w:r>
      <w:r>
        <w:rPr>
          <w:rFonts w:hint="eastAsia" w:ascii="Times New Roman" w:eastAsia="宋体"/>
          <w:lang w:val="en-US" w:eastAsia="zh-CN"/>
        </w:rPr>
        <w:t>XXXX</w:t>
      </w:r>
      <w:r>
        <w:rPr>
          <w:rFonts w:ascii="Times New Roman" w:eastAsia="宋体"/>
        </w:rPr>
        <w:t>—</w:t>
      </w:r>
      <w:r>
        <w:rPr>
          <w:rFonts w:hint="eastAsia" w:ascii="Times New Roman" w:eastAsia="宋体"/>
          <w:lang w:val="en-US" w:eastAsia="zh-CN"/>
        </w:rPr>
        <w:t>XXXX</w:t>
      </w:r>
    </w:p>
    <w:p>
      <w:pPr>
        <w:pStyle w:val="79"/>
        <w:framePr w:wrap="around" w:y="2989"/>
        <w:pBdr>
          <w:bottom w:val="single" w:color="auto" w:sz="4" w:space="1"/>
        </w:pBdr>
        <w:wordWrap w:val="0"/>
        <w:spacing w:before="120"/>
        <w:rPr>
          <w:rFonts w:hint="default" w:ascii="Times New Roman" w:eastAsia="宋体"/>
          <w:lang w:val="en-US" w:eastAsia="zh-CN"/>
        </w:rPr>
      </w:pPr>
      <w:r>
        <w:rPr>
          <w:rFonts w:ascii="Times New Roman" w:eastAsia="宋体"/>
        </w:rPr>
        <w:t xml:space="preserve">T/CSTA </w:t>
      </w:r>
      <w:r>
        <w:rPr>
          <w:rFonts w:hint="eastAsia" w:ascii="Times New Roman" w:eastAsia="宋体"/>
          <w:lang w:val="en-US" w:eastAsia="zh-CN"/>
        </w:rPr>
        <w:t>XXXX</w:t>
      </w:r>
      <w:r>
        <w:rPr>
          <w:rFonts w:ascii="Times New Roman" w:eastAsia="宋体"/>
        </w:rPr>
        <w:t>—</w:t>
      </w:r>
      <w:r>
        <w:rPr>
          <w:rFonts w:hint="eastAsia" w:ascii="Times New Roman" w:eastAsia="宋体"/>
          <w:lang w:val="en-US" w:eastAsia="zh-CN"/>
        </w:rPr>
        <w:t>XXXX</w:t>
      </w:r>
    </w:p>
    <w:p>
      <w:pPr>
        <w:pStyle w:val="79"/>
        <w:framePr w:wrap="around" w:y="2989"/>
        <w:rPr>
          <w:rFonts w:ascii="Times New Roman" w:eastAsia="宋体"/>
        </w:rPr>
      </w:pPr>
    </w:p>
    <w:p>
      <w:pPr>
        <w:pStyle w:val="79"/>
        <w:framePr w:wrap="around" w:y="2989"/>
        <w:rPr>
          <w:rFonts w:ascii="Times New Roman" w:eastAsia="宋体"/>
        </w:rPr>
      </w:pPr>
    </w:p>
    <w:p>
      <w:pPr>
        <w:pStyle w:val="69"/>
        <w:framePr w:wrap="around"/>
        <w:rPr>
          <w:rFonts w:ascii="Times New Roman"/>
        </w:rPr>
      </w:pPr>
      <w:r>
        <w:rPr>
          <w:rFonts w:ascii="Times New Roman"/>
        </w:rPr>
        <w:t>高空作业升降平台用高强度热连轧钢板</w:t>
      </w:r>
    </w:p>
    <w:p>
      <w:pPr>
        <w:pStyle w:val="68"/>
        <w:framePr w:wrap="around"/>
      </w:pPr>
      <w:r>
        <w:t>High strength hot rolled steel plates for high-altitude work lifting platforms</w:t>
      </w:r>
    </w:p>
    <w:p>
      <w:pPr>
        <w:pStyle w:val="110"/>
        <w:framePr w:wrap="around" w:hAnchor="page" w:x="1175" w:y="14086"/>
        <w:rPr>
          <w:rFonts w:eastAsia="宋体"/>
        </w:rPr>
      </w:pPr>
      <w:bookmarkStart w:id="0" w:name="FM"/>
      <w:r>
        <w:rPr>
          <w:rFonts w:eastAsia="宋体"/>
        </w:rPr>
        <w:t>XXXX-</w:t>
      </w:r>
      <w:bookmarkEnd w:id="0"/>
      <w:r>
        <w:rPr>
          <w:rFonts w:eastAsia="宋体"/>
        </w:rPr>
        <w:t>XX-XX</w:t>
      </w:r>
      <w:r>
        <w:t>发布</w:t>
      </w:r>
    </w:p>
    <w:p>
      <w:pPr>
        <w:pStyle w:val="141"/>
        <w:framePr w:wrap="around" w:hAnchor="page" w:x="6661" w:y="14041"/>
      </w:pPr>
      <w:r>
        <w:rPr>
          <w:rFonts w:eastAsia="宋体"/>
        </w:rPr>
        <w:t>XXXX-XX-XX</w:t>
      </w:r>
      <w:r>
        <w:t>实施</w:t>
      </w:r>
    </w:p>
    <w:p>
      <w:pPr>
        <w:pStyle w:val="135"/>
        <w:framePr w:w="10883" w:h="1489" w:hRule="exact" w:wrap="around" w:x="325" w:y="14931"/>
        <w:ind w:left="1480" w:hanging="640"/>
        <w:rPr>
          <w:rFonts w:ascii="Times New Roman" w:eastAsia="宋体"/>
          <w:sz w:val="32"/>
        </w:rPr>
      </w:pPr>
      <w:r>
        <w:rPr>
          <w:rFonts w:ascii="Times New Roman" w:eastAsia="宋体"/>
          <w:sz w:val="32"/>
        </w:rPr>
        <w:t>中国特钢企业协会</w:t>
      </w:r>
    </w:p>
    <w:p>
      <w:pPr>
        <w:pStyle w:val="135"/>
        <w:framePr w:w="10883" w:h="1489" w:hRule="exact" w:wrap="around" w:x="325" w:y="14931"/>
        <w:ind w:left="1480" w:hanging="640"/>
        <w:rPr>
          <w:rFonts w:ascii="Times New Roman" w:eastAsia="宋体"/>
          <w:sz w:val="32"/>
        </w:rPr>
      </w:pPr>
      <w:r>
        <w:rPr>
          <w:rFonts w:ascii="Times New Roman" w:eastAsia="宋体"/>
          <w:sz w:val="32"/>
          <w:szCs w:val="32"/>
        </w:rPr>
        <w:t xml:space="preserve">      中关村不锈及特种合金新材料   </w:t>
      </w:r>
      <w:r>
        <w:rPr>
          <w:rStyle w:val="44"/>
          <w:rFonts w:ascii="Times New Roman" w:eastAsia="宋体"/>
        </w:rPr>
        <w:t>发布</w:t>
      </w:r>
    </w:p>
    <w:p>
      <w:pPr>
        <w:pStyle w:val="135"/>
        <w:framePr w:w="10883" w:h="1489" w:hRule="exact" w:wrap="around" w:x="325" w:y="14931"/>
        <w:ind w:left="1480" w:hanging="640"/>
        <w:rPr>
          <w:rFonts w:ascii="Times New Roman" w:eastAsia="宋体"/>
        </w:rPr>
      </w:pPr>
      <w:r>
        <w:rPr>
          <w:rFonts w:ascii="Times New Roman" w:eastAsia="宋体"/>
          <w:sz w:val="32"/>
          <w:szCs w:val="32"/>
        </w:rPr>
        <w:t>产业技术创新联盟</w:t>
      </w:r>
    </w:p>
    <w:p>
      <w:pPr>
        <w:pStyle w:val="23"/>
        <w:spacing w:line="340" w:lineRule="exact"/>
        <w:rPr>
          <w:rFonts w:ascii="Times New Roman"/>
          <w:kern w:val="2"/>
          <w:sz w:val="22"/>
          <w:szCs w:val="22"/>
        </w:rPr>
      </w:pPr>
      <w:r>
        <w:rPr>
          <w:rFonts w:ascii="Times New Roman"/>
        </w:rPr>
        <w:t>ICS</w:t>
      </w:r>
      <w:r>
        <w:rPr>
          <w:rFonts w:ascii="Times New Roman"/>
          <w:kern w:val="2"/>
          <w:sz w:val="22"/>
          <w:szCs w:val="22"/>
        </w:rPr>
        <w:t xml:space="preserve"> 77.140.50</w:t>
      </w:r>
    </w:p>
    <w:p>
      <w:pPr>
        <w:pStyle w:val="23"/>
        <w:spacing w:line="340" w:lineRule="exact"/>
        <w:rPr>
          <w:rFonts w:ascii="Times New Roman"/>
        </w:rPr>
      </w:pPr>
      <w:r>
        <w:rPr>
          <w:rFonts w:ascii="Times New Roman"/>
        </w:rPr>
        <w:t>CCS H 46</w:t>
      </w:r>
    </w:p>
    <w:p>
      <w:pPr>
        <w:pStyle w:val="23"/>
        <w:spacing w:line="340" w:lineRule="exact"/>
        <w:rPr>
          <w:rFonts w:ascii="Times New Roman"/>
        </w:rPr>
      </w:pPr>
    </w:p>
    <w:p>
      <w:pPr>
        <w:jc w:val="center"/>
        <w:rPr>
          <w:spacing w:val="20"/>
          <w:sz w:val="28"/>
          <w:szCs w:val="28"/>
        </w:rPr>
      </w:pPr>
    </w:p>
    <w:p>
      <w:pPr>
        <w:jc w:val="center"/>
        <w:rPr>
          <w:spacing w:val="20"/>
          <w:sz w:val="28"/>
          <w:szCs w:val="28"/>
        </w:rPr>
      </w:pPr>
    </w:p>
    <w:p>
      <w:pPr>
        <w:jc w:val="center"/>
        <w:rPr>
          <w:spacing w:val="20"/>
          <w:sz w:val="28"/>
          <w:szCs w:val="28"/>
        </w:rPr>
      </w:pPr>
      <w:r>
        <mc:AlternateContent>
          <mc:Choice Requires="wps">
            <w:drawing>
              <wp:anchor distT="0" distB="0" distL="114300" distR="114300" simplePos="0" relativeHeight="251659264" behindDoc="1" locked="0" layoutInCell="1" allowOverlap="1">
                <wp:simplePos x="0" y="0"/>
                <wp:positionH relativeFrom="column">
                  <wp:posOffset>-142875</wp:posOffset>
                </wp:positionH>
                <wp:positionV relativeFrom="paragraph">
                  <wp:posOffset>5876290</wp:posOffset>
                </wp:positionV>
                <wp:extent cx="5948680" cy="0"/>
                <wp:effectExtent l="0" t="0" r="0" b="0"/>
                <wp:wrapTight wrapText="bothSides">
                  <wp:wrapPolygon>
                    <wp:start x="0" y="0"/>
                    <wp:lineTo x="0" y="21600"/>
                    <wp:lineTo x="21600" y="21600"/>
                    <wp:lineTo x="21600" y="0"/>
                  </wp:wrapPolygon>
                </wp:wrapTight>
                <wp:docPr id="3" name="Line 8"/>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11.25pt;margin-top:462.7pt;height:0pt;width:468.4pt;mso-wrap-distance-left:9pt;mso-wrap-distance-right:9pt;z-index:-251657216;mso-width-relative:page;mso-height-relative:page;" filled="f" stroked="t" coordsize="21600,21600" wrapcoords="0 0 0 21600 21600 21600 21600 0" o:gfxdata="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xnY/2AAAAAsBAAAPAAAAAAAAAAEAIAAAACIAAABkcnMv&#10;ZG93bnJldi54bWxQSwECFAAUAAAACACHTuJANj2phMoBAACfAwAADgAAAAAAAAABACAAAAAnAQAA&#10;ZHJzL2Uyb0RvYy54bWxQSwUGAAAAAAYABgBZAQAAYwUAAAAA&#10;">
                <v:fill on="f" focussize="0,0"/>
                <v:stroke color="#000000" joinstyle="round"/>
                <v:imagedata o:title=""/>
                <o:lock v:ext="edit" aspectratio="f"/>
                <w10:wrap type="tight"/>
              </v:line>
            </w:pict>
          </mc:Fallback>
        </mc:AlternateContent>
      </w:r>
    </w:p>
    <w:p>
      <w:pPr>
        <w:jc w:val="center"/>
        <w:rPr>
          <w:b/>
          <w:sz w:val="32"/>
        </w:rPr>
        <w:sectPr>
          <w:headerReference r:id="rId3" w:type="default"/>
          <w:pgSz w:w="11906" w:h="16838"/>
          <w:pgMar w:top="1134" w:right="1134" w:bottom="1134" w:left="1418" w:header="851" w:footer="992" w:gutter="0"/>
          <w:pgNumType w:start="0"/>
          <w:cols w:space="720" w:num="1"/>
          <w:docGrid w:type="lines" w:linePitch="312" w:charSpace="0"/>
        </w:sectPr>
      </w:pPr>
    </w:p>
    <w:p>
      <w:pPr>
        <w:keepNext/>
        <w:pageBreakBefore/>
        <w:widowControl/>
        <w:shd w:val="clear" w:color="FFFFFF" w:fill="FFFFFF"/>
        <w:spacing w:before="640" w:after="560"/>
        <w:jc w:val="center"/>
        <w:outlineLvl w:val="0"/>
        <w:rPr>
          <w:rFonts w:eastAsia="黑体"/>
          <w:kern w:val="0"/>
          <w:sz w:val="32"/>
          <w:szCs w:val="20"/>
        </w:rPr>
      </w:pPr>
      <w:bookmarkStart w:id="1" w:name="_Toc520380389"/>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rPr>
          <w:szCs w:val="21"/>
        </w:rPr>
      </w:pPr>
      <w:r>
        <w:rPr>
          <w:szCs w:val="21"/>
        </w:rPr>
        <w:drawing>
          <wp:inline distT="0" distB="0" distL="0" distR="0">
            <wp:extent cx="809625" cy="767715"/>
            <wp:effectExtent l="19050" t="0" r="9525"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4" cstate="print"/>
                    <a:srcRect/>
                    <a:stretch>
                      <a:fillRect/>
                    </a:stretch>
                  </pic:blipFill>
                  <pic:spPr>
                    <a:xfrm>
                      <a:off x="0" y="0"/>
                      <a:ext cx="809625" cy="767715"/>
                    </a:xfrm>
                    <a:prstGeom prst="rect">
                      <a:avLst/>
                    </a:prstGeom>
                    <a:noFill/>
                    <a:ln w="9525">
                      <a:noFill/>
                      <a:miter lim="800000"/>
                      <a:headEnd/>
                      <a:tailEnd/>
                    </a:ln>
                  </pic:spPr>
                </pic:pic>
              </a:graphicData>
            </a:graphic>
          </wp:inline>
        </w:drawing>
      </w:r>
      <w:r>
        <w:rPr>
          <w:szCs w:val="21"/>
        </w:rPr>
        <w:t>版权保护文件</w:t>
      </w:r>
    </w:p>
    <w:p>
      <w:pPr>
        <w:spacing w:before="156" w:beforeLines="50" w:after="156" w:afterLines="50"/>
        <w:rPr>
          <w:szCs w:val="21"/>
        </w:rPr>
        <w:sectPr>
          <w:headerReference r:id="rId4" w:type="default"/>
          <w:footerReference r:id="rId5" w:type="default"/>
          <w:pgSz w:w="11906" w:h="16838"/>
          <w:pgMar w:top="1440" w:right="1466" w:bottom="1440" w:left="1620" w:header="851" w:footer="992" w:gutter="0"/>
          <w:pgNumType w:fmt="upperRoman" w:start="1"/>
          <w:cols w:space="425" w:num="1"/>
          <w:docGrid w:type="lines" w:linePitch="312" w:charSpace="0"/>
        </w:sectPr>
      </w:pPr>
      <w:r>
        <w:rPr>
          <w:szCs w:val="21"/>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pPr>
        <w:pStyle w:val="82"/>
        <w:rPr>
          <w:rFonts w:ascii="Times New Roman"/>
        </w:rPr>
      </w:pPr>
      <w:r>
        <w:rPr>
          <w:rFonts w:ascii="Times New Roman"/>
        </w:rPr>
        <w:t>前言</w:t>
      </w:r>
      <w:bookmarkEnd w:id="1"/>
    </w:p>
    <w:p>
      <w:pPr>
        <w:pStyle w:val="23"/>
        <w:rPr>
          <w:rFonts w:ascii="Times New Roman"/>
        </w:rPr>
      </w:pPr>
      <w:r>
        <w:rPr>
          <w:rFonts w:ascii="Times New Roman"/>
        </w:rPr>
        <w:t>本文件按照GB/T 1.1-2020《标准化工作导则  第1部分：标准化文件的结构和起草规则》的规定起草。</w:t>
      </w:r>
    </w:p>
    <w:p>
      <w:pPr>
        <w:pStyle w:val="23"/>
        <w:rPr>
          <w:rFonts w:ascii="Times New Roman"/>
        </w:rPr>
      </w:pPr>
      <w:r>
        <w:rPr>
          <w:rFonts w:ascii="Times New Roman"/>
        </w:rPr>
        <w:t>请注意本文件的某些内容可能涉及专利。本文件的发布机构不承担识别专利的责任。</w:t>
      </w:r>
    </w:p>
    <w:p>
      <w:pPr>
        <w:pStyle w:val="23"/>
        <w:rPr>
          <w:rFonts w:ascii="Times New Roman"/>
        </w:rPr>
      </w:pPr>
      <w:r>
        <w:rPr>
          <w:rFonts w:hint="eastAsia" w:ascii="Times New Roman"/>
        </w:rPr>
        <w:t>本标准由中国特钢企业协会团体标准化工作委员会、中关村不锈及特种合金新材料产业技术创新联盟团体标准化工作委员会联合提出并归口</w:t>
      </w:r>
      <w:r>
        <w:rPr>
          <w:rFonts w:ascii="Times New Roman"/>
        </w:rPr>
        <w:t>。</w:t>
      </w:r>
    </w:p>
    <w:p>
      <w:pPr>
        <w:pStyle w:val="23"/>
        <w:rPr>
          <w:rFonts w:ascii="Times New Roman"/>
        </w:rPr>
      </w:pPr>
      <w:r>
        <w:rPr>
          <w:rFonts w:ascii="Times New Roman"/>
        </w:rPr>
        <w:t>本文件起草单位：</w:t>
      </w:r>
    </w:p>
    <w:p>
      <w:pPr>
        <w:pStyle w:val="23"/>
        <w:rPr>
          <w:rFonts w:ascii="Times New Roman"/>
        </w:rPr>
      </w:pPr>
      <w:r>
        <w:rPr>
          <w:rFonts w:ascii="Times New Roman"/>
        </w:rPr>
        <w:t>本文件主要起草人：</w:t>
      </w:r>
    </w:p>
    <w:p>
      <w:pPr>
        <w:pStyle w:val="23"/>
        <w:rPr>
          <w:rFonts w:ascii="Times New Roman"/>
        </w:rPr>
      </w:pPr>
    </w:p>
    <w:p>
      <w:pPr>
        <w:pStyle w:val="23"/>
        <w:rPr>
          <w:rFonts w:ascii="Times New Roman"/>
        </w:rPr>
      </w:pPr>
    </w:p>
    <w:p>
      <w:pPr>
        <w:ind w:firstLine="420" w:firstLineChars="200"/>
        <w:sectPr>
          <w:headerReference r:id="rId8" w:type="first"/>
          <w:footerReference r:id="rId11" w:type="first"/>
          <w:headerReference r:id="rId6" w:type="default"/>
          <w:footerReference r:id="rId9" w:type="default"/>
          <w:headerReference r:id="rId7" w:type="even"/>
          <w:footerReference r:id="rId10" w:type="even"/>
          <w:pgSz w:w="11906" w:h="16838"/>
          <w:pgMar w:top="567" w:right="1134" w:bottom="1134" w:left="1418" w:header="1418" w:footer="1134" w:gutter="0"/>
          <w:pgNumType w:fmt="upperRoman" w:start="1"/>
          <w:cols w:space="720" w:num="1"/>
          <w:formProt w:val="0"/>
          <w:docGrid w:type="lines" w:linePitch="312" w:charSpace="0"/>
        </w:sectPr>
      </w:pPr>
    </w:p>
    <w:p>
      <w:pPr>
        <w:pStyle w:val="59"/>
        <w:spacing w:after="624" w:afterLines="200"/>
        <w:rPr>
          <w:rFonts w:ascii="Times New Roman"/>
        </w:rPr>
      </w:pPr>
      <w:r>
        <w:rPr>
          <w:rFonts w:ascii="Times New Roman"/>
        </w:rPr>
        <w:t>高空作业升降平台用高强度热连轧钢板</w:t>
      </w:r>
      <w:bookmarkStart w:id="2" w:name="_Toc520380391"/>
      <w:r>
        <w:rPr>
          <w:rFonts w:ascii="Times New Roman"/>
        </w:rPr>
        <w:t>范围</w:t>
      </w:r>
      <w:bookmarkEnd w:id="2"/>
    </w:p>
    <w:p>
      <w:pPr>
        <w:pStyle w:val="46"/>
        <w:numPr>
          <w:ilvl w:val="0"/>
          <w:numId w:val="1"/>
        </w:numPr>
        <w:spacing w:before="312" w:after="312"/>
        <w:ind w:left="0"/>
        <w:rPr>
          <w:rFonts w:ascii="Times New Roman"/>
        </w:rPr>
      </w:pPr>
      <w:bookmarkStart w:id="3" w:name="_Toc520380392"/>
      <w:r>
        <w:rPr>
          <w:rFonts w:ascii="Times New Roman"/>
        </w:rPr>
        <w:t>范围</w:t>
      </w:r>
    </w:p>
    <w:p>
      <w:pPr>
        <w:pStyle w:val="23"/>
        <w:rPr>
          <w:rFonts w:ascii="Times New Roman"/>
        </w:rPr>
      </w:pPr>
      <w:r>
        <w:rPr>
          <w:rFonts w:ascii="Times New Roman"/>
        </w:rPr>
        <w:t>本文件规定了高空作业升降平台用高强度钢板的牌号表示方法、订货内容、尺寸、外形、重量、技术要求、试验方法、检验规则、包装、标志和质量证明书。</w:t>
      </w:r>
    </w:p>
    <w:p>
      <w:pPr>
        <w:pStyle w:val="23"/>
        <w:rPr>
          <w:rFonts w:ascii="Times New Roman"/>
        </w:rPr>
      </w:pPr>
      <w:r>
        <w:rPr>
          <w:rFonts w:ascii="Times New Roman"/>
        </w:rPr>
        <w:t>本文件适用于制作高空作业升降平台桩腿、伸缩臂厚度为3mm~25mm的钢板（以下简称钢板）。</w:t>
      </w:r>
      <w:bookmarkEnd w:id="3"/>
    </w:p>
    <w:p>
      <w:pPr>
        <w:pStyle w:val="46"/>
        <w:numPr>
          <w:ilvl w:val="0"/>
          <w:numId w:val="1"/>
        </w:numPr>
        <w:spacing w:before="312" w:after="312"/>
        <w:ind w:left="0"/>
        <w:rPr>
          <w:rFonts w:ascii="Times New Roman"/>
        </w:rPr>
      </w:pPr>
      <w:bookmarkStart w:id="4" w:name="_Toc520380393"/>
      <w:r>
        <w:rPr>
          <w:rFonts w:ascii="Times New Roman"/>
        </w:rPr>
        <w:t>规范性引用文件</w:t>
      </w:r>
    </w:p>
    <w:p>
      <w:pPr>
        <w:ind w:firstLine="420" w:firstLineChars="200"/>
      </w:pPr>
      <w:r>
        <w:t>下列文件中的内容通过文中的规范性引用而成为本文件必不可少的条款。其中，注日期的引用文件，仅该日期对应的版本适用于本文件；不注日期的引用文件，其最新版本（包括所有的修改单）适用于本文件。</w:t>
      </w:r>
    </w:p>
    <w:bookmarkEnd w:id="4"/>
    <w:p>
      <w:pPr>
        <w:ind w:firstLine="420" w:firstLineChars="200"/>
      </w:pPr>
      <w:bookmarkStart w:id="5" w:name="_Toc520380394"/>
      <w:r>
        <w:t>GB/T 222-2006  钢的成品化学成分允许偏差</w:t>
      </w:r>
    </w:p>
    <w:p>
      <w:pPr>
        <w:ind w:firstLine="420" w:firstLineChars="200"/>
      </w:pPr>
      <w:r>
        <w:t>GB/T 223.9  钢铁及合金  铝含量的测定  铬天青S分光光度法</w:t>
      </w:r>
    </w:p>
    <w:p>
      <w:pPr>
        <w:ind w:firstLine="420" w:firstLineChars="200"/>
      </w:pPr>
      <w:r>
        <w:t>GB/T 223.11  钢铁及合金  铬含量的测定  可视滴定或电位滴定法</w:t>
      </w:r>
    </w:p>
    <w:p>
      <w:pPr>
        <w:ind w:firstLine="420" w:firstLineChars="200"/>
      </w:pPr>
      <w:r>
        <w:t>GB/T 223.14  钢铁及合金化学分析方法  钽试剂萃取光度法测定钒含量</w:t>
      </w:r>
    </w:p>
    <w:p>
      <w:pPr>
        <w:ind w:firstLine="420" w:firstLineChars="200"/>
      </w:pPr>
      <w:r>
        <w:t>GB/T 223.19  钢铁及合金化学分析方法  新亚铜灵-三氯甲烷萃取光度法测定铜量</w:t>
      </w:r>
    </w:p>
    <w:p>
      <w:pPr>
        <w:ind w:firstLine="420" w:firstLineChars="200"/>
      </w:pPr>
      <w:r>
        <w:t>GB/T 223.23  钢铁及合金  镍含量的测定  丁二酮肟分光光度法</w:t>
      </w:r>
    </w:p>
    <w:p>
      <w:pPr>
        <w:ind w:firstLine="420" w:firstLineChars="200"/>
      </w:pPr>
      <w:r>
        <w:t>GB/T 223.26  钢铁及合金  钼含量的测定  硫氰酸盐分光光度法</w:t>
      </w:r>
    </w:p>
    <w:p>
      <w:pPr>
        <w:ind w:firstLine="420" w:firstLineChars="200"/>
      </w:pPr>
      <w:r>
        <w:t>GB/T 223.40  钢铁及合金  铌含量的测定  氯磺酚S分光光度法</w:t>
      </w:r>
    </w:p>
    <w:p>
      <w:pPr>
        <w:ind w:firstLine="420" w:firstLineChars="200"/>
      </w:pPr>
      <w:r>
        <w:t>GB/T 223.58  钢铁及合金化学分析方法  亚砷酸钠-亚硝酸钠滴定法测定锰量</w:t>
      </w:r>
    </w:p>
    <w:p>
      <w:pPr>
        <w:ind w:firstLine="420" w:firstLineChars="200"/>
      </w:pPr>
      <w:r>
        <w:t>GB/T 223.59  钢铁及合金  磷含量的测定  铋磷钼蓝分光光度法和锑磷钼蓝分光光度法</w:t>
      </w:r>
    </w:p>
    <w:p>
      <w:pPr>
        <w:ind w:firstLine="420" w:firstLineChars="200"/>
      </w:pPr>
      <w:r>
        <w:t>GB/T 223.60  钢铁及合金化学分析方法  高氯酸脱水重量法测定硅含量</w:t>
      </w:r>
    </w:p>
    <w:p>
      <w:pPr>
        <w:ind w:firstLine="420" w:firstLineChars="200"/>
      </w:pPr>
      <w:r>
        <w:t>GB/T 223.62  钢铁及合金化学分析方法  乙酸丁酯萃取光度法测定磷量</w:t>
      </w:r>
    </w:p>
    <w:p>
      <w:pPr>
        <w:ind w:firstLine="420" w:firstLineChars="200"/>
      </w:pPr>
      <w:r>
        <w:t>GB/T 223.69  钢铁及合金  碳含量的测定  管式炉内燃烧后气体容量法</w:t>
      </w:r>
    </w:p>
    <w:p>
      <w:pPr>
        <w:ind w:firstLine="420" w:firstLineChars="200"/>
      </w:pPr>
      <w:r>
        <w:t>GB/T 223.78  钢铁及合金化学分析方法  姜黄素直接光度法测定硼含量</w:t>
      </w:r>
    </w:p>
    <w:p>
      <w:pPr>
        <w:ind w:firstLine="420" w:firstLineChars="200"/>
      </w:pPr>
      <w:r>
        <w:t>GB/T 223.79  钢铁  多元素含量的测定  X-涉嫌荧光光谱法（常规法）</w:t>
      </w:r>
    </w:p>
    <w:p>
      <w:pPr>
        <w:ind w:firstLine="420" w:firstLineChars="200"/>
      </w:pPr>
      <w:r>
        <w:t>GB/T 223.84  钢铁及合金  钛含量的测定  二安替比林甲烷分光光度法</w:t>
      </w:r>
    </w:p>
    <w:p>
      <w:pPr>
        <w:ind w:firstLine="420" w:firstLineChars="200"/>
      </w:pPr>
      <w:r>
        <w:t>GB/T 223.85  钢铁及合金  硫含量的测定  感应炉燃烧后红外吸收法</w:t>
      </w:r>
    </w:p>
    <w:p>
      <w:pPr>
        <w:ind w:firstLine="420" w:firstLineChars="200"/>
      </w:pPr>
      <w:r>
        <w:t>GB/T 223.86  钢铁及合金  总硫含量的测定  感应炉燃烧后红外吸收法</w:t>
      </w:r>
    </w:p>
    <w:p>
      <w:pPr>
        <w:ind w:firstLine="420" w:firstLineChars="200"/>
      </w:pPr>
      <w:r>
        <w:t>GB/T 228.1  金属材料拉伸试验  第1部分：室温试验方法</w:t>
      </w:r>
    </w:p>
    <w:p>
      <w:pPr>
        <w:ind w:firstLine="420" w:firstLineChars="200"/>
      </w:pPr>
      <w:r>
        <w:t>GB/T 229  金属材料  夏比摆锤冲击试验方法</w:t>
      </w:r>
    </w:p>
    <w:p>
      <w:pPr>
        <w:ind w:firstLine="420" w:firstLineChars="200"/>
      </w:pPr>
      <w:r>
        <w:t>GB/T 247  钢板和钢带包装、标志及质量证明书的一般规定</w:t>
      </w:r>
    </w:p>
    <w:p>
      <w:pPr>
        <w:ind w:firstLine="420" w:firstLineChars="200"/>
      </w:pPr>
      <w:r>
        <w:t>GB/T 709-2019  热轧钢板和钢带的尺寸、外形、重量及允许偏差</w:t>
      </w:r>
    </w:p>
    <w:p>
      <w:pPr>
        <w:ind w:firstLine="420" w:firstLineChars="200"/>
      </w:pPr>
      <w:r>
        <w:t>GB/T 2975  钢及钢产品力学性能试验取样位置及试样制备</w:t>
      </w:r>
    </w:p>
    <w:p>
      <w:pPr>
        <w:ind w:firstLine="420" w:firstLineChars="200"/>
      </w:pPr>
      <w:r>
        <w:t>GB/T 4336  碳素钢和中低合金钢多元素含量的测定火花放电原子发射光谱方法（常规法）</w:t>
      </w:r>
    </w:p>
    <w:p>
      <w:pPr>
        <w:ind w:firstLine="420" w:firstLineChars="200"/>
      </w:pPr>
      <w:r>
        <w:t>GB/T 4313  厚度方向性能钢板</w:t>
      </w:r>
    </w:p>
    <w:p>
      <w:pPr>
        <w:ind w:firstLine="420" w:firstLineChars="200"/>
      </w:pPr>
      <w:r>
        <w:t>GB/T 8170  数值修约规则与极限数值的表示和判定</w:t>
      </w:r>
    </w:p>
    <w:p>
      <w:pPr>
        <w:ind w:firstLine="420" w:firstLineChars="200"/>
      </w:pPr>
      <w:r>
        <w:t>GB/T 17505  钢及钢产品交货一般技术要求</w:t>
      </w:r>
    </w:p>
    <w:p>
      <w:pPr>
        <w:ind w:firstLine="420" w:firstLineChars="200"/>
      </w:pPr>
      <w:r>
        <w:t>GB/T 20066  钢和铁化学成分测定用试样的取样和制样方法</w:t>
      </w:r>
    </w:p>
    <w:p>
      <w:pPr>
        <w:ind w:firstLine="420" w:firstLineChars="200"/>
      </w:pPr>
      <w:r>
        <w:t>GB/T 20123  钢铁总碳硫含量的测定高频感应炉燃烧后红外吸收法(常规方法)</w:t>
      </w:r>
    </w:p>
    <w:p>
      <w:pPr>
        <w:ind w:firstLine="420" w:firstLineChars="200"/>
      </w:pPr>
      <w:r>
        <w:t>GB/T 20125  低合金钢多元素含量的测定电感耦合等离子体原子发射光谱法</w:t>
      </w:r>
    </w:p>
    <w:p>
      <w:pPr>
        <w:pStyle w:val="46"/>
        <w:numPr>
          <w:ilvl w:val="0"/>
          <w:numId w:val="1"/>
        </w:numPr>
        <w:spacing w:before="312" w:after="312"/>
        <w:ind w:left="0"/>
        <w:rPr>
          <w:rFonts w:ascii="Times New Roman"/>
        </w:rPr>
      </w:pPr>
      <w:r>
        <w:rPr>
          <w:rFonts w:ascii="Times New Roman"/>
        </w:rPr>
        <w:t>术语和定义</w:t>
      </w:r>
    </w:p>
    <w:p>
      <w:pPr>
        <w:ind w:firstLine="420" w:firstLineChars="200"/>
      </w:pPr>
      <w:bookmarkStart w:id="6" w:name="_Hlk73487590"/>
      <w:r>
        <w:t>本文件没有需要界定的术语和定义。</w:t>
      </w:r>
    </w:p>
    <w:bookmarkEnd w:id="6"/>
    <w:p>
      <w:pPr>
        <w:pStyle w:val="46"/>
        <w:numPr>
          <w:ilvl w:val="0"/>
          <w:numId w:val="1"/>
        </w:numPr>
        <w:spacing w:before="312" w:after="312"/>
        <w:ind w:left="0"/>
        <w:rPr>
          <w:rFonts w:ascii="Times New Roman"/>
        </w:rPr>
      </w:pPr>
      <w:r>
        <w:rPr>
          <w:rFonts w:ascii="Times New Roman"/>
        </w:rPr>
        <w:t>牌号表示方法</w:t>
      </w:r>
    </w:p>
    <w:p>
      <w:pPr>
        <w:pStyle w:val="23"/>
        <w:rPr>
          <w:rFonts w:ascii="Times New Roman"/>
        </w:rPr>
      </w:pPr>
      <w:bookmarkStart w:id="7" w:name="_Hlk73487764"/>
      <w:bookmarkStart w:id="8" w:name="_Hlk80132260"/>
      <w:r>
        <w:rPr>
          <w:rFonts w:ascii="Times New Roman"/>
        </w:rPr>
        <w:t>钢的牌号由代表屈服强度的“屈”字的汉语拼音首字母“Q”、规定的最小屈服强度值、应用部位的缩写、质量等级符号四个部分组成。当钢材有厚度方向性能要求时，应在牌号后加上要求厚度方向性能级别的符号（Z25、Z35）。</w:t>
      </w:r>
    </w:p>
    <w:bookmarkEnd w:id="7"/>
    <w:p>
      <w:pPr>
        <w:pStyle w:val="23"/>
        <w:ind w:firstLine="360"/>
        <w:rPr>
          <w:rFonts w:ascii="Times New Roman"/>
          <w:sz w:val="18"/>
          <w:szCs w:val="18"/>
        </w:rPr>
      </w:pPr>
      <w:bookmarkStart w:id="9" w:name="_Hlk151064758"/>
      <w:bookmarkStart w:id="10" w:name="_Hlk73487905"/>
      <w:r>
        <w:rPr>
          <w:rFonts w:ascii="Times New Roman" w:eastAsia="黑体"/>
          <w:sz w:val="18"/>
          <w:szCs w:val="18"/>
        </w:rPr>
        <w:t>示例1</w:t>
      </w:r>
      <w:r>
        <w:rPr>
          <w:rFonts w:ascii="Times New Roman"/>
          <w:sz w:val="18"/>
          <w:szCs w:val="18"/>
        </w:rPr>
        <w:t>：Q690ZTE</w:t>
      </w:r>
    </w:p>
    <w:p>
      <w:pPr>
        <w:pStyle w:val="23"/>
        <w:ind w:firstLine="360"/>
        <w:rPr>
          <w:rFonts w:ascii="Times New Roman"/>
          <w:sz w:val="18"/>
          <w:szCs w:val="18"/>
        </w:rPr>
      </w:pPr>
      <w:r>
        <w:rPr>
          <w:rFonts w:ascii="Times New Roman"/>
          <w:sz w:val="18"/>
          <w:szCs w:val="18"/>
        </w:rPr>
        <w:t>Q——屈服强度的“屈”字汉语拼音的首位字母；</w:t>
      </w:r>
    </w:p>
    <w:p>
      <w:pPr>
        <w:pStyle w:val="23"/>
        <w:ind w:firstLine="360"/>
        <w:rPr>
          <w:rFonts w:ascii="Times New Roman"/>
          <w:sz w:val="18"/>
          <w:szCs w:val="18"/>
        </w:rPr>
      </w:pPr>
      <w:r>
        <w:rPr>
          <w:rFonts w:ascii="Times New Roman"/>
          <w:sz w:val="18"/>
          <w:szCs w:val="18"/>
        </w:rPr>
        <w:t>690——规定的最小屈服强度值，单位为兆帕（MPa)；</w:t>
      </w:r>
    </w:p>
    <w:p>
      <w:pPr>
        <w:pStyle w:val="23"/>
        <w:ind w:firstLine="360"/>
        <w:rPr>
          <w:rFonts w:ascii="Times New Roman"/>
          <w:sz w:val="18"/>
          <w:szCs w:val="18"/>
        </w:rPr>
      </w:pPr>
      <w:r>
        <w:rPr>
          <w:rFonts w:ascii="Times New Roman"/>
          <w:sz w:val="18"/>
          <w:szCs w:val="18"/>
        </w:rPr>
        <w:t>ZT——“桩腿”汉语拼音的首位字母；</w:t>
      </w:r>
    </w:p>
    <w:p>
      <w:pPr>
        <w:pStyle w:val="23"/>
        <w:ind w:firstLine="360"/>
        <w:rPr>
          <w:rFonts w:ascii="Times New Roman"/>
          <w:sz w:val="18"/>
          <w:szCs w:val="18"/>
        </w:rPr>
      </w:pPr>
      <w:r>
        <w:rPr>
          <w:rFonts w:ascii="Times New Roman"/>
          <w:sz w:val="18"/>
          <w:szCs w:val="18"/>
        </w:rPr>
        <w:t>E——质量等级为E级。</w:t>
      </w:r>
    </w:p>
    <w:p>
      <w:pPr>
        <w:pStyle w:val="23"/>
        <w:ind w:firstLine="360"/>
        <w:rPr>
          <w:rFonts w:ascii="Times New Roman"/>
          <w:sz w:val="18"/>
          <w:szCs w:val="18"/>
        </w:rPr>
      </w:pPr>
      <w:r>
        <w:rPr>
          <w:rFonts w:ascii="Times New Roman" w:eastAsia="黑体"/>
          <w:sz w:val="18"/>
          <w:szCs w:val="18"/>
        </w:rPr>
        <w:t>示例2</w:t>
      </w:r>
      <w:r>
        <w:rPr>
          <w:rFonts w:ascii="Times New Roman"/>
          <w:sz w:val="18"/>
          <w:szCs w:val="18"/>
        </w:rPr>
        <w:t>：Q690SSBE</w:t>
      </w:r>
    </w:p>
    <w:p>
      <w:pPr>
        <w:pStyle w:val="23"/>
        <w:ind w:firstLine="360"/>
        <w:rPr>
          <w:rFonts w:ascii="Times New Roman"/>
          <w:sz w:val="18"/>
          <w:szCs w:val="18"/>
        </w:rPr>
      </w:pPr>
      <w:r>
        <w:rPr>
          <w:rFonts w:ascii="Times New Roman"/>
          <w:sz w:val="18"/>
          <w:szCs w:val="18"/>
        </w:rPr>
        <w:t>Q——屈服强度的“屈”字汉语拼音的首位字母；</w:t>
      </w:r>
    </w:p>
    <w:p>
      <w:pPr>
        <w:pStyle w:val="23"/>
        <w:ind w:firstLine="360"/>
        <w:rPr>
          <w:rFonts w:ascii="Times New Roman"/>
          <w:sz w:val="18"/>
          <w:szCs w:val="18"/>
        </w:rPr>
      </w:pPr>
      <w:r>
        <w:rPr>
          <w:rFonts w:ascii="Times New Roman"/>
          <w:sz w:val="18"/>
          <w:szCs w:val="18"/>
        </w:rPr>
        <w:t>690——规定的最小屈服强度值，单位为兆帕（MPa)；</w:t>
      </w:r>
    </w:p>
    <w:p>
      <w:pPr>
        <w:pStyle w:val="23"/>
        <w:ind w:firstLine="360"/>
        <w:rPr>
          <w:rFonts w:ascii="Times New Roman"/>
          <w:sz w:val="18"/>
          <w:szCs w:val="18"/>
        </w:rPr>
      </w:pPr>
      <w:r>
        <w:rPr>
          <w:rFonts w:ascii="Times New Roman"/>
          <w:sz w:val="18"/>
          <w:szCs w:val="18"/>
        </w:rPr>
        <w:t>SSB——“伸缩臂”汉语拼音的首位字母；</w:t>
      </w:r>
    </w:p>
    <w:p>
      <w:pPr>
        <w:pStyle w:val="23"/>
        <w:ind w:firstLine="360"/>
        <w:rPr>
          <w:rFonts w:ascii="Times New Roman"/>
          <w:sz w:val="18"/>
          <w:szCs w:val="18"/>
        </w:rPr>
      </w:pPr>
      <w:r>
        <w:rPr>
          <w:rFonts w:ascii="Times New Roman"/>
          <w:sz w:val="18"/>
          <w:szCs w:val="18"/>
        </w:rPr>
        <w:t>E——质量等级为E级。</w:t>
      </w:r>
      <w:bookmarkEnd w:id="9"/>
    </w:p>
    <w:p>
      <w:pPr>
        <w:pStyle w:val="46"/>
        <w:numPr>
          <w:ilvl w:val="0"/>
          <w:numId w:val="1"/>
        </w:numPr>
        <w:spacing w:before="312" w:after="312"/>
        <w:ind w:left="0"/>
        <w:rPr>
          <w:rFonts w:ascii="Times New Roman"/>
        </w:rPr>
      </w:pPr>
      <w:r>
        <w:rPr>
          <w:rFonts w:ascii="Times New Roman"/>
        </w:rPr>
        <w:t>订货内容</w:t>
      </w:r>
    </w:p>
    <w:p>
      <w:pPr>
        <w:pStyle w:val="23"/>
        <w:rPr>
          <w:rFonts w:ascii="Times New Roman"/>
        </w:rPr>
      </w:pPr>
      <w:bookmarkStart w:id="11" w:name="_Hlk73487613"/>
      <w:r>
        <w:rPr>
          <w:rFonts w:ascii="Times New Roman"/>
        </w:rPr>
        <w:t>按本文件订货的合同或订单应包括下列内容：</w:t>
      </w:r>
    </w:p>
    <w:p>
      <w:pPr>
        <w:pStyle w:val="103"/>
        <w:numPr>
          <w:ilvl w:val="0"/>
          <w:numId w:val="3"/>
        </w:numPr>
        <w:rPr>
          <w:rFonts w:ascii="Times New Roman"/>
        </w:rPr>
      </w:pPr>
      <w:r>
        <w:rPr>
          <w:rFonts w:ascii="Times New Roman"/>
        </w:rPr>
        <w:t>本文件编号；</w:t>
      </w:r>
    </w:p>
    <w:p>
      <w:pPr>
        <w:pStyle w:val="103"/>
        <w:numPr>
          <w:ilvl w:val="0"/>
          <w:numId w:val="3"/>
        </w:numPr>
        <w:rPr>
          <w:rFonts w:ascii="Times New Roman"/>
        </w:rPr>
      </w:pPr>
      <w:r>
        <w:rPr>
          <w:rFonts w:ascii="Times New Roman"/>
        </w:rPr>
        <w:t>牌号；</w:t>
      </w:r>
    </w:p>
    <w:p>
      <w:pPr>
        <w:pStyle w:val="103"/>
        <w:numPr>
          <w:ilvl w:val="0"/>
          <w:numId w:val="3"/>
        </w:numPr>
        <w:rPr>
          <w:rFonts w:ascii="Times New Roman"/>
        </w:rPr>
      </w:pPr>
      <w:r>
        <w:rPr>
          <w:rFonts w:ascii="Times New Roman"/>
        </w:rPr>
        <w:t>用途；</w:t>
      </w:r>
    </w:p>
    <w:p>
      <w:pPr>
        <w:pStyle w:val="103"/>
        <w:numPr>
          <w:ilvl w:val="0"/>
          <w:numId w:val="3"/>
        </w:numPr>
        <w:rPr>
          <w:rFonts w:ascii="Times New Roman"/>
        </w:rPr>
      </w:pPr>
      <w:r>
        <w:rPr>
          <w:rFonts w:ascii="Times New Roman"/>
        </w:rPr>
        <w:t>尺寸、外形精度；</w:t>
      </w:r>
    </w:p>
    <w:p>
      <w:pPr>
        <w:pStyle w:val="103"/>
        <w:numPr>
          <w:ilvl w:val="0"/>
          <w:numId w:val="3"/>
        </w:numPr>
        <w:rPr>
          <w:rFonts w:ascii="Times New Roman"/>
        </w:rPr>
      </w:pPr>
      <w:r>
        <w:rPr>
          <w:rFonts w:ascii="Times New Roman"/>
        </w:rPr>
        <w:t>交货状态；</w:t>
      </w:r>
    </w:p>
    <w:p>
      <w:pPr>
        <w:pStyle w:val="103"/>
        <w:numPr>
          <w:ilvl w:val="0"/>
          <w:numId w:val="3"/>
        </w:numPr>
        <w:rPr>
          <w:rFonts w:ascii="Times New Roman"/>
        </w:rPr>
      </w:pPr>
      <w:r>
        <w:rPr>
          <w:rFonts w:ascii="Times New Roman"/>
        </w:rPr>
        <w:t>冲击试验方向；</w:t>
      </w:r>
    </w:p>
    <w:p>
      <w:pPr>
        <w:pStyle w:val="103"/>
        <w:numPr>
          <w:ilvl w:val="0"/>
          <w:numId w:val="3"/>
        </w:numPr>
        <w:rPr>
          <w:rFonts w:ascii="Times New Roman"/>
        </w:rPr>
      </w:pPr>
      <w:r>
        <w:rPr>
          <w:rFonts w:ascii="Times New Roman"/>
        </w:rPr>
        <w:t>重量；</w:t>
      </w:r>
    </w:p>
    <w:p>
      <w:pPr>
        <w:pStyle w:val="103"/>
        <w:numPr>
          <w:ilvl w:val="0"/>
          <w:numId w:val="3"/>
        </w:numPr>
        <w:rPr>
          <w:rFonts w:ascii="Times New Roman"/>
        </w:rPr>
      </w:pPr>
      <w:r>
        <w:rPr>
          <w:rFonts w:ascii="Times New Roman"/>
        </w:rPr>
        <w:t>其他特殊要求。</w:t>
      </w:r>
    </w:p>
    <w:bookmarkEnd w:id="5"/>
    <w:bookmarkEnd w:id="8"/>
    <w:bookmarkEnd w:id="10"/>
    <w:bookmarkEnd w:id="11"/>
    <w:p>
      <w:pPr>
        <w:pStyle w:val="46"/>
        <w:numPr>
          <w:ilvl w:val="0"/>
          <w:numId w:val="1"/>
        </w:numPr>
        <w:spacing w:before="312" w:after="312"/>
        <w:ind w:left="0"/>
        <w:rPr>
          <w:rFonts w:ascii="Times New Roman"/>
        </w:rPr>
      </w:pPr>
      <w:bookmarkStart w:id="12" w:name="_Toc520380395"/>
      <w:r>
        <w:rPr>
          <w:rFonts w:ascii="Times New Roman"/>
        </w:rPr>
        <w:t>尺寸、外形、重量</w:t>
      </w:r>
      <w:bookmarkEnd w:id="12"/>
    </w:p>
    <w:p>
      <w:pPr>
        <w:pStyle w:val="48"/>
        <w:spacing w:before="156" w:after="156"/>
        <w:ind w:left="0"/>
        <w:rPr>
          <w:rFonts w:ascii="Times New Roman"/>
        </w:rPr>
      </w:pPr>
      <w:r>
        <w:rPr>
          <w:rFonts w:ascii="Times New Roman"/>
        </w:rPr>
        <w:t>尺寸、外形及允许偏差</w:t>
      </w:r>
    </w:p>
    <w:p>
      <w:pPr>
        <w:pStyle w:val="51"/>
        <w:numPr>
          <w:ilvl w:val="0"/>
          <w:numId w:val="0"/>
        </w:numPr>
        <w:spacing w:beforeLines="0" w:afterLines="0"/>
        <w:rPr>
          <w:rFonts w:ascii="Times New Roman" w:eastAsia="宋体"/>
        </w:rPr>
      </w:pPr>
      <w:r>
        <w:rPr>
          <w:rFonts w:ascii="Times New Roman" w:eastAsiaTheme="majorEastAsia"/>
        </w:rPr>
        <w:t>钢板的尺寸、外形及允许偏差应符合GB/T 709-2019的规定。</w:t>
      </w:r>
    </w:p>
    <w:p>
      <w:pPr>
        <w:pStyle w:val="48"/>
        <w:spacing w:before="156" w:after="156"/>
        <w:ind w:left="0"/>
        <w:rPr>
          <w:rFonts w:ascii="Times New Roman"/>
        </w:rPr>
      </w:pPr>
      <w:r>
        <w:rPr>
          <w:rFonts w:ascii="Times New Roman"/>
        </w:rPr>
        <w:t>不平度</w:t>
      </w:r>
    </w:p>
    <w:p>
      <w:pPr>
        <w:pStyle w:val="51"/>
        <w:numPr>
          <w:ilvl w:val="0"/>
          <w:numId w:val="0"/>
        </w:numPr>
        <w:spacing w:beforeLines="0" w:afterLines="0"/>
        <w:rPr>
          <w:rFonts w:ascii="Times New Roman" w:eastAsiaTheme="majorEastAsia"/>
        </w:rPr>
      </w:pPr>
      <w:bookmarkStart w:id="13" w:name="_Hlk150507213"/>
      <w:r>
        <w:rPr>
          <w:rFonts w:ascii="Times New Roman" w:eastAsiaTheme="majorEastAsia"/>
        </w:rPr>
        <w:t>钢板的不平度及镰刀弯应符合表1规定</w:t>
      </w:r>
      <w:bookmarkEnd w:id="13"/>
      <w:r>
        <w:rPr>
          <w:rFonts w:ascii="Times New Roman" w:eastAsiaTheme="majorEastAsia"/>
        </w:rPr>
        <w:t>。</w:t>
      </w:r>
    </w:p>
    <w:p>
      <w:pPr>
        <w:pStyle w:val="78"/>
        <w:numPr>
          <w:ilvl w:val="0"/>
          <w:numId w:val="0"/>
        </w:numPr>
        <w:spacing w:before="156" w:after="156"/>
        <w:jc w:val="right"/>
        <w:rPr>
          <w:rFonts w:ascii="Times New Roman"/>
        </w:rPr>
      </w:pPr>
      <w:bookmarkStart w:id="14" w:name="_Hlk150507247"/>
      <w:r>
        <w:rPr>
          <w:rFonts w:ascii="Times New Roman"/>
        </w:rPr>
        <w:t>表1 钢板不平度及镰刀弯要求                   单位：mm</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7"/>
        <w:gridCol w:w="1878"/>
        <w:gridCol w:w="1878"/>
        <w:gridCol w:w="2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28" w:type="pct"/>
            <w:vMerge w:val="restart"/>
            <w:vAlign w:val="center"/>
          </w:tcPr>
          <w:p>
            <w:pPr>
              <w:jc w:val="center"/>
              <w:rPr>
                <w:szCs w:val="21"/>
              </w:rPr>
            </w:pPr>
            <w:r>
              <w:rPr>
                <w:szCs w:val="21"/>
              </w:rPr>
              <w:t>公称厚度</w:t>
            </w:r>
          </w:p>
        </w:tc>
        <w:tc>
          <w:tcPr>
            <w:tcW w:w="1962" w:type="pct"/>
            <w:gridSpan w:val="2"/>
            <w:vAlign w:val="center"/>
          </w:tcPr>
          <w:p>
            <w:pPr>
              <w:jc w:val="center"/>
              <w:rPr>
                <w:szCs w:val="21"/>
              </w:rPr>
            </w:pPr>
            <w:r>
              <w:rPr>
                <w:szCs w:val="21"/>
              </w:rPr>
              <w:t>不平度</w:t>
            </w:r>
          </w:p>
        </w:tc>
        <w:tc>
          <w:tcPr>
            <w:tcW w:w="1409" w:type="pct"/>
            <w:vMerge w:val="restart"/>
            <w:vAlign w:val="center"/>
          </w:tcPr>
          <w:p>
            <w:pPr>
              <w:jc w:val="center"/>
              <w:rPr>
                <w:szCs w:val="21"/>
              </w:rPr>
            </w:pPr>
            <w:r>
              <w:rPr>
                <w:szCs w:val="21"/>
              </w:rPr>
              <w:t>镰刀弯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628" w:type="pct"/>
            <w:vMerge w:val="continue"/>
            <w:vAlign w:val="center"/>
          </w:tcPr>
          <w:p>
            <w:pPr>
              <w:spacing w:line="360" w:lineRule="auto"/>
              <w:jc w:val="center"/>
              <w:rPr>
                <w:szCs w:val="21"/>
              </w:rPr>
            </w:pPr>
          </w:p>
        </w:tc>
        <w:tc>
          <w:tcPr>
            <w:tcW w:w="981" w:type="pct"/>
            <w:vAlign w:val="center"/>
          </w:tcPr>
          <w:p>
            <w:pPr>
              <w:jc w:val="center"/>
              <w:rPr>
                <w:szCs w:val="21"/>
              </w:rPr>
            </w:pPr>
            <w:r>
              <w:rPr>
                <w:szCs w:val="21"/>
              </w:rPr>
              <w:t>1000</w:t>
            </w:r>
          </w:p>
        </w:tc>
        <w:tc>
          <w:tcPr>
            <w:tcW w:w="981" w:type="pct"/>
            <w:vAlign w:val="center"/>
          </w:tcPr>
          <w:p>
            <w:pPr>
              <w:jc w:val="center"/>
              <w:rPr>
                <w:szCs w:val="21"/>
              </w:rPr>
            </w:pPr>
            <w:r>
              <w:rPr>
                <w:szCs w:val="21"/>
              </w:rPr>
              <w:t>2000</w:t>
            </w:r>
          </w:p>
        </w:tc>
        <w:tc>
          <w:tcPr>
            <w:tcW w:w="1409" w:type="pct"/>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628" w:type="pct"/>
            <w:vAlign w:val="center"/>
          </w:tcPr>
          <w:p>
            <w:pPr>
              <w:jc w:val="center"/>
              <w:rPr>
                <w:szCs w:val="21"/>
              </w:rPr>
            </w:pPr>
            <w:r>
              <w:rPr>
                <w:szCs w:val="21"/>
              </w:rPr>
              <w:t>3≤t≤25</w:t>
            </w:r>
          </w:p>
        </w:tc>
        <w:tc>
          <w:tcPr>
            <w:tcW w:w="981" w:type="pct"/>
            <w:vAlign w:val="center"/>
          </w:tcPr>
          <w:p>
            <w:pPr>
              <w:jc w:val="center"/>
              <w:rPr>
                <w:szCs w:val="21"/>
              </w:rPr>
            </w:pPr>
            <w:r>
              <w:rPr>
                <w:szCs w:val="21"/>
              </w:rPr>
              <w:t>≤3</w:t>
            </w:r>
          </w:p>
        </w:tc>
        <w:tc>
          <w:tcPr>
            <w:tcW w:w="981" w:type="pct"/>
            <w:vAlign w:val="center"/>
          </w:tcPr>
          <w:p>
            <w:pPr>
              <w:jc w:val="center"/>
              <w:rPr>
                <w:szCs w:val="21"/>
              </w:rPr>
            </w:pPr>
            <w:r>
              <w:rPr>
                <w:szCs w:val="21"/>
              </w:rPr>
              <w:t>≤5</w:t>
            </w:r>
          </w:p>
        </w:tc>
        <w:tc>
          <w:tcPr>
            <w:tcW w:w="1409" w:type="pct"/>
            <w:vAlign w:val="center"/>
          </w:tcPr>
          <w:p>
            <w:pPr>
              <w:jc w:val="center"/>
              <w:rPr>
                <w:szCs w:val="21"/>
              </w:rPr>
            </w:pPr>
            <w:r>
              <w:rPr>
                <w:szCs w:val="21"/>
              </w:rPr>
              <w:t>≤5/全长</w:t>
            </w:r>
          </w:p>
        </w:tc>
      </w:tr>
      <w:bookmarkEnd w:id="14"/>
    </w:tbl>
    <w:p>
      <w:pPr>
        <w:pStyle w:val="46"/>
        <w:numPr>
          <w:ilvl w:val="0"/>
          <w:numId w:val="1"/>
        </w:numPr>
        <w:spacing w:before="312" w:after="312"/>
        <w:ind w:left="0"/>
        <w:rPr>
          <w:rFonts w:ascii="Times New Roman"/>
        </w:rPr>
      </w:pPr>
      <w:r>
        <w:rPr>
          <w:rFonts w:ascii="Times New Roman"/>
        </w:rPr>
        <w:t>技术要求</w:t>
      </w:r>
    </w:p>
    <w:p>
      <w:pPr>
        <w:pStyle w:val="48"/>
        <w:spacing w:before="156" w:after="156"/>
        <w:ind w:left="0"/>
        <w:rPr>
          <w:rFonts w:ascii="Times New Roman"/>
        </w:rPr>
      </w:pPr>
      <w:r>
        <w:rPr>
          <w:rFonts w:ascii="Times New Roman"/>
        </w:rPr>
        <w:t>牌号和化学成分</w:t>
      </w:r>
    </w:p>
    <w:p>
      <w:pPr>
        <w:pStyle w:val="51"/>
        <w:spacing w:beforeLines="0" w:afterLines="0"/>
        <w:rPr>
          <w:rFonts w:ascii="Times New Roman" w:eastAsia="宋体"/>
        </w:rPr>
      </w:pPr>
      <w:bookmarkStart w:id="15" w:name="_Hlk150507427"/>
      <w:bookmarkStart w:id="16" w:name="_Hlk73505941"/>
      <w:r>
        <w:rPr>
          <w:rFonts w:ascii="Times New Roman" w:eastAsia="宋体"/>
        </w:rPr>
        <w:t>钢的牌号和化学成分（熔炼分析）应符合表2的规定</w:t>
      </w:r>
      <w:bookmarkEnd w:id="15"/>
      <w:r>
        <w:rPr>
          <w:rFonts w:ascii="Times New Roman" w:eastAsia="宋体"/>
        </w:rPr>
        <w:t>。</w:t>
      </w:r>
    </w:p>
    <w:p>
      <w:pPr>
        <w:pStyle w:val="78"/>
        <w:numPr>
          <w:ilvl w:val="0"/>
          <w:numId w:val="0"/>
        </w:numPr>
        <w:spacing w:before="156" w:after="156"/>
        <w:rPr>
          <w:rFonts w:ascii="Times New Roman"/>
        </w:rPr>
      </w:pPr>
      <w:bookmarkStart w:id="17" w:name="_Hlk150507465"/>
      <w:r>
        <w:rPr>
          <w:rFonts w:ascii="Times New Roman"/>
        </w:rPr>
        <w:t>表2  牌号及化学成分（熔炼分析）</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03"/>
        <w:gridCol w:w="776"/>
        <w:gridCol w:w="498"/>
        <w:gridCol w:w="477"/>
        <w:gridCol w:w="478"/>
        <w:gridCol w:w="491"/>
        <w:gridCol w:w="504"/>
        <w:gridCol w:w="464"/>
        <w:gridCol w:w="491"/>
        <w:gridCol w:w="395"/>
        <w:gridCol w:w="477"/>
        <w:gridCol w:w="382"/>
        <w:gridCol w:w="416"/>
        <w:gridCol w:w="580"/>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0" w:hRule="atLeast"/>
          <w:jc w:val="center"/>
        </w:trPr>
        <w:tc>
          <w:tcPr>
            <w:tcW w:w="1103" w:type="dxa"/>
            <w:vMerge w:val="restart"/>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牌号</w:t>
            </w:r>
          </w:p>
        </w:tc>
        <w:tc>
          <w:tcPr>
            <w:tcW w:w="776" w:type="dxa"/>
            <w:vMerge w:val="restar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质量等级</w:t>
            </w:r>
          </w:p>
        </w:tc>
        <w:tc>
          <w:tcPr>
            <w:tcW w:w="6336" w:type="dxa"/>
            <w:gridSpan w:val="13"/>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化学成分（质量分数）/%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3" w:hRule="atLeast"/>
          <w:jc w:val="center"/>
        </w:trPr>
        <w:tc>
          <w:tcPr>
            <w:tcW w:w="1103" w:type="dxa"/>
            <w:vMerge w:val="continue"/>
            <w:shd w:val="clear" w:color="auto" w:fill="auto"/>
            <w:vAlign w:val="center"/>
          </w:tcPr>
          <w:p>
            <w:pPr>
              <w:jc w:val="center"/>
              <w:rPr>
                <w:color w:val="000000" w:themeColor="text1"/>
                <w:sz w:val="18"/>
                <w:szCs w:val="18"/>
                <w14:textFill>
                  <w14:solidFill>
                    <w14:schemeClr w14:val="tx1"/>
                  </w14:solidFill>
                </w14:textFill>
              </w:rPr>
            </w:pPr>
          </w:p>
        </w:tc>
        <w:tc>
          <w:tcPr>
            <w:tcW w:w="776" w:type="dxa"/>
            <w:vMerge w:val="continue"/>
          </w:tcPr>
          <w:p>
            <w:pPr>
              <w:jc w:val="center"/>
              <w:rPr>
                <w:color w:val="000000" w:themeColor="text1"/>
                <w:sz w:val="18"/>
                <w:szCs w:val="18"/>
                <w14:textFill>
                  <w14:solidFill>
                    <w14:schemeClr w14:val="tx1"/>
                  </w14:solidFill>
                </w14:textFill>
              </w:rPr>
            </w:pPr>
          </w:p>
        </w:tc>
        <w:tc>
          <w:tcPr>
            <w:tcW w:w="498" w:type="dxa"/>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w:t>
            </w:r>
          </w:p>
        </w:tc>
        <w:tc>
          <w:tcPr>
            <w:tcW w:w="477" w:type="dxa"/>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Si</w:t>
            </w:r>
          </w:p>
        </w:tc>
        <w:tc>
          <w:tcPr>
            <w:tcW w:w="478" w:type="dxa"/>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Mn</w:t>
            </w:r>
          </w:p>
        </w:tc>
        <w:tc>
          <w:tcPr>
            <w:tcW w:w="491" w:type="dxa"/>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P</w:t>
            </w:r>
          </w:p>
        </w:tc>
        <w:tc>
          <w:tcPr>
            <w:tcW w:w="504" w:type="dxa"/>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w:t>
            </w:r>
          </w:p>
        </w:tc>
        <w:tc>
          <w:tcPr>
            <w:tcW w:w="464" w:type="dxa"/>
            <w:shd w:val="clear" w:color="auto" w:fill="auto"/>
            <w:vAlign w:val="center"/>
          </w:tcPr>
          <w:p>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Ni</w:t>
            </w:r>
          </w:p>
        </w:tc>
        <w:tc>
          <w:tcPr>
            <w:tcW w:w="491" w:type="dxa"/>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Cr</w:t>
            </w:r>
          </w:p>
        </w:tc>
        <w:tc>
          <w:tcPr>
            <w:tcW w:w="395" w:type="dxa"/>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Mo</w:t>
            </w:r>
          </w:p>
        </w:tc>
        <w:tc>
          <w:tcPr>
            <w:tcW w:w="477" w:type="dxa"/>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Nb</w:t>
            </w:r>
          </w:p>
        </w:tc>
        <w:tc>
          <w:tcPr>
            <w:tcW w:w="382" w:type="dxa"/>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V</w:t>
            </w:r>
          </w:p>
        </w:tc>
        <w:tc>
          <w:tcPr>
            <w:tcW w:w="41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Ti</w:t>
            </w:r>
          </w:p>
        </w:tc>
        <w:tc>
          <w:tcPr>
            <w:tcW w:w="58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w:t>
            </w:r>
          </w:p>
        </w:tc>
        <w:tc>
          <w:tcPr>
            <w:tcW w:w="68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Alt</w:t>
            </w:r>
            <w:r>
              <w:rPr>
                <w:color w:val="000000" w:themeColor="text1"/>
                <w:sz w:val="18"/>
                <w:szCs w:val="18"/>
                <w:vertAlign w:val="superscript"/>
                <w14:textFill>
                  <w14:solidFill>
                    <w14:schemeClr w14:val="tx1"/>
                  </w14:solidFill>
                </w14:textFill>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6" w:hRule="atLeast"/>
          <w:jc w:val="center"/>
        </w:trPr>
        <w:tc>
          <w:tcPr>
            <w:tcW w:w="1103" w:type="dxa"/>
            <w:vMerge w:val="continue"/>
            <w:shd w:val="clear" w:color="auto" w:fill="auto"/>
            <w:vAlign w:val="center"/>
          </w:tcPr>
          <w:p>
            <w:pPr>
              <w:jc w:val="center"/>
              <w:rPr>
                <w:color w:val="000000" w:themeColor="text1"/>
                <w:sz w:val="18"/>
                <w:szCs w:val="18"/>
                <w14:textFill>
                  <w14:solidFill>
                    <w14:schemeClr w14:val="tx1"/>
                  </w14:solidFill>
                </w14:textFill>
              </w:rPr>
            </w:pPr>
          </w:p>
        </w:tc>
        <w:tc>
          <w:tcPr>
            <w:tcW w:w="776" w:type="dxa"/>
            <w:vMerge w:val="continue"/>
          </w:tcPr>
          <w:p>
            <w:pPr>
              <w:jc w:val="center"/>
              <w:rPr>
                <w:color w:val="000000" w:themeColor="text1"/>
                <w:sz w:val="18"/>
                <w:szCs w:val="18"/>
                <w14:textFill>
                  <w14:solidFill>
                    <w14:schemeClr w14:val="tx1"/>
                  </w14:solidFill>
                </w14:textFill>
              </w:rPr>
            </w:pPr>
          </w:p>
        </w:tc>
        <w:tc>
          <w:tcPr>
            <w:tcW w:w="5653" w:type="dxa"/>
            <w:gridSpan w:val="12"/>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不大于</w:t>
            </w:r>
          </w:p>
        </w:tc>
        <w:tc>
          <w:tcPr>
            <w:tcW w:w="68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不小于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 w:hRule="atLeast"/>
          <w:jc w:val="center"/>
        </w:trPr>
        <w:tc>
          <w:tcPr>
            <w:tcW w:w="1103"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Q600SSB</w:t>
            </w:r>
          </w:p>
        </w:tc>
        <w:tc>
          <w:tcPr>
            <w:tcW w:w="776" w:type="dxa"/>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D、E</w:t>
            </w:r>
          </w:p>
        </w:tc>
        <w:tc>
          <w:tcPr>
            <w:tcW w:w="498"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0.12</w:t>
            </w:r>
          </w:p>
        </w:tc>
        <w:tc>
          <w:tcPr>
            <w:tcW w:w="477"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0.30</w:t>
            </w:r>
          </w:p>
        </w:tc>
        <w:tc>
          <w:tcPr>
            <w:tcW w:w="478"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1.80</w:t>
            </w:r>
          </w:p>
        </w:tc>
        <w:tc>
          <w:tcPr>
            <w:tcW w:w="491"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0.020</w:t>
            </w:r>
          </w:p>
        </w:tc>
        <w:tc>
          <w:tcPr>
            <w:tcW w:w="504"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0.010</w:t>
            </w:r>
          </w:p>
        </w:tc>
        <w:tc>
          <w:tcPr>
            <w:tcW w:w="464"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0.20</w:t>
            </w:r>
          </w:p>
        </w:tc>
        <w:tc>
          <w:tcPr>
            <w:tcW w:w="491"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0.30</w:t>
            </w:r>
          </w:p>
        </w:tc>
        <w:tc>
          <w:tcPr>
            <w:tcW w:w="395"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0.30</w:t>
            </w:r>
          </w:p>
        </w:tc>
        <w:tc>
          <w:tcPr>
            <w:tcW w:w="477"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0.07</w:t>
            </w:r>
          </w:p>
        </w:tc>
        <w:tc>
          <w:tcPr>
            <w:tcW w:w="382"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0.08</w:t>
            </w:r>
          </w:p>
        </w:tc>
        <w:tc>
          <w:tcPr>
            <w:tcW w:w="416" w:type="dxa"/>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0.18</w:t>
            </w:r>
          </w:p>
        </w:tc>
        <w:tc>
          <w:tcPr>
            <w:tcW w:w="580" w:type="dxa"/>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0.003</w:t>
            </w:r>
          </w:p>
        </w:tc>
        <w:tc>
          <w:tcPr>
            <w:tcW w:w="683"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 w:hRule="atLeast"/>
          <w:jc w:val="center"/>
        </w:trPr>
        <w:tc>
          <w:tcPr>
            <w:tcW w:w="1103"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Q700SSB</w:t>
            </w:r>
          </w:p>
        </w:tc>
        <w:tc>
          <w:tcPr>
            <w:tcW w:w="776" w:type="dxa"/>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D、E</w:t>
            </w:r>
          </w:p>
        </w:tc>
        <w:tc>
          <w:tcPr>
            <w:tcW w:w="498"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kern w:val="0"/>
                <w:sz w:val="18"/>
                <w:szCs w:val="18"/>
              </w:rPr>
              <w:t>0.12</w:t>
            </w:r>
          </w:p>
        </w:tc>
        <w:tc>
          <w:tcPr>
            <w:tcW w:w="477"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kern w:val="0"/>
                <w:sz w:val="18"/>
                <w:szCs w:val="18"/>
              </w:rPr>
              <w:t>0.30</w:t>
            </w:r>
          </w:p>
        </w:tc>
        <w:tc>
          <w:tcPr>
            <w:tcW w:w="478"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kern w:val="0"/>
                <w:sz w:val="18"/>
                <w:szCs w:val="18"/>
              </w:rPr>
              <w:t>2.00</w:t>
            </w:r>
          </w:p>
        </w:tc>
        <w:tc>
          <w:tcPr>
            <w:tcW w:w="491"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kern w:val="0"/>
                <w:sz w:val="18"/>
                <w:szCs w:val="18"/>
              </w:rPr>
              <w:t>0.020</w:t>
            </w:r>
          </w:p>
        </w:tc>
        <w:tc>
          <w:tcPr>
            <w:tcW w:w="504"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kern w:val="0"/>
                <w:sz w:val="18"/>
                <w:szCs w:val="18"/>
              </w:rPr>
              <w:t>0.010</w:t>
            </w:r>
          </w:p>
        </w:tc>
        <w:tc>
          <w:tcPr>
            <w:tcW w:w="464"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0.20</w:t>
            </w:r>
          </w:p>
        </w:tc>
        <w:tc>
          <w:tcPr>
            <w:tcW w:w="491"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0.30</w:t>
            </w:r>
          </w:p>
        </w:tc>
        <w:tc>
          <w:tcPr>
            <w:tcW w:w="395"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0.30</w:t>
            </w:r>
          </w:p>
        </w:tc>
        <w:tc>
          <w:tcPr>
            <w:tcW w:w="477"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0.07</w:t>
            </w:r>
          </w:p>
        </w:tc>
        <w:tc>
          <w:tcPr>
            <w:tcW w:w="382"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0.08</w:t>
            </w:r>
          </w:p>
        </w:tc>
        <w:tc>
          <w:tcPr>
            <w:tcW w:w="416" w:type="dxa"/>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0.18</w:t>
            </w:r>
          </w:p>
        </w:tc>
        <w:tc>
          <w:tcPr>
            <w:tcW w:w="580" w:type="dxa"/>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0.003</w:t>
            </w:r>
          </w:p>
        </w:tc>
        <w:tc>
          <w:tcPr>
            <w:tcW w:w="683"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 w:hRule="atLeast"/>
          <w:jc w:val="center"/>
        </w:trPr>
        <w:tc>
          <w:tcPr>
            <w:tcW w:w="1103"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Q800SSB</w:t>
            </w:r>
          </w:p>
        </w:tc>
        <w:tc>
          <w:tcPr>
            <w:tcW w:w="776" w:type="dxa"/>
          </w:tcPr>
          <w:p>
            <w:pPr>
              <w:ind w:left="-105" w:leftChars="-50" w:right="-105" w:rightChars="-50"/>
              <w:jc w:val="center"/>
              <w:rPr>
                <w:kern w:val="0"/>
                <w:sz w:val="18"/>
                <w:szCs w:val="18"/>
              </w:rPr>
            </w:pPr>
            <w:r>
              <w:rPr>
                <w:kern w:val="0"/>
                <w:sz w:val="18"/>
                <w:szCs w:val="18"/>
              </w:rPr>
              <w:t>D、E</w:t>
            </w:r>
          </w:p>
        </w:tc>
        <w:tc>
          <w:tcPr>
            <w:tcW w:w="498"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kern w:val="0"/>
                <w:sz w:val="18"/>
                <w:szCs w:val="18"/>
              </w:rPr>
              <w:t>0.12</w:t>
            </w:r>
          </w:p>
        </w:tc>
        <w:tc>
          <w:tcPr>
            <w:tcW w:w="477"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kern w:val="0"/>
                <w:sz w:val="18"/>
                <w:szCs w:val="18"/>
              </w:rPr>
              <w:t>0.50</w:t>
            </w:r>
          </w:p>
        </w:tc>
        <w:tc>
          <w:tcPr>
            <w:tcW w:w="478"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kern w:val="0"/>
                <w:sz w:val="18"/>
                <w:szCs w:val="18"/>
              </w:rPr>
              <w:t>2.00</w:t>
            </w:r>
          </w:p>
        </w:tc>
        <w:tc>
          <w:tcPr>
            <w:tcW w:w="491"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kern w:val="0"/>
                <w:sz w:val="18"/>
                <w:szCs w:val="18"/>
              </w:rPr>
              <w:t>0.020</w:t>
            </w:r>
          </w:p>
        </w:tc>
        <w:tc>
          <w:tcPr>
            <w:tcW w:w="504"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kern w:val="0"/>
                <w:sz w:val="18"/>
                <w:szCs w:val="18"/>
              </w:rPr>
              <w:t>0.010</w:t>
            </w:r>
          </w:p>
        </w:tc>
        <w:tc>
          <w:tcPr>
            <w:tcW w:w="464"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0.60</w:t>
            </w:r>
          </w:p>
        </w:tc>
        <w:tc>
          <w:tcPr>
            <w:tcW w:w="491"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0.30</w:t>
            </w:r>
          </w:p>
        </w:tc>
        <w:tc>
          <w:tcPr>
            <w:tcW w:w="395"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0.60</w:t>
            </w:r>
          </w:p>
        </w:tc>
        <w:tc>
          <w:tcPr>
            <w:tcW w:w="477"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0.10</w:t>
            </w:r>
          </w:p>
        </w:tc>
        <w:tc>
          <w:tcPr>
            <w:tcW w:w="382"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0.15</w:t>
            </w:r>
          </w:p>
        </w:tc>
        <w:tc>
          <w:tcPr>
            <w:tcW w:w="416" w:type="dxa"/>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0.18</w:t>
            </w:r>
          </w:p>
        </w:tc>
        <w:tc>
          <w:tcPr>
            <w:tcW w:w="580" w:type="dxa"/>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0.003</w:t>
            </w:r>
          </w:p>
        </w:tc>
        <w:tc>
          <w:tcPr>
            <w:tcW w:w="683"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 w:hRule="atLeast"/>
          <w:jc w:val="center"/>
        </w:trPr>
        <w:tc>
          <w:tcPr>
            <w:tcW w:w="1103"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Q900SSB</w:t>
            </w:r>
          </w:p>
        </w:tc>
        <w:tc>
          <w:tcPr>
            <w:tcW w:w="776" w:type="dxa"/>
          </w:tcPr>
          <w:p>
            <w:pPr>
              <w:ind w:left="-105" w:leftChars="-50" w:right="-105" w:rightChars="-50"/>
              <w:jc w:val="center"/>
              <w:rPr>
                <w:kern w:val="0"/>
                <w:sz w:val="18"/>
                <w:szCs w:val="18"/>
              </w:rPr>
            </w:pPr>
            <w:r>
              <w:rPr>
                <w:kern w:val="0"/>
                <w:sz w:val="18"/>
                <w:szCs w:val="18"/>
              </w:rPr>
              <w:t>D、E、F</w:t>
            </w:r>
          </w:p>
        </w:tc>
        <w:tc>
          <w:tcPr>
            <w:tcW w:w="498" w:type="dxa"/>
            <w:shd w:val="clear" w:color="auto" w:fill="auto"/>
            <w:vAlign w:val="center"/>
          </w:tcPr>
          <w:p>
            <w:pPr>
              <w:ind w:left="-105" w:leftChars="-50" w:right="-105" w:rightChars="-50"/>
              <w:jc w:val="center"/>
              <w:rPr>
                <w:kern w:val="0"/>
                <w:sz w:val="18"/>
                <w:szCs w:val="18"/>
              </w:rPr>
            </w:pPr>
            <w:r>
              <w:rPr>
                <w:kern w:val="0"/>
                <w:sz w:val="18"/>
                <w:szCs w:val="18"/>
              </w:rPr>
              <w:t>0.18</w:t>
            </w:r>
          </w:p>
        </w:tc>
        <w:tc>
          <w:tcPr>
            <w:tcW w:w="477" w:type="dxa"/>
            <w:shd w:val="clear" w:color="auto" w:fill="auto"/>
            <w:vAlign w:val="center"/>
          </w:tcPr>
          <w:p>
            <w:pPr>
              <w:ind w:left="-105" w:leftChars="-50" w:right="-105" w:rightChars="-50"/>
              <w:jc w:val="center"/>
              <w:rPr>
                <w:kern w:val="0"/>
                <w:sz w:val="18"/>
                <w:szCs w:val="18"/>
              </w:rPr>
            </w:pPr>
            <w:r>
              <w:rPr>
                <w:kern w:val="0"/>
                <w:sz w:val="18"/>
                <w:szCs w:val="18"/>
              </w:rPr>
              <w:t>0.50</w:t>
            </w:r>
          </w:p>
        </w:tc>
        <w:tc>
          <w:tcPr>
            <w:tcW w:w="478" w:type="dxa"/>
            <w:shd w:val="clear" w:color="auto" w:fill="auto"/>
            <w:vAlign w:val="center"/>
          </w:tcPr>
          <w:p>
            <w:pPr>
              <w:ind w:left="-105" w:leftChars="-50" w:right="-105" w:rightChars="-50"/>
              <w:jc w:val="center"/>
              <w:rPr>
                <w:kern w:val="0"/>
                <w:sz w:val="18"/>
                <w:szCs w:val="18"/>
              </w:rPr>
            </w:pPr>
            <w:r>
              <w:rPr>
                <w:kern w:val="0"/>
                <w:sz w:val="18"/>
                <w:szCs w:val="18"/>
              </w:rPr>
              <w:t>2.50</w:t>
            </w:r>
          </w:p>
        </w:tc>
        <w:tc>
          <w:tcPr>
            <w:tcW w:w="491" w:type="dxa"/>
            <w:shd w:val="clear" w:color="auto" w:fill="auto"/>
            <w:vAlign w:val="center"/>
          </w:tcPr>
          <w:p>
            <w:pPr>
              <w:ind w:left="-105" w:leftChars="-50" w:right="-105" w:rightChars="-50"/>
              <w:jc w:val="center"/>
              <w:rPr>
                <w:kern w:val="0"/>
                <w:sz w:val="18"/>
                <w:szCs w:val="18"/>
              </w:rPr>
            </w:pPr>
            <w:r>
              <w:rPr>
                <w:kern w:val="0"/>
                <w:sz w:val="18"/>
                <w:szCs w:val="18"/>
              </w:rPr>
              <w:t>0.020</w:t>
            </w:r>
          </w:p>
        </w:tc>
        <w:tc>
          <w:tcPr>
            <w:tcW w:w="504" w:type="dxa"/>
            <w:shd w:val="clear" w:color="auto" w:fill="auto"/>
            <w:vAlign w:val="center"/>
          </w:tcPr>
          <w:p>
            <w:pPr>
              <w:ind w:left="-105" w:leftChars="-50" w:right="-105" w:rightChars="-50"/>
              <w:jc w:val="center"/>
              <w:rPr>
                <w:kern w:val="0"/>
                <w:sz w:val="18"/>
                <w:szCs w:val="18"/>
              </w:rPr>
            </w:pPr>
            <w:r>
              <w:rPr>
                <w:kern w:val="0"/>
                <w:sz w:val="18"/>
                <w:szCs w:val="18"/>
              </w:rPr>
              <w:t>0.010</w:t>
            </w:r>
          </w:p>
        </w:tc>
        <w:tc>
          <w:tcPr>
            <w:tcW w:w="464"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1.00</w:t>
            </w:r>
          </w:p>
        </w:tc>
        <w:tc>
          <w:tcPr>
            <w:tcW w:w="491"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0.80</w:t>
            </w:r>
          </w:p>
        </w:tc>
        <w:tc>
          <w:tcPr>
            <w:tcW w:w="395"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0.70</w:t>
            </w:r>
          </w:p>
        </w:tc>
        <w:tc>
          <w:tcPr>
            <w:tcW w:w="477"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0.06</w:t>
            </w:r>
          </w:p>
        </w:tc>
        <w:tc>
          <w:tcPr>
            <w:tcW w:w="382"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0.08</w:t>
            </w:r>
          </w:p>
        </w:tc>
        <w:tc>
          <w:tcPr>
            <w:tcW w:w="416" w:type="dxa"/>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0.05</w:t>
            </w:r>
          </w:p>
        </w:tc>
        <w:tc>
          <w:tcPr>
            <w:tcW w:w="580" w:type="dxa"/>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0.003</w:t>
            </w:r>
          </w:p>
        </w:tc>
        <w:tc>
          <w:tcPr>
            <w:tcW w:w="683"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 w:hRule="atLeast"/>
          <w:jc w:val="center"/>
        </w:trPr>
        <w:tc>
          <w:tcPr>
            <w:tcW w:w="1103"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Q960SSB</w:t>
            </w:r>
          </w:p>
        </w:tc>
        <w:tc>
          <w:tcPr>
            <w:tcW w:w="776" w:type="dxa"/>
          </w:tcPr>
          <w:p>
            <w:pPr>
              <w:ind w:left="-105" w:leftChars="-50" w:right="-105" w:rightChars="-50"/>
              <w:jc w:val="center"/>
              <w:rPr>
                <w:kern w:val="0"/>
                <w:sz w:val="18"/>
                <w:szCs w:val="18"/>
              </w:rPr>
            </w:pPr>
            <w:r>
              <w:rPr>
                <w:kern w:val="0"/>
                <w:sz w:val="18"/>
                <w:szCs w:val="18"/>
              </w:rPr>
              <w:t>D、E、F</w:t>
            </w:r>
          </w:p>
        </w:tc>
        <w:tc>
          <w:tcPr>
            <w:tcW w:w="498"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kern w:val="0"/>
                <w:sz w:val="18"/>
                <w:szCs w:val="18"/>
              </w:rPr>
              <w:t>0.18</w:t>
            </w:r>
          </w:p>
        </w:tc>
        <w:tc>
          <w:tcPr>
            <w:tcW w:w="477"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kern w:val="0"/>
                <w:sz w:val="18"/>
                <w:szCs w:val="18"/>
              </w:rPr>
              <w:t>0.50</w:t>
            </w:r>
          </w:p>
        </w:tc>
        <w:tc>
          <w:tcPr>
            <w:tcW w:w="478"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kern w:val="0"/>
                <w:sz w:val="18"/>
                <w:szCs w:val="18"/>
              </w:rPr>
              <w:t>2.50</w:t>
            </w:r>
          </w:p>
        </w:tc>
        <w:tc>
          <w:tcPr>
            <w:tcW w:w="491"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kern w:val="0"/>
                <w:sz w:val="18"/>
                <w:szCs w:val="18"/>
              </w:rPr>
              <w:t>0.020</w:t>
            </w:r>
          </w:p>
        </w:tc>
        <w:tc>
          <w:tcPr>
            <w:tcW w:w="504"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kern w:val="0"/>
                <w:sz w:val="18"/>
                <w:szCs w:val="18"/>
              </w:rPr>
              <w:t>0.010</w:t>
            </w:r>
          </w:p>
        </w:tc>
        <w:tc>
          <w:tcPr>
            <w:tcW w:w="464"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1.00</w:t>
            </w:r>
          </w:p>
        </w:tc>
        <w:tc>
          <w:tcPr>
            <w:tcW w:w="491"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0.80</w:t>
            </w:r>
          </w:p>
        </w:tc>
        <w:tc>
          <w:tcPr>
            <w:tcW w:w="395"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0.70</w:t>
            </w:r>
          </w:p>
        </w:tc>
        <w:tc>
          <w:tcPr>
            <w:tcW w:w="477"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0.06</w:t>
            </w:r>
          </w:p>
        </w:tc>
        <w:tc>
          <w:tcPr>
            <w:tcW w:w="382"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0.08</w:t>
            </w:r>
          </w:p>
        </w:tc>
        <w:tc>
          <w:tcPr>
            <w:tcW w:w="416" w:type="dxa"/>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0.05</w:t>
            </w:r>
          </w:p>
        </w:tc>
        <w:tc>
          <w:tcPr>
            <w:tcW w:w="580" w:type="dxa"/>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0.003</w:t>
            </w:r>
          </w:p>
        </w:tc>
        <w:tc>
          <w:tcPr>
            <w:tcW w:w="683"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 w:hRule="atLeast"/>
          <w:jc w:val="center"/>
        </w:trPr>
        <w:tc>
          <w:tcPr>
            <w:tcW w:w="1103"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Q1100SSB</w:t>
            </w:r>
          </w:p>
        </w:tc>
        <w:tc>
          <w:tcPr>
            <w:tcW w:w="776" w:type="dxa"/>
          </w:tcPr>
          <w:p>
            <w:pPr>
              <w:ind w:left="-105" w:leftChars="-50" w:right="-105" w:rightChars="-50"/>
              <w:jc w:val="center"/>
              <w:rPr>
                <w:kern w:val="0"/>
                <w:sz w:val="18"/>
                <w:szCs w:val="18"/>
              </w:rPr>
            </w:pPr>
            <w:r>
              <w:rPr>
                <w:kern w:val="0"/>
                <w:sz w:val="18"/>
                <w:szCs w:val="18"/>
              </w:rPr>
              <w:t>D、E、F</w:t>
            </w:r>
          </w:p>
        </w:tc>
        <w:tc>
          <w:tcPr>
            <w:tcW w:w="498" w:type="dxa"/>
            <w:shd w:val="clear" w:color="auto" w:fill="auto"/>
            <w:vAlign w:val="center"/>
          </w:tcPr>
          <w:p>
            <w:pPr>
              <w:ind w:left="-105" w:leftChars="-50" w:right="-105" w:rightChars="-50"/>
              <w:jc w:val="center"/>
              <w:rPr>
                <w:kern w:val="0"/>
                <w:sz w:val="18"/>
                <w:szCs w:val="18"/>
              </w:rPr>
            </w:pPr>
            <w:r>
              <w:rPr>
                <w:kern w:val="0"/>
                <w:sz w:val="18"/>
                <w:szCs w:val="18"/>
              </w:rPr>
              <w:t>0.20</w:t>
            </w:r>
          </w:p>
        </w:tc>
        <w:tc>
          <w:tcPr>
            <w:tcW w:w="477" w:type="dxa"/>
            <w:shd w:val="clear" w:color="auto" w:fill="auto"/>
            <w:vAlign w:val="center"/>
          </w:tcPr>
          <w:p>
            <w:pPr>
              <w:ind w:left="-105" w:leftChars="-50" w:right="-105" w:rightChars="-50"/>
              <w:jc w:val="center"/>
              <w:rPr>
                <w:kern w:val="0"/>
                <w:sz w:val="18"/>
                <w:szCs w:val="18"/>
              </w:rPr>
            </w:pPr>
            <w:r>
              <w:rPr>
                <w:kern w:val="0"/>
                <w:sz w:val="18"/>
                <w:szCs w:val="18"/>
              </w:rPr>
              <w:t>0.80</w:t>
            </w:r>
          </w:p>
        </w:tc>
        <w:tc>
          <w:tcPr>
            <w:tcW w:w="478" w:type="dxa"/>
            <w:shd w:val="clear" w:color="auto" w:fill="auto"/>
            <w:vAlign w:val="center"/>
          </w:tcPr>
          <w:p>
            <w:pPr>
              <w:ind w:left="-105" w:leftChars="-50" w:right="-105" w:rightChars="-50"/>
              <w:jc w:val="center"/>
              <w:rPr>
                <w:kern w:val="0"/>
                <w:sz w:val="18"/>
                <w:szCs w:val="18"/>
              </w:rPr>
            </w:pPr>
            <w:r>
              <w:rPr>
                <w:kern w:val="0"/>
                <w:sz w:val="18"/>
                <w:szCs w:val="18"/>
              </w:rPr>
              <w:t>2.50</w:t>
            </w:r>
          </w:p>
        </w:tc>
        <w:tc>
          <w:tcPr>
            <w:tcW w:w="491" w:type="dxa"/>
            <w:shd w:val="clear" w:color="auto" w:fill="auto"/>
            <w:vAlign w:val="center"/>
          </w:tcPr>
          <w:p>
            <w:pPr>
              <w:ind w:left="-105" w:leftChars="-50" w:right="-105" w:rightChars="-50"/>
              <w:jc w:val="center"/>
              <w:rPr>
                <w:kern w:val="0"/>
                <w:sz w:val="18"/>
                <w:szCs w:val="18"/>
              </w:rPr>
            </w:pPr>
            <w:r>
              <w:rPr>
                <w:kern w:val="0"/>
                <w:sz w:val="18"/>
                <w:szCs w:val="18"/>
              </w:rPr>
              <w:t>0.020</w:t>
            </w:r>
          </w:p>
        </w:tc>
        <w:tc>
          <w:tcPr>
            <w:tcW w:w="504" w:type="dxa"/>
            <w:shd w:val="clear" w:color="auto" w:fill="auto"/>
            <w:vAlign w:val="center"/>
          </w:tcPr>
          <w:p>
            <w:pPr>
              <w:ind w:left="-105" w:leftChars="-50" w:right="-105" w:rightChars="-50"/>
              <w:jc w:val="center"/>
              <w:rPr>
                <w:kern w:val="0"/>
                <w:sz w:val="18"/>
                <w:szCs w:val="18"/>
              </w:rPr>
            </w:pPr>
            <w:r>
              <w:rPr>
                <w:kern w:val="0"/>
                <w:sz w:val="18"/>
                <w:szCs w:val="18"/>
              </w:rPr>
              <w:t>0.010</w:t>
            </w:r>
          </w:p>
        </w:tc>
        <w:tc>
          <w:tcPr>
            <w:tcW w:w="464"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w:t>
            </w:r>
          </w:p>
        </w:tc>
        <w:tc>
          <w:tcPr>
            <w:tcW w:w="491"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395"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0.70</w:t>
            </w:r>
          </w:p>
        </w:tc>
        <w:tc>
          <w:tcPr>
            <w:tcW w:w="477"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0.08</w:t>
            </w:r>
          </w:p>
        </w:tc>
        <w:tc>
          <w:tcPr>
            <w:tcW w:w="382"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0.14</w:t>
            </w:r>
          </w:p>
        </w:tc>
        <w:tc>
          <w:tcPr>
            <w:tcW w:w="416" w:type="dxa"/>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0.05</w:t>
            </w:r>
          </w:p>
        </w:tc>
        <w:tc>
          <w:tcPr>
            <w:tcW w:w="580" w:type="dxa"/>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0.006</w:t>
            </w:r>
          </w:p>
        </w:tc>
        <w:tc>
          <w:tcPr>
            <w:tcW w:w="683"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 w:hRule="atLeast"/>
          <w:jc w:val="center"/>
        </w:trPr>
        <w:tc>
          <w:tcPr>
            <w:tcW w:w="1103"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Q600ZT</w:t>
            </w:r>
          </w:p>
        </w:tc>
        <w:tc>
          <w:tcPr>
            <w:tcW w:w="776" w:type="dxa"/>
          </w:tcPr>
          <w:p>
            <w:pPr>
              <w:ind w:left="-105" w:leftChars="-50" w:right="-105" w:rightChars="-50"/>
              <w:jc w:val="center"/>
              <w:rPr>
                <w:kern w:val="0"/>
                <w:sz w:val="18"/>
                <w:szCs w:val="18"/>
              </w:rPr>
            </w:pPr>
            <w:r>
              <w:rPr>
                <w:kern w:val="0"/>
                <w:sz w:val="18"/>
                <w:szCs w:val="18"/>
              </w:rPr>
              <w:t>D、E、F</w:t>
            </w:r>
          </w:p>
        </w:tc>
        <w:tc>
          <w:tcPr>
            <w:tcW w:w="498"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kern w:val="0"/>
                <w:sz w:val="18"/>
                <w:szCs w:val="18"/>
              </w:rPr>
              <w:t>0.18</w:t>
            </w:r>
          </w:p>
        </w:tc>
        <w:tc>
          <w:tcPr>
            <w:tcW w:w="477"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kern w:val="0"/>
                <w:sz w:val="18"/>
                <w:szCs w:val="18"/>
              </w:rPr>
              <w:t>0.50</w:t>
            </w:r>
          </w:p>
        </w:tc>
        <w:tc>
          <w:tcPr>
            <w:tcW w:w="478"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kern w:val="0"/>
                <w:sz w:val="18"/>
                <w:szCs w:val="18"/>
              </w:rPr>
              <w:t>1.80</w:t>
            </w:r>
          </w:p>
        </w:tc>
        <w:tc>
          <w:tcPr>
            <w:tcW w:w="491"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kern w:val="0"/>
                <w:sz w:val="18"/>
                <w:szCs w:val="18"/>
              </w:rPr>
              <w:t>0.020</w:t>
            </w:r>
          </w:p>
        </w:tc>
        <w:tc>
          <w:tcPr>
            <w:tcW w:w="504"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kern w:val="0"/>
                <w:sz w:val="18"/>
                <w:szCs w:val="18"/>
              </w:rPr>
              <w:t>0.010</w:t>
            </w:r>
          </w:p>
        </w:tc>
        <w:tc>
          <w:tcPr>
            <w:tcW w:w="464"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0.60</w:t>
            </w:r>
          </w:p>
        </w:tc>
        <w:tc>
          <w:tcPr>
            <w:tcW w:w="491"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0.60</w:t>
            </w:r>
          </w:p>
        </w:tc>
        <w:tc>
          <w:tcPr>
            <w:tcW w:w="395"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0.60</w:t>
            </w:r>
          </w:p>
        </w:tc>
        <w:tc>
          <w:tcPr>
            <w:tcW w:w="477"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0.60</w:t>
            </w:r>
          </w:p>
        </w:tc>
        <w:tc>
          <w:tcPr>
            <w:tcW w:w="382"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0.08</w:t>
            </w:r>
          </w:p>
        </w:tc>
        <w:tc>
          <w:tcPr>
            <w:tcW w:w="416" w:type="dxa"/>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0.05</w:t>
            </w:r>
          </w:p>
        </w:tc>
        <w:tc>
          <w:tcPr>
            <w:tcW w:w="580" w:type="dxa"/>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0.003</w:t>
            </w:r>
          </w:p>
        </w:tc>
        <w:tc>
          <w:tcPr>
            <w:tcW w:w="683"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 w:hRule="atLeast"/>
          <w:jc w:val="center"/>
        </w:trPr>
        <w:tc>
          <w:tcPr>
            <w:tcW w:w="1103"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Q700ZT</w:t>
            </w:r>
          </w:p>
        </w:tc>
        <w:tc>
          <w:tcPr>
            <w:tcW w:w="776" w:type="dxa"/>
          </w:tcPr>
          <w:p>
            <w:pPr>
              <w:ind w:left="-105" w:leftChars="-50" w:right="-105" w:rightChars="-50"/>
              <w:jc w:val="center"/>
              <w:rPr>
                <w:kern w:val="0"/>
                <w:sz w:val="18"/>
                <w:szCs w:val="18"/>
              </w:rPr>
            </w:pPr>
            <w:r>
              <w:rPr>
                <w:kern w:val="0"/>
                <w:sz w:val="18"/>
                <w:szCs w:val="18"/>
              </w:rPr>
              <w:t>D、E、F</w:t>
            </w:r>
          </w:p>
        </w:tc>
        <w:tc>
          <w:tcPr>
            <w:tcW w:w="498"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kern w:val="0"/>
                <w:sz w:val="18"/>
                <w:szCs w:val="18"/>
              </w:rPr>
              <w:t>0.18</w:t>
            </w:r>
          </w:p>
        </w:tc>
        <w:tc>
          <w:tcPr>
            <w:tcW w:w="477"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kern w:val="0"/>
                <w:sz w:val="18"/>
                <w:szCs w:val="18"/>
              </w:rPr>
              <w:t>0.50</w:t>
            </w:r>
          </w:p>
        </w:tc>
        <w:tc>
          <w:tcPr>
            <w:tcW w:w="478"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kern w:val="0"/>
                <w:sz w:val="18"/>
                <w:szCs w:val="18"/>
              </w:rPr>
              <w:t>2.00</w:t>
            </w:r>
          </w:p>
        </w:tc>
        <w:tc>
          <w:tcPr>
            <w:tcW w:w="491"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kern w:val="0"/>
                <w:sz w:val="18"/>
                <w:szCs w:val="18"/>
              </w:rPr>
              <w:t>0.020</w:t>
            </w:r>
          </w:p>
        </w:tc>
        <w:tc>
          <w:tcPr>
            <w:tcW w:w="504"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kern w:val="0"/>
                <w:sz w:val="18"/>
                <w:szCs w:val="18"/>
              </w:rPr>
              <w:t>0.010</w:t>
            </w:r>
          </w:p>
        </w:tc>
        <w:tc>
          <w:tcPr>
            <w:tcW w:w="464"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0.60</w:t>
            </w:r>
          </w:p>
        </w:tc>
        <w:tc>
          <w:tcPr>
            <w:tcW w:w="491"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0.60</w:t>
            </w:r>
          </w:p>
        </w:tc>
        <w:tc>
          <w:tcPr>
            <w:tcW w:w="395"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0.60</w:t>
            </w:r>
          </w:p>
        </w:tc>
        <w:tc>
          <w:tcPr>
            <w:tcW w:w="477"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0.06</w:t>
            </w:r>
          </w:p>
        </w:tc>
        <w:tc>
          <w:tcPr>
            <w:tcW w:w="382"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0.08</w:t>
            </w:r>
          </w:p>
        </w:tc>
        <w:tc>
          <w:tcPr>
            <w:tcW w:w="416" w:type="dxa"/>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0.05</w:t>
            </w:r>
          </w:p>
        </w:tc>
        <w:tc>
          <w:tcPr>
            <w:tcW w:w="580" w:type="dxa"/>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0.003</w:t>
            </w:r>
          </w:p>
        </w:tc>
        <w:tc>
          <w:tcPr>
            <w:tcW w:w="683"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 w:hRule="atLeast"/>
          <w:jc w:val="center"/>
        </w:trPr>
        <w:tc>
          <w:tcPr>
            <w:tcW w:w="1103"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Q800ZT</w:t>
            </w:r>
          </w:p>
        </w:tc>
        <w:tc>
          <w:tcPr>
            <w:tcW w:w="776" w:type="dxa"/>
          </w:tcPr>
          <w:p>
            <w:pPr>
              <w:ind w:left="-105" w:leftChars="-50" w:right="-105" w:rightChars="-50"/>
              <w:jc w:val="center"/>
              <w:rPr>
                <w:kern w:val="0"/>
                <w:sz w:val="18"/>
                <w:szCs w:val="18"/>
              </w:rPr>
            </w:pPr>
            <w:r>
              <w:rPr>
                <w:kern w:val="0"/>
                <w:sz w:val="18"/>
                <w:szCs w:val="18"/>
              </w:rPr>
              <w:t>D、E、F</w:t>
            </w:r>
          </w:p>
        </w:tc>
        <w:tc>
          <w:tcPr>
            <w:tcW w:w="498"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kern w:val="0"/>
                <w:sz w:val="18"/>
                <w:szCs w:val="18"/>
              </w:rPr>
              <w:t>0.18</w:t>
            </w:r>
          </w:p>
        </w:tc>
        <w:tc>
          <w:tcPr>
            <w:tcW w:w="477"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kern w:val="0"/>
                <w:sz w:val="18"/>
                <w:szCs w:val="18"/>
              </w:rPr>
              <w:t>0.50</w:t>
            </w:r>
          </w:p>
        </w:tc>
        <w:tc>
          <w:tcPr>
            <w:tcW w:w="478"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kern w:val="0"/>
                <w:sz w:val="18"/>
                <w:szCs w:val="18"/>
              </w:rPr>
              <w:t>2.00</w:t>
            </w:r>
          </w:p>
        </w:tc>
        <w:tc>
          <w:tcPr>
            <w:tcW w:w="491"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kern w:val="0"/>
                <w:sz w:val="18"/>
                <w:szCs w:val="18"/>
              </w:rPr>
              <w:t>0.020</w:t>
            </w:r>
          </w:p>
        </w:tc>
        <w:tc>
          <w:tcPr>
            <w:tcW w:w="504"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kern w:val="0"/>
                <w:sz w:val="18"/>
                <w:szCs w:val="18"/>
              </w:rPr>
              <w:t>0.010</w:t>
            </w:r>
          </w:p>
        </w:tc>
        <w:tc>
          <w:tcPr>
            <w:tcW w:w="464"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0.60</w:t>
            </w:r>
          </w:p>
        </w:tc>
        <w:tc>
          <w:tcPr>
            <w:tcW w:w="491"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0.80</w:t>
            </w:r>
          </w:p>
        </w:tc>
        <w:tc>
          <w:tcPr>
            <w:tcW w:w="395"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0.60</w:t>
            </w:r>
          </w:p>
        </w:tc>
        <w:tc>
          <w:tcPr>
            <w:tcW w:w="477"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0.06</w:t>
            </w:r>
          </w:p>
        </w:tc>
        <w:tc>
          <w:tcPr>
            <w:tcW w:w="382"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0.08</w:t>
            </w:r>
          </w:p>
        </w:tc>
        <w:tc>
          <w:tcPr>
            <w:tcW w:w="416" w:type="dxa"/>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0.05</w:t>
            </w:r>
          </w:p>
        </w:tc>
        <w:tc>
          <w:tcPr>
            <w:tcW w:w="580" w:type="dxa"/>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0.003</w:t>
            </w:r>
          </w:p>
        </w:tc>
        <w:tc>
          <w:tcPr>
            <w:tcW w:w="683"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 w:hRule="atLeast"/>
          <w:jc w:val="center"/>
        </w:trPr>
        <w:tc>
          <w:tcPr>
            <w:tcW w:w="1103"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Q900ZT</w:t>
            </w:r>
          </w:p>
        </w:tc>
        <w:tc>
          <w:tcPr>
            <w:tcW w:w="776" w:type="dxa"/>
          </w:tcPr>
          <w:p>
            <w:pPr>
              <w:ind w:left="-105" w:leftChars="-50" w:right="-105" w:rightChars="-50"/>
              <w:jc w:val="center"/>
              <w:rPr>
                <w:kern w:val="0"/>
                <w:sz w:val="18"/>
                <w:szCs w:val="18"/>
              </w:rPr>
            </w:pPr>
            <w:r>
              <w:rPr>
                <w:kern w:val="0"/>
                <w:sz w:val="18"/>
                <w:szCs w:val="18"/>
              </w:rPr>
              <w:t>D、E、F</w:t>
            </w:r>
          </w:p>
        </w:tc>
        <w:tc>
          <w:tcPr>
            <w:tcW w:w="498" w:type="dxa"/>
            <w:shd w:val="clear" w:color="auto" w:fill="auto"/>
            <w:vAlign w:val="center"/>
          </w:tcPr>
          <w:p>
            <w:pPr>
              <w:ind w:left="-105" w:leftChars="-50" w:right="-105" w:rightChars="-50"/>
              <w:jc w:val="center"/>
              <w:rPr>
                <w:kern w:val="0"/>
                <w:sz w:val="18"/>
                <w:szCs w:val="18"/>
              </w:rPr>
            </w:pPr>
            <w:r>
              <w:rPr>
                <w:kern w:val="0"/>
                <w:sz w:val="18"/>
                <w:szCs w:val="18"/>
              </w:rPr>
              <w:t>0.18</w:t>
            </w:r>
          </w:p>
        </w:tc>
        <w:tc>
          <w:tcPr>
            <w:tcW w:w="477" w:type="dxa"/>
            <w:shd w:val="clear" w:color="auto" w:fill="auto"/>
            <w:vAlign w:val="center"/>
          </w:tcPr>
          <w:p>
            <w:pPr>
              <w:ind w:left="-105" w:leftChars="-50" w:right="-105" w:rightChars="-50"/>
              <w:jc w:val="center"/>
              <w:rPr>
                <w:kern w:val="0"/>
                <w:sz w:val="18"/>
                <w:szCs w:val="18"/>
              </w:rPr>
            </w:pPr>
            <w:r>
              <w:rPr>
                <w:kern w:val="0"/>
                <w:sz w:val="18"/>
                <w:szCs w:val="18"/>
              </w:rPr>
              <w:t>0.50</w:t>
            </w:r>
          </w:p>
        </w:tc>
        <w:tc>
          <w:tcPr>
            <w:tcW w:w="478" w:type="dxa"/>
            <w:shd w:val="clear" w:color="auto" w:fill="auto"/>
            <w:vAlign w:val="center"/>
          </w:tcPr>
          <w:p>
            <w:pPr>
              <w:ind w:left="-105" w:leftChars="-50" w:right="-105" w:rightChars="-50"/>
              <w:jc w:val="center"/>
              <w:rPr>
                <w:kern w:val="0"/>
                <w:sz w:val="18"/>
                <w:szCs w:val="18"/>
              </w:rPr>
            </w:pPr>
            <w:r>
              <w:rPr>
                <w:kern w:val="0"/>
                <w:sz w:val="18"/>
                <w:szCs w:val="18"/>
              </w:rPr>
              <w:t>2.50</w:t>
            </w:r>
          </w:p>
        </w:tc>
        <w:tc>
          <w:tcPr>
            <w:tcW w:w="491" w:type="dxa"/>
            <w:shd w:val="clear" w:color="auto" w:fill="auto"/>
            <w:vAlign w:val="center"/>
          </w:tcPr>
          <w:p>
            <w:pPr>
              <w:ind w:left="-105" w:leftChars="-50" w:right="-105" w:rightChars="-50"/>
              <w:jc w:val="center"/>
              <w:rPr>
                <w:kern w:val="0"/>
                <w:sz w:val="18"/>
                <w:szCs w:val="18"/>
              </w:rPr>
            </w:pPr>
            <w:r>
              <w:rPr>
                <w:kern w:val="0"/>
                <w:sz w:val="18"/>
                <w:szCs w:val="18"/>
              </w:rPr>
              <w:t>0.020</w:t>
            </w:r>
          </w:p>
        </w:tc>
        <w:tc>
          <w:tcPr>
            <w:tcW w:w="504" w:type="dxa"/>
            <w:shd w:val="clear" w:color="auto" w:fill="auto"/>
            <w:vAlign w:val="center"/>
          </w:tcPr>
          <w:p>
            <w:pPr>
              <w:ind w:left="-105" w:leftChars="-50" w:right="-105" w:rightChars="-50"/>
              <w:jc w:val="center"/>
              <w:rPr>
                <w:kern w:val="0"/>
                <w:sz w:val="18"/>
                <w:szCs w:val="18"/>
              </w:rPr>
            </w:pPr>
            <w:r>
              <w:rPr>
                <w:kern w:val="0"/>
                <w:sz w:val="18"/>
                <w:szCs w:val="18"/>
              </w:rPr>
              <w:t>0.010</w:t>
            </w:r>
          </w:p>
        </w:tc>
        <w:tc>
          <w:tcPr>
            <w:tcW w:w="464"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1.00</w:t>
            </w:r>
          </w:p>
        </w:tc>
        <w:tc>
          <w:tcPr>
            <w:tcW w:w="491"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0.80</w:t>
            </w:r>
          </w:p>
        </w:tc>
        <w:tc>
          <w:tcPr>
            <w:tcW w:w="395"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0.70</w:t>
            </w:r>
          </w:p>
        </w:tc>
        <w:tc>
          <w:tcPr>
            <w:tcW w:w="477"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0.06</w:t>
            </w:r>
          </w:p>
        </w:tc>
        <w:tc>
          <w:tcPr>
            <w:tcW w:w="382"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0.08</w:t>
            </w:r>
          </w:p>
        </w:tc>
        <w:tc>
          <w:tcPr>
            <w:tcW w:w="416" w:type="dxa"/>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0.05</w:t>
            </w:r>
          </w:p>
        </w:tc>
        <w:tc>
          <w:tcPr>
            <w:tcW w:w="580" w:type="dxa"/>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0.003</w:t>
            </w:r>
          </w:p>
        </w:tc>
        <w:tc>
          <w:tcPr>
            <w:tcW w:w="683"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 w:hRule="atLeast"/>
          <w:jc w:val="center"/>
        </w:trPr>
        <w:tc>
          <w:tcPr>
            <w:tcW w:w="1103"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Q960ZT</w:t>
            </w:r>
          </w:p>
        </w:tc>
        <w:tc>
          <w:tcPr>
            <w:tcW w:w="776" w:type="dxa"/>
          </w:tcPr>
          <w:p>
            <w:pPr>
              <w:ind w:left="-105" w:leftChars="-50" w:right="-105" w:rightChars="-50"/>
              <w:jc w:val="center"/>
              <w:rPr>
                <w:kern w:val="0"/>
                <w:sz w:val="18"/>
                <w:szCs w:val="18"/>
              </w:rPr>
            </w:pPr>
            <w:r>
              <w:rPr>
                <w:kern w:val="0"/>
                <w:sz w:val="18"/>
                <w:szCs w:val="18"/>
              </w:rPr>
              <w:t>D、E、F</w:t>
            </w:r>
          </w:p>
        </w:tc>
        <w:tc>
          <w:tcPr>
            <w:tcW w:w="498" w:type="dxa"/>
            <w:shd w:val="clear" w:color="auto" w:fill="auto"/>
            <w:vAlign w:val="center"/>
          </w:tcPr>
          <w:p>
            <w:pPr>
              <w:ind w:left="-105" w:leftChars="-50" w:right="-105" w:rightChars="-50"/>
              <w:jc w:val="center"/>
              <w:rPr>
                <w:kern w:val="0"/>
                <w:sz w:val="18"/>
                <w:szCs w:val="18"/>
              </w:rPr>
            </w:pPr>
            <w:r>
              <w:rPr>
                <w:kern w:val="0"/>
                <w:sz w:val="18"/>
                <w:szCs w:val="18"/>
              </w:rPr>
              <w:t>0.18</w:t>
            </w:r>
          </w:p>
        </w:tc>
        <w:tc>
          <w:tcPr>
            <w:tcW w:w="477" w:type="dxa"/>
            <w:shd w:val="clear" w:color="auto" w:fill="auto"/>
            <w:vAlign w:val="center"/>
          </w:tcPr>
          <w:p>
            <w:pPr>
              <w:ind w:left="-105" w:leftChars="-50" w:right="-105" w:rightChars="-50"/>
              <w:jc w:val="center"/>
              <w:rPr>
                <w:kern w:val="0"/>
                <w:sz w:val="18"/>
                <w:szCs w:val="18"/>
              </w:rPr>
            </w:pPr>
            <w:r>
              <w:rPr>
                <w:kern w:val="0"/>
                <w:sz w:val="18"/>
                <w:szCs w:val="18"/>
              </w:rPr>
              <w:t>0.50</w:t>
            </w:r>
          </w:p>
        </w:tc>
        <w:tc>
          <w:tcPr>
            <w:tcW w:w="478" w:type="dxa"/>
            <w:shd w:val="clear" w:color="auto" w:fill="auto"/>
            <w:vAlign w:val="center"/>
          </w:tcPr>
          <w:p>
            <w:pPr>
              <w:ind w:left="-105" w:leftChars="-50" w:right="-105" w:rightChars="-50"/>
              <w:jc w:val="center"/>
              <w:rPr>
                <w:kern w:val="0"/>
                <w:sz w:val="18"/>
                <w:szCs w:val="18"/>
              </w:rPr>
            </w:pPr>
            <w:r>
              <w:rPr>
                <w:kern w:val="0"/>
                <w:sz w:val="18"/>
                <w:szCs w:val="18"/>
              </w:rPr>
              <w:t>2.50</w:t>
            </w:r>
          </w:p>
        </w:tc>
        <w:tc>
          <w:tcPr>
            <w:tcW w:w="491" w:type="dxa"/>
            <w:shd w:val="clear" w:color="auto" w:fill="auto"/>
            <w:vAlign w:val="center"/>
          </w:tcPr>
          <w:p>
            <w:pPr>
              <w:ind w:left="-105" w:leftChars="-50" w:right="-105" w:rightChars="-50"/>
              <w:jc w:val="center"/>
              <w:rPr>
                <w:kern w:val="0"/>
                <w:sz w:val="18"/>
                <w:szCs w:val="18"/>
              </w:rPr>
            </w:pPr>
            <w:r>
              <w:rPr>
                <w:kern w:val="0"/>
                <w:sz w:val="18"/>
                <w:szCs w:val="18"/>
              </w:rPr>
              <w:t>0.020</w:t>
            </w:r>
          </w:p>
        </w:tc>
        <w:tc>
          <w:tcPr>
            <w:tcW w:w="504" w:type="dxa"/>
            <w:shd w:val="clear" w:color="auto" w:fill="auto"/>
            <w:vAlign w:val="center"/>
          </w:tcPr>
          <w:p>
            <w:pPr>
              <w:ind w:left="-105" w:leftChars="-50" w:right="-105" w:rightChars="-50"/>
              <w:jc w:val="center"/>
              <w:rPr>
                <w:kern w:val="0"/>
                <w:sz w:val="18"/>
                <w:szCs w:val="18"/>
              </w:rPr>
            </w:pPr>
            <w:r>
              <w:rPr>
                <w:kern w:val="0"/>
                <w:sz w:val="18"/>
                <w:szCs w:val="18"/>
              </w:rPr>
              <w:t>0.010</w:t>
            </w:r>
          </w:p>
        </w:tc>
        <w:tc>
          <w:tcPr>
            <w:tcW w:w="464"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1.00</w:t>
            </w:r>
          </w:p>
        </w:tc>
        <w:tc>
          <w:tcPr>
            <w:tcW w:w="491"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0.80</w:t>
            </w:r>
          </w:p>
        </w:tc>
        <w:tc>
          <w:tcPr>
            <w:tcW w:w="395"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0.70</w:t>
            </w:r>
          </w:p>
        </w:tc>
        <w:tc>
          <w:tcPr>
            <w:tcW w:w="477"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0.06</w:t>
            </w:r>
          </w:p>
        </w:tc>
        <w:tc>
          <w:tcPr>
            <w:tcW w:w="382"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0.08</w:t>
            </w:r>
          </w:p>
        </w:tc>
        <w:tc>
          <w:tcPr>
            <w:tcW w:w="416" w:type="dxa"/>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0.05</w:t>
            </w:r>
          </w:p>
        </w:tc>
        <w:tc>
          <w:tcPr>
            <w:tcW w:w="580" w:type="dxa"/>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0.003</w:t>
            </w:r>
          </w:p>
        </w:tc>
        <w:tc>
          <w:tcPr>
            <w:tcW w:w="683" w:type="dxa"/>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7" w:hRule="atLeast"/>
          <w:jc w:val="center"/>
        </w:trPr>
        <w:tc>
          <w:tcPr>
            <w:tcW w:w="8215" w:type="dxa"/>
            <w:gridSpan w:val="15"/>
          </w:tcPr>
          <w:p>
            <w:pPr>
              <w:ind w:right="-105" w:rightChars="-50" w:firstLine="360" w:firstLineChars="200"/>
              <w:rPr>
                <w:bCs/>
                <w:color w:val="000000" w:themeColor="text1"/>
                <w:sz w:val="18"/>
                <w:szCs w:val="18"/>
                <w14:textFill>
                  <w14:solidFill>
                    <w14:schemeClr w14:val="tx1"/>
                  </w14:solidFill>
                </w14:textFill>
              </w:rPr>
            </w:pPr>
            <w:r>
              <w:rPr>
                <w:bCs/>
                <w:color w:val="000000" w:themeColor="text1"/>
                <w:sz w:val="18"/>
                <w:szCs w:val="18"/>
                <w:vertAlign w:val="superscript"/>
                <w14:textFill>
                  <w14:solidFill>
                    <w14:schemeClr w14:val="tx1"/>
                  </w14:solidFill>
                </w14:textFill>
              </w:rPr>
              <w:t>\a</w:t>
            </w:r>
            <w:r>
              <w:rPr>
                <w:bCs/>
                <w:color w:val="000000" w:themeColor="text1"/>
                <w:sz w:val="18"/>
                <w:szCs w:val="18"/>
                <w14:textFill>
                  <w14:solidFill>
                    <w14:schemeClr w14:val="tx1"/>
                  </w14:solidFill>
                </w14:textFill>
              </w:rPr>
              <w:t xml:space="preserve"> 全铝Alt含量可以用测定酸溶铝Als含量代替，此时酸溶铝Als含量应不小于0.015%。</w:t>
            </w:r>
          </w:p>
          <w:p>
            <w:pPr>
              <w:ind w:right="-105" w:rightChars="-50" w:firstLine="360" w:firstLineChars="200"/>
              <w:rPr>
                <w:bCs/>
                <w:color w:val="000000" w:themeColor="text1"/>
                <w:sz w:val="18"/>
                <w:szCs w:val="18"/>
                <w:vertAlign w:val="superscript"/>
                <w14:textFill>
                  <w14:solidFill>
                    <w14:schemeClr w14:val="tx1"/>
                  </w14:solidFill>
                </w14:textFill>
              </w:rPr>
            </w:pPr>
            <w:r>
              <w:rPr>
                <w:bCs/>
                <w:color w:val="000000" w:themeColor="text1"/>
                <w:sz w:val="18"/>
                <w:szCs w:val="18"/>
                <w:vertAlign w:val="superscript"/>
                <w14:textFill>
                  <w14:solidFill>
                    <w14:schemeClr w14:val="tx1"/>
                  </w14:solidFill>
                </w14:textFill>
              </w:rPr>
              <w:t xml:space="preserve">b </w:t>
            </w:r>
            <w:r>
              <w:rPr>
                <w:bCs/>
                <w:color w:val="000000" w:themeColor="text1"/>
                <w:sz w:val="18"/>
                <w:szCs w:val="18"/>
                <w14:textFill>
                  <w14:solidFill>
                    <w14:schemeClr w14:val="tx1"/>
                  </w14:solidFill>
                </w14:textFill>
              </w:rPr>
              <w:t>钢中至少应添加Nb、Ti、V、Al中的一种细化晶粒元素。</w:t>
            </w:r>
          </w:p>
        </w:tc>
      </w:tr>
      <w:bookmarkEnd w:id="17"/>
    </w:tbl>
    <w:p>
      <w:pPr>
        <w:pStyle w:val="51"/>
        <w:spacing w:beforeLines="0" w:afterLines="0"/>
        <w:rPr>
          <w:rFonts w:ascii="Times New Roman" w:eastAsia="宋体"/>
        </w:rPr>
      </w:pPr>
      <w:bookmarkStart w:id="18" w:name="_Hlk150507498"/>
      <w:r>
        <w:rPr>
          <w:rFonts w:ascii="Times New Roman" w:eastAsia="宋体"/>
        </w:rPr>
        <w:t>厚度方向性能钢板的硫含量应符合GB/T 5313的规定，其余应符合表2的规定</w:t>
      </w:r>
      <w:bookmarkEnd w:id="18"/>
      <w:r>
        <w:rPr>
          <w:rFonts w:ascii="Times New Roman" w:eastAsia="宋体"/>
        </w:rPr>
        <w:t>。</w:t>
      </w:r>
    </w:p>
    <w:p>
      <w:pPr>
        <w:pStyle w:val="51"/>
        <w:spacing w:beforeLines="0" w:afterLines="0"/>
        <w:rPr>
          <w:rFonts w:ascii="Times New Roman" w:eastAsia="宋体"/>
        </w:rPr>
      </w:pPr>
      <w:bookmarkStart w:id="19" w:name="_Hlk150507522"/>
      <w:r>
        <w:rPr>
          <w:rFonts w:ascii="Times New Roman" w:eastAsia="宋体"/>
        </w:rPr>
        <w:t>钢的熔炼分析碳当量（CEV）应符合表3的规定，按式（1）计算</w:t>
      </w:r>
      <w:bookmarkEnd w:id="19"/>
      <w:r>
        <w:rPr>
          <w:rFonts w:ascii="Times New Roman" w:eastAsia="宋体"/>
        </w:rPr>
        <w:t>。</w:t>
      </w:r>
    </w:p>
    <w:p>
      <w:pPr>
        <w:pStyle w:val="23"/>
        <w:spacing w:before="156" w:beforeLines="50" w:after="156" w:afterLines="50"/>
        <w:jc w:val="right"/>
        <w:rPr>
          <w:rFonts w:ascii="Times New Roman"/>
        </w:rPr>
      </w:pPr>
      <w:bookmarkStart w:id="20" w:name="_Hlk150507543"/>
      <w:r>
        <w:rPr>
          <w:rFonts w:ascii="Times New Roman"/>
        </w:rPr>
        <w:t>CEV=C+Mn/6+（Cr+Mo+V）/5+（Cu+Ni）/15………………………（1）</w:t>
      </w:r>
      <w:bookmarkEnd w:id="20"/>
      <w:bookmarkStart w:id="21" w:name="_Hlk150507576"/>
    </w:p>
    <w:p>
      <w:pPr>
        <w:pStyle w:val="78"/>
        <w:numPr>
          <w:ilvl w:val="0"/>
          <w:numId w:val="0"/>
        </w:numPr>
        <w:spacing w:before="156" w:after="156"/>
        <w:rPr>
          <w:rFonts w:ascii="Times New Roman"/>
        </w:rPr>
      </w:pPr>
      <w:r>
        <w:rPr>
          <w:rFonts w:ascii="Times New Roman"/>
        </w:rPr>
        <w:t>表3  熔炼分析碳当量</w:t>
      </w:r>
    </w:p>
    <w:tbl>
      <w:tblPr>
        <w:tblStyle w:val="32"/>
        <w:tblW w:w="26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137"/>
        <w:gridCol w:w="1000"/>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8" w:hRule="atLeast"/>
          <w:jc w:val="center"/>
        </w:trPr>
        <w:tc>
          <w:tcPr>
            <w:tcW w:w="1139" w:type="pct"/>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牌号</w:t>
            </w:r>
          </w:p>
        </w:tc>
        <w:tc>
          <w:tcPr>
            <w:tcW w:w="1001"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质量等级</w:t>
            </w:r>
          </w:p>
        </w:tc>
        <w:tc>
          <w:tcPr>
            <w:tcW w:w="2860"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熔炼分析碳当量CEV/%，不大于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 w:hRule="atLeast"/>
          <w:jc w:val="center"/>
        </w:trPr>
        <w:tc>
          <w:tcPr>
            <w:tcW w:w="1139" w:type="pct"/>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Q600SSB</w:t>
            </w:r>
          </w:p>
        </w:tc>
        <w:tc>
          <w:tcPr>
            <w:tcW w:w="1001" w:type="pct"/>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D、E</w:t>
            </w:r>
          </w:p>
        </w:tc>
        <w:tc>
          <w:tcPr>
            <w:tcW w:w="2860" w:type="pct"/>
            <w:vAlign w:val="center"/>
          </w:tcPr>
          <w:p>
            <w:pPr>
              <w:ind w:left="-105" w:leftChars="-50" w:right="-105" w:rightChars="-50"/>
              <w:jc w:val="center"/>
              <w:rPr>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 w:hRule="atLeast"/>
          <w:jc w:val="center"/>
        </w:trPr>
        <w:tc>
          <w:tcPr>
            <w:tcW w:w="1139" w:type="pct"/>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Q700SSB</w:t>
            </w:r>
          </w:p>
        </w:tc>
        <w:tc>
          <w:tcPr>
            <w:tcW w:w="1001" w:type="pct"/>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D、E</w:t>
            </w:r>
          </w:p>
        </w:tc>
        <w:tc>
          <w:tcPr>
            <w:tcW w:w="2860" w:type="pct"/>
            <w:vAlign w:val="center"/>
          </w:tcPr>
          <w:p>
            <w:pPr>
              <w:ind w:left="-105" w:leftChars="-50" w:right="-105" w:rightChars="-50"/>
              <w:jc w:val="center"/>
              <w:rPr>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 w:hRule="atLeast"/>
          <w:jc w:val="center"/>
        </w:trPr>
        <w:tc>
          <w:tcPr>
            <w:tcW w:w="1139" w:type="pct"/>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Q800SSB</w:t>
            </w:r>
          </w:p>
        </w:tc>
        <w:tc>
          <w:tcPr>
            <w:tcW w:w="1001" w:type="pct"/>
          </w:tcPr>
          <w:p>
            <w:pPr>
              <w:ind w:left="-105" w:leftChars="-50" w:right="-105" w:rightChars="-50"/>
              <w:jc w:val="center"/>
              <w:rPr>
                <w:kern w:val="0"/>
                <w:sz w:val="18"/>
                <w:szCs w:val="18"/>
              </w:rPr>
            </w:pPr>
            <w:r>
              <w:rPr>
                <w:kern w:val="0"/>
                <w:sz w:val="18"/>
                <w:szCs w:val="18"/>
              </w:rPr>
              <w:t>D、E</w:t>
            </w:r>
          </w:p>
        </w:tc>
        <w:tc>
          <w:tcPr>
            <w:tcW w:w="2860" w:type="pct"/>
            <w:vAlign w:val="center"/>
          </w:tcPr>
          <w:p>
            <w:pPr>
              <w:ind w:left="-105" w:leftChars="-50" w:right="-105" w:rightChars="-50"/>
              <w:jc w:val="center"/>
              <w:rPr>
                <w:kern w:val="0"/>
                <w:sz w:val="18"/>
                <w:szCs w:val="18"/>
              </w:rPr>
            </w:pPr>
            <w:r>
              <w:rPr>
                <w:rFonts w:eastAsiaTheme="minorEastAsia"/>
                <w:color w:val="000000" w:themeColor="text1"/>
                <w:sz w:val="18"/>
                <w:szCs w:val="18"/>
                <w14:textFill>
                  <w14:solidFill>
                    <w14:schemeClr w14:val="tx1"/>
                  </w14:solidFill>
                </w14:textFill>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 w:hRule="atLeast"/>
          <w:jc w:val="center"/>
        </w:trPr>
        <w:tc>
          <w:tcPr>
            <w:tcW w:w="1139" w:type="pct"/>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Q900SSB</w:t>
            </w:r>
          </w:p>
        </w:tc>
        <w:tc>
          <w:tcPr>
            <w:tcW w:w="1001" w:type="pct"/>
          </w:tcPr>
          <w:p>
            <w:pPr>
              <w:ind w:left="-105" w:leftChars="-50" w:right="-105" w:rightChars="-50"/>
              <w:jc w:val="center"/>
              <w:rPr>
                <w:kern w:val="0"/>
                <w:sz w:val="18"/>
                <w:szCs w:val="18"/>
              </w:rPr>
            </w:pPr>
            <w:r>
              <w:rPr>
                <w:kern w:val="0"/>
                <w:sz w:val="18"/>
                <w:szCs w:val="18"/>
              </w:rPr>
              <w:t>D、E、F</w:t>
            </w:r>
          </w:p>
        </w:tc>
        <w:tc>
          <w:tcPr>
            <w:tcW w:w="2860" w:type="pct"/>
            <w:vAlign w:val="center"/>
          </w:tcPr>
          <w:p>
            <w:pPr>
              <w:ind w:left="-105" w:leftChars="-50" w:right="-105" w:rightChars="-50"/>
              <w:jc w:val="center"/>
              <w:rPr>
                <w:kern w:val="0"/>
                <w:sz w:val="18"/>
                <w:szCs w:val="18"/>
              </w:rPr>
            </w:pPr>
            <w:r>
              <w:rPr>
                <w:rFonts w:eastAsiaTheme="minorEastAsia"/>
                <w:color w:val="000000" w:themeColor="text1"/>
                <w:sz w:val="18"/>
                <w:szCs w:val="18"/>
                <w14:textFill>
                  <w14:solidFill>
                    <w14:schemeClr w14:val="tx1"/>
                  </w14:solidFill>
                </w14:textFill>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 w:hRule="atLeast"/>
          <w:jc w:val="center"/>
        </w:trPr>
        <w:tc>
          <w:tcPr>
            <w:tcW w:w="1139" w:type="pct"/>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Q960SSB</w:t>
            </w:r>
          </w:p>
        </w:tc>
        <w:tc>
          <w:tcPr>
            <w:tcW w:w="1001" w:type="pct"/>
          </w:tcPr>
          <w:p>
            <w:pPr>
              <w:ind w:left="-105" w:leftChars="-50" w:right="-105" w:rightChars="-50"/>
              <w:jc w:val="center"/>
              <w:rPr>
                <w:kern w:val="0"/>
                <w:sz w:val="18"/>
                <w:szCs w:val="18"/>
              </w:rPr>
            </w:pPr>
            <w:r>
              <w:rPr>
                <w:kern w:val="0"/>
                <w:sz w:val="18"/>
                <w:szCs w:val="18"/>
              </w:rPr>
              <w:t>D、E、F</w:t>
            </w:r>
          </w:p>
        </w:tc>
        <w:tc>
          <w:tcPr>
            <w:tcW w:w="2860" w:type="pct"/>
            <w:vAlign w:val="center"/>
          </w:tcPr>
          <w:p>
            <w:pPr>
              <w:ind w:left="-105" w:leftChars="-50" w:right="-105" w:rightChars="-50"/>
              <w:jc w:val="center"/>
              <w:rPr>
                <w:kern w:val="0"/>
                <w:sz w:val="18"/>
                <w:szCs w:val="18"/>
              </w:rPr>
            </w:pPr>
            <w:r>
              <w:rPr>
                <w:rFonts w:eastAsiaTheme="minorEastAsia"/>
                <w:color w:val="000000" w:themeColor="text1"/>
                <w:sz w:val="18"/>
                <w:szCs w:val="18"/>
                <w14:textFill>
                  <w14:solidFill>
                    <w14:schemeClr w14:val="tx1"/>
                  </w14:solidFill>
                </w14:textFill>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 w:hRule="atLeast"/>
          <w:jc w:val="center"/>
        </w:trPr>
        <w:tc>
          <w:tcPr>
            <w:tcW w:w="1139" w:type="pct"/>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Q1100SSB</w:t>
            </w:r>
          </w:p>
        </w:tc>
        <w:tc>
          <w:tcPr>
            <w:tcW w:w="1001" w:type="pct"/>
          </w:tcPr>
          <w:p>
            <w:pPr>
              <w:ind w:left="-105" w:leftChars="-50" w:right="-105" w:rightChars="-50"/>
              <w:jc w:val="center"/>
              <w:rPr>
                <w:kern w:val="0"/>
                <w:sz w:val="18"/>
                <w:szCs w:val="18"/>
              </w:rPr>
            </w:pPr>
            <w:r>
              <w:rPr>
                <w:kern w:val="0"/>
                <w:sz w:val="18"/>
                <w:szCs w:val="18"/>
              </w:rPr>
              <w:t>E、F</w:t>
            </w:r>
          </w:p>
        </w:tc>
        <w:tc>
          <w:tcPr>
            <w:tcW w:w="2860" w:type="pct"/>
            <w:vAlign w:val="center"/>
          </w:tcPr>
          <w:p>
            <w:pPr>
              <w:ind w:left="-105" w:leftChars="-50" w:right="-105" w:rightChars="-50"/>
              <w:jc w:val="center"/>
              <w:rPr>
                <w:kern w:val="0"/>
                <w:sz w:val="18"/>
                <w:szCs w:val="18"/>
              </w:rPr>
            </w:pPr>
            <w:r>
              <w:rPr>
                <w:rFonts w:eastAsiaTheme="minorEastAsia"/>
                <w:color w:val="000000" w:themeColor="text1"/>
                <w:sz w:val="18"/>
                <w:szCs w:val="18"/>
                <w14:textFill>
                  <w14:solidFill>
                    <w14:schemeClr w14:val="tx1"/>
                  </w14:solidFill>
                </w14:textFill>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 w:hRule="atLeast"/>
          <w:jc w:val="center"/>
        </w:trPr>
        <w:tc>
          <w:tcPr>
            <w:tcW w:w="1139" w:type="pct"/>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Q600ZT</w:t>
            </w:r>
          </w:p>
        </w:tc>
        <w:tc>
          <w:tcPr>
            <w:tcW w:w="1001" w:type="pct"/>
          </w:tcPr>
          <w:p>
            <w:pPr>
              <w:ind w:left="-105" w:leftChars="-50" w:right="-105" w:rightChars="-50"/>
              <w:jc w:val="center"/>
              <w:rPr>
                <w:kern w:val="0"/>
                <w:sz w:val="18"/>
                <w:szCs w:val="18"/>
              </w:rPr>
            </w:pPr>
            <w:r>
              <w:rPr>
                <w:kern w:val="0"/>
                <w:sz w:val="18"/>
                <w:szCs w:val="18"/>
              </w:rPr>
              <w:t>D、E、F</w:t>
            </w:r>
          </w:p>
        </w:tc>
        <w:tc>
          <w:tcPr>
            <w:tcW w:w="2860" w:type="pct"/>
            <w:vAlign w:val="center"/>
          </w:tcPr>
          <w:p>
            <w:pPr>
              <w:ind w:left="-105" w:leftChars="-50" w:right="-105" w:rightChars="-50"/>
              <w:jc w:val="center"/>
              <w:rPr>
                <w:kern w:val="0"/>
                <w:sz w:val="18"/>
                <w:szCs w:val="18"/>
              </w:rPr>
            </w:pPr>
            <w:r>
              <w:rPr>
                <w:rFonts w:eastAsiaTheme="minorEastAsia"/>
                <w:color w:val="000000" w:themeColor="text1"/>
                <w:sz w:val="18"/>
                <w:szCs w:val="18"/>
                <w14:textFill>
                  <w14:solidFill>
                    <w14:schemeClr w14:val="tx1"/>
                  </w14:solidFill>
                </w14:textFill>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 w:hRule="atLeast"/>
          <w:jc w:val="center"/>
        </w:trPr>
        <w:tc>
          <w:tcPr>
            <w:tcW w:w="1139" w:type="pct"/>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Q700ZT</w:t>
            </w:r>
          </w:p>
        </w:tc>
        <w:tc>
          <w:tcPr>
            <w:tcW w:w="1001" w:type="pct"/>
          </w:tcPr>
          <w:p>
            <w:pPr>
              <w:ind w:left="-105" w:leftChars="-50" w:right="-105" w:rightChars="-50"/>
              <w:jc w:val="center"/>
              <w:rPr>
                <w:kern w:val="0"/>
                <w:sz w:val="18"/>
                <w:szCs w:val="18"/>
              </w:rPr>
            </w:pPr>
            <w:r>
              <w:rPr>
                <w:kern w:val="0"/>
                <w:sz w:val="18"/>
                <w:szCs w:val="18"/>
              </w:rPr>
              <w:t>D、E、F</w:t>
            </w:r>
          </w:p>
        </w:tc>
        <w:tc>
          <w:tcPr>
            <w:tcW w:w="2860" w:type="pct"/>
            <w:vAlign w:val="center"/>
          </w:tcPr>
          <w:p>
            <w:pPr>
              <w:ind w:left="-105" w:leftChars="-50" w:right="-105" w:rightChars="-50"/>
              <w:jc w:val="center"/>
              <w:rPr>
                <w:kern w:val="0"/>
                <w:sz w:val="18"/>
                <w:szCs w:val="18"/>
              </w:rPr>
            </w:pPr>
            <w:r>
              <w:rPr>
                <w:rFonts w:eastAsiaTheme="minorEastAsia"/>
                <w:color w:val="000000" w:themeColor="text1"/>
                <w:sz w:val="18"/>
                <w:szCs w:val="18"/>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 w:hRule="atLeast"/>
          <w:jc w:val="center"/>
        </w:trPr>
        <w:tc>
          <w:tcPr>
            <w:tcW w:w="1139" w:type="pct"/>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Q800ZT</w:t>
            </w:r>
          </w:p>
        </w:tc>
        <w:tc>
          <w:tcPr>
            <w:tcW w:w="1001" w:type="pct"/>
          </w:tcPr>
          <w:p>
            <w:pPr>
              <w:ind w:left="-105" w:leftChars="-50" w:right="-105" w:rightChars="-50"/>
              <w:jc w:val="center"/>
              <w:rPr>
                <w:kern w:val="0"/>
                <w:sz w:val="18"/>
                <w:szCs w:val="18"/>
              </w:rPr>
            </w:pPr>
            <w:r>
              <w:rPr>
                <w:kern w:val="0"/>
                <w:sz w:val="18"/>
                <w:szCs w:val="18"/>
              </w:rPr>
              <w:t>D、E、F</w:t>
            </w:r>
          </w:p>
        </w:tc>
        <w:tc>
          <w:tcPr>
            <w:tcW w:w="2860" w:type="pct"/>
            <w:vAlign w:val="center"/>
          </w:tcPr>
          <w:p>
            <w:pPr>
              <w:ind w:left="-105" w:leftChars="-50" w:right="-105" w:rightChars="-50"/>
              <w:jc w:val="center"/>
              <w:rPr>
                <w:kern w:val="0"/>
                <w:sz w:val="18"/>
                <w:szCs w:val="18"/>
              </w:rPr>
            </w:pPr>
            <w:r>
              <w:rPr>
                <w:rFonts w:eastAsiaTheme="minorEastAsia"/>
                <w:color w:val="000000" w:themeColor="text1"/>
                <w:sz w:val="18"/>
                <w:szCs w:val="18"/>
                <w14:textFill>
                  <w14:solidFill>
                    <w14:schemeClr w14:val="tx1"/>
                  </w14:solidFill>
                </w14:textFill>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 w:hRule="atLeast"/>
          <w:jc w:val="center"/>
        </w:trPr>
        <w:tc>
          <w:tcPr>
            <w:tcW w:w="1139" w:type="pct"/>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Q900ZT</w:t>
            </w:r>
          </w:p>
        </w:tc>
        <w:tc>
          <w:tcPr>
            <w:tcW w:w="1001" w:type="pct"/>
          </w:tcPr>
          <w:p>
            <w:pPr>
              <w:ind w:left="-105" w:leftChars="-50" w:right="-105" w:rightChars="-50"/>
              <w:jc w:val="center"/>
              <w:rPr>
                <w:kern w:val="0"/>
                <w:sz w:val="18"/>
                <w:szCs w:val="18"/>
              </w:rPr>
            </w:pPr>
            <w:r>
              <w:rPr>
                <w:kern w:val="0"/>
                <w:sz w:val="18"/>
                <w:szCs w:val="18"/>
              </w:rPr>
              <w:t>D、E、F</w:t>
            </w:r>
          </w:p>
        </w:tc>
        <w:tc>
          <w:tcPr>
            <w:tcW w:w="2860" w:type="pct"/>
            <w:vAlign w:val="center"/>
          </w:tcPr>
          <w:p>
            <w:pPr>
              <w:ind w:left="-105" w:leftChars="-50" w:right="-105" w:rightChars="-50"/>
              <w:jc w:val="center"/>
              <w:rPr>
                <w:kern w:val="0"/>
                <w:sz w:val="18"/>
                <w:szCs w:val="18"/>
              </w:rPr>
            </w:pPr>
            <w:r>
              <w:rPr>
                <w:rFonts w:eastAsiaTheme="minorEastAsia"/>
                <w:color w:val="000000" w:themeColor="text1"/>
                <w:sz w:val="18"/>
                <w:szCs w:val="18"/>
                <w14:textFill>
                  <w14:solidFill>
                    <w14:schemeClr w14:val="tx1"/>
                  </w14:solidFill>
                </w14:textFill>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 w:hRule="atLeast"/>
          <w:jc w:val="center"/>
        </w:trPr>
        <w:tc>
          <w:tcPr>
            <w:tcW w:w="1139" w:type="pct"/>
            <w:shd w:val="clear" w:color="auto" w:fill="auto"/>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Q960ZT</w:t>
            </w:r>
          </w:p>
        </w:tc>
        <w:tc>
          <w:tcPr>
            <w:tcW w:w="1001" w:type="pct"/>
          </w:tcPr>
          <w:p>
            <w:pPr>
              <w:ind w:left="-105" w:leftChars="-50" w:right="-105" w:rightChars="-50"/>
              <w:jc w:val="center"/>
              <w:rPr>
                <w:kern w:val="0"/>
                <w:sz w:val="18"/>
                <w:szCs w:val="18"/>
              </w:rPr>
            </w:pPr>
            <w:r>
              <w:rPr>
                <w:kern w:val="0"/>
                <w:sz w:val="18"/>
                <w:szCs w:val="18"/>
              </w:rPr>
              <w:t>D、E、F</w:t>
            </w:r>
          </w:p>
        </w:tc>
        <w:tc>
          <w:tcPr>
            <w:tcW w:w="2860" w:type="pct"/>
            <w:vAlign w:val="center"/>
          </w:tcPr>
          <w:p>
            <w:pPr>
              <w:ind w:left="-105" w:leftChars="-50" w:right="-105" w:rightChars="-50"/>
              <w:jc w:val="center"/>
              <w:rPr>
                <w:kern w:val="0"/>
                <w:sz w:val="18"/>
                <w:szCs w:val="18"/>
              </w:rPr>
            </w:pPr>
            <w:r>
              <w:rPr>
                <w:rFonts w:eastAsiaTheme="minorEastAsia"/>
                <w:color w:val="000000" w:themeColor="text1"/>
                <w:sz w:val="18"/>
                <w:szCs w:val="18"/>
                <w14:textFill>
                  <w14:solidFill>
                    <w14:schemeClr w14:val="tx1"/>
                  </w14:solidFill>
                </w14:textFill>
              </w:rPr>
              <w:t>0.62</w:t>
            </w:r>
          </w:p>
        </w:tc>
      </w:tr>
      <w:bookmarkEnd w:id="21"/>
    </w:tbl>
    <w:p>
      <w:pPr>
        <w:pStyle w:val="51"/>
        <w:spacing w:beforeLines="0" w:afterLines="0"/>
        <w:rPr>
          <w:rFonts w:ascii="Times New Roman" w:eastAsia="宋体"/>
        </w:rPr>
      </w:pPr>
      <w:bookmarkStart w:id="22" w:name="_Hlk150507687"/>
      <w:r>
        <w:rPr>
          <w:rFonts w:ascii="Times New Roman" w:eastAsia="宋体"/>
        </w:rPr>
        <w:t>经供需双方协商并在合同中注明，钢板可进行成品分析，成品分析碳当量应符合表4规定。按式（1）计算</w:t>
      </w:r>
      <w:bookmarkEnd w:id="22"/>
      <w:r>
        <w:rPr>
          <w:rFonts w:ascii="Times New Roman" w:eastAsia="宋体"/>
        </w:rPr>
        <w:t>。</w:t>
      </w:r>
    </w:p>
    <w:p>
      <w:pPr>
        <w:pStyle w:val="51"/>
        <w:numPr>
          <w:ilvl w:val="0"/>
          <w:numId w:val="0"/>
        </w:numPr>
        <w:spacing w:beforeLines="0" w:afterLines="0"/>
        <w:jc w:val="center"/>
        <w:rPr>
          <w:rFonts w:ascii="Times New Roman"/>
        </w:rPr>
      </w:pPr>
      <w:bookmarkStart w:id="23" w:name="_Hlk150507723"/>
      <w:r>
        <w:rPr>
          <w:rFonts w:ascii="Times New Roman"/>
          <w:highlight w:val="yellow"/>
        </w:rPr>
        <w:t>表4  成品分析碳当量</w:t>
      </w:r>
    </w:p>
    <w:tbl>
      <w:tblPr>
        <w:tblStyle w:val="32"/>
        <w:tblW w:w="26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128"/>
        <w:gridCol w:w="993"/>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 w:hRule="atLeast"/>
          <w:jc w:val="center"/>
        </w:trPr>
        <w:tc>
          <w:tcPr>
            <w:tcW w:w="1138" w:type="pct"/>
            <w:shd w:val="clear" w:color="auto" w:fill="auto"/>
            <w:vAlign w:val="center"/>
          </w:tcPr>
          <w:p>
            <w:pPr>
              <w:jc w:val="center"/>
              <w:rPr>
                <w:color w:val="FF0000"/>
                <w:sz w:val="18"/>
                <w:szCs w:val="18"/>
              </w:rPr>
            </w:pPr>
            <w:r>
              <w:rPr>
                <w:color w:val="FF0000"/>
                <w:sz w:val="18"/>
                <w:szCs w:val="18"/>
              </w:rPr>
              <w:t>牌号</w:t>
            </w:r>
          </w:p>
        </w:tc>
        <w:tc>
          <w:tcPr>
            <w:tcW w:w="1001" w:type="pct"/>
            <w:vAlign w:val="center"/>
          </w:tcPr>
          <w:p>
            <w:pPr>
              <w:jc w:val="center"/>
              <w:rPr>
                <w:color w:val="FF0000"/>
                <w:sz w:val="18"/>
                <w:szCs w:val="18"/>
              </w:rPr>
            </w:pPr>
            <w:r>
              <w:rPr>
                <w:color w:val="FF0000"/>
                <w:sz w:val="18"/>
                <w:szCs w:val="18"/>
              </w:rPr>
              <w:t>质量等级</w:t>
            </w:r>
          </w:p>
        </w:tc>
        <w:tc>
          <w:tcPr>
            <w:tcW w:w="2860" w:type="pct"/>
            <w:vAlign w:val="center"/>
          </w:tcPr>
          <w:p>
            <w:pPr>
              <w:jc w:val="center"/>
              <w:rPr>
                <w:color w:val="FF0000"/>
                <w:sz w:val="18"/>
                <w:szCs w:val="18"/>
              </w:rPr>
            </w:pPr>
            <w:r>
              <w:rPr>
                <w:color w:val="FF0000"/>
                <w:sz w:val="18"/>
                <w:szCs w:val="18"/>
              </w:rPr>
              <w:t>熔炼分析碳当量CEV/%，不大于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 w:hRule="atLeast"/>
          <w:jc w:val="center"/>
        </w:trPr>
        <w:tc>
          <w:tcPr>
            <w:tcW w:w="1138" w:type="pct"/>
            <w:shd w:val="clear" w:color="auto" w:fill="auto"/>
            <w:vAlign w:val="center"/>
          </w:tcPr>
          <w:p>
            <w:pPr>
              <w:ind w:left="-105" w:leftChars="-50" w:right="-105" w:rightChars="-50"/>
              <w:jc w:val="center"/>
              <w:rPr>
                <w:color w:val="FF0000"/>
                <w:sz w:val="18"/>
                <w:szCs w:val="18"/>
              </w:rPr>
            </w:pPr>
            <w:r>
              <w:rPr>
                <w:color w:val="FF0000"/>
                <w:sz w:val="18"/>
                <w:szCs w:val="18"/>
              </w:rPr>
              <w:t>Q600SSB</w:t>
            </w:r>
          </w:p>
        </w:tc>
        <w:tc>
          <w:tcPr>
            <w:tcW w:w="1001" w:type="pct"/>
          </w:tcPr>
          <w:p>
            <w:pPr>
              <w:ind w:left="-105" w:leftChars="-50" w:right="-105" w:rightChars="-50"/>
              <w:jc w:val="center"/>
              <w:rPr>
                <w:color w:val="FF0000"/>
                <w:sz w:val="18"/>
                <w:szCs w:val="18"/>
              </w:rPr>
            </w:pPr>
            <w:r>
              <w:rPr>
                <w:color w:val="FF0000"/>
                <w:sz w:val="18"/>
                <w:szCs w:val="18"/>
              </w:rPr>
              <w:t>D、E</w:t>
            </w:r>
          </w:p>
        </w:tc>
        <w:tc>
          <w:tcPr>
            <w:tcW w:w="2860" w:type="pct"/>
            <w:vAlign w:val="center"/>
          </w:tcPr>
          <w:p>
            <w:pPr>
              <w:ind w:left="-105" w:leftChars="-50" w:right="-105" w:rightChars="-50"/>
              <w:jc w:val="center"/>
              <w:rPr>
                <w:color w:val="FF0000"/>
                <w:sz w:val="18"/>
                <w:szCs w:val="18"/>
              </w:rPr>
            </w:pPr>
            <w:r>
              <w:rPr>
                <w:rFonts w:eastAsiaTheme="minorEastAsia"/>
                <w:color w:val="FF0000"/>
                <w:sz w:val="18"/>
                <w:szCs w:val="18"/>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 w:hRule="atLeast"/>
          <w:jc w:val="center"/>
        </w:trPr>
        <w:tc>
          <w:tcPr>
            <w:tcW w:w="1138" w:type="pct"/>
            <w:shd w:val="clear" w:color="auto" w:fill="auto"/>
            <w:vAlign w:val="center"/>
          </w:tcPr>
          <w:p>
            <w:pPr>
              <w:ind w:left="-105" w:leftChars="-50" w:right="-105" w:rightChars="-50"/>
              <w:jc w:val="center"/>
              <w:rPr>
                <w:color w:val="FF0000"/>
                <w:sz w:val="18"/>
                <w:szCs w:val="18"/>
              </w:rPr>
            </w:pPr>
            <w:r>
              <w:rPr>
                <w:color w:val="FF0000"/>
                <w:sz w:val="18"/>
                <w:szCs w:val="18"/>
              </w:rPr>
              <w:t>Q700SSB</w:t>
            </w:r>
          </w:p>
        </w:tc>
        <w:tc>
          <w:tcPr>
            <w:tcW w:w="1001" w:type="pct"/>
          </w:tcPr>
          <w:p>
            <w:pPr>
              <w:ind w:left="-105" w:leftChars="-50" w:right="-105" w:rightChars="-50"/>
              <w:jc w:val="center"/>
              <w:rPr>
                <w:color w:val="FF0000"/>
                <w:sz w:val="18"/>
                <w:szCs w:val="18"/>
              </w:rPr>
            </w:pPr>
            <w:r>
              <w:rPr>
                <w:color w:val="FF0000"/>
                <w:sz w:val="18"/>
                <w:szCs w:val="18"/>
              </w:rPr>
              <w:t>D、E</w:t>
            </w:r>
          </w:p>
        </w:tc>
        <w:tc>
          <w:tcPr>
            <w:tcW w:w="2860" w:type="pct"/>
            <w:vAlign w:val="center"/>
          </w:tcPr>
          <w:p>
            <w:pPr>
              <w:ind w:left="-105" w:leftChars="-50" w:right="-105" w:rightChars="-50"/>
              <w:jc w:val="center"/>
              <w:rPr>
                <w:color w:val="FF0000"/>
                <w:sz w:val="18"/>
                <w:szCs w:val="18"/>
              </w:rPr>
            </w:pPr>
            <w:r>
              <w:rPr>
                <w:rFonts w:eastAsiaTheme="minorEastAsia"/>
                <w:color w:val="FF0000"/>
                <w:sz w:val="18"/>
                <w:szCs w:val="18"/>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 w:hRule="atLeast"/>
          <w:jc w:val="center"/>
        </w:trPr>
        <w:tc>
          <w:tcPr>
            <w:tcW w:w="1138" w:type="pct"/>
            <w:shd w:val="clear" w:color="auto" w:fill="auto"/>
            <w:vAlign w:val="center"/>
          </w:tcPr>
          <w:p>
            <w:pPr>
              <w:ind w:left="-105" w:leftChars="-50" w:right="-105" w:rightChars="-50"/>
              <w:jc w:val="center"/>
              <w:rPr>
                <w:color w:val="FF0000"/>
                <w:sz w:val="18"/>
                <w:szCs w:val="18"/>
              </w:rPr>
            </w:pPr>
            <w:r>
              <w:rPr>
                <w:color w:val="FF0000"/>
                <w:sz w:val="18"/>
                <w:szCs w:val="18"/>
              </w:rPr>
              <w:t>Q800SSB</w:t>
            </w:r>
          </w:p>
        </w:tc>
        <w:tc>
          <w:tcPr>
            <w:tcW w:w="1001" w:type="pct"/>
          </w:tcPr>
          <w:p>
            <w:pPr>
              <w:ind w:left="-105" w:leftChars="-50" w:right="-105" w:rightChars="-50"/>
              <w:jc w:val="center"/>
              <w:rPr>
                <w:color w:val="FF0000"/>
                <w:kern w:val="0"/>
                <w:sz w:val="18"/>
                <w:szCs w:val="18"/>
              </w:rPr>
            </w:pPr>
            <w:r>
              <w:rPr>
                <w:color w:val="FF0000"/>
                <w:kern w:val="0"/>
                <w:sz w:val="18"/>
                <w:szCs w:val="18"/>
              </w:rPr>
              <w:t>D、E</w:t>
            </w:r>
          </w:p>
        </w:tc>
        <w:tc>
          <w:tcPr>
            <w:tcW w:w="2860" w:type="pct"/>
            <w:vAlign w:val="center"/>
          </w:tcPr>
          <w:p>
            <w:pPr>
              <w:ind w:left="-105" w:leftChars="-50" w:right="-105" w:rightChars="-50"/>
              <w:jc w:val="center"/>
              <w:rPr>
                <w:color w:val="FF0000"/>
                <w:kern w:val="0"/>
                <w:sz w:val="18"/>
                <w:szCs w:val="18"/>
              </w:rPr>
            </w:pPr>
            <w:r>
              <w:rPr>
                <w:rFonts w:eastAsiaTheme="minorEastAsia"/>
                <w:color w:val="FF0000"/>
                <w:sz w:val="18"/>
                <w:szCs w:val="18"/>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 w:hRule="atLeast"/>
          <w:jc w:val="center"/>
        </w:trPr>
        <w:tc>
          <w:tcPr>
            <w:tcW w:w="1138" w:type="pct"/>
            <w:shd w:val="clear" w:color="auto" w:fill="auto"/>
            <w:vAlign w:val="center"/>
          </w:tcPr>
          <w:p>
            <w:pPr>
              <w:ind w:left="-105" w:leftChars="-50" w:right="-105" w:rightChars="-50"/>
              <w:jc w:val="center"/>
              <w:rPr>
                <w:color w:val="FF0000"/>
                <w:sz w:val="18"/>
                <w:szCs w:val="18"/>
              </w:rPr>
            </w:pPr>
            <w:r>
              <w:rPr>
                <w:color w:val="FF0000"/>
                <w:sz w:val="18"/>
                <w:szCs w:val="18"/>
              </w:rPr>
              <w:t>Q900SSB</w:t>
            </w:r>
          </w:p>
        </w:tc>
        <w:tc>
          <w:tcPr>
            <w:tcW w:w="1001" w:type="pct"/>
          </w:tcPr>
          <w:p>
            <w:pPr>
              <w:ind w:left="-105" w:leftChars="-50" w:right="-105" w:rightChars="-50"/>
              <w:jc w:val="center"/>
              <w:rPr>
                <w:color w:val="FF0000"/>
                <w:kern w:val="0"/>
                <w:sz w:val="18"/>
                <w:szCs w:val="18"/>
              </w:rPr>
            </w:pPr>
            <w:r>
              <w:rPr>
                <w:color w:val="FF0000"/>
                <w:kern w:val="0"/>
                <w:sz w:val="18"/>
                <w:szCs w:val="18"/>
              </w:rPr>
              <w:t>D、E、F</w:t>
            </w:r>
          </w:p>
        </w:tc>
        <w:tc>
          <w:tcPr>
            <w:tcW w:w="2860" w:type="pct"/>
            <w:vAlign w:val="center"/>
          </w:tcPr>
          <w:p>
            <w:pPr>
              <w:ind w:left="-105" w:leftChars="-50" w:right="-105" w:rightChars="-50"/>
              <w:jc w:val="center"/>
              <w:rPr>
                <w:color w:val="FF0000"/>
                <w:kern w:val="0"/>
                <w:sz w:val="18"/>
                <w:szCs w:val="18"/>
              </w:rPr>
            </w:pPr>
            <w:r>
              <w:rPr>
                <w:rFonts w:eastAsiaTheme="minorEastAsia"/>
                <w:color w:val="FF0000"/>
                <w:sz w:val="18"/>
                <w:szCs w:val="18"/>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 w:hRule="atLeast"/>
          <w:jc w:val="center"/>
        </w:trPr>
        <w:tc>
          <w:tcPr>
            <w:tcW w:w="1138" w:type="pct"/>
            <w:shd w:val="clear" w:color="auto" w:fill="auto"/>
            <w:vAlign w:val="center"/>
          </w:tcPr>
          <w:p>
            <w:pPr>
              <w:ind w:left="-105" w:leftChars="-50" w:right="-105" w:rightChars="-50"/>
              <w:jc w:val="center"/>
              <w:rPr>
                <w:color w:val="FF0000"/>
                <w:sz w:val="18"/>
                <w:szCs w:val="18"/>
              </w:rPr>
            </w:pPr>
            <w:r>
              <w:rPr>
                <w:color w:val="FF0000"/>
                <w:sz w:val="18"/>
                <w:szCs w:val="18"/>
              </w:rPr>
              <w:t>Q960SSB</w:t>
            </w:r>
          </w:p>
        </w:tc>
        <w:tc>
          <w:tcPr>
            <w:tcW w:w="1001" w:type="pct"/>
          </w:tcPr>
          <w:p>
            <w:pPr>
              <w:ind w:left="-105" w:leftChars="-50" w:right="-105" w:rightChars="-50"/>
              <w:jc w:val="center"/>
              <w:rPr>
                <w:color w:val="FF0000"/>
                <w:kern w:val="0"/>
                <w:sz w:val="18"/>
                <w:szCs w:val="18"/>
              </w:rPr>
            </w:pPr>
            <w:r>
              <w:rPr>
                <w:color w:val="FF0000"/>
                <w:kern w:val="0"/>
                <w:sz w:val="18"/>
                <w:szCs w:val="18"/>
              </w:rPr>
              <w:t>D、E、F</w:t>
            </w:r>
          </w:p>
        </w:tc>
        <w:tc>
          <w:tcPr>
            <w:tcW w:w="2860" w:type="pct"/>
            <w:vAlign w:val="center"/>
          </w:tcPr>
          <w:p>
            <w:pPr>
              <w:ind w:left="-105" w:leftChars="-50" w:right="-105" w:rightChars="-50"/>
              <w:jc w:val="center"/>
              <w:rPr>
                <w:color w:val="FF0000"/>
                <w:kern w:val="0"/>
                <w:sz w:val="18"/>
                <w:szCs w:val="18"/>
              </w:rPr>
            </w:pPr>
            <w:r>
              <w:rPr>
                <w:rFonts w:eastAsiaTheme="minorEastAsia"/>
                <w:color w:val="FF0000"/>
                <w:sz w:val="18"/>
                <w:szCs w:val="18"/>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 w:hRule="atLeast"/>
          <w:jc w:val="center"/>
        </w:trPr>
        <w:tc>
          <w:tcPr>
            <w:tcW w:w="1138" w:type="pct"/>
            <w:shd w:val="clear" w:color="auto" w:fill="auto"/>
            <w:vAlign w:val="center"/>
          </w:tcPr>
          <w:p>
            <w:pPr>
              <w:ind w:left="-105" w:leftChars="-50" w:right="-105" w:rightChars="-50"/>
              <w:jc w:val="center"/>
              <w:rPr>
                <w:color w:val="FF0000"/>
                <w:sz w:val="18"/>
                <w:szCs w:val="18"/>
              </w:rPr>
            </w:pPr>
            <w:r>
              <w:rPr>
                <w:color w:val="FF0000"/>
                <w:sz w:val="18"/>
                <w:szCs w:val="18"/>
              </w:rPr>
              <w:t>Q1100SSB</w:t>
            </w:r>
          </w:p>
        </w:tc>
        <w:tc>
          <w:tcPr>
            <w:tcW w:w="1001" w:type="pct"/>
          </w:tcPr>
          <w:p>
            <w:pPr>
              <w:ind w:left="-105" w:leftChars="-50" w:right="-105" w:rightChars="-50"/>
              <w:jc w:val="center"/>
              <w:rPr>
                <w:color w:val="FF0000"/>
                <w:kern w:val="0"/>
                <w:sz w:val="18"/>
                <w:szCs w:val="18"/>
              </w:rPr>
            </w:pPr>
            <w:r>
              <w:rPr>
                <w:color w:val="FF0000"/>
                <w:kern w:val="0"/>
                <w:sz w:val="18"/>
                <w:szCs w:val="18"/>
              </w:rPr>
              <w:t>E、F</w:t>
            </w:r>
          </w:p>
        </w:tc>
        <w:tc>
          <w:tcPr>
            <w:tcW w:w="2860" w:type="pct"/>
            <w:vAlign w:val="center"/>
          </w:tcPr>
          <w:p>
            <w:pPr>
              <w:ind w:left="-105" w:leftChars="-50" w:right="-105" w:rightChars="-50"/>
              <w:jc w:val="center"/>
              <w:rPr>
                <w:color w:val="FF0000"/>
                <w:kern w:val="0"/>
                <w:sz w:val="18"/>
                <w:szCs w:val="18"/>
              </w:rPr>
            </w:pPr>
            <w:r>
              <w:rPr>
                <w:rFonts w:eastAsiaTheme="minorEastAsia"/>
                <w:color w:val="FF0000"/>
                <w:sz w:val="18"/>
                <w:szCs w:val="18"/>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 w:hRule="atLeast"/>
          <w:jc w:val="center"/>
        </w:trPr>
        <w:tc>
          <w:tcPr>
            <w:tcW w:w="1138" w:type="pct"/>
            <w:shd w:val="clear" w:color="auto" w:fill="auto"/>
            <w:vAlign w:val="center"/>
          </w:tcPr>
          <w:p>
            <w:pPr>
              <w:ind w:left="-105" w:leftChars="-50" w:right="-105" w:rightChars="-50"/>
              <w:jc w:val="center"/>
              <w:rPr>
                <w:color w:val="FF0000"/>
                <w:sz w:val="18"/>
                <w:szCs w:val="18"/>
              </w:rPr>
            </w:pPr>
            <w:r>
              <w:rPr>
                <w:color w:val="FF0000"/>
                <w:sz w:val="18"/>
                <w:szCs w:val="18"/>
              </w:rPr>
              <w:t>Q600ZT</w:t>
            </w:r>
          </w:p>
        </w:tc>
        <w:tc>
          <w:tcPr>
            <w:tcW w:w="1001" w:type="pct"/>
          </w:tcPr>
          <w:p>
            <w:pPr>
              <w:ind w:left="-105" w:leftChars="-50" w:right="-105" w:rightChars="-50"/>
              <w:jc w:val="center"/>
              <w:rPr>
                <w:color w:val="FF0000"/>
                <w:kern w:val="0"/>
                <w:sz w:val="18"/>
                <w:szCs w:val="18"/>
              </w:rPr>
            </w:pPr>
            <w:r>
              <w:rPr>
                <w:color w:val="FF0000"/>
                <w:kern w:val="0"/>
                <w:sz w:val="18"/>
                <w:szCs w:val="18"/>
              </w:rPr>
              <w:t>D、E、F</w:t>
            </w:r>
          </w:p>
        </w:tc>
        <w:tc>
          <w:tcPr>
            <w:tcW w:w="2860" w:type="pct"/>
            <w:vAlign w:val="center"/>
          </w:tcPr>
          <w:p>
            <w:pPr>
              <w:ind w:left="-105" w:leftChars="-50" w:right="-105" w:rightChars="-50"/>
              <w:jc w:val="center"/>
              <w:rPr>
                <w:color w:val="FF0000"/>
                <w:kern w:val="0"/>
                <w:sz w:val="18"/>
                <w:szCs w:val="18"/>
              </w:rPr>
            </w:pPr>
            <w:r>
              <w:rPr>
                <w:rFonts w:eastAsiaTheme="minorEastAsia"/>
                <w:color w:val="FF0000"/>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 w:hRule="atLeast"/>
          <w:jc w:val="center"/>
        </w:trPr>
        <w:tc>
          <w:tcPr>
            <w:tcW w:w="1138" w:type="pct"/>
            <w:shd w:val="clear" w:color="auto" w:fill="auto"/>
            <w:vAlign w:val="center"/>
          </w:tcPr>
          <w:p>
            <w:pPr>
              <w:ind w:left="-105" w:leftChars="-50" w:right="-105" w:rightChars="-50"/>
              <w:jc w:val="center"/>
              <w:rPr>
                <w:color w:val="FF0000"/>
                <w:sz w:val="18"/>
                <w:szCs w:val="18"/>
              </w:rPr>
            </w:pPr>
            <w:r>
              <w:rPr>
                <w:color w:val="FF0000"/>
                <w:sz w:val="18"/>
                <w:szCs w:val="18"/>
              </w:rPr>
              <w:t>Q700ZT</w:t>
            </w:r>
          </w:p>
        </w:tc>
        <w:tc>
          <w:tcPr>
            <w:tcW w:w="1001" w:type="pct"/>
          </w:tcPr>
          <w:p>
            <w:pPr>
              <w:ind w:left="-105" w:leftChars="-50" w:right="-105" w:rightChars="-50"/>
              <w:jc w:val="center"/>
              <w:rPr>
                <w:color w:val="FF0000"/>
                <w:kern w:val="0"/>
                <w:sz w:val="18"/>
                <w:szCs w:val="18"/>
              </w:rPr>
            </w:pPr>
            <w:r>
              <w:rPr>
                <w:color w:val="FF0000"/>
                <w:kern w:val="0"/>
                <w:sz w:val="18"/>
                <w:szCs w:val="18"/>
              </w:rPr>
              <w:t>D、E、F</w:t>
            </w:r>
          </w:p>
        </w:tc>
        <w:tc>
          <w:tcPr>
            <w:tcW w:w="2860" w:type="pct"/>
            <w:vAlign w:val="center"/>
          </w:tcPr>
          <w:p>
            <w:pPr>
              <w:ind w:left="-105" w:leftChars="-50" w:right="-105" w:rightChars="-50"/>
              <w:jc w:val="center"/>
              <w:rPr>
                <w:color w:val="FF0000"/>
                <w:kern w:val="0"/>
                <w:sz w:val="18"/>
                <w:szCs w:val="18"/>
              </w:rPr>
            </w:pPr>
            <w:r>
              <w:rPr>
                <w:rFonts w:eastAsiaTheme="minorEastAsia"/>
                <w:color w:val="FF0000"/>
                <w:sz w:val="18"/>
                <w:szCs w:val="18"/>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 w:hRule="atLeast"/>
          <w:jc w:val="center"/>
        </w:trPr>
        <w:tc>
          <w:tcPr>
            <w:tcW w:w="1138" w:type="pct"/>
            <w:shd w:val="clear" w:color="auto" w:fill="auto"/>
            <w:vAlign w:val="center"/>
          </w:tcPr>
          <w:p>
            <w:pPr>
              <w:ind w:left="-105" w:leftChars="-50" w:right="-105" w:rightChars="-50"/>
              <w:jc w:val="center"/>
              <w:rPr>
                <w:color w:val="FF0000"/>
                <w:sz w:val="18"/>
                <w:szCs w:val="18"/>
              </w:rPr>
            </w:pPr>
            <w:r>
              <w:rPr>
                <w:color w:val="FF0000"/>
                <w:sz w:val="18"/>
                <w:szCs w:val="18"/>
              </w:rPr>
              <w:t>Q800ZT</w:t>
            </w:r>
          </w:p>
        </w:tc>
        <w:tc>
          <w:tcPr>
            <w:tcW w:w="1001" w:type="pct"/>
          </w:tcPr>
          <w:p>
            <w:pPr>
              <w:ind w:left="-105" w:leftChars="-50" w:right="-105" w:rightChars="-50"/>
              <w:jc w:val="center"/>
              <w:rPr>
                <w:color w:val="FF0000"/>
                <w:kern w:val="0"/>
                <w:sz w:val="18"/>
                <w:szCs w:val="18"/>
              </w:rPr>
            </w:pPr>
            <w:r>
              <w:rPr>
                <w:color w:val="FF0000"/>
                <w:kern w:val="0"/>
                <w:sz w:val="18"/>
                <w:szCs w:val="18"/>
              </w:rPr>
              <w:t>D、E、F</w:t>
            </w:r>
          </w:p>
        </w:tc>
        <w:tc>
          <w:tcPr>
            <w:tcW w:w="2860" w:type="pct"/>
            <w:vAlign w:val="center"/>
          </w:tcPr>
          <w:p>
            <w:pPr>
              <w:ind w:left="-105" w:leftChars="-50" w:right="-105" w:rightChars="-50"/>
              <w:jc w:val="center"/>
              <w:rPr>
                <w:color w:val="FF0000"/>
                <w:kern w:val="0"/>
                <w:sz w:val="18"/>
                <w:szCs w:val="18"/>
              </w:rPr>
            </w:pPr>
            <w:r>
              <w:rPr>
                <w:rFonts w:eastAsiaTheme="minorEastAsia"/>
                <w:color w:val="FF0000"/>
                <w:sz w:val="18"/>
                <w:szCs w:val="18"/>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 w:hRule="atLeast"/>
          <w:jc w:val="center"/>
        </w:trPr>
        <w:tc>
          <w:tcPr>
            <w:tcW w:w="1138" w:type="pct"/>
            <w:shd w:val="clear" w:color="auto" w:fill="auto"/>
            <w:vAlign w:val="center"/>
          </w:tcPr>
          <w:p>
            <w:pPr>
              <w:ind w:left="-105" w:leftChars="-50" w:right="-105" w:rightChars="-50"/>
              <w:jc w:val="center"/>
              <w:rPr>
                <w:color w:val="FF0000"/>
                <w:sz w:val="18"/>
                <w:szCs w:val="18"/>
              </w:rPr>
            </w:pPr>
            <w:r>
              <w:rPr>
                <w:color w:val="FF0000"/>
                <w:sz w:val="18"/>
                <w:szCs w:val="18"/>
              </w:rPr>
              <w:t>Q900ZT</w:t>
            </w:r>
          </w:p>
        </w:tc>
        <w:tc>
          <w:tcPr>
            <w:tcW w:w="1001" w:type="pct"/>
          </w:tcPr>
          <w:p>
            <w:pPr>
              <w:ind w:left="-105" w:leftChars="-50" w:right="-105" w:rightChars="-50"/>
              <w:jc w:val="center"/>
              <w:rPr>
                <w:color w:val="FF0000"/>
                <w:kern w:val="0"/>
                <w:sz w:val="18"/>
                <w:szCs w:val="18"/>
              </w:rPr>
            </w:pPr>
            <w:r>
              <w:rPr>
                <w:color w:val="FF0000"/>
                <w:kern w:val="0"/>
                <w:sz w:val="18"/>
                <w:szCs w:val="18"/>
              </w:rPr>
              <w:t>D、E、F</w:t>
            </w:r>
          </w:p>
        </w:tc>
        <w:tc>
          <w:tcPr>
            <w:tcW w:w="2860" w:type="pct"/>
            <w:vAlign w:val="center"/>
          </w:tcPr>
          <w:p>
            <w:pPr>
              <w:ind w:left="-105" w:leftChars="-50" w:right="-105" w:rightChars="-50"/>
              <w:jc w:val="center"/>
              <w:rPr>
                <w:color w:val="FF0000"/>
                <w:kern w:val="0"/>
                <w:sz w:val="18"/>
                <w:szCs w:val="18"/>
              </w:rPr>
            </w:pPr>
            <w:r>
              <w:rPr>
                <w:rFonts w:eastAsiaTheme="minorEastAsia"/>
                <w:color w:val="FF0000"/>
                <w:sz w:val="18"/>
                <w:szCs w:val="18"/>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 w:hRule="atLeast"/>
          <w:jc w:val="center"/>
        </w:trPr>
        <w:tc>
          <w:tcPr>
            <w:tcW w:w="1138" w:type="pct"/>
            <w:shd w:val="clear" w:color="auto" w:fill="auto"/>
            <w:vAlign w:val="center"/>
          </w:tcPr>
          <w:p>
            <w:pPr>
              <w:ind w:left="-105" w:leftChars="-50" w:right="-105" w:rightChars="-50"/>
              <w:jc w:val="center"/>
              <w:rPr>
                <w:color w:val="FF0000"/>
                <w:sz w:val="18"/>
                <w:szCs w:val="18"/>
              </w:rPr>
            </w:pPr>
            <w:r>
              <w:rPr>
                <w:color w:val="FF0000"/>
                <w:sz w:val="18"/>
                <w:szCs w:val="18"/>
              </w:rPr>
              <w:t>Q960ZT</w:t>
            </w:r>
          </w:p>
        </w:tc>
        <w:tc>
          <w:tcPr>
            <w:tcW w:w="1001" w:type="pct"/>
          </w:tcPr>
          <w:p>
            <w:pPr>
              <w:ind w:left="-105" w:leftChars="-50" w:right="-105" w:rightChars="-50"/>
              <w:jc w:val="center"/>
              <w:rPr>
                <w:color w:val="FF0000"/>
                <w:kern w:val="0"/>
                <w:sz w:val="18"/>
                <w:szCs w:val="18"/>
              </w:rPr>
            </w:pPr>
            <w:r>
              <w:rPr>
                <w:color w:val="FF0000"/>
                <w:kern w:val="0"/>
                <w:sz w:val="18"/>
                <w:szCs w:val="18"/>
              </w:rPr>
              <w:t>D、E、F</w:t>
            </w:r>
          </w:p>
        </w:tc>
        <w:tc>
          <w:tcPr>
            <w:tcW w:w="2860" w:type="pct"/>
            <w:vAlign w:val="center"/>
          </w:tcPr>
          <w:p>
            <w:pPr>
              <w:ind w:left="-105" w:leftChars="-50" w:right="-105" w:rightChars="-50"/>
              <w:jc w:val="center"/>
              <w:rPr>
                <w:color w:val="FF0000"/>
                <w:kern w:val="0"/>
                <w:sz w:val="18"/>
                <w:szCs w:val="18"/>
              </w:rPr>
            </w:pPr>
            <w:r>
              <w:rPr>
                <w:rFonts w:eastAsiaTheme="minorEastAsia"/>
                <w:color w:val="FF0000"/>
                <w:sz w:val="18"/>
                <w:szCs w:val="18"/>
              </w:rPr>
              <w:t>0.62</w:t>
            </w:r>
          </w:p>
        </w:tc>
      </w:tr>
      <w:bookmarkEnd w:id="23"/>
    </w:tbl>
    <w:p>
      <w:pPr>
        <w:pStyle w:val="48"/>
        <w:spacing w:before="156" w:after="156"/>
        <w:ind w:left="0"/>
        <w:rPr>
          <w:rFonts w:ascii="Times New Roman"/>
        </w:rPr>
      </w:pPr>
      <w:bookmarkStart w:id="24" w:name="_Hlk150508349"/>
      <w:r>
        <w:rPr>
          <w:rFonts w:ascii="Times New Roman"/>
        </w:rPr>
        <w:t>成品化学成分的允许偏差</w:t>
      </w:r>
    </w:p>
    <w:bookmarkEnd w:id="24"/>
    <w:p>
      <w:pPr>
        <w:pStyle w:val="23"/>
        <w:rPr>
          <w:rFonts w:ascii="Times New Roman"/>
        </w:rPr>
      </w:pPr>
      <w:bookmarkStart w:id="25" w:name="_Hlk150508360"/>
      <w:r>
        <w:rPr>
          <w:rFonts w:ascii="Times New Roman"/>
        </w:rPr>
        <w:t>Ni、B、Mo的成品化学成分允许偏差应符合表5的规定，其他成品化学成分的允许偏差应符合GB/T 222-2006中表1的规定</w:t>
      </w:r>
      <w:bookmarkEnd w:id="25"/>
      <w:r>
        <w:rPr>
          <w:rFonts w:ascii="Times New Roman"/>
        </w:rPr>
        <w:t>。</w:t>
      </w:r>
    </w:p>
    <w:p>
      <w:pPr>
        <w:pStyle w:val="51"/>
        <w:numPr>
          <w:ilvl w:val="0"/>
          <w:numId w:val="0"/>
        </w:numPr>
        <w:spacing w:beforeLines="0" w:afterLines="0"/>
        <w:jc w:val="center"/>
        <w:rPr>
          <w:rFonts w:ascii="Times New Roman"/>
        </w:rPr>
      </w:pPr>
      <w:bookmarkStart w:id="26" w:name="_Hlk150508380"/>
      <w:r>
        <w:rPr>
          <w:rFonts w:ascii="Times New Roman"/>
        </w:rPr>
        <w:t>表5  成品化学成分允许偏差</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36"/>
        <w:gridCol w:w="4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36" w:type="dxa"/>
            <w:vMerge w:val="restart"/>
            <w:vAlign w:val="center"/>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元素</w:t>
            </w:r>
          </w:p>
        </w:tc>
        <w:tc>
          <w:tcPr>
            <w:tcW w:w="4672" w:type="dxa"/>
            <w:vAlign w:val="center"/>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允许偏差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36" w:type="dxa"/>
            <w:vMerge w:val="continue"/>
            <w:vAlign w:val="center"/>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p>
        </w:tc>
        <w:tc>
          <w:tcPr>
            <w:tcW w:w="4672" w:type="dxa"/>
            <w:vAlign w:val="center"/>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上偏差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36" w:type="dxa"/>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Ni</w:t>
            </w:r>
          </w:p>
        </w:tc>
        <w:tc>
          <w:tcPr>
            <w:tcW w:w="4672" w:type="dxa"/>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36" w:type="dxa"/>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B</w:t>
            </w:r>
          </w:p>
        </w:tc>
        <w:tc>
          <w:tcPr>
            <w:tcW w:w="4672" w:type="dxa"/>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0.0005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36" w:type="dxa"/>
            <w:vAlign w:val="center"/>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Mo</w:t>
            </w:r>
          </w:p>
        </w:tc>
        <w:tc>
          <w:tcPr>
            <w:tcW w:w="4672" w:type="dxa"/>
            <w:vAlign w:val="center"/>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0.02</w:t>
            </w:r>
          </w:p>
        </w:tc>
      </w:tr>
      <w:bookmarkEnd w:id="26"/>
    </w:tbl>
    <w:p>
      <w:pPr>
        <w:pStyle w:val="48"/>
        <w:spacing w:before="156" w:after="156"/>
        <w:ind w:left="0"/>
        <w:rPr>
          <w:rFonts w:ascii="Times New Roman"/>
        </w:rPr>
      </w:pPr>
      <w:bookmarkStart w:id="57" w:name="_GoBack"/>
      <w:bookmarkEnd w:id="57"/>
      <w:r>
        <w:rPr>
          <w:rFonts w:ascii="Times New Roman"/>
        </w:rPr>
        <w:t>冶炼方法</w:t>
      </w:r>
    </w:p>
    <w:p>
      <w:pPr>
        <w:pStyle w:val="23"/>
        <w:spacing w:before="156" w:beforeLines="50" w:after="156" w:afterLines="50"/>
        <w:rPr>
          <w:rFonts w:ascii="Times New Roman"/>
        </w:rPr>
      </w:pPr>
      <w:bookmarkStart w:id="27" w:name="_Hlk150508445"/>
      <w:r>
        <w:rPr>
          <w:rFonts w:ascii="Times New Roman"/>
        </w:rPr>
        <w:t>钢板由转炉或电炉冶炼，并应经过真空处理</w:t>
      </w:r>
      <w:bookmarkEnd w:id="27"/>
      <w:r>
        <w:rPr>
          <w:rFonts w:ascii="Times New Roman"/>
        </w:rPr>
        <w:t>。</w:t>
      </w:r>
    </w:p>
    <w:p>
      <w:pPr>
        <w:pStyle w:val="48"/>
        <w:spacing w:before="156" w:after="156"/>
        <w:ind w:left="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交货状态</w:t>
      </w:r>
    </w:p>
    <w:p>
      <w:pPr>
        <w:pStyle w:val="51"/>
        <w:numPr>
          <w:ilvl w:val="0"/>
          <w:numId w:val="0"/>
        </w:numPr>
        <w:spacing w:beforeLines="0" w:afterLines="0"/>
        <w:ind w:firstLine="420" w:firstLineChars="200"/>
        <w:rPr>
          <w:rFonts w:ascii="Times New Roman" w:eastAsia="宋体"/>
        </w:rPr>
      </w:pPr>
      <w:bookmarkStart w:id="28" w:name="_Hlk150508470"/>
      <w:r>
        <w:rPr>
          <w:rFonts w:ascii="Times New Roman" w:eastAsia="宋体"/>
        </w:rPr>
        <w:t>钢板以热机械轧制（TMCP）、热机械轧制（TMCP）+回火、淬火+回火状态交货</w:t>
      </w:r>
      <w:bookmarkEnd w:id="28"/>
      <w:r>
        <w:rPr>
          <w:rFonts w:ascii="Times New Roman" w:eastAsia="宋体"/>
        </w:rPr>
        <w:t>。</w:t>
      </w:r>
    </w:p>
    <w:p>
      <w:pPr>
        <w:pStyle w:val="48"/>
        <w:spacing w:before="156" w:after="156"/>
        <w:ind w:left="0"/>
        <w:rPr>
          <w:rFonts w:ascii="Times New Roman"/>
        </w:rPr>
      </w:pPr>
      <w:r>
        <w:rPr>
          <w:rFonts w:ascii="Times New Roman"/>
        </w:rPr>
        <w:t>力学性能</w:t>
      </w:r>
    </w:p>
    <w:p>
      <w:pPr>
        <w:pStyle w:val="51"/>
        <w:spacing w:before="156" w:after="156"/>
        <w:rPr>
          <w:rFonts w:ascii="Times New Roman" w:eastAsia="宋体"/>
        </w:rPr>
      </w:pPr>
      <w:bookmarkStart w:id="29" w:name="_Hlk150781941"/>
      <w:r>
        <w:rPr>
          <w:rFonts w:ascii="Times New Roman" w:eastAsia="宋体"/>
        </w:rPr>
        <w:t>钢板的力学性能应符合表6和表7的规定</w:t>
      </w:r>
      <w:bookmarkEnd w:id="29"/>
      <w:r>
        <w:rPr>
          <w:rFonts w:ascii="Times New Roman" w:eastAsia="宋体"/>
        </w:rPr>
        <w:t>。</w:t>
      </w:r>
    </w:p>
    <w:p>
      <w:pPr>
        <w:pStyle w:val="78"/>
        <w:numPr>
          <w:ilvl w:val="0"/>
          <w:numId w:val="0"/>
        </w:numPr>
        <w:spacing w:before="156" w:after="156"/>
        <w:rPr>
          <w:rFonts w:ascii="Times New Roman"/>
        </w:rPr>
      </w:pPr>
      <w:bookmarkStart w:id="30" w:name="_Hlk150781953"/>
      <w:r>
        <w:rPr>
          <w:rFonts w:ascii="Times New Roman"/>
          <w:highlight w:val="yellow"/>
        </w:rPr>
        <w:t>表6  力学性能</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71"/>
        <w:gridCol w:w="1115"/>
        <w:gridCol w:w="2124"/>
        <w:gridCol w:w="1824"/>
        <w:gridCol w:w="1369"/>
        <w:gridCol w:w="1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0" w:type="auto"/>
            <w:vMerge w:val="restart"/>
            <w:vAlign w:val="center"/>
          </w:tcPr>
          <w:p>
            <w:pPr>
              <w:pStyle w:val="23"/>
              <w:numPr>
                <w:ilvl w:val="0"/>
                <w:numId w:val="0"/>
              </w:numPr>
              <w:tabs>
                <w:tab w:val="left" w:pos="720"/>
              </w:tabs>
              <w:ind w:left="544"/>
              <w:jc w:val="center"/>
              <w:rPr>
                <w:rFonts w:ascii="Times New Roman"/>
                <w:sz w:val="18"/>
                <w:szCs w:val="18"/>
              </w:rPr>
            </w:pPr>
            <w:bookmarkStart w:id="31" w:name="_Hlk156396061"/>
            <w:r>
              <w:rPr>
                <w:rFonts w:ascii="Times New Roman"/>
                <w:sz w:val="18"/>
                <w:szCs w:val="18"/>
              </w:rPr>
              <w:t>牌号</w:t>
            </w:r>
          </w:p>
        </w:tc>
        <w:tc>
          <w:tcPr>
            <w:tcW w:w="1115" w:type="dxa"/>
            <w:vMerge w:val="restar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质量等级</w:t>
            </w:r>
          </w:p>
        </w:tc>
        <w:tc>
          <w:tcPr>
            <w:tcW w:w="5381" w:type="dxa"/>
            <w:gridSpan w:val="3"/>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拉伸试验</w:t>
            </w:r>
          </w:p>
        </w:tc>
        <w:tc>
          <w:tcPr>
            <w:tcW w:w="0" w:type="auto"/>
            <w:vMerge w:val="restar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180°弯曲试验</w:t>
            </w:r>
          </w:p>
          <w:p>
            <w:pPr>
              <w:pStyle w:val="23"/>
              <w:numPr>
                <w:ilvl w:val="0"/>
                <w:numId w:val="0"/>
              </w:numPr>
              <w:tabs>
                <w:tab w:val="left" w:pos="720"/>
              </w:tabs>
              <w:ind w:left="544"/>
              <w:jc w:val="center"/>
              <w:rPr>
                <w:rFonts w:ascii="Times New Roman"/>
                <w:sz w:val="18"/>
                <w:szCs w:val="18"/>
              </w:rPr>
            </w:pPr>
            <w:r>
              <w:rPr>
                <w:rFonts w:ascii="Times New Roman"/>
                <w:sz w:val="18"/>
                <w:szCs w:val="18"/>
              </w:rPr>
              <w:t>d=弯曲压头直径</w:t>
            </w:r>
          </w:p>
          <w:p>
            <w:pPr>
              <w:pStyle w:val="23"/>
              <w:numPr>
                <w:ilvl w:val="0"/>
                <w:numId w:val="0"/>
              </w:numPr>
              <w:tabs>
                <w:tab w:val="left" w:pos="720"/>
              </w:tabs>
              <w:ind w:left="544"/>
              <w:jc w:val="center"/>
              <w:rPr>
                <w:rFonts w:ascii="Times New Roman"/>
                <w:sz w:val="18"/>
                <w:szCs w:val="18"/>
              </w:rPr>
            </w:pPr>
            <w:r>
              <w:rPr>
                <w:rFonts w:ascii="Times New Roman"/>
                <w:sz w:val="18"/>
                <w:szCs w:val="18"/>
              </w:rPr>
              <w:t>a=钢材的厚度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0" w:type="auto"/>
            <w:vMerge w:val="continue"/>
            <w:tcBorders>
              <w:bottom w:val="single" w:color="000000" w:sz="4" w:space="0"/>
            </w:tcBorders>
            <w:vAlign w:val="center"/>
          </w:tcPr>
          <w:p>
            <w:pPr>
              <w:pStyle w:val="23"/>
              <w:numPr>
                <w:ilvl w:val="0"/>
                <w:numId w:val="0"/>
              </w:numPr>
              <w:tabs>
                <w:tab w:val="left" w:pos="720"/>
              </w:tabs>
              <w:ind w:left="544"/>
              <w:jc w:val="center"/>
              <w:rPr>
                <w:rFonts w:ascii="Times New Roman"/>
                <w:sz w:val="18"/>
                <w:szCs w:val="18"/>
              </w:rPr>
            </w:pPr>
          </w:p>
        </w:tc>
        <w:tc>
          <w:tcPr>
            <w:tcW w:w="1115" w:type="dxa"/>
            <w:vMerge w:val="continue"/>
            <w:tcBorders>
              <w:bottom w:val="single" w:color="000000" w:sz="4" w:space="0"/>
            </w:tcBorders>
            <w:vAlign w:val="center"/>
          </w:tcPr>
          <w:p>
            <w:pPr>
              <w:pStyle w:val="23"/>
              <w:numPr>
                <w:ilvl w:val="0"/>
                <w:numId w:val="0"/>
              </w:numPr>
              <w:tabs>
                <w:tab w:val="left" w:pos="720"/>
              </w:tabs>
              <w:ind w:left="544"/>
              <w:jc w:val="center"/>
              <w:rPr>
                <w:rFonts w:ascii="Times New Roman"/>
                <w:sz w:val="18"/>
                <w:szCs w:val="18"/>
              </w:rPr>
            </w:pPr>
          </w:p>
        </w:tc>
        <w:tc>
          <w:tcPr>
            <w:tcW w:w="2125" w:type="dxa"/>
            <w:tcBorders>
              <w:bottom w:val="single" w:color="000000" w:sz="4" w:space="0"/>
            </w:tcBorders>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规定塑性延伸强度</w:t>
            </w:r>
          </w:p>
          <w:p>
            <w:pPr>
              <w:pStyle w:val="23"/>
              <w:numPr>
                <w:ilvl w:val="0"/>
                <w:numId w:val="0"/>
              </w:numPr>
              <w:tabs>
                <w:tab w:val="left" w:pos="720"/>
              </w:tabs>
              <w:ind w:left="544"/>
              <w:jc w:val="center"/>
              <w:rPr>
                <w:rFonts w:ascii="Times New Roman"/>
                <w:sz w:val="18"/>
                <w:szCs w:val="18"/>
              </w:rPr>
            </w:pPr>
            <w:r>
              <w:rPr>
                <w:rFonts w:ascii="Times New Roman"/>
                <w:sz w:val="18"/>
                <w:szCs w:val="18"/>
              </w:rPr>
              <w:t>R</w:t>
            </w:r>
            <w:r>
              <w:rPr>
                <w:rFonts w:ascii="Times New Roman"/>
                <w:sz w:val="18"/>
                <w:szCs w:val="18"/>
                <w:vertAlign w:val="subscript"/>
              </w:rPr>
              <w:t>p0.2</w:t>
            </w:r>
            <w:r>
              <w:rPr>
                <w:rFonts w:ascii="Times New Roman"/>
                <w:sz w:val="18"/>
                <w:szCs w:val="18"/>
              </w:rPr>
              <w:t>/MPa</w:t>
            </w:r>
          </w:p>
          <w:p>
            <w:pPr>
              <w:pStyle w:val="23"/>
              <w:numPr>
                <w:ilvl w:val="0"/>
                <w:numId w:val="0"/>
              </w:numPr>
              <w:tabs>
                <w:tab w:val="left" w:pos="720"/>
              </w:tabs>
              <w:ind w:left="544"/>
              <w:jc w:val="center"/>
              <w:rPr>
                <w:rFonts w:ascii="Times New Roman"/>
                <w:sz w:val="18"/>
                <w:szCs w:val="18"/>
              </w:rPr>
            </w:pPr>
            <w:r>
              <w:rPr>
                <w:rFonts w:ascii="Times New Roman"/>
                <w:sz w:val="18"/>
                <w:szCs w:val="18"/>
              </w:rPr>
              <w:t>不小于</w:t>
            </w:r>
          </w:p>
        </w:tc>
        <w:tc>
          <w:tcPr>
            <w:tcW w:w="0" w:type="auto"/>
            <w:tcBorders>
              <w:bottom w:val="single" w:color="000000" w:sz="4" w:space="0"/>
            </w:tcBorders>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抗拉强度R</w:t>
            </w:r>
            <w:r>
              <w:rPr>
                <w:rFonts w:ascii="Times New Roman"/>
                <w:sz w:val="18"/>
                <w:szCs w:val="18"/>
                <w:vertAlign w:val="subscript"/>
              </w:rPr>
              <w:t>m</w:t>
            </w:r>
            <w:r>
              <w:rPr>
                <w:rFonts w:ascii="Times New Roman"/>
                <w:sz w:val="18"/>
                <w:szCs w:val="18"/>
              </w:rPr>
              <w:t>/MPa</w:t>
            </w:r>
          </w:p>
        </w:tc>
        <w:tc>
          <w:tcPr>
            <w:tcW w:w="0" w:type="auto"/>
            <w:tcBorders>
              <w:bottom w:val="single" w:color="000000" w:sz="4" w:space="0"/>
            </w:tcBorders>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断后伸长率</w:t>
            </w:r>
          </w:p>
          <w:p>
            <w:pPr>
              <w:pStyle w:val="23"/>
              <w:numPr>
                <w:ilvl w:val="0"/>
                <w:numId w:val="0"/>
              </w:numPr>
              <w:tabs>
                <w:tab w:val="left" w:pos="720"/>
              </w:tabs>
              <w:ind w:left="544"/>
              <w:jc w:val="center"/>
              <w:rPr>
                <w:rFonts w:ascii="Times New Roman"/>
                <w:sz w:val="18"/>
                <w:szCs w:val="18"/>
              </w:rPr>
            </w:pPr>
            <w:r>
              <w:rPr>
                <w:rFonts w:ascii="Times New Roman"/>
                <w:sz w:val="18"/>
                <w:szCs w:val="18"/>
              </w:rPr>
              <w:t>A/%</w:t>
            </w:r>
          </w:p>
          <w:p>
            <w:pPr>
              <w:pStyle w:val="23"/>
              <w:numPr>
                <w:ilvl w:val="0"/>
                <w:numId w:val="0"/>
              </w:numPr>
              <w:tabs>
                <w:tab w:val="left" w:pos="720"/>
              </w:tabs>
              <w:ind w:left="544"/>
              <w:jc w:val="center"/>
              <w:rPr>
                <w:rFonts w:ascii="Times New Roman"/>
                <w:color w:val="FF0000"/>
                <w:sz w:val="18"/>
                <w:szCs w:val="18"/>
              </w:rPr>
            </w:pPr>
            <w:r>
              <w:rPr>
                <w:rFonts w:ascii="Times New Roman"/>
                <w:sz w:val="18"/>
                <w:szCs w:val="18"/>
              </w:rPr>
              <w:t>不小于</w:t>
            </w:r>
          </w:p>
        </w:tc>
        <w:tc>
          <w:tcPr>
            <w:tcW w:w="0" w:type="auto"/>
            <w:vMerge w:val="continue"/>
            <w:tcBorders>
              <w:bottom w:val="single" w:color="000000" w:sz="4" w:space="0"/>
            </w:tcBorders>
            <w:vAlign w:val="center"/>
          </w:tcPr>
          <w:p>
            <w:pPr>
              <w:pStyle w:val="23"/>
              <w:numPr>
                <w:ilvl w:val="0"/>
                <w:numId w:val="0"/>
              </w:numPr>
              <w:tabs>
                <w:tab w:val="left" w:pos="720"/>
              </w:tabs>
              <w:ind w:left="544"/>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0" w:type="auto"/>
            <w:vAlign w:val="center"/>
          </w:tcPr>
          <w:p>
            <w:pPr>
              <w:pStyle w:val="23"/>
              <w:numPr>
                <w:ilvl w:val="0"/>
                <w:numId w:val="0"/>
              </w:numPr>
              <w:tabs>
                <w:tab w:val="left" w:pos="720"/>
              </w:tabs>
              <w:ind w:left="544"/>
              <w:jc w:val="center"/>
              <w:rPr>
                <w:rFonts w:ascii="Times New Roman" w:eastAsiaTheme="minorEastAsia"/>
                <w:sz w:val="18"/>
                <w:szCs w:val="18"/>
              </w:rPr>
            </w:pPr>
            <w:bookmarkStart w:id="32" w:name="_Hlk151065458"/>
            <w:r>
              <w:rPr>
                <w:rFonts w:ascii="Times New Roman" w:eastAsiaTheme="minorEastAsia"/>
                <w:sz w:val="18"/>
                <w:szCs w:val="18"/>
              </w:rPr>
              <w:t>Q600SSB</w:t>
            </w:r>
          </w:p>
        </w:tc>
        <w:tc>
          <w:tcPr>
            <w:tcW w:w="1115" w:type="dxa"/>
            <w:vAlign w:val="center"/>
          </w:tcPr>
          <w:p>
            <w:pPr>
              <w:pStyle w:val="23"/>
              <w:numPr>
                <w:ilvl w:val="0"/>
                <w:numId w:val="0"/>
              </w:numPr>
              <w:tabs>
                <w:tab w:val="left" w:pos="720"/>
              </w:tabs>
              <w:ind w:left="544"/>
              <w:jc w:val="center"/>
              <w:rPr>
                <w:rFonts w:ascii="Times New Roman" w:eastAsiaTheme="minorEastAsia"/>
                <w:sz w:val="18"/>
                <w:szCs w:val="18"/>
              </w:rPr>
            </w:pPr>
            <w:r>
              <w:rPr>
                <w:rFonts w:ascii="Times New Roman" w:eastAsiaTheme="minorEastAsia"/>
                <w:sz w:val="18"/>
                <w:szCs w:val="18"/>
              </w:rPr>
              <w:t>D、E</w:t>
            </w:r>
          </w:p>
        </w:tc>
        <w:tc>
          <w:tcPr>
            <w:tcW w:w="2125" w:type="dxa"/>
            <w:vAlign w:val="center"/>
          </w:tcPr>
          <w:p>
            <w:pPr>
              <w:pStyle w:val="23"/>
              <w:numPr>
                <w:ilvl w:val="0"/>
                <w:numId w:val="0"/>
              </w:numPr>
              <w:tabs>
                <w:tab w:val="left" w:pos="720"/>
              </w:tabs>
              <w:ind w:left="544"/>
              <w:jc w:val="center"/>
              <w:rPr>
                <w:rFonts w:ascii="Times New Roman" w:eastAsiaTheme="minorEastAsia"/>
                <w:sz w:val="18"/>
                <w:szCs w:val="18"/>
              </w:rPr>
            </w:pPr>
            <w:r>
              <w:rPr>
                <w:rFonts w:ascii="Times New Roman" w:eastAsiaTheme="minorEastAsia"/>
                <w:sz w:val="18"/>
                <w:szCs w:val="18"/>
              </w:rPr>
              <w:t>≥620</w:t>
            </w:r>
          </w:p>
        </w:tc>
        <w:tc>
          <w:tcPr>
            <w:tcW w:w="0" w:type="auto"/>
            <w:vAlign w:val="center"/>
          </w:tcPr>
          <w:p>
            <w:pPr>
              <w:pStyle w:val="23"/>
              <w:numPr>
                <w:ilvl w:val="0"/>
                <w:numId w:val="0"/>
              </w:numPr>
              <w:tabs>
                <w:tab w:val="left" w:pos="720"/>
              </w:tabs>
              <w:ind w:left="544"/>
              <w:jc w:val="center"/>
              <w:rPr>
                <w:rFonts w:ascii="Times New Roman" w:eastAsiaTheme="minorEastAsia"/>
                <w:sz w:val="18"/>
                <w:szCs w:val="18"/>
              </w:rPr>
            </w:pPr>
            <w:r>
              <w:rPr>
                <w:rFonts w:ascii="Times New Roman" w:eastAsiaTheme="minorEastAsia"/>
                <w:sz w:val="18"/>
                <w:szCs w:val="18"/>
              </w:rPr>
              <w:t>690~850</w:t>
            </w:r>
          </w:p>
        </w:tc>
        <w:tc>
          <w:tcPr>
            <w:tcW w:w="0" w:type="auto"/>
            <w:vAlign w:val="center"/>
          </w:tcPr>
          <w:p>
            <w:pPr>
              <w:pStyle w:val="23"/>
              <w:numPr>
                <w:ilvl w:val="0"/>
                <w:numId w:val="0"/>
              </w:numPr>
              <w:tabs>
                <w:tab w:val="left" w:pos="720"/>
              </w:tabs>
              <w:ind w:left="544"/>
              <w:jc w:val="center"/>
              <w:rPr>
                <w:rFonts w:ascii="Times New Roman" w:eastAsiaTheme="minorEastAsia"/>
                <w:sz w:val="18"/>
                <w:szCs w:val="18"/>
              </w:rPr>
            </w:pPr>
            <w:r>
              <w:rPr>
                <w:rFonts w:ascii="Times New Roman" w:eastAsiaTheme="minorEastAsia"/>
                <w:sz w:val="18"/>
                <w:szCs w:val="18"/>
              </w:rPr>
              <w:t>≥15</w:t>
            </w:r>
          </w:p>
        </w:tc>
        <w:tc>
          <w:tcPr>
            <w:tcW w:w="0" w:type="auto"/>
            <w:vAlign w:val="center"/>
          </w:tcPr>
          <w:p>
            <w:pPr>
              <w:pStyle w:val="23"/>
              <w:numPr>
                <w:ilvl w:val="0"/>
                <w:numId w:val="0"/>
              </w:numPr>
              <w:tabs>
                <w:tab w:val="left" w:pos="720"/>
              </w:tabs>
              <w:ind w:left="544"/>
              <w:jc w:val="center"/>
              <w:rPr>
                <w:rFonts w:ascii="Times New Roman" w:eastAsiaTheme="minorEastAsia"/>
                <w:sz w:val="18"/>
                <w:szCs w:val="18"/>
              </w:rPr>
            </w:pPr>
            <w:r>
              <w:rPr>
                <w:rFonts w:ascii="Times New Roman" w:eastAsiaTheme="minorEastAsia"/>
                <w:sz w:val="18"/>
                <w:szCs w:val="18"/>
              </w:rPr>
              <w:t>d=2a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 w:hRule="atLeast"/>
          <w:jc w:val="center"/>
        </w:trPr>
        <w:tc>
          <w:tcPr>
            <w:tcW w:w="0" w:type="auto"/>
            <w:vAlign w:val="center"/>
          </w:tcPr>
          <w:p>
            <w:pPr>
              <w:pStyle w:val="23"/>
              <w:numPr>
                <w:ilvl w:val="0"/>
                <w:numId w:val="0"/>
              </w:numPr>
              <w:tabs>
                <w:tab w:val="left" w:pos="720"/>
              </w:tabs>
              <w:ind w:left="544"/>
              <w:jc w:val="center"/>
              <w:rPr>
                <w:rFonts w:ascii="Times New Roman"/>
                <w:sz w:val="18"/>
                <w:szCs w:val="18"/>
              </w:rPr>
            </w:pPr>
            <w:r>
              <w:rPr>
                <w:rFonts w:ascii="Times New Roman" w:eastAsiaTheme="minorEastAsia"/>
                <w:sz w:val="18"/>
                <w:szCs w:val="18"/>
              </w:rPr>
              <w:t>Q700SSB</w:t>
            </w:r>
          </w:p>
        </w:tc>
        <w:tc>
          <w:tcPr>
            <w:tcW w:w="1115" w:type="dxa"/>
            <w:vAlign w:val="center"/>
          </w:tcPr>
          <w:p>
            <w:pPr>
              <w:numPr>
                <w:ilvl w:val="0"/>
                <w:numId w:val="0"/>
              </w:numPr>
              <w:tabs>
                <w:tab w:val="left" w:pos="720"/>
              </w:tabs>
              <w:ind w:left="544" w:right="-105" w:rightChars="-50" w:hanging="181"/>
              <w:jc w:val="center"/>
              <w:rPr>
                <w:rFonts w:ascii="Times New Roman"/>
                <w:color w:val="000000" w:themeColor="text1"/>
                <w:sz w:val="18"/>
                <w:szCs w:val="18"/>
                <w14:textFill>
                  <w14:solidFill>
                    <w14:schemeClr w14:val="tx1"/>
                  </w14:solidFill>
                </w14:textFill>
              </w:rPr>
            </w:pPr>
            <w:r>
              <w:rPr>
                <w:rFonts w:ascii="Times New Roman" w:eastAsiaTheme="minorEastAsia"/>
                <w:sz w:val="18"/>
              </w:rPr>
              <w:t>D、</w:t>
            </w:r>
            <w:r>
              <w:rPr>
                <w:rFonts w:ascii="Times New Roman" w:eastAsiaTheme="minorEastAsia"/>
                <w:kern w:val="0"/>
                <w:sz w:val="18"/>
                <w:szCs w:val="18"/>
              </w:rPr>
              <w:t>E</w:t>
            </w:r>
          </w:p>
        </w:tc>
        <w:tc>
          <w:tcPr>
            <w:tcW w:w="2125" w:type="dxa"/>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≥690</w:t>
            </w:r>
          </w:p>
        </w:tc>
        <w:tc>
          <w:tcPr>
            <w:tcW w:w="0" w:type="auto"/>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770~940</w:t>
            </w:r>
          </w:p>
        </w:tc>
        <w:tc>
          <w:tcPr>
            <w:tcW w:w="0" w:type="auto"/>
            <w:vAlign w:val="center"/>
          </w:tcPr>
          <w:p>
            <w:pPr>
              <w:pStyle w:val="23"/>
              <w:numPr>
                <w:ilvl w:val="0"/>
                <w:numId w:val="0"/>
              </w:numPr>
              <w:tabs>
                <w:tab w:val="left" w:pos="720"/>
              </w:tabs>
              <w:ind w:left="544"/>
              <w:jc w:val="center"/>
              <w:rPr>
                <w:rFonts w:ascii="Times New Roman"/>
                <w:color w:val="FF0000"/>
                <w:sz w:val="18"/>
                <w:szCs w:val="18"/>
              </w:rPr>
            </w:pPr>
            <w:r>
              <w:rPr>
                <w:rFonts w:ascii="Times New Roman" w:eastAsiaTheme="minorEastAsia"/>
                <w:sz w:val="18"/>
                <w:szCs w:val="18"/>
              </w:rPr>
              <w:t>≥14</w:t>
            </w:r>
          </w:p>
        </w:tc>
        <w:tc>
          <w:tcPr>
            <w:tcW w:w="0" w:type="auto"/>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d=3a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 w:hRule="atLeast"/>
          <w:jc w:val="center"/>
        </w:trPr>
        <w:tc>
          <w:tcPr>
            <w:tcW w:w="0" w:type="auto"/>
            <w:vAlign w:val="center"/>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r>
              <w:rPr>
                <w:rFonts w:ascii="Times New Roman" w:eastAsiaTheme="minorEastAsia"/>
                <w:sz w:val="18"/>
                <w:szCs w:val="18"/>
              </w:rPr>
              <w:t>Q800SSB</w:t>
            </w:r>
          </w:p>
        </w:tc>
        <w:tc>
          <w:tcPr>
            <w:tcW w:w="1115" w:type="dxa"/>
            <w:vAlign w:val="center"/>
          </w:tcPr>
          <w:p>
            <w:pPr>
              <w:numPr>
                <w:ilvl w:val="0"/>
                <w:numId w:val="0"/>
              </w:numPr>
              <w:tabs>
                <w:tab w:val="left" w:pos="720"/>
              </w:tabs>
              <w:ind w:left="544" w:hanging="181"/>
              <w:jc w:val="center"/>
              <w:rPr>
                <w:rFonts w:ascii="Times New Roman"/>
                <w:kern w:val="0"/>
                <w:sz w:val="18"/>
                <w:szCs w:val="18"/>
              </w:rPr>
            </w:pPr>
            <w:r>
              <w:rPr>
                <w:rFonts w:ascii="Times New Roman"/>
                <w:kern w:val="0"/>
                <w:sz w:val="18"/>
                <w:szCs w:val="18"/>
              </w:rPr>
              <w:t>D、E、F</w:t>
            </w:r>
          </w:p>
        </w:tc>
        <w:tc>
          <w:tcPr>
            <w:tcW w:w="2125" w:type="dxa"/>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≥800</w:t>
            </w:r>
          </w:p>
        </w:tc>
        <w:tc>
          <w:tcPr>
            <w:tcW w:w="0" w:type="auto"/>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850~1000</w:t>
            </w:r>
          </w:p>
        </w:tc>
        <w:tc>
          <w:tcPr>
            <w:tcW w:w="0" w:type="auto"/>
            <w:vAlign w:val="center"/>
          </w:tcPr>
          <w:p>
            <w:pPr>
              <w:pStyle w:val="23"/>
              <w:numPr>
                <w:ilvl w:val="0"/>
                <w:numId w:val="0"/>
              </w:numPr>
              <w:tabs>
                <w:tab w:val="left" w:pos="720"/>
              </w:tabs>
              <w:ind w:left="544"/>
              <w:jc w:val="center"/>
              <w:rPr>
                <w:rFonts w:ascii="Times New Roman"/>
                <w:color w:val="FF0000"/>
                <w:sz w:val="18"/>
                <w:szCs w:val="18"/>
              </w:rPr>
            </w:pPr>
            <w:r>
              <w:rPr>
                <w:rFonts w:ascii="Times New Roman" w:eastAsiaTheme="minorEastAsia"/>
                <w:sz w:val="18"/>
                <w:szCs w:val="18"/>
              </w:rPr>
              <w:t>≥13</w:t>
            </w:r>
          </w:p>
        </w:tc>
        <w:tc>
          <w:tcPr>
            <w:tcW w:w="0" w:type="auto"/>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d=3a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 w:hRule="atLeast"/>
          <w:jc w:val="center"/>
        </w:trPr>
        <w:tc>
          <w:tcPr>
            <w:tcW w:w="0" w:type="auto"/>
            <w:vAlign w:val="center"/>
          </w:tcPr>
          <w:p>
            <w:pPr>
              <w:pStyle w:val="23"/>
              <w:numPr>
                <w:ilvl w:val="0"/>
                <w:numId w:val="0"/>
              </w:numPr>
              <w:tabs>
                <w:tab w:val="left" w:pos="720"/>
              </w:tabs>
              <w:ind w:left="544"/>
              <w:jc w:val="center"/>
              <w:rPr>
                <w:rFonts w:ascii="Times New Roman" w:eastAsiaTheme="minorEastAsia"/>
                <w:sz w:val="18"/>
                <w:szCs w:val="18"/>
              </w:rPr>
            </w:pPr>
            <w:r>
              <w:rPr>
                <w:rFonts w:ascii="Times New Roman" w:eastAsiaTheme="minorEastAsia"/>
                <w:sz w:val="18"/>
                <w:szCs w:val="18"/>
              </w:rPr>
              <w:t>Q900SSB</w:t>
            </w:r>
          </w:p>
        </w:tc>
        <w:tc>
          <w:tcPr>
            <w:tcW w:w="1115" w:type="dxa"/>
            <w:vAlign w:val="center"/>
          </w:tcPr>
          <w:p>
            <w:pPr>
              <w:pStyle w:val="23"/>
              <w:numPr>
                <w:ilvl w:val="0"/>
                <w:numId w:val="0"/>
              </w:numPr>
              <w:tabs>
                <w:tab w:val="left" w:pos="720"/>
              </w:tabs>
              <w:ind w:left="544"/>
              <w:jc w:val="center"/>
              <w:rPr>
                <w:rFonts w:ascii="Times New Roman" w:eastAsiaTheme="minorEastAsia"/>
                <w:sz w:val="18"/>
                <w:szCs w:val="18"/>
              </w:rPr>
            </w:pPr>
            <w:r>
              <w:rPr>
                <w:rFonts w:ascii="Times New Roman"/>
                <w:sz w:val="18"/>
                <w:szCs w:val="18"/>
              </w:rPr>
              <w:t>D、E、F</w:t>
            </w:r>
          </w:p>
        </w:tc>
        <w:tc>
          <w:tcPr>
            <w:tcW w:w="2125" w:type="dxa"/>
            <w:vAlign w:val="center"/>
          </w:tcPr>
          <w:p>
            <w:pPr>
              <w:pStyle w:val="23"/>
              <w:numPr>
                <w:ilvl w:val="0"/>
                <w:numId w:val="0"/>
              </w:numPr>
              <w:tabs>
                <w:tab w:val="left" w:pos="720"/>
              </w:tabs>
              <w:ind w:left="544"/>
              <w:jc w:val="center"/>
              <w:rPr>
                <w:rFonts w:ascii="Times New Roman" w:eastAsiaTheme="minorEastAsia"/>
                <w:sz w:val="18"/>
                <w:szCs w:val="18"/>
              </w:rPr>
            </w:pPr>
            <w:r>
              <w:rPr>
                <w:rFonts w:ascii="Times New Roman" w:eastAsiaTheme="minorEastAsia"/>
                <w:sz w:val="18"/>
                <w:szCs w:val="18"/>
              </w:rPr>
              <w:t>≥900</w:t>
            </w:r>
          </w:p>
        </w:tc>
        <w:tc>
          <w:tcPr>
            <w:tcW w:w="0" w:type="auto"/>
            <w:vAlign w:val="center"/>
          </w:tcPr>
          <w:p>
            <w:pPr>
              <w:pStyle w:val="23"/>
              <w:numPr>
                <w:ilvl w:val="0"/>
                <w:numId w:val="0"/>
              </w:numPr>
              <w:tabs>
                <w:tab w:val="left" w:pos="720"/>
              </w:tabs>
              <w:ind w:left="544"/>
              <w:jc w:val="center"/>
              <w:rPr>
                <w:rFonts w:ascii="Times New Roman" w:eastAsiaTheme="minorEastAsia"/>
                <w:sz w:val="18"/>
                <w:szCs w:val="18"/>
              </w:rPr>
            </w:pPr>
            <w:r>
              <w:rPr>
                <w:rFonts w:ascii="Times New Roman" w:eastAsiaTheme="minorEastAsia"/>
                <w:sz w:val="18"/>
                <w:szCs w:val="18"/>
              </w:rPr>
              <w:t>950~1100</w:t>
            </w:r>
          </w:p>
        </w:tc>
        <w:tc>
          <w:tcPr>
            <w:tcW w:w="0" w:type="auto"/>
            <w:vAlign w:val="center"/>
          </w:tcPr>
          <w:p>
            <w:pPr>
              <w:pStyle w:val="23"/>
              <w:numPr>
                <w:ilvl w:val="0"/>
                <w:numId w:val="0"/>
              </w:numPr>
              <w:tabs>
                <w:tab w:val="left" w:pos="720"/>
              </w:tabs>
              <w:ind w:left="544"/>
              <w:jc w:val="center"/>
              <w:rPr>
                <w:rFonts w:ascii="Times New Roman" w:eastAsiaTheme="minorEastAsia"/>
                <w:sz w:val="18"/>
                <w:szCs w:val="18"/>
              </w:rPr>
            </w:pPr>
            <w:r>
              <w:rPr>
                <w:rFonts w:ascii="Times New Roman" w:eastAsiaTheme="minorEastAsia"/>
                <w:sz w:val="18"/>
                <w:szCs w:val="18"/>
              </w:rPr>
              <w:t>≥12</w:t>
            </w:r>
          </w:p>
        </w:tc>
        <w:tc>
          <w:tcPr>
            <w:tcW w:w="0" w:type="auto"/>
            <w:vAlign w:val="center"/>
          </w:tcPr>
          <w:p>
            <w:pPr>
              <w:pStyle w:val="23"/>
              <w:numPr>
                <w:ilvl w:val="0"/>
                <w:numId w:val="0"/>
              </w:numPr>
              <w:tabs>
                <w:tab w:val="left" w:pos="720"/>
              </w:tabs>
              <w:ind w:left="544"/>
              <w:jc w:val="center"/>
              <w:rPr>
                <w:rFonts w:ascii="Times New Roman" w:eastAsiaTheme="minorEastAsia"/>
                <w:sz w:val="18"/>
                <w:szCs w:val="18"/>
              </w:rPr>
            </w:pPr>
            <w:r>
              <w:rPr>
                <w:rFonts w:ascii="Times New Roman" w:eastAsiaTheme="minorEastAsia"/>
                <w:sz w:val="18"/>
                <w:szCs w:val="18"/>
              </w:rPr>
              <w:t>d=4a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 w:hRule="atLeast"/>
          <w:jc w:val="center"/>
        </w:trPr>
        <w:tc>
          <w:tcPr>
            <w:tcW w:w="0" w:type="auto"/>
            <w:vAlign w:val="center"/>
          </w:tcPr>
          <w:p>
            <w:pPr>
              <w:pStyle w:val="23"/>
              <w:numPr>
                <w:ilvl w:val="0"/>
                <w:numId w:val="0"/>
              </w:numPr>
              <w:tabs>
                <w:tab w:val="left" w:pos="720"/>
              </w:tabs>
              <w:ind w:left="544"/>
              <w:jc w:val="center"/>
              <w:rPr>
                <w:rFonts w:ascii="Times New Roman" w:eastAsiaTheme="minorEastAsia"/>
                <w:color w:val="000000" w:themeColor="text1"/>
                <w:sz w:val="18"/>
                <w:szCs w:val="18"/>
                <w14:textFill>
                  <w14:solidFill>
                    <w14:schemeClr w14:val="tx1"/>
                  </w14:solidFill>
                </w14:textFill>
              </w:rPr>
            </w:pPr>
            <w:r>
              <w:rPr>
                <w:rFonts w:ascii="Times New Roman" w:eastAsiaTheme="minorEastAsia"/>
                <w:color w:val="000000" w:themeColor="text1"/>
                <w:sz w:val="18"/>
                <w:szCs w:val="18"/>
                <w14:textFill>
                  <w14:solidFill>
                    <w14:schemeClr w14:val="tx1"/>
                  </w14:solidFill>
                </w14:textFill>
              </w:rPr>
              <w:t>Q960SSB</w:t>
            </w:r>
          </w:p>
        </w:tc>
        <w:tc>
          <w:tcPr>
            <w:tcW w:w="1115" w:type="dxa"/>
            <w:vAlign w:val="center"/>
          </w:tcPr>
          <w:p>
            <w:pPr>
              <w:pStyle w:val="23"/>
              <w:numPr>
                <w:ilvl w:val="0"/>
                <w:numId w:val="0"/>
              </w:numPr>
              <w:tabs>
                <w:tab w:val="left" w:pos="720"/>
              </w:tabs>
              <w:ind w:left="544"/>
              <w:jc w:val="center"/>
              <w:rPr>
                <w:rFonts w:ascii="Times New Roman" w:eastAsiaTheme="minorEastAsia"/>
                <w:sz w:val="18"/>
                <w:szCs w:val="18"/>
              </w:rPr>
            </w:pPr>
            <w:r>
              <w:rPr>
                <w:rFonts w:ascii="Times New Roman"/>
                <w:sz w:val="18"/>
                <w:szCs w:val="18"/>
              </w:rPr>
              <w:t>D、E、F</w:t>
            </w:r>
          </w:p>
        </w:tc>
        <w:tc>
          <w:tcPr>
            <w:tcW w:w="2125" w:type="dxa"/>
            <w:vAlign w:val="center"/>
          </w:tcPr>
          <w:p>
            <w:pPr>
              <w:pStyle w:val="23"/>
              <w:numPr>
                <w:ilvl w:val="0"/>
                <w:numId w:val="0"/>
              </w:numPr>
              <w:tabs>
                <w:tab w:val="left" w:pos="720"/>
              </w:tabs>
              <w:ind w:left="544"/>
              <w:jc w:val="center"/>
              <w:rPr>
                <w:rFonts w:ascii="Times New Roman" w:eastAsiaTheme="minorEastAsia"/>
                <w:color w:val="000000" w:themeColor="text1"/>
                <w:sz w:val="18"/>
                <w:szCs w:val="18"/>
                <w14:textFill>
                  <w14:solidFill>
                    <w14:schemeClr w14:val="tx1"/>
                  </w14:solidFill>
                </w14:textFill>
              </w:rPr>
            </w:pPr>
            <w:r>
              <w:rPr>
                <w:rFonts w:ascii="Times New Roman"/>
                <w:sz w:val="18"/>
                <w:szCs w:val="18"/>
              </w:rPr>
              <w:t>≥960</w:t>
            </w:r>
          </w:p>
        </w:tc>
        <w:tc>
          <w:tcPr>
            <w:tcW w:w="0" w:type="auto"/>
            <w:vAlign w:val="center"/>
          </w:tcPr>
          <w:p>
            <w:pPr>
              <w:pStyle w:val="23"/>
              <w:numPr>
                <w:ilvl w:val="0"/>
                <w:numId w:val="0"/>
              </w:numPr>
              <w:tabs>
                <w:tab w:val="left" w:pos="720"/>
              </w:tabs>
              <w:ind w:left="544"/>
              <w:jc w:val="center"/>
              <w:rPr>
                <w:rFonts w:ascii="Times New Roman" w:eastAsiaTheme="minorEastAsia"/>
                <w:color w:val="000000" w:themeColor="text1"/>
                <w:sz w:val="18"/>
                <w:szCs w:val="18"/>
                <w14:textFill>
                  <w14:solidFill>
                    <w14:schemeClr w14:val="tx1"/>
                  </w14:solidFill>
                </w14:textFill>
              </w:rPr>
            </w:pPr>
            <w:r>
              <w:rPr>
                <w:rFonts w:ascii="Times New Roman"/>
                <w:sz w:val="18"/>
                <w:szCs w:val="18"/>
              </w:rPr>
              <w:t>980~1150</w:t>
            </w:r>
          </w:p>
        </w:tc>
        <w:tc>
          <w:tcPr>
            <w:tcW w:w="0" w:type="auto"/>
            <w:vAlign w:val="center"/>
          </w:tcPr>
          <w:p>
            <w:pPr>
              <w:pStyle w:val="23"/>
              <w:numPr>
                <w:ilvl w:val="0"/>
                <w:numId w:val="0"/>
              </w:numPr>
              <w:tabs>
                <w:tab w:val="left" w:pos="720"/>
              </w:tabs>
              <w:ind w:left="544"/>
              <w:jc w:val="center"/>
              <w:rPr>
                <w:rFonts w:ascii="Times New Roman" w:eastAsiaTheme="minorEastAsia"/>
                <w:color w:val="000000" w:themeColor="text1"/>
                <w:sz w:val="18"/>
                <w:szCs w:val="18"/>
                <w14:textFill>
                  <w14:solidFill>
                    <w14:schemeClr w14:val="tx1"/>
                  </w14:solidFill>
                </w14:textFill>
              </w:rPr>
            </w:pPr>
            <w:r>
              <w:rPr>
                <w:rFonts w:ascii="Times New Roman" w:eastAsiaTheme="minorEastAsia"/>
                <w:sz w:val="18"/>
                <w:szCs w:val="18"/>
              </w:rPr>
              <w:t>≥11</w:t>
            </w:r>
          </w:p>
        </w:tc>
        <w:tc>
          <w:tcPr>
            <w:tcW w:w="0" w:type="auto"/>
            <w:vAlign w:val="center"/>
          </w:tcPr>
          <w:p>
            <w:pPr>
              <w:pStyle w:val="23"/>
              <w:numPr>
                <w:ilvl w:val="0"/>
                <w:numId w:val="0"/>
              </w:numPr>
              <w:tabs>
                <w:tab w:val="left" w:pos="720"/>
              </w:tabs>
              <w:ind w:left="544"/>
              <w:jc w:val="center"/>
              <w:rPr>
                <w:rFonts w:ascii="Times New Roman" w:eastAsiaTheme="minorEastAsia"/>
                <w:color w:val="000000" w:themeColor="text1"/>
                <w:sz w:val="18"/>
                <w:szCs w:val="18"/>
                <w14:textFill>
                  <w14:solidFill>
                    <w14:schemeClr w14:val="tx1"/>
                  </w14:solidFill>
                </w14:textFill>
              </w:rPr>
            </w:pPr>
            <w:r>
              <w:rPr>
                <w:rFonts w:ascii="Times New Roman"/>
                <w:sz w:val="18"/>
                <w:szCs w:val="18"/>
              </w:rPr>
              <w:t>d=4a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 w:hRule="atLeast"/>
          <w:jc w:val="center"/>
        </w:trPr>
        <w:tc>
          <w:tcPr>
            <w:tcW w:w="0" w:type="auto"/>
            <w:vAlign w:val="center"/>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r>
              <w:rPr>
                <w:rFonts w:ascii="Times New Roman" w:eastAsiaTheme="minorEastAsia"/>
                <w:color w:val="000000" w:themeColor="text1"/>
                <w:sz w:val="18"/>
                <w:szCs w:val="18"/>
                <w14:textFill>
                  <w14:solidFill>
                    <w14:schemeClr w14:val="tx1"/>
                  </w14:solidFill>
                </w14:textFill>
              </w:rPr>
              <w:t>Q1100SSB</w:t>
            </w:r>
          </w:p>
        </w:tc>
        <w:tc>
          <w:tcPr>
            <w:tcW w:w="1115" w:type="dxa"/>
            <w:vAlign w:val="center"/>
          </w:tcPr>
          <w:p>
            <w:pPr>
              <w:pStyle w:val="23"/>
              <w:numPr>
                <w:ilvl w:val="0"/>
                <w:numId w:val="0"/>
              </w:numPr>
              <w:tabs>
                <w:tab w:val="left" w:pos="720"/>
              </w:tabs>
              <w:ind w:left="544"/>
              <w:jc w:val="center"/>
              <w:rPr>
                <w:rFonts w:ascii="Times New Roman" w:eastAsiaTheme="minorEastAsia"/>
                <w:sz w:val="18"/>
                <w:szCs w:val="18"/>
              </w:rPr>
            </w:pPr>
            <w:r>
              <w:rPr>
                <w:rFonts w:ascii="Times New Roman"/>
                <w:sz w:val="18"/>
                <w:szCs w:val="18"/>
              </w:rPr>
              <w:t>D、E</w:t>
            </w:r>
          </w:p>
        </w:tc>
        <w:tc>
          <w:tcPr>
            <w:tcW w:w="2125" w:type="dxa"/>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≥1100</w:t>
            </w:r>
          </w:p>
        </w:tc>
        <w:tc>
          <w:tcPr>
            <w:tcW w:w="0" w:type="auto"/>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1200~1550</w:t>
            </w:r>
          </w:p>
        </w:tc>
        <w:tc>
          <w:tcPr>
            <w:tcW w:w="0" w:type="auto"/>
            <w:vAlign w:val="center"/>
          </w:tcPr>
          <w:p>
            <w:pPr>
              <w:pStyle w:val="23"/>
              <w:numPr>
                <w:ilvl w:val="0"/>
                <w:numId w:val="0"/>
              </w:numPr>
              <w:tabs>
                <w:tab w:val="left" w:pos="720"/>
              </w:tabs>
              <w:ind w:left="544"/>
              <w:jc w:val="center"/>
              <w:rPr>
                <w:rFonts w:ascii="Times New Roman"/>
                <w:color w:val="FF0000"/>
                <w:sz w:val="18"/>
                <w:szCs w:val="18"/>
              </w:rPr>
            </w:pPr>
            <w:r>
              <w:rPr>
                <w:rFonts w:ascii="Times New Roman" w:eastAsiaTheme="minorEastAsia"/>
                <w:sz w:val="18"/>
                <w:szCs w:val="18"/>
              </w:rPr>
              <w:t>≥9</w:t>
            </w:r>
          </w:p>
        </w:tc>
        <w:tc>
          <w:tcPr>
            <w:tcW w:w="0" w:type="auto"/>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d=6a</w:t>
            </w:r>
          </w:p>
        </w:tc>
      </w:tr>
      <w:bookmarkEnd w:id="3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 w:hRule="atLeast"/>
          <w:jc w:val="center"/>
        </w:trPr>
        <w:tc>
          <w:tcPr>
            <w:tcW w:w="0" w:type="auto"/>
            <w:vAlign w:val="center"/>
          </w:tcPr>
          <w:p>
            <w:pPr>
              <w:pStyle w:val="23"/>
              <w:numPr>
                <w:ilvl w:val="0"/>
                <w:numId w:val="0"/>
              </w:numPr>
              <w:tabs>
                <w:tab w:val="left" w:pos="720"/>
              </w:tabs>
              <w:ind w:left="544"/>
              <w:jc w:val="center"/>
              <w:rPr>
                <w:rFonts w:ascii="Times New Roman"/>
                <w:sz w:val="18"/>
                <w:szCs w:val="18"/>
              </w:rPr>
            </w:pPr>
            <w:bookmarkStart w:id="33" w:name="_Hlk151065495"/>
            <w:r>
              <w:rPr>
                <w:rFonts w:ascii="Times New Roman" w:eastAsiaTheme="minorEastAsia"/>
                <w:sz w:val="18"/>
                <w:szCs w:val="18"/>
              </w:rPr>
              <w:t>Q600ZT</w:t>
            </w:r>
          </w:p>
        </w:tc>
        <w:tc>
          <w:tcPr>
            <w:tcW w:w="1115" w:type="dxa"/>
            <w:vAlign w:val="center"/>
          </w:tcPr>
          <w:p>
            <w:pPr>
              <w:pStyle w:val="23"/>
              <w:numPr>
                <w:ilvl w:val="0"/>
                <w:numId w:val="0"/>
              </w:numPr>
              <w:tabs>
                <w:tab w:val="left" w:pos="720"/>
              </w:tabs>
              <w:ind w:left="544"/>
              <w:jc w:val="center"/>
              <w:rPr>
                <w:rFonts w:ascii="Times New Roman" w:eastAsiaTheme="minorEastAsia"/>
                <w:sz w:val="18"/>
                <w:szCs w:val="18"/>
              </w:rPr>
            </w:pPr>
            <w:r>
              <w:rPr>
                <w:rFonts w:ascii="Times New Roman"/>
                <w:sz w:val="18"/>
                <w:szCs w:val="18"/>
              </w:rPr>
              <w:t>D、E、F</w:t>
            </w:r>
          </w:p>
        </w:tc>
        <w:tc>
          <w:tcPr>
            <w:tcW w:w="2125" w:type="dxa"/>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≥620</w:t>
            </w:r>
          </w:p>
        </w:tc>
        <w:tc>
          <w:tcPr>
            <w:tcW w:w="0" w:type="auto"/>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690~850</w:t>
            </w:r>
          </w:p>
        </w:tc>
        <w:tc>
          <w:tcPr>
            <w:tcW w:w="0" w:type="auto"/>
            <w:vAlign w:val="center"/>
          </w:tcPr>
          <w:p>
            <w:pPr>
              <w:pStyle w:val="23"/>
              <w:numPr>
                <w:ilvl w:val="0"/>
                <w:numId w:val="0"/>
              </w:numPr>
              <w:tabs>
                <w:tab w:val="left" w:pos="720"/>
              </w:tabs>
              <w:ind w:left="544"/>
              <w:jc w:val="center"/>
              <w:rPr>
                <w:rFonts w:ascii="Times New Roman" w:eastAsiaTheme="minorEastAsia"/>
                <w:sz w:val="18"/>
                <w:szCs w:val="18"/>
              </w:rPr>
            </w:pPr>
            <w:r>
              <w:rPr>
                <w:rFonts w:ascii="Times New Roman" w:eastAsiaTheme="minorEastAsia"/>
                <w:sz w:val="18"/>
                <w:szCs w:val="18"/>
              </w:rPr>
              <w:t>≥15</w:t>
            </w:r>
          </w:p>
        </w:tc>
        <w:tc>
          <w:tcPr>
            <w:tcW w:w="0" w:type="auto"/>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d=2a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 w:hRule="atLeast"/>
          <w:jc w:val="center"/>
        </w:trPr>
        <w:tc>
          <w:tcPr>
            <w:tcW w:w="0" w:type="auto"/>
            <w:vAlign w:val="center"/>
          </w:tcPr>
          <w:p>
            <w:pPr>
              <w:pStyle w:val="23"/>
              <w:numPr>
                <w:ilvl w:val="0"/>
                <w:numId w:val="0"/>
              </w:numPr>
              <w:tabs>
                <w:tab w:val="left" w:pos="720"/>
              </w:tabs>
              <w:ind w:left="544"/>
              <w:jc w:val="center"/>
              <w:rPr>
                <w:rFonts w:ascii="Times New Roman"/>
                <w:sz w:val="18"/>
                <w:szCs w:val="18"/>
              </w:rPr>
            </w:pPr>
            <w:r>
              <w:rPr>
                <w:rFonts w:ascii="Times New Roman" w:eastAsiaTheme="minorEastAsia"/>
                <w:sz w:val="18"/>
                <w:szCs w:val="18"/>
              </w:rPr>
              <w:t>Q700ZT</w:t>
            </w:r>
          </w:p>
        </w:tc>
        <w:tc>
          <w:tcPr>
            <w:tcW w:w="1115" w:type="dxa"/>
            <w:vAlign w:val="center"/>
          </w:tcPr>
          <w:p>
            <w:pPr>
              <w:pStyle w:val="23"/>
              <w:numPr>
                <w:ilvl w:val="0"/>
                <w:numId w:val="0"/>
              </w:numPr>
              <w:tabs>
                <w:tab w:val="left" w:pos="720"/>
              </w:tabs>
              <w:ind w:left="544"/>
              <w:jc w:val="center"/>
              <w:rPr>
                <w:rFonts w:ascii="Times New Roman" w:eastAsiaTheme="minorEastAsia"/>
                <w:sz w:val="18"/>
                <w:szCs w:val="18"/>
              </w:rPr>
            </w:pPr>
            <w:r>
              <w:rPr>
                <w:rFonts w:ascii="Times New Roman"/>
                <w:sz w:val="18"/>
                <w:szCs w:val="18"/>
              </w:rPr>
              <w:t>D、E、F</w:t>
            </w:r>
          </w:p>
        </w:tc>
        <w:tc>
          <w:tcPr>
            <w:tcW w:w="2125" w:type="dxa"/>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≥690</w:t>
            </w:r>
          </w:p>
        </w:tc>
        <w:tc>
          <w:tcPr>
            <w:tcW w:w="0" w:type="auto"/>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770~940</w:t>
            </w:r>
          </w:p>
        </w:tc>
        <w:tc>
          <w:tcPr>
            <w:tcW w:w="0" w:type="auto"/>
            <w:vAlign w:val="center"/>
          </w:tcPr>
          <w:p>
            <w:pPr>
              <w:pStyle w:val="23"/>
              <w:numPr>
                <w:ilvl w:val="0"/>
                <w:numId w:val="0"/>
              </w:numPr>
              <w:tabs>
                <w:tab w:val="left" w:pos="720"/>
              </w:tabs>
              <w:ind w:left="544"/>
              <w:jc w:val="center"/>
              <w:rPr>
                <w:rFonts w:ascii="Times New Roman"/>
                <w:color w:val="FF0000"/>
                <w:sz w:val="18"/>
                <w:szCs w:val="18"/>
              </w:rPr>
            </w:pPr>
            <w:r>
              <w:rPr>
                <w:rFonts w:ascii="Times New Roman" w:eastAsiaTheme="minorEastAsia"/>
                <w:sz w:val="18"/>
                <w:szCs w:val="18"/>
              </w:rPr>
              <w:t>≥14</w:t>
            </w:r>
          </w:p>
        </w:tc>
        <w:tc>
          <w:tcPr>
            <w:tcW w:w="0" w:type="auto"/>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d=3a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 w:hRule="atLeast"/>
          <w:jc w:val="center"/>
        </w:trPr>
        <w:tc>
          <w:tcPr>
            <w:tcW w:w="0" w:type="auto"/>
            <w:vAlign w:val="center"/>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r>
              <w:rPr>
                <w:rFonts w:ascii="Times New Roman" w:eastAsiaTheme="minorEastAsia"/>
                <w:sz w:val="18"/>
                <w:szCs w:val="18"/>
              </w:rPr>
              <w:t>Q800ZT</w:t>
            </w:r>
          </w:p>
        </w:tc>
        <w:tc>
          <w:tcPr>
            <w:tcW w:w="1115" w:type="dxa"/>
            <w:vAlign w:val="center"/>
          </w:tcPr>
          <w:p>
            <w:pPr>
              <w:pStyle w:val="23"/>
              <w:numPr>
                <w:ilvl w:val="0"/>
                <w:numId w:val="0"/>
              </w:numPr>
              <w:tabs>
                <w:tab w:val="left" w:pos="720"/>
              </w:tabs>
              <w:ind w:left="544"/>
              <w:jc w:val="center"/>
              <w:rPr>
                <w:rFonts w:ascii="Times New Roman" w:eastAsiaTheme="minorEastAsia"/>
                <w:sz w:val="18"/>
                <w:szCs w:val="18"/>
              </w:rPr>
            </w:pPr>
            <w:r>
              <w:rPr>
                <w:rFonts w:ascii="Times New Roman"/>
                <w:sz w:val="18"/>
                <w:szCs w:val="18"/>
              </w:rPr>
              <w:t>D、E、F</w:t>
            </w:r>
          </w:p>
        </w:tc>
        <w:tc>
          <w:tcPr>
            <w:tcW w:w="2125" w:type="dxa"/>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≥800</w:t>
            </w:r>
          </w:p>
        </w:tc>
        <w:tc>
          <w:tcPr>
            <w:tcW w:w="0" w:type="auto"/>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850~1000</w:t>
            </w:r>
          </w:p>
        </w:tc>
        <w:tc>
          <w:tcPr>
            <w:tcW w:w="0" w:type="auto"/>
            <w:vAlign w:val="center"/>
          </w:tcPr>
          <w:p>
            <w:pPr>
              <w:pStyle w:val="23"/>
              <w:numPr>
                <w:ilvl w:val="0"/>
                <w:numId w:val="0"/>
              </w:numPr>
              <w:tabs>
                <w:tab w:val="left" w:pos="720"/>
              </w:tabs>
              <w:ind w:left="544"/>
              <w:jc w:val="center"/>
              <w:rPr>
                <w:rFonts w:ascii="Times New Roman"/>
                <w:color w:val="FF0000"/>
                <w:sz w:val="18"/>
                <w:szCs w:val="18"/>
              </w:rPr>
            </w:pPr>
            <w:r>
              <w:rPr>
                <w:rFonts w:ascii="Times New Roman" w:eastAsiaTheme="minorEastAsia"/>
                <w:sz w:val="18"/>
                <w:szCs w:val="18"/>
              </w:rPr>
              <w:t>≥13</w:t>
            </w:r>
          </w:p>
        </w:tc>
        <w:tc>
          <w:tcPr>
            <w:tcW w:w="0" w:type="auto"/>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d=3a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 w:hRule="atLeast"/>
          <w:jc w:val="center"/>
        </w:trPr>
        <w:tc>
          <w:tcPr>
            <w:tcW w:w="0" w:type="auto"/>
            <w:vAlign w:val="center"/>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r>
              <w:rPr>
                <w:rFonts w:ascii="Times New Roman" w:eastAsiaTheme="minorEastAsia"/>
                <w:color w:val="000000" w:themeColor="text1"/>
                <w:sz w:val="18"/>
                <w:szCs w:val="18"/>
                <w14:textFill>
                  <w14:solidFill>
                    <w14:schemeClr w14:val="tx1"/>
                  </w14:solidFill>
                </w14:textFill>
              </w:rPr>
              <w:t>Q900ZT</w:t>
            </w:r>
          </w:p>
        </w:tc>
        <w:tc>
          <w:tcPr>
            <w:tcW w:w="1115" w:type="dxa"/>
            <w:vAlign w:val="center"/>
          </w:tcPr>
          <w:p>
            <w:pPr>
              <w:pStyle w:val="23"/>
              <w:numPr>
                <w:ilvl w:val="0"/>
                <w:numId w:val="0"/>
              </w:numPr>
              <w:tabs>
                <w:tab w:val="left" w:pos="720"/>
              </w:tabs>
              <w:ind w:left="544"/>
              <w:jc w:val="center"/>
              <w:rPr>
                <w:rFonts w:ascii="Times New Roman" w:eastAsiaTheme="minorEastAsia"/>
                <w:sz w:val="18"/>
                <w:szCs w:val="18"/>
              </w:rPr>
            </w:pPr>
            <w:r>
              <w:rPr>
                <w:rFonts w:ascii="Times New Roman"/>
                <w:sz w:val="18"/>
                <w:szCs w:val="18"/>
              </w:rPr>
              <w:t>D、E、F</w:t>
            </w:r>
          </w:p>
        </w:tc>
        <w:tc>
          <w:tcPr>
            <w:tcW w:w="2125" w:type="dxa"/>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≥900</w:t>
            </w:r>
          </w:p>
        </w:tc>
        <w:tc>
          <w:tcPr>
            <w:tcW w:w="0" w:type="auto"/>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950~1100</w:t>
            </w:r>
          </w:p>
        </w:tc>
        <w:tc>
          <w:tcPr>
            <w:tcW w:w="0" w:type="auto"/>
            <w:vAlign w:val="center"/>
          </w:tcPr>
          <w:p>
            <w:pPr>
              <w:pStyle w:val="23"/>
              <w:numPr>
                <w:ilvl w:val="0"/>
                <w:numId w:val="0"/>
              </w:numPr>
              <w:tabs>
                <w:tab w:val="left" w:pos="720"/>
              </w:tabs>
              <w:ind w:left="544"/>
              <w:jc w:val="center"/>
              <w:rPr>
                <w:rFonts w:ascii="Times New Roman" w:eastAsiaTheme="minorEastAsia"/>
                <w:sz w:val="18"/>
                <w:szCs w:val="18"/>
              </w:rPr>
            </w:pPr>
            <w:r>
              <w:rPr>
                <w:rFonts w:ascii="Times New Roman" w:eastAsiaTheme="minorEastAsia"/>
                <w:sz w:val="18"/>
                <w:szCs w:val="18"/>
              </w:rPr>
              <w:t>≥12</w:t>
            </w:r>
          </w:p>
        </w:tc>
        <w:tc>
          <w:tcPr>
            <w:tcW w:w="0" w:type="auto"/>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d=4a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 w:hRule="atLeast"/>
          <w:jc w:val="center"/>
        </w:trPr>
        <w:tc>
          <w:tcPr>
            <w:tcW w:w="0" w:type="auto"/>
            <w:vAlign w:val="center"/>
          </w:tcPr>
          <w:p>
            <w:pPr>
              <w:pStyle w:val="23"/>
              <w:numPr>
                <w:ilvl w:val="0"/>
                <w:numId w:val="0"/>
              </w:numPr>
              <w:tabs>
                <w:tab w:val="left" w:pos="720"/>
              </w:tabs>
              <w:ind w:left="544"/>
              <w:jc w:val="center"/>
              <w:rPr>
                <w:rFonts w:ascii="Times New Roman"/>
                <w:sz w:val="18"/>
                <w:szCs w:val="18"/>
              </w:rPr>
            </w:pPr>
            <w:r>
              <w:rPr>
                <w:rFonts w:ascii="Times New Roman" w:eastAsiaTheme="minorEastAsia"/>
                <w:color w:val="000000" w:themeColor="text1"/>
                <w:sz w:val="18"/>
                <w:szCs w:val="18"/>
                <w14:textFill>
                  <w14:solidFill>
                    <w14:schemeClr w14:val="tx1"/>
                  </w14:solidFill>
                </w14:textFill>
              </w:rPr>
              <w:t>Q960ZT</w:t>
            </w:r>
          </w:p>
        </w:tc>
        <w:tc>
          <w:tcPr>
            <w:tcW w:w="1115" w:type="dxa"/>
            <w:vAlign w:val="center"/>
          </w:tcPr>
          <w:p>
            <w:pPr>
              <w:pStyle w:val="23"/>
              <w:numPr>
                <w:ilvl w:val="0"/>
                <w:numId w:val="0"/>
              </w:numPr>
              <w:tabs>
                <w:tab w:val="left" w:pos="720"/>
              </w:tabs>
              <w:ind w:left="544"/>
              <w:jc w:val="center"/>
              <w:rPr>
                <w:rFonts w:ascii="Times New Roman" w:eastAsiaTheme="minorEastAsia"/>
                <w:sz w:val="18"/>
                <w:szCs w:val="18"/>
              </w:rPr>
            </w:pPr>
            <w:r>
              <w:rPr>
                <w:rFonts w:ascii="Times New Roman"/>
                <w:sz w:val="18"/>
                <w:szCs w:val="18"/>
              </w:rPr>
              <w:t>D、E、F</w:t>
            </w:r>
          </w:p>
        </w:tc>
        <w:tc>
          <w:tcPr>
            <w:tcW w:w="2125" w:type="dxa"/>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≥960</w:t>
            </w:r>
          </w:p>
        </w:tc>
        <w:tc>
          <w:tcPr>
            <w:tcW w:w="0" w:type="auto"/>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980~1150</w:t>
            </w:r>
          </w:p>
        </w:tc>
        <w:tc>
          <w:tcPr>
            <w:tcW w:w="0" w:type="auto"/>
            <w:vAlign w:val="center"/>
          </w:tcPr>
          <w:p>
            <w:pPr>
              <w:pStyle w:val="23"/>
              <w:numPr>
                <w:ilvl w:val="0"/>
                <w:numId w:val="0"/>
              </w:numPr>
              <w:tabs>
                <w:tab w:val="left" w:pos="720"/>
              </w:tabs>
              <w:ind w:left="544"/>
              <w:jc w:val="center"/>
              <w:rPr>
                <w:rFonts w:ascii="Times New Roman" w:eastAsiaTheme="minorEastAsia"/>
                <w:color w:val="000000" w:themeColor="text1"/>
                <w:sz w:val="18"/>
                <w:szCs w:val="18"/>
                <w14:textFill>
                  <w14:solidFill>
                    <w14:schemeClr w14:val="tx1"/>
                  </w14:solidFill>
                </w14:textFill>
              </w:rPr>
            </w:pPr>
            <w:r>
              <w:rPr>
                <w:rFonts w:ascii="Times New Roman" w:eastAsiaTheme="minorEastAsia"/>
                <w:sz w:val="18"/>
                <w:szCs w:val="18"/>
              </w:rPr>
              <w:t>≥11</w:t>
            </w:r>
          </w:p>
        </w:tc>
        <w:tc>
          <w:tcPr>
            <w:tcW w:w="0" w:type="auto"/>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d=4a</w:t>
            </w:r>
          </w:p>
        </w:tc>
      </w:tr>
      <w:bookmarkEnd w:id="3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gridSpan w:val="6"/>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注：钢板拉伸实验取横向试样。</w:t>
            </w:r>
          </w:p>
        </w:tc>
      </w:tr>
      <w:bookmarkEnd w:id="30"/>
      <w:bookmarkEnd w:id="31"/>
    </w:tbl>
    <w:p>
      <w:pPr>
        <w:pStyle w:val="78"/>
        <w:numPr>
          <w:ilvl w:val="0"/>
          <w:numId w:val="0"/>
        </w:numPr>
        <w:spacing w:before="156" w:after="156"/>
        <w:rPr>
          <w:rFonts w:ascii="Times New Roman"/>
        </w:rPr>
      </w:pPr>
      <w:bookmarkStart w:id="34" w:name="_Hlk150782003"/>
      <w:r>
        <w:rPr>
          <w:rFonts w:ascii="Times New Roman"/>
        </w:rPr>
        <w:t>表7  夏比（V型缺口）冲击试验</w:t>
      </w:r>
    </w:p>
    <w:tbl>
      <w:tblPr>
        <w:tblStyle w:val="3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5"/>
        <w:gridCol w:w="1519"/>
        <w:gridCol w:w="1185"/>
        <w:gridCol w:w="1185"/>
        <w:gridCol w:w="1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92" w:type="pct"/>
            <w:vMerge w:val="restart"/>
            <w:vAlign w:val="center"/>
          </w:tcPr>
          <w:p>
            <w:pPr>
              <w:pStyle w:val="23"/>
              <w:numPr>
                <w:ilvl w:val="0"/>
                <w:numId w:val="0"/>
              </w:numPr>
              <w:tabs>
                <w:tab w:val="left" w:pos="720"/>
              </w:tabs>
              <w:ind w:left="544"/>
              <w:jc w:val="center"/>
              <w:rPr>
                <w:rFonts w:ascii="Times New Roman"/>
                <w:sz w:val="18"/>
                <w:szCs w:val="18"/>
              </w:rPr>
            </w:pPr>
            <w:bookmarkStart w:id="35" w:name="_Hlk156396088"/>
            <w:r>
              <w:rPr>
                <w:rFonts w:ascii="Times New Roman"/>
                <w:sz w:val="18"/>
                <w:szCs w:val="18"/>
              </w:rPr>
              <w:t>牌号</w:t>
            </w:r>
          </w:p>
        </w:tc>
        <w:tc>
          <w:tcPr>
            <w:tcW w:w="837" w:type="pct"/>
            <w:vMerge w:val="restar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质量等级</w:t>
            </w:r>
          </w:p>
        </w:tc>
        <w:tc>
          <w:tcPr>
            <w:tcW w:w="1772" w:type="pct"/>
            <w:gridSpan w:val="3"/>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夏比（V型缺口）冲击试验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92" w:type="pct"/>
            <w:vMerge w:val="continue"/>
            <w:vAlign w:val="center"/>
          </w:tcPr>
          <w:p>
            <w:pPr>
              <w:pStyle w:val="23"/>
              <w:numPr>
                <w:ilvl w:val="0"/>
                <w:numId w:val="0"/>
              </w:numPr>
              <w:tabs>
                <w:tab w:val="left" w:pos="720"/>
              </w:tabs>
              <w:ind w:left="544"/>
              <w:jc w:val="center"/>
              <w:rPr>
                <w:rFonts w:ascii="Times New Roman"/>
                <w:sz w:val="18"/>
                <w:szCs w:val="18"/>
              </w:rPr>
            </w:pPr>
          </w:p>
        </w:tc>
        <w:tc>
          <w:tcPr>
            <w:tcW w:w="837" w:type="pct"/>
            <w:vMerge w:val="continue"/>
            <w:vAlign w:val="center"/>
          </w:tcPr>
          <w:p>
            <w:pPr>
              <w:pStyle w:val="23"/>
              <w:numPr>
                <w:ilvl w:val="0"/>
                <w:numId w:val="0"/>
              </w:numPr>
              <w:tabs>
                <w:tab w:val="left" w:pos="720"/>
              </w:tabs>
              <w:ind w:left="544"/>
              <w:jc w:val="center"/>
              <w:rPr>
                <w:rFonts w:ascii="Times New Roman"/>
                <w:sz w:val="18"/>
                <w:szCs w:val="18"/>
              </w:rPr>
            </w:pPr>
          </w:p>
        </w:tc>
        <w:tc>
          <w:tcPr>
            <w:tcW w:w="1772" w:type="pct"/>
            <w:gridSpan w:val="3"/>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冲击吸收能量最小值KV</w:t>
            </w:r>
            <w:r>
              <w:rPr>
                <w:rFonts w:ascii="Times New Roman"/>
                <w:sz w:val="18"/>
                <w:szCs w:val="18"/>
                <w:vertAlign w:val="subscript"/>
              </w:rPr>
              <w:t>2</w:t>
            </w:r>
            <w:r>
              <w:rPr>
                <w:rFonts w:ascii="Times New Roman"/>
                <w:sz w:val="18"/>
                <w:szCs w:val="18"/>
              </w:rPr>
              <w:t>/J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92" w:type="pct"/>
            <w:vMerge w:val="continue"/>
            <w:vAlign w:val="center"/>
          </w:tcPr>
          <w:p>
            <w:pPr>
              <w:pStyle w:val="23"/>
              <w:numPr>
                <w:ilvl w:val="0"/>
                <w:numId w:val="0"/>
              </w:numPr>
              <w:tabs>
                <w:tab w:val="left" w:pos="720"/>
              </w:tabs>
              <w:ind w:left="544"/>
              <w:jc w:val="center"/>
              <w:rPr>
                <w:rFonts w:ascii="Times New Roman"/>
                <w:sz w:val="18"/>
                <w:szCs w:val="18"/>
              </w:rPr>
            </w:pPr>
          </w:p>
        </w:tc>
        <w:tc>
          <w:tcPr>
            <w:tcW w:w="837" w:type="pct"/>
            <w:vMerge w:val="continue"/>
            <w:vAlign w:val="center"/>
          </w:tcPr>
          <w:p>
            <w:pPr>
              <w:pStyle w:val="23"/>
              <w:numPr>
                <w:ilvl w:val="0"/>
                <w:numId w:val="0"/>
              </w:numPr>
              <w:tabs>
                <w:tab w:val="left" w:pos="720"/>
              </w:tabs>
              <w:ind w:left="544"/>
              <w:jc w:val="center"/>
              <w:rPr>
                <w:rFonts w:ascii="Times New Roman"/>
                <w:sz w:val="18"/>
                <w:szCs w:val="18"/>
              </w:rPr>
            </w:pPr>
          </w:p>
        </w:tc>
        <w:tc>
          <w:tcPr>
            <w:tcW w:w="52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-20℃</w:t>
            </w:r>
          </w:p>
        </w:tc>
        <w:tc>
          <w:tcPr>
            <w:tcW w:w="660"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-40℃</w:t>
            </w:r>
          </w:p>
        </w:tc>
        <w:tc>
          <w:tcPr>
            <w:tcW w:w="59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2392" w:type="pct"/>
            <w:vMerge w:val="restart"/>
            <w:vAlign w:val="center"/>
          </w:tcPr>
          <w:p>
            <w:pPr>
              <w:numPr>
                <w:ilvl w:val="0"/>
                <w:numId w:val="0"/>
              </w:numPr>
              <w:tabs>
                <w:tab w:val="left" w:pos="720"/>
              </w:tabs>
              <w:ind w:left="544" w:hanging="181"/>
              <w:jc w:val="center"/>
              <w:rPr>
                <w:rFonts w:ascii="Times New Roman"/>
                <w:color w:val="000000" w:themeColor="text1"/>
                <w:sz w:val="18"/>
                <w:szCs w:val="18"/>
                <w14:textFill>
                  <w14:solidFill>
                    <w14:schemeClr w14:val="tx1"/>
                  </w14:solidFill>
                </w14:textFill>
              </w:rPr>
            </w:pPr>
            <w:r>
              <w:rPr>
                <w:rFonts w:ascii="Times New Roman"/>
                <w:sz w:val="18"/>
                <w:szCs w:val="18"/>
              </w:rPr>
              <w:t>Q600SSB</w:t>
            </w:r>
          </w:p>
        </w:tc>
        <w:tc>
          <w:tcPr>
            <w:tcW w:w="837"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D</w:t>
            </w:r>
          </w:p>
        </w:tc>
        <w:tc>
          <w:tcPr>
            <w:tcW w:w="52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47</w:t>
            </w:r>
          </w:p>
        </w:tc>
        <w:tc>
          <w:tcPr>
            <w:tcW w:w="660"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c>
          <w:tcPr>
            <w:tcW w:w="59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 w:hRule="atLeast"/>
          <w:jc w:val="center"/>
        </w:trPr>
        <w:tc>
          <w:tcPr>
            <w:tcW w:w="2392" w:type="pct"/>
            <w:vMerge w:val="continue"/>
            <w:vAlign w:val="center"/>
          </w:tcPr>
          <w:p>
            <w:pPr>
              <w:numPr>
                <w:numId w:val="1"/>
              </w:numPr>
              <w:tabs>
                <w:tab w:val="left" w:pos="720"/>
              </w:tabs>
              <w:ind w:left="544" w:hanging="181"/>
              <w:jc w:val="center"/>
              <w:rPr>
                <w:rFonts w:ascii="Times New Roman"/>
                <w:sz w:val="18"/>
                <w:szCs w:val="18"/>
              </w:rPr>
            </w:pPr>
          </w:p>
        </w:tc>
        <w:tc>
          <w:tcPr>
            <w:tcW w:w="837"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E</w:t>
            </w:r>
          </w:p>
        </w:tc>
        <w:tc>
          <w:tcPr>
            <w:tcW w:w="521" w:type="pct"/>
            <w:vAlign w:val="center"/>
          </w:tcPr>
          <w:p>
            <w:pPr>
              <w:pStyle w:val="23"/>
              <w:numPr>
                <w:ilvl w:val="0"/>
                <w:numId w:val="0"/>
              </w:numPr>
              <w:tabs>
                <w:tab w:val="left" w:pos="720"/>
              </w:tabs>
              <w:ind w:left="544"/>
              <w:jc w:val="center"/>
              <w:rPr>
                <w:rFonts w:ascii="Times New Roman"/>
                <w:sz w:val="18"/>
                <w:szCs w:val="18"/>
              </w:rPr>
            </w:pPr>
          </w:p>
        </w:tc>
        <w:tc>
          <w:tcPr>
            <w:tcW w:w="660"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27</w:t>
            </w:r>
          </w:p>
        </w:tc>
        <w:tc>
          <w:tcPr>
            <w:tcW w:w="59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2392" w:type="pct"/>
            <w:vMerge w:val="restart"/>
            <w:vAlign w:val="center"/>
          </w:tcPr>
          <w:p>
            <w:pPr>
              <w:pStyle w:val="23"/>
              <w:numPr>
                <w:ilvl w:val="0"/>
                <w:numId w:val="0"/>
              </w:numPr>
              <w:tabs>
                <w:tab w:val="left" w:pos="720"/>
              </w:tabs>
              <w:ind w:left="544"/>
              <w:jc w:val="center"/>
              <w:rPr>
                <w:rFonts w:ascii="Times New Roman" w:eastAsiaTheme="minorEastAsia"/>
                <w:color w:val="000000" w:themeColor="text1"/>
                <w:sz w:val="18"/>
                <w:szCs w:val="18"/>
                <w14:textFill>
                  <w14:solidFill>
                    <w14:schemeClr w14:val="tx1"/>
                  </w14:solidFill>
                </w14:textFill>
              </w:rPr>
            </w:pPr>
            <w:r>
              <w:rPr>
                <w:rFonts w:ascii="Times New Roman"/>
                <w:sz w:val="18"/>
                <w:szCs w:val="18"/>
              </w:rPr>
              <w:t>Q700SSB</w:t>
            </w:r>
          </w:p>
        </w:tc>
        <w:tc>
          <w:tcPr>
            <w:tcW w:w="837" w:type="pct"/>
            <w:vAlign w:val="center"/>
          </w:tcPr>
          <w:p>
            <w:pPr>
              <w:pStyle w:val="23"/>
              <w:numPr>
                <w:ilvl w:val="0"/>
                <w:numId w:val="0"/>
              </w:numPr>
              <w:tabs>
                <w:tab w:val="left" w:pos="720"/>
              </w:tabs>
              <w:ind w:left="544"/>
              <w:jc w:val="center"/>
              <w:rPr>
                <w:rFonts w:ascii="Times New Roman" w:eastAsiaTheme="minorEastAsia"/>
                <w:color w:val="000000" w:themeColor="text1"/>
                <w:sz w:val="18"/>
                <w:szCs w:val="18"/>
                <w14:textFill>
                  <w14:solidFill>
                    <w14:schemeClr w14:val="tx1"/>
                  </w14:solidFill>
                </w14:textFill>
              </w:rPr>
            </w:pPr>
            <w:r>
              <w:rPr>
                <w:rFonts w:ascii="Times New Roman"/>
                <w:sz w:val="18"/>
                <w:szCs w:val="18"/>
              </w:rPr>
              <w:t>D</w:t>
            </w:r>
          </w:p>
        </w:tc>
        <w:tc>
          <w:tcPr>
            <w:tcW w:w="52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47</w:t>
            </w:r>
          </w:p>
        </w:tc>
        <w:tc>
          <w:tcPr>
            <w:tcW w:w="660"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c>
          <w:tcPr>
            <w:tcW w:w="59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2392" w:type="pct"/>
            <w:vMerge w:val="continue"/>
            <w:vAlign w:val="center"/>
          </w:tcPr>
          <w:p>
            <w:pPr>
              <w:pStyle w:val="23"/>
              <w:numPr>
                <w:numId w:val="1"/>
              </w:numPr>
              <w:tabs>
                <w:tab w:val="left" w:pos="720"/>
              </w:tabs>
              <w:ind w:left="544" w:firstLine="0" w:firstLineChars="0"/>
              <w:jc w:val="center"/>
              <w:rPr>
                <w:rFonts w:ascii="Times New Roman"/>
                <w:sz w:val="18"/>
                <w:szCs w:val="18"/>
              </w:rPr>
            </w:pPr>
          </w:p>
        </w:tc>
        <w:tc>
          <w:tcPr>
            <w:tcW w:w="837"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E</w:t>
            </w:r>
          </w:p>
        </w:tc>
        <w:tc>
          <w:tcPr>
            <w:tcW w:w="52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c>
          <w:tcPr>
            <w:tcW w:w="660"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27</w:t>
            </w:r>
          </w:p>
        </w:tc>
        <w:tc>
          <w:tcPr>
            <w:tcW w:w="59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2392" w:type="pct"/>
            <w:vMerge w:val="restart"/>
            <w:vAlign w:val="center"/>
          </w:tcPr>
          <w:p>
            <w:pPr>
              <w:pStyle w:val="23"/>
              <w:numPr>
                <w:ilvl w:val="0"/>
                <w:numId w:val="0"/>
              </w:numPr>
              <w:tabs>
                <w:tab w:val="left" w:pos="720"/>
              </w:tabs>
              <w:ind w:left="544"/>
              <w:jc w:val="center"/>
              <w:rPr>
                <w:rFonts w:ascii="Times New Roman" w:eastAsiaTheme="minorEastAsia"/>
                <w:color w:val="000000" w:themeColor="text1"/>
                <w:sz w:val="18"/>
                <w:szCs w:val="18"/>
                <w14:textFill>
                  <w14:solidFill>
                    <w14:schemeClr w14:val="tx1"/>
                  </w14:solidFill>
                </w14:textFill>
              </w:rPr>
            </w:pPr>
            <w:r>
              <w:rPr>
                <w:rFonts w:ascii="Times New Roman"/>
                <w:sz w:val="18"/>
                <w:szCs w:val="18"/>
              </w:rPr>
              <w:t>Q800SSB</w:t>
            </w:r>
          </w:p>
        </w:tc>
        <w:tc>
          <w:tcPr>
            <w:tcW w:w="837" w:type="pct"/>
            <w:vAlign w:val="center"/>
          </w:tcPr>
          <w:p>
            <w:pPr>
              <w:pStyle w:val="23"/>
              <w:numPr>
                <w:ilvl w:val="0"/>
                <w:numId w:val="0"/>
              </w:numPr>
              <w:tabs>
                <w:tab w:val="left" w:pos="720"/>
              </w:tabs>
              <w:ind w:left="544"/>
              <w:jc w:val="center"/>
              <w:rPr>
                <w:rFonts w:ascii="Times New Roman" w:eastAsiaTheme="minorEastAsia"/>
                <w:color w:val="000000" w:themeColor="text1"/>
                <w:sz w:val="18"/>
                <w:szCs w:val="18"/>
                <w14:textFill>
                  <w14:solidFill>
                    <w14:schemeClr w14:val="tx1"/>
                  </w14:solidFill>
                </w14:textFill>
              </w:rPr>
            </w:pPr>
            <w:r>
              <w:rPr>
                <w:rFonts w:ascii="Times New Roman"/>
                <w:sz w:val="18"/>
                <w:szCs w:val="18"/>
              </w:rPr>
              <w:t>D</w:t>
            </w:r>
          </w:p>
        </w:tc>
        <w:tc>
          <w:tcPr>
            <w:tcW w:w="52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47</w:t>
            </w:r>
          </w:p>
        </w:tc>
        <w:tc>
          <w:tcPr>
            <w:tcW w:w="660"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c>
          <w:tcPr>
            <w:tcW w:w="59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2392" w:type="pct"/>
            <w:vMerge w:val="continue"/>
            <w:vAlign w:val="center"/>
          </w:tcPr>
          <w:p>
            <w:pPr>
              <w:pStyle w:val="23"/>
              <w:numPr>
                <w:numId w:val="1"/>
              </w:numPr>
              <w:tabs>
                <w:tab w:val="left" w:pos="720"/>
              </w:tabs>
              <w:ind w:left="544" w:firstLine="0" w:firstLineChars="0"/>
              <w:jc w:val="center"/>
              <w:rPr>
                <w:rFonts w:ascii="Times New Roman"/>
                <w:sz w:val="18"/>
                <w:szCs w:val="18"/>
              </w:rPr>
            </w:pPr>
          </w:p>
        </w:tc>
        <w:tc>
          <w:tcPr>
            <w:tcW w:w="837"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E</w:t>
            </w:r>
          </w:p>
        </w:tc>
        <w:tc>
          <w:tcPr>
            <w:tcW w:w="52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c>
          <w:tcPr>
            <w:tcW w:w="660"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27</w:t>
            </w:r>
          </w:p>
        </w:tc>
        <w:tc>
          <w:tcPr>
            <w:tcW w:w="59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 w:hRule="atLeast"/>
          <w:jc w:val="center"/>
        </w:trPr>
        <w:tc>
          <w:tcPr>
            <w:tcW w:w="2392" w:type="pct"/>
            <w:vMerge w:val="restart"/>
            <w:vAlign w:val="center"/>
          </w:tcPr>
          <w:p>
            <w:pPr>
              <w:pStyle w:val="23"/>
              <w:numPr>
                <w:ilvl w:val="0"/>
                <w:numId w:val="0"/>
              </w:numPr>
              <w:tabs>
                <w:tab w:val="left" w:pos="720"/>
              </w:tabs>
              <w:ind w:left="544"/>
              <w:jc w:val="center"/>
              <w:rPr>
                <w:rFonts w:ascii="Times New Roman"/>
                <w:sz w:val="18"/>
                <w:szCs w:val="18"/>
              </w:rPr>
            </w:pPr>
            <w:r>
              <w:rPr>
                <w:rFonts w:ascii="Times New Roman"/>
                <w:color w:val="000000" w:themeColor="text1"/>
                <w:sz w:val="18"/>
                <w:szCs w:val="18"/>
                <w14:textFill>
                  <w14:solidFill>
                    <w14:schemeClr w14:val="tx1"/>
                  </w14:solidFill>
                </w14:textFill>
              </w:rPr>
              <w:t>Q900SSB</w:t>
            </w:r>
          </w:p>
        </w:tc>
        <w:tc>
          <w:tcPr>
            <w:tcW w:w="837"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D</w:t>
            </w:r>
          </w:p>
        </w:tc>
        <w:tc>
          <w:tcPr>
            <w:tcW w:w="52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47</w:t>
            </w:r>
          </w:p>
        </w:tc>
        <w:tc>
          <w:tcPr>
            <w:tcW w:w="660"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c>
          <w:tcPr>
            <w:tcW w:w="59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392" w:type="pct"/>
            <w:vMerge w:val="continue"/>
            <w:vAlign w:val="center"/>
          </w:tcPr>
          <w:p>
            <w:pPr>
              <w:pStyle w:val="23"/>
              <w:numPr>
                <w:numId w:val="1"/>
              </w:numPr>
              <w:tabs>
                <w:tab w:val="left" w:pos="720"/>
              </w:tabs>
              <w:ind w:left="544" w:firstLine="0" w:firstLineChars="0"/>
              <w:jc w:val="center"/>
              <w:rPr>
                <w:rFonts w:ascii="Times New Roman"/>
                <w:color w:val="000000" w:themeColor="text1"/>
                <w:sz w:val="18"/>
                <w:szCs w:val="18"/>
                <w14:textFill>
                  <w14:solidFill>
                    <w14:schemeClr w14:val="tx1"/>
                  </w14:solidFill>
                </w14:textFill>
              </w:rPr>
            </w:pPr>
          </w:p>
        </w:tc>
        <w:tc>
          <w:tcPr>
            <w:tcW w:w="837"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E</w:t>
            </w:r>
          </w:p>
        </w:tc>
        <w:tc>
          <w:tcPr>
            <w:tcW w:w="52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c>
          <w:tcPr>
            <w:tcW w:w="660"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34</w:t>
            </w:r>
          </w:p>
        </w:tc>
        <w:tc>
          <w:tcPr>
            <w:tcW w:w="59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392" w:type="pct"/>
            <w:vMerge w:val="continue"/>
            <w:vAlign w:val="center"/>
          </w:tcPr>
          <w:p>
            <w:pPr>
              <w:pStyle w:val="23"/>
              <w:numPr>
                <w:numId w:val="1"/>
              </w:numPr>
              <w:tabs>
                <w:tab w:val="left" w:pos="720"/>
              </w:tabs>
              <w:ind w:left="544" w:firstLine="0" w:firstLineChars="0"/>
              <w:jc w:val="center"/>
              <w:rPr>
                <w:rFonts w:ascii="Times New Roman"/>
                <w:color w:val="000000" w:themeColor="text1"/>
                <w:sz w:val="18"/>
                <w:szCs w:val="18"/>
                <w14:textFill>
                  <w14:solidFill>
                    <w14:schemeClr w14:val="tx1"/>
                  </w14:solidFill>
                </w14:textFill>
              </w:rPr>
            </w:pPr>
          </w:p>
        </w:tc>
        <w:tc>
          <w:tcPr>
            <w:tcW w:w="837"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F</w:t>
            </w:r>
          </w:p>
        </w:tc>
        <w:tc>
          <w:tcPr>
            <w:tcW w:w="52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c>
          <w:tcPr>
            <w:tcW w:w="660"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c>
          <w:tcPr>
            <w:tcW w:w="59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 w:hRule="atLeast"/>
          <w:jc w:val="center"/>
        </w:trPr>
        <w:tc>
          <w:tcPr>
            <w:tcW w:w="2392" w:type="pct"/>
            <w:vMerge w:val="restart"/>
            <w:vAlign w:val="center"/>
          </w:tcPr>
          <w:p>
            <w:pPr>
              <w:pStyle w:val="23"/>
              <w:numPr>
                <w:ilvl w:val="0"/>
                <w:numId w:val="0"/>
              </w:numPr>
              <w:tabs>
                <w:tab w:val="left" w:pos="720"/>
              </w:tabs>
              <w:ind w:left="544"/>
              <w:jc w:val="center"/>
              <w:rPr>
                <w:rFonts w:ascii="Times New Roman"/>
                <w:sz w:val="18"/>
                <w:szCs w:val="18"/>
              </w:rPr>
            </w:pPr>
            <w:r>
              <w:rPr>
                <w:rFonts w:ascii="Times New Roman"/>
                <w:color w:val="000000" w:themeColor="text1"/>
                <w:sz w:val="18"/>
                <w:szCs w:val="18"/>
                <w14:textFill>
                  <w14:solidFill>
                    <w14:schemeClr w14:val="tx1"/>
                  </w14:solidFill>
                </w14:textFill>
              </w:rPr>
              <w:t>Q960SSB</w:t>
            </w:r>
          </w:p>
        </w:tc>
        <w:tc>
          <w:tcPr>
            <w:tcW w:w="837"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D</w:t>
            </w:r>
          </w:p>
        </w:tc>
        <w:tc>
          <w:tcPr>
            <w:tcW w:w="52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47</w:t>
            </w:r>
          </w:p>
        </w:tc>
        <w:tc>
          <w:tcPr>
            <w:tcW w:w="660"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c>
          <w:tcPr>
            <w:tcW w:w="59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392" w:type="pct"/>
            <w:vMerge w:val="continue"/>
            <w:vAlign w:val="center"/>
          </w:tcPr>
          <w:p>
            <w:pPr>
              <w:pStyle w:val="23"/>
              <w:numPr>
                <w:numId w:val="1"/>
              </w:numPr>
              <w:tabs>
                <w:tab w:val="left" w:pos="720"/>
              </w:tabs>
              <w:ind w:left="544" w:firstLine="0" w:firstLineChars="0"/>
              <w:jc w:val="center"/>
              <w:rPr>
                <w:rFonts w:ascii="Times New Roman"/>
                <w:color w:val="000000" w:themeColor="text1"/>
                <w:sz w:val="18"/>
                <w:szCs w:val="18"/>
                <w14:textFill>
                  <w14:solidFill>
                    <w14:schemeClr w14:val="tx1"/>
                  </w14:solidFill>
                </w14:textFill>
              </w:rPr>
            </w:pPr>
          </w:p>
        </w:tc>
        <w:tc>
          <w:tcPr>
            <w:tcW w:w="837"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E</w:t>
            </w:r>
          </w:p>
        </w:tc>
        <w:tc>
          <w:tcPr>
            <w:tcW w:w="52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c>
          <w:tcPr>
            <w:tcW w:w="660"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34</w:t>
            </w:r>
          </w:p>
        </w:tc>
        <w:tc>
          <w:tcPr>
            <w:tcW w:w="59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392" w:type="pct"/>
            <w:vMerge w:val="continue"/>
            <w:vAlign w:val="center"/>
          </w:tcPr>
          <w:p>
            <w:pPr>
              <w:pStyle w:val="23"/>
              <w:numPr>
                <w:numId w:val="1"/>
              </w:numPr>
              <w:tabs>
                <w:tab w:val="left" w:pos="720"/>
              </w:tabs>
              <w:ind w:left="544" w:firstLine="0" w:firstLineChars="0"/>
              <w:jc w:val="center"/>
              <w:rPr>
                <w:rFonts w:ascii="Times New Roman"/>
                <w:color w:val="000000" w:themeColor="text1"/>
                <w:sz w:val="18"/>
                <w:szCs w:val="18"/>
                <w14:textFill>
                  <w14:solidFill>
                    <w14:schemeClr w14:val="tx1"/>
                  </w14:solidFill>
                </w14:textFill>
              </w:rPr>
            </w:pPr>
          </w:p>
        </w:tc>
        <w:tc>
          <w:tcPr>
            <w:tcW w:w="837"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F</w:t>
            </w:r>
          </w:p>
        </w:tc>
        <w:tc>
          <w:tcPr>
            <w:tcW w:w="52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c>
          <w:tcPr>
            <w:tcW w:w="660"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c>
          <w:tcPr>
            <w:tcW w:w="59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 w:hRule="atLeast"/>
          <w:jc w:val="center"/>
        </w:trPr>
        <w:tc>
          <w:tcPr>
            <w:tcW w:w="2392" w:type="pct"/>
            <w:vMerge w:val="restart"/>
            <w:vAlign w:val="center"/>
          </w:tcPr>
          <w:p>
            <w:pPr>
              <w:pStyle w:val="23"/>
              <w:numPr>
                <w:ilvl w:val="0"/>
                <w:numId w:val="0"/>
              </w:numPr>
              <w:tabs>
                <w:tab w:val="left" w:pos="720"/>
              </w:tabs>
              <w:ind w:left="544"/>
              <w:jc w:val="center"/>
              <w:rPr>
                <w:rFonts w:ascii="Times New Roman"/>
                <w:sz w:val="18"/>
                <w:szCs w:val="18"/>
              </w:rPr>
            </w:pPr>
            <w:r>
              <w:rPr>
                <w:rFonts w:ascii="Times New Roman" w:eastAsiaTheme="minorEastAsia"/>
                <w:color w:val="000000" w:themeColor="text1"/>
                <w:sz w:val="18"/>
                <w:szCs w:val="18"/>
                <w14:textFill>
                  <w14:solidFill>
                    <w14:schemeClr w14:val="tx1"/>
                  </w14:solidFill>
                </w14:textFill>
              </w:rPr>
              <w:t>Q1100SSB</w:t>
            </w:r>
          </w:p>
        </w:tc>
        <w:tc>
          <w:tcPr>
            <w:tcW w:w="837"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E</w:t>
            </w:r>
          </w:p>
        </w:tc>
        <w:tc>
          <w:tcPr>
            <w:tcW w:w="52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c>
          <w:tcPr>
            <w:tcW w:w="660"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34</w:t>
            </w:r>
          </w:p>
        </w:tc>
        <w:tc>
          <w:tcPr>
            <w:tcW w:w="59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2392" w:type="pct"/>
            <w:vMerge w:val="continue"/>
            <w:vAlign w:val="center"/>
          </w:tcPr>
          <w:p>
            <w:pPr>
              <w:pStyle w:val="23"/>
              <w:numPr>
                <w:numId w:val="1"/>
              </w:numPr>
              <w:tabs>
                <w:tab w:val="left" w:pos="720"/>
              </w:tabs>
              <w:ind w:left="544" w:firstLine="0" w:firstLineChars="0"/>
              <w:jc w:val="center"/>
              <w:rPr>
                <w:rFonts w:ascii="Times New Roman" w:eastAsiaTheme="minorEastAsia"/>
                <w:color w:val="000000" w:themeColor="text1"/>
                <w:sz w:val="18"/>
                <w:szCs w:val="18"/>
                <w14:textFill>
                  <w14:solidFill>
                    <w14:schemeClr w14:val="tx1"/>
                  </w14:solidFill>
                </w14:textFill>
              </w:rPr>
            </w:pPr>
          </w:p>
        </w:tc>
        <w:tc>
          <w:tcPr>
            <w:tcW w:w="837"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F</w:t>
            </w:r>
          </w:p>
        </w:tc>
        <w:tc>
          <w:tcPr>
            <w:tcW w:w="52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c>
          <w:tcPr>
            <w:tcW w:w="660"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c>
          <w:tcPr>
            <w:tcW w:w="59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 w:hRule="atLeast"/>
          <w:jc w:val="center"/>
        </w:trPr>
        <w:tc>
          <w:tcPr>
            <w:tcW w:w="2392" w:type="pct"/>
            <w:vMerge w:val="restart"/>
            <w:vAlign w:val="center"/>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Q600ZT</w:t>
            </w:r>
          </w:p>
        </w:tc>
        <w:tc>
          <w:tcPr>
            <w:tcW w:w="837"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D</w:t>
            </w:r>
          </w:p>
        </w:tc>
        <w:tc>
          <w:tcPr>
            <w:tcW w:w="52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47</w:t>
            </w:r>
          </w:p>
        </w:tc>
        <w:tc>
          <w:tcPr>
            <w:tcW w:w="660"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c>
          <w:tcPr>
            <w:tcW w:w="59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392" w:type="pct"/>
            <w:vMerge w:val="continue"/>
            <w:vAlign w:val="center"/>
          </w:tcPr>
          <w:p>
            <w:pPr>
              <w:pStyle w:val="23"/>
              <w:numPr>
                <w:numId w:val="1"/>
              </w:numPr>
              <w:tabs>
                <w:tab w:val="left" w:pos="720"/>
              </w:tabs>
              <w:ind w:left="544" w:firstLine="0" w:firstLineChars="0"/>
              <w:jc w:val="center"/>
              <w:rPr>
                <w:rFonts w:ascii="Times New Roman"/>
                <w:color w:val="000000" w:themeColor="text1"/>
                <w:sz w:val="18"/>
                <w:szCs w:val="18"/>
                <w14:textFill>
                  <w14:solidFill>
                    <w14:schemeClr w14:val="tx1"/>
                  </w14:solidFill>
                </w14:textFill>
              </w:rPr>
            </w:pPr>
          </w:p>
        </w:tc>
        <w:tc>
          <w:tcPr>
            <w:tcW w:w="837"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E</w:t>
            </w:r>
          </w:p>
        </w:tc>
        <w:tc>
          <w:tcPr>
            <w:tcW w:w="52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c>
          <w:tcPr>
            <w:tcW w:w="660"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34</w:t>
            </w:r>
          </w:p>
        </w:tc>
        <w:tc>
          <w:tcPr>
            <w:tcW w:w="59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 w:hRule="atLeast"/>
          <w:jc w:val="center"/>
        </w:trPr>
        <w:tc>
          <w:tcPr>
            <w:tcW w:w="2392" w:type="pct"/>
            <w:vMerge w:val="continue"/>
            <w:vAlign w:val="center"/>
          </w:tcPr>
          <w:p>
            <w:pPr>
              <w:pStyle w:val="23"/>
              <w:numPr>
                <w:numId w:val="1"/>
              </w:numPr>
              <w:tabs>
                <w:tab w:val="left" w:pos="720"/>
              </w:tabs>
              <w:ind w:left="544" w:firstLine="0" w:firstLineChars="0"/>
              <w:jc w:val="center"/>
              <w:rPr>
                <w:rFonts w:ascii="Times New Roman"/>
                <w:color w:val="000000" w:themeColor="text1"/>
                <w:sz w:val="18"/>
                <w:szCs w:val="18"/>
                <w14:textFill>
                  <w14:solidFill>
                    <w14:schemeClr w14:val="tx1"/>
                  </w14:solidFill>
                </w14:textFill>
              </w:rPr>
            </w:pPr>
          </w:p>
        </w:tc>
        <w:tc>
          <w:tcPr>
            <w:tcW w:w="837"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F</w:t>
            </w:r>
          </w:p>
        </w:tc>
        <w:tc>
          <w:tcPr>
            <w:tcW w:w="52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c>
          <w:tcPr>
            <w:tcW w:w="660"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c>
          <w:tcPr>
            <w:tcW w:w="59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 w:hRule="atLeast"/>
          <w:jc w:val="center"/>
        </w:trPr>
        <w:tc>
          <w:tcPr>
            <w:tcW w:w="2392" w:type="pct"/>
            <w:vMerge w:val="restart"/>
            <w:vAlign w:val="center"/>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Q700ZT</w:t>
            </w:r>
          </w:p>
        </w:tc>
        <w:tc>
          <w:tcPr>
            <w:tcW w:w="837"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D</w:t>
            </w:r>
          </w:p>
        </w:tc>
        <w:tc>
          <w:tcPr>
            <w:tcW w:w="52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47</w:t>
            </w:r>
          </w:p>
        </w:tc>
        <w:tc>
          <w:tcPr>
            <w:tcW w:w="660"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c>
          <w:tcPr>
            <w:tcW w:w="59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392" w:type="pct"/>
            <w:vMerge w:val="continue"/>
            <w:vAlign w:val="center"/>
          </w:tcPr>
          <w:p>
            <w:pPr>
              <w:pStyle w:val="23"/>
              <w:numPr>
                <w:numId w:val="1"/>
              </w:numPr>
              <w:tabs>
                <w:tab w:val="left" w:pos="720"/>
              </w:tabs>
              <w:ind w:left="544" w:firstLine="0" w:firstLineChars="0"/>
              <w:jc w:val="center"/>
              <w:rPr>
                <w:rFonts w:ascii="Times New Roman"/>
                <w:color w:val="000000" w:themeColor="text1"/>
                <w:sz w:val="18"/>
                <w:szCs w:val="18"/>
                <w14:textFill>
                  <w14:solidFill>
                    <w14:schemeClr w14:val="tx1"/>
                  </w14:solidFill>
                </w14:textFill>
              </w:rPr>
            </w:pPr>
          </w:p>
        </w:tc>
        <w:tc>
          <w:tcPr>
            <w:tcW w:w="837"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E</w:t>
            </w:r>
          </w:p>
        </w:tc>
        <w:tc>
          <w:tcPr>
            <w:tcW w:w="52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c>
          <w:tcPr>
            <w:tcW w:w="660"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34</w:t>
            </w:r>
          </w:p>
        </w:tc>
        <w:tc>
          <w:tcPr>
            <w:tcW w:w="59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392" w:type="pct"/>
            <w:vMerge w:val="continue"/>
            <w:vAlign w:val="center"/>
          </w:tcPr>
          <w:p>
            <w:pPr>
              <w:pStyle w:val="23"/>
              <w:numPr>
                <w:numId w:val="1"/>
              </w:numPr>
              <w:tabs>
                <w:tab w:val="left" w:pos="720"/>
              </w:tabs>
              <w:ind w:left="544" w:firstLine="0" w:firstLineChars="0"/>
              <w:jc w:val="center"/>
              <w:rPr>
                <w:rFonts w:ascii="Times New Roman"/>
                <w:color w:val="000000" w:themeColor="text1"/>
                <w:sz w:val="18"/>
                <w:szCs w:val="18"/>
                <w14:textFill>
                  <w14:solidFill>
                    <w14:schemeClr w14:val="tx1"/>
                  </w14:solidFill>
                </w14:textFill>
              </w:rPr>
            </w:pPr>
          </w:p>
        </w:tc>
        <w:tc>
          <w:tcPr>
            <w:tcW w:w="837"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F</w:t>
            </w:r>
          </w:p>
        </w:tc>
        <w:tc>
          <w:tcPr>
            <w:tcW w:w="52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c>
          <w:tcPr>
            <w:tcW w:w="660"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c>
          <w:tcPr>
            <w:tcW w:w="59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 w:hRule="atLeast"/>
          <w:jc w:val="center"/>
        </w:trPr>
        <w:tc>
          <w:tcPr>
            <w:tcW w:w="2392" w:type="pct"/>
            <w:vMerge w:val="restart"/>
            <w:vAlign w:val="center"/>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Q800ZT</w:t>
            </w:r>
          </w:p>
        </w:tc>
        <w:tc>
          <w:tcPr>
            <w:tcW w:w="837"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D</w:t>
            </w:r>
          </w:p>
        </w:tc>
        <w:tc>
          <w:tcPr>
            <w:tcW w:w="52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47</w:t>
            </w:r>
          </w:p>
        </w:tc>
        <w:tc>
          <w:tcPr>
            <w:tcW w:w="660"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c>
          <w:tcPr>
            <w:tcW w:w="59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392" w:type="pct"/>
            <w:vMerge w:val="continue"/>
            <w:vAlign w:val="center"/>
          </w:tcPr>
          <w:p>
            <w:pPr>
              <w:pStyle w:val="23"/>
              <w:numPr>
                <w:numId w:val="1"/>
              </w:numPr>
              <w:tabs>
                <w:tab w:val="left" w:pos="720"/>
              </w:tabs>
              <w:ind w:left="544" w:firstLine="0" w:firstLineChars="0"/>
              <w:jc w:val="center"/>
              <w:rPr>
                <w:rFonts w:ascii="Times New Roman"/>
                <w:color w:val="000000" w:themeColor="text1"/>
                <w:sz w:val="18"/>
                <w:szCs w:val="18"/>
                <w14:textFill>
                  <w14:solidFill>
                    <w14:schemeClr w14:val="tx1"/>
                  </w14:solidFill>
                </w14:textFill>
              </w:rPr>
            </w:pPr>
          </w:p>
        </w:tc>
        <w:tc>
          <w:tcPr>
            <w:tcW w:w="837"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E</w:t>
            </w:r>
          </w:p>
        </w:tc>
        <w:tc>
          <w:tcPr>
            <w:tcW w:w="52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c>
          <w:tcPr>
            <w:tcW w:w="660"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34</w:t>
            </w:r>
          </w:p>
        </w:tc>
        <w:tc>
          <w:tcPr>
            <w:tcW w:w="59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392" w:type="pct"/>
            <w:vMerge w:val="continue"/>
            <w:vAlign w:val="center"/>
          </w:tcPr>
          <w:p>
            <w:pPr>
              <w:pStyle w:val="23"/>
              <w:numPr>
                <w:numId w:val="1"/>
              </w:numPr>
              <w:tabs>
                <w:tab w:val="left" w:pos="720"/>
              </w:tabs>
              <w:ind w:left="544" w:firstLine="0" w:firstLineChars="0"/>
              <w:jc w:val="center"/>
              <w:rPr>
                <w:rFonts w:ascii="Times New Roman"/>
                <w:color w:val="000000" w:themeColor="text1"/>
                <w:sz w:val="18"/>
                <w:szCs w:val="18"/>
                <w14:textFill>
                  <w14:solidFill>
                    <w14:schemeClr w14:val="tx1"/>
                  </w14:solidFill>
                </w14:textFill>
              </w:rPr>
            </w:pPr>
          </w:p>
        </w:tc>
        <w:tc>
          <w:tcPr>
            <w:tcW w:w="837"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F</w:t>
            </w:r>
          </w:p>
        </w:tc>
        <w:tc>
          <w:tcPr>
            <w:tcW w:w="52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c>
          <w:tcPr>
            <w:tcW w:w="660"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c>
          <w:tcPr>
            <w:tcW w:w="59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 w:hRule="atLeast"/>
          <w:jc w:val="center"/>
        </w:trPr>
        <w:tc>
          <w:tcPr>
            <w:tcW w:w="2392" w:type="pct"/>
            <w:vMerge w:val="restart"/>
            <w:vAlign w:val="center"/>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Q900ZT</w:t>
            </w:r>
          </w:p>
        </w:tc>
        <w:tc>
          <w:tcPr>
            <w:tcW w:w="837"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D</w:t>
            </w:r>
          </w:p>
        </w:tc>
        <w:tc>
          <w:tcPr>
            <w:tcW w:w="52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47</w:t>
            </w:r>
          </w:p>
        </w:tc>
        <w:tc>
          <w:tcPr>
            <w:tcW w:w="660"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c>
          <w:tcPr>
            <w:tcW w:w="59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392" w:type="pct"/>
            <w:vMerge w:val="continue"/>
            <w:vAlign w:val="center"/>
          </w:tcPr>
          <w:p>
            <w:pPr>
              <w:pStyle w:val="23"/>
              <w:numPr>
                <w:numId w:val="1"/>
              </w:numPr>
              <w:tabs>
                <w:tab w:val="left" w:pos="720"/>
              </w:tabs>
              <w:ind w:left="544" w:firstLine="0" w:firstLineChars="0"/>
              <w:jc w:val="center"/>
              <w:rPr>
                <w:rFonts w:ascii="Times New Roman"/>
                <w:color w:val="000000" w:themeColor="text1"/>
                <w:sz w:val="18"/>
                <w:szCs w:val="18"/>
                <w14:textFill>
                  <w14:solidFill>
                    <w14:schemeClr w14:val="tx1"/>
                  </w14:solidFill>
                </w14:textFill>
              </w:rPr>
            </w:pPr>
          </w:p>
        </w:tc>
        <w:tc>
          <w:tcPr>
            <w:tcW w:w="837"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E</w:t>
            </w:r>
          </w:p>
        </w:tc>
        <w:tc>
          <w:tcPr>
            <w:tcW w:w="52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c>
          <w:tcPr>
            <w:tcW w:w="660"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34</w:t>
            </w:r>
          </w:p>
        </w:tc>
        <w:tc>
          <w:tcPr>
            <w:tcW w:w="59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392" w:type="pct"/>
            <w:vMerge w:val="continue"/>
            <w:vAlign w:val="center"/>
          </w:tcPr>
          <w:p>
            <w:pPr>
              <w:pStyle w:val="23"/>
              <w:numPr>
                <w:numId w:val="1"/>
              </w:numPr>
              <w:tabs>
                <w:tab w:val="left" w:pos="720"/>
              </w:tabs>
              <w:ind w:left="544" w:firstLine="0" w:firstLineChars="0"/>
              <w:jc w:val="center"/>
              <w:rPr>
                <w:rFonts w:ascii="Times New Roman"/>
                <w:color w:val="000000" w:themeColor="text1"/>
                <w:sz w:val="18"/>
                <w:szCs w:val="18"/>
                <w14:textFill>
                  <w14:solidFill>
                    <w14:schemeClr w14:val="tx1"/>
                  </w14:solidFill>
                </w14:textFill>
              </w:rPr>
            </w:pPr>
          </w:p>
        </w:tc>
        <w:tc>
          <w:tcPr>
            <w:tcW w:w="837"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F</w:t>
            </w:r>
          </w:p>
        </w:tc>
        <w:tc>
          <w:tcPr>
            <w:tcW w:w="52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c>
          <w:tcPr>
            <w:tcW w:w="660"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c>
          <w:tcPr>
            <w:tcW w:w="59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 w:hRule="atLeast"/>
          <w:jc w:val="center"/>
        </w:trPr>
        <w:tc>
          <w:tcPr>
            <w:tcW w:w="2392" w:type="pct"/>
            <w:vMerge w:val="restart"/>
            <w:vAlign w:val="center"/>
          </w:tcPr>
          <w:p>
            <w:pPr>
              <w:pStyle w:val="23"/>
              <w:numPr>
                <w:ilvl w:val="0"/>
                <w:numId w:val="0"/>
              </w:numPr>
              <w:tabs>
                <w:tab w:val="left" w:pos="720"/>
              </w:tabs>
              <w:ind w:left="544"/>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Q960ZT</w:t>
            </w:r>
          </w:p>
        </w:tc>
        <w:tc>
          <w:tcPr>
            <w:tcW w:w="837"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D</w:t>
            </w:r>
          </w:p>
        </w:tc>
        <w:tc>
          <w:tcPr>
            <w:tcW w:w="52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47</w:t>
            </w:r>
          </w:p>
        </w:tc>
        <w:tc>
          <w:tcPr>
            <w:tcW w:w="660"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c>
          <w:tcPr>
            <w:tcW w:w="59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392" w:type="pct"/>
            <w:vMerge w:val="continue"/>
            <w:vAlign w:val="center"/>
          </w:tcPr>
          <w:p>
            <w:pPr>
              <w:pStyle w:val="23"/>
              <w:numPr>
                <w:numId w:val="1"/>
              </w:numPr>
              <w:tabs>
                <w:tab w:val="left" w:pos="720"/>
              </w:tabs>
              <w:ind w:left="544" w:firstLine="0" w:firstLineChars="0"/>
              <w:jc w:val="center"/>
              <w:rPr>
                <w:rFonts w:ascii="Times New Roman"/>
                <w:color w:val="000000" w:themeColor="text1"/>
                <w:sz w:val="18"/>
                <w:szCs w:val="18"/>
                <w14:textFill>
                  <w14:solidFill>
                    <w14:schemeClr w14:val="tx1"/>
                  </w14:solidFill>
                </w14:textFill>
              </w:rPr>
            </w:pPr>
          </w:p>
        </w:tc>
        <w:tc>
          <w:tcPr>
            <w:tcW w:w="837"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E</w:t>
            </w:r>
          </w:p>
        </w:tc>
        <w:tc>
          <w:tcPr>
            <w:tcW w:w="52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c>
          <w:tcPr>
            <w:tcW w:w="660"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34</w:t>
            </w:r>
          </w:p>
        </w:tc>
        <w:tc>
          <w:tcPr>
            <w:tcW w:w="59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392" w:type="pct"/>
            <w:vMerge w:val="continue"/>
            <w:vAlign w:val="center"/>
          </w:tcPr>
          <w:p>
            <w:pPr>
              <w:pStyle w:val="23"/>
              <w:numPr>
                <w:numId w:val="1"/>
              </w:numPr>
              <w:tabs>
                <w:tab w:val="left" w:pos="720"/>
              </w:tabs>
              <w:ind w:left="544" w:firstLine="0" w:firstLineChars="0"/>
              <w:jc w:val="center"/>
              <w:rPr>
                <w:rFonts w:ascii="Times New Roman"/>
                <w:color w:val="000000" w:themeColor="text1"/>
                <w:sz w:val="18"/>
                <w:szCs w:val="18"/>
                <w14:textFill>
                  <w14:solidFill>
                    <w14:schemeClr w14:val="tx1"/>
                  </w14:solidFill>
                </w14:textFill>
              </w:rPr>
            </w:pPr>
          </w:p>
        </w:tc>
        <w:tc>
          <w:tcPr>
            <w:tcW w:w="837"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F</w:t>
            </w:r>
          </w:p>
        </w:tc>
        <w:tc>
          <w:tcPr>
            <w:tcW w:w="52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c>
          <w:tcPr>
            <w:tcW w:w="660"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w:t>
            </w:r>
          </w:p>
        </w:tc>
        <w:tc>
          <w:tcPr>
            <w:tcW w:w="591" w:type="pct"/>
            <w:vAlign w:val="center"/>
          </w:tcPr>
          <w:p>
            <w:pPr>
              <w:pStyle w:val="23"/>
              <w:numPr>
                <w:ilvl w:val="0"/>
                <w:numId w:val="0"/>
              </w:numPr>
              <w:tabs>
                <w:tab w:val="left" w:pos="720"/>
              </w:tabs>
              <w:ind w:left="544"/>
              <w:jc w:val="center"/>
              <w:rPr>
                <w:rFonts w:ascii="Times New Roman"/>
                <w:sz w:val="18"/>
                <w:szCs w:val="18"/>
              </w:rPr>
            </w:pPr>
            <w:r>
              <w:rPr>
                <w:rFonts w:ascii="Times New Roman"/>
                <w:sz w:val="18"/>
                <w:szCs w:val="18"/>
              </w:rPr>
              <w:t>27</w:t>
            </w:r>
          </w:p>
        </w:tc>
      </w:tr>
      <w:bookmarkEnd w:id="34"/>
      <w:bookmarkEnd w:id="35"/>
    </w:tbl>
    <w:p>
      <w:pPr>
        <w:pStyle w:val="51"/>
        <w:spacing w:before="156" w:after="156"/>
        <w:jc w:val="both"/>
        <w:rPr>
          <w:rFonts w:ascii="Times New Roman" w:eastAsia="宋体"/>
        </w:rPr>
      </w:pPr>
      <w:bookmarkStart w:id="36" w:name="_Hlk150782022"/>
      <w:r>
        <w:rPr>
          <w:rFonts w:ascii="Times New Roman" w:eastAsia="宋体"/>
        </w:rPr>
        <w:t>夏比（V型缺口）冲击吸收能力按3个试样的算术平均值计算，允许其中有1个试样值低于规定值，但不应低于规定值的70%</w:t>
      </w:r>
      <w:bookmarkEnd w:id="36"/>
      <w:r>
        <w:rPr>
          <w:rFonts w:ascii="Times New Roman" w:eastAsia="宋体"/>
        </w:rPr>
        <w:t>。</w:t>
      </w:r>
    </w:p>
    <w:p>
      <w:pPr>
        <w:pStyle w:val="51"/>
        <w:spacing w:before="156" w:after="156"/>
        <w:jc w:val="both"/>
        <w:rPr>
          <w:rFonts w:ascii="Times New Roman" w:eastAsia="宋体"/>
        </w:rPr>
      </w:pPr>
      <w:r>
        <w:rPr>
          <w:rFonts w:ascii="Times New Roman" w:eastAsia="宋体"/>
        </w:rPr>
        <w:t>厚度小于6 mm的钢板应做冲击试验时，冲击试样尺寸取10 mm×10 mm×55 mm标准试样，当钢板厚度不足以制取标准试样时，应采用10 mm×7.5 mm×55 mm或10mm×10mm×55mm小尺寸试样，冲击吸收能量应分别为不小于表5规定值的75%或50%，优先采用较大尺寸试样。</w:t>
      </w:r>
    </w:p>
    <w:p>
      <w:pPr>
        <w:pStyle w:val="51"/>
        <w:spacing w:before="156" w:after="156"/>
        <w:rPr>
          <w:rFonts w:ascii="Times New Roman" w:eastAsia="宋体"/>
        </w:rPr>
      </w:pPr>
      <w:r>
        <w:rPr>
          <w:rFonts w:ascii="Times New Roman" w:eastAsia="宋体"/>
        </w:rPr>
        <w:t>厚度方向性能钢板的厚度方向断面收缩率应符合GB/T 5313的规定。</w:t>
      </w:r>
    </w:p>
    <w:bookmarkEnd w:id="16"/>
    <w:p>
      <w:pPr>
        <w:pStyle w:val="48"/>
        <w:spacing w:before="156" w:after="156"/>
        <w:ind w:left="0"/>
        <w:rPr>
          <w:rFonts w:ascii="Times New Roman"/>
        </w:rPr>
      </w:pPr>
      <w:bookmarkStart w:id="37" w:name="_Toc520380396"/>
      <w:r>
        <w:rPr>
          <w:rFonts w:ascii="Times New Roman"/>
        </w:rPr>
        <w:t>表面质量</w:t>
      </w:r>
    </w:p>
    <w:p>
      <w:pPr>
        <w:pStyle w:val="51"/>
        <w:spacing w:before="156" w:after="156"/>
        <w:rPr>
          <w:rFonts w:ascii="Times New Roman" w:eastAsia="宋体"/>
        </w:rPr>
      </w:pPr>
      <w:bookmarkStart w:id="38" w:name="_Hlk73506784"/>
      <w:r>
        <w:rPr>
          <w:rFonts w:ascii="Times New Roman" w:eastAsia="宋体"/>
        </w:rPr>
        <w:t>钢板表面不允许存在裂纹、气泡、结疤、折叠和夹杂等缺陷。如有上述表面缺陷，允许清理，清理深度从钢板实际尺寸算起，不得超过钢板厚度公差之半，清理处钢板厚度应不小于钢板的最小厚度，缺陷清理处应平滑无棱角，钢板不应有目视可见的分层。</w:t>
      </w:r>
    </w:p>
    <w:p>
      <w:pPr>
        <w:pStyle w:val="51"/>
        <w:spacing w:before="156" w:after="156"/>
        <w:rPr>
          <w:rFonts w:ascii="Times New Roman" w:eastAsia="宋体"/>
        </w:rPr>
      </w:pPr>
      <w:r>
        <w:rPr>
          <w:rFonts w:ascii="Times New Roman" w:eastAsia="宋体"/>
        </w:rPr>
        <w:t>钢板表面允许有不妨碍检查表面缺陷的薄层氧化铁皮、铁锈、由压入氧化铁皮脱落引起的不显著的表面粗糙、划伤、压痕及其他局部缺欠，但其深度不得大于钢板厚度公差之半，且缺陷处厚度应不小于钢板允许最小厚度。</w:t>
      </w:r>
    </w:p>
    <w:p>
      <w:pPr>
        <w:pStyle w:val="51"/>
        <w:spacing w:before="156" w:after="156"/>
        <w:rPr>
          <w:rFonts w:ascii="Times New Roman" w:eastAsia="宋体"/>
        </w:rPr>
      </w:pPr>
      <w:r>
        <w:rPr>
          <w:rFonts w:ascii="Times New Roman" w:eastAsia="宋体"/>
        </w:rPr>
        <w:t>钢板表面缺陷允许修磨等方法清除，修磨处应平滑无棱角，清理深处应不大于钢板厚度的负偏差，清理处钢板厚度应不小于钢板的最小厚度。</w:t>
      </w:r>
    </w:p>
    <w:p>
      <w:pPr>
        <w:pStyle w:val="51"/>
        <w:spacing w:before="156" w:after="156"/>
        <w:rPr>
          <w:rFonts w:ascii="Times New Roman" w:eastAsia="宋体"/>
        </w:rPr>
      </w:pPr>
      <w:r>
        <w:rPr>
          <w:rFonts w:ascii="Times New Roman" w:eastAsia="宋体"/>
        </w:rPr>
        <w:t>钢板不允许焊补。</w:t>
      </w:r>
    </w:p>
    <w:p>
      <w:pPr>
        <w:pStyle w:val="48"/>
        <w:spacing w:before="156" w:after="156"/>
        <w:ind w:left="0"/>
        <w:rPr>
          <w:rFonts w:ascii="Times New Roman"/>
        </w:rPr>
      </w:pPr>
      <w:r>
        <w:rPr>
          <w:rFonts w:ascii="Times New Roman"/>
        </w:rPr>
        <w:t>超声检测</w:t>
      </w:r>
    </w:p>
    <w:p>
      <w:pPr>
        <w:pStyle w:val="23"/>
        <w:rPr>
          <w:rFonts w:ascii="Times New Roman"/>
        </w:rPr>
      </w:pPr>
      <w:r>
        <w:rPr>
          <w:rFonts w:ascii="Times New Roman"/>
        </w:rPr>
        <w:t>6mm以上钢板应逐张按照GB/T 2970进行超声波探伤检验，合格级别在合同中注明。经双方协商，也可采用其他检测标准，具体检测标准和合格级别应在合同中注明。</w:t>
      </w:r>
    </w:p>
    <w:bookmarkEnd w:id="38"/>
    <w:p>
      <w:pPr>
        <w:pStyle w:val="48"/>
        <w:spacing w:before="156" w:after="156"/>
        <w:ind w:left="0"/>
        <w:rPr>
          <w:rFonts w:ascii="Times New Roman"/>
        </w:rPr>
      </w:pPr>
      <w:r>
        <w:rPr>
          <w:rFonts w:ascii="Times New Roman"/>
        </w:rPr>
        <w:t>特殊要求</w:t>
      </w:r>
    </w:p>
    <w:p>
      <w:pPr>
        <w:pStyle w:val="23"/>
        <w:rPr>
          <w:rFonts w:ascii="Times New Roman"/>
        </w:rPr>
      </w:pPr>
      <w:bookmarkStart w:id="39" w:name="_Hlk73507034"/>
      <w:r>
        <w:rPr>
          <w:rFonts w:ascii="Times New Roman"/>
        </w:rPr>
        <w:t>根据供需双方协商，可对钢板提供提出其他特殊要求。</w:t>
      </w:r>
    </w:p>
    <w:bookmarkEnd w:id="37"/>
    <w:bookmarkEnd w:id="39"/>
    <w:p>
      <w:pPr>
        <w:pStyle w:val="46"/>
        <w:numPr>
          <w:ilvl w:val="0"/>
          <w:numId w:val="1"/>
        </w:numPr>
        <w:spacing w:before="312" w:after="312"/>
        <w:ind w:left="0"/>
        <w:rPr>
          <w:rFonts w:ascii="Times New Roman"/>
        </w:rPr>
      </w:pPr>
      <w:r>
        <w:rPr>
          <w:rFonts w:ascii="Times New Roman"/>
        </w:rPr>
        <w:t>试验方法</w:t>
      </w:r>
    </w:p>
    <w:p>
      <w:pPr>
        <w:pStyle w:val="48"/>
        <w:overflowPunct w:val="0"/>
        <w:spacing w:before="156" w:after="156"/>
        <w:ind w:left="0"/>
        <w:jc w:val="both"/>
        <w:rPr>
          <w:rFonts w:ascii="Times New Roman" w:eastAsia="宋体"/>
        </w:rPr>
      </w:pPr>
      <w:bookmarkStart w:id="40" w:name="_Hlk59177872"/>
      <w:bookmarkStart w:id="41" w:name="_Hlk80136150"/>
      <w:bookmarkStart w:id="42" w:name="_Hlk73507091"/>
      <w:r>
        <w:rPr>
          <w:rFonts w:ascii="Times New Roman" w:eastAsia="宋体"/>
        </w:rPr>
        <w:t>钢的化学成分试验方法应按照GB/T 223.5、GB/T 223.9、GB/T 223.11、GB/T 223.14、GB/T 223.18、GB/T 223.23、GB/T 223.26、GB/T 223.40、GB/T 223.62、GB/T 223.63、GB/T 223.69、GB/T 223.72、GB/T 4336、GB/T 20123、GB/T 2</w:t>
      </w:r>
      <w:r>
        <w:rPr>
          <w:rFonts w:ascii="Times New Roman" w:eastAsia="宋体"/>
          <w:color w:val="000000" w:themeColor="text1"/>
          <w14:textFill>
            <w14:solidFill>
              <w14:schemeClr w14:val="tx1"/>
            </w14:solidFill>
          </w14:textFill>
        </w:rPr>
        <w:t>0124、</w:t>
      </w:r>
      <w:r>
        <w:rPr>
          <w:rFonts w:ascii="Times New Roman" w:eastAsia="宋体"/>
        </w:rPr>
        <w:t>GB/T 20125或其他通用方法进行，仲裁时按照GB/T 223.5、GB/T 223.9、GB/T 223.11、GB/T 223.14、GB/T 223.18、GB/T 223.23、GB/T 223.26、GB/T 223.40、GB/T 223.62、GB/T 223.63、GB/T 223.69、GB/T 223.72的规定进行。</w:t>
      </w:r>
    </w:p>
    <w:bookmarkEnd w:id="40"/>
    <w:bookmarkEnd w:id="41"/>
    <w:p>
      <w:pPr>
        <w:pStyle w:val="48"/>
        <w:spacing w:before="156" w:after="156"/>
        <w:ind w:left="0"/>
        <w:rPr>
          <w:rFonts w:ascii="Times New Roman" w:eastAsia="宋体"/>
        </w:rPr>
      </w:pPr>
      <w:r>
        <w:rPr>
          <w:rFonts w:ascii="Times New Roman" w:eastAsia="宋体"/>
        </w:rPr>
        <w:t>每批钢板的检验项目和试验方法应符合表8的规定。</w:t>
      </w:r>
    </w:p>
    <w:bookmarkEnd w:id="42"/>
    <w:p>
      <w:pPr>
        <w:pStyle w:val="78"/>
        <w:numPr>
          <w:ilvl w:val="0"/>
          <w:numId w:val="0"/>
        </w:numPr>
        <w:spacing w:before="156" w:after="156"/>
        <w:rPr>
          <w:rFonts w:ascii="Times New Roman"/>
        </w:rPr>
      </w:pPr>
      <w:bookmarkStart w:id="43" w:name="_Hlk80136164"/>
      <w:bookmarkStart w:id="44" w:name="_Hlk73507109"/>
      <w:r>
        <w:rPr>
          <w:rFonts w:ascii="Times New Roman"/>
        </w:rPr>
        <w:t>表8　检验项目、取样数量、取样方法和试验方法</w:t>
      </w:r>
    </w:p>
    <w:bookmarkEnd w:id="43"/>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3"/>
        <w:gridCol w:w="2009"/>
        <w:gridCol w:w="1568"/>
        <w:gridCol w:w="2974"/>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48" w:type="pct"/>
            <w:tcMar>
              <w:left w:w="28" w:type="dxa"/>
              <w:right w:w="28" w:type="dxa"/>
            </w:tcMar>
            <w:vAlign w:val="center"/>
          </w:tcPr>
          <w:p>
            <w:pPr>
              <w:spacing w:line="360" w:lineRule="exact"/>
              <w:jc w:val="center"/>
              <w:rPr>
                <w:color w:val="000000"/>
                <w:sz w:val="18"/>
                <w:szCs w:val="18"/>
              </w:rPr>
            </w:pPr>
            <w:bookmarkStart w:id="45" w:name="_Hlk121125624"/>
            <w:r>
              <w:rPr>
                <w:color w:val="000000"/>
                <w:sz w:val="18"/>
                <w:szCs w:val="18"/>
              </w:rPr>
              <w:t>序号</w:t>
            </w:r>
          </w:p>
        </w:tc>
        <w:tc>
          <w:tcPr>
            <w:tcW w:w="1070" w:type="pct"/>
            <w:tcMar>
              <w:left w:w="28" w:type="dxa"/>
              <w:right w:w="28" w:type="dxa"/>
            </w:tcMar>
            <w:vAlign w:val="center"/>
          </w:tcPr>
          <w:p>
            <w:pPr>
              <w:spacing w:line="360" w:lineRule="exact"/>
              <w:jc w:val="center"/>
              <w:rPr>
                <w:color w:val="000000"/>
                <w:sz w:val="18"/>
                <w:szCs w:val="18"/>
              </w:rPr>
            </w:pPr>
            <w:r>
              <w:rPr>
                <w:color w:val="000000"/>
                <w:sz w:val="18"/>
                <w:szCs w:val="18"/>
              </w:rPr>
              <w:t>检验项目</w:t>
            </w:r>
          </w:p>
        </w:tc>
        <w:tc>
          <w:tcPr>
            <w:tcW w:w="835" w:type="pct"/>
            <w:tcMar>
              <w:left w:w="28" w:type="dxa"/>
              <w:right w:w="28" w:type="dxa"/>
            </w:tcMar>
            <w:vAlign w:val="center"/>
          </w:tcPr>
          <w:p>
            <w:pPr>
              <w:spacing w:line="360" w:lineRule="exact"/>
              <w:jc w:val="center"/>
              <w:rPr>
                <w:color w:val="000000"/>
                <w:sz w:val="18"/>
                <w:szCs w:val="18"/>
              </w:rPr>
            </w:pPr>
            <w:r>
              <w:rPr>
                <w:color w:val="000000"/>
                <w:sz w:val="18"/>
                <w:szCs w:val="18"/>
              </w:rPr>
              <w:t>取样数量</w:t>
            </w:r>
          </w:p>
        </w:tc>
        <w:tc>
          <w:tcPr>
            <w:tcW w:w="1584" w:type="pct"/>
            <w:tcMar>
              <w:left w:w="28" w:type="dxa"/>
              <w:right w:w="28" w:type="dxa"/>
            </w:tcMar>
            <w:vAlign w:val="center"/>
          </w:tcPr>
          <w:p>
            <w:pPr>
              <w:spacing w:line="360" w:lineRule="exact"/>
              <w:jc w:val="center"/>
              <w:rPr>
                <w:color w:val="000000"/>
                <w:sz w:val="18"/>
                <w:szCs w:val="18"/>
              </w:rPr>
            </w:pPr>
            <w:r>
              <w:rPr>
                <w:color w:val="000000"/>
                <w:sz w:val="18"/>
                <w:szCs w:val="18"/>
              </w:rPr>
              <w:t>取样方法</w:t>
            </w:r>
          </w:p>
        </w:tc>
        <w:tc>
          <w:tcPr>
            <w:tcW w:w="1163" w:type="pct"/>
            <w:vAlign w:val="center"/>
          </w:tcPr>
          <w:p>
            <w:pPr>
              <w:spacing w:line="360" w:lineRule="exact"/>
              <w:jc w:val="center"/>
              <w:rPr>
                <w:color w:val="000000"/>
                <w:sz w:val="18"/>
                <w:szCs w:val="18"/>
              </w:rPr>
            </w:pPr>
            <w:r>
              <w:rPr>
                <w:color w:val="000000"/>
                <w:sz w:val="18"/>
                <w:szCs w:val="18"/>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jc w:val="center"/>
        </w:trPr>
        <w:tc>
          <w:tcPr>
            <w:tcW w:w="348" w:type="pct"/>
            <w:vMerge w:val="restart"/>
            <w:tcMar>
              <w:left w:w="28" w:type="dxa"/>
              <w:right w:w="28" w:type="dxa"/>
            </w:tcMar>
            <w:vAlign w:val="center"/>
          </w:tcPr>
          <w:p>
            <w:pPr>
              <w:jc w:val="center"/>
              <w:rPr>
                <w:color w:val="000000"/>
                <w:sz w:val="18"/>
                <w:szCs w:val="18"/>
              </w:rPr>
            </w:pPr>
            <w:r>
              <w:rPr>
                <w:color w:val="000000"/>
                <w:sz w:val="18"/>
                <w:szCs w:val="18"/>
              </w:rPr>
              <w:t>1</w:t>
            </w:r>
          </w:p>
        </w:tc>
        <w:tc>
          <w:tcPr>
            <w:tcW w:w="1070" w:type="pct"/>
            <w:vMerge w:val="restart"/>
            <w:tcMar>
              <w:left w:w="28" w:type="dxa"/>
              <w:right w:w="28" w:type="dxa"/>
            </w:tcMar>
            <w:vAlign w:val="center"/>
          </w:tcPr>
          <w:p>
            <w:pPr>
              <w:jc w:val="center"/>
              <w:rPr>
                <w:color w:val="000000"/>
                <w:sz w:val="18"/>
                <w:szCs w:val="18"/>
              </w:rPr>
            </w:pPr>
            <w:r>
              <w:rPr>
                <w:color w:val="000000"/>
                <w:sz w:val="18"/>
                <w:szCs w:val="18"/>
              </w:rPr>
              <w:t>化学成分</w:t>
            </w:r>
          </w:p>
        </w:tc>
        <w:tc>
          <w:tcPr>
            <w:tcW w:w="835" w:type="pct"/>
            <w:tcMar>
              <w:left w:w="28" w:type="dxa"/>
              <w:right w:w="28" w:type="dxa"/>
            </w:tcMar>
            <w:vAlign w:val="center"/>
          </w:tcPr>
          <w:p>
            <w:pPr>
              <w:jc w:val="center"/>
              <w:rPr>
                <w:color w:val="000000"/>
                <w:sz w:val="18"/>
                <w:szCs w:val="18"/>
              </w:rPr>
            </w:pPr>
            <w:r>
              <w:rPr>
                <w:color w:val="000000"/>
                <w:sz w:val="18"/>
                <w:szCs w:val="18"/>
              </w:rPr>
              <w:t>1个/炉</w:t>
            </w:r>
          </w:p>
        </w:tc>
        <w:tc>
          <w:tcPr>
            <w:tcW w:w="1584" w:type="pct"/>
            <w:vMerge w:val="restart"/>
            <w:tcMar>
              <w:left w:w="28" w:type="dxa"/>
              <w:right w:w="28" w:type="dxa"/>
            </w:tcMar>
            <w:vAlign w:val="center"/>
          </w:tcPr>
          <w:p>
            <w:pPr>
              <w:jc w:val="center"/>
              <w:rPr>
                <w:color w:val="000000"/>
                <w:sz w:val="18"/>
                <w:szCs w:val="18"/>
              </w:rPr>
            </w:pPr>
            <w:r>
              <w:rPr>
                <w:color w:val="000000"/>
                <w:sz w:val="18"/>
                <w:szCs w:val="18"/>
              </w:rPr>
              <w:t>GB/T 20066</w:t>
            </w:r>
          </w:p>
        </w:tc>
        <w:tc>
          <w:tcPr>
            <w:tcW w:w="1163" w:type="pct"/>
            <w:vMerge w:val="restart"/>
            <w:vAlign w:val="center"/>
          </w:tcPr>
          <w:p>
            <w:pPr>
              <w:jc w:val="center"/>
              <w:rPr>
                <w:color w:val="000000"/>
                <w:sz w:val="18"/>
                <w:szCs w:val="18"/>
              </w:rPr>
            </w:pPr>
            <w:r>
              <w:rPr>
                <w:color w:val="000000"/>
                <w:sz w:val="18"/>
                <w:szCs w:val="18"/>
              </w:rPr>
              <w:t>GB/T 223、GB/T4336、GB/T 20123、GB/T 20125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48" w:type="pct"/>
            <w:vMerge w:val="continue"/>
            <w:tcMar>
              <w:left w:w="28" w:type="dxa"/>
              <w:right w:w="28" w:type="dxa"/>
            </w:tcMar>
            <w:vAlign w:val="center"/>
          </w:tcPr>
          <w:p>
            <w:pPr>
              <w:jc w:val="center"/>
              <w:rPr>
                <w:color w:val="000000"/>
                <w:sz w:val="18"/>
                <w:szCs w:val="18"/>
              </w:rPr>
            </w:pPr>
          </w:p>
        </w:tc>
        <w:tc>
          <w:tcPr>
            <w:tcW w:w="1070" w:type="pct"/>
            <w:vMerge w:val="continue"/>
            <w:tcMar>
              <w:left w:w="28" w:type="dxa"/>
              <w:right w:w="28" w:type="dxa"/>
            </w:tcMar>
            <w:vAlign w:val="center"/>
          </w:tcPr>
          <w:p>
            <w:pPr>
              <w:jc w:val="center"/>
              <w:rPr>
                <w:color w:val="000000"/>
                <w:sz w:val="18"/>
                <w:szCs w:val="18"/>
              </w:rPr>
            </w:pPr>
          </w:p>
        </w:tc>
        <w:tc>
          <w:tcPr>
            <w:tcW w:w="835" w:type="pct"/>
            <w:tcMar>
              <w:left w:w="28" w:type="dxa"/>
              <w:right w:w="28" w:type="dxa"/>
            </w:tcMar>
            <w:vAlign w:val="center"/>
          </w:tcPr>
          <w:p>
            <w:pPr>
              <w:jc w:val="center"/>
              <w:rPr>
                <w:color w:val="000000"/>
                <w:sz w:val="18"/>
                <w:szCs w:val="18"/>
              </w:rPr>
            </w:pPr>
            <w:r>
              <w:rPr>
                <w:color w:val="000000"/>
                <w:sz w:val="18"/>
                <w:szCs w:val="18"/>
              </w:rPr>
              <w:t>1个/批</w:t>
            </w:r>
          </w:p>
        </w:tc>
        <w:tc>
          <w:tcPr>
            <w:tcW w:w="1584" w:type="pct"/>
            <w:vMerge w:val="continue"/>
            <w:tcMar>
              <w:left w:w="28" w:type="dxa"/>
              <w:right w:w="28" w:type="dxa"/>
            </w:tcMar>
            <w:vAlign w:val="center"/>
          </w:tcPr>
          <w:p>
            <w:pPr>
              <w:jc w:val="center"/>
              <w:rPr>
                <w:color w:val="000000"/>
                <w:sz w:val="18"/>
                <w:szCs w:val="18"/>
              </w:rPr>
            </w:pPr>
          </w:p>
        </w:tc>
        <w:tc>
          <w:tcPr>
            <w:tcW w:w="1163" w:type="pct"/>
            <w:vMerge w:val="continue"/>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48" w:type="pct"/>
            <w:tcMar>
              <w:left w:w="28" w:type="dxa"/>
              <w:right w:w="28" w:type="dxa"/>
            </w:tcMar>
            <w:vAlign w:val="center"/>
          </w:tcPr>
          <w:p>
            <w:pPr>
              <w:jc w:val="center"/>
              <w:rPr>
                <w:color w:val="000000"/>
                <w:sz w:val="18"/>
                <w:szCs w:val="18"/>
              </w:rPr>
            </w:pPr>
            <w:r>
              <w:rPr>
                <w:color w:val="000000"/>
                <w:sz w:val="18"/>
                <w:szCs w:val="18"/>
              </w:rPr>
              <w:t>2</w:t>
            </w:r>
          </w:p>
        </w:tc>
        <w:tc>
          <w:tcPr>
            <w:tcW w:w="1070" w:type="pct"/>
            <w:tcMar>
              <w:left w:w="28" w:type="dxa"/>
              <w:right w:w="28" w:type="dxa"/>
            </w:tcMar>
            <w:vAlign w:val="center"/>
          </w:tcPr>
          <w:p>
            <w:pPr>
              <w:jc w:val="center"/>
              <w:rPr>
                <w:color w:val="000000"/>
                <w:sz w:val="18"/>
                <w:szCs w:val="18"/>
              </w:rPr>
            </w:pPr>
            <w:r>
              <w:rPr>
                <w:color w:val="000000"/>
                <w:sz w:val="18"/>
                <w:szCs w:val="18"/>
              </w:rPr>
              <w:t>拉伸试验</w:t>
            </w:r>
          </w:p>
        </w:tc>
        <w:tc>
          <w:tcPr>
            <w:tcW w:w="835" w:type="pct"/>
            <w:tcMar>
              <w:left w:w="28" w:type="dxa"/>
              <w:right w:w="28" w:type="dxa"/>
            </w:tcMar>
            <w:vAlign w:val="center"/>
          </w:tcPr>
          <w:p>
            <w:pPr>
              <w:jc w:val="center"/>
              <w:rPr>
                <w:color w:val="000000"/>
                <w:sz w:val="18"/>
                <w:szCs w:val="18"/>
              </w:rPr>
            </w:pPr>
            <w:r>
              <w:rPr>
                <w:color w:val="000000"/>
                <w:sz w:val="18"/>
                <w:szCs w:val="18"/>
              </w:rPr>
              <w:t>2个/批</w:t>
            </w:r>
          </w:p>
        </w:tc>
        <w:tc>
          <w:tcPr>
            <w:tcW w:w="1584" w:type="pct"/>
            <w:tcMar>
              <w:left w:w="28" w:type="dxa"/>
              <w:right w:w="28" w:type="dxa"/>
            </w:tcMar>
            <w:vAlign w:val="center"/>
          </w:tcPr>
          <w:p>
            <w:pPr>
              <w:jc w:val="center"/>
              <w:rPr>
                <w:color w:val="000000"/>
                <w:sz w:val="18"/>
                <w:szCs w:val="18"/>
              </w:rPr>
            </w:pPr>
            <w:r>
              <w:rPr>
                <w:color w:val="000000"/>
                <w:sz w:val="18"/>
                <w:szCs w:val="18"/>
              </w:rPr>
              <w:t>GB/T 2975（头尾取样）</w:t>
            </w:r>
          </w:p>
        </w:tc>
        <w:tc>
          <w:tcPr>
            <w:tcW w:w="1163" w:type="pct"/>
            <w:vAlign w:val="center"/>
          </w:tcPr>
          <w:p>
            <w:pPr>
              <w:jc w:val="center"/>
              <w:rPr>
                <w:color w:val="000000"/>
                <w:sz w:val="18"/>
                <w:szCs w:val="18"/>
              </w:rPr>
            </w:pPr>
            <w:r>
              <w:rPr>
                <w:color w:val="000000"/>
                <w:sz w:val="18"/>
                <w:szCs w:val="18"/>
              </w:rPr>
              <w:t>GB/T 228.1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48" w:type="pct"/>
            <w:tcMar>
              <w:left w:w="28" w:type="dxa"/>
              <w:right w:w="28" w:type="dxa"/>
            </w:tcMar>
            <w:vAlign w:val="center"/>
          </w:tcPr>
          <w:p>
            <w:pPr>
              <w:jc w:val="center"/>
              <w:rPr>
                <w:color w:val="000000"/>
                <w:sz w:val="18"/>
                <w:szCs w:val="18"/>
              </w:rPr>
            </w:pPr>
            <w:r>
              <w:rPr>
                <w:color w:val="000000"/>
                <w:sz w:val="18"/>
                <w:szCs w:val="18"/>
              </w:rPr>
              <w:t>3</w:t>
            </w:r>
          </w:p>
        </w:tc>
        <w:tc>
          <w:tcPr>
            <w:tcW w:w="1070" w:type="pct"/>
            <w:tcMar>
              <w:left w:w="28" w:type="dxa"/>
              <w:right w:w="28" w:type="dxa"/>
            </w:tcMar>
            <w:vAlign w:val="center"/>
          </w:tcPr>
          <w:p>
            <w:pPr>
              <w:jc w:val="center"/>
              <w:rPr>
                <w:color w:val="000000"/>
                <w:sz w:val="18"/>
                <w:szCs w:val="18"/>
              </w:rPr>
            </w:pPr>
            <w:r>
              <w:rPr>
                <w:color w:val="000000"/>
                <w:sz w:val="18"/>
                <w:szCs w:val="18"/>
              </w:rPr>
              <w:t>冲击试验</w:t>
            </w:r>
          </w:p>
        </w:tc>
        <w:tc>
          <w:tcPr>
            <w:tcW w:w="835" w:type="pct"/>
            <w:tcMar>
              <w:left w:w="28" w:type="dxa"/>
              <w:right w:w="28" w:type="dxa"/>
            </w:tcMar>
            <w:vAlign w:val="center"/>
          </w:tcPr>
          <w:p>
            <w:pPr>
              <w:jc w:val="center"/>
              <w:rPr>
                <w:color w:val="000000"/>
                <w:sz w:val="18"/>
                <w:szCs w:val="18"/>
              </w:rPr>
            </w:pPr>
            <w:r>
              <w:rPr>
                <w:color w:val="000000"/>
                <w:sz w:val="18"/>
                <w:szCs w:val="18"/>
              </w:rPr>
              <w:t>一组（3个）/批</w:t>
            </w:r>
          </w:p>
        </w:tc>
        <w:tc>
          <w:tcPr>
            <w:tcW w:w="1584" w:type="pct"/>
            <w:tcMar>
              <w:left w:w="28" w:type="dxa"/>
              <w:right w:w="28" w:type="dxa"/>
            </w:tcMar>
            <w:vAlign w:val="center"/>
          </w:tcPr>
          <w:p>
            <w:pPr>
              <w:jc w:val="center"/>
              <w:rPr>
                <w:color w:val="000000"/>
                <w:sz w:val="18"/>
                <w:szCs w:val="18"/>
              </w:rPr>
            </w:pPr>
            <w:r>
              <w:rPr>
                <w:color w:val="000000"/>
                <w:sz w:val="18"/>
                <w:szCs w:val="18"/>
              </w:rPr>
              <w:t>GB/T 2975及表5</w:t>
            </w:r>
          </w:p>
        </w:tc>
        <w:tc>
          <w:tcPr>
            <w:tcW w:w="1163" w:type="pct"/>
            <w:vAlign w:val="center"/>
          </w:tcPr>
          <w:p>
            <w:pPr>
              <w:jc w:val="center"/>
              <w:rPr>
                <w:color w:val="000000"/>
                <w:sz w:val="18"/>
                <w:szCs w:val="18"/>
              </w:rPr>
            </w:pPr>
            <w:r>
              <w:rPr>
                <w:color w:val="000000"/>
                <w:sz w:val="18"/>
                <w:szCs w:val="18"/>
              </w:rPr>
              <w:t>GB/T 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48" w:type="pct"/>
            <w:tcMar>
              <w:left w:w="28" w:type="dxa"/>
              <w:right w:w="28" w:type="dxa"/>
            </w:tcMar>
            <w:vAlign w:val="center"/>
          </w:tcPr>
          <w:p>
            <w:pPr>
              <w:jc w:val="center"/>
              <w:rPr>
                <w:color w:val="000000"/>
                <w:sz w:val="18"/>
                <w:szCs w:val="18"/>
              </w:rPr>
            </w:pPr>
            <w:r>
              <w:rPr>
                <w:color w:val="000000"/>
                <w:sz w:val="18"/>
                <w:szCs w:val="18"/>
              </w:rPr>
              <w:t>4</w:t>
            </w:r>
          </w:p>
        </w:tc>
        <w:tc>
          <w:tcPr>
            <w:tcW w:w="1070" w:type="pct"/>
            <w:tcMar>
              <w:left w:w="28" w:type="dxa"/>
              <w:right w:w="28" w:type="dxa"/>
            </w:tcMar>
            <w:vAlign w:val="center"/>
          </w:tcPr>
          <w:p>
            <w:pPr>
              <w:jc w:val="center"/>
              <w:rPr>
                <w:color w:val="000000"/>
                <w:sz w:val="18"/>
                <w:szCs w:val="18"/>
              </w:rPr>
            </w:pPr>
            <w:r>
              <w:rPr>
                <w:color w:val="000000"/>
                <w:sz w:val="18"/>
                <w:szCs w:val="18"/>
              </w:rPr>
              <w:t>厚度方向性能钢板断面收缩率</w:t>
            </w:r>
          </w:p>
        </w:tc>
        <w:tc>
          <w:tcPr>
            <w:tcW w:w="835" w:type="pct"/>
            <w:tcMar>
              <w:left w:w="28" w:type="dxa"/>
              <w:right w:w="28" w:type="dxa"/>
            </w:tcMar>
            <w:vAlign w:val="center"/>
          </w:tcPr>
          <w:p>
            <w:pPr>
              <w:jc w:val="center"/>
              <w:rPr>
                <w:color w:val="000000"/>
                <w:sz w:val="18"/>
                <w:szCs w:val="18"/>
              </w:rPr>
            </w:pPr>
            <w:r>
              <w:rPr>
                <w:color w:val="000000"/>
                <w:sz w:val="18"/>
                <w:szCs w:val="18"/>
              </w:rPr>
              <w:t>3个/批</w:t>
            </w:r>
          </w:p>
        </w:tc>
        <w:tc>
          <w:tcPr>
            <w:tcW w:w="1584" w:type="pct"/>
            <w:tcMar>
              <w:left w:w="28" w:type="dxa"/>
              <w:right w:w="28" w:type="dxa"/>
            </w:tcMar>
            <w:vAlign w:val="center"/>
          </w:tcPr>
          <w:p>
            <w:pPr>
              <w:jc w:val="center"/>
              <w:rPr>
                <w:color w:val="000000"/>
                <w:sz w:val="18"/>
                <w:szCs w:val="18"/>
              </w:rPr>
            </w:pPr>
            <w:r>
              <w:rPr>
                <w:color w:val="000000"/>
                <w:sz w:val="18"/>
                <w:szCs w:val="18"/>
              </w:rPr>
              <w:t>GB/T 5313</w:t>
            </w:r>
          </w:p>
        </w:tc>
        <w:tc>
          <w:tcPr>
            <w:tcW w:w="1163" w:type="pct"/>
            <w:vAlign w:val="center"/>
          </w:tcPr>
          <w:p>
            <w:pPr>
              <w:jc w:val="center"/>
              <w:rPr>
                <w:color w:val="000000"/>
                <w:sz w:val="18"/>
                <w:szCs w:val="18"/>
              </w:rPr>
            </w:pPr>
            <w:r>
              <w:rPr>
                <w:color w:val="000000"/>
                <w:sz w:val="18"/>
                <w:szCs w:val="18"/>
              </w:rPr>
              <w:t>GB/T 5313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48" w:type="pct"/>
            <w:tcMar>
              <w:left w:w="28" w:type="dxa"/>
              <w:right w:w="28" w:type="dxa"/>
            </w:tcMar>
            <w:vAlign w:val="center"/>
          </w:tcPr>
          <w:p>
            <w:pPr>
              <w:jc w:val="center"/>
              <w:rPr>
                <w:color w:val="000000"/>
                <w:spacing w:val="-2"/>
                <w:sz w:val="18"/>
                <w:szCs w:val="18"/>
              </w:rPr>
            </w:pPr>
            <w:r>
              <w:rPr>
                <w:color w:val="000000"/>
                <w:spacing w:val="-2"/>
                <w:sz w:val="18"/>
                <w:szCs w:val="18"/>
              </w:rPr>
              <w:t>5</w:t>
            </w:r>
          </w:p>
        </w:tc>
        <w:tc>
          <w:tcPr>
            <w:tcW w:w="1070" w:type="pct"/>
            <w:tcMar>
              <w:left w:w="28" w:type="dxa"/>
              <w:right w:w="28" w:type="dxa"/>
            </w:tcMar>
            <w:vAlign w:val="center"/>
          </w:tcPr>
          <w:p>
            <w:pPr>
              <w:jc w:val="center"/>
              <w:rPr>
                <w:color w:val="000000"/>
                <w:spacing w:val="-2"/>
                <w:sz w:val="18"/>
                <w:szCs w:val="18"/>
              </w:rPr>
            </w:pPr>
            <w:r>
              <w:rPr>
                <w:color w:val="000000"/>
                <w:spacing w:val="-2"/>
                <w:sz w:val="18"/>
                <w:szCs w:val="18"/>
              </w:rPr>
              <w:t>尺寸、外形</w:t>
            </w:r>
          </w:p>
        </w:tc>
        <w:tc>
          <w:tcPr>
            <w:tcW w:w="835" w:type="pct"/>
            <w:tcMar>
              <w:left w:w="28" w:type="dxa"/>
              <w:right w:w="28" w:type="dxa"/>
            </w:tcMar>
            <w:vAlign w:val="center"/>
          </w:tcPr>
          <w:p>
            <w:pPr>
              <w:jc w:val="center"/>
              <w:rPr>
                <w:color w:val="000000"/>
                <w:spacing w:val="-2"/>
                <w:sz w:val="18"/>
                <w:szCs w:val="18"/>
              </w:rPr>
            </w:pPr>
            <w:r>
              <w:rPr>
                <w:color w:val="000000"/>
                <w:spacing w:val="-2"/>
                <w:sz w:val="18"/>
                <w:szCs w:val="18"/>
              </w:rPr>
              <w:t>逐张</w:t>
            </w:r>
          </w:p>
        </w:tc>
        <w:tc>
          <w:tcPr>
            <w:tcW w:w="1584" w:type="pct"/>
            <w:tcMar>
              <w:left w:w="28" w:type="dxa"/>
              <w:right w:w="28" w:type="dxa"/>
            </w:tcMar>
            <w:vAlign w:val="center"/>
          </w:tcPr>
          <w:p>
            <w:pPr>
              <w:jc w:val="center"/>
              <w:rPr>
                <w:color w:val="000000"/>
              </w:rPr>
            </w:pPr>
            <w:r>
              <w:rPr>
                <w:color w:val="000000"/>
                <w:sz w:val="18"/>
                <w:szCs w:val="18"/>
              </w:rPr>
              <w:t>—</w:t>
            </w:r>
          </w:p>
        </w:tc>
        <w:tc>
          <w:tcPr>
            <w:tcW w:w="1163" w:type="pct"/>
            <w:vAlign w:val="center"/>
          </w:tcPr>
          <w:p>
            <w:pPr>
              <w:jc w:val="center"/>
              <w:rPr>
                <w:color w:val="000000"/>
                <w:spacing w:val="-2"/>
                <w:sz w:val="18"/>
                <w:szCs w:val="18"/>
              </w:rPr>
            </w:pPr>
            <w:r>
              <w:rPr>
                <w:color w:val="000000"/>
                <w:sz w:val="18"/>
                <w:szCs w:val="18"/>
              </w:rPr>
              <w:t>合适的量具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48" w:type="pct"/>
            <w:tcMar>
              <w:left w:w="28" w:type="dxa"/>
              <w:right w:w="28" w:type="dxa"/>
            </w:tcMar>
            <w:vAlign w:val="center"/>
          </w:tcPr>
          <w:p>
            <w:pPr>
              <w:jc w:val="center"/>
              <w:rPr>
                <w:color w:val="000000"/>
                <w:spacing w:val="-2"/>
                <w:sz w:val="18"/>
                <w:szCs w:val="18"/>
              </w:rPr>
            </w:pPr>
            <w:r>
              <w:rPr>
                <w:color w:val="000000"/>
                <w:spacing w:val="-2"/>
                <w:sz w:val="18"/>
                <w:szCs w:val="18"/>
              </w:rPr>
              <w:t>6</w:t>
            </w:r>
          </w:p>
        </w:tc>
        <w:tc>
          <w:tcPr>
            <w:tcW w:w="1070" w:type="pct"/>
            <w:tcMar>
              <w:left w:w="28" w:type="dxa"/>
              <w:right w:w="28" w:type="dxa"/>
            </w:tcMar>
            <w:vAlign w:val="center"/>
          </w:tcPr>
          <w:p>
            <w:pPr>
              <w:jc w:val="center"/>
              <w:rPr>
                <w:color w:val="000000"/>
                <w:spacing w:val="-2"/>
                <w:sz w:val="18"/>
                <w:szCs w:val="18"/>
              </w:rPr>
            </w:pPr>
            <w:r>
              <w:rPr>
                <w:color w:val="000000"/>
                <w:spacing w:val="-2"/>
                <w:sz w:val="18"/>
                <w:szCs w:val="18"/>
              </w:rPr>
              <w:t>表面质量</w:t>
            </w:r>
          </w:p>
        </w:tc>
        <w:tc>
          <w:tcPr>
            <w:tcW w:w="835" w:type="pct"/>
            <w:tcMar>
              <w:left w:w="28" w:type="dxa"/>
              <w:right w:w="28" w:type="dxa"/>
            </w:tcMar>
            <w:vAlign w:val="center"/>
          </w:tcPr>
          <w:p>
            <w:pPr>
              <w:jc w:val="center"/>
              <w:rPr>
                <w:color w:val="000000"/>
                <w:spacing w:val="-2"/>
                <w:sz w:val="18"/>
                <w:szCs w:val="18"/>
              </w:rPr>
            </w:pPr>
            <w:r>
              <w:rPr>
                <w:color w:val="000000"/>
                <w:spacing w:val="-2"/>
                <w:sz w:val="18"/>
                <w:szCs w:val="18"/>
              </w:rPr>
              <w:t>逐张</w:t>
            </w:r>
          </w:p>
        </w:tc>
        <w:tc>
          <w:tcPr>
            <w:tcW w:w="1584" w:type="pct"/>
            <w:tcMar>
              <w:left w:w="28" w:type="dxa"/>
              <w:right w:w="28" w:type="dxa"/>
            </w:tcMar>
            <w:vAlign w:val="center"/>
          </w:tcPr>
          <w:p>
            <w:pPr>
              <w:jc w:val="center"/>
              <w:rPr>
                <w:color w:val="000000"/>
                <w:spacing w:val="-2"/>
                <w:sz w:val="18"/>
                <w:szCs w:val="18"/>
              </w:rPr>
            </w:pPr>
            <w:r>
              <w:rPr>
                <w:color w:val="000000"/>
                <w:sz w:val="18"/>
                <w:szCs w:val="18"/>
              </w:rPr>
              <w:t>—</w:t>
            </w:r>
          </w:p>
        </w:tc>
        <w:tc>
          <w:tcPr>
            <w:tcW w:w="1163" w:type="pct"/>
            <w:vAlign w:val="center"/>
          </w:tcPr>
          <w:p>
            <w:pPr>
              <w:jc w:val="center"/>
              <w:rPr>
                <w:color w:val="000000"/>
                <w:spacing w:val="-2"/>
                <w:sz w:val="18"/>
                <w:szCs w:val="18"/>
              </w:rPr>
            </w:pPr>
            <w:r>
              <w:rPr>
                <w:color w:val="000000"/>
                <w:spacing w:val="-2"/>
                <w:sz w:val="18"/>
                <w:szCs w:val="18"/>
              </w:rPr>
              <w:t>目视及测量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48" w:type="pct"/>
            <w:tcMar>
              <w:left w:w="28" w:type="dxa"/>
              <w:right w:w="28" w:type="dxa"/>
            </w:tcMar>
            <w:vAlign w:val="center"/>
          </w:tcPr>
          <w:p>
            <w:pPr>
              <w:jc w:val="center"/>
              <w:rPr>
                <w:color w:val="000000"/>
                <w:spacing w:val="-2"/>
                <w:sz w:val="18"/>
                <w:szCs w:val="18"/>
              </w:rPr>
            </w:pPr>
            <w:r>
              <w:rPr>
                <w:color w:val="000000"/>
                <w:spacing w:val="-2"/>
                <w:sz w:val="18"/>
                <w:szCs w:val="18"/>
              </w:rPr>
              <w:t>7</w:t>
            </w:r>
          </w:p>
        </w:tc>
        <w:tc>
          <w:tcPr>
            <w:tcW w:w="1070" w:type="pct"/>
            <w:shd w:val="clear" w:color="auto" w:fill="auto"/>
            <w:tcMar>
              <w:left w:w="28" w:type="dxa"/>
              <w:right w:w="28" w:type="dxa"/>
            </w:tcMar>
            <w:vAlign w:val="center"/>
          </w:tcPr>
          <w:p>
            <w:pPr>
              <w:jc w:val="center"/>
              <w:rPr>
                <w:color w:val="000000"/>
                <w:sz w:val="18"/>
                <w:szCs w:val="18"/>
              </w:rPr>
            </w:pPr>
            <w:r>
              <w:rPr>
                <w:color w:val="000000"/>
                <w:sz w:val="18"/>
                <w:szCs w:val="18"/>
              </w:rPr>
              <w:t>超声检测</w:t>
            </w:r>
          </w:p>
        </w:tc>
        <w:tc>
          <w:tcPr>
            <w:tcW w:w="835" w:type="pct"/>
            <w:shd w:val="clear" w:color="auto" w:fill="auto"/>
            <w:tcMar>
              <w:left w:w="28" w:type="dxa"/>
              <w:right w:w="28" w:type="dxa"/>
            </w:tcMar>
            <w:vAlign w:val="center"/>
          </w:tcPr>
          <w:p>
            <w:pPr>
              <w:jc w:val="center"/>
              <w:rPr>
                <w:color w:val="000000"/>
                <w:sz w:val="18"/>
                <w:szCs w:val="18"/>
              </w:rPr>
            </w:pPr>
            <w:r>
              <w:rPr>
                <w:color w:val="000000"/>
                <w:spacing w:val="-2"/>
                <w:sz w:val="18"/>
                <w:szCs w:val="18"/>
              </w:rPr>
              <w:t>逐张</w:t>
            </w:r>
          </w:p>
        </w:tc>
        <w:tc>
          <w:tcPr>
            <w:tcW w:w="1584" w:type="pct"/>
            <w:shd w:val="clear" w:color="auto" w:fill="auto"/>
            <w:tcMar>
              <w:left w:w="28" w:type="dxa"/>
              <w:right w:w="28" w:type="dxa"/>
            </w:tcMar>
            <w:vAlign w:val="center"/>
          </w:tcPr>
          <w:p>
            <w:pPr>
              <w:jc w:val="center"/>
              <w:rPr>
                <w:color w:val="000000"/>
                <w:sz w:val="18"/>
                <w:szCs w:val="18"/>
              </w:rPr>
            </w:pPr>
            <w:r>
              <w:rPr>
                <w:color w:val="000000"/>
                <w:sz w:val="18"/>
                <w:szCs w:val="18"/>
              </w:rPr>
              <w:t>—</w:t>
            </w:r>
          </w:p>
        </w:tc>
        <w:tc>
          <w:tcPr>
            <w:tcW w:w="1163" w:type="pct"/>
            <w:shd w:val="clear" w:color="auto" w:fill="auto"/>
            <w:vAlign w:val="center"/>
          </w:tcPr>
          <w:p>
            <w:pPr>
              <w:jc w:val="center"/>
              <w:rPr>
                <w:color w:val="000000"/>
                <w:sz w:val="18"/>
                <w:szCs w:val="18"/>
              </w:rPr>
            </w:pPr>
            <w:r>
              <w:rPr>
                <w:color w:val="000000"/>
                <w:sz w:val="18"/>
                <w:szCs w:val="18"/>
              </w:rPr>
              <w:t>GB/T 2970</w:t>
            </w:r>
          </w:p>
        </w:tc>
      </w:tr>
      <w:bookmarkEnd w:id="44"/>
      <w:bookmarkEnd w:id="45"/>
    </w:tbl>
    <w:p>
      <w:pPr>
        <w:pStyle w:val="48"/>
        <w:spacing w:before="156" w:after="156"/>
        <w:ind w:left="0"/>
        <w:jc w:val="both"/>
        <w:rPr>
          <w:rFonts w:ascii="Times New Roman" w:eastAsia="宋体"/>
        </w:rPr>
      </w:pPr>
      <w:bookmarkStart w:id="46" w:name="_Hlk150868569"/>
      <w:r>
        <w:rPr>
          <w:rFonts w:ascii="Times New Roman" w:eastAsia="宋体"/>
        </w:rPr>
        <w:t>厚度不大于20 mm的钢板，拉伸试样采用全厚度矩形试样，试样宽度为38 mm。厚度大于20 mm的钢板，拉伸试样采用圆形试样，试样直径为12.5 mm</w:t>
      </w:r>
      <w:bookmarkEnd w:id="46"/>
      <w:r>
        <w:rPr>
          <w:rFonts w:ascii="Times New Roman" w:eastAsia="宋体"/>
        </w:rPr>
        <w:t>。</w:t>
      </w:r>
    </w:p>
    <w:p>
      <w:pPr>
        <w:pStyle w:val="46"/>
        <w:numPr>
          <w:ilvl w:val="0"/>
          <w:numId w:val="1"/>
        </w:numPr>
        <w:spacing w:before="312" w:after="312"/>
        <w:ind w:left="0"/>
        <w:rPr>
          <w:rFonts w:ascii="Times New Roman"/>
        </w:rPr>
      </w:pPr>
      <w:r>
        <w:rPr>
          <w:rFonts w:ascii="Times New Roman"/>
        </w:rPr>
        <w:t>检验规则</w:t>
      </w:r>
    </w:p>
    <w:p>
      <w:pPr>
        <w:pStyle w:val="48"/>
        <w:spacing w:before="156" w:after="156"/>
        <w:ind w:left="0"/>
        <w:rPr>
          <w:rFonts w:ascii="Times New Roman"/>
        </w:rPr>
      </w:pPr>
      <w:r>
        <w:rPr>
          <w:rFonts w:ascii="Times New Roman"/>
        </w:rPr>
        <w:t>检查和验收</w:t>
      </w:r>
    </w:p>
    <w:p>
      <w:pPr>
        <w:pStyle w:val="144"/>
        <w:ind w:left="374" w:firstLine="0" w:firstLineChars="0"/>
        <w:rPr>
          <w:rFonts w:ascii="Times New Roman" w:hAnsi="Times New Roman"/>
        </w:rPr>
      </w:pPr>
      <w:bookmarkStart w:id="47" w:name="_Hlk73507193"/>
      <w:r>
        <w:rPr>
          <w:rFonts w:ascii="Times New Roman" w:hAnsi="Times New Roman"/>
        </w:rPr>
        <w:t>钢板的检查和验收由供方质量检验部门进行。</w:t>
      </w:r>
    </w:p>
    <w:bookmarkEnd w:id="47"/>
    <w:p>
      <w:pPr>
        <w:pStyle w:val="48"/>
        <w:spacing w:before="156" w:after="156"/>
        <w:ind w:left="0"/>
        <w:rPr>
          <w:rFonts w:ascii="Times New Roman"/>
        </w:rPr>
      </w:pPr>
      <w:r>
        <w:rPr>
          <w:rFonts w:ascii="Times New Roman"/>
        </w:rPr>
        <w:t>组批规则</w:t>
      </w:r>
    </w:p>
    <w:p>
      <w:pPr>
        <w:pStyle w:val="51"/>
        <w:spacing w:beforeLines="0" w:afterLines="0"/>
        <w:jc w:val="both"/>
        <w:rPr>
          <w:rFonts w:ascii="Times New Roman" w:eastAsia="宋体"/>
        </w:rPr>
      </w:pPr>
      <w:bookmarkStart w:id="48" w:name="_Hlk150870615"/>
      <w:bookmarkStart w:id="49" w:name="_Hlk73507218"/>
      <w:r>
        <w:rPr>
          <w:rFonts w:ascii="Times New Roman" w:eastAsia="宋体"/>
        </w:rPr>
        <w:t>钢板应成批验收。每批应由同一牌号、同一炉号、同一厚度、同一轧制制度或热处理制度的钢板组成</w:t>
      </w:r>
      <w:bookmarkEnd w:id="48"/>
      <w:r>
        <w:rPr>
          <w:rFonts w:ascii="Times New Roman" w:eastAsia="宋体"/>
        </w:rPr>
        <w:t>。</w:t>
      </w:r>
    </w:p>
    <w:p>
      <w:pPr>
        <w:pStyle w:val="51"/>
        <w:spacing w:beforeLines="0" w:afterLines="0"/>
        <w:rPr>
          <w:rFonts w:ascii="Times New Roman" w:eastAsia="宋体"/>
        </w:rPr>
      </w:pPr>
      <w:bookmarkStart w:id="50" w:name="_Hlk150870893"/>
      <w:r>
        <w:rPr>
          <w:rFonts w:ascii="Times New Roman" w:eastAsia="宋体"/>
        </w:rPr>
        <w:t>根据用户需求，也可按逐轧制张组批，需方应在合同中注明。</w:t>
      </w:r>
    </w:p>
    <w:bookmarkEnd w:id="50"/>
    <w:p>
      <w:pPr>
        <w:pStyle w:val="48"/>
        <w:spacing w:before="156" w:after="156"/>
        <w:ind w:left="0"/>
        <w:rPr>
          <w:rFonts w:ascii="Times New Roman"/>
        </w:rPr>
      </w:pPr>
      <w:r>
        <w:rPr>
          <w:rFonts w:ascii="Times New Roman"/>
        </w:rPr>
        <w:t>取样数量</w:t>
      </w:r>
    </w:p>
    <w:p>
      <w:pPr>
        <w:pStyle w:val="23"/>
        <w:rPr>
          <w:rFonts w:ascii="Times New Roman"/>
        </w:rPr>
      </w:pPr>
      <w:r>
        <w:rPr>
          <w:rFonts w:ascii="Times New Roman"/>
        </w:rPr>
        <w:t>钢板的取样数量和取样方法应符合表8的规定。</w:t>
      </w:r>
    </w:p>
    <w:bookmarkEnd w:id="49"/>
    <w:p>
      <w:pPr>
        <w:pStyle w:val="48"/>
        <w:spacing w:before="156" w:after="156"/>
        <w:ind w:left="0"/>
        <w:rPr>
          <w:rFonts w:ascii="Times New Roman"/>
        </w:rPr>
      </w:pPr>
      <w:r>
        <w:rPr>
          <w:rFonts w:ascii="Times New Roman"/>
        </w:rPr>
        <w:t>复验和判定规则</w:t>
      </w:r>
    </w:p>
    <w:p>
      <w:pPr>
        <w:pStyle w:val="51"/>
        <w:spacing w:beforeLines="0" w:afterLines="0"/>
        <w:jc w:val="both"/>
        <w:rPr>
          <w:rFonts w:ascii="Times New Roman" w:eastAsia="宋体"/>
        </w:rPr>
      </w:pPr>
      <w:bookmarkStart w:id="51" w:name="_Hlk150870912"/>
      <w:bookmarkStart w:id="52" w:name="_Hlk73507318"/>
      <w:r>
        <w:rPr>
          <w:rFonts w:ascii="Times New Roman" w:eastAsia="宋体"/>
        </w:rPr>
        <w:t>厚度方向性能的复验与判定应符合GB/T 5313的规定。其他检验项目的复验与判定应符合 GB/T 17505 的规定</w:t>
      </w:r>
      <w:bookmarkEnd w:id="51"/>
      <w:r>
        <w:rPr>
          <w:rFonts w:ascii="Times New Roman" w:eastAsia="宋体"/>
        </w:rPr>
        <w:t>。</w:t>
      </w:r>
    </w:p>
    <w:bookmarkEnd w:id="52"/>
    <w:p>
      <w:pPr>
        <w:pStyle w:val="48"/>
        <w:spacing w:before="156" w:after="156"/>
        <w:ind w:left="0"/>
        <w:rPr>
          <w:rFonts w:ascii="Times New Roman"/>
        </w:rPr>
      </w:pPr>
      <w:r>
        <w:rPr>
          <w:rFonts w:ascii="Times New Roman"/>
        </w:rPr>
        <w:t>数值修约</w:t>
      </w:r>
    </w:p>
    <w:p>
      <w:pPr>
        <w:ind w:firstLine="420" w:firstLineChars="200"/>
      </w:pPr>
      <w:bookmarkStart w:id="53" w:name="_Hlk150870924"/>
      <w:bookmarkStart w:id="54" w:name="_Hlk73507347"/>
      <w:r>
        <w:t>数值判定采用修约值比较法进行修约，修约规则应符合GB/T 8170的规定</w:t>
      </w:r>
      <w:bookmarkEnd w:id="53"/>
      <w:r>
        <w:t>。</w:t>
      </w:r>
    </w:p>
    <w:bookmarkEnd w:id="54"/>
    <w:p>
      <w:pPr>
        <w:pStyle w:val="46"/>
        <w:numPr>
          <w:ilvl w:val="0"/>
          <w:numId w:val="1"/>
        </w:numPr>
        <w:spacing w:before="312" w:after="312"/>
        <w:ind w:left="0"/>
        <w:rPr>
          <w:rFonts w:ascii="Times New Roman"/>
        </w:rPr>
      </w:pPr>
      <w:r>
        <w:rPr>
          <w:rFonts w:ascii="Times New Roman"/>
        </w:rPr>
        <w:t>包装、标志和质量证明书</w:t>
      </w:r>
    </w:p>
    <w:p>
      <w:pPr>
        <w:pStyle w:val="144"/>
        <w:ind w:left="374" w:firstLine="0" w:firstLineChars="0"/>
        <w:rPr>
          <w:rFonts w:ascii="Times New Roman" w:hAnsi="Times New Roman"/>
        </w:rPr>
      </w:pPr>
      <w:bookmarkStart w:id="55" w:name="_Hlk150870934"/>
      <w:bookmarkStart w:id="56" w:name="_Hlk73507429"/>
      <w:r>
        <w:rPr>
          <w:rFonts w:ascii="Times New Roman" w:hAnsi="Times New Roman"/>
        </w:rPr>
        <w:t>钢板的包装、标志、质量证明书应符合GB/T 247的规定</w:t>
      </w:r>
      <w:bookmarkEnd w:id="55"/>
      <w:r>
        <w:rPr>
          <w:rFonts w:ascii="Times New Roman" w:hAnsi="Times New Roman"/>
        </w:rPr>
        <w:t>。</w:t>
      </w:r>
      <w:bookmarkEnd w:id="56"/>
    </w:p>
    <w:p>
      <w:pPr>
        <w:widowControl/>
        <w:jc w:val="left"/>
        <w:rPr>
          <w:szCs w:val="22"/>
        </w:rPr>
      </w:pPr>
      <w:r>
        <mc:AlternateContent>
          <mc:Choice Requires="wps">
            <w:drawing>
              <wp:anchor distT="0" distB="0" distL="114300" distR="114300" simplePos="0" relativeHeight="251660288" behindDoc="0" locked="0" layoutInCell="1" allowOverlap="1">
                <wp:simplePos x="0" y="0"/>
                <wp:positionH relativeFrom="column">
                  <wp:posOffset>2183765</wp:posOffset>
                </wp:positionH>
                <wp:positionV relativeFrom="paragraph">
                  <wp:posOffset>572135</wp:posOffset>
                </wp:positionV>
                <wp:extent cx="1465580" cy="0"/>
                <wp:effectExtent l="0" t="0" r="0" b="0"/>
                <wp:wrapNone/>
                <wp:docPr id="2" name="AutoShape 4"/>
                <wp:cNvGraphicFramePr/>
                <a:graphic xmlns:a="http://schemas.openxmlformats.org/drawingml/2006/main">
                  <a:graphicData uri="http://schemas.microsoft.com/office/word/2010/wordprocessingShape">
                    <wps:wsp>
                      <wps:cNvCnPr>
                        <a:cxnSpLocks noChangeShapeType="1"/>
                      </wps:cNvCnPr>
                      <wps:spPr bwMode="auto">
                        <a:xfrm>
                          <a:off x="0" y="0"/>
                          <a:ext cx="1465580" cy="0"/>
                        </a:xfrm>
                        <a:prstGeom prst="straightConnector1">
                          <a:avLst/>
                        </a:prstGeom>
                        <a:noFill/>
                        <a:ln w="9525">
                          <a:solidFill>
                            <a:srgbClr val="000000"/>
                          </a:solidFill>
                          <a:round/>
                        </a:ln>
                      </wps:spPr>
                      <wps:bodyPr/>
                    </wps:wsp>
                  </a:graphicData>
                </a:graphic>
              </wp:anchor>
            </w:drawing>
          </mc:Choice>
          <mc:Fallback>
            <w:pict>
              <v:shape id="AutoShape 4" o:spid="_x0000_s1026" o:spt="32" type="#_x0000_t32" style="position:absolute;left:0pt;margin-left:171.95pt;margin-top:45.05pt;height:0pt;width:115.4pt;z-index:251660288;mso-width-relative:page;mso-height-relative:page;" filled="f" stroked="t" coordsize="21600,21600" o:gfxdata="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YSFQjYAAAACQEAAA8AAAAAAAAAAQAg&#10;AAAAIgAAAGRycy9kb3ducmV2LnhtbFBLAQIUABQAAAAIAIdO4kDfuawU1QEAALIDAAAOAAAAAAAA&#10;AAEAIAAAACcBAABkcnMvZTJvRG9jLnhtbFBLBQYAAAAABgAGAFkBAABuBQAAAAA=&#10;">
                <v:fill on="f" focussize="0,0"/>
                <v:stroke color="#000000" joinstyle="round"/>
                <v:imagedata o:title=""/>
                <o:lock v:ext="edit" aspectratio="f"/>
              </v:shape>
            </w:pict>
          </mc:Fallback>
        </mc:AlternateContent>
      </w:r>
    </w:p>
    <w:sectPr>
      <w:headerReference r:id="rId12"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pPr>
    <w:r>
      <w:fldChar w:fldCharType="begin"/>
    </w:r>
    <w:r>
      <w:instrText xml:space="preserve"> PAGE  \* MERGEFORMAT </w:instrText>
    </w:r>
    <w:r>
      <w:fldChar w:fldCharType="separate"/>
    </w:r>
    <w: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861434"/>
    </w:sdtPr>
    <w:sdtContent>
      <w:p>
        <w:pPr>
          <w:pStyle w:val="17"/>
          <w:jc w:val="left"/>
        </w:pPr>
        <w:r>
          <w:fldChar w:fldCharType="begin"/>
        </w:r>
        <w:r>
          <w:instrText xml:space="preserve">PAGE   \* MERGEFORMAT</w:instrText>
        </w:r>
        <w:r>
          <w:fldChar w:fldCharType="separate"/>
        </w:r>
        <w:r>
          <w:rPr>
            <w:lang w:val="zh-CN"/>
          </w:rPr>
          <w:t>6</w:t>
        </w:r>
        <w:r>
          <w:rPr>
            <w:lang w:val="zh-CN"/>
          </w:rPr>
          <w:fldChar w:fldCharType="end"/>
        </w:r>
      </w:p>
    </w:sdtContent>
  </w:sdt>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943371"/>
    <w:multiLevelType w:val="multilevel"/>
    <w:tmpl w:val="14943371"/>
    <w:lvl w:ilvl="0" w:tentative="0">
      <w:start w:val="1"/>
      <w:numFmt w:val="lowerLetter"/>
      <w:lvlText w:val="%1)"/>
      <w:lvlJc w:val="left"/>
      <w:pPr>
        <w:tabs>
          <w:tab w:val="left" w:pos="839"/>
        </w:tabs>
        <w:ind w:left="839" w:hanging="419"/>
      </w:pPr>
      <w:rPr>
        <w:rFonts w:hint="eastAsia" w:ascii="宋体" w:hAnsi="宋体" w:eastAsia="宋体" w:cs="Times New Roman"/>
        <w:b w:val="0"/>
        <w:bCs w:val="0"/>
        <w:i w:val="0"/>
        <w:iCs w:val="0"/>
        <w:sz w:val="21"/>
        <w:szCs w:val="21"/>
      </w:rPr>
    </w:lvl>
    <w:lvl w:ilvl="1" w:tentative="0">
      <w:start w:val="1"/>
      <w:numFmt w:val="decimal"/>
      <w:lvlText w:val="%2)"/>
      <w:lvlJc w:val="left"/>
      <w:pPr>
        <w:tabs>
          <w:tab w:val="left" w:pos="1259"/>
        </w:tabs>
        <w:ind w:left="1259" w:hanging="420"/>
      </w:pPr>
      <w:rPr>
        <w:rFonts w:hint="eastAsia" w:ascii="宋体" w:hAnsi="宋体" w:eastAsia="宋体" w:cs="Times New Roman"/>
        <w:b w:val="0"/>
        <w:bCs w:val="0"/>
        <w:i w:val="0"/>
        <w:iCs w:val="0"/>
        <w:sz w:val="20"/>
        <w:szCs w:val="20"/>
      </w:rPr>
    </w:lvl>
    <w:lvl w:ilvl="2" w:tentative="0">
      <w:start w:val="1"/>
      <w:numFmt w:val="decimal"/>
      <w:lvlText w:val="(%3)"/>
      <w:lvlJc w:val="left"/>
      <w:pPr>
        <w:tabs>
          <w:tab w:val="left" w:pos="0"/>
        </w:tabs>
        <w:ind w:left="1678" w:hanging="419"/>
      </w:pPr>
      <w:rPr>
        <w:rFonts w:hint="eastAsia" w:ascii="宋体" w:hAnsi="宋体" w:eastAsia="宋体" w:cs="Times New Roman"/>
        <w:b w:val="0"/>
        <w:bCs w:val="0"/>
        <w:i w:val="0"/>
        <w:iCs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1">
    <w:nsid w:val="1FC91163"/>
    <w:multiLevelType w:val="multilevel"/>
    <w:tmpl w:val="1FC91163"/>
    <w:lvl w:ilvl="0" w:tentative="0">
      <w:start w:val="1"/>
      <w:numFmt w:val="decimal"/>
      <w:suff w:val="nothing"/>
      <w:lvlText w:val="%1　"/>
      <w:lvlJc w:val="left"/>
      <w:pPr>
        <w:ind w:left="1134" w:firstLine="0"/>
      </w:pPr>
      <w:rPr>
        <w:rFonts w:hint="eastAsia" w:ascii="黑体" w:hAnsi="Times New Roman" w:eastAsia="黑体"/>
        <w:b w:val="0"/>
        <w:i w:val="0"/>
        <w:sz w:val="21"/>
        <w:szCs w:val="21"/>
      </w:rPr>
    </w:lvl>
    <w:lvl w:ilvl="1" w:tentative="0">
      <w:start w:val="1"/>
      <w:numFmt w:val="decimal"/>
      <w:pStyle w:val="48"/>
      <w:suff w:val="nothing"/>
      <w:lvlText w:val="%1.%2　"/>
      <w:lvlJc w:val="left"/>
      <w:pPr>
        <w:ind w:left="1135"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1"/>
      <w:suff w:val="nothing"/>
      <w:lvlText w:val="%1.%2.%3　"/>
      <w:lvlJc w:val="left"/>
      <w:pPr>
        <w:ind w:left="4679"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46260FA"/>
    <w:multiLevelType w:val="multilevel"/>
    <w:tmpl w:val="646260FA"/>
    <w:lvl w:ilvl="0" w:tentative="0">
      <w:start w:val="1"/>
      <w:numFmt w:val="decimal"/>
      <w:pStyle w:val="78"/>
      <w:suff w:val="nothing"/>
      <w:lvlText w:val="表%1　"/>
      <w:lvlJc w:val="left"/>
      <w:pPr>
        <w:ind w:left="3261" w:firstLine="0"/>
      </w:pPr>
      <w:rPr>
        <w:rFonts w:hint="eastAsia" w:ascii="黑体" w:hAnsi="Times New Roman" w:eastAsia="黑体"/>
        <w:b w:val="0"/>
        <w:i w:val="0"/>
        <w:dstrike w:val="0"/>
        <w:sz w:val="21"/>
        <w:lang w:val="en-US"/>
      </w:rPr>
    </w:lvl>
    <w:lvl w:ilvl="1" w:tentative="0">
      <w:start w:val="1"/>
      <w:numFmt w:val="decimal"/>
      <w:lvlText w:val="%1.%2"/>
      <w:lvlJc w:val="left"/>
      <w:pPr>
        <w:tabs>
          <w:tab w:val="left" w:pos="142"/>
        </w:tabs>
        <w:ind w:left="142" w:hanging="567"/>
      </w:pPr>
      <w:rPr>
        <w:rFonts w:hint="eastAsia"/>
      </w:rPr>
    </w:lvl>
    <w:lvl w:ilvl="2" w:tentative="0">
      <w:start w:val="1"/>
      <w:numFmt w:val="decimal"/>
      <w:lvlText w:val="%1.%2.%3"/>
      <w:lvlJc w:val="left"/>
      <w:pPr>
        <w:tabs>
          <w:tab w:val="left" w:pos="568"/>
        </w:tabs>
        <w:ind w:left="568" w:hanging="567"/>
      </w:pPr>
      <w:rPr>
        <w:rFonts w:hint="eastAsia"/>
      </w:rPr>
    </w:lvl>
    <w:lvl w:ilvl="3" w:tentative="0">
      <w:start w:val="1"/>
      <w:numFmt w:val="decimal"/>
      <w:lvlText w:val="%1.%2.%3.%4"/>
      <w:lvlJc w:val="left"/>
      <w:pPr>
        <w:tabs>
          <w:tab w:val="left" w:pos="1134"/>
        </w:tabs>
        <w:ind w:left="1134" w:hanging="708"/>
      </w:pPr>
      <w:rPr>
        <w:rFonts w:hint="eastAsia"/>
      </w:rPr>
    </w:lvl>
    <w:lvl w:ilvl="4" w:tentative="0">
      <w:start w:val="1"/>
      <w:numFmt w:val="decimal"/>
      <w:lvlText w:val="%1.%2.%3.%4.%5"/>
      <w:lvlJc w:val="left"/>
      <w:pPr>
        <w:tabs>
          <w:tab w:val="left" w:pos="1701"/>
        </w:tabs>
        <w:ind w:left="1701" w:hanging="850"/>
      </w:pPr>
      <w:rPr>
        <w:rFonts w:hint="eastAsia"/>
      </w:rPr>
    </w:lvl>
    <w:lvl w:ilvl="5" w:tentative="0">
      <w:start w:val="1"/>
      <w:numFmt w:val="decimal"/>
      <w:lvlText w:val="%1.%2.%3.%4.%5.%6"/>
      <w:lvlJc w:val="left"/>
      <w:pPr>
        <w:tabs>
          <w:tab w:val="left" w:pos="2410"/>
        </w:tabs>
        <w:ind w:left="2410" w:hanging="1134"/>
      </w:pPr>
      <w:rPr>
        <w:rFonts w:hint="eastAsia"/>
      </w:rPr>
    </w:lvl>
    <w:lvl w:ilvl="6" w:tentative="0">
      <w:start w:val="1"/>
      <w:numFmt w:val="decimal"/>
      <w:lvlText w:val="%1.%2.%3.%4.%5.%6.%7"/>
      <w:lvlJc w:val="left"/>
      <w:pPr>
        <w:tabs>
          <w:tab w:val="left" w:pos="2977"/>
        </w:tabs>
        <w:ind w:left="2977" w:hanging="1276"/>
      </w:pPr>
      <w:rPr>
        <w:rFonts w:hint="eastAsia"/>
      </w:rPr>
    </w:lvl>
    <w:lvl w:ilvl="7" w:tentative="0">
      <w:start w:val="1"/>
      <w:numFmt w:val="decimal"/>
      <w:lvlText w:val="%1.%2.%3.%4.%5.%6.%7.%8"/>
      <w:lvlJc w:val="left"/>
      <w:pPr>
        <w:tabs>
          <w:tab w:val="left" w:pos="3544"/>
        </w:tabs>
        <w:ind w:left="3544" w:hanging="1418"/>
      </w:pPr>
      <w:rPr>
        <w:rFonts w:hint="eastAsia"/>
      </w:rPr>
    </w:lvl>
    <w:lvl w:ilvl="8" w:tentative="0">
      <w:start w:val="1"/>
      <w:numFmt w:val="decimal"/>
      <w:lvlText w:val="%1.%2.%3.%4.%5.%6.%7.%8.%9"/>
      <w:lvlJc w:val="left"/>
      <w:pPr>
        <w:tabs>
          <w:tab w:val="left" w:pos="4252"/>
        </w:tabs>
        <w:ind w:left="4252" w:hanging="17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xY2M1MTFiNDYxNDNkNzhiMDQzYzE3Mzc3ODRlN2YifQ=="/>
  </w:docVars>
  <w:rsids>
    <w:rsidRoot w:val="00035925"/>
    <w:rsid w:val="00000244"/>
    <w:rsid w:val="00001266"/>
    <w:rsid w:val="0000185F"/>
    <w:rsid w:val="00001EDD"/>
    <w:rsid w:val="0000525E"/>
    <w:rsid w:val="0000586F"/>
    <w:rsid w:val="00005D79"/>
    <w:rsid w:val="00007340"/>
    <w:rsid w:val="00013D86"/>
    <w:rsid w:val="00013E02"/>
    <w:rsid w:val="00016427"/>
    <w:rsid w:val="00016966"/>
    <w:rsid w:val="00017E7B"/>
    <w:rsid w:val="00020414"/>
    <w:rsid w:val="00020E6E"/>
    <w:rsid w:val="0002143C"/>
    <w:rsid w:val="00022016"/>
    <w:rsid w:val="00024EC6"/>
    <w:rsid w:val="00025A65"/>
    <w:rsid w:val="00026145"/>
    <w:rsid w:val="000267B2"/>
    <w:rsid w:val="00026A3A"/>
    <w:rsid w:val="00026C31"/>
    <w:rsid w:val="00027280"/>
    <w:rsid w:val="00027DFC"/>
    <w:rsid w:val="000306E3"/>
    <w:rsid w:val="000320A7"/>
    <w:rsid w:val="00035925"/>
    <w:rsid w:val="000366F4"/>
    <w:rsid w:val="00037633"/>
    <w:rsid w:val="00037DAC"/>
    <w:rsid w:val="00041127"/>
    <w:rsid w:val="00042730"/>
    <w:rsid w:val="000431C0"/>
    <w:rsid w:val="000451BC"/>
    <w:rsid w:val="000452CE"/>
    <w:rsid w:val="0004569D"/>
    <w:rsid w:val="00045C9B"/>
    <w:rsid w:val="000466F7"/>
    <w:rsid w:val="0005140E"/>
    <w:rsid w:val="0005292E"/>
    <w:rsid w:val="00053E40"/>
    <w:rsid w:val="0005610D"/>
    <w:rsid w:val="00057EFE"/>
    <w:rsid w:val="0006253B"/>
    <w:rsid w:val="000639E9"/>
    <w:rsid w:val="00063E76"/>
    <w:rsid w:val="00067CDF"/>
    <w:rsid w:val="00073222"/>
    <w:rsid w:val="00074FBE"/>
    <w:rsid w:val="000772BB"/>
    <w:rsid w:val="00077E45"/>
    <w:rsid w:val="000818DD"/>
    <w:rsid w:val="00083A09"/>
    <w:rsid w:val="00085252"/>
    <w:rsid w:val="0009005E"/>
    <w:rsid w:val="00090E08"/>
    <w:rsid w:val="00092857"/>
    <w:rsid w:val="000A0454"/>
    <w:rsid w:val="000A1797"/>
    <w:rsid w:val="000A20A9"/>
    <w:rsid w:val="000A37DF"/>
    <w:rsid w:val="000A3B20"/>
    <w:rsid w:val="000A48B1"/>
    <w:rsid w:val="000A4EA0"/>
    <w:rsid w:val="000A5495"/>
    <w:rsid w:val="000A619A"/>
    <w:rsid w:val="000A6A7A"/>
    <w:rsid w:val="000B1418"/>
    <w:rsid w:val="000B2F77"/>
    <w:rsid w:val="000B3143"/>
    <w:rsid w:val="000B6BA0"/>
    <w:rsid w:val="000C120B"/>
    <w:rsid w:val="000C2EE2"/>
    <w:rsid w:val="000C30C7"/>
    <w:rsid w:val="000C6359"/>
    <w:rsid w:val="000C6B05"/>
    <w:rsid w:val="000C6DD6"/>
    <w:rsid w:val="000C7164"/>
    <w:rsid w:val="000C73D4"/>
    <w:rsid w:val="000D03F1"/>
    <w:rsid w:val="000D114F"/>
    <w:rsid w:val="000D379C"/>
    <w:rsid w:val="000D3D4C"/>
    <w:rsid w:val="000D4406"/>
    <w:rsid w:val="000D4505"/>
    <w:rsid w:val="000D4F51"/>
    <w:rsid w:val="000D718B"/>
    <w:rsid w:val="000E01C6"/>
    <w:rsid w:val="000E0C46"/>
    <w:rsid w:val="000E3838"/>
    <w:rsid w:val="000E3EC7"/>
    <w:rsid w:val="000E7D49"/>
    <w:rsid w:val="000F030C"/>
    <w:rsid w:val="000F04B4"/>
    <w:rsid w:val="000F1191"/>
    <w:rsid w:val="000F129C"/>
    <w:rsid w:val="000F303F"/>
    <w:rsid w:val="000F30CB"/>
    <w:rsid w:val="000F374C"/>
    <w:rsid w:val="000F37E3"/>
    <w:rsid w:val="000F7539"/>
    <w:rsid w:val="001056DE"/>
    <w:rsid w:val="00106993"/>
    <w:rsid w:val="0011126A"/>
    <w:rsid w:val="00111863"/>
    <w:rsid w:val="001124C0"/>
    <w:rsid w:val="0011255E"/>
    <w:rsid w:val="00116CAB"/>
    <w:rsid w:val="001221D7"/>
    <w:rsid w:val="00122B7B"/>
    <w:rsid w:val="00125B46"/>
    <w:rsid w:val="001278EF"/>
    <w:rsid w:val="0013175F"/>
    <w:rsid w:val="00131EE5"/>
    <w:rsid w:val="001331D4"/>
    <w:rsid w:val="00134999"/>
    <w:rsid w:val="00137C78"/>
    <w:rsid w:val="0014015E"/>
    <w:rsid w:val="001441A1"/>
    <w:rsid w:val="001469FA"/>
    <w:rsid w:val="001512B4"/>
    <w:rsid w:val="00152179"/>
    <w:rsid w:val="00153969"/>
    <w:rsid w:val="00154746"/>
    <w:rsid w:val="00154A8E"/>
    <w:rsid w:val="0015626C"/>
    <w:rsid w:val="00156D41"/>
    <w:rsid w:val="00160652"/>
    <w:rsid w:val="001620A5"/>
    <w:rsid w:val="00163A69"/>
    <w:rsid w:val="00164E53"/>
    <w:rsid w:val="0016686F"/>
    <w:rsid w:val="0016699D"/>
    <w:rsid w:val="001701E9"/>
    <w:rsid w:val="00170D62"/>
    <w:rsid w:val="0017259F"/>
    <w:rsid w:val="001747C1"/>
    <w:rsid w:val="00175159"/>
    <w:rsid w:val="00175477"/>
    <w:rsid w:val="00176208"/>
    <w:rsid w:val="0017711B"/>
    <w:rsid w:val="0018211B"/>
    <w:rsid w:val="00183712"/>
    <w:rsid w:val="001840D3"/>
    <w:rsid w:val="00185FB4"/>
    <w:rsid w:val="00186BF7"/>
    <w:rsid w:val="00187A9A"/>
    <w:rsid w:val="001900F8"/>
    <w:rsid w:val="0019112B"/>
    <w:rsid w:val="00191258"/>
    <w:rsid w:val="00192680"/>
    <w:rsid w:val="00193037"/>
    <w:rsid w:val="00193A2C"/>
    <w:rsid w:val="00197D88"/>
    <w:rsid w:val="001A01D4"/>
    <w:rsid w:val="001A0CE5"/>
    <w:rsid w:val="001A167D"/>
    <w:rsid w:val="001A288E"/>
    <w:rsid w:val="001A2C6F"/>
    <w:rsid w:val="001A32EE"/>
    <w:rsid w:val="001A3890"/>
    <w:rsid w:val="001A4764"/>
    <w:rsid w:val="001A7B82"/>
    <w:rsid w:val="001B5B9E"/>
    <w:rsid w:val="001B5E5F"/>
    <w:rsid w:val="001B6862"/>
    <w:rsid w:val="001B6DC2"/>
    <w:rsid w:val="001B7CAF"/>
    <w:rsid w:val="001C149C"/>
    <w:rsid w:val="001C1740"/>
    <w:rsid w:val="001C21AC"/>
    <w:rsid w:val="001C2C74"/>
    <w:rsid w:val="001C459C"/>
    <w:rsid w:val="001C47BA"/>
    <w:rsid w:val="001C59EA"/>
    <w:rsid w:val="001C71B3"/>
    <w:rsid w:val="001D406C"/>
    <w:rsid w:val="001D41EE"/>
    <w:rsid w:val="001D4EC2"/>
    <w:rsid w:val="001D6160"/>
    <w:rsid w:val="001D68C7"/>
    <w:rsid w:val="001E022E"/>
    <w:rsid w:val="001E0380"/>
    <w:rsid w:val="001E05EE"/>
    <w:rsid w:val="001E13B1"/>
    <w:rsid w:val="001E55B7"/>
    <w:rsid w:val="001E666F"/>
    <w:rsid w:val="001E69DB"/>
    <w:rsid w:val="001F2F7C"/>
    <w:rsid w:val="001F3A19"/>
    <w:rsid w:val="001F3BC3"/>
    <w:rsid w:val="001F64B3"/>
    <w:rsid w:val="001F73E5"/>
    <w:rsid w:val="002002E4"/>
    <w:rsid w:val="00204239"/>
    <w:rsid w:val="00206EC1"/>
    <w:rsid w:val="00211E41"/>
    <w:rsid w:val="002160BE"/>
    <w:rsid w:val="0022046A"/>
    <w:rsid w:val="00220BCA"/>
    <w:rsid w:val="00223618"/>
    <w:rsid w:val="0022368D"/>
    <w:rsid w:val="00225370"/>
    <w:rsid w:val="0023008B"/>
    <w:rsid w:val="00231142"/>
    <w:rsid w:val="00231970"/>
    <w:rsid w:val="0023382E"/>
    <w:rsid w:val="00234467"/>
    <w:rsid w:val="00237D8D"/>
    <w:rsid w:val="00240622"/>
    <w:rsid w:val="00240FE6"/>
    <w:rsid w:val="00241DA2"/>
    <w:rsid w:val="002446C3"/>
    <w:rsid w:val="00244C0C"/>
    <w:rsid w:val="00245B95"/>
    <w:rsid w:val="00247FEE"/>
    <w:rsid w:val="00250E7D"/>
    <w:rsid w:val="00253C2D"/>
    <w:rsid w:val="00254FBD"/>
    <w:rsid w:val="0025577E"/>
    <w:rsid w:val="002565D5"/>
    <w:rsid w:val="00257415"/>
    <w:rsid w:val="0025757B"/>
    <w:rsid w:val="00257C39"/>
    <w:rsid w:val="002622C0"/>
    <w:rsid w:val="00262D2E"/>
    <w:rsid w:val="00262D55"/>
    <w:rsid w:val="00264B63"/>
    <w:rsid w:val="00264F9B"/>
    <w:rsid w:val="0026634A"/>
    <w:rsid w:val="00266923"/>
    <w:rsid w:val="002671CB"/>
    <w:rsid w:val="0027201B"/>
    <w:rsid w:val="002759BB"/>
    <w:rsid w:val="00276B08"/>
    <w:rsid w:val="002778AE"/>
    <w:rsid w:val="002801FA"/>
    <w:rsid w:val="0028022A"/>
    <w:rsid w:val="00281919"/>
    <w:rsid w:val="002824CB"/>
    <w:rsid w:val="0028269A"/>
    <w:rsid w:val="00283590"/>
    <w:rsid w:val="002854F5"/>
    <w:rsid w:val="00286973"/>
    <w:rsid w:val="002904AF"/>
    <w:rsid w:val="00294E70"/>
    <w:rsid w:val="002965ED"/>
    <w:rsid w:val="00296FB8"/>
    <w:rsid w:val="002A06B3"/>
    <w:rsid w:val="002A1924"/>
    <w:rsid w:val="002A1F72"/>
    <w:rsid w:val="002A4B10"/>
    <w:rsid w:val="002A5AE5"/>
    <w:rsid w:val="002A7420"/>
    <w:rsid w:val="002A7855"/>
    <w:rsid w:val="002B074C"/>
    <w:rsid w:val="002B0F12"/>
    <w:rsid w:val="002B1308"/>
    <w:rsid w:val="002B3CBD"/>
    <w:rsid w:val="002B4449"/>
    <w:rsid w:val="002B4554"/>
    <w:rsid w:val="002B4FE3"/>
    <w:rsid w:val="002B6B78"/>
    <w:rsid w:val="002C261B"/>
    <w:rsid w:val="002C2696"/>
    <w:rsid w:val="002C281F"/>
    <w:rsid w:val="002C560C"/>
    <w:rsid w:val="002C72D8"/>
    <w:rsid w:val="002D11FA"/>
    <w:rsid w:val="002D545A"/>
    <w:rsid w:val="002E0AE5"/>
    <w:rsid w:val="002E0DDF"/>
    <w:rsid w:val="002E2906"/>
    <w:rsid w:val="002E4C50"/>
    <w:rsid w:val="002E5635"/>
    <w:rsid w:val="002E64C3"/>
    <w:rsid w:val="002E6A2C"/>
    <w:rsid w:val="002E7F66"/>
    <w:rsid w:val="002F1D8C"/>
    <w:rsid w:val="002F21DA"/>
    <w:rsid w:val="002F31F1"/>
    <w:rsid w:val="002F3F0D"/>
    <w:rsid w:val="002F42E2"/>
    <w:rsid w:val="002F4512"/>
    <w:rsid w:val="002F45CA"/>
    <w:rsid w:val="002F57F3"/>
    <w:rsid w:val="00301F39"/>
    <w:rsid w:val="00302116"/>
    <w:rsid w:val="00305812"/>
    <w:rsid w:val="003073E0"/>
    <w:rsid w:val="00307C21"/>
    <w:rsid w:val="00310478"/>
    <w:rsid w:val="0031125B"/>
    <w:rsid w:val="00313B20"/>
    <w:rsid w:val="00315F34"/>
    <w:rsid w:val="00316503"/>
    <w:rsid w:val="00317A37"/>
    <w:rsid w:val="0032071A"/>
    <w:rsid w:val="00325926"/>
    <w:rsid w:val="003260A1"/>
    <w:rsid w:val="00327A8A"/>
    <w:rsid w:val="00333447"/>
    <w:rsid w:val="00335A65"/>
    <w:rsid w:val="0033630C"/>
    <w:rsid w:val="00336610"/>
    <w:rsid w:val="003373DE"/>
    <w:rsid w:val="003379A6"/>
    <w:rsid w:val="00342C91"/>
    <w:rsid w:val="00343620"/>
    <w:rsid w:val="0034387A"/>
    <w:rsid w:val="00343F73"/>
    <w:rsid w:val="00345060"/>
    <w:rsid w:val="00350BC9"/>
    <w:rsid w:val="00351AE2"/>
    <w:rsid w:val="0035323B"/>
    <w:rsid w:val="00356876"/>
    <w:rsid w:val="003609D2"/>
    <w:rsid w:val="00363709"/>
    <w:rsid w:val="00363F22"/>
    <w:rsid w:val="003650D5"/>
    <w:rsid w:val="003659A4"/>
    <w:rsid w:val="00365DDD"/>
    <w:rsid w:val="0036765C"/>
    <w:rsid w:val="00367DCF"/>
    <w:rsid w:val="003732A9"/>
    <w:rsid w:val="0037473D"/>
    <w:rsid w:val="00375564"/>
    <w:rsid w:val="0037662F"/>
    <w:rsid w:val="003768C0"/>
    <w:rsid w:val="00383191"/>
    <w:rsid w:val="003839CA"/>
    <w:rsid w:val="00383BD0"/>
    <w:rsid w:val="003852DB"/>
    <w:rsid w:val="00385F2D"/>
    <w:rsid w:val="00386DED"/>
    <w:rsid w:val="00386FCF"/>
    <w:rsid w:val="003912E7"/>
    <w:rsid w:val="0039140F"/>
    <w:rsid w:val="00393947"/>
    <w:rsid w:val="00393C2D"/>
    <w:rsid w:val="003A1530"/>
    <w:rsid w:val="003A1F65"/>
    <w:rsid w:val="003A2275"/>
    <w:rsid w:val="003A3F2D"/>
    <w:rsid w:val="003A48CA"/>
    <w:rsid w:val="003A5141"/>
    <w:rsid w:val="003A6A4F"/>
    <w:rsid w:val="003A7088"/>
    <w:rsid w:val="003A7A14"/>
    <w:rsid w:val="003B00DF"/>
    <w:rsid w:val="003B1275"/>
    <w:rsid w:val="003B1778"/>
    <w:rsid w:val="003B217D"/>
    <w:rsid w:val="003B3356"/>
    <w:rsid w:val="003B7520"/>
    <w:rsid w:val="003C11CB"/>
    <w:rsid w:val="003C1A52"/>
    <w:rsid w:val="003C2DF7"/>
    <w:rsid w:val="003C3DE3"/>
    <w:rsid w:val="003C5654"/>
    <w:rsid w:val="003C75F3"/>
    <w:rsid w:val="003C78A3"/>
    <w:rsid w:val="003D26FC"/>
    <w:rsid w:val="003D69C7"/>
    <w:rsid w:val="003D721E"/>
    <w:rsid w:val="003E03E5"/>
    <w:rsid w:val="003E0D6C"/>
    <w:rsid w:val="003E1867"/>
    <w:rsid w:val="003E5000"/>
    <w:rsid w:val="003E5729"/>
    <w:rsid w:val="003E5A57"/>
    <w:rsid w:val="003E65E6"/>
    <w:rsid w:val="003F4EE0"/>
    <w:rsid w:val="003F6C21"/>
    <w:rsid w:val="00400C28"/>
    <w:rsid w:val="00402153"/>
    <w:rsid w:val="00402FC1"/>
    <w:rsid w:val="004035D5"/>
    <w:rsid w:val="00403B1D"/>
    <w:rsid w:val="00404494"/>
    <w:rsid w:val="00412C65"/>
    <w:rsid w:val="004134DD"/>
    <w:rsid w:val="004145B9"/>
    <w:rsid w:val="004166CD"/>
    <w:rsid w:val="0041793A"/>
    <w:rsid w:val="004209BC"/>
    <w:rsid w:val="00423779"/>
    <w:rsid w:val="00423DBC"/>
    <w:rsid w:val="00424E0E"/>
    <w:rsid w:val="00425054"/>
    <w:rsid w:val="00425082"/>
    <w:rsid w:val="004265BA"/>
    <w:rsid w:val="00430317"/>
    <w:rsid w:val="00431DEB"/>
    <w:rsid w:val="0043287C"/>
    <w:rsid w:val="00433284"/>
    <w:rsid w:val="004336C3"/>
    <w:rsid w:val="004345BF"/>
    <w:rsid w:val="00446AED"/>
    <w:rsid w:val="00446B29"/>
    <w:rsid w:val="00447BB0"/>
    <w:rsid w:val="004509E6"/>
    <w:rsid w:val="00453F9A"/>
    <w:rsid w:val="004557BE"/>
    <w:rsid w:val="0045659F"/>
    <w:rsid w:val="00460525"/>
    <w:rsid w:val="00461B64"/>
    <w:rsid w:val="0046288C"/>
    <w:rsid w:val="00462EF3"/>
    <w:rsid w:val="004641BF"/>
    <w:rsid w:val="00465A88"/>
    <w:rsid w:val="00465B21"/>
    <w:rsid w:val="00471022"/>
    <w:rsid w:val="0047198F"/>
    <w:rsid w:val="00471E91"/>
    <w:rsid w:val="00472AF6"/>
    <w:rsid w:val="00472C6E"/>
    <w:rsid w:val="00474675"/>
    <w:rsid w:val="0047470C"/>
    <w:rsid w:val="00476BA1"/>
    <w:rsid w:val="00476DC1"/>
    <w:rsid w:val="0047745F"/>
    <w:rsid w:val="00482E8C"/>
    <w:rsid w:val="0048305A"/>
    <w:rsid w:val="0048446C"/>
    <w:rsid w:val="00485828"/>
    <w:rsid w:val="00490635"/>
    <w:rsid w:val="00490762"/>
    <w:rsid w:val="0049599F"/>
    <w:rsid w:val="00496C81"/>
    <w:rsid w:val="0049742A"/>
    <w:rsid w:val="004A029F"/>
    <w:rsid w:val="004A0900"/>
    <w:rsid w:val="004A2EB0"/>
    <w:rsid w:val="004A35F9"/>
    <w:rsid w:val="004A3BF1"/>
    <w:rsid w:val="004A646F"/>
    <w:rsid w:val="004B1054"/>
    <w:rsid w:val="004B1107"/>
    <w:rsid w:val="004B1EA1"/>
    <w:rsid w:val="004B24C1"/>
    <w:rsid w:val="004B2828"/>
    <w:rsid w:val="004B3527"/>
    <w:rsid w:val="004B4141"/>
    <w:rsid w:val="004B7A61"/>
    <w:rsid w:val="004C00B5"/>
    <w:rsid w:val="004C0DE4"/>
    <w:rsid w:val="004C1BA9"/>
    <w:rsid w:val="004C1C51"/>
    <w:rsid w:val="004C292F"/>
    <w:rsid w:val="004C52B4"/>
    <w:rsid w:val="004C6D21"/>
    <w:rsid w:val="004D00EB"/>
    <w:rsid w:val="004D0FB0"/>
    <w:rsid w:val="004D197C"/>
    <w:rsid w:val="004D1F4A"/>
    <w:rsid w:val="004D75C0"/>
    <w:rsid w:val="004E4034"/>
    <w:rsid w:val="004E504F"/>
    <w:rsid w:val="004E6081"/>
    <w:rsid w:val="004E7359"/>
    <w:rsid w:val="004E7695"/>
    <w:rsid w:val="004F0C39"/>
    <w:rsid w:val="004F10FB"/>
    <w:rsid w:val="004F11CA"/>
    <w:rsid w:val="004F4699"/>
    <w:rsid w:val="004F50F4"/>
    <w:rsid w:val="004F526E"/>
    <w:rsid w:val="004F5EDD"/>
    <w:rsid w:val="004F6A72"/>
    <w:rsid w:val="00500A11"/>
    <w:rsid w:val="00500A34"/>
    <w:rsid w:val="00500A8A"/>
    <w:rsid w:val="00503616"/>
    <w:rsid w:val="00505BDD"/>
    <w:rsid w:val="00505F90"/>
    <w:rsid w:val="00506B12"/>
    <w:rsid w:val="00506E9E"/>
    <w:rsid w:val="00510280"/>
    <w:rsid w:val="005107C9"/>
    <w:rsid w:val="0051347B"/>
    <w:rsid w:val="00513480"/>
    <w:rsid w:val="00513D73"/>
    <w:rsid w:val="00514A43"/>
    <w:rsid w:val="005153A2"/>
    <w:rsid w:val="00515C1F"/>
    <w:rsid w:val="005174E5"/>
    <w:rsid w:val="00522173"/>
    <w:rsid w:val="00522393"/>
    <w:rsid w:val="00522620"/>
    <w:rsid w:val="00522F9A"/>
    <w:rsid w:val="00524E05"/>
    <w:rsid w:val="00525656"/>
    <w:rsid w:val="00530D66"/>
    <w:rsid w:val="00534C02"/>
    <w:rsid w:val="00534D29"/>
    <w:rsid w:val="00534EC9"/>
    <w:rsid w:val="00536123"/>
    <w:rsid w:val="00540E69"/>
    <w:rsid w:val="0054264B"/>
    <w:rsid w:val="00543292"/>
    <w:rsid w:val="00543786"/>
    <w:rsid w:val="00544BF9"/>
    <w:rsid w:val="00545704"/>
    <w:rsid w:val="0054579C"/>
    <w:rsid w:val="005458E8"/>
    <w:rsid w:val="00546442"/>
    <w:rsid w:val="00547B43"/>
    <w:rsid w:val="00550AC2"/>
    <w:rsid w:val="005517EF"/>
    <w:rsid w:val="00551857"/>
    <w:rsid w:val="005533D7"/>
    <w:rsid w:val="00554C85"/>
    <w:rsid w:val="00560E0C"/>
    <w:rsid w:val="0056113D"/>
    <w:rsid w:val="00561286"/>
    <w:rsid w:val="005646CE"/>
    <w:rsid w:val="005655A8"/>
    <w:rsid w:val="005703DE"/>
    <w:rsid w:val="00571A1F"/>
    <w:rsid w:val="00573D31"/>
    <w:rsid w:val="00575169"/>
    <w:rsid w:val="00580B6B"/>
    <w:rsid w:val="00581D0A"/>
    <w:rsid w:val="005828EB"/>
    <w:rsid w:val="0058407D"/>
    <w:rsid w:val="0058464E"/>
    <w:rsid w:val="00587FD0"/>
    <w:rsid w:val="00591DE2"/>
    <w:rsid w:val="00592C13"/>
    <w:rsid w:val="005940BD"/>
    <w:rsid w:val="005944C3"/>
    <w:rsid w:val="00594EAD"/>
    <w:rsid w:val="005A01CB"/>
    <w:rsid w:val="005A04CA"/>
    <w:rsid w:val="005A050A"/>
    <w:rsid w:val="005A2B74"/>
    <w:rsid w:val="005A440C"/>
    <w:rsid w:val="005A58FF"/>
    <w:rsid w:val="005A5BD3"/>
    <w:rsid w:val="005A5EAF"/>
    <w:rsid w:val="005A64C0"/>
    <w:rsid w:val="005B1AD6"/>
    <w:rsid w:val="005B3747"/>
    <w:rsid w:val="005B38E8"/>
    <w:rsid w:val="005B3C11"/>
    <w:rsid w:val="005B3CB5"/>
    <w:rsid w:val="005B73B1"/>
    <w:rsid w:val="005C1190"/>
    <w:rsid w:val="005C1C28"/>
    <w:rsid w:val="005C3767"/>
    <w:rsid w:val="005C40BF"/>
    <w:rsid w:val="005C4EE0"/>
    <w:rsid w:val="005C6DB5"/>
    <w:rsid w:val="005C7E1D"/>
    <w:rsid w:val="005D25BC"/>
    <w:rsid w:val="005D2715"/>
    <w:rsid w:val="005D347A"/>
    <w:rsid w:val="005D4E43"/>
    <w:rsid w:val="005E0135"/>
    <w:rsid w:val="005E02EC"/>
    <w:rsid w:val="005E0595"/>
    <w:rsid w:val="005E19E7"/>
    <w:rsid w:val="005E6661"/>
    <w:rsid w:val="005E71F4"/>
    <w:rsid w:val="005E7A66"/>
    <w:rsid w:val="005F1913"/>
    <w:rsid w:val="005F2504"/>
    <w:rsid w:val="005F32CE"/>
    <w:rsid w:val="005F3C1C"/>
    <w:rsid w:val="005F7EFC"/>
    <w:rsid w:val="00603CAD"/>
    <w:rsid w:val="006049DA"/>
    <w:rsid w:val="00606681"/>
    <w:rsid w:val="006068E6"/>
    <w:rsid w:val="00607588"/>
    <w:rsid w:val="006123BE"/>
    <w:rsid w:val="0061716C"/>
    <w:rsid w:val="00617792"/>
    <w:rsid w:val="00621672"/>
    <w:rsid w:val="0062427C"/>
    <w:rsid w:val="006243A1"/>
    <w:rsid w:val="0062469C"/>
    <w:rsid w:val="0062654B"/>
    <w:rsid w:val="006268F1"/>
    <w:rsid w:val="006274A6"/>
    <w:rsid w:val="0063111E"/>
    <w:rsid w:val="00632E56"/>
    <w:rsid w:val="00635CBA"/>
    <w:rsid w:val="00641C62"/>
    <w:rsid w:val="006423A6"/>
    <w:rsid w:val="0064338B"/>
    <w:rsid w:val="00646542"/>
    <w:rsid w:val="00646A44"/>
    <w:rsid w:val="00646A5E"/>
    <w:rsid w:val="00647DEB"/>
    <w:rsid w:val="006503C0"/>
    <w:rsid w:val="006504F4"/>
    <w:rsid w:val="00650762"/>
    <w:rsid w:val="00651429"/>
    <w:rsid w:val="00651D37"/>
    <w:rsid w:val="00652A8E"/>
    <w:rsid w:val="00653CBB"/>
    <w:rsid w:val="0065465D"/>
    <w:rsid w:val="00654BC9"/>
    <w:rsid w:val="006552FD"/>
    <w:rsid w:val="006554A5"/>
    <w:rsid w:val="00662954"/>
    <w:rsid w:val="00663AF3"/>
    <w:rsid w:val="00666B6C"/>
    <w:rsid w:val="00670690"/>
    <w:rsid w:val="00671695"/>
    <w:rsid w:val="00672157"/>
    <w:rsid w:val="00676D9C"/>
    <w:rsid w:val="00682095"/>
    <w:rsid w:val="00682682"/>
    <w:rsid w:val="00682702"/>
    <w:rsid w:val="00682BBC"/>
    <w:rsid w:val="006842E4"/>
    <w:rsid w:val="0068543E"/>
    <w:rsid w:val="006862EB"/>
    <w:rsid w:val="00686C64"/>
    <w:rsid w:val="00690751"/>
    <w:rsid w:val="006915B7"/>
    <w:rsid w:val="006916B9"/>
    <w:rsid w:val="00692368"/>
    <w:rsid w:val="00692DB1"/>
    <w:rsid w:val="00692EAF"/>
    <w:rsid w:val="006965CE"/>
    <w:rsid w:val="00697A9A"/>
    <w:rsid w:val="006A2EBC"/>
    <w:rsid w:val="006A5EA0"/>
    <w:rsid w:val="006A61D0"/>
    <w:rsid w:val="006A783B"/>
    <w:rsid w:val="006A7AEB"/>
    <w:rsid w:val="006A7B33"/>
    <w:rsid w:val="006B0009"/>
    <w:rsid w:val="006B3B7D"/>
    <w:rsid w:val="006B47BB"/>
    <w:rsid w:val="006B4E13"/>
    <w:rsid w:val="006B65C8"/>
    <w:rsid w:val="006B75DD"/>
    <w:rsid w:val="006C33D6"/>
    <w:rsid w:val="006C3EC4"/>
    <w:rsid w:val="006C55D1"/>
    <w:rsid w:val="006C5EC8"/>
    <w:rsid w:val="006C67E0"/>
    <w:rsid w:val="006C7ABA"/>
    <w:rsid w:val="006D0D60"/>
    <w:rsid w:val="006D1122"/>
    <w:rsid w:val="006D3C00"/>
    <w:rsid w:val="006E3675"/>
    <w:rsid w:val="006E41D1"/>
    <w:rsid w:val="006E4A7F"/>
    <w:rsid w:val="006E4FE1"/>
    <w:rsid w:val="006E5E69"/>
    <w:rsid w:val="006F2977"/>
    <w:rsid w:val="006F2AB3"/>
    <w:rsid w:val="00702335"/>
    <w:rsid w:val="00702EE5"/>
    <w:rsid w:val="00704DF6"/>
    <w:rsid w:val="0070651C"/>
    <w:rsid w:val="00707D93"/>
    <w:rsid w:val="00710179"/>
    <w:rsid w:val="0071145F"/>
    <w:rsid w:val="007116D2"/>
    <w:rsid w:val="007119B7"/>
    <w:rsid w:val="00711B5A"/>
    <w:rsid w:val="00712AD6"/>
    <w:rsid w:val="007132A3"/>
    <w:rsid w:val="00716421"/>
    <w:rsid w:val="00716702"/>
    <w:rsid w:val="00716797"/>
    <w:rsid w:val="00717651"/>
    <w:rsid w:val="00722133"/>
    <w:rsid w:val="00722D17"/>
    <w:rsid w:val="00724859"/>
    <w:rsid w:val="00724EFB"/>
    <w:rsid w:val="00726C02"/>
    <w:rsid w:val="00732949"/>
    <w:rsid w:val="007341C2"/>
    <w:rsid w:val="007355CF"/>
    <w:rsid w:val="00740E95"/>
    <w:rsid w:val="00741546"/>
    <w:rsid w:val="007419C3"/>
    <w:rsid w:val="00743B4A"/>
    <w:rsid w:val="00743FBC"/>
    <w:rsid w:val="007445E8"/>
    <w:rsid w:val="00744823"/>
    <w:rsid w:val="00744AEB"/>
    <w:rsid w:val="00744FA3"/>
    <w:rsid w:val="007467A7"/>
    <w:rsid w:val="007469DD"/>
    <w:rsid w:val="00747275"/>
    <w:rsid w:val="0074741B"/>
    <w:rsid w:val="0074759E"/>
    <w:rsid w:val="007478EA"/>
    <w:rsid w:val="007531F9"/>
    <w:rsid w:val="00753E0E"/>
    <w:rsid w:val="0075415C"/>
    <w:rsid w:val="0075775B"/>
    <w:rsid w:val="00757DB9"/>
    <w:rsid w:val="007601F7"/>
    <w:rsid w:val="00762B65"/>
    <w:rsid w:val="00763424"/>
    <w:rsid w:val="00763502"/>
    <w:rsid w:val="00764E40"/>
    <w:rsid w:val="00765463"/>
    <w:rsid w:val="00765465"/>
    <w:rsid w:val="0076791E"/>
    <w:rsid w:val="00767D83"/>
    <w:rsid w:val="00771B48"/>
    <w:rsid w:val="00773954"/>
    <w:rsid w:val="00774629"/>
    <w:rsid w:val="00774E9B"/>
    <w:rsid w:val="00780C5E"/>
    <w:rsid w:val="0078177E"/>
    <w:rsid w:val="00783C52"/>
    <w:rsid w:val="007848C5"/>
    <w:rsid w:val="00784DB9"/>
    <w:rsid w:val="007872F9"/>
    <w:rsid w:val="007913AB"/>
    <w:rsid w:val="007914F7"/>
    <w:rsid w:val="00791C7F"/>
    <w:rsid w:val="00797015"/>
    <w:rsid w:val="007B09EF"/>
    <w:rsid w:val="007B0C68"/>
    <w:rsid w:val="007B0D38"/>
    <w:rsid w:val="007B1625"/>
    <w:rsid w:val="007B2AA6"/>
    <w:rsid w:val="007B706E"/>
    <w:rsid w:val="007B71EB"/>
    <w:rsid w:val="007B7F4D"/>
    <w:rsid w:val="007C0A15"/>
    <w:rsid w:val="007C1641"/>
    <w:rsid w:val="007C2D77"/>
    <w:rsid w:val="007C31CC"/>
    <w:rsid w:val="007C3257"/>
    <w:rsid w:val="007C44C3"/>
    <w:rsid w:val="007C487E"/>
    <w:rsid w:val="007C6205"/>
    <w:rsid w:val="007C686A"/>
    <w:rsid w:val="007C728E"/>
    <w:rsid w:val="007C744D"/>
    <w:rsid w:val="007D0890"/>
    <w:rsid w:val="007D0CD3"/>
    <w:rsid w:val="007D1064"/>
    <w:rsid w:val="007D12D6"/>
    <w:rsid w:val="007D2C53"/>
    <w:rsid w:val="007D376D"/>
    <w:rsid w:val="007D3D60"/>
    <w:rsid w:val="007D40BA"/>
    <w:rsid w:val="007D6FE0"/>
    <w:rsid w:val="007D74F9"/>
    <w:rsid w:val="007E0CCA"/>
    <w:rsid w:val="007E1980"/>
    <w:rsid w:val="007E4B76"/>
    <w:rsid w:val="007E4C8A"/>
    <w:rsid w:val="007E518A"/>
    <w:rsid w:val="007E5EA8"/>
    <w:rsid w:val="007E7C5B"/>
    <w:rsid w:val="007F0949"/>
    <w:rsid w:val="007F0CF1"/>
    <w:rsid w:val="007F12A5"/>
    <w:rsid w:val="007F19C7"/>
    <w:rsid w:val="007F2D6D"/>
    <w:rsid w:val="007F3B0B"/>
    <w:rsid w:val="007F4CF1"/>
    <w:rsid w:val="007F758D"/>
    <w:rsid w:val="007F7D52"/>
    <w:rsid w:val="00802398"/>
    <w:rsid w:val="00804928"/>
    <w:rsid w:val="0080654C"/>
    <w:rsid w:val="00806614"/>
    <w:rsid w:val="00807057"/>
    <w:rsid w:val="008071C6"/>
    <w:rsid w:val="008109D6"/>
    <w:rsid w:val="00811750"/>
    <w:rsid w:val="00811ABA"/>
    <w:rsid w:val="00813193"/>
    <w:rsid w:val="00813AA5"/>
    <w:rsid w:val="00815237"/>
    <w:rsid w:val="00817A00"/>
    <w:rsid w:val="0082032D"/>
    <w:rsid w:val="00821C5F"/>
    <w:rsid w:val="00823D98"/>
    <w:rsid w:val="00824D49"/>
    <w:rsid w:val="00830A12"/>
    <w:rsid w:val="00830E73"/>
    <w:rsid w:val="00834B6C"/>
    <w:rsid w:val="00835107"/>
    <w:rsid w:val="00835DB3"/>
    <w:rsid w:val="0083617B"/>
    <w:rsid w:val="008371BD"/>
    <w:rsid w:val="00837E4B"/>
    <w:rsid w:val="00840D73"/>
    <w:rsid w:val="00847C83"/>
    <w:rsid w:val="008504A8"/>
    <w:rsid w:val="0085282E"/>
    <w:rsid w:val="008533B6"/>
    <w:rsid w:val="00855E29"/>
    <w:rsid w:val="00857A3C"/>
    <w:rsid w:val="00862151"/>
    <w:rsid w:val="00864FB4"/>
    <w:rsid w:val="00865A85"/>
    <w:rsid w:val="0087198C"/>
    <w:rsid w:val="00872896"/>
    <w:rsid w:val="00872C1F"/>
    <w:rsid w:val="00873B42"/>
    <w:rsid w:val="008743BC"/>
    <w:rsid w:val="00874A40"/>
    <w:rsid w:val="0087601C"/>
    <w:rsid w:val="0087668A"/>
    <w:rsid w:val="008770F5"/>
    <w:rsid w:val="00877177"/>
    <w:rsid w:val="008776B2"/>
    <w:rsid w:val="0087773E"/>
    <w:rsid w:val="0088001D"/>
    <w:rsid w:val="00880B73"/>
    <w:rsid w:val="008816E7"/>
    <w:rsid w:val="0088194D"/>
    <w:rsid w:val="00882D2B"/>
    <w:rsid w:val="00885289"/>
    <w:rsid w:val="008856D8"/>
    <w:rsid w:val="0088573B"/>
    <w:rsid w:val="00887859"/>
    <w:rsid w:val="00892E82"/>
    <w:rsid w:val="00893638"/>
    <w:rsid w:val="00894ACA"/>
    <w:rsid w:val="00894F0E"/>
    <w:rsid w:val="00894FC6"/>
    <w:rsid w:val="008A1E8A"/>
    <w:rsid w:val="008A2439"/>
    <w:rsid w:val="008A40CD"/>
    <w:rsid w:val="008B151F"/>
    <w:rsid w:val="008B25BB"/>
    <w:rsid w:val="008B5E62"/>
    <w:rsid w:val="008C0D91"/>
    <w:rsid w:val="008C1B58"/>
    <w:rsid w:val="008C309D"/>
    <w:rsid w:val="008C38FE"/>
    <w:rsid w:val="008C39AE"/>
    <w:rsid w:val="008C39E1"/>
    <w:rsid w:val="008C44C9"/>
    <w:rsid w:val="008C590D"/>
    <w:rsid w:val="008C786F"/>
    <w:rsid w:val="008D009D"/>
    <w:rsid w:val="008D0EE3"/>
    <w:rsid w:val="008D19B1"/>
    <w:rsid w:val="008D250B"/>
    <w:rsid w:val="008D4071"/>
    <w:rsid w:val="008D413C"/>
    <w:rsid w:val="008D4EA9"/>
    <w:rsid w:val="008D6CCC"/>
    <w:rsid w:val="008E031B"/>
    <w:rsid w:val="008E0E05"/>
    <w:rsid w:val="008E2388"/>
    <w:rsid w:val="008E4014"/>
    <w:rsid w:val="008E4837"/>
    <w:rsid w:val="008E60E2"/>
    <w:rsid w:val="008E657B"/>
    <w:rsid w:val="008E7029"/>
    <w:rsid w:val="008E7B07"/>
    <w:rsid w:val="008E7EF6"/>
    <w:rsid w:val="008F0B46"/>
    <w:rsid w:val="008F18F7"/>
    <w:rsid w:val="008F1F98"/>
    <w:rsid w:val="008F5765"/>
    <w:rsid w:val="008F6758"/>
    <w:rsid w:val="008F744E"/>
    <w:rsid w:val="008F7861"/>
    <w:rsid w:val="00900900"/>
    <w:rsid w:val="00902A08"/>
    <w:rsid w:val="0090326F"/>
    <w:rsid w:val="009040DD"/>
    <w:rsid w:val="00905B47"/>
    <w:rsid w:val="00906F0A"/>
    <w:rsid w:val="0090711E"/>
    <w:rsid w:val="00907703"/>
    <w:rsid w:val="00907EF4"/>
    <w:rsid w:val="0091331C"/>
    <w:rsid w:val="0091457E"/>
    <w:rsid w:val="00916945"/>
    <w:rsid w:val="009236CF"/>
    <w:rsid w:val="00923B51"/>
    <w:rsid w:val="009240E8"/>
    <w:rsid w:val="00924BA0"/>
    <w:rsid w:val="00927116"/>
    <w:rsid w:val="009279DE"/>
    <w:rsid w:val="00930116"/>
    <w:rsid w:val="00932576"/>
    <w:rsid w:val="00933DC7"/>
    <w:rsid w:val="00935676"/>
    <w:rsid w:val="009363F2"/>
    <w:rsid w:val="0093742D"/>
    <w:rsid w:val="009374DF"/>
    <w:rsid w:val="009375C7"/>
    <w:rsid w:val="00940FAC"/>
    <w:rsid w:val="00941421"/>
    <w:rsid w:val="0094212C"/>
    <w:rsid w:val="009421BE"/>
    <w:rsid w:val="00942BFB"/>
    <w:rsid w:val="00944733"/>
    <w:rsid w:val="00946042"/>
    <w:rsid w:val="009478A8"/>
    <w:rsid w:val="009504BC"/>
    <w:rsid w:val="009507F6"/>
    <w:rsid w:val="00951D89"/>
    <w:rsid w:val="009520CA"/>
    <w:rsid w:val="00953278"/>
    <w:rsid w:val="00954689"/>
    <w:rsid w:val="00955A17"/>
    <w:rsid w:val="009562D4"/>
    <w:rsid w:val="00956813"/>
    <w:rsid w:val="009602EB"/>
    <w:rsid w:val="009617C9"/>
    <w:rsid w:val="00961C93"/>
    <w:rsid w:val="00963087"/>
    <w:rsid w:val="009633A1"/>
    <w:rsid w:val="00964867"/>
    <w:rsid w:val="00965324"/>
    <w:rsid w:val="00965DDD"/>
    <w:rsid w:val="00966F13"/>
    <w:rsid w:val="0097091E"/>
    <w:rsid w:val="0097312C"/>
    <w:rsid w:val="0097332D"/>
    <w:rsid w:val="009752B7"/>
    <w:rsid w:val="009760D3"/>
    <w:rsid w:val="00977132"/>
    <w:rsid w:val="00980089"/>
    <w:rsid w:val="00980A86"/>
    <w:rsid w:val="009811DE"/>
    <w:rsid w:val="00981A4B"/>
    <w:rsid w:val="0098238C"/>
    <w:rsid w:val="00982501"/>
    <w:rsid w:val="0098485C"/>
    <w:rsid w:val="009858E1"/>
    <w:rsid w:val="00985D50"/>
    <w:rsid w:val="00987386"/>
    <w:rsid w:val="009877D3"/>
    <w:rsid w:val="00994A8F"/>
    <w:rsid w:val="00994AD9"/>
    <w:rsid w:val="00994E8F"/>
    <w:rsid w:val="009951DC"/>
    <w:rsid w:val="009959BB"/>
    <w:rsid w:val="00996669"/>
    <w:rsid w:val="00997158"/>
    <w:rsid w:val="009A01D6"/>
    <w:rsid w:val="009A207A"/>
    <w:rsid w:val="009A3753"/>
    <w:rsid w:val="009A3A7C"/>
    <w:rsid w:val="009A4D53"/>
    <w:rsid w:val="009A70BB"/>
    <w:rsid w:val="009B2ADB"/>
    <w:rsid w:val="009B603A"/>
    <w:rsid w:val="009C0F68"/>
    <w:rsid w:val="009C10BD"/>
    <w:rsid w:val="009C1A6C"/>
    <w:rsid w:val="009C2120"/>
    <w:rsid w:val="009C2D0E"/>
    <w:rsid w:val="009C3540"/>
    <w:rsid w:val="009C3DAC"/>
    <w:rsid w:val="009C42E0"/>
    <w:rsid w:val="009C49B7"/>
    <w:rsid w:val="009C4EEC"/>
    <w:rsid w:val="009C7DCB"/>
    <w:rsid w:val="009D28B6"/>
    <w:rsid w:val="009D2B49"/>
    <w:rsid w:val="009D32F9"/>
    <w:rsid w:val="009D3F57"/>
    <w:rsid w:val="009D4A0B"/>
    <w:rsid w:val="009D4CBA"/>
    <w:rsid w:val="009D5362"/>
    <w:rsid w:val="009D7BD3"/>
    <w:rsid w:val="009E09B4"/>
    <w:rsid w:val="009E1415"/>
    <w:rsid w:val="009E4174"/>
    <w:rsid w:val="009E4E89"/>
    <w:rsid w:val="009E5754"/>
    <w:rsid w:val="009E6116"/>
    <w:rsid w:val="009E67D3"/>
    <w:rsid w:val="009E6A1B"/>
    <w:rsid w:val="009E6FE5"/>
    <w:rsid w:val="009F11B8"/>
    <w:rsid w:val="009F1B15"/>
    <w:rsid w:val="009F2170"/>
    <w:rsid w:val="009F4ACD"/>
    <w:rsid w:val="009F4C79"/>
    <w:rsid w:val="009F4D21"/>
    <w:rsid w:val="009F51BD"/>
    <w:rsid w:val="009F66E4"/>
    <w:rsid w:val="009F73D8"/>
    <w:rsid w:val="00A00B9D"/>
    <w:rsid w:val="00A0112A"/>
    <w:rsid w:val="00A011EE"/>
    <w:rsid w:val="00A02412"/>
    <w:rsid w:val="00A02E43"/>
    <w:rsid w:val="00A03553"/>
    <w:rsid w:val="00A065F9"/>
    <w:rsid w:val="00A06618"/>
    <w:rsid w:val="00A06A5B"/>
    <w:rsid w:val="00A07DC9"/>
    <w:rsid w:val="00A07F34"/>
    <w:rsid w:val="00A15069"/>
    <w:rsid w:val="00A15157"/>
    <w:rsid w:val="00A22154"/>
    <w:rsid w:val="00A23610"/>
    <w:rsid w:val="00A24393"/>
    <w:rsid w:val="00A25077"/>
    <w:rsid w:val="00A25C38"/>
    <w:rsid w:val="00A26308"/>
    <w:rsid w:val="00A26A96"/>
    <w:rsid w:val="00A26B66"/>
    <w:rsid w:val="00A27B20"/>
    <w:rsid w:val="00A30B79"/>
    <w:rsid w:val="00A34775"/>
    <w:rsid w:val="00A34D69"/>
    <w:rsid w:val="00A35E42"/>
    <w:rsid w:val="00A36B92"/>
    <w:rsid w:val="00A36BBE"/>
    <w:rsid w:val="00A41191"/>
    <w:rsid w:val="00A41C1E"/>
    <w:rsid w:val="00A4307A"/>
    <w:rsid w:val="00A43097"/>
    <w:rsid w:val="00A44B0E"/>
    <w:rsid w:val="00A47D1C"/>
    <w:rsid w:val="00A47EBB"/>
    <w:rsid w:val="00A50675"/>
    <w:rsid w:val="00A51CDD"/>
    <w:rsid w:val="00A54746"/>
    <w:rsid w:val="00A55B6B"/>
    <w:rsid w:val="00A55CBE"/>
    <w:rsid w:val="00A5600F"/>
    <w:rsid w:val="00A56487"/>
    <w:rsid w:val="00A577E8"/>
    <w:rsid w:val="00A6107E"/>
    <w:rsid w:val="00A6394B"/>
    <w:rsid w:val="00A6730D"/>
    <w:rsid w:val="00A67462"/>
    <w:rsid w:val="00A6746D"/>
    <w:rsid w:val="00A711A2"/>
    <w:rsid w:val="00A71625"/>
    <w:rsid w:val="00A71B9B"/>
    <w:rsid w:val="00A74140"/>
    <w:rsid w:val="00A751C0"/>
    <w:rsid w:val="00A751C7"/>
    <w:rsid w:val="00A81D94"/>
    <w:rsid w:val="00A828DE"/>
    <w:rsid w:val="00A82CF5"/>
    <w:rsid w:val="00A87844"/>
    <w:rsid w:val="00A92ADF"/>
    <w:rsid w:val="00A94C41"/>
    <w:rsid w:val="00A96FFF"/>
    <w:rsid w:val="00A97D1F"/>
    <w:rsid w:val="00AA038C"/>
    <w:rsid w:val="00AA1737"/>
    <w:rsid w:val="00AA243D"/>
    <w:rsid w:val="00AA6C25"/>
    <w:rsid w:val="00AA7A09"/>
    <w:rsid w:val="00AA7AD2"/>
    <w:rsid w:val="00AB1A7E"/>
    <w:rsid w:val="00AB2D90"/>
    <w:rsid w:val="00AB3B50"/>
    <w:rsid w:val="00AB3C6A"/>
    <w:rsid w:val="00AB3E17"/>
    <w:rsid w:val="00AB4402"/>
    <w:rsid w:val="00AC05B1"/>
    <w:rsid w:val="00AC0F91"/>
    <w:rsid w:val="00AC6F5A"/>
    <w:rsid w:val="00AD17E4"/>
    <w:rsid w:val="00AD2DFC"/>
    <w:rsid w:val="00AD356C"/>
    <w:rsid w:val="00AD42AF"/>
    <w:rsid w:val="00AD50DD"/>
    <w:rsid w:val="00AD6245"/>
    <w:rsid w:val="00AE229E"/>
    <w:rsid w:val="00AE2914"/>
    <w:rsid w:val="00AE2E72"/>
    <w:rsid w:val="00AE42A9"/>
    <w:rsid w:val="00AE6D15"/>
    <w:rsid w:val="00AE7BBA"/>
    <w:rsid w:val="00AF0DAF"/>
    <w:rsid w:val="00AF40A2"/>
    <w:rsid w:val="00AF4D12"/>
    <w:rsid w:val="00AF52B0"/>
    <w:rsid w:val="00B01D5B"/>
    <w:rsid w:val="00B01FF6"/>
    <w:rsid w:val="00B04039"/>
    <w:rsid w:val="00B04182"/>
    <w:rsid w:val="00B04F1D"/>
    <w:rsid w:val="00B067CE"/>
    <w:rsid w:val="00B07AE3"/>
    <w:rsid w:val="00B07C1A"/>
    <w:rsid w:val="00B10F4F"/>
    <w:rsid w:val="00B113A6"/>
    <w:rsid w:val="00B1142F"/>
    <w:rsid w:val="00B11430"/>
    <w:rsid w:val="00B11DD1"/>
    <w:rsid w:val="00B12D55"/>
    <w:rsid w:val="00B16B31"/>
    <w:rsid w:val="00B17B5B"/>
    <w:rsid w:val="00B2006B"/>
    <w:rsid w:val="00B202D0"/>
    <w:rsid w:val="00B20561"/>
    <w:rsid w:val="00B275D3"/>
    <w:rsid w:val="00B3352A"/>
    <w:rsid w:val="00B33B18"/>
    <w:rsid w:val="00B340FB"/>
    <w:rsid w:val="00B34238"/>
    <w:rsid w:val="00B34A96"/>
    <w:rsid w:val="00B353EB"/>
    <w:rsid w:val="00B3635D"/>
    <w:rsid w:val="00B439C4"/>
    <w:rsid w:val="00B4535E"/>
    <w:rsid w:val="00B4549F"/>
    <w:rsid w:val="00B46117"/>
    <w:rsid w:val="00B50D6E"/>
    <w:rsid w:val="00B52A8C"/>
    <w:rsid w:val="00B52F2C"/>
    <w:rsid w:val="00B53C7E"/>
    <w:rsid w:val="00B54DF3"/>
    <w:rsid w:val="00B60A4D"/>
    <w:rsid w:val="00B61939"/>
    <w:rsid w:val="00B6239F"/>
    <w:rsid w:val="00B636A8"/>
    <w:rsid w:val="00B649EF"/>
    <w:rsid w:val="00B651BB"/>
    <w:rsid w:val="00B665C6"/>
    <w:rsid w:val="00B66FA5"/>
    <w:rsid w:val="00B679EE"/>
    <w:rsid w:val="00B67A2D"/>
    <w:rsid w:val="00B74AFC"/>
    <w:rsid w:val="00B74EB5"/>
    <w:rsid w:val="00B75384"/>
    <w:rsid w:val="00B76DDF"/>
    <w:rsid w:val="00B805AF"/>
    <w:rsid w:val="00B81C48"/>
    <w:rsid w:val="00B83739"/>
    <w:rsid w:val="00B84518"/>
    <w:rsid w:val="00B869EC"/>
    <w:rsid w:val="00B86D7D"/>
    <w:rsid w:val="00B87A23"/>
    <w:rsid w:val="00B9076F"/>
    <w:rsid w:val="00B91275"/>
    <w:rsid w:val="00B9397A"/>
    <w:rsid w:val="00B95E90"/>
    <w:rsid w:val="00B9633D"/>
    <w:rsid w:val="00B96D62"/>
    <w:rsid w:val="00B97F3D"/>
    <w:rsid w:val="00BA2EBE"/>
    <w:rsid w:val="00BA45EC"/>
    <w:rsid w:val="00BA5F3B"/>
    <w:rsid w:val="00BA6E1A"/>
    <w:rsid w:val="00BA76FA"/>
    <w:rsid w:val="00BA78BF"/>
    <w:rsid w:val="00BB01A0"/>
    <w:rsid w:val="00BB0F28"/>
    <w:rsid w:val="00BB0F47"/>
    <w:rsid w:val="00BB195F"/>
    <w:rsid w:val="00BB20D3"/>
    <w:rsid w:val="00BB41EA"/>
    <w:rsid w:val="00BB458A"/>
    <w:rsid w:val="00BC0EF7"/>
    <w:rsid w:val="00BC18E2"/>
    <w:rsid w:val="00BC46C9"/>
    <w:rsid w:val="00BC47D0"/>
    <w:rsid w:val="00BC4A15"/>
    <w:rsid w:val="00BC7A55"/>
    <w:rsid w:val="00BD00D3"/>
    <w:rsid w:val="00BD1659"/>
    <w:rsid w:val="00BD3AA9"/>
    <w:rsid w:val="00BD4A18"/>
    <w:rsid w:val="00BD5554"/>
    <w:rsid w:val="00BD58B6"/>
    <w:rsid w:val="00BD6DB2"/>
    <w:rsid w:val="00BE042B"/>
    <w:rsid w:val="00BE11CF"/>
    <w:rsid w:val="00BE21AB"/>
    <w:rsid w:val="00BE2E40"/>
    <w:rsid w:val="00BE4E0E"/>
    <w:rsid w:val="00BE55CB"/>
    <w:rsid w:val="00BF178A"/>
    <w:rsid w:val="00BF24C1"/>
    <w:rsid w:val="00BF356A"/>
    <w:rsid w:val="00BF5C30"/>
    <w:rsid w:val="00BF617A"/>
    <w:rsid w:val="00C00102"/>
    <w:rsid w:val="00C0216D"/>
    <w:rsid w:val="00C02C4E"/>
    <w:rsid w:val="00C0379D"/>
    <w:rsid w:val="00C03931"/>
    <w:rsid w:val="00C04DBB"/>
    <w:rsid w:val="00C05FE3"/>
    <w:rsid w:val="00C06B2A"/>
    <w:rsid w:val="00C11062"/>
    <w:rsid w:val="00C13D45"/>
    <w:rsid w:val="00C14A56"/>
    <w:rsid w:val="00C159D6"/>
    <w:rsid w:val="00C174F4"/>
    <w:rsid w:val="00C2136D"/>
    <w:rsid w:val="00C214EE"/>
    <w:rsid w:val="00C21508"/>
    <w:rsid w:val="00C2199E"/>
    <w:rsid w:val="00C2314B"/>
    <w:rsid w:val="00C233BE"/>
    <w:rsid w:val="00C23EAB"/>
    <w:rsid w:val="00C246C2"/>
    <w:rsid w:val="00C24971"/>
    <w:rsid w:val="00C24C75"/>
    <w:rsid w:val="00C253B2"/>
    <w:rsid w:val="00C26BE5"/>
    <w:rsid w:val="00C26E4D"/>
    <w:rsid w:val="00C2757E"/>
    <w:rsid w:val="00C27909"/>
    <w:rsid w:val="00C27B03"/>
    <w:rsid w:val="00C3025F"/>
    <w:rsid w:val="00C314E1"/>
    <w:rsid w:val="00C31A79"/>
    <w:rsid w:val="00C32DD9"/>
    <w:rsid w:val="00C33EB7"/>
    <w:rsid w:val="00C34397"/>
    <w:rsid w:val="00C3448E"/>
    <w:rsid w:val="00C4095D"/>
    <w:rsid w:val="00C458E9"/>
    <w:rsid w:val="00C46205"/>
    <w:rsid w:val="00C47A50"/>
    <w:rsid w:val="00C543C0"/>
    <w:rsid w:val="00C54EA9"/>
    <w:rsid w:val="00C55F2B"/>
    <w:rsid w:val="00C5655B"/>
    <w:rsid w:val="00C56DF0"/>
    <w:rsid w:val="00C601D2"/>
    <w:rsid w:val="00C613DE"/>
    <w:rsid w:val="00C61CA0"/>
    <w:rsid w:val="00C61E58"/>
    <w:rsid w:val="00C6236C"/>
    <w:rsid w:val="00C626BD"/>
    <w:rsid w:val="00C636F9"/>
    <w:rsid w:val="00C64E94"/>
    <w:rsid w:val="00C653C3"/>
    <w:rsid w:val="00C657AB"/>
    <w:rsid w:val="00C65BCC"/>
    <w:rsid w:val="00C66970"/>
    <w:rsid w:val="00C7094E"/>
    <w:rsid w:val="00C73BC7"/>
    <w:rsid w:val="00C74BF3"/>
    <w:rsid w:val="00C7609F"/>
    <w:rsid w:val="00C778A9"/>
    <w:rsid w:val="00C77B57"/>
    <w:rsid w:val="00C84D2A"/>
    <w:rsid w:val="00C8585D"/>
    <w:rsid w:val="00C85E22"/>
    <w:rsid w:val="00C8691C"/>
    <w:rsid w:val="00C86A9E"/>
    <w:rsid w:val="00C86E38"/>
    <w:rsid w:val="00C90606"/>
    <w:rsid w:val="00C916A3"/>
    <w:rsid w:val="00C95B40"/>
    <w:rsid w:val="00C96050"/>
    <w:rsid w:val="00C966B8"/>
    <w:rsid w:val="00C97BC5"/>
    <w:rsid w:val="00C97C05"/>
    <w:rsid w:val="00CA168A"/>
    <w:rsid w:val="00CA357E"/>
    <w:rsid w:val="00CA44F9"/>
    <w:rsid w:val="00CA4A69"/>
    <w:rsid w:val="00CA4A7D"/>
    <w:rsid w:val="00CA69CB"/>
    <w:rsid w:val="00CB2D67"/>
    <w:rsid w:val="00CB3641"/>
    <w:rsid w:val="00CB4043"/>
    <w:rsid w:val="00CB40FD"/>
    <w:rsid w:val="00CB449D"/>
    <w:rsid w:val="00CC06DA"/>
    <w:rsid w:val="00CC13EB"/>
    <w:rsid w:val="00CC141E"/>
    <w:rsid w:val="00CC3E0C"/>
    <w:rsid w:val="00CC58D3"/>
    <w:rsid w:val="00CC784D"/>
    <w:rsid w:val="00CD2033"/>
    <w:rsid w:val="00CD2F47"/>
    <w:rsid w:val="00CD3B5B"/>
    <w:rsid w:val="00CD68FE"/>
    <w:rsid w:val="00CE2006"/>
    <w:rsid w:val="00CE51F7"/>
    <w:rsid w:val="00CE57F9"/>
    <w:rsid w:val="00CE5CE5"/>
    <w:rsid w:val="00CF15CF"/>
    <w:rsid w:val="00CF2084"/>
    <w:rsid w:val="00CF2834"/>
    <w:rsid w:val="00CF3F69"/>
    <w:rsid w:val="00CF79D3"/>
    <w:rsid w:val="00D00396"/>
    <w:rsid w:val="00D0173F"/>
    <w:rsid w:val="00D0337B"/>
    <w:rsid w:val="00D040B4"/>
    <w:rsid w:val="00D04F64"/>
    <w:rsid w:val="00D05B87"/>
    <w:rsid w:val="00D079B2"/>
    <w:rsid w:val="00D114E9"/>
    <w:rsid w:val="00D11A67"/>
    <w:rsid w:val="00D11FDA"/>
    <w:rsid w:val="00D12894"/>
    <w:rsid w:val="00D168F5"/>
    <w:rsid w:val="00D17D22"/>
    <w:rsid w:val="00D17E02"/>
    <w:rsid w:val="00D221F1"/>
    <w:rsid w:val="00D2393C"/>
    <w:rsid w:val="00D242F8"/>
    <w:rsid w:val="00D247A7"/>
    <w:rsid w:val="00D26E9A"/>
    <w:rsid w:val="00D34E6B"/>
    <w:rsid w:val="00D374DC"/>
    <w:rsid w:val="00D37A4C"/>
    <w:rsid w:val="00D414A3"/>
    <w:rsid w:val="00D41BB5"/>
    <w:rsid w:val="00D429C6"/>
    <w:rsid w:val="00D444C6"/>
    <w:rsid w:val="00D4691B"/>
    <w:rsid w:val="00D47748"/>
    <w:rsid w:val="00D53C88"/>
    <w:rsid w:val="00D54CC3"/>
    <w:rsid w:val="00D567B0"/>
    <w:rsid w:val="00D579C8"/>
    <w:rsid w:val="00D6041A"/>
    <w:rsid w:val="00D605AA"/>
    <w:rsid w:val="00D61462"/>
    <w:rsid w:val="00D633EB"/>
    <w:rsid w:val="00D65F2A"/>
    <w:rsid w:val="00D67713"/>
    <w:rsid w:val="00D71C2B"/>
    <w:rsid w:val="00D723EE"/>
    <w:rsid w:val="00D72509"/>
    <w:rsid w:val="00D72991"/>
    <w:rsid w:val="00D72B18"/>
    <w:rsid w:val="00D72D8F"/>
    <w:rsid w:val="00D74666"/>
    <w:rsid w:val="00D74717"/>
    <w:rsid w:val="00D75FED"/>
    <w:rsid w:val="00D77237"/>
    <w:rsid w:val="00D82D5F"/>
    <w:rsid w:val="00D82FF7"/>
    <w:rsid w:val="00D83842"/>
    <w:rsid w:val="00D840DF"/>
    <w:rsid w:val="00D842DC"/>
    <w:rsid w:val="00D84714"/>
    <w:rsid w:val="00D847FE"/>
    <w:rsid w:val="00D85F8E"/>
    <w:rsid w:val="00D86644"/>
    <w:rsid w:val="00D86EC2"/>
    <w:rsid w:val="00D8787E"/>
    <w:rsid w:val="00D9137F"/>
    <w:rsid w:val="00D9561C"/>
    <w:rsid w:val="00D964EA"/>
    <w:rsid w:val="00D966D0"/>
    <w:rsid w:val="00D971D7"/>
    <w:rsid w:val="00DA0C59"/>
    <w:rsid w:val="00DA1646"/>
    <w:rsid w:val="00DA3991"/>
    <w:rsid w:val="00DA43C3"/>
    <w:rsid w:val="00DA5E0A"/>
    <w:rsid w:val="00DA68B1"/>
    <w:rsid w:val="00DB0D63"/>
    <w:rsid w:val="00DB12DE"/>
    <w:rsid w:val="00DB261B"/>
    <w:rsid w:val="00DB45A7"/>
    <w:rsid w:val="00DB4A6F"/>
    <w:rsid w:val="00DB5463"/>
    <w:rsid w:val="00DB5F1D"/>
    <w:rsid w:val="00DB6D98"/>
    <w:rsid w:val="00DB7566"/>
    <w:rsid w:val="00DB7E6C"/>
    <w:rsid w:val="00DC1267"/>
    <w:rsid w:val="00DC28FF"/>
    <w:rsid w:val="00DC3B61"/>
    <w:rsid w:val="00DC516B"/>
    <w:rsid w:val="00DC52E4"/>
    <w:rsid w:val="00DC5317"/>
    <w:rsid w:val="00DC6D7E"/>
    <w:rsid w:val="00DC71CC"/>
    <w:rsid w:val="00DD09D2"/>
    <w:rsid w:val="00DD30E8"/>
    <w:rsid w:val="00DD33B6"/>
    <w:rsid w:val="00DD3CEE"/>
    <w:rsid w:val="00DD5A29"/>
    <w:rsid w:val="00DD5D9D"/>
    <w:rsid w:val="00DD6A92"/>
    <w:rsid w:val="00DD7BD7"/>
    <w:rsid w:val="00DE1E8C"/>
    <w:rsid w:val="00DE32C6"/>
    <w:rsid w:val="00DE35CB"/>
    <w:rsid w:val="00DE54C0"/>
    <w:rsid w:val="00DE5EE0"/>
    <w:rsid w:val="00DE7017"/>
    <w:rsid w:val="00DE7382"/>
    <w:rsid w:val="00DF21E9"/>
    <w:rsid w:val="00DF3746"/>
    <w:rsid w:val="00DF3835"/>
    <w:rsid w:val="00DF45C6"/>
    <w:rsid w:val="00DF4689"/>
    <w:rsid w:val="00DF510C"/>
    <w:rsid w:val="00DF5466"/>
    <w:rsid w:val="00DF7A74"/>
    <w:rsid w:val="00E00F14"/>
    <w:rsid w:val="00E014DB"/>
    <w:rsid w:val="00E01E2C"/>
    <w:rsid w:val="00E05272"/>
    <w:rsid w:val="00E06386"/>
    <w:rsid w:val="00E06724"/>
    <w:rsid w:val="00E06A22"/>
    <w:rsid w:val="00E1006D"/>
    <w:rsid w:val="00E12ED5"/>
    <w:rsid w:val="00E20F3F"/>
    <w:rsid w:val="00E2446A"/>
    <w:rsid w:val="00E24EB4"/>
    <w:rsid w:val="00E265F5"/>
    <w:rsid w:val="00E27C3A"/>
    <w:rsid w:val="00E30B8D"/>
    <w:rsid w:val="00E315AB"/>
    <w:rsid w:val="00E320ED"/>
    <w:rsid w:val="00E32B34"/>
    <w:rsid w:val="00E32DF6"/>
    <w:rsid w:val="00E33AFB"/>
    <w:rsid w:val="00E34218"/>
    <w:rsid w:val="00E34509"/>
    <w:rsid w:val="00E36B6A"/>
    <w:rsid w:val="00E42989"/>
    <w:rsid w:val="00E439AF"/>
    <w:rsid w:val="00E45B09"/>
    <w:rsid w:val="00E46282"/>
    <w:rsid w:val="00E47E10"/>
    <w:rsid w:val="00E47F54"/>
    <w:rsid w:val="00E51468"/>
    <w:rsid w:val="00E5216E"/>
    <w:rsid w:val="00E52EE2"/>
    <w:rsid w:val="00E57BBB"/>
    <w:rsid w:val="00E608D9"/>
    <w:rsid w:val="00E60B84"/>
    <w:rsid w:val="00E70631"/>
    <w:rsid w:val="00E71B6C"/>
    <w:rsid w:val="00E72A9E"/>
    <w:rsid w:val="00E76BAF"/>
    <w:rsid w:val="00E76C52"/>
    <w:rsid w:val="00E76F94"/>
    <w:rsid w:val="00E82344"/>
    <w:rsid w:val="00E84C82"/>
    <w:rsid w:val="00E84D46"/>
    <w:rsid w:val="00E84D64"/>
    <w:rsid w:val="00E87408"/>
    <w:rsid w:val="00E908AB"/>
    <w:rsid w:val="00E914C4"/>
    <w:rsid w:val="00E91D1D"/>
    <w:rsid w:val="00E934F5"/>
    <w:rsid w:val="00E96702"/>
    <w:rsid w:val="00E96961"/>
    <w:rsid w:val="00EA0BA1"/>
    <w:rsid w:val="00EA2BBC"/>
    <w:rsid w:val="00EA72EC"/>
    <w:rsid w:val="00EB04E1"/>
    <w:rsid w:val="00EB11CB"/>
    <w:rsid w:val="00EB275A"/>
    <w:rsid w:val="00EB3E99"/>
    <w:rsid w:val="00EB786A"/>
    <w:rsid w:val="00EC0EDC"/>
    <w:rsid w:val="00EC1578"/>
    <w:rsid w:val="00EC1C72"/>
    <w:rsid w:val="00EC2945"/>
    <w:rsid w:val="00EC3CC9"/>
    <w:rsid w:val="00EC680A"/>
    <w:rsid w:val="00ED0130"/>
    <w:rsid w:val="00ED1196"/>
    <w:rsid w:val="00ED4CAF"/>
    <w:rsid w:val="00ED737E"/>
    <w:rsid w:val="00ED7AEE"/>
    <w:rsid w:val="00EE1BF1"/>
    <w:rsid w:val="00EE205B"/>
    <w:rsid w:val="00EE2BED"/>
    <w:rsid w:val="00EE3414"/>
    <w:rsid w:val="00EE34E1"/>
    <w:rsid w:val="00EE374B"/>
    <w:rsid w:val="00EE4805"/>
    <w:rsid w:val="00EE4C4F"/>
    <w:rsid w:val="00EE59FB"/>
    <w:rsid w:val="00EF0D33"/>
    <w:rsid w:val="00EF10F8"/>
    <w:rsid w:val="00EF16C0"/>
    <w:rsid w:val="00EF230E"/>
    <w:rsid w:val="00EF45D6"/>
    <w:rsid w:val="00EF58BA"/>
    <w:rsid w:val="00EF6BC7"/>
    <w:rsid w:val="00EF7629"/>
    <w:rsid w:val="00F01332"/>
    <w:rsid w:val="00F0195C"/>
    <w:rsid w:val="00F06B18"/>
    <w:rsid w:val="00F07DB4"/>
    <w:rsid w:val="00F1075A"/>
    <w:rsid w:val="00F11BB5"/>
    <w:rsid w:val="00F1417B"/>
    <w:rsid w:val="00F1787C"/>
    <w:rsid w:val="00F200C1"/>
    <w:rsid w:val="00F25249"/>
    <w:rsid w:val="00F3123E"/>
    <w:rsid w:val="00F31B87"/>
    <w:rsid w:val="00F33631"/>
    <w:rsid w:val="00F3390A"/>
    <w:rsid w:val="00F34B99"/>
    <w:rsid w:val="00F37A7F"/>
    <w:rsid w:val="00F420F2"/>
    <w:rsid w:val="00F42633"/>
    <w:rsid w:val="00F44F85"/>
    <w:rsid w:val="00F45F55"/>
    <w:rsid w:val="00F510E6"/>
    <w:rsid w:val="00F52DAB"/>
    <w:rsid w:val="00F54196"/>
    <w:rsid w:val="00F543F0"/>
    <w:rsid w:val="00F55827"/>
    <w:rsid w:val="00F62639"/>
    <w:rsid w:val="00F6373D"/>
    <w:rsid w:val="00F63A1E"/>
    <w:rsid w:val="00F63CA9"/>
    <w:rsid w:val="00F65923"/>
    <w:rsid w:val="00F72314"/>
    <w:rsid w:val="00F735E6"/>
    <w:rsid w:val="00F737AD"/>
    <w:rsid w:val="00F75807"/>
    <w:rsid w:val="00F81158"/>
    <w:rsid w:val="00F812AD"/>
    <w:rsid w:val="00F81D29"/>
    <w:rsid w:val="00F81D61"/>
    <w:rsid w:val="00F81DC8"/>
    <w:rsid w:val="00F8732D"/>
    <w:rsid w:val="00F8740C"/>
    <w:rsid w:val="00F90061"/>
    <w:rsid w:val="00F9011E"/>
    <w:rsid w:val="00F91C4D"/>
    <w:rsid w:val="00F92FD9"/>
    <w:rsid w:val="00F934E2"/>
    <w:rsid w:val="00F96BC5"/>
    <w:rsid w:val="00F976AD"/>
    <w:rsid w:val="00FA1947"/>
    <w:rsid w:val="00FA2541"/>
    <w:rsid w:val="00FA42EF"/>
    <w:rsid w:val="00FA43F9"/>
    <w:rsid w:val="00FA6470"/>
    <w:rsid w:val="00FA6684"/>
    <w:rsid w:val="00FA698C"/>
    <w:rsid w:val="00FA705E"/>
    <w:rsid w:val="00FA731E"/>
    <w:rsid w:val="00FB0B66"/>
    <w:rsid w:val="00FB1366"/>
    <w:rsid w:val="00FB2B38"/>
    <w:rsid w:val="00FB3791"/>
    <w:rsid w:val="00FB653E"/>
    <w:rsid w:val="00FB6698"/>
    <w:rsid w:val="00FC1FA0"/>
    <w:rsid w:val="00FC228D"/>
    <w:rsid w:val="00FC249D"/>
    <w:rsid w:val="00FC3DF9"/>
    <w:rsid w:val="00FC43FE"/>
    <w:rsid w:val="00FC6358"/>
    <w:rsid w:val="00FC6C90"/>
    <w:rsid w:val="00FD04BB"/>
    <w:rsid w:val="00FD0A3B"/>
    <w:rsid w:val="00FD320D"/>
    <w:rsid w:val="00FD3841"/>
    <w:rsid w:val="00FD570D"/>
    <w:rsid w:val="00FE04CB"/>
    <w:rsid w:val="00FE05C6"/>
    <w:rsid w:val="00FE06DA"/>
    <w:rsid w:val="00FE12D5"/>
    <w:rsid w:val="00FE1498"/>
    <w:rsid w:val="00FE23DE"/>
    <w:rsid w:val="00FE339D"/>
    <w:rsid w:val="00FE400D"/>
    <w:rsid w:val="00FE5DA2"/>
    <w:rsid w:val="00FF118C"/>
    <w:rsid w:val="00FF381C"/>
    <w:rsid w:val="00FF4A58"/>
    <w:rsid w:val="00FF783A"/>
    <w:rsid w:val="044E4E35"/>
    <w:rsid w:val="09F63AFE"/>
    <w:rsid w:val="0A842761"/>
    <w:rsid w:val="0C68411F"/>
    <w:rsid w:val="0DD7773F"/>
    <w:rsid w:val="0E8D76BF"/>
    <w:rsid w:val="0EC65E95"/>
    <w:rsid w:val="128A1009"/>
    <w:rsid w:val="1F3E57F5"/>
    <w:rsid w:val="215C14F1"/>
    <w:rsid w:val="24642242"/>
    <w:rsid w:val="2E1C1A4E"/>
    <w:rsid w:val="3702714D"/>
    <w:rsid w:val="4BF351F4"/>
    <w:rsid w:val="4DC024C2"/>
    <w:rsid w:val="4F9B24EE"/>
    <w:rsid w:val="51C508AC"/>
    <w:rsid w:val="5AE12A2F"/>
    <w:rsid w:val="5D2C42AC"/>
    <w:rsid w:val="5E280F21"/>
    <w:rsid w:val="5F7B5377"/>
    <w:rsid w:val="6568477B"/>
    <w:rsid w:val="674B0307"/>
    <w:rsid w:val="68D52A0C"/>
    <w:rsid w:val="6E906FA7"/>
    <w:rsid w:val="7F122F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toc 7"/>
    <w:basedOn w:val="1"/>
    <w:next w:val="1"/>
    <w:autoRedefine/>
    <w:semiHidden/>
    <w:qFormat/>
    <w:uiPriority w:val="0"/>
    <w:pPr>
      <w:tabs>
        <w:tab w:val="right" w:leader="dot" w:pos="9241"/>
      </w:tabs>
      <w:ind w:firstLine="500" w:firstLineChars="500"/>
      <w:jc w:val="left"/>
    </w:pPr>
    <w:rPr>
      <w:rFonts w:ascii="宋体"/>
      <w:szCs w:val="21"/>
    </w:rPr>
  </w:style>
  <w:style w:type="paragraph" w:styleId="3">
    <w:name w:val="index 8"/>
    <w:basedOn w:val="1"/>
    <w:next w:val="1"/>
    <w:autoRedefine/>
    <w:qFormat/>
    <w:uiPriority w:val="0"/>
    <w:pPr>
      <w:ind w:left="1680" w:hanging="210"/>
      <w:jc w:val="left"/>
    </w:pPr>
    <w:rPr>
      <w:rFonts w:ascii="Calibri" w:hAnsi="Calibri"/>
      <w:sz w:val="20"/>
      <w:szCs w:val="20"/>
    </w:rPr>
  </w:style>
  <w:style w:type="paragraph" w:styleId="4">
    <w:name w:val="caption"/>
    <w:basedOn w:val="1"/>
    <w:next w:val="1"/>
    <w:autoRedefine/>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autoRedefine/>
    <w:semiHidden/>
    <w:qFormat/>
    <w:uiPriority w:val="0"/>
    <w:pPr>
      <w:shd w:val="clear" w:color="auto" w:fill="000080"/>
    </w:pPr>
  </w:style>
  <w:style w:type="paragraph" w:styleId="7">
    <w:name w:val="annotation text"/>
    <w:basedOn w:val="1"/>
    <w:link w:val="148"/>
    <w:autoRedefine/>
    <w:semiHidden/>
    <w:unhideWhenUsed/>
    <w:qFormat/>
    <w:uiPriority w:val="0"/>
    <w:pPr>
      <w:jc w:val="left"/>
    </w:pPr>
  </w:style>
  <w:style w:type="paragraph" w:styleId="8">
    <w:name w:val="index 6"/>
    <w:basedOn w:val="1"/>
    <w:next w:val="1"/>
    <w:autoRedefine/>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autoRedefine/>
    <w:semiHidden/>
    <w:qFormat/>
    <w:uiPriority w:val="0"/>
    <w:pPr>
      <w:tabs>
        <w:tab w:val="right" w:leader="dot" w:pos="9241"/>
      </w:tabs>
      <w:ind w:firstLine="300" w:firstLineChars="300"/>
      <w:jc w:val="left"/>
    </w:pPr>
    <w:rPr>
      <w:rFonts w:ascii="宋体"/>
      <w:szCs w:val="21"/>
    </w:rPr>
  </w:style>
  <w:style w:type="paragraph" w:styleId="11">
    <w:name w:val="toc 3"/>
    <w:basedOn w:val="1"/>
    <w:next w:val="1"/>
    <w:autoRedefine/>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autoRedefine/>
    <w:qFormat/>
    <w:uiPriority w:val="0"/>
    <w:pPr>
      <w:ind w:left="630" w:hanging="210"/>
      <w:jc w:val="left"/>
    </w:pPr>
    <w:rPr>
      <w:rFonts w:ascii="Calibri" w:hAnsi="Calibri"/>
      <w:sz w:val="20"/>
      <w:szCs w:val="20"/>
    </w:rPr>
  </w:style>
  <w:style w:type="paragraph" w:styleId="14">
    <w:name w:val="Date"/>
    <w:basedOn w:val="1"/>
    <w:next w:val="1"/>
    <w:link w:val="150"/>
    <w:autoRedefine/>
    <w:semiHidden/>
    <w:unhideWhenUsed/>
    <w:qFormat/>
    <w:uiPriority w:val="0"/>
    <w:pPr>
      <w:ind w:left="100" w:leftChars="2500"/>
    </w:pPr>
  </w:style>
  <w:style w:type="paragraph" w:styleId="15">
    <w:name w:val="endnote text"/>
    <w:basedOn w:val="1"/>
    <w:autoRedefine/>
    <w:semiHidden/>
    <w:qFormat/>
    <w:uiPriority w:val="0"/>
    <w:pPr>
      <w:snapToGrid w:val="0"/>
      <w:jc w:val="left"/>
    </w:pPr>
  </w:style>
  <w:style w:type="paragraph" w:styleId="16">
    <w:name w:val="Balloon Text"/>
    <w:basedOn w:val="1"/>
    <w:link w:val="43"/>
    <w:autoRedefine/>
    <w:qFormat/>
    <w:uiPriority w:val="0"/>
    <w:rPr>
      <w:sz w:val="18"/>
      <w:szCs w:val="18"/>
    </w:rPr>
  </w:style>
  <w:style w:type="paragraph" w:styleId="17">
    <w:name w:val="footer"/>
    <w:basedOn w:val="1"/>
    <w:link w:val="54"/>
    <w:autoRedefine/>
    <w:qFormat/>
    <w:uiPriority w:val="99"/>
    <w:pPr>
      <w:snapToGrid w:val="0"/>
      <w:ind w:right="210" w:rightChars="100"/>
      <w:jc w:val="right"/>
    </w:pPr>
    <w:rPr>
      <w:sz w:val="18"/>
      <w:szCs w:val="18"/>
    </w:rPr>
  </w:style>
  <w:style w:type="paragraph" w:styleId="18">
    <w:name w:val="header"/>
    <w:basedOn w:val="1"/>
    <w:link w:val="42"/>
    <w:autoRedefine/>
    <w:qFormat/>
    <w:uiPriority w:val="0"/>
    <w:pPr>
      <w:snapToGrid w:val="0"/>
      <w:jc w:val="left"/>
    </w:pPr>
    <w:rPr>
      <w:sz w:val="18"/>
      <w:szCs w:val="18"/>
    </w:rPr>
  </w:style>
  <w:style w:type="paragraph" w:styleId="19">
    <w:name w:val="toc 1"/>
    <w:basedOn w:val="1"/>
    <w:next w:val="1"/>
    <w:autoRedefine/>
    <w:semiHidden/>
    <w:qFormat/>
    <w:uiPriority w:val="0"/>
    <w:pPr>
      <w:tabs>
        <w:tab w:val="right" w:leader="dot" w:pos="9242"/>
      </w:tabs>
      <w:spacing w:beforeLines="25" w:afterLines="25"/>
      <w:jc w:val="left"/>
    </w:pPr>
    <w:rPr>
      <w:rFonts w:ascii="宋体"/>
      <w:szCs w:val="21"/>
    </w:rPr>
  </w:style>
  <w:style w:type="paragraph" w:styleId="20">
    <w:name w:val="toc 4"/>
    <w:basedOn w:val="1"/>
    <w:next w:val="1"/>
    <w:autoRedefine/>
    <w:semiHidden/>
    <w:qFormat/>
    <w:uiPriority w:val="0"/>
    <w:pPr>
      <w:tabs>
        <w:tab w:val="right" w:leader="dot" w:pos="9241"/>
      </w:tabs>
      <w:ind w:firstLine="200" w:firstLineChars="200"/>
      <w:jc w:val="left"/>
    </w:pPr>
    <w:rPr>
      <w:rFonts w:ascii="宋体"/>
      <w:szCs w:val="21"/>
    </w:rPr>
  </w:style>
  <w:style w:type="paragraph" w:styleId="21">
    <w:name w:val="index heading"/>
    <w:basedOn w:val="1"/>
    <w:next w:val="22"/>
    <w:autoRedefine/>
    <w:qFormat/>
    <w:uiPriority w:val="0"/>
    <w:pPr>
      <w:spacing w:before="120" w:after="120"/>
      <w:jc w:val="center"/>
    </w:pPr>
    <w:rPr>
      <w:rFonts w:ascii="Calibri" w:hAnsi="Calibri"/>
      <w:b/>
      <w:bCs/>
      <w:iCs/>
      <w:szCs w:val="20"/>
    </w:rPr>
  </w:style>
  <w:style w:type="paragraph" w:styleId="22">
    <w:name w:val="index 1"/>
    <w:basedOn w:val="1"/>
    <w:next w:val="23"/>
    <w:autoRedefine/>
    <w:qFormat/>
    <w:uiPriority w:val="0"/>
    <w:pPr>
      <w:tabs>
        <w:tab w:val="right" w:leader="dot" w:pos="9299"/>
      </w:tabs>
      <w:jc w:val="left"/>
    </w:pPr>
    <w:rPr>
      <w:rFonts w:ascii="宋体"/>
      <w:szCs w:val="21"/>
    </w:rPr>
  </w:style>
  <w:style w:type="paragraph" w:customStyle="1" w:styleId="23">
    <w:name w:val="段"/>
    <w:link w:val="4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autoRedefine/>
    <w:qFormat/>
    <w:uiPriority w:val="0"/>
    <w:pPr>
      <w:tabs>
        <w:tab w:val="left" w:pos="0"/>
      </w:tabs>
      <w:snapToGrid w:val="0"/>
      <w:ind w:left="720" w:hanging="357"/>
      <w:jc w:val="left"/>
    </w:pPr>
    <w:rPr>
      <w:rFonts w:ascii="宋体"/>
      <w:sz w:val="18"/>
      <w:szCs w:val="18"/>
    </w:rPr>
  </w:style>
  <w:style w:type="paragraph" w:styleId="25">
    <w:name w:val="toc 6"/>
    <w:basedOn w:val="1"/>
    <w:next w:val="1"/>
    <w:autoRedefine/>
    <w:semiHidden/>
    <w:qFormat/>
    <w:uiPriority w:val="0"/>
    <w:pPr>
      <w:tabs>
        <w:tab w:val="right" w:leader="dot" w:pos="9241"/>
      </w:tabs>
      <w:ind w:firstLine="400" w:firstLineChars="400"/>
      <w:jc w:val="left"/>
    </w:pPr>
    <w:rPr>
      <w:rFonts w:ascii="宋体"/>
      <w:szCs w:val="21"/>
    </w:rPr>
  </w:style>
  <w:style w:type="paragraph" w:styleId="26">
    <w:name w:val="index 7"/>
    <w:basedOn w:val="1"/>
    <w:next w:val="1"/>
    <w:autoRedefine/>
    <w:qFormat/>
    <w:uiPriority w:val="0"/>
    <w:pPr>
      <w:ind w:left="1470" w:hanging="210"/>
      <w:jc w:val="left"/>
    </w:pPr>
    <w:rPr>
      <w:rFonts w:ascii="Calibri" w:hAnsi="Calibri"/>
      <w:sz w:val="20"/>
      <w:szCs w:val="20"/>
    </w:rPr>
  </w:style>
  <w:style w:type="paragraph" w:styleId="27">
    <w:name w:val="index 9"/>
    <w:basedOn w:val="1"/>
    <w:next w:val="1"/>
    <w:autoRedefine/>
    <w:qFormat/>
    <w:uiPriority w:val="0"/>
    <w:pPr>
      <w:ind w:left="1890" w:hanging="210"/>
      <w:jc w:val="left"/>
    </w:pPr>
    <w:rPr>
      <w:rFonts w:ascii="Calibri" w:hAnsi="Calibri"/>
      <w:sz w:val="20"/>
      <w:szCs w:val="20"/>
    </w:rPr>
  </w:style>
  <w:style w:type="paragraph" w:styleId="28">
    <w:name w:val="toc 2"/>
    <w:basedOn w:val="1"/>
    <w:next w:val="1"/>
    <w:autoRedefine/>
    <w:semiHidden/>
    <w:qFormat/>
    <w:uiPriority w:val="0"/>
    <w:pPr>
      <w:tabs>
        <w:tab w:val="right" w:leader="dot" w:pos="9242"/>
      </w:tabs>
    </w:pPr>
    <w:rPr>
      <w:rFonts w:ascii="宋体"/>
      <w:szCs w:val="21"/>
    </w:rPr>
  </w:style>
  <w:style w:type="paragraph" w:styleId="29">
    <w:name w:val="toc 9"/>
    <w:basedOn w:val="1"/>
    <w:next w:val="1"/>
    <w:autoRedefine/>
    <w:semiHidden/>
    <w:qFormat/>
    <w:uiPriority w:val="0"/>
    <w:pPr>
      <w:ind w:left="1470"/>
      <w:jc w:val="left"/>
    </w:pPr>
    <w:rPr>
      <w:sz w:val="20"/>
      <w:szCs w:val="20"/>
    </w:rPr>
  </w:style>
  <w:style w:type="paragraph" w:styleId="30">
    <w:name w:val="index 2"/>
    <w:basedOn w:val="1"/>
    <w:next w:val="1"/>
    <w:autoRedefine/>
    <w:qFormat/>
    <w:uiPriority w:val="0"/>
    <w:pPr>
      <w:ind w:left="420" w:hanging="210"/>
      <w:jc w:val="left"/>
    </w:pPr>
    <w:rPr>
      <w:rFonts w:ascii="Calibri" w:hAnsi="Calibri"/>
      <w:sz w:val="20"/>
      <w:szCs w:val="20"/>
    </w:rPr>
  </w:style>
  <w:style w:type="paragraph" w:styleId="31">
    <w:name w:val="annotation subject"/>
    <w:basedOn w:val="7"/>
    <w:next w:val="7"/>
    <w:link w:val="149"/>
    <w:autoRedefine/>
    <w:semiHidden/>
    <w:unhideWhenUsed/>
    <w:qFormat/>
    <w:uiPriority w:val="0"/>
    <w:rPr>
      <w:b/>
      <w:bCs/>
    </w:rPr>
  </w:style>
  <w:style w:type="table" w:styleId="33">
    <w:name w:val="Table Grid"/>
    <w:basedOn w:val="32"/>
    <w:autoRedefine/>
    <w:qFormat/>
    <w:uiPriority w:val="59"/>
    <w:pPr>
      <w:numPr>
        <w:numId w:val="1"/>
      </w:numPr>
      <w:tabs>
        <w:tab w:val="left" w:pos="720"/>
      </w:tabs>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autoRedefine/>
    <w:semiHidden/>
    <w:qFormat/>
    <w:uiPriority w:val="0"/>
    <w:rPr>
      <w:vertAlign w:val="superscript"/>
    </w:rPr>
  </w:style>
  <w:style w:type="character" w:styleId="36">
    <w:name w:val="page number"/>
    <w:autoRedefine/>
    <w:qFormat/>
    <w:uiPriority w:val="0"/>
    <w:rPr>
      <w:rFonts w:ascii="Times New Roman" w:hAnsi="Times New Roman" w:eastAsia="宋体"/>
      <w:sz w:val="18"/>
    </w:rPr>
  </w:style>
  <w:style w:type="character" w:styleId="37">
    <w:name w:val="Hyperlink"/>
    <w:autoRedefine/>
    <w:qFormat/>
    <w:uiPriority w:val="0"/>
    <w:rPr>
      <w:color w:val="0000FF"/>
      <w:spacing w:val="0"/>
      <w:w w:val="100"/>
      <w:szCs w:val="21"/>
      <w:u w:val="single"/>
      <w:lang w:val="en-US" w:eastAsia="zh-CN"/>
    </w:rPr>
  </w:style>
  <w:style w:type="character" w:styleId="38">
    <w:name w:val="annotation reference"/>
    <w:basedOn w:val="34"/>
    <w:autoRedefine/>
    <w:semiHidden/>
    <w:unhideWhenUsed/>
    <w:qFormat/>
    <w:uiPriority w:val="0"/>
    <w:rPr>
      <w:sz w:val="21"/>
      <w:szCs w:val="21"/>
    </w:rPr>
  </w:style>
  <w:style w:type="character" w:styleId="39">
    <w:name w:val="footnote reference"/>
    <w:autoRedefine/>
    <w:semiHidden/>
    <w:qFormat/>
    <w:uiPriority w:val="0"/>
    <w:rPr>
      <w:vertAlign w:val="superscript"/>
    </w:rPr>
  </w:style>
  <w:style w:type="character" w:customStyle="1" w:styleId="40">
    <w:name w:val="段 Char"/>
    <w:link w:val="23"/>
    <w:autoRedefine/>
    <w:qFormat/>
    <w:uiPriority w:val="0"/>
    <w:rPr>
      <w:rFonts w:ascii="宋体"/>
      <w:sz w:val="21"/>
      <w:lang w:val="en-US" w:eastAsia="zh-CN" w:bidi="ar-SA"/>
    </w:rPr>
  </w:style>
  <w:style w:type="character" w:customStyle="1" w:styleId="41">
    <w:name w:val="访问过的超链接1"/>
    <w:autoRedefine/>
    <w:qFormat/>
    <w:uiPriority w:val="0"/>
    <w:rPr>
      <w:color w:val="800080"/>
      <w:u w:val="single"/>
    </w:rPr>
  </w:style>
  <w:style w:type="character" w:customStyle="1" w:styleId="42">
    <w:name w:val="页眉 字符"/>
    <w:link w:val="18"/>
    <w:autoRedefine/>
    <w:qFormat/>
    <w:locked/>
    <w:uiPriority w:val="0"/>
    <w:rPr>
      <w:kern w:val="2"/>
      <w:sz w:val="18"/>
      <w:szCs w:val="18"/>
    </w:rPr>
  </w:style>
  <w:style w:type="character" w:customStyle="1" w:styleId="43">
    <w:name w:val="批注框文本 字符"/>
    <w:link w:val="16"/>
    <w:autoRedefine/>
    <w:qFormat/>
    <w:uiPriority w:val="0"/>
    <w:rPr>
      <w:kern w:val="2"/>
      <w:sz w:val="18"/>
      <w:szCs w:val="18"/>
    </w:rPr>
  </w:style>
  <w:style w:type="character" w:customStyle="1" w:styleId="44">
    <w:name w:val="发布"/>
    <w:autoRedefine/>
    <w:qFormat/>
    <w:uiPriority w:val="0"/>
    <w:rPr>
      <w:rFonts w:ascii="黑体" w:eastAsia="黑体"/>
      <w:spacing w:val="85"/>
      <w:w w:val="100"/>
      <w:position w:val="3"/>
      <w:sz w:val="28"/>
      <w:szCs w:val="28"/>
    </w:rPr>
  </w:style>
  <w:style w:type="character" w:customStyle="1" w:styleId="45">
    <w:name w:val="章标题 Char"/>
    <w:link w:val="46"/>
    <w:autoRedefine/>
    <w:qFormat/>
    <w:locked/>
    <w:uiPriority w:val="0"/>
    <w:rPr>
      <w:rFonts w:ascii="黑体" w:eastAsia="黑体"/>
      <w:sz w:val="21"/>
    </w:rPr>
  </w:style>
  <w:style w:type="paragraph" w:customStyle="1" w:styleId="46">
    <w:name w:val="章标题"/>
    <w:next w:val="23"/>
    <w:link w:val="45"/>
    <w:autoRedefine/>
    <w:qFormat/>
    <w:uiPriority w:val="99"/>
    <w:pPr>
      <w:spacing w:beforeLines="100" w:afterLines="100"/>
      <w:jc w:val="both"/>
      <w:outlineLvl w:val="1"/>
    </w:pPr>
    <w:rPr>
      <w:rFonts w:ascii="黑体" w:hAnsi="Times New Roman" w:eastAsia="黑体" w:cs="Times New Roman"/>
      <w:sz w:val="21"/>
      <w:lang w:val="en-US" w:eastAsia="zh-CN" w:bidi="ar-SA"/>
    </w:rPr>
  </w:style>
  <w:style w:type="character" w:customStyle="1" w:styleId="47">
    <w:name w:val="一级条标题 Char"/>
    <w:link w:val="48"/>
    <w:autoRedefine/>
    <w:qFormat/>
    <w:locked/>
    <w:uiPriority w:val="99"/>
    <w:rPr>
      <w:rFonts w:ascii="黑体" w:eastAsia="黑体"/>
      <w:sz w:val="21"/>
      <w:szCs w:val="21"/>
    </w:rPr>
  </w:style>
  <w:style w:type="paragraph" w:customStyle="1" w:styleId="48">
    <w:name w:val="一级条标题"/>
    <w:next w:val="23"/>
    <w:link w:val="47"/>
    <w:autoRedefine/>
    <w:qFormat/>
    <w:uiPriority w:val="99"/>
    <w:pPr>
      <w:numPr>
        <w:ilvl w:val="1"/>
        <w:numId w:val="1"/>
      </w:numPr>
      <w:spacing w:beforeLines="50" w:afterLines="50"/>
      <w:outlineLvl w:val="2"/>
    </w:pPr>
    <w:rPr>
      <w:rFonts w:ascii="黑体" w:hAnsi="Times New Roman" w:eastAsia="黑体" w:cs="Times New Roman"/>
      <w:sz w:val="21"/>
      <w:szCs w:val="21"/>
      <w:lang w:val="en-US" w:eastAsia="zh-CN" w:bidi="ar-SA"/>
    </w:rPr>
  </w:style>
  <w:style w:type="character" w:customStyle="1" w:styleId="49">
    <w:name w:val="二级无 Char"/>
    <w:link w:val="50"/>
    <w:autoRedefine/>
    <w:qFormat/>
    <w:locked/>
    <w:uiPriority w:val="0"/>
    <w:rPr>
      <w:rFonts w:ascii="宋体"/>
      <w:sz w:val="21"/>
      <w:szCs w:val="21"/>
    </w:rPr>
  </w:style>
  <w:style w:type="paragraph" w:customStyle="1" w:styleId="50">
    <w:name w:val="二级无"/>
    <w:basedOn w:val="51"/>
    <w:link w:val="49"/>
    <w:autoRedefine/>
    <w:qFormat/>
    <w:uiPriority w:val="0"/>
    <w:pPr>
      <w:spacing w:beforeLines="0" w:afterLines="0"/>
    </w:pPr>
    <w:rPr>
      <w:rFonts w:ascii="宋体" w:eastAsia="宋体"/>
    </w:rPr>
  </w:style>
  <w:style w:type="paragraph" w:customStyle="1" w:styleId="51">
    <w:name w:val="二级条标题"/>
    <w:basedOn w:val="48"/>
    <w:next w:val="23"/>
    <w:link w:val="146"/>
    <w:autoRedefine/>
    <w:qFormat/>
    <w:uiPriority w:val="99"/>
    <w:pPr>
      <w:numPr>
        <w:ilvl w:val="2"/>
      </w:numPr>
      <w:spacing w:before="50" w:after="50"/>
      <w:ind w:left="0"/>
      <w:outlineLvl w:val="3"/>
    </w:pPr>
  </w:style>
  <w:style w:type="character" w:customStyle="1" w:styleId="52">
    <w:name w:val="附录公式 Char"/>
    <w:basedOn w:val="40"/>
    <w:link w:val="53"/>
    <w:autoRedefine/>
    <w:qFormat/>
    <w:uiPriority w:val="0"/>
    <w:rPr>
      <w:rFonts w:ascii="宋体"/>
      <w:sz w:val="21"/>
      <w:lang w:val="en-US" w:eastAsia="zh-CN" w:bidi="ar-SA"/>
    </w:rPr>
  </w:style>
  <w:style w:type="paragraph" w:customStyle="1" w:styleId="53">
    <w:name w:val="附录公式"/>
    <w:basedOn w:val="23"/>
    <w:next w:val="23"/>
    <w:link w:val="52"/>
    <w:autoRedefine/>
    <w:qFormat/>
    <w:uiPriority w:val="0"/>
  </w:style>
  <w:style w:type="character" w:customStyle="1" w:styleId="54">
    <w:name w:val="页脚 字符"/>
    <w:link w:val="17"/>
    <w:autoRedefine/>
    <w:qFormat/>
    <w:locked/>
    <w:uiPriority w:val="99"/>
    <w:rPr>
      <w:kern w:val="2"/>
      <w:sz w:val="18"/>
      <w:szCs w:val="18"/>
    </w:rPr>
  </w:style>
  <w:style w:type="character" w:customStyle="1" w:styleId="55">
    <w:name w:val="首示例 Char"/>
    <w:link w:val="56"/>
    <w:autoRedefine/>
    <w:qFormat/>
    <w:uiPriority w:val="0"/>
    <w:rPr>
      <w:rFonts w:ascii="宋体" w:hAnsi="宋体"/>
      <w:kern w:val="2"/>
      <w:sz w:val="18"/>
      <w:szCs w:val="18"/>
    </w:rPr>
  </w:style>
  <w:style w:type="paragraph" w:customStyle="1" w:styleId="56">
    <w:name w:val="首示例"/>
    <w:next w:val="23"/>
    <w:link w:val="55"/>
    <w:autoRedefine/>
    <w:qFormat/>
    <w:uiPriority w:val="0"/>
    <w:pPr>
      <w:tabs>
        <w:tab w:val="left" w:pos="360"/>
      </w:tabs>
    </w:pPr>
    <w:rPr>
      <w:rFonts w:ascii="宋体" w:hAnsi="宋体" w:eastAsia="宋体" w:cs="Times New Roman"/>
      <w:kern w:val="2"/>
      <w:sz w:val="18"/>
      <w:szCs w:val="18"/>
      <w:lang w:val="en-US" w:eastAsia="zh-CN" w:bidi="ar-SA"/>
    </w:rPr>
  </w:style>
  <w:style w:type="paragraph" w:customStyle="1" w:styleId="57">
    <w:name w:val="标准文件_附录一级条标题"/>
    <w:basedOn w:val="1"/>
    <w:next w:val="1"/>
    <w:autoRedefine/>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58">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9">
    <w:name w:val="目次、标准名称标题"/>
    <w:basedOn w:val="1"/>
    <w:next w:val="23"/>
    <w:autoRedefine/>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0">
    <w:name w:val="正文图标题"/>
    <w:next w:val="23"/>
    <w:autoRedefine/>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61">
    <w:name w:val="参考文献"/>
    <w:basedOn w:val="1"/>
    <w:next w:val="23"/>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2">
    <w:name w:val="示例后文字"/>
    <w:basedOn w:val="23"/>
    <w:next w:val="23"/>
    <w:autoRedefine/>
    <w:qFormat/>
    <w:uiPriority w:val="0"/>
    <w:pPr>
      <w:ind w:firstLine="360"/>
    </w:pPr>
    <w:rPr>
      <w:sz w:val="18"/>
    </w:rPr>
  </w:style>
  <w:style w:type="paragraph" w:customStyle="1" w:styleId="63">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4">
    <w:name w:val="标准书眉一"/>
    <w:autoRedefine/>
    <w:qFormat/>
    <w:uiPriority w:val="0"/>
    <w:pPr>
      <w:jc w:val="both"/>
    </w:pPr>
    <w:rPr>
      <w:rFonts w:ascii="Times New Roman" w:hAnsi="Times New Roman" w:eastAsia="宋体" w:cs="Times New Roman"/>
      <w:lang w:val="en-US" w:eastAsia="zh-CN" w:bidi="ar-SA"/>
    </w:rPr>
  </w:style>
  <w:style w:type="paragraph" w:customStyle="1" w:styleId="65">
    <w:name w:val="附录表标号"/>
    <w:basedOn w:val="1"/>
    <w:next w:val="23"/>
    <w:autoRedefine/>
    <w:qFormat/>
    <w:uiPriority w:val="0"/>
    <w:pPr>
      <w:spacing w:line="14" w:lineRule="exact"/>
      <w:ind w:left="811" w:hanging="448"/>
      <w:jc w:val="center"/>
      <w:outlineLvl w:val="0"/>
    </w:pPr>
    <w:rPr>
      <w:color w:val="FFFFFF"/>
    </w:rPr>
  </w:style>
  <w:style w:type="paragraph" w:customStyle="1" w:styleId="66">
    <w:name w:val="附录二级条标题"/>
    <w:basedOn w:val="1"/>
    <w:next w:val="23"/>
    <w:autoRedefine/>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7">
    <w:name w:val="封面一致性程度标识"/>
    <w:basedOn w:val="68"/>
    <w:autoRedefine/>
    <w:qFormat/>
    <w:uiPriority w:val="99"/>
    <w:pPr>
      <w:framePr w:wrap="around"/>
      <w:spacing w:before="440"/>
    </w:pPr>
    <w:rPr>
      <w:rFonts w:ascii="宋体" w:eastAsia="宋体"/>
    </w:rPr>
  </w:style>
  <w:style w:type="paragraph" w:customStyle="1" w:styleId="68">
    <w:name w:val="封面标准英文名称"/>
    <w:basedOn w:val="69"/>
    <w:autoRedefine/>
    <w:qFormat/>
    <w:uiPriority w:val="0"/>
    <w:pPr>
      <w:framePr w:wrap="around"/>
      <w:spacing w:before="370" w:line="400" w:lineRule="exact"/>
    </w:pPr>
    <w:rPr>
      <w:rFonts w:ascii="Times New Roman"/>
      <w:sz w:val="28"/>
      <w:szCs w:val="28"/>
    </w:rPr>
  </w:style>
  <w:style w:type="paragraph" w:customStyle="1" w:styleId="69">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0">
    <w:name w:val="附录二级无"/>
    <w:basedOn w:val="66"/>
    <w:autoRedefine/>
    <w:qFormat/>
    <w:uiPriority w:val="0"/>
    <w:pPr>
      <w:tabs>
        <w:tab w:val="clear" w:pos="360"/>
      </w:tabs>
      <w:spacing w:beforeLines="0" w:afterLines="0"/>
    </w:pPr>
    <w:rPr>
      <w:rFonts w:ascii="宋体" w:eastAsia="宋体"/>
      <w:szCs w:val="21"/>
    </w:rPr>
  </w:style>
  <w:style w:type="paragraph" w:customStyle="1" w:styleId="71">
    <w:name w:val="一级无"/>
    <w:basedOn w:val="48"/>
    <w:autoRedefine/>
    <w:qFormat/>
    <w:uiPriority w:val="0"/>
    <w:pPr>
      <w:spacing w:beforeLines="0" w:afterLines="0"/>
    </w:pPr>
    <w:rPr>
      <w:rFonts w:ascii="宋体" w:eastAsia="宋体"/>
    </w:rPr>
  </w:style>
  <w:style w:type="paragraph" w:customStyle="1" w:styleId="72">
    <w:name w:val="实施日期"/>
    <w:basedOn w:val="58"/>
    <w:autoRedefine/>
    <w:qFormat/>
    <w:uiPriority w:val="0"/>
    <w:pPr>
      <w:framePr w:wrap="around" w:vAnchor="page" w:hAnchor="text"/>
      <w:jc w:val="right"/>
    </w:pPr>
  </w:style>
  <w:style w:type="paragraph" w:customStyle="1" w:styleId="73">
    <w:name w:val="四级无"/>
    <w:basedOn w:val="74"/>
    <w:autoRedefine/>
    <w:qFormat/>
    <w:uiPriority w:val="0"/>
    <w:pPr>
      <w:spacing w:beforeLines="0" w:afterLines="0"/>
    </w:pPr>
    <w:rPr>
      <w:rFonts w:ascii="宋体" w:eastAsia="宋体"/>
    </w:rPr>
  </w:style>
  <w:style w:type="paragraph" w:customStyle="1" w:styleId="74">
    <w:name w:val="四级条标题"/>
    <w:basedOn w:val="75"/>
    <w:next w:val="23"/>
    <w:autoRedefine/>
    <w:qFormat/>
    <w:uiPriority w:val="99"/>
    <w:pPr>
      <w:outlineLvl w:val="5"/>
    </w:pPr>
  </w:style>
  <w:style w:type="paragraph" w:customStyle="1" w:styleId="75">
    <w:name w:val="三级条标题"/>
    <w:basedOn w:val="51"/>
    <w:next w:val="23"/>
    <w:autoRedefine/>
    <w:qFormat/>
    <w:uiPriority w:val="99"/>
    <w:pPr>
      <w:numPr>
        <w:ilvl w:val="0"/>
        <w:numId w:val="0"/>
      </w:numPr>
      <w:outlineLvl w:val="4"/>
    </w:pPr>
  </w:style>
  <w:style w:type="paragraph" w:customStyle="1" w:styleId="76">
    <w:name w:val="注×：（正文）"/>
    <w:autoRedefine/>
    <w:qFormat/>
    <w:uiPriority w:val="0"/>
    <w:pPr>
      <w:ind w:left="811" w:hanging="448"/>
      <w:jc w:val="both"/>
    </w:pPr>
    <w:rPr>
      <w:rFonts w:ascii="宋体" w:hAnsi="Times New Roman" w:eastAsia="宋体" w:cs="Times New Roman"/>
      <w:sz w:val="18"/>
      <w:szCs w:val="18"/>
      <w:lang w:val="en-US" w:eastAsia="zh-CN" w:bidi="ar-SA"/>
    </w:rPr>
  </w:style>
  <w:style w:type="paragraph" w:customStyle="1" w:styleId="77">
    <w:name w:val="列项——（一级）"/>
    <w:autoRedefine/>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78">
    <w:name w:val="正文表标题"/>
    <w:next w:val="23"/>
    <w:autoRedefine/>
    <w:qFormat/>
    <w:uiPriority w:val="0"/>
    <w:pPr>
      <w:numPr>
        <w:ilvl w:val="0"/>
        <w:numId w:val="2"/>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9">
    <w:name w:val="封面标准号2"/>
    <w:autoRedefine/>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0">
    <w:name w:val="图标脚注说明"/>
    <w:basedOn w:val="23"/>
    <w:autoRedefine/>
    <w:qFormat/>
    <w:uiPriority w:val="0"/>
    <w:pPr>
      <w:ind w:left="840" w:hanging="420" w:firstLineChars="0"/>
    </w:pPr>
    <w:rPr>
      <w:sz w:val="18"/>
      <w:szCs w:val="18"/>
    </w:rPr>
  </w:style>
  <w:style w:type="paragraph" w:customStyle="1" w:styleId="81">
    <w:name w:val="列项◆（三级）"/>
    <w:basedOn w:val="1"/>
    <w:autoRedefine/>
    <w:qFormat/>
    <w:uiPriority w:val="0"/>
    <w:pPr>
      <w:tabs>
        <w:tab w:val="left" w:pos="1678"/>
      </w:tabs>
      <w:ind w:left="1678" w:hanging="414"/>
    </w:pPr>
    <w:rPr>
      <w:rFonts w:ascii="宋体"/>
      <w:szCs w:val="21"/>
    </w:rPr>
  </w:style>
  <w:style w:type="paragraph" w:customStyle="1" w:styleId="82">
    <w:name w:val="前言、引言标题"/>
    <w:next w:val="23"/>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3">
    <w:name w:val="附录三级条标题"/>
    <w:basedOn w:val="66"/>
    <w:next w:val="23"/>
    <w:autoRedefine/>
    <w:qFormat/>
    <w:uiPriority w:val="0"/>
    <w:pPr>
      <w:outlineLvl w:val="4"/>
    </w:pPr>
  </w:style>
  <w:style w:type="paragraph" w:customStyle="1" w:styleId="84">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5">
    <w:name w:val="附录五级无"/>
    <w:basedOn w:val="86"/>
    <w:autoRedefine/>
    <w:qFormat/>
    <w:uiPriority w:val="0"/>
    <w:pPr>
      <w:tabs>
        <w:tab w:val="left" w:pos="360"/>
      </w:tabs>
      <w:spacing w:beforeLines="0" w:afterLines="0"/>
    </w:pPr>
    <w:rPr>
      <w:rFonts w:ascii="宋体" w:eastAsia="宋体"/>
      <w:szCs w:val="21"/>
    </w:rPr>
  </w:style>
  <w:style w:type="paragraph" w:customStyle="1" w:styleId="86">
    <w:name w:val="附录五级条标题"/>
    <w:basedOn w:val="87"/>
    <w:next w:val="23"/>
    <w:autoRedefine/>
    <w:qFormat/>
    <w:uiPriority w:val="0"/>
    <w:pPr>
      <w:tabs>
        <w:tab w:val="left" w:pos="360"/>
      </w:tabs>
      <w:outlineLvl w:val="6"/>
    </w:pPr>
  </w:style>
  <w:style w:type="paragraph" w:customStyle="1" w:styleId="87">
    <w:name w:val="附录四级条标题"/>
    <w:basedOn w:val="83"/>
    <w:next w:val="23"/>
    <w:autoRedefine/>
    <w:qFormat/>
    <w:uiPriority w:val="0"/>
    <w:pPr>
      <w:outlineLvl w:val="5"/>
    </w:pPr>
  </w:style>
  <w:style w:type="paragraph" w:customStyle="1" w:styleId="88">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89">
    <w:name w:val="附录一级无"/>
    <w:basedOn w:val="90"/>
    <w:autoRedefine/>
    <w:qFormat/>
    <w:uiPriority w:val="0"/>
    <w:pPr>
      <w:tabs>
        <w:tab w:val="left" w:pos="360"/>
      </w:tabs>
      <w:spacing w:beforeLines="0" w:afterLines="0"/>
    </w:pPr>
    <w:rPr>
      <w:rFonts w:ascii="宋体" w:eastAsia="宋体"/>
      <w:szCs w:val="21"/>
    </w:rPr>
  </w:style>
  <w:style w:type="paragraph" w:customStyle="1" w:styleId="90">
    <w:name w:val="附录一级条标题"/>
    <w:basedOn w:val="91"/>
    <w:next w:val="23"/>
    <w:autoRedefine/>
    <w:qFormat/>
    <w:uiPriority w:val="0"/>
    <w:pPr>
      <w:tabs>
        <w:tab w:val="left" w:pos="360"/>
      </w:tabs>
      <w:autoSpaceDN w:val="0"/>
      <w:spacing w:beforeLines="50" w:afterLines="50"/>
      <w:outlineLvl w:val="2"/>
    </w:pPr>
  </w:style>
  <w:style w:type="paragraph" w:customStyle="1" w:styleId="91">
    <w:name w:val="附录章标题"/>
    <w:next w:val="23"/>
    <w:autoRedefine/>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3">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4">
    <w:name w:val="附录公式编号制表符"/>
    <w:basedOn w:val="1"/>
    <w:next w:val="23"/>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95">
    <w:name w:val="附录图标题"/>
    <w:basedOn w:val="1"/>
    <w:next w:val="23"/>
    <w:autoRedefine/>
    <w:qFormat/>
    <w:uiPriority w:val="0"/>
    <w:pPr>
      <w:tabs>
        <w:tab w:val="left" w:pos="363"/>
      </w:tabs>
      <w:spacing w:beforeLines="50" w:afterLines="50"/>
      <w:jc w:val="center"/>
    </w:pPr>
    <w:rPr>
      <w:rFonts w:ascii="黑体" w:eastAsia="黑体"/>
      <w:szCs w:val="21"/>
    </w:rPr>
  </w:style>
  <w:style w:type="paragraph" w:customStyle="1" w:styleId="96">
    <w:name w:val="注×："/>
    <w:autoRedefine/>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7">
    <w:name w:val="参考文献、索引标题"/>
    <w:basedOn w:val="1"/>
    <w:next w:val="23"/>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8">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99">
    <w:name w:val="图的脚注"/>
    <w:next w:val="23"/>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00">
    <w:name w:val="数字编号列项（二级）"/>
    <w:autoRedefine/>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01">
    <w:name w:val="条文脚注"/>
    <w:basedOn w:val="24"/>
    <w:autoRedefine/>
    <w:qFormat/>
    <w:uiPriority w:val="0"/>
    <w:pPr>
      <w:ind w:left="0" w:firstLine="0"/>
      <w:jc w:val="both"/>
    </w:pPr>
  </w:style>
  <w:style w:type="paragraph" w:customStyle="1" w:styleId="102">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3">
    <w:name w:val="字母编号列项（一级）"/>
    <w:autoRedefine/>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04">
    <w:name w:val="示例"/>
    <w:next w:val="105"/>
    <w:autoRedefine/>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05">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6">
    <w:name w:val="附录图标号"/>
    <w:basedOn w:val="1"/>
    <w:autoRedefine/>
    <w:qFormat/>
    <w:uiPriority w:val="0"/>
    <w:pPr>
      <w:keepNext/>
      <w:pageBreakBefore/>
      <w:widowControl/>
      <w:spacing w:line="14" w:lineRule="exact"/>
      <w:ind w:firstLine="363"/>
      <w:jc w:val="center"/>
      <w:outlineLvl w:val="0"/>
    </w:pPr>
    <w:rPr>
      <w:color w:val="FFFFFF"/>
    </w:rPr>
  </w:style>
  <w:style w:type="paragraph" w:customStyle="1" w:styleId="107">
    <w:name w:val="封面一致性程度标识2"/>
    <w:basedOn w:val="67"/>
    <w:autoRedefine/>
    <w:qFormat/>
    <w:uiPriority w:val="0"/>
    <w:pPr>
      <w:framePr w:wrap="around" w:y="4469"/>
    </w:pPr>
  </w:style>
  <w:style w:type="paragraph" w:customStyle="1" w:styleId="108">
    <w:name w:val="附录字母编号列项（一级）"/>
    <w:autoRedefine/>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09">
    <w:name w:val="附录三级无"/>
    <w:basedOn w:val="83"/>
    <w:autoRedefine/>
    <w:qFormat/>
    <w:uiPriority w:val="0"/>
    <w:pPr>
      <w:tabs>
        <w:tab w:val="clear" w:pos="360"/>
      </w:tabs>
      <w:spacing w:beforeLines="0" w:afterLines="0"/>
    </w:pPr>
    <w:rPr>
      <w:rFonts w:ascii="宋体" w:eastAsia="宋体"/>
      <w:szCs w:val="21"/>
    </w:rPr>
  </w:style>
  <w:style w:type="paragraph" w:customStyle="1" w:styleId="110">
    <w:name w:val="其他发布日期"/>
    <w:basedOn w:val="58"/>
    <w:autoRedefine/>
    <w:qFormat/>
    <w:uiPriority w:val="99"/>
    <w:pPr>
      <w:framePr w:wrap="around" w:vAnchor="page" w:hAnchor="text" w:x="1419"/>
    </w:pPr>
  </w:style>
  <w:style w:type="paragraph" w:customStyle="1" w:styleId="111">
    <w:name w:val="附录数字编号列项（二级）"/>
    <w:autoRedefine/>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12">
    <w:name w:val="其他标准标志"/>
    <w:basedOn w:val="102"/>
    <w:autoRedefine/>
    <w:qFormat/>
    <w:uiPriority w:val="0"/>
    <w:pPr>
      <w:framePr w:w="6101" w:wrap="around" w:vAnchor="page" w:hAnchor="page" w:x="4673" w:y="942"/>
    </w:pPr>
    <w:rPr>
      <w:w w:val="130"/>
    </w:rPr>
  </w:style>
  <w:style w:type="paragraph" w:customStyle="1" w:styleId="113">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4">
    <w:name w:val="图表脚注说明"/>
    <w:basedOn w:val="1"/>
    <w:autoRedefine/>
    <w:qFormat/>
    <w:uiPriority w:val="0"/>
    <w:pPr>
      <w:ind w:left="544" w:hanging="181"/>
    </w:pPr>
    <w:rPr>
      <w:rFonts w:ascii="宋体"/>
      <w:sz w:val="18"/>
      <w:szCs w:val="18"/>
    </w:rPr>
  </w:style>
  <w:style w:type="paragraph" w:customStyle="1" w:styleId="115">
    <w:name w:val="五级条标题"/>
    <w:basedOn w:val="74"/>
    <w:next w:val="23"/>
    <w:autoRedefine/>
    <w:qFormat/>
    <w:uiPriority w:val="99"/>
    <w:pPr>
      <w:numPr>
        <w:ilvl w:val="5"/>
      </w:numPr>
      <w:outlineLvl w:val="6"/>
    </w:pPr>
  </w:style>
  <w:style w:type="paragraph" w:customStyle="1" w:styleId="116">
    <w:name w:val="封面标准文稿类别"/>
    <w:basedOn w:val="67"/>
    <w:autoRedefine/>
    <w:qFormat/>
    <w:uiPriority w:val="0"/>
    <w:pPr>
      <w:framePr w:wrap="around"/>
      <w:spacing w:after="160" w:line="240" w:lineRule="auto"/>
    </w:pPr>
    <w:rPr>
      <w:sz w:val="24"/>
    </w:rPr>
  </w:style>
  <w:style w:type="paragraph" w:customStyle="1" w:styleId="117">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8">
    <w:name w:val="示例×："/>
    <w:basedOn w:val="46"/>
    <w:autoRedefine/>
    <w:qFormat/>
    <w:uiPriority w:val="0"/>
    <w:pPr>
      <w:spacing w:beforeLines="0" w:afterLines="0"/>
      <w:ind w:firstLine="363"/>
      <w:outlineLvl w:val="9"/>
    </w:pPr>
    <w:rPr>
      <w:rFonts w:ascii="宋体" w:eastAsia="宋体"/>
      <w:sz w:val="18"/>
      <w:szCs w:val="18"/>
    </w:rPr>
  </w:style>
  <w:style w:type="paragraph" w:customStyle="1" w:styleId="119">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0">
    <w:name w:val="列项●（二级）"/>
    <w:autoRedefine/>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21">
    <w:name w:val="附录标识"/>
    <w:basedOn w:val="1"/>
    <w:next w:val="23"/>
    <w:autoRedefine/>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2">
    <w:name w:val="标准书眉_偶数页"/>
    <w:basedOn w:val="84"/>
    <w:next w:val="1"/>
    <w:autoRedefine/>
    <w:qFormat/>
    <w:uiPriority w:val="0"/>
    <w:pPr>
      <w:jc w:val="left"/>
    </w:pPr>
  </w:style>
  <w:style w:type="paragraph" w:customStyle="1" w:styleId="123">
    <w:name w:val="封面标准文稿编辑信息"/>
    <w:basedOn w:val="116"/>
    <w:autoRedefine/>
    <w:qFormat/>
    <w:uiPriority w:val="0"/>
    <w:pPr>
      <w:framePr w:wrap="around"/>
      <w:spacing w:before="180" w:line="180" w:lineRule="exact"/>
    </w:pPr>
    <w:rPr>
      <w:sz w:val="21"/>
    </w:rPr>
  </w:style>
  <w:style w:type="paragraph" w:customStyle="1" w:styleId="124">
    <w:name w:val="附录表标题"/>
    <w:basedOn w:val="1"/>
    <w:next w:val="23"/>
    <w:autoRedefine/>
    <w:qFormat/>
    <w:uiPriority w:val="0"/>
    <w:pPr>
      <w:tabs>
        <w:tab w:val="left" w:pos="180"/>
      </w:tabs>
      <w:spacing w:beforeLines="50" w:afterLines="50"/>
      <w:jc w:val="center"/>
    </w:pPr>
    <w:rPr>
      <w:rFonts w:ascii="黑体" w:eastAsia="黑体"/>
      <w:szCs w:val="21"/>
    </w:rPr>
  </w:style>
  <w:style w:type="paragraph" w:customStyle="1" w:styleId="125">
    <w:name w:val="注："/>
    <w:next w:val="23"/>
    <w:autoRedefine/>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26">
    <w:name w:val="注：（正文）"/>
    <w:basedOn w:val="125"/>
    <w:next w:val="23"/>
    <w:autoRedefine/>
    <w:qFormat/>
    <w:uiPriority w:val="0"/>
  </w:style>
  <w:style w:type="paragraph" w:customStyle="1" w:styleId="127">
    <w:name w:val="封面正文"/>
    <w:autoRedefine/>
    <w:qFormat/>
    <w:uiPriority w:val="0"/>
    <w:pPr>
      <w:jc w:val="both"/>
    </w:pPr>
    <w:rPr>
      <w:rFonts w:ascii="Times New Roman" w:hAnsi="Times New Roman" w:eastAsia="宋体" w:cs="Times New Roman"/>
      <w:lang w:val="en-US" w:eastAsia="zh-CN" w:bidi="ar-SA"/>
    </w:rPr>
  </w:style>
  <w:style w:type="paragraph" w:customStyle="1" w:styleId="128">
    <w:name w:val="编号列项（三级）"/>
    <w:autoRedefine/>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129">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30">
    <w:name w:val="附录标题"/>
    <w:basedOn w:val="23"/>
    <w:next w:val="23"/>
    <w:autoRedefine/>
    <w:qFormat/>
    <w:uiPriority w:val="0"/>
    <w:pPr>
      <w:ind w:firstLine="0" w:firstLineChars="0"/>
      <w:jc w:val="center"/>
    </w:pPr>
    <w:rPr>
      <w:rFonts w:ascii="黑体" w:eastAsia="黑体"/>
    </w:rPr>
  </w:style>
  <w:style w:type="paragraph" w:customStyle="1" w:styleId="131">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2">
    <w:name w:val="封面标准名称2"/>
    <w:basedOn w:val="69"/>
    <w:autoRedefine/>
    <w:qFormat/>
    <w:uiPriority w:val="0"/>
    <w:pPr>
      <w:framePr w:wrap="around" w:y="4469"/>
      <w:spacing w:beforeLines="630"/>
    </w:pPr>
  </w:style>
  <w:style w:type="paragraph" w:customStyle="1" w:styleId="133">
    <w:name w:val="发布部门"/>
    <w:next w:val="23"/>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34">
    <w:name w:val="封面标准文稿编辑信息2"/>
    <w:basedOn w:val="123"/>
    <w:autoRedefine/>
    <w:qFormat/>
    <w:uiPriority w:val="0"/>
    <w:pPr>
      <w:framePr w:wrap="around" w:y="4469"/>
    </w:pPr>
  </w:style>
  <w:style w:type="paragraph" w:customStyle="1" w:styleId="135">
    <w:name w:val="其他发布部门"/>
    <w:basedOn w:val="133"/>
    <w:autoRedefine/>
    <w:qFormat/>
    <w:uiPriority w:val="0"/>
    <w:pPr>
      <w:framePr w:wrap="around" w:y="15310"/>
      <w:spacing w:line="0" w:lineRule="atLeast"/>
    </w:pPr>
    <w:rPr>
      <w:rFonts w:ascii="黑体" w:eastAsia="黑体"/>
      <w:b w:val="0"/>
    </w:rPr>
  </w:style>
  <w:style w:type="paragraph" w:customStyle="1" w:styleId="136">
    <w:name w:val="附录四级无"/>
    <w:basedOn w:val="87"/>
    <w:autoRedefine/>
    <w:qFormat/>
    <w:uiPriority w:val="0"/>
    <w:pPr>
      <w:tabs>
        <w:tab w:val="clear" w:pos="360"/>
      </w:tabs>
      <w:spacing w:beforeLines="0" w:afterLines="0"/>
    </w:pPr>
    <w:rPr>
      <w:rFonts w:ascii="宋体" w:eastAsia="宋体"/>
      <w:szCs w:val="21"/>
    </w:rPr>
  </w:style>
  <w:style w:type="paragraph" w:customStyle="1" w:styleId="137">
    <w:name w:val="三级无"/>
    <w:basedOn w:val="75"/>
    <w:autoRedefine/>
    <w:qFormat/>
    <w:uiPriority w:val="0"/>
    <w:pPr>
      <w:spacing w:beforeLines="0" w:afterLines="0"/>
    </w:pPr>
    <w:rPr>
      <w:rFonts w:ascii="宋体" w:eastAsia="宋体"/>
    </w:rPr>
  </w:style>
  <w:style w:type="paragraph" w:customStyle="1" w:styleId="138">
    <w:name w:val="五级无"/>
    <w:basedOn w:val="115"/>
    <w:autoRedefine/>
    <w:qFormat/>
    <w:uiPriority w:val="0"/>
    <w:pPr>
      <w:spacing w:beforeLines="0" w:afterLines="0"/>
    </w:pPr>
    <w:rPr>
      <w:rFonts w:ascii="宋体" w:eastAsia="宋体"/>
    </w:rPr>
  </w:style>
  <w:style w:type="paragraph" w:customStyle="1" w:styleId="139">
    <w:name w:val="正文公式编号制表符"/>
    <w:basedOn w:val="23"/>
    <w:next w:val="23"/>
    <w:qFormat/>
    <w:uiPriority w:val="0"/>
    <w:pPr>
      <w:ind w:firstLine="0" w:firstLineChars="0"/>
    </w:pPr>
  </w:style>
  <w:style w:type="paragraph" w:customStyle="1" w:styleId="140">
    <w:name w:val="终结线"/>
    <w:basedOn w:val="1"/>
    <w:autoRedefine/>
    <w:qFormat/>
    <w:uiPriority w:val="0"/>
    <w:pPr>
      <w:framePr w:hSpace="181" w:vSpace="181" w:wrap="around" w:vAnchor="text" w:hAnchor="margin" w:xAlign="center" w:y="285"/>
    </w:pPr>
  </w:style>
  <w:style w:type="paragraph" w:customStyle="1" w:styleId="141">
    <w:name w:val="其他实施日期"/>
    <w:basedOn w:val="72"/>
    <w:autoRedefine/>
    <w:qFormat/>
    <w:uiPriority w:val="99"/>
    <w:pPr>
      <w:framePr w:wrap="around"/>
    </w:pPr>
  </w:style>
  <w:style w:type="paragraph" w:customStyle="1" w:styleId="142">
    <w:name w:val="封面标准英文名称2"/>
    <w:basedOn w:val="68"/>
    <w:autoRedefine/>
    <w:qFormat/>
    <w:uiPriority w:val="0"/>
    <w:pPr>
      <w:framePr w:wrap="around" w:y="4469"/>
    </w:pPr>
  </w:style>
  <w:style w:type="paragraph" w:customStyle="1" w:styleId="143">
    <w:name w:val="封面标准文稿类别2"/>
    <w:basedOn w:val="116"/>
    <w:autoRedefine/>
    <w:qFormat/>
    <w:uiPriority w:val="0"/>
    <w:pPr>
      <w:framePr w:wrap="around" w:y="4469"/>
    </w:pPr>
  </w:style>
  <w:style w:type="paragraph" w:styleId="144">
    <w:name w:val="List Paragraph"/>
    <w:basedOn w:val="1"/>
    <w:autoRedefine/>
    <w:qFormat/>
    <w:uiPriority w:val="34"/>
    <w:pPr>
      <w:ind w:firstLine="420" w:firstLineChars="200"/>
    </w:pPr>
    <w:rPr>
      <w:rFonts w:ascii="Calibri" w:hAnsi="Calibri"/>
      <w:szCs w:val="22"/>
    </w:rPr>
  </w:style>
  <w:style w:type="paragraph" w:customStyle="1" w:styleId="145">
    <w:name w:val="Char Char Char Char"/>
    <w:basedOn w:val="1"/>
    <w:autoRedefine/>
    <w:qFormat/>
    <w:uiPriority w:val="0"/>
    <w:pPr>
      <w:adjustRightInd w:val="0"/>
      <w:spacing w:line="360" w:lineRule="auto"/>
    </w:pPr>
    <w:rPr>
      <w:kern w:val="0"/>
      <w:sz w:val="24"/>
      <w:szCs w:val="20"/>
    </w:rPr>
  </w:style>
  <w:style w:type="character" w:customStyle="1" w:styleId="146">
    <w:name w:val="二级条标题 Char"/>
    <w:link w:val="51"/>
    <w:autoRedefine/>
    <w:qFormat/>
    <w:locked/>
    <w:uiPriority w:val="99"/>
    <w:rPr>
      <w:rFonts w:ascii="黑体" w:eastAsia="黑体"/>
      <w:sz w:val="21"/>
      <w:szCs w:val="21"/>
    </w:rPr>
  </w:style>
  <w:style w:type="character" w:styleId="147">
    <w:name w:val="Placeholder Text"/>
    <w:basedOn w:val="34"/>
    <w:autoRedefine/>
    <w:semiHidden/>
    <w:qFormat/>
    <w:uiPriority w:val="99"/>
    <w:rPr>
      <w:color w:val="808080"/>
    </w:rPr>
  </w:style>
  <w:style w:type="character" w:customStyle="1" w:styleId="148">
    <w:name w:val="批注文字 字符"/>
    <w:basedOn w:val="34"/>
    <w:link w:val="7"/>
    <w:autoRedefine/>
    <w:semiHidden/>
    <w:qFormat/>
    <w:uiPriority w:val="0"/>
    <w:rPr>
      <w:kern w:val="2"/>
      <w:sz w:val="21"/>
      <w:szCs w:val="24"/>
    </w:rPr>
  </w:style>
  <w:style w:type="character" w:customStyle="1" w:styleId="149">
    <w:name w:val="批注主题 字符"/>
    <w:basedOn w:val="148"/>
    <w:link w:val="31"/>
    <w:autoRedefine/>
    <w:semiHidden/>
    <w:qFormat/>
    <w:uiPriority w:val="0"/>
    <w:rPr>
      <w:b/>
      <w:bCs/>
      <w:kern w:val="2"/>
      <w:sz w:val="21"/>
      <w:szCs w:val="24"/>
    </w:rPr>
  </w:style>
  <w:style w:type="character" w:customStyle="1" w:styleId="150">
    <w:name w:val="日期 字符"/>
    <w:basedOn w:val="34"/>
    <w:link w:val="14"/>
    <w:autoRedefine/>
    <w:semiHidden/>
    <w:qFormat/>
    <w:uiPriority w:val="0"/>
    <w:rPr>
      <w:kern w:val="2"/>
      <w:sz w:val="21"/>
      <w:szCs w:val="24"/>
    </w:rPr>
  </w:style>
  <w:style w:type="paragraph" w:customStyle="1" w:styleId="151">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52">
    <w:name w:val="列出段落1"/>
    <w:basedOn w:val="1"/>
    <w:autoRedefine/>
    <w:qFormat/>
    <w:uiPriority w:val="34"/>
    <w:pPr>
      <w:ind w:firstLine="420" w:firstLineChars="200"/>
    </w:pPr>
    <w:rPr>
      <w:rFonts w:ascii="Calibri" w:hAnsi="Calibri"/>
      <w:szCs w:val="2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6/relationships/keyMapCustomizations" Target="customizations.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34218C-2B3F-4213-9D53-F7A2D9919CBB}">
  <ds:schemaRefs/>
</ds:datastoreItem>
</file>

<file path=docProps/app.xml><?xml version="1.0" encoding="utf-8"?>
<Properties xmlns="http://schemas.openxmlformats.org/officeDocument/2006/extended-properties" xmlns:vt="http://schemas.openxmlformats.org/officeDocument/2006/docPropsVTypes">
  <Template>Normal</Template>
  <Pages>13</Pages>
  <Words>1058</Words>
  <Characters>6034</Characters>
  <Lines>50</Lines>
  <Paragraphs>14</Paragraphs>
  <TotalTime>0</TotalTime>
  <ScaleCrop>false</ScaleCrop>
  <LinksUpToDate>false</LinksUpToDate>
  <CharactersWithSpaces>7078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2024-01-02T06:47:00Z</dcterms:created>
  <dcterms:modified xsi:type="dcterms:W3CDTF">2024-01-18T03:06:48Z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75875E4A6B7E44A8BA298403FCDC3E44_13</vt:lpwstr>
  </property>
</Properties>
</file>