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both"/>
        <w:textAlignment w:val="baseline"/>
        <w:rPr>
          <w:rFonts w:hint="default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bidi="ar-SA"/>
        </w:rPr>
        <w:t>ICS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11.120.99</w:t>
      </w:r>
    </w:p>
    <w:p>
      <w:pPr>
        <w:widowControl/>
        <w:snapToGrid w:val="0"/>
        <w:spacing w:line="288" w:lineRule="auto"/>
        <w:jc w:val="both"/>
        <w:textAlignment w:val="baseline"/>
        <w:rPr>
          <w:rFonts w:hint="eastAsia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ascii="黑体" w:hAnsi="黑体" w:eastAsia="黑体" w:cs="黑体"/>
          <w:b/>
          <w:bCs/>
          <w:sz w:val="21"/>
          <w:szCs w:val="21"/>
          <w:lang w:val="en-US" w:bidi="ar-SA"/>
        </w:rPr>
        <w:t xml:space="preserve">B 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3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8</w:t>
      </w:r>
    </w:p>
    <w:p>
      <w:pPr>
        <w:tabs>
          <w:tab w:val="left" w:pos="9680"/>
        </w:tabs>
        <w:snapToGrid w:val="0"/>
        <w:spacing w:line="1930" w:lineRule="exact"/>
        <w:ind w:right="275"/>
        <w:jc w:val="distribute"/>
        <w:textAlignment w:val="baseline"/>
        <w:rPr>
          <w:rFonts w:ascii="黑体" w:eastAsia="黑体"/>
          <w:spacing w:val="-73"/>
          <w:sz w:val="72"/>
          <w:szCs w:val="72"/>
        </w:rPr>
      </w:pPr>
      <w:r>
        <w:rPr>
          <w:rFonts w:hint="eastAsia" w:ascii="黑体" w:eastAsia="黑体"/>
          <w:spacing w:val="-73"/>
          <w:sz w:val="72"/>
          <w:szCs w:val="72"/>
        </w:rPr>
        <w:t>团体标准</w:t>
      </w:r>
    </w:p>
    <w:p>
      <w:pPr>
        <w:snapToGrid w:val="0"/>
        <w:spacing w:before="307"/>
        <w:ind w:right="55"/>
        <w:jc w:val="right"/>
        <w:textAlignment w:val="baseline"/>
        <w:rPr>
          <w:rFonts w:hint="eastAsia" w:ascii="黑体" w:hAnsi="黑体" w:eastAsia="黑体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8"/>
          <w:lang w:val="en-US"/>
        </w:rPr>
        <w:t>T/CAI</w:t>
      </w:r>
      <w:r>
        <w:rPr>
          <w:rFonts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/>
        </w:rPr>
        <w:t xml:space="preserve"> xx</w:t>
      </w:r>
      <w:r>
        <w:rPr>
          <w:rFonts w:hint="eastAsia" w:ascii="黑体" w:hAnsi="黑体" w:eastAsia="黑体" w:cs="黑体"/>
          <w:sz w:val="28"/>
          <w:lang w:val="en-US"/>
        </w:rPr>
        <w:t>-202</w:t>
      </w:r>
      <w:r>
        <w:rPr>
          <w:rFonts w:hint="eastAsia" w:ascii="黑体" w:hAnsi="黑体" w:eastAsia="黑体" w:cs="黑体"/>
          <w:sz w:val="28"/>
          <w:highlight w:val="none"/>
          <w:lang w:val="en-US" w:eastAsia="zh-CN"/>
        </w:rPr>
        <w:t>4</w:t>
      </w:r>
    </w:p>
    <w:p>
      <w:pPr>
        <w:pStyle w:val="5"/>
        <w:snapToGrid w:val="0"/>
        <w:spacing w:before="2"/>
        <w:textAlignment w:val="baseline"/>
        <w:rPr>
          <w:rFonts w:ascii="黑体"/>
          <w:sz w:val="30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rfIjr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ffc+bB0YU//Pz18PsP&#10;uyj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O0D9YAAAAKAQAADwAA&#10;AAAAAAABACAAAAAiAAAAZHJzL2Rvd25yZXYueG1sUEsBAhQAFAAAAAgAh07iQErfIjr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autoSpaceDE/>
        <w:autoSpaceDN/>
        <w:spacing w:before="2268" w:after="200"/>
        <w:ind w:left="-6" w:firstLine="6"/>
        <w:jc w:val="center"/>
        <w:rPr>
          <w:rFonts w:hint="default" w:ascii="Times New Roman" w:hAnsi="Times New Roman" w:eastAsia="黑体" w:cs="Times New Roman"/>
          <w:sz w:val="52"/>
          <w:szCs w:val="5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52"/>
          <w:szCs w:val="52"/>
          <w:highlight w:val="none"/>
          <w:lang w:val="en-US" w:bidi="ar-SA"/>
        </w:rPr>
        <w:t>地理标志产品</w:t>
      </w:r>
      <w:r>
        <w:rPr>
          <w:rFonts w:hint="default" w:ascii="Times New Roman" w:hAnsi="Times New Roman" w:eastAsia="黑体" w:cs="Times New Roman"/>
          <w:sz w:val="52"/>
          <w:szCs w:val="52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sz w:val="52"/>
          <w:szCs w:val="52"/>
          <w:highlight w:val="none"/>
          <w:lang w:val="en-US" w:eastAsia="zh-CN" w:bidi="ar-SA"/>
        </w:rPr>
        <w:t>卓尼柴胡</w:t>
      </w:r>
    </w:p>
    <w:p>
      <w:pPr>
        <w:autoSpaceDE/>
        <w:autoSpaceDN/>
        <w:spacing w:after="200" w:line="567" w:lineRule="exact"/>
        <w:ind w:left="-6" w:firstLine="6"/>
        <w:jc w:val="center"/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t>Product of geographical indication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bidi="ar-SA"/>
        </w:rPr>
        <w:t>-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t>Zhuoni bupleuri radix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ascii="黑体" w:eastAsia="黑体"/>
          <w:sz w:val="24"/>
          <w:szCs w:val="16"/>
          <w:lang w:val="en-US"/>
        </w:rPr>
      </w:pPr>
      <w:r>
        <w:rPr>
          <w:rFonts w:hint="eastAsia" w:ascii="黑体" w:eastAsia="黑体"/>
          <w:sz w:val="24"/>
          <w:szCs w:val="16"/>
          <w:lang w:val="en-US"/>
        </w:rPr>
        <w:t>（</w:t>
      </w:r>
      <w:r>
        <w:rPr>
          <w:rFonts w:hint="eastAsia" w:ascii="黑体" w:eastAsia="黑体"/>
          <w:sz w:val="24"/>
          <w:szCs w:val="16"/>
          <w:lang w:val="en-US" w:eastAsia="zh-CN"/>
        </w:rPr>
        <w:t>征求意见</w:t>
      </w:r>
      <w:r>
        <w:rPr>
          <w:rFonts w:hint="eastAsia" w:ascii="黑体" w:eastAsia="黑体"/>
          <w:sz w:val="24"/>
          <w:szCs w:val="16"/>
          <w:lang w:val="en-US"/>
        </w:rPr>
        <w:t>稿）</w:t>
      </w: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tabs>
          <w:tab w:val="left" w:pos="7283"/>
        </w:tabs>
        <w:snapToGrid w:val="0"/>
        <w:spacing w:after="59"/>
        <w:ind w:right="55"/>
        <w:jc w:val="both"/>
        <w:textAlignment w:val="baseline"/>
        <w:rPr>
          <w:rFonts w:ascii="黑体" w:eastAsia="黑体"/>
          <w:sz w:val="28"/>
          <w:lang w:val="en-US"/>
        </w:rPr>
      </w:pPr>
      <w:r>
        <w:rPr>
          <w:rFonts w:hint="eastAsia" w:ascii="黑体" w:eastAsia="黑体"/>
          <w:sz w:val="28"/>
          <w:lang w:val="en-US"/>
        </w:rPr>
        <w:t>202</w:t>
      </w:r>
      <w:r>
        <w:rPr>
          <w:rFonts w:hint="eastAsia" w:ascii="黑体" w:eastAsia="黑体"/>
          <w:sz w:val="28"/>
          <w:highlight w:val="none"/>
          <w:lang w:val="en-US" w:eastAsia="zh-CN"/>
        </w:rPr>
        <w:t>4</w:t>
      </w:r>
      <w:r>
        <w:rPr>
          <w:rFonts w:hint="eastAsia" w:ascii="黑体" w:eastAsia="黑体"/>
          <w:spacing w:val="-70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  <w:lang w:val="en-US"/>
        </w:rPr>
        <w:t>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  <w:lang w:val="en-US"/>
        </w:rPr>
        <w:t xml:space="preserve">                              202</w:t>
      </w:r>
      <w:r>
        <w:rPr>
          <w:rFonts w:hint="eastAsia" w:ascii="黑体" w:eastAsia="黑体"/>
          <w:sz w:val="28"/>
          <w:highlight w:val="none"/>
          <w:lang w:val="en-US" w:eastAsia="zh-CN"/>
        </w:rPr>
        <w:t>4</w:t>
      </w:r>
      <w:r>
        <w:rPr>
          <w:rFonts w:hint="eastAsia" w:ascii="黑体" w:eastAsia="黑体"/>
          <w:sz w:val="28"/>
          <w:lang w:val="en-US"/>
        </w:rPr>
        <w:t xml:space="preserve"> 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pacing w:val="-72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pStyle w:val="5"/>
        <w:snapToGrid w:val="0"/>
        <w:spacing w:line="20" w:lineRule="exact"/>
        <w:ind w:left="-80"/>
        <w:textAlignment w:val="baseline"/>
        <w:rPr>
          <w:rFonts w:ascii="黑体"/>
          <w:sz w:val="24"/>
        </w:rPr>
      </w:pPr>
      <w:r>
        <w:rPr>
          <w:rFonts w:ascii="黑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4H9GkcCAADzBAAADgAAAGRycy9lMm9Eb2MueG1spZTNbhMx&#10;EMfvSLyD5TvZJDRps8qmh6bNBUGlwgM4Xu+uJX/J42STOweO3HkNTnDgaVBfg7F3k0AqpApy2Phj&#10;Zjz/33g8v95pRbbCg7SmoKPBkBJhuC2lqQv64f3dqytKIDBTMmWNKOheAL1evHwxb10uxraxqhSe&#10;YBADeesK2oTg8iwD3gjNYGCdMLhZWa9ZwKmvs9KzFqNrlY2Hw2nWWl86b7kAwNVlt0n7iP45AW1V&#10;SS6Wlm+0MKGL6oViASVBIx3QRcq2qgQP76oKRCCqoKg0pC8eguN1/GaLOctrz1wjeZ8Ce04KZ5o0&#10;kwYPPYZassDIxssnobTk3oKtwoBbnXVCEhFUMRqesVl5u3FJS523tTtCx0KdUf/nsPzt9t4TWRZ0&#10;SolhGgv++P3jz8+fyEVk07o6R5OVdw/u3vcLdTeLcneV1/EfhZBdoro/UhW7QDguTi5nk+nFhBKO&#10;e5dTvAMddd5gaZ548ea295tNX+NVjE6jSfTIDsdlMatjEq3DewgnOPB/cB4a5kRiDlF5Dwez7+F8&#10;+fr47QdJCcWT0eTG9GQgB4T0VyxXnewDlpO8xOOojuXOQ1gJq0kcFFRJExNiOdu+gdCBOJjEZWVI&#10;W9DZZBwRM+zICjsBh9phVcHUyReskuWdVCp6gK/XN8qTLYtdkX494D/M4iFLBk1nl7Y6CY1g5a0p&#10;Sdg7vC8GnwkaU9CipEQJfFXiCBNleWBSPccS1SuDJY5IO4hxtLblPrFN61jkZJF6IV2Hvm9js/0+&#10;T1ant2r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hN0kTVAAAABAEAAA8AAAAAAAAAAQAgAAAA&#10;IgAAAGRycy9kb3ducmV2LnhtbFBLAQIUABQAAAAIAIdO4kD3gf0aRwIAAPMEAAAOAAAAAAAAAAEA&#10;IAAAACQBAABkcnMvZTJvRG9jLnhtbFBLBQYAAAAABgAGAFkBAADdBQAAAAA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中国农业国际合作促进会    发  布</w:t>
      </w:r>
    </w:p>
    <w:p>
      <w:pPr>
        <w:snapToGrid w:val="0"/>
        <w:textAlignment w:val="baseline"/>
        <w:rPr>
          <w:rFonts w:ascii="黑体" w:eastAsia="黑体"/>
          <w:sz w:val="28"/>
        </w:rPr>
        <w:sectPr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  <w:cols w:space="720" w:num="1"/>
        </w:sectPr>
      </w:pPr>
    </w:p>
    <w:p>
      <w:pPr>
        <w:pStyle w:val="3"/>
        <w:tabs>
          <w:tab w:val="left" w:pos="638"/>
        </w:tabs>
        <w:snapToGrid w:val="0"/>
        <w:spacing w:before="850" w:after="680"/>
        <w:ind w:right="731"/>
        <w:jc w:val="center"/>
        <w:textAlignment w:val="baseline"/>
      </w:pPr>
      <w:r>
        <w:t>前</w:t>
      </w:r>
      <w:r>
        <w:tab/>
      </w:r>
      <w:r>
        <w:t>言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本文件按照GB/T 1.1—2020《标准化工作导则  第1部分：标准化文件的结构和起草规则》的规定起草。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请注意本文件的某些内容可能涉及专利。本文件的发布机构不承担识别专利的责任。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本文件由</w:t>
      </w:r>
      <w:r>
        <w:rPr>
          <w:rFonts w:hint="eastAsia" w:ascii="宋体" w:hAnsi="宋体" w:eastAsia="宋体" w:cs="宋体"/>
          <w:highlight w:val="none"/>
          <w:lang w:val="en-US" w:eastAsia="zh-CN"/>
        </w:rPr>
        <w:t>卓尼县中药材产业协会</w:t>
      </w:r>
      <w:r>
        <w:rPr>
          <w:rFonts w:hint="eastAsia"/>
        </w:rPr>
        <w:t>提出。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  <w:lang w:val="en-US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val="en-US"/>
        </w:rPr>
        <w:t>文件</w:t>
      </w:r>
      <w:r>
        <w:rPr>
          <w:rFonts w:hint="eastAsia"/>
          <w:highlight w:val="none"/>
        </w:rPr>
        <w:t>由中国农业国际合作促进会归口。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本文件起草单位：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卓尼县中药材产业协会</w:t>
      </w:r>
      <w:r>
        <w:rPr>
          <w:rFonts w:hint="eastAsia" w:cs="宋体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卓尼县农畜产品质量安全检测检验中心</w:t>
      </w:r>
      <w:r>
        <w:rPr>
          <w:rFonts w:hint="eastAsia"/>
          <w:highlight w:val="none"/>
          <w:lang w:val="en-US" w:eastAsia="zh-CN"/>
        </w:rPr>
        <w:t>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</w:rPr>
        <w:t>本文件主要起草人：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申兴国、姜志忠、姬办代曼、王菊香、张振北、余腰草、桑杰草、杨丽  卢召财、陈恒才、张旭芳、李霞、胡贵兰、陈文杰、孙德才</w:t>
      </w:r>
      <w:r>
        <w:rPr>
          <w:rFonts w:hint="eastAsia"/>
          <w:highlight w:val="none"/>
          <w:lang w:val="en-US" w:eastAsia="zh-CN"/>
        </w:rPr>
        <w:t>。</w:t>
      </w:r>
    </w:p>
    <w:p>
      <w:pPr>
        <w:pStyle w:val="28"/>
        <w:spacing w:line="276" w:lineRule="auto"/>
        <w:ind w:firstLine="420"/>
        <w:rPr>
          <w:rFonts w:hint="eastAsia"/>
        </w:rPr>
      </w:pPr>
    </w:p>
    <w:p>
      <w:pPr>
        <w:pStyle w:val="28"/>
        <w:spacing w:line="276" w:lineRule="auto"/>
        <w:ind w:firstLine="420"/>
        <w:rPr>
          <w:rFonts w:hint="eastAsia" w:ascii="Times New Roman" w:hAnsi="Times New Roman" w:cs="Times New Roman"/>
          <w:highlight w:val="none"/>
          <w:lang w:val="en-US"/>
        </w:rPr>
      </w:pPr>
      <w:r>
        <w:rPr>
          <w:rFonts w:hint="eastAsia"/>
        </w:rPr>
        <w:t>文件版权归中国农业国际合作促进会所有。未经事先书面许可，本标准的任何部分不得以任何形式或任何手段进行复制、发行、改编、翻译、汇编或将本文件用于其他任何商业目的。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sectPr>
          <w:headerReference r:id="rId5" w:type="default"/>
          <w:footerReference r:id="rId6" w:type="default"/>
          <w:footerReference r:id="rId7" w:type="even"/>
          <w:pgSz w:w="11910" w:h="16840"/>
          <w:pgMar w:top="1134" w:right="1134" w:bottom="1134" w:left="1701" w:header="1077" w:footer="907" w:gutter="0"/>
          <w:pgNumType w:start="1"/>
          <w:cols w:space="720" w:num="1"/>
        </w:sectPr>
      </w:pPr>
      <w:r>
        <w:rPr>
          <w:rFonts w:hint="eastAsia"/>
        </w:rPr>
        <w:t xml:space="preserve">               </w:t>
      </w:r>
    </w:p>
    <w:p>
      <w:pPr>
        <w:pStyle w:val="3"/>
        <w:snapToGrid w:val="0"/>
        <w:spacing w:before="468" w:after="468"/>
        <w:ind w:left="283" w:right="215"/>
        <w:jc w:val="center"/>
        <w:textAlignment w:val="baseline"/>
        <w:rPr>
          <w:lang w:val="en-US" w:bidi="en-US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 w:bidi="en-US"/>
        </w:rPr>
        <w:t xml:space="preserve">地理标志产品 </w:t>
      </w:r>
      <w:r>
        <w:rPr>
          <w:rFonts w:hint="eastAsia" w:cs="黑体"/>
          <w:color w:val="auto"/>
          <w:sz w:val="32"/>
          <w:lang w:val="en-US" w:eastAsia="zh-CN" w:bidi="en-US"/>
        </w:rPr>
        <w:t>卓尼柴胡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范围</w:t>
      </w:r>
    </w:p>
    <w:p>
      <w:pPr>
        <w:pStyle w:val="28"/>
        <w:ind w:firstLine="420"/>
        <w:rPr>
          <w:rFonts w:hint="eastAsia"/>
        </w:rPr>
      </w:pPr>
      <w:r>
        <w:rPr>
          <w:rFonts w:hint="eastAsia"/>
          <w:spacing w:val="-12"/>
          <w:lang w:val="en-US"/>
        </w:rPr>
        <w:t>本文件规定了地理标志产品</w:t>
      </w:r>
      <w:r>
        <w:rPr>
          <w:rFonts w:hint="eastAsia"/>
          <w:spacing w:val="-12"/>
          <w:lang w:val="en-US" w:eastAsia="zh-CN"/>
        </w:rPr>
        <w:t>卓尼柴胡</w:t>
      </w:r>
      <w:r>
        <w:rPr>
          <w:rFonts w:hint="eastAsia"/>
          <w:spacing w:val="-12"/>
          <w:lang w:val="en-US"/>
        </w:rPr>
        <w:t>的术语和定义、</w:t>
      </w:r>
      <w:r>
        <w:rPr>
          <w:rFonts w:hint="eastAsia"/>
          <w:spacing w:val="-12"/>
          <w:lang w:val="en-US" w:eastAsia="zh-CN"/>
        </w:rPr>
        <w:t>保护范围、</w:t>
      </w:r>
      <w:r>
        <w:rPr>
          <w:rFonts w:hint="eastAsia"/>
        </w:rPr>
        <w:t>自然环境、要求、检验方法、检验规则、</w:t>
      </w:r>
      <w:r>
        <w:rPr>
          <w:rFonts w:hint="eastAsia"/>
          <w:lang w:eastAsia="zh-CN"/>
        </w:rPr>
        <w:t>标签、标志</w:t>
      </w:r>
      <w:r>
        <w:rPr>
          <w:rFonts w:hint="eastAsia"/>
        </w:rPr>
        <w:t xml:space="preserve">、包装、运输、贮存要求。 </w:t>
      </w:r>
    </w:p>
    <w:p>
      <w:pPr>
        <w:pStyle w:val="28"/>
        <w:ind w:firstLine="420"/>
        <w:rPr>
          <w:spacing w:val="-7"/>
        </w:rPr>
      </w:pPr>
      <w:r>
        <w:rPr>
          <w:rFonts w:hint="eastAsia"/>
          <w:spacing w:val="-12"/>
          <w:lang w:val="en-US"/>
        </w:rPr>
        <w:t>本文件适用于甘肃省甘南藏族自治州</w:t>
      </w:r>
      <w:r>
        <w:rPr>
          <w:rFonts w:hint="eastAsia"/>
          <w:spacing w:val="-12"/>
          <w:lang w:val="en-US" w:eastAsia="zh-CN"/>
        </w:rPr>
        <w:t>卓尼县行政区域内生产的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柴胡</w:t>
      </w:r>
      <w:r>
        <w:rPr>
          <w:rFonts w:hint="eastAsia"/>
          <w:spacing w:val="-12"/>
          <w:lang w:val="en-US"/>
        </w:rPr>
        <w:t>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规范性引用文件</w:t>
      </w:r>
    </w:p>
    <w:p>
      <w:pPr>
        <w:pStyle w:val="5"/>
        <w:snapToGrid w:val="0"/>
        <w:spacing w:before="1" w:line="278" w:lineRule="auto"/>
        <w:ind w:left="138" w:firstLine="420"/>
        <w:textAlignment w:val="baseline"/>
        <w:rPr>
          <w:color w:val="000000"/>
          <w:spacing w:val="-3"/>
        </w:rPr>
      </w:pPr>
      <w:r>
        <w:rPr>
          <w:color w:val="000000"/>
          <w:spacing w:val="-13"/>
        </w:rPr>
        <w:t>下列文件</w:t>
      </w:r>
      <w:r>
        <w:rPr>
          <w:rFonts w:hint="eastAsia"/>
          <w:color w:val="000000"/>
          <w:spacing w:val="-13"/>
        </w:rPr>
        <w:t>的内容通过文字的规范性引用而构成本文件必不可少的条款。其中，注日期的引用文件，仅该日期对应的版本适用于本文件；不注日期的引用文件，其最新版本</w:t>
      </w:r>
      <w:r>
        <w:rPr>
          <w:color w:val="000000"/>
          <w:spacing w:val="-3"/>
        </w:rPr>
        <w:t>（包括所有的修改单）适用于本文件。</w:t>
      </w:r>
    </w:p>
    <w:p>
      <w:pPr>
        <w:pStyle w:val="28"/>
        <w:ind w:firstLine="420"/>
        <w:rPr>
          <w:rFonts w:ascii="Times New Roman"/>
          <w:szCs w:val="21"/>
        </w:rPr>
      </w:pPr>
      <w:r>
        <w:rPr>
          <w:rFonts w:ascii="Times New Roman"/>
        </w:rPr>
        <w:t>GB/T 191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eastAsia" w:asci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ascii="Times New Roman"/>
        </w:rPr>
        <w:t>包装储运图示标志</w:t>
      </w:r>
    </w:p>
    <w:p>
      <w:pPr>
        <w:pStyle w:val="28"/>
        <w:ind w:firstLine="420"/>
        <w:rPr>
          <w:rFonts w:ascii="Times New Roman"/>
        </w:rPr>
      </w:pPr>
      <w:r>
        <w:rPr>
          <w:rFonts w:ascii="Times New Roman"/>
        </w:rPr>
        <w:t>GB 2762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eastAsia" w:asci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ascii="Times New Roman"/>
        </w:rPr>
        <w:t>食品安全国家标准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/>
        </w:rPr>
        <w:t>食品中污染物限量</w:t>
      </w:r>
    </w:p>
    <w:p>
      <w:pPr>
        <w:pStyle w:val="28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eastAsia" w:ascii="Times New Roman"/>
        </w:rPr>
        <w:t>GB/T 34343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eastAsia" w:asci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hint="eastAsia" w:ascii="Times New Roman"/>
        </w:rPr>
        <w:t>农产品物流包装容器通用技术要求</w:t>
      </w:r>
    </w:p>
    <w:p>
      <w:pPr>
        <w:pStyle w:val="28"/>
        <w:ind w:firstLine="42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SB/T 11082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eastAsia" w:asci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>中药材包装技术规范</w:t>
      </w:r>
    </w:p>
    <w:p>
      <w:pPr>
        <w:pStyle w:val="5"/>
        <w:spacing w:line="279" w:lineRule="auto"/>
        <w:ind w:firstLine="420"/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SB/T 11094   中药材仓储管理规范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DB62/T 44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90   柴胡栽培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技术规程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eastAsia" w:ascii="Times New Roman" w:hAnsi="Times New Roman" w:cs="Times New Roman"/>
          <w:color w:val="000000"/>
          <w:highlight w:val="none"/>
          <w:lang w:val="en-US"/>
        </w:rPr>
        <w:t>《中华人民共和国药典》2020年版（一部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、四部</w:t>
      </w:r>
      <w:r>
        <w:rPr>
          <w:rFonts w:hint="eastAsia" w:ascii="Times New Roman" w:hAnsi="Times New Roman" w:cs="Times New Roman"/>
          <w:color w:val="000000"/>
          <w:highlight w:val="none"/>
          <w:lang w:val="en-US"/>
        </w:rPr>
        <w:t>）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术语和定义</w:t>
      </w:r>
    </w:p>
    <w:p>
      <w:pPr>
        <w:pStyle w:val="25"/>
        <w:widowControl w:val="0"/>
        <w:ind w:firstLine="420"/>
        <w:rPr>
          <w:rFonts w:ascii="Times New Roman" w:hAnsi="Times New Roman" w:cs="Times New Roman"/>
          <w:sz w:val="21"/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</w:p>
    <w:p>
      <w:pPr>
        <w:pStyle w:val="3"/>
        <w:keepLines/>
        <w:widowControl/>
        <w:numPr>
          <w:ilvl w:val="0"/>
          <w:numId w:val="0"/>
        </w:numPr>
        <w:snapToGrid w:val="0"/>
        <w:spacing w:before="0" w:beforeLines="100" w:after="0" w:afterLines="100"/>
        <w:ind w:leftChars="0" w:firstLine="420" w:firstLineChars="20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卓尼柴胡</w:t>
      </w: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 xml:space="preserve"> </w:t>
      </w:r>
      <w:r>
        <w:rPr>
          <w:rFonts w:hint="eastAsia" w:ascii="黑体" w:hAnsi="黑体" w:cs="黑体"/>
          <w:kern w:val="44"/>
          <w:sz w:val="21"/>
          <w:szCs w:val="22"/>
          <w:lang w:val="en-US" w:eastAsia="zh-CN" w:bidi="ar-SA"/>
        </w:rPr>
        <w:t xml:space="preserve">Zhuoni </w:t>
      </w:r>
      <w:r>
        <w:rPr>
          <w:rFonts w:hint="eastAsia" w:ascii="黑体" w:hAnsi="黑体" w:eastAsia="黑体" w:cs="黑体"/>
          <w:kern w:val="44"/>
          <w:sz w:val="21"/>
          <w:szCs w:val="22"/>
          <w:highlight w:val="none"/>
          <w:lang w:val="en-US" w:eastAsia="zh-CN" w:bidi="ar-SA"/>
        </w:rPr>
        <w:t>bupleuri radix</w:t>
      </w:r>
    </w:p>
    <w:p>
      <w:pPr>
        <w:pStyle w:val="25"/>
        <w:widowControl w:val="0"/>
        <w:ind w:firstLine="42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spacing w:val="-12"/>
          <w:lang w:val="en-US"/>
        </w:rPr>
        <w:t>甘肃省甘南藏族自治州</w:t>
      </w:r>
      <w:r>
        <w:rPr>
          <w:rFonts w:hint="eastAsia"/>
          <w:spacing w:val="-12"/>
          <w:lang w:val="en-US" w:eastAsia="zh-CN"/>
        </w:rPr>
        <w:t>卓尼县行政区域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范围内生产，按本文件要求种植和初加工生产的伞形科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柴胡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属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多年生草本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植物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柴胡（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Bupleurum chinense DC．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的干燥根。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地理标志产品保护范围</w:t>
      </w:r>
    </w:p>
    <w:p>
      <w:pPr>
        <w:pStyle w:val="28"/>
        <w:ind w:firstLine="420"/>
        <w:rPr>
          <w:rFonts w:hint="default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卓尼柴胡地理标志保护</w:t>
      </w:r>
      <w:r>
        <w:t>范围为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甘南藏族自治州</w:t>
      </w:r>
      <w:r>
        <w:rPr>
          <w:rFonts w:hint="eastAsia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卓尼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域范围内</w:t>
      </w:r>
      <w:r>
        <w:rPr>
          <w:rFonts w:hint="eastAsia"/>
          <w:lang w:val="en-US" w:eastAsia="zh-CN"/>
        </w:rPr>
        <w:t>的藏巴哇镇、洮砚镇、纳浪镇、木耳镇、柳林镇、喀尔钦镇、扎古录镇、阿子滩镇、完冒镇、申藏镇、恰盖乡、刀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告乡</w:t>
      </w:r>
      <w:r>
        <w:rPr>
          <w:rFonts w:hint="eastAsia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杓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哇乡</w:t>
      </w:r>
      <w:r>
        <w:rPr>
          <w:rFonts w:hint="eastAsia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lang w:val="en-US" w:eastAsia="zh-CN"/>
        </w:rPr>
        <w:t>康多乡共14个乡镇</w:t>
      </w:r>
      <w:r>
        <w:rPr>
          <w:rFonts w:hint="eastAsia"/>
          <w:lang w:eastAsia="zh-CN"/>
        </w:rPr>
        <w:t>。</w:t>
      </w:r>
      <w:r>
        <w:t>地理坐标为</w:t>
      </w:r>
      <w:r>
        <w:rPr>
          <w:rFonts w:hint="eastAsia"/>
        </w:rPr>
        <w:t>东经102°40′～104°02′北纬34°10′～35°10′之间</w:t>
      </w:r>
      <w:r>
        <w:rPr>
          <w:rFonts w:hint="eastAsia" w:ascii="Times New Roman"/>
          <w:lang w:eastAsia="zh-CN"/>
        </w:rPr>
        <w:t>。</w:t>
      </w:r>
      <w:r>
        <w:rPr>
          <w:rFonts w:hint="eastAsia" w:ascii="Times New Roman"/>
          <w:lang w:val="en-US" w:eastAsia="zh-CN"/>
        </w:rPr>
        <w:t>卓尼</w:t>
      </w:r>
      <w:r>
        <w:rPr>
          <w:rFonts w:hint="eastAsia"/>
          <w:lang w:val="en-US" w:eastAsia="zh-CN"/>
        </w:rPr>
        <w:t>柴胡地理标志保护</w:t>
      </w:r>
      <w:r>
        <w:t>范围见附录</w:t>
      </w:r>
      <w:r>
        <w:rPr>
          <w:rFonts w:ascii="Times New Roman"/>
        </w:rPr>
        <w:t>A</w:t>
      </w:r>
      <w:r>
        <w:t>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自然环境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地理特征</w:t>
      </w:r>
    </w:p>
    <w:p>
      <w:pPr>
        <w:pStyle w:val="25"/>
        <w:widowControl w:val="0"/>
        <w:ind w:firstLine="420"/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属秦岭东西向复杂构造带的西部，青藏高原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东部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的边缘地带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境内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中低山地形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为主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，地势西南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高，东北低。海拔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在2000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m~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4900 m之间，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柴胡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栽培区域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海拔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～3000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土壤以砂质壤土或腐殖质壤土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为主，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H值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～8.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土层深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厚、疏松肥沃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，全氮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含量≥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00 mg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，有机质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含量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，速效钾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含量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136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，速效磷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含量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≥ 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气候特征</w:t>
      </w:r>
    </w:p>
    <w:p>
      <w:pPr>
        <w:pStyle w:val="25"/>
        <w:widowControl w:val="0"/>
        <w:ind w:firstLine="420"/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属典型的高寒阴湿气候。气温自东向西，随海拔高度的增加，年平均气温递降。太阳辐射较强，平均日照时数2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187 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，年平均气温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4.6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℃，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0℃积温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260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℃，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无霜期≥119 d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，年降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平均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雨量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80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水文特征</w:t>
      </w:r>
    </w:p>
    <w:p>
      <w:pPr>
        <w:pStyle w:val="25"/>
        <w:widowControl w:val="0"/>
        <w:ind w:firstLine="420"/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属黄河主要支流洮河流域，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位于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洮河中游区。洮河自西向东分两段贯穿县境，流长174</w:t>
      </w:r>
      <w:r>
        <w:rPr>
          <w:rFonts w:hint="eastAsia" w:ascii="Times New Roman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km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。境内车巴河、卡车沟河、大峪沟、康多峡河等26条大小支流呈网状分布，水流充足，流量稳定，水质清洁，年地表径流量28.9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X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7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m³，地下水蕴藏较丰富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要求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品种</w:t>
      </w:r>
    </w:p>
    <w:p>
      <w:pPr>
        <w:pStyle w:val="25"/>
        <w:widowControl w:val="0"/>
        <w:ind w:firstLine="42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高产、抗病性强的本地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优良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柴胡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品种。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栽培管理</w:t>
      </w:r>
    </w:p>
    <w:p>
      <w:pPr>
        <w:pStyle w:val="25"/>
        <w:widowControl w:val="0"/>
        <w:ind w:firstLine="4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栽培管理</w:t>
      </w:r>
      <w:r>
        <w:rPr>
          <w:rFonts w:hint="eastAsia" w:ascii="Times New Roman" w:cs="Times New Roman"/>
          <w:sz w:val="21"/>
          <w:szCs w:val="21"/>
          <w:lang w:val="en-US" w:eastAsia="zh-CN"/>
        </w:rPr>
        <w:t>宜按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DB62/T 44</w:t>
      </w:r>
      <w:r>
        <w:rPr>
          <w:rFonts w:hint="eastAsia" w:ascii="Times New Roman" w:cs="Times New Roman"/>
          <w:color w:val="000000"/>
          <w:highlight w:val="none"/>
          <w:lang w:val="en-US" w:eastAsia="zh-CN"/>
        </w:rPr>
        <w:t>90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执行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感官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指标</w:t>
      </w:r>
    </w:p>
    <w:p>
      <w:pPr>
        <w:pStyle w:val="18"/>
        <w:spacing w:line="278" w:lineRule="auto"/>
        <w:ind w:left="0" w:firstLine="4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感官指标</w:t>
      </w:r>
      <w:r>
        <w:rPr>
          <w:rFonts w:hint="default" w:ascii="Times New Roman" w:hAnsi="Times New Roman" w:cs="Times New Roman"/>
          <w:sz w:val="21"/>
          <w:szCs w:val="21"/>
        </w:rPr>
        <w:t>应符合表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</w:rPr>
        <w:t>的规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定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1"/>
        <w:numPr>
          <w:ilvl w:val="0"/>
          <w:numId w:val="0"/>
        </w:numPr>
        <w:spacing w:before="120" w:after="120"/>
        <w:ind w:left="426" w:leftChars="0"/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表1感官指标</w:t>
      </w:r>
    </w:p>
    <w:tbl>
      <w:tblPr>
        <w:tblStyle w:val="12"/>
        <w:tblW w:w="81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65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603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653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603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外观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53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圆柱形或长圆锥形，长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 cm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20cm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直径0.3 cm~0.8 cm 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根头膨大，顶端残留3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15个茎基或短纤维状叶基，下部分枝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，具纵皱纹、支根痕及皮孔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603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536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质硬而韧，不易折断，断面显纤维性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603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皮色</w:t>
            </w:r>
          </w:p>
        </w:tc>
        <w:tc>
          <w:tcPr>
            <w:tcW w:w="6536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表面黑褐色或浅棕色，韧皮部浅棕色，木质部黄白色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603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气味</w:t>
            </w:r>
          </w:p>
        </w:tc>
        <w:tc>
          <w:tcPr>
            <w:tcW w:w="6536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味微苦，气微香</w:t>
            </w:r>
          </w:p>
        </w:tc>
      </w:tr>
    </w:tbl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理化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指标</w:t>
      </w:r>
    </w:p>
    <w:p>
      <w:pPr>
        <w:pStyle w:val="18"/>
        <w:spacing w:line="278" w:lineRule="auto"/>
        <w:ind w:left="854" w:leftChars="164" w:hanging="493" w:hangingChars="23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理化指标应符合表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的规定。</w:t>
      </w:r>
    </w:p>
    <w:p>
      <w:pPr>
        <w:pStyle w:val="31"/>
        <w:numPr>
          <w:ilvl w:val="0"/>
          <w:numId w:val="0"/>
        </w:numPr>
        <w:spacing w:before="120" w:after="120"/>
        <w:ind w:left="426" w:leftChars="0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cs="Times New Roman"/>
          <w:lang w:val="en-US" w:eastAsia="zh-CN"/>
        </w:rPr>
        <w:t>表2</w:t>
      </w:r>
      <w:r>
        <w:rPr>
          <w:rFonts w:hint="default" w:ascii="Times New Roman" w:hAnsi="Times New Roman" w:cs="Times New Roman"/>
        </w:rPr>
        <w:t>理化指标</w:t>
      </w:r>
    </w:p>
    <w:tbl>
      <w:tblPr>
        <w:tblStyle w:val="12"/>
        <w:tblW w:w="81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2"/>
        <w:gridCol w:w="40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04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409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4042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水分/%                          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≤</w:t>
            </w:r>
          </w:p>
        </w:tc>
        <w:tc>
          <w:tcPr>
            <w:tcW w:w="409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总灰分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/%                             ≤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900" w:firstLineChars="50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酸不溶性灰分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/%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≤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900" w:firstLineChars="500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浸出物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/%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柴胡皂苷a和柴胡皂苷d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/%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0.3</w:t>
            </w:r>
          </w:p>
        </w:tc>
      </w:tr>
    </w:tbl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安全卫生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指标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农药残留量和重金属含量应按《中华人民共和国药典》2020年版（一部）规定执行，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污染物限量应符合GB 2762 中相关的规定。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检验方法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感官检验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使用精度为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0.1cm的量尺测量其长度；</w:t>
      </w:r>
      <w:r>
        <w:rPr>
          <w:rFonts w:ascii="Times New Roman"/>
          <w:sz w:val="21"/>
          <w:szCs w:val="21"/>
        </w:rPr>
        <w:t>在自然光线下，</w:t>
      </w:r>
      <w:r>
        <w:rPr>
          <w:rFonts w:hint="eastAsia" w:ascii="Times New Roman"/>
          <w:sz w:val="21"/>
          <w:szCs w:val="21"/>
          <w:lang w:val="en-US" w:eastAsia="zh-CN"/>
        </w:rPr>
        <w:t>可</w:t>
      </w:r>
      <w:r>
        <w:rPr>
          <w:rFonts w:ascii="Times New Roman"/>
          <w:sz w:val="21"/>
          <w:szCs w:val="21"/>
        </w:rPr>
        <w:t>凭感官</w:t>
      </w:r>
      <w:r>
        <w:rPr>
          <w:rFonts w:hint="default" w:ascii="Times New Roman" w:hAnsi="Times New Roman" w:cs="Times New Roman"/>
          <w:sz w:val="21"/>
          <w:szCs w:val="21"/>
        </w:rPr>
        <w:t>检验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其外观、质地、皮色</w:t>
      </w:r>
      <w:r>
        <w:rPr>
          <w:rFonts w:hint="default" w:ascii="Times New Roman" w:hAnsi="Times New Roman" w:cs="Times New Roman"/>
          <w:sz w:val="21"/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气味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理化检验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水分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水分应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按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《中华人民共和国药典》2020年版 一部（通则0832第四法）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测定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总灰分、酸不溶性灰分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总灰分、酸不溶性灰分应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按《中华人民共和国药典》2020年版 一部（通则2302）测定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浸出物</w:t>
      </w:r>
    </w:p>
    <w:p>
      <w:pPr>
        <w:pStyle w:val="18"/>
        <w:spacing w:line="278" w:lineRule="auto"/>
        <w:ind w:left="0" w:firstLine="420" w:firstLineChars="20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浸出物应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按《中华人民共和国药典》2020版 一部（通则2201）测定。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 xml:space="preserve">柴胡皂苷a和 柴胡皂苷d 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柴胡皂苷a和 柴胡皂苷d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按《中华人民共和国药典》2020版 一部，柴胡项下【含量测定】规定的方法测定。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安全卫生指标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农药残留量和重金属含量的应按《中华人民共和国药典》2020年版 四部 （通则0212）测定；污染物限量应符合GB 2762 的规定。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检验规则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组批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在相同或相近自然环境区域内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，同一品种、同一采收时间</w:t>
      </w:r>
      <w:r>
        <w:rPr>
          <w:rFonts w:hint="default" w:ascii="Times New Roman" w:hAnsi="Times New Roman" w:cs="Times New Roman"/>
          <w:sz w:val="21"/>
          <w:szCs w:val="21"/>
        </w:rPr>
        <w:t>的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柴胡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为一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个检验批次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抽样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在储藏库房里存放的同一批次产品中随机抽取30个或不少于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</w:rPr>
        <w:t>kg样品，平均分成3份，1份用于检验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</w:rPr>
        <w:t>1份用于备查，1份用于仲裁。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交收检验</w:t>
      </w:r>
    </w:p>
    <w:p>
      <w:pPr>
        <w:pStyle w:val="18"/>
        <w:spacing w:line="278" w:lineRule="auto"/>
        <w:ind w:left="11" w:leftChars="5" w:firstLine="428" w:firstLineChars="20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产品交收时应经企业质检部门逐批检验，并签发质量合格证。交收检验项目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包括感官检验和理化检验。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型式检验</w:t>
      </w:r>
    </w:p>
    <w:p>
      <w:pPr>
        <w:pStyle w:val="18"/>
        <w:spacing w:line="278" w:lineRule="auto"/>
        <w:ind w:left="11" w:leftChars="5" w:firstLine="428" w:firstLineChars="20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型式检验项目为本文件第6.3~6.5条规定全部检验项目。有下列情况之一，应进行型式检验：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hint="eastAsia" w:cs="Times New Roman"/>
          <w:sz w:val="21"/>
          <w:szCs w:val="21"/>
        </w:rPr>
        <w:t>每年采</w:t>
      </w:r>
      <w:r>
        <w:rPr>
          <w:rFonts w:hint="eastAsia" w:cs="Times New Roman"/>
          <w:sz w:val="21"/>
          <w:szCs w:val="21"/>
          <w:lang w:val="en-US" w:eastAsia="zh-CN"/>
        </w:rPr>
        <w:t>收</w:t>
      </w:r>
      <w:r>
        <w:rPr>
          <w:rFonts w:hint="eastAsia" w:cs="Times New Roman"/>
          <w:sz w:val="21"/>
          <w:szCs w:val="21"/>
        </w:rPr>
        <w:t>初期</w:t>
      </w:r>
      <w:r>
        <w:rPr>
          <w:rFonts w:hint="default" w:ascii="Times New Roman" w:hAnsi="Times New Roman" w:cs="Times New Roman"/>
        </w:rPr>
        <w:t>；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cs="Times New Roman"/>
          <w:spacing w:val="-4"/>
          <w:sz w:val="21"/>
          <w:szCs w:val="21"/>
        </w:rPr>
        <w:t>因人为或自然因素使生产环境发生较大变化时</w:t>
      </w:r>
      <w:r>
        <w:rPr>
          <w:rFonts w:hint="default" w:ascii="Times New Roman" w:hAnsi="Times New Roman" w:cs="Times New Roman"/>
        </w:rPr>
        <w:t>；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cs="Times New Roman"/>
          <w:spacing w:val="-2"/>
          <w:sz w:val="21"/>
          <w:szCs w:val="21"/>
        </w:rPr>
        <w:t>交收检验差异较大时</w:t>
      </w:r>
      <w:r>
        <w:rPr>
          <w:rFonts w:hint="default" w:ascii="Times New Roman" w:hAnsi="Times New Roman" w:cs="Times New Roman"/>
        </w:rPr>
        <w:t>；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cs="Times New Roman"/>
          <w:spacing w:val="-5"/>
          <w:sz w:val="21"/>
          <w:szCs w:val="21"/>
        </w:rPr>
        <w:t>国家</w:t>
      </w:r>
      <w:r>
        <w:rPr>
          <w:rFonts w:hint="eastAsia" w:cs="Times New Roman"/>
          <w:spacing w:val="-5"/>
          <w:sz w:val="21"/>
          <w:szCs w:val="21"/>
        </w:rPr>
        <w:t>市场</w:t>
      </w:r>
      <w:r>
        <w:rPr>
          <w:rFonts w:cs="Times New Roman"/>
          <w:spacing w:val="-5"/>
          <w:sz w:val="21"/>
          <w:szCs w:val="21"/>
        </w:rPr>
        <w:t>监督机构或主管部门提出例行检验要求时</w:t>
      </w:r>
      <w:r>
        <w:rPr>
          <w:rFonts w:hint="default" w:ascii="Times New Roman" w:hAnsi="Times New Roman" w:cs="Times New Roman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判定规则</w:t>
      </w:r>
    </w:p>
    <w:p>
      <w:pPr>
        <w:pStyle w:val="18"/>
        <w:spacing w:line="278" w:lineRule="auto"/>
        <w:ind w:left="0" w:firstLine="420" w:firstLineChars="2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检验项目全部符合本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判该批产品合格。检验结果中安全卫生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指标</w:t>
      </w:r>
      <w:r>
        <w:rPr>
          <w:rFonts w:hint="default" w:ascii="Times New Roman" w:hAnsi="Times New Roman" w:cs="Times New Roman"/>
          <w:sz w:val="21"/>
          <w:szCs w:val="21"/>
        </w:rPr>
        <w:t>有不符合项时，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判该批产品不合格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，不得复检</w:t>
      </w:r>
      <w:r>
        <w:rPr>
          <w:rFonts w:hint="default" w:ascii="Times New Roman" w:hAnsi="Times New Roman" w:cs="Times New Roman"/>
          <w:sz w:val="21"/>
          <w:szCs w:val="21"/>
        </w:rPr>
        <w:t>。理化指标和感官检验有不合格项的，可加倍取样复检，复检仍不合格，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判该批产品不合格。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标识、包装、运输及贮藏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标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识、包装</w:t>
      </w:r>
    </w:p>
    <w:p>
      <w:pPr>
        <w:pStyle w:val="18"/>
        <w:spacing w:line="278" w:lineRule="auto"/>
        <w:ind w:left="11" w:leftChars="5" w:firstLine="428" w:firstLineChars="20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应符合GB/T 191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hint="eastAsia" w:ascii="Times New Roman"/>
          <w:sz w:val="21"/>
          <w:szCs w:val="21"/>
        </w:rPr>
        <w:t xml:space="preserve">GB/T 34343 </w:t>
      </w:r>
      <w:r>
        <w:rPr>
          <w:rFonts w:hint="eastAsia" w:ascii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SB/T 11082 </w:t>
      </w:r>
      <w:r>
        <w:rPr>
          <w:rFonts w:hint="default" w:ascii="Times New Roman" w:hAnsi="Times New Roman" w:cs="Times New Roman"/>
          <w:sz w:val="21"/>
          <w:szCs w:val="21"/>
        </w:rPr>
        <w:t>的规定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包装材料应符合国家相关标准</w:t>
      </w:r>
      <w:r>
        <w:rPr>
          <w:rFonts w:hint="default" w:ascii="Times New Roman" w:hAnsi="Times New Roman" w:cs="Times New Roman"/>
          <w:sz w:val="21"/>
          <w:szCs w:val="21"/>
        </w:rPr>
        <w:t>。</w:t>
      </w:r>
      <w:r>
        <w:rPr>
          <w:rFonts w:hint="default" w:ascii="Times New Roman" w:hAnsi="Times New Roman" w:cs="Times New Roman"/>
          <w:highlight w:val="none"/>
          <w:lang w:val="zh-TW" w:eastAsia="zh-TW"/>
        </w:rPr>
        <w:t>获准使用地理标志产品专用标志的生产者，可在其产品包装上使用专用标志</w:t>
      </w:r>
      <w:r>
        <w:rPr>
          <w:rFonts w:hint="eastAsia" w:ascii="Times New Roman" w:cs="Times New Roman"/>
          <w:highlight w:val="none"/>
          <w:lang w:val="zh-TW" w:eastAsia="zh-CN"/>
        </w:rPr>
        <w:t>，</w:t>
      </w:r>
      <w:r>
        <w:rPr>
          <w:rFonts w:hint="eastAsia" w:ascii="Times New Roman" w:cs="Times New Roman"/>
          <w:highlight w:val="none"/>
          <w:lang w:val="en-US" w:eastAsia="zh-CN"/>
        </w:rPr>
        <w:t>标志应符合《地理标志专用标志使用管理办法（试行）》的要求。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运输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运输工具应清洁卫生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</w:rPr>
        <w:t>不得与有害、有毒、有腐蚀性、易挥发或有异味的物品混装混运。搬运过程中应轻拿轻放、严禁扔摔、撞击、挤压。运输过程中不得曝晒、雨淋、受潮。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贮存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贮存应</w:t>
      </w:r>
      <w:r>
        <w:rPr>
          <w:rFonts w:hint="eastAsia" w:ascii="Times New Roman" w:hAnsi="Times New Roman" w:cs="Times New Roman"/>
          <w:sz w:val="21"/>
          <w:szCs w:val="21"/>
        </w:rPr>
        <w:t>按</w:t>
      </w:r>
      <w:r>
        <w:rPr>
          <w:rFonts w:hint="default" w:ascii="Times New Roman" w:hAnsi="Times New Roman" w:cs="Times New Roman"/>
          <w:sz w:val="21"/>
          <w:szCs w:val="21"/>
        </w:rPr>
        <w:t>SB/T 11094</w:t>
      </w:r>
      <w:r>
        <w:rPr>
          <w:rFonts w:hint="eastAsia" w:ascii="Times New Roman" w:hAnsi="Times New Roman" w:cs="Times New Roman"/>
          <w:sz w:val="21"/>
          <w:szCs w:val="21"/>
        </w:rPr>
        <w:t>执行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  <w:sectPr>
          <w:pgSz w:w="11906" w:h="16838"/>
          <w:pgMar w:top="2410" w:right="1134" w:bottom="1134" w:left="1134" w:header="1418" w:footer="1134" w:gutter="284"/>
          <w:pgNumType w:start="1"/>
          <w:cols w:space="425" w:num="1"/>
          <w:formProt w:val="0"/>
          <w:docGrid w:linePitch="312" w:charSpace="0"/>
        </w:sectPr>
      </w:pPr>
    </w:p>
    <w:p>
      <w:pPr>
        <w:pStyle w:val="35"/>
        <w:rPr>
          <w:vanish w:val="0"/>
        </w:rPr>
      </w:pPr>
    </w:p>
    <w:p>
      <w:pPr>
        <w:pStyle w:val="36"/>
        <w:rPr>
          <w:vanish w:val="0"/>
        </w:rPr>
      </w:pPr>
    </w:p>
    <w:p>
      <w:pPr>
        <w:pStyle w:val="37"/>
        <w:spacing w:before="60" w:after="120"/>
      </w:pPr>
      <w:r>
        <w:br w:type="textWrapping"/>
      </w:r>
      <w:r>
        <w:rPr>
          <w:rFonts w:hint="eastAsia"/>
        </w:rPr>
        <w:t>（</w:t>
      </w:r>
      <w:r>
        <w:rPr>
          <w:rFonts w:hint="eastAsia"/>
          <w:lang w:eastAsia="zh-CN"/>
        </w:rPr>
        <w:t>资料</w:t>
      </w:r>
      <w:r>
        <w:rPr>
          <w:rFonts w:hint="eastAsia"/>
        </w:rPr>
        <w:t>性）</w:t>
      </w:r>
      <w:r>
        <w:br w:type="textWrapping"/>
      </w:r>
      <w:r>
        <w:rPr>
          <w:rFonts w:hint="eastAsia"/>
        </w:rPr>
        <w:t>地理标志产品</w:t>
      </w:r>
      <w:r>
        <w:rPr>
          <w:rFonts w:hint="eastAsia"/>
          <w:lang w:val="en-US" w:eastAsia="zh-CN"/>
        </w:rPr>
        <w:t>卓尼柴胡</w:t>
      </w:r>
      <w:r>
        <w:rPr>
          <w:rFonts w:hint="eastAsia"/>
        </w:rPr>
        <w:t>保护范围</w:t>
      </w:r>
      <w:r>
        <w:rPr>
          <w:rFonts w:hint="eastAsia"/>
          <w:lang w:eastAsia="zh-CN"/>
        </w:rPr>
        <w:t>示意图</w:t>
      </w:r>
    </w:p>
    <w:p>
      <w:pPr>
        <w:pStyle w:val="28"/>
        <w:ind w:firstLine="420"/>
      </w:pPr>
    </w:p>
    <w:p>
      <w:pPr>
        <w:pStyle w:val="28"/>
        <w:rPr>
          <w:rFonts w:hint="eastAsia" w:ascii="黑体" w:eastAsia="宋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A.1 </w:t>
      </w:r>
      <w:r>
        <w:rPr>
          <w:rFonts w:hint="eastAsia"/>
        </w:rPr>
        <w:t>地理标志产品</w:t>
      </w:r>
      <w:r>
        <w:rPr>
          <w:rFonts w:hint="eastAsia"/>
          <w:lang w:val="en-US" w:eastAsia="zh-CN"/>
        </w:rPr>
        <w:t>卓尼柴胡</w:t>
      </w:r>
      <w:r>
        <w:rPr>
          <w:rFonts w:hint="eastAsia"/>
        </w:rPr>
        <w:t>保护范围见图A.1。</w:t>
      </w:r>
    </w:p>
    <w:p>
      <w:pPr>
        <w:autoSpaceDE w:val="0"/>
        <w:autoSpaceDN w:val="0"/>
        <w:adjustRightInd/>
        <w:spacing w:line="240" w:lineRule="auto"/>
        <w:jc w:val="center"/>
        <w:rPr>
          <w:rFonts w:ascii="宋体" w:hAnsi="宋体" w:cs="宋体"/>
          <w:kern w:val="0"/>
          <w:sz w:val="22"/>
          <w:szCs w:val="22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752465" cy="4066540"/>
            <wp:effectExtent l="0" t="0" r="635" b="10160"/>
            <wp:docPr id="3" name="图片 3" descr="c7aaf92519d7947166a9df1e63c4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7aaf92519d7947166a9df1e63c4e7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9"/>
        <w:spacing w:before="120" w:after="120"/>
      </w:pPr>
      <w:bookmarkStart w:id="0" w:name="_GoBack"/>
      <w:bookmarkEnd w:id="0"/>
      <w:r>
        <w:rPr>
          <w:rFonts w:hint="eastAsia"/>
        </w:rPr>
        <w:t>地理标志产品</w:t>
      </w:r>
      <w:r>
        <w:rPr>
          <w:rFonts w:hint="eastAsia"/>
          <w:lang w:val="en-US" w:eastAsia="zh-CN"/>
        </w:rPr>
        <w:t>卓尼柴胡</w:t>
      </w:r>
      <w:r>
        <w:rPr>
          <w:rFonts w:hint="eastAsia"/>
        </w:rPr>
        <w:t>保护范围</w:t>
      </w:r>
      <w:r>
        <w:rPr>
          <w:rFonts w:hint="eastAsia"/>
          <w:lang w:eastAsia="zh-CN"/>
        </w:rPr>
        <w:t>示意图</w:t>
      </w:r>
    </w:p>
    <w:p>
      <w:pPr>
        <w:pStyle w:val="25"/>
        <w:widowControl w:val="0"/>
        <w:ind w:firstLine="4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659765</wp:posOffset>
                </wp:positionV>
                <wp:extent cx="1923415" cy="0"/>
                <wp:effectExtent l="0" t="0" r="1968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51.95pt;height:0pt;width:151.45pt;z-index:251666432;mso-width-relative:page;mso-height-relative:page;" filled="f" stroked="t" coordsize="21600,21600" o:gfxdata="UEsDBAoAAAAAAIdO4kAAAAAAAAAAAAAAAAAEAAAAZHJzL1BLAwQUAAAACACHTuJA7/omHNcAAAAL&#10;AQAADwAAAGRycy9kb3ducmV2LnhtbE2PTU/DMAyG70j8h8hIXCaWrNWmUpruAPTGhQ3E1WtNW9E4&#10;XZN9wK/HSEhwtN9Hrx8X67Mb1JGm0Hu2sJgbUMS1b3puLbxsq5sMVIjIDQ6eycInBViXlxcF5o0/&#10;8TMdN7FVUsIhRwtdjGOudag7chjmfiSW7N1PDqOMU6ubCU9S7gadGLPSDnuWCx2OdN9R/bE5OAuh&#10;eqV99TWrZ+YtbT0l+4enR7T2+mph7kBFOsc/GH70RR1Kcdr5AzdBDRaSzKwElcCkt6CEWGbpEtTu&#10;d6PLQv//ofwGUEsDBBQAAAAIAIdO4kCyB3JP7wEAANMDAAAOAAAAZHJzL2Uyb0RvYy54bWytUzuO&#10;2zAQ7QPkDgT7WLIDL2LB8hZrbJp8DCQ5wJiiJAL8gcO17EvkAgHSJVXK9LlNNsfIkLK92d1mi6gg&#10;h/N5nPc4Wl7ujWY7GVA5W/PppORMWuEaZbuaf/p4/eIVZxjBNqCdlTU/SOSXq+fPloOv5Mz1Tjcy&#10;MAKxWA2+5n2MvioKFL00gBPnpaVg64KBSMfQFU2AgdCNLmZleVEMLjQ+OCERybseg/yIGJ4C6NpW&#10;Cbl24sZIG0fUIDVEooS98shXudu2lSK+b1uUkemaE9OYV7qE7G1ai9USqi6A75U4tgBPaeEBJwPK&#10;0qVnqDVEYDdBPYIySgSHro0T4UwxEsmKEItp+UCbDz14mbmQ1OjPouP/gxXvdpvAVEOTwJkFQw9+&#10;++Xn78/f/vz6Suvtj+9smkQaPFaUe2U34XhCvwmJ8b4NJu3Ehe2zsIezsHIfmSDndDF7ebEgzcUp&#10;VtwV+oDxtXSGJaPmWtnEGSrYvcFIl1HqKSW5rbtWWud305YNNV/MZ3NCBprFlmaATOOJD9qOM9Ad&#10;DbmIISOi06pJ1QkHQ7e90oHtII1G/sakHho5ehdzco8jghDfumZ0T8uTn1o7wuQ27+GnnteA/ViT&#10;QwmKSrSlLQk6SpisrWsOWdnsp7fOice5TMP07zlX3/2L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+iYc1wAAAAsBAAAPAAAAAAAAAAEAIAAAACIAAABkcnMvZG93bnJldi54bWxQSwECFAAUAAAA&#10;CACHTuJAsgdyT+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first"/>
      <w:footerReference r:id="rId8" w:type="default"/>
      <w:footerReference r:id="rId9" w:type="even"/>
      <w:pgSz w:w="11910" w:h="16840"/>
      <w:pgMar w:top="1134" w:right="1134" w:bottom="1134" w:left="1701" w:header="107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hint="eastAsia" w:eastAsia="黑体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eastAsia="黑体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48802D1C"/>
    <w:multiLevelType w:val="multilevel"/>
    <w:tmpl w:val="48802D1C"/>
    <w:lvl w:ilvl="0" w:tentative="0">
      <w:start w:val="1"/>
      <w:numFmt w:val="upperLetter"/>
      <w:pStyle w:val="35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39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603797C"/>
    <w:multiLevelType w:val="multilevel"/>
    <w:tmpl w:val="5603797C"/>
    <w:lvl w:ilvl="0" w:tentative="0">
      <w:start w:val="1"/>
      <w:numFmt w:val="upperLetter"/>
      <w:pStyle w:val="36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31"/>
      <w:suff w:val="nothing"/>
      <w:lvlText w:val="表%1　"/>
      <w:lvlJc w:val="left"/>
      <w:pPr>
        <w:ind w:left="426" w:firstLine="0"/>
      </w:pPr>
    </w:lvl>
    <w:lvl w:ilvl="1" w:tentative="0">
      <w:start w:val="1"/>
      <w:numFmt w:val="decimal"/>
      <w:lvlText w:val="%1.%2"/>
      <w:lvlJc w:val="left"/>
      <w:pPr>
        <w:tabs>
          <w:tab w:val="left" w:pos="-2268"/>
        </w:tabs>
        <w:ind w:left="-2268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-1276"/>
        </w:tabs>
        <w:ind w:left="-1276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-709"/>
        </w:tabs>
        <w:ind w:left="-709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67"/>
        </w:tabs>
        <w:ind w:left="56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134"/>
        </w:tabs>
        <w:ind w:left="113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842"/>
        </w:tabs>
        <w:ind w:left="1842" w:hanging="1700"/>
      </w:p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37"/>
      <w:suff w:val="nothing"/>
      <w:lvlText w:val="附录%1"/>
      <w:lvlJc w:val="left"/>
      <w:pPr>
        <w:ind w:left="0" w:firstLine="0"/>
      </w:pPr>
      <w:rPr>
        <w:rFonts w:hint="eastAsia"/>
        <w:spacing w:val="100"/>
        <w:lang w:val="en-US"/>
      </w:rPr>
    </w:lvl>
    <w:lvl w:ilvl="1" w:tentative="0">
      <w:start w:val="1"/>
      <w:numFmt w:val="decimal"/>
      <w:pStyle w:val="40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7E63E5B"/>
    <w:multiLevelType w:val="multilevel"/>
    <w:tmpl w:val="67E63E5B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2"/>
      <w:suff w:val="nothing"/>
      <w:lvlText w:val="%1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6DBF04F4"/>
    <w:multiLevelType w:val="multilevel"/>
    <w:tmpl w:val="6DBF04F4"/>
    <w:lvl w:ilvl="0" w:tentative="0">
      <w:start w:val="1"/>
      <w:numFmt w:val="none"/>
      <w:pStyle w:val="38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MDk5MDRiMzFmYjRkYWYwNTRmZWZiNGI0NTkyOTgifQ=="/>
  </w:docVars>
  <w:rsids>
    <w:rsidRoot w:val="00D364DE"/>
    <w:rsid w:val="0004284E"/>
    <w:rsid w:val="001E5ADC"/>
    <w:rsid w:val="002A752B"/>
    <w:rsid w:val="00406A4C"/>
    <w:rsid w:val="00477A17"/>
    <w:rsid w:val="004D5AC9"/>
    <w:rsid w:val="004F411E"/>
    <w:rsid w:val="00630687"/>
    <w:rsid w:val="00714220"/>
    <w:rsid w:val="007C0AED"/>
    <w:rsid w:val="008340D0"/>
    <w:rsid w:val="0085151A"/>
    <w:rsid w:val="008956B2"/>
    <w:rsid w:val="008A2761"/>
    <w:rsid w:val="00962A8E"/>
    <w:rsid w:val="00B446D7"/>
    <w:rsid w:val="00CC0BFD"/>
    <w:rsid w:val="00CC3303"/>
    <w:rsid w:val="00D364DE"/>
    <w:rsid w:val="00E6420A"/>
    <w:rsid w:val="00EC32A1"/>
    <w:rsid w:val="00F64FA7"/>
    <w:rsid w:val="00FF5B27"/>
    <w:rsid w:val="022B6E18"/>
    <w:rsid w:val="04BB5134"/>
    <w:rsid w:val="081845CB"/>
    <w:rsid w:val="08A639A3"/>
    <w:rsid w:val="09761D90"/>
    <w:rsid w:val="09D34D6F"/>
    <w:rsid w:val="0ACF15A0"/>
    <w:rsid w:val="0BE758F2"/>
    <w:rsid w:val="0CE255C0"/>
    <w:rsid w:val="0D6C3070"/>
    <w:rsid w:val="0E127FC5"/>
    <w:rsid w:val="0E517E0C"/>
    <w:rsid w:val="0E9301A8"/>
    <w:rsid w:val="0F401417"/>
    <w:rsid w:val="10A9041C"/>
    <w:rsid w:val="10E24DDC"/>
    <w:rsid w:val="11A34771"/>
    <w:rsid w:val="12C23ECB"/>
    <w:rsid w:val="12FD24D8"/>
    <w:rsid w:val="137A5709"/>
    <w:rsid w:val="14971E50"/>
    <w:rsid w:val="15525368"/>
    <w:rsid w:val="17D84F21"/>
    <w:rsid w:val="1824437E"/>
    <w:rsid w:val="18887276"/>
    <w:rsid w:val="197C7533"/>
    <w:rsid w:val="1C080531"/>
    <w:rsid w:val="1CDA6BC9"/>
    <w:rsid w:val="1DA0266A"/>
    <w:rsid w:val="1E030D9D"/>
    <w:rsid w:val="2003405C"/>
    <w:rsid w:val="20641098"/>
    <w:rsid w:val="22214155"/>
    <w:rsid w:val="22603664"/>
    <w:rsid w:val="228E2DDD"/>
    <w:rsid w:val="22AD38A2"/>
    <w:rsid w:val="23BF7F9C"/>
    <w:rsid w:val="25095AC6"/>
    <w:rsid w:val="2662099C"/>
    <w:rsid w:val="270353AD"/>
    <w:rsid w:val="27662B90"/>
    <w:rsid w:val="278F7FEF"/>
    <w:rsid w:val="27C67CA3"/>
    <w:rsid w:val="27E81DFA"/>
    <w:rsid w:val="288F0069"/>
    <w:rsid w:val="291A7EA0"/>
    <w:rsid w:val="2A22335B"/>
    <w:rsid w:val="2A860B19"/>
    <w:rsid w:val="2E6017DC"/>
    <w:rsid w:val="2EA71CDC"/>
    <w:rsid w:val="2EC43A58"/>
    <w:rsid w:val="31F82598"/>
    <w:rsid w:val="3270618F"/>
    <w:rsid w:val="341E0667"/>
    <w:rsid w:val="362832D4"/>
    <w:rsid w:val="375463A2"/>
    <w:rsid w:val="3773299F"/>
    <w:rsid w:val="3868691E"/>
    <w:rsid w:val="389E2510"/>
    <w:rsid w:val="38FF582C"/>
    <w:rsid w:val="3BAB16A2"/>
    <w:rsid w:val="3D5D17E8"/>
    <w:rsid w:val="3E2F3E8B"/>
    <w:rsid w:val="413E2BF1"/>
    <w:rsid w:val="41E67444"/>
    <w:rsid w:val="435B3B47"/>
    <w:rsid w:val="43D45F57"/>
    <w:rsid w:val="450E56B9"/>
    <w:rsid w:val="469466BC"/>
    <w:rsid w:val="48CF7937"/>
    <w:rsid w:val="49926866"/>
    <w:rsid w:val="4A277EA5"/>
    <w:rsid w:val="4A887025"/>
    <w:rsid w:val="4D740307"/>
    <w:rsid w:val="4E3534CA"/>
    <w:rsid w:val="4EB36A7E"/>
    <w:rsid w:val="51617B94"/>
    <w:rsid w:val="519002C4"/>
    <w:rsid w:val="51B96E62"/>
    <w:rsid w:val="53F077C5"/>
    <w:rsid w:val="545210D7"/>
    <w:rsid w:val="54A138AB"/>
    <w:rsid w:val="57A72AE1"/>
    <w:rsid w:val="584C0CC1"/>
    <w:rsid w:val="586D5F90"/>
    <w:rsid w:val="5A311229"/>
    <w:rsid w:val="5B71318A"/>
    <w:rsid w:val="5DD302CC"/>
    <w:rsid w:val="5E9610C7"/>
    <w:rsid w:val="5FC16E37"/>
    <w:rsid w:val="5FED74E2"/>
    <w:rsid w:val="615C1771"/>
    <w:rsid w:val="61685B93"/>
    <w:rsid w:val="61E33ADD"/>
    <w:rsid w:val="634C3F48"/>
    <w:rsid w:val="64E20C1D"/>
    <w:rsid w:val="64FC3347"/>
    <w:rsid w:val="684A4F30"/>
    <w:rsid w:val="69942FD0"/>
    <w:rsid w:val="69CB0A19"/>
    <w:rsid w:val="6B304859"/>
    <w:rsid w:val="6C132D0C"/>
    <w:rsid w:val="6C7C15D3"/>
    <w:rsid w:val="6CE6660F"/>
    <w:rsid w:val="6D6D72B0"/>
    <w:rsid w:val="6DFD4E15"/>
    <w:rsid w:val="6F370705"/>
    <w:rsid w:val="71747CA4"/>
    <w:rsid w:val="72AA3F34"/>
    <w:rsid w:val="77B33899"/>
    <w:rsid w:val="784D2EB8"/>
    <w:rsid w:val="79724E3B"/>
    <w:rsid w:val="7A6F4495"/>
    <w:rsid w:val="7D253FDF"/>
    <w:rsid w:val="7D8447E6"/>
    <w:rsid w:val="7D8C0283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5"/>
      <w:outlineLvl w:val="0"/>
    </w:pPr>
    <w:rPr>
      <w:rFonts w:ascii="黑体" w:hAnsi="黑体" w:eastAsia="黑体" w:cs="黑体"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qFormat/>
    <w:uiPriority w:val="0"/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1"/>
    <w:qFormat/>
    <w:uiPriority w:val="0"/>
    <w:rPr>
      <w:b/>
      <w:bCs/>
    </w:r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873" w:hanging="736"/>
    </w:pPr>
  </w:style>
  <w:style w:type="paragraph" w:customStyle="1" w:styleId="19">
    <w:name w:val="Table Paragraph"/>
    <w:basedOn w:val="1"/>
    <w:qFormat/>
    <w:uiPriority w:val="1"/>
    <w:pPr>
      <w:spacing w:before="38"/>
      <w:jc w:val="center"/>
    </w:pPr>
  </w:style>
  <w:style w:type="character" w:customStyle="1" w:styleId="20">
    <w:name w:val="批注文字 字符"/>
    <w:basedOn w:val="13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21">
    <w:name w:val="批注主题 字符"/>
    <w:basedOn w:val="20"/>
    <w:link w:val="11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2">
    <w:name w:val="批注框文本 字符"/>
    <w:basedOn w:val="13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3">
    <w:name w:val="二级条标题"/>
    <w:basedOn w:val="24"/>
    <w:next w:val="25"/>
    <w:qFormat/>
    <w:uiPriority w:val="0"/>
    <w:pPr>
      <w:numPr>
        <w:numId w:val="0"/>
      </w:numPr>
      <w:outlineLvl w:val="3"/>
    </w:pPr>
  </w:style>
  <w:style w:type="paragraph" w:customStyle="1" w:styleId="24">
    <w:name w:val="一级条标题"/>
    <w:next w:val="2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三级条标题"/>
    <w:basedOn w:val="23"/>
    <w:next w:val="25"/>
    <w:qFormat/>
    <w:uiPriority w:val="0"/>
    <w:pPr>
      <w:outlineLvl w:val="4"/>
    </w:p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line="32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标准文件_一级条标题"/>
    <w:basedOn w:val="30"/>
    <w:next w:val="2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30">
    <w:name w:val="标准文件_章标题"/>
    <w:next w:val="28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">
    <w:name w:val="标准文件_正文表标题"/>
    <w:next w:val="28"/>
    <w:qFormat/>
    <w:uiPriority w:val="0"/>
    <w:pPr>
      <w:numPr>
        <w:ilvl w:val="0"/>
        <w:numId w:val="2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">
    <w:name w:val="标准文件_二级条标题"/>
    <w:next w:val="28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标准文件_二级无标题"/>
    <w:basedOn w:val="32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character" w:customStyle="1" w:styleId="34">
    <w:name w:val="15"/>
    <w:basedOn w:val="13"/>
    <w:qFormat/>
    <w:uiPriority w:val="0"/>
    <w:rPr>
      <w:rFonts w:hint="default" w:ascii="Times New Roman" w:hAnsi="Times New Roman" w:cs="Times New Roman"/>
      <w:i/>
    </w:rPr>
  </w:style>
  <w:style w:type="paragraph" w:customStyle="1" w:styleId="35">
    <w:name w:val="标准文件_附录图标号"/>
    <w:basedOn w:val="28"/>
    <w:next w:val="28"/>
    <w:qFormat/>
    <w:uiPriority w:val="0"/>
    <w:pPr>
      <w:numPr>
        <w:ilvl w:val="0"/>
        <w:numId w:val="3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36">
    <w:name w:val="标准文件_附录表标号"/>
    <w:basedOn w:val="28"/>
    <w:next w:val="28"/>
    <w:qFormat/>
    <w:uiPriority w:val="0"/>
    <w:pPr>
      <w:numPr>
        <w:ilvl w:val="0"/>
        <w:numId w:val="4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37">
    <w:name w:val="标准文件_附录标识"/>
    <w:next w:val="28"/>
    <w:qFormat/>
    <w:uiPriority w:val="0"/>
    <w:pPr>
      <w:numPr>
        <w:ilvl w:val="0"/>
        <w:numId w:val="5"/>
      </w:numPr>
      <w:shd w:val="clear" w:color="FFFFFF" w:fill="FFFFFF"/>
      <w:tabs>
        <w:tab w:val="left" w:pos="6406"/>
      </w:tabs>
      <w:spacing w:before="25" w:beforeLines="25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8">
    <w:name w:val="标准文件_注："/>
    <w:next w:val="28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9">
    <w:name w:val="标准文件_附录图标题"/>
    <w:next w:val="28"/>
    <w:qFormat/>
    <w:uiPriority w:val="0"/>
    <w:pPr>
      <w:numPr>
        <w:ilvl w:val="1"/>
        <w:numId w:val="3"/>
      </w:numPr>
      <w:adjustRightInd w:val="0"/>
      <w:snapToGrid w:val="0"/>
      <w:spacing w:before="50" w:beforeLines="50" w:after="50" w:afterLines="50"/>
      <w:ind w:firstLine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0">
    <w:name w:val="标准文件_附录一级条标题"/>
    <w:next w:val="28"/>
    <w:qFormat/>
    <w:uiPriority w:val="0"/>
    <w:pPr>
      <w:widowControl w:val="0"/>
      <w:numPr>
        <w:ilvl w:val="1"/>
        <w:numId w:val="5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1">
    <w:name w:val="Body text|2"/>
    <w:basedOn w:val="1"/>
    <w:qFormat/>
    <w:uiPriority w:val="0"/>
    <w:pPr>
      <w:widowControl w:val="0"/>
      <w:shd w:val="clear" w:color="auto" w:fill="auto"/>
      <w:spacing w:after="60"/>
    </w:pPr>
    <w:rPr>
      <w:sz w:val="20"/>
      <w:szCs w:val="20"/>
      <w:u w:val="none"/>
      <w:shd w:val="clear" w:color="auto" w:fill="auto"/>
    </w:rPr>
  </w:style>
  <w:style w:type="paragraph" w:customStyle="1" w:styleId="42">
    <w:name w:val="Header or foot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0F109-85E6-4F30-A64C-E3238B3B8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2641</Words>
  <Characters>3218</Characters>
  <Lines>16</Lines>
  <Paragraphs>4</Paragraphs>
  <TotalTime>2</TotalTime>
  <ScaleCrop>false</ScaleCrop>
  <LinksUpToDate>false</LinksUpToDate>
  <CharactersWithSpaces>3530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2021-01-07T01:17:00Z</dcterms:created>
  <dc:creator>WIN-10</dc:creator>
  <cp:lastModifiedBy>ICCAW</cp:lastModifiedBy>
  <dcterms:modified xsi:type="dcterms:W3CDTF">2024-01-09T01:55:36Z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BE50A94A07454EEE84089CF7D9378B8C</vt:lpwstr>
  </property>
</Properties>
</file>