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《江西绿色生态 中小学生校服》团体标准</w:t>
      </w: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编制说明</w:t>
      </w:r>
    </w:p>
    <w:p>
      <w:pPr>
        <w:numPr>
          <w:ilvl w:val="0"/>
          <w:numId w:val="2"/>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项目来源</w:t>
      </w:r>
    </w:p>
    <w:p>
      <w:pPr>
        <w:numPr>
          <w:ilvl w:val="0"/>
          <w:numId w:val="0"/>
        </w:numPr>
        <w:ind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sz w:val="32"/>
          <w:szCs w:val="32"/>
          <w:lang w:val="en-US" w:eastAsia="zh-CN"/>
        </w:rPr>
        <w:t>为提升我</w:t>
      </w:r>
      <w:r>
        <w:rPr>
          <w:rFonts w:hint="eastAsia" w:ascii="仿宋_GB2312" w:hAnsi="仿宋_GB2312" w:eastAsia="仿宋_GB2312" w:cs="仿宋_GB2312"/>
          <w:i w:val="0"/>
          <w:iCs w:val="0"/>
          <w:caps w:val="0"/>
          <w:color w:val="333333"/>
          <w:spacing w:val="0"/>
          <w:sz w:val="32"/>
          <w:szCs w:val="32"/>
          <w:shd w:val="clear" w:fill="FFFFFF"/>
        </w:rPr>
        <w:t>省</w:t>
      </w:r>
      <w:r>
        <w:rPr>
          <w:rFonts w:hint="eastAsia" w:ascii="仿宋_GB2312" w:hAnsi="仿宋_GB2312" w:eastAsia="仿宋_GB2312" w:cs="仿宋_GB2312"/>
          <w:i w:val="0"/>
          <w:iCs w:val="0"/>
          <w:caps w:val="0"/>
          <w:color w:val="333333"/>
          <w:spacing w:val="0"/>
          <w:sz w:val="32"/>
          <w:szCs w:val="32"/>
          <w:shd w:val="clear" w:fill="FFFFFF"/>
          <w:lang w:val="en-US" w:eastAsia="zh-CN"/>
        </w:rPr>
        <w:t>校服行业</w:t>
      </w:r>
      <w:r>
        <w:rPr>
          <w:rFonts w:hint="eastAsia" w:ascii="仿宋_GB2312" w:hAnsi="仿宋_GB2312" w:eastAsia="仿宋_GB2312" w:cs="仿宋_GB2312"/>
          <w:i w:val="0"/>
          <w:iCs w:val="0"/>
          <w:caps w:val="0"/>
          <w:color w:val="333333"/>
          <w:spacing w:val="0"/>
          <w:sz w:val="32"/>
          <w:szCs w:val="32"/>
          <w:shd w:val="clear" w:fill="FFFFFF"/>
        </w:rPr>
        <w:t>高质量发展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增强校服企业质量意识，强化标准引领校服行业提升研发能力，进一步确保中小学生校服质量安全</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 w:hAnsi="仿宋" w:eastAsia="仿宋" w:cs="仿宋"/>
          <w:color w:val="auto"/>
          <w:sz w:val="32"/>
          <w:szCs w:val="28"/>
          <w:highlight w:val="none"/>
          <w:lang w:val="en-US" w:eastAsia="zh-CN"/>
        </w:rPr>
        <w:t>由江西绿色生态品牌建设促进会提出，</w:t>
      </w:r>
      <w:r>
        <w:rPr>
          <w:rFonts w:hint="eastAsia" w:ascii="仿宋_GB2312" w:hAnsi="仿宋_GB2312" w:eastAsia="仿宋_GB2312" w:cs="仿宋_GB2312"/>
          <w:i w:val="0"/>
          <w:iCs w:val="0"/>
          <w:caps w:val="0"/>
          <w:color w:val="333333"/>
          <w:spacing w:val="0"/>
          <w:sz w:val="32"/>
          <w:szCs w:val="32"/>
          <w:shd w:val="clear" w:fill="FFFFFF"/>
          <w:lang w:val="en-US" w:eastAsia="zh-CN"/>
        </w:rPr>
        <w:t>斯沃德教育科技股份有限公司、鄱阳县市场监督管理局、江西省质量和标准化研究院等单位共同组织起草制定《江西绿色生态 中小学生校服》团体标准。</w:t>
      </w:r>
    </w:p>
    <w:p>
      <w:pPr>
        <w:numPr>
          <w:ilvl w:val="0"/>
          <w:numId w:val="2"/>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背景和意义</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江西省教育厅数据显示，2021年学年初我省中、小学生在校人数达约728万人，其中普通中学在校生人数3322764人、小学在校生人数3957907人，全省中、小学共有9515所，为统一学生形象，各校设置了具有明显标识和特色的校服作为在校生的统一着装。在学生的日常生活中，校服的使用率高，伴随着整个学生时代，因此，校服的安全性、耐用性、舒适性对于学生、家长以及校方而言非常重要，校服的质量和安全问题更是受到了政府高度重视和社会的广泛关注。2015年，我国发布了GB/T 31888-2015《中小学生校服》，统一了校服质量标准，对中小学生校服的安全性、内在质量和外观质量进行了全面的规范。标准实施8年来，在指导企业生产、校方采购、产品监管、判定等过程中发挥了重要作用，“毒校服”得到了有效的控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2020年，我国修订发布了GB/T 18885-2020《生态纺织品技术要求》，从原材料和产品制定了纺织品对人体健康和环境无害或少害要求，更加细化了重金属含量、配饰辅料、印染辅料等有害指标要求，强调了纺织品的生态环保及健康属性。“江西绿色生态”品牌是江西省市场监管局牵头组织，江西绿色生态品牌建设促进会具体承担建设的一项重点工作的省级区域公用品牌，立足我省生态优势，围绕工业、农业、服务业等产品或服务，建立“标准+认证”的品牌建设模式，以标准促质量、以质量塑品牌，助力江西地方经济高质量发展，树立江西产品（或服务）“绿色生态、江西出品”的价值形象，推动绿色生态产业链供应链创新链价值链相互融合、迈向中高端。</w:t>
      </w:r>
    </w:p>
    <w:p>
      <w:pPr>
        <w:pStyle w:val="9"/>
        <w:widowControl/>
        <w:rPr>
          <w:rFonts w:hint="default" w:ascii="黑体" w:hAnsi="黑体" w:eastAsia="黑体" w:cs="黑体"/>
          <w:b w:val="0"/>
          <w:bCs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《江西绿色生态 中小学生校服》团体标准在符合国家标准</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GB 18401</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-2010</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《国家纺织产品基本安全技术规范》</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的</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B类、GB/T 31888</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-2015</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《中小学生校服》要求</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的基础上，突出强调校服产品的安全指标，例如</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甲醛含量</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有害染料</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等都严于</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国家标准</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。在产品的</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内在质量</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上，例如</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可染色牢度</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接缝强力</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等，都高于</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国家标准GB/T 31888《中小学生校服》</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中的部分指标</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要求。</w:t>
      </w:r>
      <w:r>
        <w:rPr>
          <w:rFonts w:hint="eastAsia" w:ascii="仿宋_GB2312" w:hAnsi="仿宋_GB2312" w:eastAsia="仿宋_GB2312" w:cs="仿宋_GB2312"/>
          <w:i w:val="0"/>
          <w:iCs w:val="0"/>
          <w:caps w:val="0"/>
          <w:color w:val="333333"/>
          <w:spacing w:val="0"/>
          <w:sz w:val="32"/>
          <w:szCs w:val="32"/>
          <w:shd w:val="clear" w:fill="FFFFFF"/>
          <w:lang w:val="en-US" w:eastAsia="zh-CN"/>
        </w:rPr>
        <w:t>该项标准的建立有利于促进我省校服产业链端高质量发展，促进我省校服龙头企业形成“严把质量关、狠抓品牌力”的发展导向，增强标准、质量、品牌三者的合力效应，该项标准的建立也彰显了我省工业产品践行绿色发展理念、走绿色发展之路。</w:t>
      </w:r>
    </w:p>
    <w:p>
      <w:pPr>
        <w:numPr>
          <w:ilvl w:val="0"/>
          <w:numId w:val="2"/>
        </w:numPr>
        <w:jc w:val="left"/>
        <w:rPr>
          <w:rFonts w:hint="default" w:ascii="宋体" w:hAnsi="宋体" w:eastAsia="宋体" w:cs="宋体"/>
          <w:b w:val="0"/>
          <w:bCs w:val="0"/>
          <w:sz w:val="30"/>
          <w:szCs w:val="30"/>
          <w:lang w:val="en-US" w:eastAsia="zh-CN"/>
        </w:rPr>
      </w:pPr>
      <w:r>
        <w:rPr>
          <w:rFonts w:hint="eastAsia" w:ascii="黑体" w:hAnsi="黑体" w:eastAsia="黑体" w:cs="黑体"/>
          <w:b w:val="0"/>
          <w:bCs w:val="0"/>
          <w:sz w:val="32"/>
          <w:szCs w:val="32"/>
          <w:lang w:val="en-US" w:eastAsia="zh-CN"/>
        </w:rPr>
        <w:t>品牌认证基本要求</w:t>
      </w:r>
    </w:p>
    <w:p>
      <w:pPr>
        <w:numPr>
          <w:ilvl w:val="0"/>
          <w:numId w:val="0"/>
        </w:numPr>
        <w:ind w:firstLine="640" w:firstLineChars="200"/>
        <w:jc w:val="left"/>
        <w:rPr>
          <w:rFonts w:hint="default" w:ascii="宋体" w:hAnsi="宋体" w:eastAsia="宋体" w:cs="宋体"/>
          <w:b w:val="0"/>
          <w:bCs w:val="0"/>
          <w:sz w:val="30"/>
          <w:szCs w:val="30"/>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江西绿色生态”品牌创建以“标准+认证”模式开展，《江西绿色生态 中小学生校服》团体标准的制定为中小学生校服产品创建“江西绿色生态”品牌提供标准依据。助力我省中小学生校服产品提高产品质量，扩大品牌影响力，增强企业竞争力。标准从企业管理、生产环境、原材料辅料要求、产品的安全要求和内在质量等基本要求展开，且从产品的资源节约、环境保护、生态协同、质量引领四个一级指标展开评价，全方位、多角度对产品进行“江西绿色生态”认证。</w:t>
      </w:r>
    </w:p>
    <w:p>
      <w:pPr>
        <w:numPr>
          <w:ilvl w:val="0"/>
          <w:numId w:val="2"/>
        </w:numPr>
        <w:jc w:val="left"/>
        <w:rPr>
          <w:rFonts w:hint="default" w:ascii="宋体" w:hAnsi="宋体" w:eastAsia="宋体" w:cs="宋体"/>
          <w:b w:val="0"/>
          <w:bCs w:val="0"/>
          <w:sz w:val="32"/>
          <w:szCs w:val="32"/>
          <w:lang w:val="en-US" w:eastAsia="zh-CN"/>
        </w:rPr>
      </w:pPr>
      <w:r>
        <w:rPr>
          <w:rFonts w:hint="eastAsia" w:ascii="黑体" w:hAnsi="黑体" w:eastAsia="黑体" w:cs="黑体"/>
          <w:b w:val="0"/>
          <w:bCs w:val="0"/>
          <w:sz w:val="32"/>
          <w:szCs w:val="32"/>
          <w:lang w:val="en-US" w:eastAsia="zh-CN"/>
        </w:rPr>
        <w:t>标准化现状</w:t>
      </w:r>
    </w:p>
    <w:p>
      <w:pPr>
        <w:numPr>
          <w:ilvl w:val="0"/>
          <w:numId w:val="0"/>
        </w:num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表1 纺织/服装产品相关部分标准汇总</w:t>
      </w:r>
    </w:p>
    <w:tbl>
      <w:tblPr>
        <w:tblStyle w:val="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706"/>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标准类型</w:t>
            </w: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标准标号</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08"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国家标准</w:t>
            </w: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5296.4</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消费品使用说明 第4部分：纺织品和服装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GB/T 14272</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羽绒服装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GB 18383</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絮用纤维制品通用技术要求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GB 18401</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国家纺织产品基本安全技术规范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pStyle w:val="9"/>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right="0" w:firstLine="0" w:firstLineChars="0"/>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GB/T 18885</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生态纺织品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GB/T 28468</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中小学生交通安全反光校服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GB/T 29862 </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纺织品 纤维含量的标识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GB 31701 </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婴幼儿及儿童纺织产品安全技术规范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pStyle w:val="9"/>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right="0" w:firstLine="0" w:firstLineChars="0"/>
              <w:jc w:val="center"/>
              <w:textAlignment w:val="auto"/>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color w:val="000000"/>
                <w:kern w:val="0"/>
                <w:sz w:val="28"/>
                <w:szCs w:val="28"/>
                <w:lang w:val="en-US" w:eastAsia="zh-CN" w:bidi="ar"/>
              </w:rPr>
              <w:t>GB/T 31888</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color w:val="000000"/>
                <w:kern w:val="0"/>
                <w:sz w:val="28"/>
                <w:szCs w:val="28"/>
                <w:lang w:val="en-US" w:eastAsia="zh-CN" w:bidi="ar"/>
              </w:rPr>
              <w:t>中小学生校服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行业标准</w:t>
            </w: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FZ/T 07010-2021</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"https://hbba.sacinfo.org.cn/stdDetail/e60a47f81b25dee0f8538f8ed8922e329cccf452d3be184f8f578d8ad04e1d63" \t "https://hbba.sacinfo.org.cn/_blank"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绿色设计产品评价技术规范 针织服装</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FZ/T 24020—2022</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"https://hbba.sacinfo.org.cn/stdDetail/5d66ed3890ba3d7ba94fc624734f75998ed778b8e684918f4602fbca7d832925" \t "https://hbba.sacinfo.org.cn/_blank"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毛针织服装面料</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FZ/T 70017—2022</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"https://hbba.sacinfo.org.cn/stdDetail/4569575c6c5a63ab705a0a43c971eaf0bae793dcf7aa425aace17693aed0f041" \t "https://hbba.sacinfo.org.cn/_blank"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针织服装印花质量通用技术要求</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FZ/T 24033—2022</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"https://hbba.sacinfo.org.cn/stdDetail/5d66ed3890ba3d7ba94fc624734f75992a01352afccb0c5dd13035c75f9816ee" \t "https://hbba.sacinfo.org.cn/_blank"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全成型无缝毛针织服装</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地方标准</w:t>
            </w: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FZ/T 73020-2019</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"https://hbba.sacinfo.org.cn/stdDetail/5a68fd5db1f7d4a1d7c77ee228b335c79b0b24c99014e94ab5dad5a80dcd2021" \t "https://hbba.sacinfo.org.cn/_blank"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针织休闲服装</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DB43/T 1990-2021</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"https://dbba.sacinfo.org.cn/stdDetail/45934a82d65e152edda7abcd825b5164a0cf683b30c25cbefe4f0f96ce91ffd5" \t "https://dbba.sacinfo.org.cn/_blank"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生态绿色校服评价规范</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DB44/T 883-2011</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"https://dbba.sacinfo.org.cn/stdDetail/bc84c57a611441f5845a4255e44b2fb8" \t "https://dbba.sacinfo.org.cn/_blank"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广东省学校校服质量管理规范</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DB14/T 103-2003</w:t>
            </w:r>
          </w:p>
        </w:tc>
        <w:tc>
          <w:tcPr>
            <w:tcW w:w="552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"https://dbba.sacinfo.org.cn/stdDetail/a0958fb9ff86c8abf42b47fa915ded20" \t "https://dbba.sacinfo.org.cn/_blank" </w:instrText>
            </w:r>
            <w:r>
              <w:rPr>
                <w:rFonts w:hint="eastAsia"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学生校服通用技术要求</w:t>
            </w:r>
            <w:r>
              <w:rPr>
                <w:rFonts w:hint="default" w:ascii="仿宋_GB2312" w:hAnsi="仿宋_GB2312" w:eastAsia="仿宋_GB2312" w:cs="仿宋_GB2312"/>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团体标准</w:t>
            </w: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aps w:val="0"/>
                <w:color w:val="424849"/>
                <w:spacing w:val="0"/>
                <w:sz w:val="28"/>
                <w:szCs w:val="28"/>
                <w:shd w:val="clear" w:fill="FFFFFF"/>
              </w:rPr>
              <w:t>T/GDKJ 0001—2022</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aps w:val="0"/>
                <w:color w:val="424849"/>
                <w:spacing w:val="0"/>
                <w:sz w:val="28"/>
                <w:szCs w:val="28"/>
                <w:shd w:val="clear" w:fill="FFFFFF"/>
              </w:rPr>
              <w:t>中小学生校服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aps w:val="0"/>
                <w:color w:val="424849"/>
                <w:spacing w:val="0"/>
                <w:sz w:val="28"/>
                <w:szCs w:val="28"/>
                <w:shd w:val="clear" w:fill="FFFFFF"/>
              </w:rPr>
              <w:t>T/HZWXTZ 003—2021</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i w:val="0"/>
                <w:iCs w:val="0"/>
                <w:caps w:val="0"/>
                <w:color w:val="424849"/>
                <w:spacing w:val="0"/>
                <w:sz w:val="28"/>
                <w:szCs w:val="28"/>
                <w:shd w:val="clear" w:fill="FFFFFF"/>
              </w:rPr>
              <w:t>中小学生学生装（校服）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T/HATSI 0012—2021</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绿色设计产品评价技术规范 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T/JSFZXH 005—2021</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学生校服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T/SQICA 003—2023</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高品质中小学生校服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T/GDTEX 23.10—2023</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纺织工业互联网标识信息规范 第10部分：中小学生校服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8"/>
                <w:szCs w:val="28"/>
                <w:vertAlign w:val="baseline"/>
                <w:lang w:val="en-US" w:eastAsia="zh-CN"/>
              </w:rPr>
            </w:pPr>
          </w:p>
        </w:tc>
        <w:tc>
          <w:tcPr>
            <w:tcW w:w="270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T/CQZFX 0002—2023</w:t>
            </w:r>
          </w:p>
        </w:tc>
        <w:tc>
          <w:tcPr>
            <w:tcW w:w="55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i w:val="0"/>
                <w:iCs w:val="0"/>
                <w:caps w:val="0"/>
                <w:color w:val="424849"/>
                <w:spacing w:val="0"/>
                <w:sz w:val="28"/>
                <w:szCs w:val="28"/>
                <w:shd w:val="clear" w:fill="FFFFFF"/>
              </w:rPr>
            </w:pPr>
            <w:r>
              <w:rPr>
                <w:rFonts w:hint="eastAsia" w:ascii="仿宋_GB2312" w:hAnsi="仿宋_GB2312" w:eastAsia="仿宋_GB2312" w:cs="仿宋_GB2312"/>
                <w:i w:val="0"/>
                <w:iCs w:val="0"/>
                <w:caps w:val="0"/>
                <w:color w:val="424849"/>
                <w:spacing w:val="0"/>
                <w:sz w:val="28"/>
                <w:szCs w:val="28"/>
                <w:shd w:val="clear" w:fill="FFFFFF"/>
              </w:rPr>
              <w:t>学生校服质量技术规范</w:t>
            </w:r>
          </w:p>
        </w:tc>
      </w:tr>
    </w:tbl>
    <w:p>
      <w:pPr>
        <w:numPr>
          <w:ilvl w:val="0"/>
          <w:numId w:val="0"/>
        </w:numPr>
        <w:jc w:val="left"/>
        <w:rPr>
          <w:rFonts w:hint="default" w:ascii="宋体" w:hAnsi="宋体" w:eastAsia="宋体" w:cs="宋体"/>
          <w:b w:val="0"/>
          <w:bCs w:val="0"/>
          <w:sz w:val="32"/>
          <w:szCs w:val="32"/>
          <w:lang w:val="en-US" w:eastAsia="zh-CN"/>
        </w:rPr>
      </w:pPr>
    </w:p>
    <w:p>
      <w:pPr>
        <w:numPr>
          <w:ilvl w:val="0"/>
          <w:numId w:val="2"/>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评价指标分析</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“江西绿色生态 </w:t>
      </w:r>
      <w:r>
        <w:rPr>
          <w:rFonts w:hint="eastAsia" w:ascii="仿宋_GB2312" w:hAnsi="仿宋_GB2312" w:eastAsia="仿宋_GB2312" w:cs="仿宋_GB2312"/>
          <w:i w:val="0"/>
          <w:iCs w:val="0"/>
          <w:caps w:val="0"/>
          <w:color w:val="333333"/>
          <w:spacing w:val="0"/>
          <w:sz w:val="32"/>
          <w:szCs w:val="32"/>
          <w:shd w:val="clear" w:fill="FFFFFF"/>
          <w:lang w:val="en-US" w:eastAsia="zh-CN"/>
        </w:rPr>
        <w:t>中小学生校服</w:t>
      </w:r>
      <w:r>
        <w:rPr>
          <w:rFonts w:hint="eastAsia" w:ascii="仿宋_GB2312" w:hAnsi="仿宋_GB2312" w:eastAsia="仿宋_GB2312" w:cs="仿宋_GB2312"/>
          <w:sz w:val="32"/>
          <w:szCs w:val="32"/>
        </w:rPr>
        <w:t>”产品评价指标由一级指标和二级指标组成。一级指标是指 DB36/T 1138的第五章中规定的资源节约、环境保护、生态协同和质量引领属性指标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二级指标是一级指标的具体化。</w:t>
      </w:r>
    </w:p>
    <w:p>
      <w:pPr>
        <w:numPr>
          <w:ilvl w:val="0"/>
          <w:numId w:val="3"/>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资源节约</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源节约从单位用能、原材料、水源、能源的节约制度进行要求，企业应制定原材料、水源、能源节约制度和方案。原材料中面料利用率要求在90%及以上。企业应积极引进并采用先进生产理念、先进生产设备，改进生产工艺以提高能源节约效能。</w:t>
      </w:r>
    </w:p>
    <w:p>
      <w:pPr>
        <w:numPr>
          <w:ilvl w:val="0"/>
          <w:numId w:val="3"/>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环境保护</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环境保护一级指标要求企业在污水处理、厂界噪声排放、固废处置、大气污染物排放应要分别符合国家标准GB 8979、GB 12348、GB 18599、GB 16297要求，同时还要求企业应制定合理的防尘、降噪、排污等环境管理企业制度和方案，明确职责和人员，采用先进设备和技术过滤车间有害气体、粉尘和噪音。</w:t>
      </w:r>
    </w:p>
    <w:p>
      <w:pPr>
        <w:numPr>
          <w:ilvl w:val="0"/>
          <w:numId w:val="3"/>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生态协同</w:t>
      </w:r>
    </w:p>
    <w:p>
      <w:pPr>
        <w:numPr>
          <w:ilvl w:val="0"/>
          <w:numId w:val="0"/>
        </w:numPr>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企业应按照GB/T 33635要求，推行制造企业绿色供应链管理；应按照GB/T 24256要求，对生产的产品进行生态设计，并按GB/T 32161进行生态设计产品评价。</w:t>
      </w:r>
    </w:p>
    <w:p>
      <w:pPr>
        <w:numPr>
          <w:ilvl w:val="0"/>
          <w:numId w:val="3"/>
        </w:numPr>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质量引领</w:t>
      </w:r>
    </w:p>
    <w:p>
      <w:pPr>
        <w:numPr>
          <w:ilvl w:val="0"/>
          <w:numId w:val="0"/>
        </w:num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《江西绿色生态 </w:t>
      </w:r>
      <w:r>
        <w:rPr>
          <w:rFonts w:hint="eastAsia" w:ascii="仿宋_GB2312" w:hAnsi="仿宋_GB2312" w:eastAsia="仿宋_GB2312" w:cs="仿宋_GB2312"/>
          <w:i w:val="0"/>
          <w:iCs w:val="0"/>
          <w:caps w:val="0"/>
          <w:color w:val="333333"/>
          <w:spacing w:val="0"/>
          <w:sz w:val="32"/>
          <w:szCs w:val="32"/>
          <w:shd w:val="clear" w:fill="FFFFFF"/>
          <w:lang w:val="en-US" w:eastAsia="zh-CN"/>
        </w:rPr>
        <w:t>中小学生校服</w:t>
      </w:r>
      <w:r>
        <w:rPr>
          <w:rFonts w:hint="eastAsia" w:ascii="仿宋_GB2312" w:hAnsi="仿宋_GB2312" w:eastAsia="仿宋_GB2312" w:cs="仿宋_GB2312"/>
          <w:sz w:val="32"/>
          <w:szCs w:val="32"/>
          <w:lang w:val="en-US" w:eastAsia="zh-CN"/>
        </w:rPr>
        <w:t>》指标水平说明：</w:t>
      </w:r>
    </w:p>
    <w:p>
      <w:pPr>
        <w:pStyle w:val="9"/>
        <w:widowControl/>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其中，甲醛含量/(mg/kg)不得检出</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严</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于国家标准GB 18401《国家纺织产品基本安全技术规范》</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的</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B类≤75 mg/kg；有害染料[可分解致癌芳香胺染料、苯胺、致癌染料、致敏染料、其他禁用染料]禁用严于国家标准GB 18401《国家纺织产品基本安全技术规范》</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的</w:t>
      </w: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B类。</w:t>
      </w:r>
    </w:p>
    <w:p>
      <w:pPr>
        <w:numPr>
          <w:ilvl w:val="0"/>
          <w:numId w:val="0"/>
        </w:numPr>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《江西绿色生态 中小学生校服》内在质量符合国家标准GB 18401《国家纺织产品基本安全技术规范》B类、GB/T 31888《中小学生校服》要求。其中，可染色牢度/级[耐水（变色、沾色）、耐汗渍（变色、沾色）、耐摩擦（干摩）、耐摩擦（湿摩）、耐皂洗（变色、沾色）、耐光汗复合、耐光]高于国家标准GB/T 31888中所述等级；接缝强力/N：面料≥220、里料≥120高于国家标准GB/T 31888面料≥140、里料≥80；起球/级≥4</w:t>
      </w:r>
      <w:bookmarkStart w:id="4" w:name="_GoBack"/>
      <w:bookmarkEnd w:id="4"/>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t>高于国家标准GB/T 31888起球/级≥3-4</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w:t>
      </w:r>
    </w:p>
    <w:p>
      <w:pPr>
        <w:numPr>
          <w:ilvl w:val="0"/>
          <w:numId w:val="0"/>
        </w:num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表1 《江西绿色生态 中小学生校服》质量引领指标</w:t>
      </w:r>
    </w:p>
    <w:tbl>
      <w:tblPr>
        <w:tblStyle w:val="6"/>
        <w:tblW w:w="8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8"/>
        <w:gridCol w:w="896"/>
        <w:gridCol w:w="1177"/>
        <w:gridCol w:w="2088"/>
        <w:gridCol w:w="1412"/>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121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eastAsia="宋体"/>
                <w:b/>
                <w:bCs/>
                <w:szCs w:val="20"/>
                <w:lang w:val="en-US" w:eastAsia="zh-CN"/>
              </w:rPr>
            </w:pPr>
            <w:r>
              <w:rPr>
                <w:rFonts w:hint="eastAsia"/>
                <w:b/>
                <w:bCs/>
                <w:szCs w:val="20"/>
                <w:lang w:val="en-US" w:eastAsia="zh-CN"/>
              </w:rPr>
              <w:t>一级指标</w:t>
            </w:r>
          </w:p>
        </w:tc>
        <w:tc>
          <w:tcPr>
            <w:tcW w:w="896"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eastAsia="宋体"/>
                <w:b/>
                <w:bCs/>
                <w:szCs w:val="20"/>
                <w:lang w:val="en-US" w:eastAsia="zh-CN"/>
              </w:rPr>
            </w:pPr>
            <w:r>
              <w:rPr>
                <w:rFonts w:hint="eastAsia"/>
                <w:b/>
                <w:bCs/>
                <w:szCs w:val="20"/>
                <w:lang w:val="en-US" w:eastAsia="zh-CN"/>
              </w:rPr>
              <w:t>二级指标</w:t>
            </w:r>
          </w:p>
        </w:tc>
        <w:tc>
          <w:tcPr>
            <w:tcW w:w="3265" w:type="dxa"/>
            <w:gridSpan w:val="2"/>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eastAsia="宋体"/>
                <w:b/>
                <w:bCs/>
                <w:szCs w:val="20"/>
                <w:lang w:val="en-US" w:eastAsia="zh-CN"/>
              </w:rPr>
            </w:pPr>
            <w:r>
              <w:rPr>
                <w:rFonts w:hint="eastAsia"/>
                <w:b/>
                <w:bCs/>
                <w:szCs w:val="20"/>
                <w:lang w:val="en-US" w:eastAsia="zh-CN"/>
              </w:rPr>
              <w:t>检测项目</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b/>
                <w:bCs/>
                <w:szCs w:val="20"/>
                <w:lang w:val="en-US" w:eastAsia="zh-CN"/>
              </w:rPr>
            </w:pPr>
            <w:r>
              <w:rPr>
                <w:rFonts w:hint="eastAsia"/>
                <w:b/>
                <w:bCs/>
                <w:szCs w:val="20"/>
                <w:lang w:val="en-US" w:eastAsia="zh-CN"/>
              </w:rPr>
              <w:t>江西绿色生态标准取值</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b/>
                <w:bCs/>
                <w:szCs w:val="20"/>
                <w:lang w:val="en-US" w:eastAsia="zh-CN"/>
              </w:rPr>
            </w:pPr>
            <w:r>
              <w:rPr>
                <w:rFonts w:hint="eastAsia" w:ascii="宋体" w:hAnsi="宋体" w:eastAsia="宋体" w:cs="宋体"/>
                <w:b/>
                <w:bCs/>
                <w:i w:val="0"/>
                <w:iCs w:val="0"/>
                <w:caps w:val="0"/>
                <w:color w:val="333333"/>
                <w:spacing w:val="0"/>
                <w:kern w:val="2"/>
                <w:sz w:val="21"/>
                <w:szCs w:val="21"/>
                <w:shd w:val="clear" w:fill="FFFFFF"/>
                <w:lang w:val="en-US" w:eastAsia="zh-CN" w:bidi="ar-SA"/>
              </w:rPr>
              <w:t>GB 18401和GB/T 31888</w:t>
            </w:r>
            <w:r>
              <w:rPr>
                <w:rFonts w:hint="eastAsia"/>
                <w:b/>
                <w:bCs/>
                <w:szCs w:val="20"/>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restart"/>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sz w:val="21"/>
                <w:szCs w:val="21"/>
              </w:rPr>
              <w:t>质量引领</w:t>
            </w:r>
          </w:p>
        </w:tc>
        <w:tc>
          <w:tcPr>
            <w:tcW w:w="896" w:type="dxa"/>
            <w:vMerge w:val="restart"/>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安全要求与内在质量</w:t>
            </w:r>
          </w:p>
        </w:tc>
        <w:tc>
          <w:tcPr>
            <w:tcW w:w="3265" w:type="dxa"/>
            <w:gridSpan w:val="2"/>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甲醛含量</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mg/kg</w:t>
            </w:r>
            <w:r>
              <w:rPr>
                <w:rFonts w:hint="eastAsia" w:ascii="Times New Roman" w:hAnsi="Times New Roman" w:eastAsia="宋体" w:cs="Times New Roman"/>
                <w:kern w:val="2"/>
                <w:sz w:val="21"/>
                <w:szCs w:val="21"/>
                <w:lang w:val="en-US" w:eastAsia="zh-CN" w:bidi="ar"/>
              </w:rPr>
              <w:t>）</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sz w:val="21"/>
                <w:szCs w:val="21"/>
                <w:lang w:val="en-US" w:eastAsia="zh-CN" w:bidi="ar-SA"/>
              </w:rPr>
            </w:pPr>
            <w:r>
              <w:rPr>
                <w:rFonts w:hint="eastAsia"/>
                <w:sz w:val="21"/>
                <w:szCs w:val="21"/>
                <w:lang w:val="en-US" w:eastAsia="zh-CN"/>
              </w:rPr>
              <w:t>不得检出</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eastAsia="宋体"/>
                <w:sz w:val="21"/>
                <w:szCs w:val="21"/>
                <w:lang w:val="en-US" w:eastAsia="zh-CN"/>
              </w:rPr>
            </w:pPr>
            <w:r>
              <w:rPr>
                <w:rFonts w:hint="eastAsia"/>
                <w:sz w:val="21"/>
                <w:szCs w:val="21"/>
                <w:highlight w:val="none"/>
              </w:rPr>
              <w:t>≤</w:t>
            </w:r>
            <w:r>
              <w:rPr>
                <w:rFonts w:hint="eastAsia"/>
                <w:sz w:val="21"/>
                <w:szCs w:val="21"/>
                <w:highlight w:val="none"/>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restart"/>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eastAsia="宋体"/>
                <w:sz w:val="21"/>
                <w:szCs w:val="21"/>
                <w:lang w:val="en-US" w:eastAsia="zh-CN"/>
              </w:rPr>
            </w:pPr>
            <w:r>
              <w:rPr>
                <w:rFonts w:hint="eastAsia"/>
                <w:sz w:val="21"/>
                <w:szCs w:val="21"/>
                <w:lang w:val="en-US" w:eastAsia="zh-CN"/>
              </w:rPr>
              <w:t>有害染料</w:t>
            </w: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可分解致癌芳香胺染料</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sz w:val="21"/>
                <w:szCs w:val="21"/>
                <w:lang w:val="en-US" w:eastAsia="zh-CN" w:bidi="ar-SA"/>
              </w:rPr>
            </w:pPr>
            <w:r>
              <w:rPr>
                <w:rFonts w:hint="eastAsia" w:cs="Times New Roman"/>
                <w:sz w:val="21"/>
                <w:szCs w:val="21"/>
                <w:lang w:val="en-US" w:eastAsia="zh-CN" w:bidi="ar-SA"/>
              </w:rPr>
              <w:t>禁用</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cs="Times New Roman"/>
                <w:sz w:val="21"/>
                <w:szCs w:val="21"/>
                <w:lang w:val="en-US" w:eastAsia="zh-CN" w:bidi="ar-SA"/>
              </w:rPr>
              <w:t>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苯胺</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lang w:val="en-US" w:eastAsia="zh-CN" w:bidi="ar-SA"/>
              </w:rPr>
            </w:pPr>
            <w:r>
              <w:rPr>
                <w:rFonts w:hint="eastAsia" w:cs="Times New Roman"/>
                <w:sz w:val="21"/>
                <w:szCs w:val="21"/>
                <w:lang w:val="en-US" w:eastAsia="zh-CN" w:bidi="ar-SA"/>
              </w:rPr>
              <w:t>禁用</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cs="Times New Roman"/>
                <w:sz w:val="21"/>
                <w:szCs w:val="21"/>
                <w:lang w:val="en-US" w:eastAsia="zh-CN" w:bidi="ar-SA"/>
              </w:rPr>
              <w:t>未提及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致癌染料</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sz w:val="21"/>
                <w:szCs w:val="21"/>
                <w:lang w:val="en-US" w:eastAsia="zh-CN" w:bidi="ar-SA"/>
              </w:rPr>
            </w:pPr>
            <w:r>
              <w:rPr>
                <w:rFonts w:hint="eastAsia" w:cs="Times New Roman"/>
                <w:sz w:val="21"/>
                <w:szCs w:val="21"/>
                <w:lang w:val="en-US" w:eastAsia="zh-CN" w:bidi="ar-SA"/>
              </w:rPr>
              <w:t>禁用</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cs="Times New Roman"/>
                <w:sz w:val="21"/>
                <w:szCs w:val="21"/>
                <w:lang w:val="en-US" w:eastAsia="zh-CN" w:bidi="ar-SA"/>
              </w:rPr>
              <w:t>未提及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致敏染料</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lang w:val="en-US" w:eastAsia="zh-CN" w:bidi="ar-SA"/>
              </w:rPr>
            </w:pPr>
            <w:r>
              <w:rPr>
                <w:rFonts w:hint="eastAsia" w:cs="Times New Roman"/>
                <w:sz w:val="21"/>
                <w:szCs w:val="21"/>
                <w:lang w:val="en-US" w:eastAsia="zh-CN" w:bidi="ar-SA"/>
              </w:rPr>
              <w:t>禁用</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cs="Times New Roman"/>
                <w:sz w:val="21"/>
                <w:szCs w:val="21"/>
                <w:lang w:val="en-US" w:eastAsia="zh-CN" w:bidi="ar-SA"/>
              </w:rPr>
              <w:t>未提及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其他禁用染料</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lang w:val="en-US" w:eastAsia="zh-CN" w:bidi="ar-SA"/>
              </w:rPr>
            </w:pPr>
            <w:r>
              <w:rPr>
                <w:rFonts w:hint="eastAsia" w:cs="Times New Roman"/>
                <w:sz w:val="21"/>
                <w:szCs w:val="21"/>
                <w:lang w:val="en-US" w:eastAsia="zh-CN" w:bidi="ar-SA"/>
              </w:rPr>
              <w:t>禁用</w:t>
            </w:r>
          </w:p>
        </w:tc>
        <w:tc>
          <w:tcPr>
            <w:tcW w:w="1750" w:type="dxa"/>
            <w:noWrap w:val="0"/>
            <w:vAlign w:val="center"/>
          </w:tcPr>
          <w:p>
            <w:pPr>
              <w:keepNext w:val="0"/>
              <w:keepLines w:val="0"/>
              <w:widowControl/>
              <w:suppressLineNumbers w:val="0"/>
              <w:spacing w:before="0" w:beforeAutospacing="0" w:after="0" w:afterAutospacing="0"/>
              <w:ind w:left="0" w:right="0"/>
              <w:jc w:val="center"/>
              <w:rPr>
                <w:rFonts w:hint="eastAsia"/>
                <w:sz w:val="21"/>
                <w:szCs w:val="21"/>
                <w:highlight w:val="none"/>
              </w:rPr>
            </w:pPr>
            <w:r>
              <w:rPr>
                <w:rFonts w:hint="eastAsia" w:cs="Times New Roman"/>
                <w:sz w:val="21"/>
                <w:szCs w:val="21"/>
                <w:lang w:val="en-US" w:eastAsia="zh-CN" w:bidi="ar-SA"/>
              </w:rPr>
              <w:t>未提及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restart"/>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可染色牢度</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级</w:t>
            </w: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耐水（变色、沾色）</w:t>
            </w:r>
            <w:r>
              <w:rPr>
                <w:rFonts w:hint="eastAsia"/>
                <w:sz w:val="21"/>
                <w:szCs w:val="21"/>
              </w:rPr>
              <w:t xml:space="preserve"> </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sz w:val="21"/>
                <w:szCs w:val="21"/>
                <w:highlight w:val="none"/>
                <w:lang w:val="en-US" w:eastAsia="zh-CN" w:bidi="ar-SA"/>
              </w:rPr>
            </w:pPr>
            <w:r>
              <w:rPr>
                <w:rFonts w:hint="eastAsia" w:ascii="Times New Roman" w:hAnsi="Times New Roman" w:eastAsia="宋体" w:cs="Times New Roman"/>
                <w:kern w:val="2"/>
                <w:sz w:val="21"/>
                <w:szCs w:val="21"/>
                <w:lang w:val="en-US" w:eastAsia="zh-CN" w:bidi="ar"/>
              </w:rPr>
              <w:t>≥4</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耐汗渍（变色、沾色）</w:t>
            </w:r>
            <w:r>
              <w:rPr>
                <w:rFonts w:hint="eastAsia"/>
                <w:sz w:val="21"/>
                <w:szCs w:val="21"/>
              </w:rPr>
              <w:t xml:space="preserve"> </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highlight w:val="none"/>
                <w:lang w:val="en-US" w:eastAsia="zh-CN" w:bidi="ar-SA"/>
              </w:rPr>
            </w:pPr>
            <w:r>
              <w:rPr>
                <w:rFonts w:hint="eastAsia" w:ascii="Times New Roman" w:hAnsi="Times New Roman" w:eastAsia="宋体" w:cs="Times New Roman"/>
                <w:kern w:val="2"/>
                <w:sz w:val="21"/>
                <w:szCs w:val="21"/>
                <w:lang w:val="en-US" w:eastAsia="zh-CN" w:bidi="ar"/>
              </w:rPr>
              <w:t>≥4</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耐摩擦（干摩）</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highlight w:val="none"/>
                <w:lang w:val="en-US" w:eastAsia="zh-CN" w:bidi="ar-SA"/>
              </w:rPr>
            </w:pPr>
            <w:r>
              <w:rPr>
                <w:rFonts w:hint="eastAsia" w:ascii="Times New Roman" w:hAnsi="Times New Roman" w:eastAsia="宋体" w:cs="Times New Roman"/>
                <w:kern w:val="2"/>
                <w:sz w:val="21"/>
                <w:szCs w:val="21"/>
                <w:lang w:val="en-US" w:eastAsia="zh-CN" w:bidi="ar"/>
              </w:rPr>
              <w:t>≥4</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耐摩擦（湿摩）</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sz w:val="21"/>
                <w:szCs w:val="21"/>
                <w:highlight w:val="none"/>
                <w:lang w:val="en-US" w:eastAsia="zh-CN" w:bidi="ar-SA"/>
              </w:rPr>
            </w:pPr>
            <w:r>
              <w:rPr>
                <w:rFonts w:hint="eastAsia" w:ascii="Times New Roman" w:hAnsi="Times New Roman" w:eastAsia="宋体" w:cs="Times New Roman"/>
                <w:kern w:val="2"/>
                <w:sz w:val="21"/>
                <w:szCs w:val="21"/>
                <w:lang w:val="en-US" w:eastAsia="zh-CN" w:bidi="ar"/>
              </w:rPr>
              <w:t>≥</w:t>
            </w:r>
            <w:r>
              <w:rPr>
                <w:rFonts w:hint="eastAsia" w:ascii="Times New Roman" w:cs="Times New Roman"/>
                <w:kern w:val="2"/>
                <w:sz w:val="21"/>
                <w:szCs w:val="21"/>
                <w:lang w:val="en-US" w:eastAsia="zh-CN" w:bidi="ar"/>
              </w:rPr>
              <w:t>3-4</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耐皂洗（变色、沾色）</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highlight w:val="none"/>
                <w:lang w:val="en-US" w:eastAsia="zh-CN" w:bidi="ar-SA"/>
              </w:rPr>
            </w:pPr>
            <w:r>
              <w:rPr>
                <w:rFonts w:hint="eastAsia" w:ascii="Times New Roman" w:hAnsi="Times New Roman" w:eastAsia="宋体" w:cs="Times New Roman"/>
                <w:kern w:val="2"/>
                <w:sz w:val="21"/>
                <w:szCs w:val="21"/>
                <w:lang w:val="en-US" w:eastAsia="zh-CN" w:bidi="ar"/>
              </w:rPr>
              <w:t>≥4</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耐光汗复合</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highlight w:val="yellow"/>
                <w:lang w:val="en-US" w:eastAsia="zh-CN" w:bidi="ar-SA"/>
              </w:rPr>
            </w:pPr>
            <w:r>
              <w:rPr>
                <w:rFonts w:hint="eastAsia" w:ascii="Times New Roman" w:hAnsi="Times New Roman" w:eastAsia="宋体" w:cs="Times New Roman"/>
                <w:kern w:val="2"/>
                <w:sz w:val="21"/>
                <w:szCs w:val="21"/>
                <w:lang w:val="en-US" w:eastAsia="zh-CN" w:bidi="ar"/>
              </w:rPr>
              <w:t>≥4</w:t>
            </w:r>
          </w:p>
        </w:tc>
        <w:tc>
          <w:tcPr>
            <w:tcW w:w="175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highlight w:val="none"/>
                <w:lang w:val="en-US" w:eastAsia="zh-CN" w:bidi="ar"/>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耐光</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lang w:val="en-US" w:eastAsia="zh-CN" w:bidi="ar-SA"/>
              </w:rPr>
            </w:pPr>
            <w:r>
              <w:rPr>
                <w:rFonts w:hint="eastAsia" w:ascii="Times New Roman" w:hAnsi="Times New Roman" w:eastAsia="宋体" w:cs="Times New Roman"/>
                <w:kern w:val="2"/>
                <w:sz w:val="21"/>
                <w:szCs w:val="21"/>
                <w:lang w:val="en-US" w:eastAsia="zh-CN" w:bidi="ar"/>
              </w:rPr>
              <w:t>≥</w:t>
            </w:r>
            <w:r>
              <w:rPr>
                <w:rFonts w:hint="eastAsia" w:ascii="Times New Roman" w:cs="Times New Roman"/>
                <w:kern w:val="2"/>
                <w:sz w:val="21"/>
                <w:szCs w:val="21"/>
                <w:lang w:val="en-US" w:eastAsia="zh-CN" w:bidi="ar"/>
              </w:rPr>
              <w:t>4-</w:t>
            </w:r>
            <w:r>
              <w:rPr>
                <w:rFonts w:hint="eastAsia" w:ascii="Times New Roman" w:hAnsi="Times New Roman" w:eastAsia="宋体" w:cs="Times New Roman"/>
                <w:kern w:val="2"/>
                <w:sz w:val="21"/>
                <w:szCs w:val="21"/>
                <w:lang w:val="en-US" w:eastAsia="zh-CN" w:bidi="ar"/>
              </w:rPr>
              <w:t>5</w:t>
            </w:r>
          </w:p>
        </w:tc>
        <w:tc>
          <w:tcPr>
            <w:tcW w:w="175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restart"/>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接缝强力</w:t>
            </w:r>
            <w:r>
              <w:rPr>
                <w:rFonts w:hint="default" w:ascii="Times New Roman" w:hAnsi="Times New Roman" w:eastAsia="宋体" w:cs="Times New Roman"/>
                <w:kern w:val="2"/>
                <w:sz w:val="21"/>
                <w:szCs w:val="21"/>
                <w:lang w:val="en-US" w:eastAsia="zh-CN" w:bidi="ar"/>
              </w:rPr>
              <w:t>/N</w:t>
            </w: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面料</w:t>
            </w:r>
            <w:r>
              <w:rPr>
                <w:rFonts w:hint="eastAsia"/>
                <w:sz w:val="21"/>
                <w:szCs w:val="21"/>
              </w:rPr>
              <w:t xml:space="preserve"> </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lang w:val="en-US" w:eastAsia="zh-CN" w:bidi="ar-SA"/>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220</w:t>
            </w:r>
          </w:p>
        </w:tc>
        <w:tc>
          <w:tcPr>
            <w:tcW w:w="1750" w:type="dxa"/>
            <w:noWrap w:val="0"/>
            <w:vAlign w:val="center"/>
          </w:tcPr>
          <w:p>
            <w:pPr>
              <w:keepNext w:val="0"/>
              <w:keepLines w:val="0"/>
              <w:widowControl/>
              <w:suppressLineNumbers w:val="0"/>
              <w:spacing w:before="0" w:beforeAutospacing="0" w:after="0" w:afterAutospacing="0"/>
              <w:ind w:left="0" w:right="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Times New Roman"/>
                <w:kern w:val="2"/>
                <w:sz w:val="21"/>
                <w:szCs w:val="21"/>
                <w:lang w:val="en-US" w:eastAsia="zh-CN" w:bidi="ar"/>
              </w:rPr>
              <w:t>4</w:t>
            </w:r>
            <w:r>
              <w:rPr>
                <w:rFonts w:hint="default" w:ascii="Times New Roman" w:hAnsi="Times New Roman" w:eastAsia="宋体" w:cs="Times New Roman"/>
                <w:kern w:val="2"/>
                <w:sz w:val="21"/>
                <w:szCs w:val="21"/>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1177"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2088"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里料</w:t>
            </w:r>
            <w:r>
              <w:rPr>
                <w:rFonts w:hint="eastAsia"/>
                <w:sz w:val="21"/>
                <w:szCs w:val="21"/>
              </w:rPr>
              <w:t xml:space="preserve"> </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ascii="宋体" w:hAnsi="Times New Roman" w:eastAsia="宋体" w:cs="Times New Roman"/>
                <w:sz w:val="21"/>
                <w:szCs w:val="21"/>
                <w:lang w:val="en-US" w:eastAsia="zh-CN" w:bidi="ar-SA"/>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120</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sz w:val="21"/>
                <w:szCs w:val="21"/>
                <w:highlight w:val="none"/>
                <w:lang w:val="en-US"/>
              </w:rPr>
            </w:pPr>
            <w:r>
              <w:rPr>
                <w:rFonts w:hint="eastAsia" w:ascii="Times New Roman" w:hAnsi="Times New Roman" w:eastAsia="宋体" w:cs="Times New Roman"/>
                <w:kern w:val="2"/>
                <w:sz w:val="21"/>
                <w:szCs w:val="21"/>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896" w:type="dxa"/>
            <w:vMerge w:val="continue"/>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p>
        </w:tc>
        <w:tc>
          <w:tcPr>
            <w:tcW w:w="3265" w:type="dxa"/>
            <w:gridSpan w:val="2"/>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
              </w:rPr>
              <w:t>起球</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级</w:t>
            </w:r>
          </w:p>
        </w:tc>
        <w:tc>
          <w:tcPr>
            <w:tcW w:w="1412"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default"/>
                <w:sz w:val="21"/>
                <w:szCs w:val="21"/>
                <w:lang w:val="en-US"/>
              </w:rPr>
            </w:pPr>
            <w:r>
              <w:rPr>
                <w:rFonts w:hint="eastAsia" w:ascii="Times New Roman" w:hAnsi="Times New Roman" w:eastAsia="宋体" w:cs="Times New Roman"/>
                <w:kern w:val="2"/>
                <w:sz w:val="21"/>
                <w:szCs w:val="21"/>
                <w:lang w:val="en-US" w:eastAsia="zh-CN" w:bidi="ar"/>
              </w:rPr>
              <w:t>≥</w:t>
            </w:r>
            <w:r>
              <w:rPr>
                <w:rFonts w:hint="eastAsia" w:ascii="Times New Roman" w:cs="Times New Roman"/>
                <w:kern w:val="2"/>
                <w:sz w:val="21"/>
                <w:szCs w:val="21"/>
                <w:lang w:val="en-US" w:eastAsia="zh-CN" w:bidi="ar"/>
              </w:rPr>
              <w:t>4</w:t>
            </w:r>
          </w:p>
        </w:tc>
        <w:tc>
          <w:tcPr>
            <w:tcW w:w="1750" w:type="dxa"/>
            <w:noWrap w:val="0"/>
            <w:vAlign w:val="center"/>
          </w:tcPr>
          <w:p>
            <w:pPr>
              <w:pStyle w:val="9"/>
              <w:keepNext w:val="0"/>
              <w:keepLines w:val="0"/>
              <w:widowControl w:val="0"/>
              <w:suppressLineNumbers w:val="0"/>
              <w:spacing w:before="0" w:beforeAutospacing="0" w:after="0" w:afterAutospacing="0"/>
              <w:ind w:left="0" w:right="0" w:firstLine="0" w:firstLineChars="0"/>
              <w:jc w:val="center"/>
              <w:rPr>
                <w:rFonts w:hint="eastAsia"/>
                <w:sz w:val="21"/>
                <w:szCs w:val="21"/>
                <w:highlight w:val="none"/>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p>
        </w:tc>
      </w:tr>
    </w:tbl>
    <w:p>
      <w:pPr>
        <w:numPr>
          <w:ilvl w:val="0"/>
          <w:numId w:val="2"/>
        </w:numPr>
        <w:ind w:left="0" w:leftChars="0" w:firstLine="0" w:firstLineChars="0"/>
        <w:jc w:val="both"/>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品牌互认</w:t>
      </w:r>
    </w:p>
    <w:p>
      <w:pPr>
        <w:pStyle w:val="10"/>
        <w:numPr>
          <w:ilvl w:val="1"/>
          <w:numId w:val="0"/>
        </w:numPr>
        <w:ind w:left="0" w:leftChars="0" w:firstLine="0" w:firstLineChars="0"/>
        <w:jc w:val="both"/>
        <w:rPr>
          <w:rFonts w:hint="eastAsia" w:ascii="仿宋_GB2312" w:hAnsi="仿宋_GB2312" w:eastAsia="仿宋_GB2312" w:cs="仿宋_GB2312"/>
          <w:sz w:val="32"/>
          <w:szCs w:val="32"/>
        </w:rPr>
      </w:pPr>
      <w:bookmarkStart w:id="0" w:name="_Toc12161"/>
      <w:r>
        <w:rPr>
          <w:rFonts w:hint="eastAsia" w:ascii="仿宋_GB2312" w:hAnsi="仿宋_GB2312" w:eastAsia="仿宋_GB2312" w:cs="仿宋_GB2312"/>
          <w:b w:val="0"/>
          <w:bCs w:val="0"/>
          <w:i w:val="0"/>
          <w:iCs w:val="0"/>
          <w:caps w:val="0"/>
          <w:strike w:val="0"/>
          <w:dstrike w:val="0"/>
          <w:vanish w:val="0"/>
          <w:spacing w:val="0"/>
          <w:kern w:val="0"/>
          <w:position w:val="0"/>
          <w:sz w:val="32"/>
          <w:szCs w:val="32"/>
          <w:u w:val="none"/>
          <w:vertAlign w:val="baseline"/>
          <w:lang w:val="en-US" w:eastAsia="zh-CN" w:bidi="ar-SA"/>
        </w:rPr>
        <w:t>（1）</w:t>
      </w:r>
      <w:r>
        <w:rPr>
          <w:rFonts w:hint="eastAsia" w:ascii="仿宋_GB2312" w:hAnsi="仿宋_GB2312" w:eastAsia="仿宋_GB2312" w:cs="仿宋_GB2312"/>
          <w:sz w:val="32"/>
          <w:szCs w:val="32"/>
        </w:rPr>
        <w:t>通过“赣出精品”品牌认定的</w:t>
      </w:r>
      <w:r>
        <w:rPr>
          <w:rFonts w:hint="eastAsia" w:ascii="仿宋_GB2312" w:hAnsi="仿宋_GB2312" w:eastAsia="仿宋_GB2312" w:cs="仿宋_GB2312"/>
          <w:sz w:val="32"/>
          <w:szCs w:val="32"/>
          <w:lang w:val="en-US" w:eastAsia="zh-CN"/>
        </w:rPr>
        <w:t>中小学生校服</w:t>
      </w:r>
      <w:r>
        <w:rPr>
          <w:rFonts w:hint="eastAsia" w:ascii="仿宋_GB2312" w:hAnsi="仿宋_GB2312" w:eastAsia="仿宋_GB2312" w:cs="仿宋_GB2312"/>
          <w:sz w:val="32"/>
          <w:szCs w:val="32"/>
        </w:rPr>
        <w:t>产品，经江西绿色生态品牌建设促进会及第三方认证机构确认，可以采信为“江西绿色生态”品牌产品，在相关规定下可以使用双重品牌证书和标志。</w:t>
      </w:r>
      <w:bookmarkEnd w:id="0"/>
    </w:p>
    <w:p>
      <w:pPr>
        <w:pStyle w:val="10"/>
        <w:numPr>
          <w:ilvl w:val="1"/>
          <w:numId w:val="0"/>
        </w:numPr>
        <w:ind w:left="0" w:leftChars="0" w:firstLine="0" w:firstLineChars="0"/>
        <w:jc w:val="both"/>
        <w:rPr>
          <w:rFonts w:hint="eastAsia" w:ascii="仿宋_GB2312" w:hAnsi="仿宋_GB2312" w:eastAsia="仿宋_GB2312" w:cs="仿宋_GB2312"/>
          <w:sz w:val="32"/>
          <w:szCs w:val="32"/>
        </w:rPr>
      </w:pPr>
      <w:bookmarkStart w:id="1" w:name="_Toc2773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已获得“江西绿色生态”品牌认证证书的，经“赣出精品”品牌主管部门确认，可以采信为“赣出精品”品牌，在相关规定下可以使用双重品牌证书和标志。</w:t>
      </w:r>
      <w:bookmarkEnd w:id="1"/>
    </w:p>
    <w:p>
      <w:pPr>
        <w:pStyle w:val="10"/>
        <w:numPr>
          <w:ilvl w:val="1"/>
          <w:numId w:val="0"/>
        </w:numPr>
        <w:ind w:left="0" w:leftChars="0" w:firstLine="0" w:firstLineChars="0"/>
        <w:jc w:val="both"/>
        <w:rPr>
          <w:rFonts w:hint="eastAsia" w:ascii="仿宋_GB2312" w:hAnsi="仿宋_GB2312" w:eastAsia="仿宋_GB2312" w:cs="仿宋_GB2312"/>
          <w:sz w:val="32"/>
          <w:szCs w:val="32"/>
        </w:rPr>
      </w:pPr>
      <w:bookmarkStart w:id="2" w:name="_Toc1933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拥有“江西绿色生态”和“赣出精品”双重品牌证书和标志的</w:t>
      </w:r>
      <w:r>
        <w:rPr>
          <w:rFonts w:hint="eastAsia" w:ascii="仿宋_GB2312" w:hAnsi="仿宋_GB2312" w:eastAsia="仿宋_GB2312" w:cs="仿宋_GB2312"/>
          <w:sz w:val="32"/>
          <w:szCs w:val="32"/>
          <w:lang w:val="en-US" w:eastAsia="zh-CN"/>
        </w:rPr>
        <w:t>中小学生校服</w:t>
      </w:r>
      <w:r>
        <w:rPr>
          <w:rFonts w:hint="eastAsia" w:ascii="仿宋_GB2312" w:hAnsi="仿宋_GB2312" w:eastAsia="仿宋_GB2312" w:cs="仿宋_GB2312"/>
          <w:sz w:val="32"/>
          <w:szCs w:val="32"/>
        </w:rPr>
        <w:t>产品，同等条件下享受双方品牌宣传推广和政策优惠的权益。</w:t>
      </w:r>
      <w:bookmarkEnd w:id="2"/>
    </w:p>
    <w:p>
      <w:pPr>
        <w:numPr>
          <w:ilvl w:val="0"/>
          <w:numId w:val="0"/>
        </w:numPr>
        <w:jc w:val="both"/>
        <w:rPr>
          <w:rFonts w:hint="eastAsia" w:ascii="仿宋_GB2312" w:hAnsi="仿宋_GB2312" w:eastAsia="仿宋_GB2312" w:cs="仿宋_GB2312"/>
          <w:sz w:val="32"/>
          <w:szCs w:val="32"/>
        </w:rPr>
      </w:pPr>
      <w:bookmarkStart w:id="3" w:name="_Toc395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拥有“江西绿色生态”和“赣出精品”双重品牌证书和标志的</w:t>
      </w:r>
      <w:r>
        <w:rPr>
          <w:rFonts w:hint="eastAsia" w:ascii="仿宋_GB2312" w:hAnsi="仿宋_GB2312" w:eastAsia="仿宋_GB2312" w:cs="仿宋_GB2312"/>
          <w:sz w:val="32"/>
          <w:szCs w:val="32"/>
          <w:lang w:val="en-US" w:eastAsia="zh-CN"/>
        </w:rPr>
        <w:t>中小学生校服</w:t>
      </w:r>
      <w:r>
        <w:rPr>
          <w:rFonts w:hint="eastAsia" w:ascii="仿宋_GB2312" w:hAnsi="仿宋_GB2312" w:eastAsia="仿宋_GB2312" w:cs="仿宋_GB2312"/>
          <w:sz w:val="32"/>
          <w:szCs w:val="32"/>
        </w:rPr>
        <w:t>产品，接受双方品牌监督管理的有关规定。</w:t>
      </w:r>
      <w:bookmarkEnd w:id="3"/>
    </w:p>
    <w:p>
      <w:pPr>
        <w:numPr>
          <w:ilvl w:val="0"/>
          <w:numId w:val="0"/>
        </w:numPr>
        <w:jc w:val="both"/>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24785"/>
    <w:multiLevelType w:val="singleLevel"/>
    <w:tmpl w:val="C4424785"/>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41B2972"/>
    <w:multiLevelType w:val="singleLevel"/>
    <w:tmpl w:val="241B297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ZWNjNTVhNDljOWUxYzMzZTJkODJkODNmZGJmZmYifQ=="/>
  </w:docVars>
  <w:rsids>
    <w:rsidRoot w:val="00000000"/>
    <w:rsid w:val="008C4421"/>
    <w:rsid w:val="02405F8A"/>
    <w:rsid w:val="03F0230F"/>
    <w:rsid w:val="04B36EE7"/>
    <w:rsid w:val="05A641DE"/>
    <w:rsid w:val="05B9677F"/>
    <w:rsid w:val="05FD14F7"/>
    <w:rsid w:val="062C0D20"/>
    <w:rsid w:val="07041C7C"/>
    <w:rsid w:val="080F3108"/>
    <w:rsid w:val="08947D6A"/>
    <w:rsid w:val="08A913A8"/>
    <w:rsid w:val="08F37D4B"/>
    <w:rsid w:val="09E42A36"/>
    <w:rsid w:val="09E722F3"/>
    <w:rsid w:val="0A424F95"/>
    <w:rsid w:val="0AA775B5"/>
    <w:rsid w:val="0AE0655C"/>
    <w:rsid w:val="0B811AED"/>
    <w:rsid w:val="0C3D75AD"/>
    <w:rsid w:val="0CF47519"/>
    <w:rsid w:val="0D162709"/>
    <w:rsid w:val="0D17599F"/>
    <w:rsid w:val="0D18022F"/>
    <w:rsid w:val="0D8F68CD"/>
    <w:rsid w:val="0E2239A0"/>
    <w:rsid w:val="0E6D3EB2"/>
    <w:rsid w:val="0F421593"/>
    <w:rsid w:val="0FA03CFB"/>
    <w:rsid w:val="107879B7"/>
    <w:rsid w:val="10AE7046"/>
    <w:rsid w:val="10F438A6"/>
    <w:rsid w:val="117F1B61"/>
    <w:rsid w:val="118C0CE6"/>
    <w:rsid w:val="11E22BE4"/>
    <w:rsid w:val="124078A3"/>
    <w:rsid w:val="125910CE"/>
    <w:rsid w:val="12CD7A3B"/>
    <w:rsid w:val="13A46FD7"/>
    <w:rsid w:val="141F3524"/>
    <w:rsid w:val="147A1AB5"/>
    <w:rsid w:val="15E50ECA"/>
    <w:rsid w:val="161C2EBD"/>
    <w:rsid w:val="16364B39"/>
    <w:rsid w:val="168D7B86"/>
    <w:rsid w:val="16F063CE"/>
    <w:rsid w:val="16FA7B44"/>
    <w:rsid w:val="17281012"/>
    <w:rsid w:val="180D3A19"/>
    <w:rsid w:val="180D48EB"/>
    <w:rsid w:val="180D615B"/>
    <w:rsid w:val="184E5AE0"/>
    <w:rsid w:val="190C355D"/>
    <w:rsid w:val="193219F3"/>
    <w:rsid w:val="1A28746E"/>
    <w:rsid w:val="1A3A7A37"/>
    <w:rsid w:val="1A9F5C83"/>
    <w:rsid w:val="1AC518BC"/>
    <w:rsid w:val="1C142509"/>
    <w:rsid w:val="1D661760"/>
    <w:rsid w:val="1E285EBA"/>
    <w:rsid w:val="1E3C748F"/>
    <w:rsid w:val="1EAD473D"/>
    <w:rsid w:val="1EAE454F"/>
    <w:rsid w:val="1EE35021"/>
    <w:rsid w:val="1F2977B4"/>
    <w:rsid w:val="1FB35B25"/>
    <w:rsid w:val="1FBC675E"/>
    <w:rsid w:val="203E5C0E"/>
    <w:rsid w:val="209B4FA7"/>
    <w:rsid w:val="20D34192"/>
    <w:rsid w:val="20E31C95"/>
    <w:rsid w:val="22A52D87"/>
    <w:rsid w:val="22C20EB4"/>
    <w:rsid w:val="23132F9D"/>
    <w:rsid w:val="23A913AF"/>
    <w:rsid w:val="23E96070"/>
    <w:rsid w:val="25425AB7"/>
    <w:rsid w:val="256B1EE2"/>
    <w:rsid w:val="26265483"/>
    <w:rsid w:val="26351C0F"/>
    <w:rsid w:val="264471C6"/>
    <w:rsid w:val="26A36CD3"/>
    <w:rsid w:val="26AA62DB"/>
    <w:rsid w:val="26B9340C"/>
    <w:rsid w:val="26D25226"/>
    <w:rsid w:val="284534CD"/>
    <w:rsid w:val="2906688B"/>
    <w:rsid w:val="2930142C"/>
    <w:rsid w:val="2A4D1CD3"/>
    <w:rsid w:val="2A6312C5"/>
    <w:rsid w:val="2A947685"/>
    <w:rsid w:val="2AD13990"/>
    <w:rsid w:val="2B1D3BAD"/>
    <w:rsid w:val="2BB7066B"/>
    <w:rsid w:val="2BE46CB6"/>
    <w:rsid w:val="2C0840FB"/>
    <w:rsid w:val="2C0954BB"/>
    <w:rsid w:val="2C192FB5"/>
    <w:rsid w:val="2D2F4D5E"/>
    <w:rsid w:val="2D946321"/>
    <w:rsid w:val="2FFA2029"/>
    <w:rsid w:val="31CD3195"/>
    <w:rsid w:val="32E13DEA"/>
    <w:rsid w:val="331C1D54"/>
    <w:rsid w:val="331D7851"/>
    <w:rsid w:val="336640DF"/>
    <w:rsid w:val="336773A2"/>
    <w:rsid w:val="341B00A5"/>
    <w:rsid w:val="34C0167E"/>
    <w:rsid w:val="3577082C"/>
    <w:rsid w:val="35976B2D"/>
    <w:rsid w:val="35E13004"/>
    <w:rsid w:val="360F23FC"/>
    <w:rsid w:val="36112732"/>
    <w:rsid w:val="365A7770"/>
    <w:rsid w:val="36C1635E"/>
    <w:rsid w:val="378E0F6A"/>
    <w:rsid w:val="37E53E5A"/>
    <w:rsid w:val="38F838AB"/>
    <w:rsid w:val="3A2D08E8"/>
    <w:rsid w:val="3AEA1B07"/>
    <w:rsid w:val="3B062D80"/>
    <w:rsid w:val="3B51036B"/>
    <w:rsid w:val="3B531703"/>
    <w:rsid w:val="3DB14F91"/>
    <w:rsid w:val="3E3D38EC"/>
    <w:rsid w:val="3F3D113E"/>
    <w:rsid w:val="3F871E17"/>
    <w:rsid w:val="3FC73256"/>
    <w:rsid w:val="3FF47AD0"/>
    <w:rsid w:val="40404B2D"/>
    <w:rsid w:val="40412D53"/>
    <w:rsid w:val="405904C7"/>
    <w:rsid w:val="40A9786C"/>
    <w:rsid w:val="40EA6DA0"/>
    <w:rsid w:val="415351FD"/>
    <w:rsid w:val="41B911D9"/>
    <w:rsid w:val="41DB31CA"/>
    <w:rsid w:val="42411286"/>
    <w:rsid w:val="42A8486F"/>
    <w:rsid w:val="42CE77DC"/>
    <w:rsid w:val="4351130C"/>
    <w:rsid w:val="458E4926"/>
    <w:rsid w:val="45A3697F"/>
    <w:rsid w:val="45D54999"/>
    <w:rsid w:val="45FB0E39"/>
    <w:rsid w:val="469E3156"/>
    <w:rsid w:val="477D0B96"/>
    <w:rsid w:val="493C36E5"/>
    <w:rsid w:val="49730B1D"/>
    <w:rsid w:val="49D547D7"/>
    <w:rsid w:val="4B9A2945"/>
    <w:rsid w:val="4C600F0A"/>
    <w:rsid w:val="4CA00282"/>
    <w:rsid w:val="4CA57EF7"/>
    <w:rsid w:val="4D344DD8"/>
    <w:rsid w:val="4E145669"/>
    <w:rsid w:val="4FAA3762"/>
    <w:rsid w:val="503D64B8"/>
    <w:rsid w:val="50935D71"/>
    <w:rsid w:val="52327BFD"/>
    <w:rsid w:val="52AE0292"/>
    <w:rsid w:val="52C84F9C"/>
    <w:rsid w:val="52EF39E7"/>
    <w:rsid w:val="53D21809"/>
    <w:rsid w:val="54063B97"/>
    <w:rsid w:val="545021DD"/>
    <w:rsid w:val="547E6335"/>
    <w:rsid w:val="548418BD"/>
    <w:rsid w:val="54F733A3"/>
    <w:rsid w:val="55446B86"/>
    <w:rsid w:val="557C2F60"/>
    <w:rsid w:val="5594795D"/>
    <w:rsid w:val="56361976"/>
    <w:rsid w:val="56D95C53"/>
    <w:rsid w:val="56EB2F1C"/>
    <w:rsid w:val="5772549B"/>
    <w:rsid w:val="57C27305"/>
    <w:rsid w:val="58234108"/>
    <w:rsid w:val="586F0E15"/>
    <w:rsid w:val="58E92F8C"/>
    <w:rsid w:val="5918390E"/>
    <w:rsid w:val="593E1C02"/>
    <w:rsid w:val="59A22338"/>
    <w:rsid w:val="5A693273"/>
    <w:rsid w:val="5A6951F3"/>
    <w:rsid w:val="5A9977C2"/>
    <w:rsid w:val="5B6B0DBA"/>
    <w:rsid w:val="5C003935"/>
    <w:rsid w:val="5C07551A"/>
    <w:rsid w:val="5C1E08E3"/>
    <w:rsid w:val="5C634802"/>
    <w:rsid w:val="5CB66792"/>
    <w:rsid w:val="5CC642F3"/>
    <w:rsid w:val="5E094BBE"/>
    <w:rsid w:val="5E3379FA"/>
    <w:rsid w:val="5E412C38"/>
    <w:rsid w:val="5F0167AA"/>
    <w:rsid w:val="5F284B06"/>
    <w:rsid w:val="5F353CB5"/>
    <w:rsid w:val="5F4B19FF"/>
    <w:rsid w:val="5F6429C7"/>
    <w:rsid w:val="60093D47"/>
    <w:rsid w:val="60563CB7"/>
    <w:rsid w:val="606F6E3F"/>
    <w:rsid w:val="613C71BD"/>
    <w:rsid w:val="615B6749"/>
    <w:rsid w:val="622C75D8"/>
    <w:rsid w:val="63904FE3"/>
    <w:rsid w:val="641A09B9"/>
    <w:rsid w:val="642F4735"/>
    <w:rsid w:val="648A7D2A"/>
    <w:rsid w:val="64B71E2E"/>
    <w:rsid w:val="65334B65"/>
    <w:rsid w:val="656A3ADE"/>
    <w:rsid w:val="65724A28"/>
    <w:rsid w:val="6586160D"/>
    <w:rsid w:val="65C46213"/>
    <w:rsid w:val="66400D4E"/>
    <w:rsid w:val="67884BEB"/>
    <w:rsid w:val="67885022"/>
    <w:rsid w:val="68B2012E"/>
    <w:rsid w:val="68E4520C"/>
    <w:rsid w:val="68FD4BB4"/>
    <w:rsid w:val="69634BC7"/>
    <w:rsid w:val="69674FF3"/>
    <w:rsid w:val="69A94D64"/>
    <w:rsid w:val="69B2144C"/>
    <w:rsid w:val="69ED7834"/>
    <w:rsid w:val="6A8C08AE"/>
    <w:rsid w:val="6AB87835"/>
    <w:rsid w:val="6AE36966"/>
    <w:rsid w:val="6B836F6D"/>
    <w:rsid w:val="6BBF7EEE"/>
    <w:rsid w:val="6D1F5A5E"/>
    <w:rsid w:val="6D654C96"/>
    <w:rsid w:val="6DB30E52"/>
    <w:rsid w:val="6F3E2A96"/>
    <w:rsid w:val="6F9F70EA"/>
    <w:rsid w:val="6FAF1A22"/>
    <w:rsid w:val="6FE5677F"/>
    <w:rsid w:val="6FE612EC"/>
    <w:rsid w:val="715327AC"/>
    <w:rsid w:val="72C46C06"/>
    <w:rsid w:val="72D0771C"/>
    <w:rsid w:val="73590636"/>
    <w:rsid w:val="73646CBC"/>
    <w:rsid w:val="73A06775"/>
    <w:rsid w:val="73FE47A6"/>
    <w:rsid w:val="74544F7D"/>
    <w:rsid w:val="747B1953"/>
    <w:rsid w:val="74F22C25"/>
    <w:rsid w:val="75956A46"/>
    <w:rsid w:val="75B301BA"/>
    <w:rsid w:val="76FE044B"/>
    <w:rsid w:val="77153F52"/>
    <w:rsid w:val="77565A2B"/>
    <w:rsid w:val="77D52E62"/>
    <w:rsid w:val="78090097"/>
    <w:rsid w:val="78C75A60"/>
    <w:rsid w:val="78F63940"/>
    <w:rsid w:val="790F0804"/>
    <w:rsid w:val="79501600"/>
    <w:rsid w:val="79FC12C1"/>
    <w:rsid w:val="7A043BA8"/>
    <w:rsid w:val="7A8D0632"/>
    <w:rsid w:val="7AEF1783"/>
    <w:rsid w:val="7B1B66DA"/>
    <w:rsid w:val="7BD00F9E"/>
    <w:rsid w:val="7D195D1A"/>
    <w:rsid w:val="7DB511E9"/>
    <w:rsid w:val="7E2D7A8F"/>
    <w:rsid w:val="7E2F5334"/>
    <w:rsid w:val="7E3D535C"/>
    <w:rsid w:val="7E4348D5"/>
    <w:rsid w:val="7E7E3DD3"/>
    <w:rsid w:val="7E85626A"/>
    <w:rsid w:val="7EDA1B2A"/>
    <w:rsid w:val="7F186123"/>
    <w:rsid w:val="7FE736B8"/>
    <w:rsid w:val="7FEA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8">
    <w:name w:val="Hyperlink"/>
    <w:basedOn w:val="7"/>
    <w:qFormat/>
    <w:uiPriority w:val="0"/>
    <w:rPr>
      <w:color w:val="0000FF"/>
      <w:u w:val="single"/>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一级无"/>
    <w:basedOn w:val="11"/>
    <w:qFormat/>
    <w:uiPriority w:val="0"/>
    <w:pPr>
      <w:spacing w:before="0" w:beforeLines="0" w:after="0" w:afterLines="0"/>
    </w:pPr>
    <w:rPr>
      <w:rFonts w:ascii="宋体" w:eastAsia="宋体"/>
    </w:rPr>
  </w:style>
  <w:style w:type="paragraph" w:customStyle="1" w:styleId="11">
    <w:name w:val="一级条标题"/>
    <w:next w:val="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2795</Words>
  <Characters>3413</Characters>
  <Lines>0</Lines>
  <Paragraphs>0</Paragraphs>
  <TotalTime>226</TotalTime>
  <ScaleCrop>false</ScaleCrop>
  <LinksUpToDate>false</LinksUpToDate>
  <CharactersWithSpaces>3515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2023-07-19T09:26:00Z</dcterms:created>
  <dc:creator>Lenovo</dc:creator>
  <cp:lastModifiedBy>仰望星空</cp:lastModifiedBy>
  <cp:lastPrinted>2023-12-22T03:21:04Z</cp:lastPrinted>
  <dcterms:modified xsi:type="dcterms:W3CDTF">2023-12-22T05:26:02Z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4B8E569EA86440FF927882947CE49091_12</vt:lpwstr>
  </property>
</Properties>
</file>