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F65" w14:textId="14B25961" w:rsidR="006C5F27" w:rsidRDefault="00D756D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东莞市茶文化促进会</w:t>
      </w:r>
      <w:r w:rsidR="00755812">
        <w:rPr>
          <w:rFonts w:ascii="宋体" w:hAnsi="宋体" w:cs="宋体" w:hint="eastAsia"/>
          <w:b/>
          <w:bCs/>
          <w:sz w:val="32"/>
          <w:szCs w:val="32"/>
        </w:rPr>
        <w:t>团体</w:t>
      </w:r>
      <w:r w:rsidR="00A92074">
        <w:rPr>
          <w:rFonts w:ascii="宋体" w:hAnsi="宋体" w:cs="宋体" w:hint="eastAsia"/>
          <w:b/>
          <w:bCs/>
          <w:sz w:val="32"/>
          <w:szCs w:val="32"/>
        </w:rPr>
        <w:t>标准</w:t>
      </w:r>
    </w:p>
    <w:p w14:paraId="302C6271" w14:textId="5CBEC140" w:rsidR="006C5F27" w:rsidRDefault="00A92074" w:rsidP="007F441D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2C5880">
        <w:rPr>
          <w:rFonts w:ascii="宋体" w:hAnsi="宋体" w:cs="宋体" w:hint="eastAsia"/>
          <w:b/>
          <w:bCs/>
          <w:sz w:val="32"/>
          <w:szCs w:val="32"/>
        </w:rPr>
        <w:t xml:space="preserve">福鼎白茶 </w:t>
      </w:r>
      <w:r w:rsidR="002E549E">
        <w:rPr>
          <w:rFonts w:ascii="宋体" w:hAnsi="宋体" w:cs="宋体" w:hint="eastAsia"/>
          <w:b/>
          <w:bCs/>
          <w:sz w:val="32"/>
          <w:szCs w:val="32"/>
        </w:rPr>
        <w:t>仓储管理评价规范</w:t>
      </w:r>
      <w:r>
        <w:rPr>
          <w:rFonts w:ascii="宋体" w:hAnsi="宋体" w:cs="宋体" w:hint="eastAsia"/>
          <w:b/>
          <w:bCs/>
          <w:sz w:val="32"/>
          <w:szCs w:val="32"/>
        </w:rPr>
        <w:t>》编制说明</w:t>
      </w:r>
    </w:p>
    <w:p w14:paraId="31C95B79" w14:textId="39B80919" w:rsidR="006C5F27" w:rsidRDefault="00A92074">
      <w:pPr>
        <w:ind w:firstLineChars="200" w:firstLine="562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一 、任务来源</w:t>
      </w:r>
    </w:p>
    <w:p w14:paraId="6853136B" w14:textId="66AD0806" w:rsidR="00C940B6" w:rsidRPr="00B8618A" w:rsidRDefault="00C940B6" w:rsidP="00B8618A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Cs w:val="28"/>
        </w:rPr>
        <w:t>为贯彻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实施《中华人民共和国标准化法》及《深化标准化工作改革方案》等法律文件要求，以市场化为导向，</w:t>
      </w:r>
      <w:bookmarkStart w:id="0" w:name="_Hlk133504803"/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综合发挥标准引领产业发展作用</w:t>
      </w:r>
      <w:bookmarkEnd w:id="0"/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，积极规范</w:t>
      </w:r>
      <w:r w:rsidR="003B0514" w:rsidRPr="003B0514">
        <w:rPr>
          <w:rFonts w:ascii="宋体" w:hAnsi="宋体" w:cs="宋体" w:hint="eastAsia"/>
          <w:color w:val="000000" w:themeColor="text1"/>
          <w:kern w:val="0"/>
          <w:szCs w:val="28"/>
        </w:rPr>
        <w:t>福鼎白茶仓储管理</w:t>
      </w:r>
      <w:r w:rsidR="002E549E">
        <w:rPr>
          <w:rFonts w:ascii="宋体" w:hAnsi="宋体" w:cs="宋体" w:hint="eastAsia"/>
          <w:color w:val="000000" w:themeColor="text1"/>
          <w:kern w:val="0"/>
          <w:szCs w:val="28"/>
        </w:rPr>
        <w:t>评价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工作，促进</w:t>
      </w:r>
      <w:r w:rsidR="003B0514" w:rsidRPr="003B0514">
        <w:rPr>
          <w:rFonts w:ascii="宋体" w:hAnsi="宋体" w:cs="宋体" w:hint="eastAsia"/>
          <w:color w:val="000000" w:themeColor="text1"/>
          <w:kern w:val="0"/>
          <w:szCs w:val="28"/>
        </w:rPr>
        <w:t>福鼎白茶仓储管理</w:t>
      </w:r>
      <w:r w:rsidR="009465B5">
        <w:rPr>
          <w:rFonts w:ascii="宋体" w:hAnsi="宋体" w:cs="宋体" w:hint="eastAsia"/>
          <w:color w:val="000000" w:themeColor="text1"/>
          <w:kern w:val="0"/>
          <w:szCs w:val="28"/>
        </w:rPr>
        <w:t>可持续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发展，</w:t>
      </w:r>
      <w:r w:rsidR="00E566F3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牵头立项并联合相关产业链有关单位共同负责起草《</w:t>
      </w:r>
      <w:r w:rsidR="002C5880">
        <w:rPr>
          <w:rFonts w:ascii="宋体" w:hAnsi="宋体" w:cs="宋体" w:hint="eastAsia"/>
          <w:color w:val="000000" w:themeColor="text1"/>
          <w:kern w:val="0"/>
          <w:szCs w:val="28"/>
        </w:rPr>
        <w:t xml:space="preserve">福鼎白茶 </w:t>
      </w:r>
      <w:r w:rsidR="002E549E">
        <w:rPr>
          <w:rFonts w:ascii="宋体" w:hAnsi="宋体" w:cs="宋体" w:hint="eastAsia"/>
          <w:color w:val="000000" w:themeColor="text1"/>
          <w:kern w:val="0"/>
          <w:szCs w:val="28"/>
        </w:rPr>
        <w:t>仓储管理评价规范</w:t>
      </w:r>
      <w:r w:rsidRPr="00C940B6">
        <w:rPr>
          <w:rFonts w:ascii="宋体" w:hAnsi="宋体" w:cs="宋体" w:hint="eastAsia"/>
          <w:color w:val="000000" w:themeColor="text1"/>
          <w:kern w:val="0"/>
          <w:szCs w:val="28"/>
        </w:rPr>
        <w:t>》团体标准。</w:t>
      </w:r>
    </w:p>
    <w:p w14:paraId="31D692B7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二、编制背景、目的和意义</w:t>
      </w:r>
    </w:p>
    <w:p w14:paraId="0643A163" w14:textId="5BE3E01F" w:rsidR="008366C5" w:rsidRPr="008366C5" w:rsidRDefault="00E566F3" w:rsidP="008366C5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 w:rsidRPr="00E566F3">
        <w:rPr>
          <w:rFonts w:ascii="宋体" w:hAnsi="宋体" w:cs="宋体" w:hint="eastAsia"/>
          <w:color w:val="000000" w:themeColor="text1"/>
          <w:kern w:val="0"/>
          <w:szCs w:val="28"/>
        </w:rPr>
        <w:t>福鼎白茶，福建省宁德市福鼎市特产，中国国家地理标志产品，它以其独特的香气、清爽的口感和匀整的外形而广受欢迎</w:t>
      </w:r>
      <w:r w:rsidR="008366C5" w:rsidRPr="008366C5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05B094FE" w14:textId="6F1550D4" w:rsidR="008366C5" w:rsidRDefault="002E549E" w:rsidP="008366C5">
      <w:pPr>
        <w:ind w:firstLineChars="202" w:firstLine="566"/>
        <w:rPr>
          <w:rFonts w:ascii="宋体" w:hAnsi="宋体" w:cs="宋体"/>
          <w:color w:val="000000" w:themeColor="text1"/>
          <w:kern w:val="0"/>
          <w:szCs w:val="28"/>
        </w:rPr>
      </w:pPr>
      <w:r w:rsidRPr="002E549E">
        <w:rPr>
          <w:rFonts w:ascii="宋体" w:hAnsi="宋体" w:cs="宋体" w:hint="eastAsia"/>
          <w:color w:val="000000" w:themeColor="text1"/>
          <w:kern w:val="0"/>
          <w:szCs w:val="28"/>
        </w:rPr>
        <w:t>“一年茶、三年品、七年宝”，这说的不只是白茶陈化的时间，更是白茶的仓储。白茶的仓储对白茶后期的转化有至关重要的作用，因此白茶的合理存放过程也可以视为白茶加工的延续</w:t>
      </w:r>
      <w:r w:rsidR="008366C5" w:rsidRPr="008366C5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490619C2" w14:textId="77777777" w:rsidR="002E549E" w:rsidRPr="002E549E" w:rsidRDefault="002E549E" w:rsidP="002E549E">
      <w:pPr>
        <w:ind w:firstLineChars="202" w:firstLine="566"/>
        <w:rPr>
          <w:rFonts w:ascii="宋体" w:hAnsi="宋体" w:cs="Arial" w:hint="eastAsia"/>
          <w:color w:val="333333"/>
          <w:szCs w:val="28"/>
          <w:shd w:val="clear" w:color="auto" w:fill="FFFFFF"/>
        </w:rPr>
      </w:pPr>
      <w:r w:rsidRPr="002E549E">
        <w:rPr>
          <w:rFonts w:ascii="宋体" w:hAnsi="宋体" w:cs="Arial" w:hint="eastAsia"/>
          <w:color w:val="333333"/>
          <w:szCs w:val="28"/>
          <w:shd w:val="clear" w:color="auto" w:fill="FFFFFF"/>
        </w:rPr>
        <w:t>经过常年的仓储氧化，茶叶中的茶黄素和茶褐素逐渐改变增加，茶汤逐渐从浅黄沉淀为杏黄，再到琥珀红；滋味也越发变得醇厚；而香气成分的逐渐挥发，让新茶最初的毫香蜕变为荷叶香、枣香或药香。</w:t>
      </w:r>
    </w:p>
    <w:p w14:paraId="0A1714BA" w14:textId="77777777" w:rsidR="002E549E" w:rsidRPr="002E549E" w:rsidRDefault="002E549E" w:rsidP="002E549E">
      <w:pPr>
        <w:ind w:firstLineChars="202" w:firstLine="566"/>
        <w:rPr>
          <w:rFonts w:ascii="宋体" w:hAnsi="宋体" w:cs="Arial" w:hint="eastAsia"/>
          <w:color w:val="333333"/>
          <w:szCs w:val="28"/>
          <w:shd w:val="clear" w:color="auto" w:fill="FFFFFF"/>
        </w:rPr>
      </w:pPr>
      <w:r w:rsidRPr="002E549E">
        <w:rPr>
          <w:rFonts w:ascii="宋体" w:hAnsi="宋体" w:cs="Arial" w:hint="eastAsia"/>
          <w:color w:val="333333"/>
          <w:szCs w:val="28"/>
          <w:shd w:val="clear" w:color="auto" w:fill="FFFFFF"/>
        </w:rPr>
        <w:t>好的仓储环境、仓储管理才是白茶获得良好转化的基础，因此，</w:t>
      </w:r>
    </w:p>
    <w:p w14:paraId="42040973" w14:textId="5F898427" w:rsidR="008366C5" w:rsidRPr="008366C5" w:rsidRDefault="002E549E" w:rsidP="002E549E">
      <w:pPr>
        <w:rPr>
          <w:rFonts w:ascii="宋体" w:hAnsi="宋体" w:cs="宋体"/>
          <w:color w:val="000000" w:themeColor="text1"/>
          <w:kern w:val="0"/>
          <w:szCs w:val="28"/>
        </w:rPr>
      </w:pPr>
      <w:r w:rsidRPr="002E549E">
        <w:rPr>
          <w:rFonts w:ascii="宋体" w:hAnsi="宋体" w:cs="Arial" w:hint="eastAsia"/>
          <w:color w:val="333333"/>
          <w:szCs w:val="28"/>
          <w:shd w:val="clear" w:color="auto" w:fill="FFFFFF"/>
        </w:rPr>
        <w:t>本标准在行业成熟经验的基础上，依托起草单位在仓储管理评价工作等方面的丰富经验的基础，旨在为广大白茶产品茶仓，第三方白茶仓储运营管理方等提供一种系统科学、可操作的仓储品质评价规范，促</w:t>
      </w:r>
      <w:r w:rsidRPr="002E549E">
        <w:rPr>
          <w:rFonts w:ascii="宋体" w:hAnsi="宋体" w:cs="Arial" w:hint="eastAsia"/>
          <w:color w:val="333333"/>
          <w:szCs w:val="28"/>
          <w:shd w:val="clear" w:color="auto" w:fill="FFFFFF"/>
        </w:rPr>
        <w:lastRenderedPageBreak/>
        <w:t>进福鼎白茶行业的健康发展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。</w:t>
      </w:r>
    </w:p>
    <w:p w14:paraId="74D81258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三、编制思路和依据</w:t>
      </w:r>
    </w:p>
    <w:p w14:paraId="2044A14C" w14:textId="582DC539" w:rsidR="006C5F27" w:rsidRPr="00D938F2" w:rsidRDefault="00A92074" w:rsidP="00D938F2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本标准立足于国家出台的有关</w:t>
      </w:r>
      <w:r w:rsidR="00E566F3">
        <w:rPr>
          <w:rFonts w:ascii="宋体" w:hAnsi="宋体" w:cs="宋体" w:hint="eastAsia"/>
          <w:kern w:val="0"/>
          <w:szCs w:val="28"/>
        </w:rPr>
        <w:t>茶叶</w:t>
      </w:r>
      <w:r w:rsidR="00D938F2">
        <w:rPr>
          <w:rFonts w:ascii="宋体" w:hAnsi="宋体" w:cs="宋体" w:hint="eastAsia"/>
          <w:kern w:val="0"/>
          <w:szCs w:val="28"/>
        </w:rPr>
        <w:t>、</w:t>
      </w:r>
      <w:r w:rsidR="00E566F3">
        <w:rPr>
          <w:rFonts w:ascii="宋体" w:hAnsi="宋体" w:cs="宋体" w:hint="eastAsia"/>
          <w:kern w:val="0"/>
          <w:szCs w:val="28"/>
        </w:rPr>
        <w:t>白茶、仓储管理</w:t>
      </w:r>
      <w:r w:rsidR="002E549E">
        <w:rPr>
          <w:rFonts w:ascii="宋体" w:hAnsi="宋体" w:cs="宋体" w:hint="eastAsia"/>
          <w:kern w:val="0"/>
          <w:szCs w:val="28"/>
        </w:rPr>
        <w:t>及评价</w:t>
      </w:r>
      <w:r w:rsidR="00E566F3">
        <w:rPr>
          <w:rFonts w:ascii="宋体" w:hAnsi="宋体" w:cs="宋体" w:hint="eastAsia"/>
          <w:kern w:val="0"/>
          <w:szCs w:val="28"/>
        </w:rPr>
        <w:t>领域</w:t>
      </w:r>
      <w:r>
        <w:rPr>
          <w:rFonts w:ascii="宋体" w:hAnsi="宋体" w:cs="宋体" w:hint="eastAsia"/>
          <w:kern w:val="0"/>
          <w:szCs w:val="28"/>
        </w:rPr>
        <w:t>的法律法规</w:t>
      </w:r>
      <w:r w:rsidR="00D938F2">
        <w:rPr>
          <w:rFonts w:ascii="宋体" w:hAnsi="宋体" w:cs="宋体" w:hint="eastAsia"/>
          <w:kern w:val="0"/>
          <w:szCs w:val="28"/>
        </w:rPr>
        <w:t>、政策文件、相关标准</w:t>
      </w:r>
      <w:r>
        <w:rPr>
          <w:rFonts w:ascii="宋体" w:hAnsi="宋体" w:cs="宋体" w:hint="eastAsia"/>
          <w:kern w:val="0"/>
          <w:szCs w:val="28"/>
        </w:rPr>
        <w:t>，结合</w:t>
      </w:r>
      <w:r w:rsidR="00E566F3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>
        <w:rPr>
          <w:rFonts w:ascii="宋体" w:hAnsi="宋体" w:cs="宋体" w:hint="eastAsia"/>
          <w:kern w:val="0"/>
          <w:szCs w:val="28"/>
        </w:rPr>
        <w:t>的</w:t>
      </w:r>
      <w:r w:rsidR="00E566F3">
        <w:rPr>
          <w:rFonts w:ascii="宋体" w:hAnsi="宋体" w:cs="宋体" w:hint="eastAsia"/>
          <w:kern w:val="0"/>
          <w:szCs w:val="28"/>
        </w:rPr>
        <w:t>白茶仓储管理</w:t>
      </w:r>
      <w:r w:rsidR="002E549E">
        <w:rPr>
          <w:rFonts w:ascii="宋体" w:hAnsi="宋体" w:cs="宋体" w:hint="eastAsia"/>
          <w:kern w:val="0"/>
          <w:szCs w:val="28"/>
        </w:rPr>
        <w:t>评价工作</w:t>
      </w:r>
      <w:r w:rsidR="00D938F2">
        <w:rPr>
          <w:rFonts w:ascii="宋体" w:hAnsi="宋体" w:cs="宋体" w:hint="eastAsia"/>
          <w:kern w:val="0"/>
          <w:szCs w:val="28"/>
        </w:rPr>
        <w:t>实际要求</w:t>
      </w:r>
      <w:r>
        <w:rPr>
          <w:rFonts w:ascii="宋体" w:hAnsi="宋体" w:cs="宋体" w:hint="eastAsia"/>
          <w:kern w:val="0"/>
          <w:szCs w:val="28"/>
        </w:rPr>
        <w:t>，旨在为提供一种科学导向</w:t>
      </w:r>
      <w:r w:rsidR="00D938F2">
        <w:rPr>
          <w:rFonts w:ascii="宋体" w:hAnsi="宋体" w:cs="宋体" w:hint="eastAsia"/>
          <w:kern w:val="0"/>
          <w:szCs w:val="28"/>
        </w:rPr>
        <w:t>的</w:t>
      </w:r>
      <w:r w:rsidR="00E566F3" w:rsidRPr="00E566F3">
        <w:rPr>
          <w:rFonts w:ascii="宋体" w:hAnsi="宋体" w:cs="宋体" w:hint="eastAsia"/>
          <w:kern w:val="0"/>
          <w:szCs w:val="28"/>
        </w:rPr>
        <w:t>福鼎白茶仓储管理</w:t>
      </w:r>
      <w:r w:rsidR="002E549E">
        <w:rPr>
          <w:rFonts w:ascii="宋体" w:hAnsi="宋体" w:cs="宋体" w:hint="eastAsia"/>
          <w:kern w:val="0"/>
          <w:szCs w:val="28"/>
        </w:rPr>
        <w:t>评价</w:t>
      </w:r>
      <w:r w:rsidR="00D938F2">
        <w:rPr>
          <w:rFonts w:ascii="宋体" w:hAnsi="宋体" w:cs="宋体" w:hint="eastAsia"/>
          <w:kern w:val="0"/>
          <w:szCs w:val="28"/>
        </w:rPr>
        <w:t>标准</w:t>
      </w:r>
      <w:r>
        <w:rPr>
          <w:rFonts w:ascii="宋体" w:hAnsi="宋体" w:cs="宋体" w:hint="eastAsia"/>
          <w:kern w:val="0"/>
          <w:szCs w:val="28"/>
        </w:rPr>
        <w:t>，内容涉及</w:t>
      </w:r>
      <w:r w:rsidR="002C5880">
        <w:rPr>
          <w:rFonts w:ascii="宋体" w:hAnsi="宋体" w:cs="宋体" w:hint="eastAsia"/>
          <w:kern w:val="0"/>
          <w:szCs w:val="28"/>
        </w:rPr>
        <w:t>福鼎白茶仓储管理</w:t>
      </w:r>
      <w:r w:rsidR="00D938F2">
        <w:rPr>
          <w:rFonts w:ascii="宋体" w:hAnsi="宋体" w:cs="宋体" w:hint="eastAsia"/>
          <w:kern w:val="0"/>
          <w:szCs w:val="28"/>
        </w:rPr>
        <w:t>的术语和定义、</w:t>
      </w:r>
      <w:r w:rsidR="002E549E">
        <w:rPr>
          <w:rFonts w:ascii="宋体" w:hAnsi="宋体" w:cs="宋体" w:hint="eastAsia"/>
          <w:kern w:val="0"/>
          <w:szCs w:val="28"/>
        </w:rPr>
        <w:t>评价原则、基本条件、评价指标体系、评价方法与程序、评价结果及应用</w:t>
      </w:r>
      <w:r w:rsidR="00846D5B" w:rsidRPr="00846D5B">
        <w:rPr>
          <w:rFonts w:ascii="宋体" w:hAnsi="宋体" w:cs="宋体" w:hint="eastAsia"/>
          <w:kern w:val="0"/>
          <w:szCs w:val="28"/>
        </w:rPr>
        <w:t>等</w:t>
      </w:r>
      <w:r>
        <w:rPr>
          <w:rFonts w:hint="eastAsia"/>
          <w:color w:val="000000"/>
        </w:rPr>
        <w:t>，</w:t>
      </w:r>
      <w:r>
        <w:rPr>
          <w:rFonts w:ascii="宋体" w:hAnsi="宋体" w:cs="宋体" w:hint="eastAsia"/>
          <w:kern w:val="0"/>
          <w:szCs w:val="28"/>
        </w:rPr>
        <w:t>并按GB/T 1.1-20</w:t>
      </w:r>
      <w:r w:rsidR="002B015A">
        <w:rPr>
          <w:rFonts w:ascii="宋体" w:hAnsi="宋体" w:cs="宋体"/>
          <w:kern w:val="0"/>
          <w:szCs w:val="28"/>
        </w:rPr>
        <w:t>20</w:t>
      </w:r>
      <w:r>
        <w:rPr>
          <w:rFonts w:ascii="宋体" w:hAnsi="宋体" w:cs="宋体" w:hint="eastAsia"/>
          <w:kern w:val="0"/>
          <w:szCs w:val="28"/>
        </w:rPr>
        <w:t>《</w:t>
      </w:r>
      <w:r w:rsidR="002B015A" w:rsidRPr="002B015A">
        <w:rPr>
          <w:rFonts w:ascii="宋体" w:hAnsi="宋体" w:cs="宋体" w:hint="eastAsia"/>
          <w:kern w:val="0"/>
          <w:szCs w:val="28"/>
        </w:rPr>
        <w:t>标准化工作导则 第1部分：标准化文件的结构和起草规则</w:t>
      </w:r>
      <w:r>
        <w:rPr>
          <w:rFonts w:ascii="宋体" w:hAnsi="宋体" w:cs="宋体" w:hint="eastAsia"/>
          <w:kern w:val="0"/>
          <w:szCs w:val="28"/>
        </w:rPr>
        <w:t>》的规定而制定。</w:t>
      </w:r>
    </w:p>
    <w:p w14:paraId="03ECA6AC" w14:textId="38C0142B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本标准编制过程中参考的政策、法规、标准如下：</w:t>
      </w:r>
    </w:p>
    <w:p w14:paraId="13D5E254" w14:textId="77777777" w:rsidR="002E549E" w:rsidRPr="002E549E" w:rsidRDefault="002E549E" w:rsidP="002E549E">
      <w:pPr>
        <w:ind w:firstLineChars="200" w:firstLine="560"/>
        <w:rPr>
          <w:rFonts w:ascii="宋体" w:hAnsi="宋体" w:cs="宋体" w:hint="eastAsia"/>
          <w:kern w:val="0"/>
          <w:szCs w:val="28"/>
        </w:rPr>
      </w:pPr>
      <w:r w:rsidRPr="002E549E">
        <w:rPr>
          <w:rFonts w:ascii="宋体" w:hAnsi="宋体" w:cs="宋体" w:hint="eastAsia"/>
          <w:kern w:val="0"/>
          <w:szCs w:val="28"/>
        </w:rPr>
        <w:t>GB/T 18354-2021  物流术语</w:t>
      </w:r>
    </w:p>
    <w:p w14:paraId="0F5859F4" w14:textId="77777777" w:rsidR="002E549E" w:rsidRPr="002E549E" w:rsidRDefault="002E549E" w:rsidP="002E549E">
      <w:pPr>
        <w:ind w:firstLineChars="200" w:firstLine="560"/>
        <w:rPr>
          <w:rFonts w:ascii="宋体" w:hAnsi="宋体" w:cs="宋体" w:hint="eastAsia"/>
          <w:kern w:val="0"/>
          <w:szCs w:val="28"/>
        </w:rPr>
      </w:pPr>
      <w:r w:rsidRPr="002E549E">
        <w:rPr>
          <w:rFonts w:ascii="宋体" w:hAnsi="宋体" w:cs="宋体" w:hint="eastAsia"/>
          <w:kern w:val="0"/>
          <w:szCs w:val="28"/>
        </w:rPr>
        <w:t>GB/T 27011  合格评定 认可机构要求</w:t>
      </w:r>
    </w:p>
    <w:p w14:paraId="50CA1549" w14:textId="0AC1C96F" w:rsidR="00DC00C6" w:rsidRPr="002E549E" w:rsidRDefault="002E549E" w:rsidP="002E549E">
      <w:pPr>
        <w:ind w:firstLineChars="200" w:firstLine="560"/>
        <w:rPr>
          <w:rFonts w:ascii="宋体" w:hAnsi="宋体" w:cs="宋体"/>
          <w:kern w:val="0"/>
          <w:szCs w:val="28"/>
        </w:rPr>
      </w:pPr>
      <w:r w:rsidRPr="002E549E">
        <w:rPr>
          <w:rFonts w:ascii="宋体" w:hAnsi="宋体" w:cs="宋体" w:hint="eastAsia"/>
          <w:kern w:val="0"/>
          <w:szCs w:val="28"/>
        </w:rPr>
        <w:t>GB/T 27024  合格评定 人员认证机构通用要求</w:t>
      </w:r>
    </w:p>
    <w:p w14:paraId="1C26062C" w14:textId="459E2381" w:rsidR="006C5F27" w:rsidRDefault="00A92074" w:rsidP="00C053A7">
      <w:pPr>
        <w:ind w:firstLineChars="200" w:firstLine="562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四、编制过程与内容的确定</w:t>
      </w:r>
    </w:p>
    <w:p w14:paraId="79C784B2" w14:textId="325009E3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1、项目立项</w:t>
      </w:r>
    </w:p>
    <w:p w14:paraId="763AA223" w14:textId="47596B22" w:rsidR="006C5F27" w:rsidRDefault="00A8145A" w:rsidP="009465B5">
      <w:pPr>
        <w:ind w:firstLineChars="200" w:firstLine="560"/>
        <w:rPr>
          <w:rFonts w:ascii="宋体" w:hAnsi="宋体" w:cs="宋体"/>
          <w:kern w:val="0"/>
          <w:szCs w:val="28"/>
        </w:rPr>
      </w:pPr>
      <w:r w:rsidRPr="00122B4E">
        <w:rPr>
          <w:rFonts w:ascii="宋体" w:hAnsi="宋体" w:cs="宋体"/>
          <w:color w:val="000000" w:themeColor="text1"/>
          <w:kern w:val="0"/>
          <w:szCs w:val="28"/>
        </w:rPr>
        <w:t>202</w:t>
      </w:r>
      <w:r w:rsidR="00F94985">
        <w:rPr>
          <w:rFonts w:ascii="宋体" w:hAnsi="宋体" w:cs="宋体"/>
          <w:color w:val="000000" w:themeColor="text1"/>
          <w:kern w:val="0"/>
          <w:szCs w:val="28"/>
        </w:rPr>
        <w:t>3</w:t>
      </w:r>
      <w:r w:rsidR="00A92074" w:rsidRPr="00122B4E">
        <w:rPr>
          <w:rFonts w:ascii="宋体" w:hAnsi="宋体" w:cs="宋体" w:hint="eastAsia"/>
          <w:color w:val="000000" w:themeColor="text1"/>
          <w:kern w:val="0"/>
          <w:szCs w:val="28"/>
        </w:rPr>
        <w:t>年</w:t>
      </w:r>
      <w:r w:rsidR="00F94985">
        <w:rPr>
          <w:rFonts w:ascii="宋体" w:hAnsi="宋体" w:cs="宋体"/>
          <w:color w:val="000000" w:themeColor="text1"/>
          <w:kern w:val="0"/>
          <w:szCs w:val="28"/>
        </w:rPr>
        <w:t>5</w:t>
      </w:r>
      <w:r w:rsidR="00A92074" w:rsidRPr="00122B4E">
        <w:rPr>
          <w:rFonts w:ascii="宋体" w:hAnsi="宋体" w:cs="宋体" w:hint="eastAsia"/>
          <w:color w:val="000000" w:themeColor="text1"/>
          <w:kern w:val="0"/>
          <w:szCs w:val="28"/>
        </w:rPr>
        <w:t>月，</w:t>
      </w:r>
      <w:r w:rsidR="004458B2">
        <w:rPr>
          <w:rFonts w:ascii="宋体" w:hAnsi="宋体" w:cs="宋体" w:hint="eastAsia"/>
          <w:color w:val="000000" w:themeColor="text1"/>
          <w:kern w:val="0"/>
          <w:szCs w:val="28"/>
        </w:rPr>
        <w:t>由</w:t>
      </w:r>
      <w:r w:rsidR="00D756D9">
        <w:rPr>
          <w:rFonts w:ascii="宋体" w:hAnsi="宋体" w:cs="宋体" w:hint="eastAsia"/>
          <w:kern w:val="0"/>
          <w:szCs w:val="28"/>
        </w:rPr>
        <w:t>东莞市茶文化促进会</w:t>
      </w:r>
      <w:r w:rsidR="004458B2">
        <w:rPr>
          <w:rFonts w:ascii="宋体" w:hAnsi="宋体" w:cs="宋体" w:hint="eastAsia"/>
          <w:kern w:val="0"/>
          <w:szCs w:val="28"/>
        </w:rPr>
        <w:t>、</w:t>
      </w:r>
      <w:r w:rsidR="00F94985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="009465B5" w:rsidRPr="009465B5">
        <w:rPr>
          <w:rFonts w:ascii="宋体" w:hAnsi="宋体" w:cs="宋体" w:hint="eastAsia"/>
          <w:kern w:val="0"/>
          <w:szCs w:val="28"/>
        </w:rPr>
        <w:t>及相关技术机构的相关技术人员</w:t>
      </w:r>
      <w:r w:rsidR="004458B2">
        <w:rPr>
          <w:rFonts w:ascii="宋体" w:hAnsi="宋体" w:cs="宋体" w:hint="eastAsia"/>
          <w:kern w:val="0"/>
          <w:szCs w:val="28"/>
        </w:rPr>
        <w:t>共同</w:t>
      </w:r>
      <w:r w:rsidR="009465B5" w:rsidRPr="009465B5">
        <w:rPr>
          <w:rFonts w:ascii="宋体" w:hAnsi="宋体" w:cs="宋体" w:hint="eastAsia"/>
          <w:kern w:val="0"/>
          <w:szCs w:val="28"/>
        </w:rPr>
        <w:t>成立了标准起草小组，制定了详细的工作方案和实施计划，并收集和整理相关的政策法规、标准、学术文献、案例材料，</w:t>
      </w:r>
      <w:r w:rsidR="004C7AE0">
        <w:rPr>
          <w:rFonts w:ascii="宋体" w:hAnsi="宋体" w:cs="宋体" w:hint="eastAsia"/>
          <w:kern w:val="0"/>
          <w:szCs w:val="28"/>
        </w:rPr>
        <w:t>走访相关协会，</w:t>
      </w:r>
      <w:r w:rsidR="009465B5" w:rsidRPr="009465B5">
        <w:rPr>
          <w:rFonts w:ascii="宋体" w:hAnsi="宋体" w:cs="宋体" w:hint="eastAsia"/>
          <w:kern w:val="0"/>
          <w:szCs w:val="28"/>
        </w:rPr>
        <w:t>在此基础上结合</w:t>
      </w:r>
      <w:r w:rsidR="00F94985" w:rsidRPr="00E566F3">
        <w:rPr>
          <w:rFonts w:ascii="宋体" w:hAnsi="宋体" w:cs="宋体" w:hint="eastAsia"/>
          <w:color w:val="000000" w:themeColor="text1"/>
          <w:kern w:val="0"/>
          <w:szCs w:val="28"/>
        </w:rPr>
        <w:t>东莞市山海川仓储管理有限公司</w:t>
      </w:r>
      <w:r w:rsidR="00F94985">
        <w:rPr>
          <w:rFonts w:ascii="宋体" w:hAnsi="宋体" w:cs="宋体" w:hint="eastAsia"/>
          <w:kern w:val="0"/>
          <w:szCs w:val="28"/>
        </w:rPr>
        <w:t>白茶仓储管理</w:t>
      </w:r>
      <w:r w:rsidR="002E549E">
        <w:rPr>
          <w:rFonts w:ascii="宋体" w:hAnsi="宋体" w:cs="宋体" w:hint="eastAsia"/>
          <w:kern w:val="0"/>
          <w:szCs w:val="28"/>
        </w:rPr>
        <w:t>评价</w:t>
      </w:r>
      <w:r w:rsidR="00F94985">
        <w:rPr>
          <w:rFonts w:ascii="宋体" w:hAnsi="宋体" w:cs="宋体" w:hint="eastAsia"/>
          <w:kern w:val="0"/>
          <w:szCs w:val="28"/>
        </w:rPr>
        <w:t>工作</w:t>
      </w:r>
      <w:r w:rsidR="009465B5" w:rsidRPr="009465B5">
        <w:rPr>
          <w:rFonts w:ascii="宋体" w:hAnsi="宋体" w:cs="宋体" w:hint="eastAsia"/>
          <w:kern w:val="0"/>
          <w:szCs w:val="28"/>
        </w:rPr>
        <w:t>实际，</w:t>
      </w:r>
      <w:r w:rsidR="004C7AE0">
        <w:rPr>
          <w:rFonts w:ascii="宋体" w:hAnsi="宋体" w:cs="宋体" w:hint="eastAsia"/>
          <w:kern w:val="0"/>
          <w:szCs w:val="28"/>
        </w:rPr>
        <w:t>多次</w:t>
      </w:r>
      <w:r w:rsidR="009465B5" w:rsidRPr="009465B5">
        <w:rPr>
          <w:rFonts w:ascii="宋体" w:hAnsi="宋体" w:cs="宋体" w:hint="eastAsia"/>
          <w:kern w:val="0"/>
          <w:szCs w:val="28"/>
        </w:rPr>
        <w:t>召开内部研讨会议，确定了标准</w:t>
      </w:r>
      <w:r w:rsidR="009465B5">
        <w:rPr>
          <w:rFonts w:ascii="宋体" w:hAnsi="宋体" w:cs="宋体" w:hint="eastAsia"/>
          <w:kern w:val="0"/>
          <w:szCs w:val="28"/>
        </w:rPr>
        <w:t>名称，并完成该项团体标准的立项工作</w:t>
      </w:r>
      <w:r w:rsidR="00A92074">
        <w:rPr>
          <w:rFonts w:ascii="宋体" w:hAnsi="宋体" w:cs="宋体" w:hint="eastAsia"/>
          <w:kern w:val="0"/>
          <w:szCs w:val="28"/>
        </w:rPr>
        <w:t>。</w:t>
      </w:r>
    </w:p>
    <w:p w14:paraId="426B141F" w14:textId="62C08F04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2、</w:t>
      </w:r>
      <w:r w:rsidR="004C7AE0">
        <w:rPr>
          <w:rFonts w:ascii="宋体" w:hAnsi="宋体" w:cs="宋体" w:hint="eastAsia"/>
          <w:kern w:val="0"/>
          <w:szCs w:val="28"/>
        </w:rPr>
        <w:t>标准</w:t>
      </w:r>
      <w:r w:rsidR="009465B5">
        <w:rPr>
          <w:rFonts w:ascii="宋体" w:hAnsi="宋体" w:cs="宋体" w:hint="eastAsia"/>
          <w:kern w:val="0"/>
          <w:szCs w:val="28"/>
        </w:rPr>
        <w:t>起草</w:t>
      </w:r>
    </w:p>
    <w:p w14:paraId="20EFC966" w14:textId="4BCF75CF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lastRenderedPageBreak/>
        <w:t>202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3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年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6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月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-</w:t>
      </w:r>
      <w:r w:rsidR="007A0D6D">
        <w:rPr>
          <w:rFonts w:ascii="宋体" w:hAnsi="宋体" w:cs="宋体"/>
          <w:color w:val="000000" w:themeColor="text1"/>
          <w:kern w:val="0"/>
          <w:szCs w:val="28"/>
        </w:rPr>
        <w:t>10</w:t>
      </w:r>
      <w:r w:rsidR="00C940B6">
        <w:rPr>
          <w:rFonts w:ascii="宋体" w:hAnsi="宋体" w:cs="宋体" w:hint="eastAsia"/>
          <w:color w:val="000000" w:themeColor="text1"/>
          <w:kern w:val="0"/>
          <w:szCs w:val="28"/>
        </w:rPr>
        <w:t>月</w:t>
      </w:r>
      <w:r w:rsidRPr="00122B4E">
        <w:rPr>
          <w:rFonts w:ascii="宋体" w:hAnsi="宋体" w:cs="宋体" w:hint="eastAsia"/>
          <w:color w:val="000000" w:themeColor="text1"/>
          <w:kern w:val="0"/>
          <w:szCs w:val="28"/>
        </w:rPr>
        <w:t>，</w:t>
      </w:r>
      <w:r w:rsidR="009465B5">
        <w:rPr>
          <w:rFonts w:ascii="宋体" w:hAnsi="宋体" w:cs="宋体"/>
          <w:kern w:val="0"/>
          <w:szCs w:val="28"/>
        </w:rPr>
        <w:t xml:space="preserve"> </w:t>
      </w:r>
      <w:r w:rsidR="004C7AE0" w:rsidRPr="004C7AE0">
        <w:rPr>
          <w:rFonts w:ascii="宋体" w:hAnsi="宋体" w:cs="宋体" w:hint="eastAsia"/>
          <w:kern w:val="0"/>
          <w:szCs w:val="28"/>
        </w:rPr>
        <w:t>标准起草小组在收集和整理相关的政策法规、标准资料</w:t>
      </w:r>
      <w:r w:rsidR="004458B2">
        <w:rPr>
          <w:rFonts w:ascii="宋体" w:hAnsi="宋体" w:cs="宋体" w:hint="eastAsia"/>
          <w:kern w:val="0"/>
          <w:szCs w:val="28"/>
        </w:rPr>
        <w:t>、对</w:t>
      </w:r>
      <w:r w:rsidR="007A0D6D">
        <w:rPr>
          <w:rFonts w:ascii="宋体" w:hAnsi="宋体" w:cs="宋体" w:hint="eastAsia"/>
          <w:kern w:val="0"/>
          <w:szCs w:val="28"/>
        </w:rPr>
        <w:t>有关茶仓、第三方仓储</w:t>
      </w:r>
      <w:r w:rsidR="002E549E">
        <w:rPr>
          <w:rFonts w:ascii="宋体" w:hAnsi="宋体" w:cs="宋体" w:hint="eastAsia"/>
          <w:kern w:val="0"/>
          <w:szCs w:val="28"/>
        </w:rPr>
        <w:t>及仓储评价</w:t>
      </w:r>
      <w:r w:rsidR="004458B2">
        <w:rPr>
          <w:rFonts w:ascii="宋体" w:hAnsi="宋体" w:cs="宋体" w:hint="eastAsia"/>
          <w:kern w:val="0"/>
          <w:szCs w:val="28"/>
        </w:rPr>
        <w:t>企业进行调研</w:t>
      </w:r>
      <w:r w:rsidR="004C7AE0" w:rsidRPr="004C7AE0">
        <w:rPr>
          <w:rFonts w:ascii="宋体" w:hAnsi="宋体" w:cs="宋体" w:hint="eastAsia"/>
          <w:kern w:val="0"/>
          <w:szCs w:val="28"/>
        </w:rPr>
        <w:t>的基础上，参考现有标准，</w:t>
      </w:r>
      <w:r w:rsidR="004458B2">
        <w:rPr>
          <w:rFonts w:ascii="宋体" w:hAnsi="宋体" w:cs="宋体" w:hint="eastAsia"/>
          <w:kern w:val="0"/>
          <w:szCs w:val="28"/>
        </w:rPr>
        <w:t>完成标准草案的起草。</w:t>
      </w:r>
    </w:p>
    <w:p w14:paraId="2A0E0341" w14:textId="361AE14F" w:rsidR="006C5F27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3、征求意见</w:t>
      </w:r>
    </w:p>
    <w:p w14:paraId="201F1379" w14:textId="7CCAA923" w:rsidR="00DC00C6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202</w:t>
      </w:r>
      <w:r w:rsidR="007A0D6D">
        <w:rPr>
          <w:rFonts w:ascii="宋体" w:hAnsi="宋体" w:cs="宋体"/>
          <w:kern w:val="0"/>
          <w:szCs w:val="28"/>
        </w:rPr>
        <w:t>3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1</w:t>
      </w:r>
      <w:r w:rsidR="007A0D6D">
        <w:rPr>
          <w:rFonts w:ascii="宋体" w:hAnsi="宋体" w:cs="宋体"/>
          <w:kern w:val="0"/>
          <w:szCs w:val="28"/>
        </w:rPr>
        <w:t>1</w:t>
      </w:r>
      <w:r>
        <w:rPr>
          <w:rFonts w:ascii="宋体" w:hAnsi="宋体" w:cs="宋体" w:hint="eastAsia"/>
          <w:kern w:val="0"/>
          <w:szCs w:val="28"/>
        </w:rPr>
        <w:t>月</w:t>
      </w:r>
      <w:r w:rsidRPr="004D2D2F">
        <w:rPr>
          <w:rFonts w:ascii="宋体" w:hAnsi="宋体" w:cs="宋体" w:hint="eastAsia"/>
          <w:kern w:val="0"/>
          <w:szCs w:val="28"/>
        </w:rPr>
        <w:t>-</w:t>
      </w:r>
      <w:r>
        <w:rPr>
          <w:rFonts w:ascii="宋体" w:hAnsi="宋体" w:cs="宋体"/>
          <w:kern w:val="0"/>
          <w:szCs w:val="28"/>
        </w:rPr>
        <w:t>2023</w:t>
      </w:r>
      <w:r>
        <w:rPr>
          <w:rFonts w:ascii="宋体" w:hAnsi="宋体" w:cs="宋体" w:hint="eastAsia"/>
          <w:kern w:val="0"/>
          <w:szCs w:val="28"/>
        </w:rPr>
        <w:t>年</w:t>
      </w:r>
      <w:r w:rsidR="007A0D6D">
        <w:rPr>
          <w:rFonts w:ascii="宋体" w:hAnsi="宋体" w:cs="宋体"/>
          <w:kern w:val="0"/>
          <w:szCs w:val="28"/>
        </w:rPr>
        <w:t>12</w:t>
      </w:r>
      <w:r w:rsidRPr="004D2D2F">
        <w:rPr>
          <w:rFonts w:ascii="宋体" w:hAnsi="宋体" w:cs="宋体" w:hint="eastAsia"/>
          <w:kern w:val="0"/>
          <w:szCs w:val="28"/>
        </w:rPr>
        <w:t>月，标准起草小组在已完善的标准草案的基础上，多次召开起草小组内部工作研讨会议，并通过线上线下多渠道积极向</w:t>
      </w:r>
      <w:r w:rsidR="007A0D6D">
        <w:rPr>
          <w:rFonts w:ascii="宋体" w:hAnsi="宋体" w:cs="宋体" w:hint="eastAsia"/>
          <w:kern w:val="0"/>
          <w:szCs w:val="28"/>
        </w:rPr>
        <w:t>白茶仓储</w:t>
      </w:r>
      <w:r w:rsidRPr="004D2D2F">
        <w:rPr>
          <w:rFonts w:ascii="宋体" w:hAnsi="宋体" w:cs="宋体" w:hint="eastAsia"/>
          <w:kern w:val="0"/>
          <w:szCs w:val="28"/>
        </w:rPr>
        <w:t>行业相关组织机构、协会各相关会员企业的意见建议，形成标准征求意见稿。</w:t>
      </w:r>
    </w:p>
    <w:p w14:paraId="7548C14D" w14:textId="77777777" w:rsidR="009465B5" w:rsidRDefault="00A92074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4、标准稿审查</w:t>
      </w:r>
    </w:p>
    <w:p w14:paraId="60D44F0D" w14:textId="16D83B38" w:rsidR="00DC00C6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 w:rsidR="007A0D6D"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 w:rsidR="007A0D6D"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日，</w:t>
      </w:r>
      <w:r w:rsidR="00D756D9">
        <w:rPr>
          <w:rFonts w:ascii="宋体" w:hAnsi="宋体" w:cs="宋体" w:hint="eastAsia"/>
          <w:kern w:val="0"/>
          <w:szCs w:val="28"/>
        </w:rPr>
        <w:t>东莞市茶文化促进会</w:t>
      </w:r>
      <w:r w:rsidRPr="004D2D2F">
        <w:rPr>
          <w:rFonts w:ascii="宋体" w:hAnsi="宋体" w:cs="宋体" w:hint="eastAsia"/>
          <w:kern w:val="0"/>
          <w:szCs w:val="28"/>
        </w:rPr>
        <w:t>组织行业专家在</w:t>
      </w:r>
      <w:r w:rsidR="007A0D6D">
        <w:rPr>
          <w:rFonts w:ascii="宋体" w:hAnsi="宋体" w:cs="宋体" w:hint="eastAsia"/>
          <w:kern w:val="0"/>
          <w:szCs w:val="28"/>
        </w:rPr>
        <w:t>东莞市茶文化促进会</w:t>
      </w:r>
      <w:r w:rsidRPr="004D2D2F">
        <w:rPr>
          <w:rFonts w:ascii="宋体" w:hAnsi="宋体" w:cs="宋体" w:hint="eastAsia"/>
          <w:kern w:val="0"/>
          <w:szCs w:val="28"/>
        </w:rPr>
        <w:t>有限公司会议室对该项团体标准召开了专家审查会，审查会专家认真听取了标准起草小组的介绍，就标准相关内容对起草人员进行细致询问，并认真对标准稿内容进行了审查，提出了宝贵的修改意见，专家组一致同意该标准稿通过审查，尽快发布并加强在行业协会内实施推广。</w:t>
      </w:r>
    </w:p>
    <w:p w14:paraId="66C0AC23" w14:textId="56B2C02F" w:rsidR="006C5F27" w:rsidRDefault="009465B5">
      <w:pPr>
        <w:ind w:firstLineChars="200" w:firstLine="560"/>
        <w:rPr>
          <w:rFonts w:ascii="宋体" w:hAnsi="宋体" w:cs="宋体"/>
          <w:kern w:val="0"/>
          <w:szCs w:val="28"/>
        </w:rPr>
      </w:pPr>
      <w:r>
        <w:rPr>
          <w:rFonts w:ascii="宋体" w:hAnsi="宋体" w:cs="宋体" w:hint="eastAsia"/>
          <w:kern w:val="0"/>
          <w:szCs w:val="28"/>
        </w:rPr>
        <w:t>5</w:t>
      </w:r>
      <w:r>
        <w:rPr>
          <w:rFonts w:ascii="宋体" w:hAnsi="宋体" w:cs="宋体"/>
          <w:kern w:val="0"/>
          <w:szCs w:val="28"/>
        </w:rPr>
        <w:t xml:space="preserve">. </w:t>
      </w:r>
      <w:r>
        <w:rPr>
          <w:rFonts w:ascii="宋体" w:hAnsi="宋体" w:cs="宋体" w:hint="eastAsia"/>
          <w:kern w:val="0"/>
          <w:szCs w:val="28"/>
        </w:rPr>
        <w:t>标准发布</w:t>
      </w:r>
    </w:p>
    <w:p w14:paraId="4A4F685F" w14:textId="50A798B5" w:rsidR="004D2D2F" w:rsidRDefault="004D2D2F">
      <w:pPr>
        <w:ind w:firstLineChars="200" w:firstLine="560"/>
        <w:rPr>
          <w:rFonts w:ascii="宋体" w:hAnsi="宋体" w:cs="宋体"/>
          <w:kern w:val="0"/>
          <w:szCs w:val="28"/>
        </w:rPr>
      </w:pPr>
      <w:r w:rsidRPr="004D2D2F">
        <w:rPr>
          <w:rFonts w:ascii="宋体" w:hAnsi="宋体" w:cs="宋体" w:hint="eastAsia"/>
          <w:kern w:val="0"/>
          <w:szCs w:val="28"/>
        </w:rPr>
        <w:t>在修订完善标准后，标准在全国</w:t>
      </w:r>
      <w:r>
        <w:rPr>
          <w:rFonts w:ascii="宋体" w:hAnsi="宋体" w:cs="宋体" w:hint="eastAsia"/>
          <w:kern w:val="0"/>
          <w:szCs w:val="28"/>
        </w:rPr>
        <w:t>团体</w:t>
      </w:r>
      <w:r w:rsidRPr="004D2D2F">
        <w:rPr>
          <w:rFonts w:ascii="宋体" w:hAnsi="宋体" w:cs="宋体" w:hint="eastAsia"/>
          <w:kern w:val="0"/>
          <w:szCs w:val="28"/>
        </w:rPr>
        <w:t>标准信息平台发布，标准发布日期：202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日；标准实施日期：202</w:t>
      </w:r>
      <w:r w:rsidR="007A0D6D">
        <w:rPr>
          <w:rFonts w:ascii="宋体" w:hAnsi="宋体" w:cs="宋体"/>
          <w:kern w:val="0"/>
          <w:szCs w:val="28"/>
        </w:rPr>
        <w:t>4</w:t>
      </w:r>
      <w:r w:rsidRPr="004D2D2F">
        <w:rPr>
          <w:rFonts w:ascii="宋体" w:hAnsi="宋体" w:cs="宋体" w:hint="eastAsia"/>
          <w:kern w:val="0"/>
          <w:szCs w:val="28"/>
        </w:rPr>
        <w:t>年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月</w:t>
      </w:r>
      <w:r>
        <w:rPr>
          <w:rFonts w:ascii="宋体" w:hAnsi="宋体" w:cs="宋体"/>
          <w:kern w:val="0"/>
          <w:szCs w:val="28"/>
        </w:rPr>
        <w:t>XX</w:t>
      </w:r>
      <w:r w:rsidRPr="004D2D2F">
        <w:rPr>
          <w:rFonts w:ascii="宋体" w:hAnsi="宋体" w:cs="宋体" w:hint="eastAsia"/>
          <w:kern w:val="0"/>
          <w:szCs w:val="28"/>
        </w:rPr>
        <w:t>日。</w:t>
      </w:r>
    </w:p>
    <w:p w14:paraId="65D4A037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五、主要内容说明</w:t>
      </w:r>
    </w:p>
    <w:p w14:paraId="291342C3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 w:hint="eastAsia"/>
          <w:b/>
          <w:bCs/>
          <w:szCs w:val="28"/>
        </w:rPr>
        <w:t>1、适用范围</w:t>
      </w:r>
    </w:p>
    <w:p w14:paraId="134474FF" w14:textId="720CEBDD" w:rsidR="00192F59" w:rsidRDefault="00192F59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 w:rsidRPr="00192F59">
        <w:rPr>
          <w:rFonts w:ascii="宋体" w:hAnsi="宋体" w:cs="宋体" w:hint="eastAsia"/>
          <w:szCs w:val="28"/>
        </w:rPr>
        <w:t>本文件</w:t>
      </w:r>
      <w:r w:rsidR="007A0D6D">
        <w:rPr>
          <w:rFonts w:hint="eastAsia"/>
        </w:rPr>
        <w:t>适用于</w:t>
      </w:r>
      <w:r w:rsidR="007A0D6D" w:rsidRPr="00880705">
        <w:rPr>
          <w:rFonts w:hint="eastAsia"/>
        </w:rPr>
        <w:t>福鼎白茶</w:t>
      </w:r>
      <w:r w:rsidR="007A0D6D">
        <w:rPr>
          <w:rFonts w:hint="eastAsia"/>
        </w:rPr>
        <w:t>的</w:t>
      </w:r>
      <w:r w:rsidR="007A0D6D" w:rsidRPr="00880705">
        <w:rPr>
          <w:rFonts w:hint="eastAsia"/>
        </w:rPr>
        <w:t>仓储</w:t>
      </w:r>
      <w:r w:rsidR="002E549E">
        <w:rPr>
          <w:rFonts w:hint="eastAsia"/>
        </w:rPr>
        <w:t>评价</w:t>
      </w:r>
      <w:r w:rsidR="007A0D6D">
        <w:rPr>
          <w:rFonts w:hint="eastAsia"/>
        </w:rPr>
        <w:t>工作</w:t>
      </w:r>
      <w:r w:rsidRPr="00192F59">
        <w:rPr>
          <w:rFonts w:ascii="宋体" w:hAnsi="宋体" w:cs="宋体" w:hint="eastAsia"/>
          <w:szCs w:val="28"/>
        </w:rPr>
        <w:t>。</w:t>
      </w:r>
    </w:p>
    <w:p w14:paraId="69F7CECB" w14:textId="53DE53DF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、有关条款的说明</w:t>
      </w:r>
    </w:p>
    <w:p w14:paraId="62C5204E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lastRenderedPageBreak/>
        <w:t>2</w:t>
      </w:r>
      <w:r>
        <w:rPr>
          <w:rFonts w:ascii="宋体" w:hAnsi="宋体" w:cs="宋体" w:hint="eastAsia"/>
          <w:b/>
          <w:bCs/>
          <w:szCs w:val="28"/>
        </w:rPr>
        <w:t>.1 标题</w:t>
      </w:r>
    </w:p>
    <w:p w14:paraId="16DFE199" w14:textId="3C736048" w:rsidR="00AC1BAC" w:rsidRDefault="00A92074">
      <w:pPr>
        <w:widowControl/>
        <w:ind w:firstLineChars="200" w:firstLine="560"/>
        <w:rPr>
          <w:rFonts w:ascii="宋体" w:hAnsi="宋体" w:cs="宋体"/>
          <w:color w:val="000000" w:themeColor="text1"/>
          <w:szCs w:val="28"/>
        </w:rPr>
      </w:pPr>
      <w:r>
        <w:rPr>
          <w:rFonts w:ascii="宋体" w:hAnsi="宋体" w:cs="宋体" w:hint="eastAsia"/>
          <w:szCs w:val="28"/>
        </w:rPr>
        <w:t>标准中文名称：</w:t>
      </w:r>
      <w:r w:rsidR="002C5880">
        <w:rPr>
          <w:rFonts w:ascii="宋体" w:hAnsi="宋体" w:cs="宋体" w:hint="eastAsia"/>
          <w:szCs w:val="28"/>
        </w:rPr>
        <w:t xml:space="preserve">福鼎白茶 </w:t>
      </w:r>
      <w:r w:rsidR="002E549E">
        <w:rPr>
          <w:rFonts w:ascii="宋体" w:hAnsi="宋体" w:cs="宋体" w:hint="eastAsia"/>
          <w:szCs w:val="28"/>
        </w:rPr>
        <w:t>仓储管理评价规范</w:t>
      </w:r>
      <w:r w:rsidRPr="004F0B74">
        <w:rPr>
          <w:rFonts w:ascii="宋体" w:hAnsi="宋体" w:cs="宋体" w:hint="eastAsia"/>
          <w:color w:val="000000" w:themeColor="text1"/>
          <w:szCs w:val="28"/>
        </w:rPr>
        <w:t>；</w:t>
      </w:r>
    </w:p>
    <w:p w14:paraId="3F753304" w14:textId="5A2CFE6D" w:rsidR="006C5F27" w:rsidRPr="00192F59" w:rsidRDefault="00A92074">
      <w:pPr>
        <w:widowControl/>
        <w:ind w:firstLineChars="200" w:firstLine="560"/>
        <w:rPr>
          <w:rFonts w:ascii="宋体"/>
          <w:color w:val="000000" w:themeColor="text1"/>
          <w:szCs w:val="28"/>
        </w:rPr>
      </w:pPr>
      <w:r w:rsidRPr="00192F59">
        <w:rPr>
          <w:rFonts w:ascii="宋体" w:hAnsi="宋体" w:cs="宋体" w:hint="eastAsia"/>
          <w:color w:val="000000" w:themeColor="text1"/>
          <w:szCs w:val="28"/>
        </w:rPr>
        <w:t>英文翻译：</w:t>
      </w:r>
      <w:r w:rsidR="002E549E" w:rsidRPr="002E549E">
        <w:rPr>
          <w:rFonts w:ascii="宋体" w:hAnsi="宋体" w:cs="宋体"/>
          <w:color w:val="000000" w:themeColor="text1"/>
          <w:szCs w:val="28"/>
        </w:rPr>
        <w:t>Fuding white tea  Evaluation specifications for warehousing management</w:t>
      </w:r>
      <w:r w:rsidR="00AC1BAC">
        <w:rPr>
          <w:rFonts w:ascii="宋体" w:hint="eastAsia"/>
          <w:color w:val="000000" w:themeColor="text1"/>
          <w:szCs w:val="28"/>
        </w:rPr>
        <w:t>。</w:t>
      </w:r>
    </w:p>
    <w:p w14:paraId="0E3302C3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.2 术语和定义</w:t>
      </w:r>
    </w:p>
    <w:p w14:paraId="55FDB24E" w14:textId="53F7D3EA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本标准对</w:t>
      </w:r>
      <w:r w:rsidR="002C5880">
        <w:rPr>
          <w:rFonts w:ascii="宋体" w:hAnsi="宋体" w:cs="宋体" w:hint="eastAsia"/>
          <w:szCs w:val="28"/>
        </w:rPr>
        <w:t>福鼎白茶</w:t>
      </w:r>
      <w:r w:rsidR="007A0D6D">
        <w:rPr>
          <w:rFonts w:ascii="宋体" w:hAnsi="宋体" w:cs="宋体" w:hint="eastAsia"/>
          <w:szCs w:val="28"/>
        </w:rPr>
        <w:t>、</w:t>
      </w:r>
      <w:r w:rsidR="002E549E">
        <w:rPr>
          <w:rFonts w:ascii="宋体" w:hAnsi="宋体" w:cs="宋体" w:hint="eastAsia"/>
          <w:szCs w:val="28"/>
        </w:rPr>
        <w:t>仓储、</w:t>
      </w:r>
      <w:r w:rsidR="007A0D6D">
        <w:rPr>
          <w:rFonts w:ascii="宋体" w:hAnsi="宋体" w:cs="宋体" w:hint="eastAsia"/>
          <w:szCs w:val="28"/>
        </w:rPr>
        <w:t>茶仓等</w:t>
      </w:r>
      <w:r>
        <w:rPr>
          <w:rFonts w:ascii="宋体" w:hAnsi="宋体" w:cs="宋体" w:hint="eastAsia"/>
          <w:szCs w:val="28"/>
        </w:rPr>
        <w:t>相关术语进行了定义。</w:t>
      </w:r>
    </w:p>
    <w:p w14:paraId="00AE2E69" w14:textId="77777777" w:rsidR="006C5F27" w:rsidRDefault="00A92074">
      <w:pPr>
        <w:widowControl/>
        <w:wordWrap w:val="0"/>
        <w:ind w:firstLineChars="200" w:firstLine="562"/>
        <w:rPr>
          <w:rFonts w:ascii="宋体"/>
          <w:b/>
          <w:bCs/>
          <w:szCs w:val="28"/>
        </w:rPr>
      </w:pPr>
      <w:r>
        <w:rPr>
          <w:rFonts w:ascii="宋体" w:hAnsi="宋体" w:cs="宋体"/>
          <w:b/>
          <w:bCs/>
          <w:szCs w:val="28"/>
        </w:rPr>
        <w:t>2</w:t>
      </w:r>
      <w:r>
        <w:rPr>
          <w:rFonts w:ascii="宋体" w:hAnsi="宋体" w:cs="宋体" w:hint="eastAsia"/>
          <w:b/>
          <w:bCs/>
          <w:szCs w:val="28"/>
        </w:rPr>
        <w:t>.3 主要内容</w:t>
      </w:r>
    </w:p>
    <w:p w14:paraId="35371DFB" w14:textId="5F8B37FB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第四</w:t>
      </w:r>
      <w:bookmarkStart w:id="1" w:name="_Hlk80881849"/>
      <w:r w:rsidR="00122714">
        <w:rPr>
          <w:rFonts w:ascii="宋体" w:hAnsi="宋体" w:cs="宋体" w:hint="eastAsia"/>
          <w:szCs w:val="28"/>
        </w:rPr>
        <w:t>章：</w:t>
      </w:r>
      <w:r w:rsidR="00846D5B">
        <w:rPr>
          <w:rFonts w:ascii="宋体" w:hAnsi="宋体" w:cs="宋体" w:hint="eastAsia"/>
          <w:szCs w:val="28"/>
        </w:rPr>
        <w:t>主要对</w:t>
      </w:r>
      <w:r w:rsidR="002C5880">
        <w:rPr>
          <w:rFonts w:ascii="宋体" w:hint="eastAsia"/>
          <w:szCs w:val="28"/>
        </w:rPr>
        <w:t>福鼎白茶仓储</w:t>
      </w:r>
      <w:bookmarkEnd w:id="1"/>
      <w:r w:rsidR="002E549E">
        <w:rPr>
          <w:rFonts w:ascii="宋体" w:hint="eastAsia"/>
          <w:szCs w:val="28"/>
        </w:rPr>
        <w:t>评价</w:t>
      </w:r>
      <w:r w:rsidR="007A0D6D">
        <w:rPr>
          <w:rFonts w:ascii="宋体" w:hint="eastAsia"/>
          <w:szCs w:val="28"/>
        </w:rPr>
        <w:t>的</w:t>
      </w:r>
      <w:r w:rsidR="002E549E">
        <w:rPr>
          <w:rFonts w:ascii="宋体" w:hint="eastAsia"/>
          <w:szCs w:val="28"/>
        </w:rPr>
        <w:t>评价原则</w:t>
      </w:r>
      <w:r w:rsidR="007A0D6D">
        <w:rPr>
          <w:rFonts w:ascii="宋体" w:hint="eastAsia"/>
          <w:szCs w:val="28"/>
        </w:rPr>
        <w:t>进行了相</w:t>
      </w:r>
      <w:r w:rsidR="002E549E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>
        <w:rPr>
          <w:rFonts w:ascii="宋体" w:hint="eastAsia"/>
          <w:szCs w:val="28"/>
        </w:rPr>
        <w:t>。</w:t>
      </w:r>
    </w:p>
    <w:p w14:paraId="0BFC26EA" w14:textId="2DCCDE93" w:rsidR="00F53B24" w:rsidRPr="00F53B24" w:rsidRDefault="00A92074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第五章</w:t>
      </w:r>
      <w:r w:rsidR="00122714">
        <w:rPr>
          <w:rFonts w:ascii="宋体" w:hAnsi="宋体" w:cs="宋体" w:hint="eastAsia"/>
          <w:szCs w:val="28"/>
        </w:rPr>
        <w:t>：</w:t>
      </w:r>
      <w:r>
        <w:rPr>
          <w:rFonts w:ascii="宋体" w:hAnsi="宋体" w:cs="宋体" w:hint="eastAsia"/>
          <w:szCs w:val="28"/>
        </w:rPr>
        <w:t>主要对</w:t>
      </w:r>
      <w:r w:rsidR="007A0D6D">
        <w:rPr>
          <w:rFonts w:ascii="宋体" w:hint="eastAsia"/>
          <w:szCs w:val="28"/>
        </w:rPr>
        <w:t>福鼎白茶仓储</w:t>
      </w:r>
      <w:r w:rsidR="002E549E">
        <w:rPr>
          <w:rFonts w:ascii="宋体" w:hint="eastAsia"/>
          <w:szCs w:val="28"/>
        </w:rPr>
        <w:t>评价</w:t>
      </w:r>
      <w:r w:rsidR="007A0D6D">
        <w:rPr>
          <w:rFonts w:ascii="宋体" w:hint="eastAsia"/>
          <w:szCs w:val="28"/>
        </w:rPr>
        <w:t>的</w:t>
      </w:r>
      <w:r w:rsidR="002E549E">
        <w:rPr>
          <w:rFonts w:ascii="宋体" w:hint="eastAsia"/>
          <w:szCs w:val="28"/>
        </w:rPr>
        <w:t>基本条件</w:t>
      </w:r>
      <w:r w:rsidR="007A0D6D">
        <w:rPr>
          <w:rFonts w:ascii="宋体" w:hint="eastAsia"/>
          <w:szCs w:val="28"/>
        </w:rPr>
        <w:t>进行了相</w:t>
      </w:r>
      <w:r w:rsidR="00A12790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F53B24" w:rsidRPr="00F53B24">
        <w:rPr>
          <w:rFonts w:ascii="宋体" w:hAnsi="宋体" w:cs="宋体" w:hint="eastAsia"/>
          <w:szCs w:val="28"/>
        </w:rPr>
        <w:t>。</w:t>
      </w:r>
    </w:p>
    <w:p w14:paraId="4F62DE0C" w14:textId="27836E68" w:rsidR="007A0D6D" w:rsidRPr="00F53B24" w:rsidRDefault="00A92074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第六章：</w:t>
      </w:r>
      <w:r w:rsidR="007A0D6D">
        <w:rPr>
          <w:rFonts w:ascii="宋体" w:hAnsi="宋体" w:cs="宋体" w:hint="eastAsia"/>
          <w:szCs w:val="28"/>
        </w:rPr>
        <w:t>主要对</w:t>
      </w:r>
      <w:r w:rsidR="007A0D6D">
        <w:rPr>
          <w:rFonts w:ascii="宋体" w:hint="eastAsia"/>
          <w:szCs w:val="28"/>
        </w:rPr>
        <w:t>福鼎白茶仓储</w:t>
      </w:r>
      <w:r w:rsidR="002E549E">
        <w:rPr>
          <w:rFonts w:ascii="宋体" w:hint="eastAsia"/>
          <w:szCs w:val="28"/>
        </w:rPr>
        <w:t>评价</w:t>
      </w:r>
      <w:r w:rsidR="007A0D6D">
        <w:rPr>
          <w:rFonts w:ascii="宋体" w:hint="eastAsia"/>
          <w:szCs w:val="28"/>
        </w:rPr>
        <w:t>的</w:t>
      </w:r>
      <w:r w:rsidR="002E549E">
        <w:rPr>
          <w:rFonts w:ascii="宋体" w:hint="eastAsia"/>
          <w:szCs w:val="28"/>
        </w:rPr>
        <w:t>评价指标体系</w:t>
      </w:r>
      <w:r w:rsidR="007A0D6D">
        <w:rPr>
          <w:rFonts w:ascii="宋体" w:hint="eastAsia"/>
          <w:szCs w:val="28"/>
        </w:rPr>
        <w:t>进行了相</w:t>
      </w:r>
      <w:r w:rsidR="00A12790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2ADC8406" w14:textId="782F4210" w:rsidR="007A0D6D" w:rsidRPr="00F53B24" w:rsidRDefault="003C0C8C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第七章：主要对</w:t>
      </w:r>
      <w:r w:rsidR="007A0D6D">
        <w:rPr>
          <w:rFonts w:ascii="宋体" w:hint="eastAsia"/>
          <w:szCs w:val="28"/>
        </w:rPr>
        <w:t>福鼎白茶仓储</w:t>
      </w:r>
      <w:r w:rsidR="002E549E">
        <w:rPr>
          <w:rFonts w:ascii="宋体" w:hint="eastAsia"/>
          <w:szCs w:val="28"/>
        </w:rPr>
        <w:t>评价</w:t>
      </w:r>
      <w:r w:rsidR="007A0D6D">
        <w:rPr>
          <w:rFonts w:ascii="宋体" w:hint="eastAsia"/>
          <w:szCs w:val="28"/>
        </w:rPr>
        <w:t>的</w:t>
      </w:r>
      <w:r w:rsidR="002E549E">
        <w:rPr>
          <w:rFonts w:ascii="宋体" w:hint="eastAsia"/>
          <w:szCs w:val="28"/>
        </w:rPr>
        <w:t>评价方法与程序</w:t>
      </w:r>
      <w:r w:rsidR="007A0D6D">
        <w:rPr>
          <w:rFonts w:ascii="宋体" w:hint="eastAsia"/>
          <w:szCs w:val="28"/>
        </w:rPr>
        <w:t>进行了相</w:t>
      </w:r>
      <w:r w:rsidR="00A12790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6042DEDA" w14:textId="480663CC" w:rsidR="007A0D6D" w:rsidRDefault="003C0C8C" w:rsidP="007A0D6D">
      <w:pPr>
        <w:widowControl/>
        <w:wordWrap w:val="0"/>
        <w:ind w:firstLineChars="200" w:firstLine="560"/>
        <w:rPr>
          <w:rFonts w:ascii="宋体" w:hAnsi="宋体" w:cs="宋体"/>
          <w:szCs w:val="28"/>
        </w:rPr>
      </w:pPr>
      <w:r>
        <w:rPr>
          <w:rFonts w:ascii="宋体" w:hAnsi="宋体" w:cs="宋体" w:hint="eastAsia"/>
          <w:szCs w:val="28"/>
        </w:rPr>
        <w:t>第八章：主要对</w:t>
      </w:r>
      <w:r w:rsidR="007A0D6D">
        <w:rPr>
          <w:rFonts w:ascii="宋体" w:hint="eastAsia"/>
          <w:szCs w:val="28"/>
        </w:rPr>
        <w:t>福鼎白茶仓储</w:t>
      </w:r>
      <w:r w:rsidR="002E549E">
        <w:rPr>
          <w:rFonts w:ascii="宋体" w:hint="eastAsia"/>
          <w:szCs w:val="28"/>
        </w:rPr>
        <w:t>评价</w:t>
      </w:r>
      <w:r w:rsidR="007A0D6D">
        <w:rPr>
          <w:rFonts w:ascii="宋体" w:hint="eastAsia"/>
          <w:szCs w:val="28"/>
        </w:rPr>
        <w:t>的</w:t>
      </w:r>
      <w:r w:rsidR="002E549E">
        <w:rPr>
          <w:rFonts w:ascii="宋体" w:hint="eastAsia"/>
          <w:szCs w:val="28"/>
        </w:rPr>
        <w:t>评价结果及应用</w:t>
      </w:r>
      <w:r w:rsidR="007A0D6D">
        <w:rPr>
          <w:rFonts w:ascii="宋体" w:hint="eastAsia"/>
          <w:szCs w:val="28"/>
        </w:rPr>
        <w:t>进行了相</w:t>
      </w:r>
      <w:r w:rsidR="00A12790">
        <w:rPr>
          <w:rFonts w:ascii="宋体" w:hint="eastAsia"/>
          <w:szCs w:val="28"/>
        </w:rPr>
        <w:t>应地</w:t>
      </w:r>
      <w:r w:rsidR="007A0D6D">
        <w:rPr>
          <w:rFonts w:ascii="宋体" w:hint="eastAsia"/>
          <w:szCs w:val="28"/>
        </w:rPr>
        <w:t>规定</w:t>
      </w:r>
      <w:r w:rsidR="007A0D6D" w:rsidRPr="00F53B24">
        <w:rPr>
          <w:rFonts w:ascii="宋体" w:hAnsi="宋体" w:cs="宋体" w:hint="eastAsia"/>
          <w:szCs w:val="28"/>
        </w:rPr>
        <w:t>。</w:t>
      </w:r>
    </w:p>
    <w:p w14:paraId="1D03772D" w14:textId="77777777" w:rsidR="006C5F27" w:rsidRDefault="00A92074">
      <w:pPr>
        <w:widowControl/>
        <w:wordWrap w:val="0"/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六、与现行相关法律、法规、规章及相关标准，特别是强制性标准的协调性</w:t>
      </w:r>
    </w:p>
    <w:p w14:paraId="28FFAD16" w14:textId="77777777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本标准符合国家相关法律、法规、规章及相关标准。</w:t>
      </w:r>
    </w:p>
    <w:p w14:paraId="739FFBDE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七、重大分歧意见的处理经过和依据</w:t>
      </w:r>
    </w:p>
    <w:p w14:paraId="5B8E7828" w14:textId="77777777" w:rsidR="006C5F27" w:rsidRDefault="00A92074">
      <w:pPr>
        <w:widowControl/>
        <w:wordWrap w:val="0"/>
        <w:ind w:firstLineChars="200" w:firstLine="56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本标准在起草过程中无重大意见分歧。</w:t>
      </w:r>
    </w:p>
    <w:p w14:paraId="03A48C8C" w14:textId="77777777" w:rsidR="006C5F27" w:rsidRDefault="00A92074">
      <w:pPr>
        <w:ind w:firstLineChars="200" w:firstLine="562"/>
        <w:rPr>
          <w:rFonts w:ascii="黑体" w:eastAsia="黑体" w:hAnsi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八、贯彻标准的要求和措施建议</w:t>
      </w:r>
    </w:p>
    <w:p w14:paraId="02755065" w14:textId="7805DC8A" w:rsidR="004458B2" w:rsidRDefault="004458B2" w:rsidP="004458B2">
      <w:pPr>
        <w:widowControl/>
        <w:wordWrap w:val="0"/>
        <w:ind w:firstLineChars="200" w:firstLine="560"/>
        <w:rPr>
          <w:rFonts w:ascii="宋体"/>
          <w:szCs w:val="28"/>
        </w:rPr>
      </w:pPr>
      <w:r w:rsidRPr="004458B2">
        <w:rPr>
          <w:rFonts w:ascii="宋体" w:hint="eastAsia"/>
          <w:szCs w:val="28"/>
        </w:rPr>
        <w:lastRenderedPageBreak/>
        <w:t>本标准发布实施后，应由标准主导起草单位有计划、有组织地开展标准的宣贯培训工作。通过举办培训班、宣贯会、研讨会等多种形式，广泛宣传本标准的地位和作用，确保标准中的有关规定得到准确理解、掌握和执行。</w:t>
      </w:r>
    </w:p>
    <w:p w14:paraId="13EA9D69" w14:textId="77777777" w:rsidR="004458B2" w:rsidRPr="004458B2" w:rsidRDefault="004458B2" w:rsidP="004458B2">
      <w:pPr>
        <w:widowControl/>
        <w:wordWrap w:val="0"/>
        <w:ind w:firstLineChars="200" w:firstLine="560"/>
        <w:rPr>
          <w:rFonts w:ascii="宋体"/>
          <w:szCs w:val="28"/>
        </w:rPr>
      </w:pPr>
    </w:p>
    <w:p w14:paraId="22669800" w14:textId="79DF69CE" w:rsidR="006C5F27" w:rsidRDefault="00A92074">
      <w:pPr>
        <w:wordWrap w:val="0"/>
        <w:jc w:val="right"/>
        <w:rPr>
          <w:rFonts w:ascii="宋体" w:hAnsi="宋体"/>
          <w:snapToGrid w:val="0"/>
          <w:kern w:val="0"/>
          <w:szCs w:val="28"/>
        </w:rPr>
      </w:pPr>
      <w:r>
        <w:rPr>
          <w:rFonts w:ascii="宋体" w:hAnsi="宋体" w:hint="eastAsia"/>
          <w:snapToGrid w:val="0"/>
          <w:kern w:val="0"/>
          <w:szCs w:val="28"/>
        </w:rPr>
        <w:t xml:space="preserve">           </w:t>
      </w:r>
      <w:r w:rsidR="00D756D9">
        <w:rPr>
          <w:rFonts w:ascii="宋体" w:hAnsi="宋体" w:hint="eastAsia"/>
          <w:snapToGrid w:val="0"/>
          <w:kern w:val="0"/>
          <w:szCs w:val="28"/>
        </w:rPr>
        <w:t>东莞市茶文化促进会</w:t>
      </w:r>
      <w:r w:rsidR="00755812">
        <w:rPr>
          <w:rFonts w:ascii="宋体" w:hAnsi="宋体" w:hint="eastAsia"/>
          <w:snapToGrid w:val="0"/>
          <w:kern w:val="0"/>
          <w:szCs w:val="28"/>
        </w:rPr>
        <w:t>团体</w:t>
      </w:r>
      <w:r>
        <w:rPr>
          <w:rFonts w:ascii="宋体" w:hAnsi="宋体" w:hint="eastAsia"/>
          <w:snapToGrid w:val="0"/>
          <w:kern w:val="0"/>
          <w:szCs w:val="28"/>
        </w:rPr>
        <w:t>标准</w:t>
      </w:r>
    </w:p>
    <w:p w14:paraId="54E205C6" w14:textId="39C21BB0" w:rsidR="006C5F27" w:rsidRDefault="00A92074">
      <w:pPr>
        <w:jc w:val="right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>《</w:t>
      </w:r>
      <w:r w:rsidR="002C5880">
        <w:rPr>
          <w:rFonts w:ascii="宋体" w:hAnsi="宋体" w:cs="宋体" w:hint="eastAsia"/>
          <w:szCs w:val="28"/>
        </w:rPr>
        <w:t xml:space="preserve">福鼎白茶 </w:t>
      </w:r>
      <w:r w:rsidR="002E549E">
        <w:rPr>
          <w:rFonts w:ascii="宋体" w:hAnsi="宋体" w:cs="宋体" w:hint="eastAsia"/>
          <w:szCs w:val="28"/>
        </w:rPr>
        <w:t>仓储管理评价规范</w:t>
      </w:r>
      <w:r>
        <w:rPr>
          <w:rFonts w:ascii="宋体" w:hAnsi="宋体" w:cs="宋体" w:hint="eastAsia"/>
          <w:szCs w:val="28"/>
        </w:rPr>
        <w:t>》起草小组</w:t>
      </w:r>
    </w:p>
    <w:p w14:paraId="0AA0B14A" w14:textId="3360172D" w:rsidR="006C5F27" w:rsidRPr="00192F59" w:rsidRDefault="00A92074" w:rsidP="00192F59">
      <w:pPr>
        <w:ind w:right="1120" w:firstLine="570"/>
        <w:rPr>
          <w:rFonts w:ascii="宋体"/>
          <w:szCs w:val="28"/>
        </w:rPr>
      </w:pPr>
      <w:r>
        <w:rPr>
          <w:rFonts w:ascii="宋体" w:hAnsi="宋体" w:cs="宋体" w:hint="eastAsia"/>
          <w:szCs w:val="28"/>
        </w:rPr>
        <w:t xml:space="preserve">                        </w:t>
      </w:r>
    </w:p>
    <w:sectPr w:rsidR="006C5F27" w:rsidRPr="00192F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9DEE" w14:textId="77777777" w:rsidR="00840085" w:rsidRDefault="00840085">
      <w:pPr>
        <w:spacing w:line="240" w:lineRule="auto"/>
      </w:pPr>
      <w:r>
        <w:separator/>
      </w:r>
    </w:p>
  </w:endnote>
  <w:endnote w:type="continuationSeparator" w:id="0">
    <w:p w14:paraId="39036B17" w14:textId="77777777" w:rsidR="00840085" w:rsidRDefault="00840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474222"/>
    </w:sdtPr>
    <w:sdtContent>
      <w:sdt>
        <w:sdtPr>
          <w:id w:val="-1705238520"/>
        </w:sdtPr>
        <w:sdtContent>
          <w:p w14:paraId="4689C42B" w14:textId="77777777" w:rsidR="006C5F27" w:rsidRDefault="00A92074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C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C8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77353" w14:textId="77777777" w:rsidR="006C5F27" w:rsidRDefault="006C5F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8FD9" w14:textId="77777777" w:rsidR="00840085" w:rsidRDefault="00840085">
      <w:pPr>
        <w:spacing w:line="240" w:lineRule="auto"/>
      </w:pPr>
      <w:r>
        <w:separator/>
      </w:r>
    </w:p>
  </w:footnote>
  <w:footnote w:type="continuationSeparator" w:id="0">
    <w:p w14:paraId="7640FAC2" w14:textId="77777777" w:rsidR="00840085" w:rsidRDefault="008400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F1F"/>
    <w:multiLevelType w:val="hybridMultilevel"/>
    <w:tmpl w:val="7F6E3034"/>
    <w:lvl w:ilvl="0" w:tplc="04090019">
      <w:start w:val="1"/>
      <w:numFmt w:val="lowerLetter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3ECA0C09"/>
    <w:multiLevelType w:val="hybridMultilevel"/>
    <w:tmpl w:val="B9D83BD8"/>
    <w:lvl w:ilvl="0" w:tplc="EA36B048">
      <w:start w:val="1"/>
      <w:numFmt w:val="decimal"/>
      <w:suff w:val="nothing"/>
      <w:lvlText w:val="%1)"/>
      <w:lvlJc w:val="left"/>
      <w:pPr>
        <w:ind w:left="100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3F893911"/>
    <w:multiLevelType w:val="hybridMultilevel"/>
    <w:tmpl w:val="1D20D10E"/>
    <w:lvl w:ilvl="0" w:tplc="69D8FD38">
      <w:start w:val="1"/>
      <w:numFmt w:val="decimal"/>
      <w:suff w:val="nothing"/>
      <w:lvlText w:val="%1)"/>
      <w:lvlJc w:val="left"/>
      <w:pPr>
        <w:ind w:left="10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68740983"/>
    <w:multiLevelType w:val="hybridMultilevel"/>
    <w:tmpl w:val="2F0EB630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51875374">
    <w:abstractNumId w:val="3"/>
  </w:num>
  <w:num w:numId="2" w16cid:durableId="1941794678">
    <w:abstractNumId w:val="2"/>
  </w:num>
  <w:num w:numId="3" w16cid:durableId="1724405009">
    <w:abstractNumId w:val="0"/>
  </w:num>
  <w:num w:numId="4" w16cid:durableId="191766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5"/>
    <w:rsid w:val="00023C69"/>
    <w:rsid w:val="00036B01"/>
    <w:rsid w:val="000508D9"/>
    <w:rsid w:val="0007268C"/>
    <w:rsid w:val="000745D8"/>
    <w:rsid w:val="00090590"/>
    <w:rsid w:val="000A6482"/>
    <w:rsid w:val="000B46D0"/>
    <w:rsid w:val="00105FDB"/>
    <w:rsid w:val="00122714"/>
    <w:rsid w:val="00122B4E"/>
    <w:rsid w:val="00147962"/>
    <w:rsid w:val="00147A8B"/>
    <w:rsid w:val="00161FE2"/>
    <w:rsid w:val="0018721A"/>
    <w:rsid w:val="00192F59"/>
    <w:rsid w:val="001937E9"/>
    <w:rsid w:val="001A212E"/>
    <w:rsid w:val="001F14A9"/>
    <w:rsid w:val="00204773"/>
    <w:rsid w:val="002177C8"/>
    <w:rsid w:val="00226DB0"/>
    <w:rsid w:val="0024064E"/>
    <w:rsid w:val="002453AE"/>
    <w:rsid w:val="002B015A"/>
    <w:rsid w:val="002C0EC3"/>
    <w:rsid w:val="002C47B2"/>
    <w:rsid w:val="002C5880"/>
    <w:rsid w:val="002E549E"/>
    <w:rsid w:val="00330C5B"/>
    <w:rsid w:val="003B0514"/>
    <w:rsid w:val="003B229E"/>
    <w:rsid w:val="003B69FD"/>
    <w:rsid w:val="003C0C8C"/>
    <w:rsid w:val="003F6072"/>
    <w:rsid w:val="00420B73"/>
    <w:rsid w:val="004458B2"/>
    <w:rsid w:val="00447F94"/>
    <w:rsid w:val="00464C80"/>
    <w:rsid w:val="00480FB1"/>
    <w:rsid w:val="0048256D"/>
    <w:rsid w:val="004B388C"/>
    <w:rsid w:val="004C7AE0"/>
    <w:rsid w:val="004D2D2F"/>
    <w:rsid w:val="004F0B74"/>
    <w:rsid w:val="005818A4"/>
    <w:rsid w:val="005D6E0C"/>
    <w:rsid w:val="0060488B"/>
    <w:rsid w:val="00665190"/>
    <w:rsid w:val="006A0D1D"/>
    <w:rsid w:val="006C019B"/>
    <w:rsid w:val="006C5F27"/>
    <w:rsid w:val="006D1064"/>
    <w:rsid w:val="006E1140"/>
    <w:rsid w:val="00703DD6"/>
    <w:rsid w:val="0070753B"/>
    <w:rsid w:val="00726BAD"/>
    <w:rsid w:val="00733C92"/>
    <w:rsid w:val="00741CDC"/>
    <w:rsid w:val="00755812"/>
    <w:rsid w:val="0078650C"/>
    <w:rsid w:val="007A0D6D"/>
    <w:rsid w:val="007A4024"/>
    <w:rsid w:val="007A60EB"/>
    <w:rsid w:val="007F441D"/>
    <w:rsid w:val="007F555F"/>
    <w:rsid w:val="00816DDA"/>
    <w:rsid w:val="008366C5"/>
    <w:rsid w:val="00840085"/>
    <w:rsid w:val="00846D5B"/>
    <w:rsid w:val="00880054"/>
    <w:rsid w:val="008D3A22"/>
    <w:rsid w:val="00922C18"/>
    <w:rsid w:val="009305FC"/>
    <w:rsid w:val="009465B5"/>
    <w:rsid w:val="00986BD0"/>
    <w:rsid w:val="00986FC1"/>
    <w:rsid w:val="009A6575"/>
    <w:rsid w:val="009B216E"/>
    <w:rsid w:val="009B6092"/>
    <w:rsid w:val="00A12790"/>
    <w:rsid w:val="00A23922"/>
    <w:rsid w:val="00A26957"/>
    <w:rsid w:val="00A577B3"/>
    <w:rsid w:val="00A75891"/>
    <w:rsid w:val="00A8145A"/>
    <w:rsid w:val="00A91489"/>
    <w:rsid w:val="00A92074"/>
    <w:rsid w:val="00AC1BAC"/>
    <w:rsid w:val="00AE3D8B"/>
    <w:rsid w:val="00B15C82"/>
    <w:rsid w:val="00B1622F"/>
    <w:rsid w:val="00B44976"/>
    <w:rsid w:val="00B74B9E"/>
    <w:rsid w:val="00B80618"/>
    <w:rsid w:val="00B8618A"/>
    <w:rsid w:val="00BF18DF"/>
    <w:rsid w:val="00BF3664"/>
    <w:rsid w:val="00C053A7"/>
    <w:rsid w:val="00C14672"/>
    <w:rsid w:val="00C232A9"/>
    <w:rsid w:val="00C24281"/>
    <w:rsid w:val="00C31E4F"/>
    <w:rsid w:val="00C4439B"/>
    <w:rsid w:val="00C6411A"/>
    <w:rsid w:val="00C7422E"/>
    <w:rsid w:val="00C940B6"/>
    <w:rsid w:val="00CC2AFE"/>
    <w:rsid w:val="00CD5EA5"/>
    <w:rsid w:val="00CD7F7F"/>
    <w:rsid w:val="00D70647"/>
    <w:rsid w:val="00D738EA"/>
    <w:rsid w:val="00D756D9"/>
    <w:rsid w:val="00D822ED"/>
    <w:rsid w:val="00D938F2"/>
    <w:rsid w:val="00DB71B3"/>
    <w:rsid w:val="00DC00C6"/>
    <w:rsid w:val="00DD3F9A"/>
    <w:rsid w:val="00E45F00"/>
    <w:rsid w:val="00E566F3"/>
    <w:rsid w:val="00EA35E8"/>
    <w:rsid w:val="00EA7AB5"/>
    <w:rsid w:val="00EF2F45"/>
    <w:rsid w:val="00F136D8"/>
    <w:rsid w:val="00F53B24"/>
    <w:rsid w:val="00F93CDC"/>
    <w:rsid w:val="00F94985"/>
    <w:rsid w:val="00FD2904"/>
    <w:rsid w:val="00FE0C10"/>
    <w:rsid w:val="077D2E4D"/>
    <w:rsid w:val="72AB20D3"/>
    <w:rsid w:val="7F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8E42"/>
  <w15:docId w15:val="{BF236ED1-9DF0-41ED-9353-00E45D8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段 Char"/>
    <w:link w:val="a7"/>
    <w:qFormat/>
    <w:locked/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F53B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micao</dc:creator>
  <cp:lastModifiedBy>13377767548@189.cn</cp:lastModifiedBy>
  <cp:revision>45</cp:revision>
  <cp:lastPrinted>2022-12-07T03:36:00Z</cp:lastPrinted>
  <dcterms:created xsi:type="dcterms:W3CDTF">2019-12-14T09:45:00Z</dcterms:created>
  <dcterms:modified xsi:type="dcterms:W3CDTF">2023-12-25T03:47:00Z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