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7.060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w:t>
            </w:r>
            <w:r>
              <w:rPr>
                <w:rFonts w:hint="eastAsia" w:ascii="黑体" w:hAnsi="黑体" w:eastAsia="黑体"/>
                <w:sz w:val="21"/>
                <w:szCs w:val="21"/>
                <w:lang w:val="en-US" w:eastAsia="zh-CN"/>
              </w:rPr>
              <w:t xml:space="preserve"> 22</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rPr>
        <w:t>3</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地理标志农产品</w:t>
      </w:r>
      <w:r>
        <w:rPr>
          <w:rFonts w:hint="eastAsia"/>
          <w:lang w:val="en-US" w:eastAsia="zh-CN"/>
        </w:rPr>
        <w:t xml:space="preserve"> </w:t>
      </w:r>
      <w:r>
        <w:rPr>
          <w:rFonts w:hint="eastAsia"/>
          <w:lang w:eastAsia="zh-CN"/>
        </w:rPr>
        <w:t>化石戈小米</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Agricultural products of geographical indications - </w:t>
      </w:r>
      <w:r>
        <w:rPr>
          <w:rFonts w:hint="eastAsia" w:eastAsia="黑体"/>
          <w:szCs w:val="28"/>
          <w:lang w:val="en-US" w:eastAsia="zh-CN"/>
        </w:rPr>
        <w:t>Huashige</w:t>
      </w:r>
      <w:r>
        <w:rPr>
          <w:rFonts w:eastAsia="黑体"/>
          <w:szCs w:val="28"/>
        </w:rPr>
        <w:t xml:space="preserve"> </w:t>
      </w:r>
      <w:r>
        <w:rPr>
          <w:rFonts w:hint="eastAsia" w:eastAsia="黑体"/>
          <w:szCs w:val="28"/>
        </w:rPr>
        <w:t>millet</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keepNext w:val="0"/>
        <w:keepLines w:val="0"/>
        <w:widowControl/>
        <w:suppressLineNumbers w:val="0"/>
        <w:ind w:firstLine="420" w:firstLineChars="200"/>
        <w:jc w:val="left"/>
        <w:rPr>
          <w:sz w:val="22"/>
          <w:szCs w:val="22"/>
        </w:rPr>
      </w:pPr>
      <w:r>
        <w:rPr>
          <w:rFonts w:hint="eastAsia"/>
        </w:rPr>
        <w:t>本文件</w:t>
      </w:r>
      <w:r>
        <w:rPr>
          <w:rFonts w:hint="eastAsia" w:ascii="宋体" w:hAnsi="Times New Roman" w:eastAsia="宋体" w:cs="Times New Roman"/>
          <w:kern w:val="0"/>
          <w:sz w:val="21"/>
          <w:szCs w:val="20"/>
          <w:lang w:val="en-US" w:eastAsia="zh-CN" w:bidi="ar-SA"/>
        </w:rPr>
        <w:t>由阜新蒙古族自治县农业农村局</w:t>
      </w:r>
      <w:r>
        <w:rPr>
          <w:rFonts w:hint="eastAsia"/>
        </w:rPr>
        <w:t>提出。</w:t>
      </w:r>
    </w:p>
    <w:p>
      <w:pPr>
        <w:pStyle w:val="57"/>
        <w:ind w:firstLine="420"/>
      </w:pPr>
      <w:r>
        <w:rPr>
          <w:rFonts w:hint="eastAsia"/>
        </w:rPr>
        <w:t>本文件由中国农业国际合作促进会归口。</w:t>
      </w:r>
    </w:p>
    <w:p>
      <w:pPr>
        <w:pStyle w:val="57"/>
        <w:ind w:firstLine="420"/>
        <w:rPr>
          <w:rFonts w:hint="eastAsia"/>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地理标志农产品化石戈小米</w:t>
          </w:r>
        </w:p>
      </w:sdtContent>
    </w:sdt>
    <w:bookmarkEnd w:id="23"/>
    <w:p>
      <w:pPr>
        <w:pStyle w:val="105"/>
        <w:spacing w:before="240" w:after="240"/>
      </w:pPr>
      <w:bookmarkStart w:id="24" w:name="_Toc24884211"/>
      <w:bookmarkStart w:id="25" w:name="_Toc17233333"/>
      <w:bookmarkStart w:id="26" w:name="_Toc107483146"/>
      <w:bookmarkStart w:id="27" w:name="_Toc97192964"/>
      <w:bookmarkStart w:id="28" w:name="_Toc26986771"/>
      <w:bookmarkStart w:id="29" w:name="_Toc26648465"/>
      <w:bookmarkStart w:id="30" w:name="_Toc17233325"/>
      <w:bookmarkStart w:id="31" w:name="_Toc26718930"/>
      <w:bookmarkStart w:id="32" w:name="_Toc26986530"/>
      <w:bookmarkStart w:id="33" w:name="_Toc24884218"/>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pPr>
      <w:bookmarkStart w:id="34" w:name="_Toc17233326"/>
      <w:bookmarkStart w:id="35" w:name="_Toc17233334"/>
      <w:bookmarkStart w:id="36" w:name="_Toc26718931"/>
      <w:bookmarkStart w:id="37" w:name="_Toc24884212"/>
      <w:bookmarkStart w:id="38" w:name="_Toc26986531"/>
      <w:bookmarkStart w:id="39" w:name="_Toc26986772"/>
      <w:bookmarkStart w:id="40" w:name="_Toc26648466"/>
      <w:bookmarkStart w:id="41" w:name="_Toc24884219"/>
      <w:bookmarkStart w:id="42" w:name="_Toc107483147"/>
      <w:bookmarkStart w:id="43" w:name="_Toc97192965"/>
      <w:r>
        <w:t>本文件规定了</w:t>
      </w:r>
      <w:r>
        <w:rPr>
          <w:rFonts w:hint="eastAsia"/>
          <w:lang w:val="en-US" w:eastAsia="zh-CN"/>
        </w:rPr>
        <w:t>地理标志农产品化石戈小米</w:t>
      </w:r>
      <w:r>
        <w:t>的</w:t>
      </w:r>
      <w:r>
        <w:rPr>
          <w:rFonts w:hint="eastAsia"/>
          <w:lang w:val="en-US" w:eastAsia="zh-CN"/>
        </w:rPr>
        <w:t>地理标志产品保护范围、</w:t>
      </w:r>
      <w:r>
        <w:rPr>
          <w:rFonts w:hint="eastAsia"/>
        </w:rPr>
        <w:t>术语和定义、</w:t>
      </w:r>
      <w:r>
        <w:t>自然环境、要求、检验方法、检验规则、标志、包装、运输</w:t>
      </w:r>
      <w:r>
        <w:rPr>
          <w:rFonts w:hint="eastAsia"/>
        </w:rPr>
        <w:t>和</w:t>
      </w:r>
      <w:r>
        <w:t>贮存。</w:t>
      </w:r>
    </w:p>
    <w:p>
      <w:pPr>
        <w:pStyle w:val="57"/>
        <w:ind w:firstLine="420"/>
        <w:rPr>
          <w:rFonts w:hint="eastAsia"/>
          <w:lang w:val="en-US" w:eastAsia="zh-CN"/>
        </w:rPr>
      </w:pPr>
      <w:r>
        <w:rPr>
          <w:rFonts w:hint="eastAsia"/>
          <w:lang w:val="en-US" w:eastAsia="zh-CN"/>
        </w:rPr>
        <w:t>本文件适用于原中华人民共和国农业部2014年第2179号《2014年第三批农产品地理标志登记产品公告信息》，第AGI2014-03-1508号核准的地理标志农产品化石戈小米。</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default" w:ascii="Times New Roman" w:hAnsi="Times New Roman" w:eastAsia="宋体" w:cs="Times New Roman"/>
          <w:color w:val="000000"/>
          <w:kern w:val="0"/>
          <w:sz w:val="21"/>
          <w:szCs w:val="21"/>
          <w:lang w:val="en-US" w:eastAsia="zh-CN" w:bidi="ar"/>
        </w:rPr>
      </w:pPr>
      <w:bookmarkStart w:id="44" w:name="_Toc97192966"/>
      <w:bookmarkStart w:id="45" w:name="_Toc107483148"/>
      <w:r>
        <w:rPr>
          <w:rFonts w:hint="eastAsia" w:ascii="Times New Roman"/>
        </w:rPr>
        <w:t>GB/T 191  包装储运图示标志</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2715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食品安全国家标准 粮食</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3095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环境空气质量标准</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5009.3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食品安全国家标准 食品中水分的测定</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 5009.5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食品安全国家标准 食品中蛋白质的测定</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 5009.6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食品安全国家标准 食品中脂肪的测定</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 5084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cs="Times New Roman"/>
          <w:kern w:val="2"/>
          <w:sz w:val="21"/>
          <w:szCs w:val="21"/>
          <w:lang w:val="en-US" w:eastAsia="zh-CN" w:bidi="ar-SA"/>
        </w:rPr>
        <w:t>农田灌溉水质标准</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 5491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粮食、油料检验 扦样、分样法</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GB/T 5492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粮油检验 粮食、油料的色泽、气味、口味鉴定</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GB/T 5494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粮油检验 粮食、油料的杂质、不完善粒检验</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GB/T 5503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粮油检验 碎米检验法</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 13122 </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食品安全国家标准 谷物加工卫生规范</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GB/T 17109  粮食销售包装</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NY/T 55  水稻、玉米、谷子籽粒直链淀粉测定法</w:t>
      </w:r>
    </w:p>
    <w:p>
      <w:pPr>
        <w:keepNext w:val="0"/>
        <w:keepLines w:val="0"/>
        <w:widowControl/>
        <w:suppressLineNumbers w:val="0"/>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NY/T 496 </w:t>
      </w:r>
      <w:r>
        <w:rPr>
          <w:rFonts w:hint="eastAsia" w:ascii="Times New Roman" w:hAnsi="Times New Roman"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肥料合理使用准则 通则</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JJF 1070</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定量包装商品净含量计量检验规则</w:t>
      </w:r>
    </w:p>
    <w:p>
      <w:pPr>
        <w:pStyle w:val="105"/>
        <w:spacing w:before="240" w:after="240"/>
        <w:rPr>
          <w:rFonts w:hint="eastAsia"/>
        </w:rPr>
      </w:pPr>
      <w:r>
        <w:rPr>
          <w:rFonts w:hint="eastAsia"/>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rPr>
              <w:rFonts w:ascii="黑体" w:hAnsi="黑体" w:eastAsia="黑体"/>
            </w:rPr>
          </w:pPr>
          <w:bookmarkStart w:id="46" w:name="_Toc26986532"/>
          <w:bookmarkEnd w:id="46"/>
          <w:r>
            <w:t>下列术语和定义适用于本文件。</w:t>
          </w:r>
          <w:bookmarkStart w:id="47" w:name="_Toc107483149"/>
          <w:bookmarkEnd w:id="47"/>
        </w:p>
      </w:sdtContent>
    </w:sdt>
    <w:p>
      <w:pPr>
        <w:pStyle w:val="224"/>
        <w:spacing w:before="120" w:beforeLines="50" w:after="120" w:afterLines="50" w:line="276" w:lineRule="auto"/>
        <w:ind w:left="424" w:leftChars="2" w:hanging="420" w:hangingChars="200"/>
        <w:rPr>
          <w:rFonts w:ascii="黑体" w:hAnsi="黑体" w:eastAsia="黑体"/>
        </w:rPr>
      </w:pPr>
    </w:p>
    <w:p>
      <w:pPr>
        <w:pStyle w:val="224"/>
        <w:numPr>
          <w:ilvl w:val="2"/>
          <w:numId w:val="0"/>
        </w:numPr>
        <w:spacing w:before="120" w:beforeLines="50" w:after="120" w:afterLines="50" w:line="276" w:lineRule="auto"/>
        <w:ind w:leftChars="-198" w:firstLine="630" w:firstLineChars="300"/>
        <w:rPr>
          <w:rFonts w:hint="default" w:ascii="黑体" w:hAnsi="黑体" w:eastAsia="黑体"/>
          <w:lang w:val="en-US"/>
        </w:rPr>
      </w:pPr>
      <w:r>
        <w:rPr>
          <w:rFonts w:hint="eastAsia" w:ascii="黑体" w:hAnsi="黑体" w:eastAsia="黑体"/>
          <w:lang w:val="en-US" w:eastAsia="zh-CN"/>
        </w:rPr>
        <w:t>化石戈小米</w:t>
      </w:r>
      <w:r>
        <w:rPr>
          <w:rFonts w:ascii="黑体" w:hAnsi="黑体" w:eastAsia="黑体"/>
        </w:rPr>
        <w:t xml:space="preserve">  </w:t>
      </w:r>
      <w:r>
        <w:rPr>
          <w:rFonts w:hint="eastAsia" w:ascii="黑体" w:hAnsi="黑体" w:eastAsia="黑体"/>
          <w:lang w:val="en-US" w:eastAsia="zh-CN"/>
        </w:rPr>
        <w:t>Fossil Ge Xiaomi</w:t>
      </w:r>
    </w:p>
    <w:p>
      <w:pPr>
        <w:pStyle w:val="13"/>
        <w:spacing w:line="276" w:lineRule="auto"/>
        <w:ind w:right="275" w:firstLine="420" w:firstLineChars="200"/>
        <w:rPr>
          <w:rFonts w:hint="eastAsia" w:ascii="宋体" w:hAnsi="宋体" w:cs="微软雅黑"/>
        </w:rPr>
      </w:pPr>
      <w:r>
        <w:rPr>
          <w:rFonts w:hint="eastAsia" w:ascii="宋体" w:hAnsi="宋体" w:cs="微软雅黑"/>
        </w:rPr>
        <w:t>在</w:t>
      </w:r>
      <w:r>
        <w:rPr>
          <w:rFonts w:ascii="宋体" w:hAnsi="宋体"/>
        </w:rPr>
        <w:t>辽宁省阜新蒙古族自治县化石戈乡</w:t>
      </w:r>
      <w:r>
        <w:rPr>
          <w:rFonts w:hint="eastAsia"/>
        </w:rPr>
        <w:t>范围内</w:t>
      </w:r>
      <w:r>
        <w:rPr>
          <w:rFonts w:ascii="宋体" w:hAnsi="宋体"/>
        </w:rPr>
        <w:t>种植</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小米</w:t>
      </w:r>
      <w:r>
        <w:rPr>
          <w:rFonts w:hint="eastAsia" w:ascii="宋体" w:hAnsi="宋体" w:cs="微软雅黑"/>
        </w:rPr>
        <w:t>。</w:t>
      </w:r>
    </w:p>
    <w:p>
      <w:pPr>
        <w:pStyle w:val="105"/>
        <w:spacing w:before="240" w:after="240"/>
        <w:rPr>
          <w:rFonts w:hint="eastAsia"/>
          <w:lang w:val="en-US" w:eastAsia="zh-CN"/>
        </w:rPr>
      </w:pPr>
      <w:r>
        <w:rPr>
          <w:rFonts w:hint="eastAsia"/>
          <w:lang w:val="en-US" w:eastAsia="zh-CN"/>
        </w:rPr>
        <w:t xml:space="preserve">地理标志产品保护范围 </w:t>
      </w:r>
    </w:p>
    <w:p>
      <w:pPr>
        <w:pStyle w:val="57"/>
        <w:ind w:firstLine="420"/>
        <w:rPr>
          <w:rFonts w:hint="default" w:ascii="Times New Roman" w:hAnsi="Times New Roman" w:eastAsia="宋体" w:cs="Times New Roman"/>
          <w:lang w:val="en-US" w:eastAsia="zh-CN"/>
        </w:rPr>
      </w:pPr>
      <w:r>
        <w:rPr>
          <w:rFonts w:hint="default" w:ascii="Times New Roman" w:hAnsi="Times New Roman" w:eastAsia="宋体" w:cs="Times New Roman"/>
        </w:rPr>
        <w:t>保护的区域范围为阜新蒙古族自治县所辖</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"https://baike.baidu.com/item/%E5%8C%96%E7%9F%B3%E6%88%88%E4%B9%A1/3729683?fromModule=lemma_inlink" \t "https://baike.baidu.com/item/%E5%8C%96%E7%9F%B3%E6%88%88%E5%B0%8F%E7%B1%B3/_blank"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化石戈乡</w:t>
      </w:r>
      <w:r>
        <w:rPr>
          <w:rFonts w:hint="default" w:ascii="Times New Roman" w:hAnsi="Times New Roman" w:eastAsia="宋体" w:cs="Times New Roman"/>
        </w:rPr>
        <w:fldChar w:fldCharType="end"/>
      </w:r>
      <w:r>
        <w:rPr>
          <w:rFonts w:hint="default" w:ascii="Times New Roman" w:hAnsi="Times New Roman" w:eastAsia="宋体" w:cs="Times New Roman"/>
        </w:rPr>
        <w:t>的来柱村、万德号村、八里村、坤头村、化石戈村、老二色村、台吉营子村、哈日诺尔村共8个村。地理坐标为东经121°11′00″</w:t>
      </w:r>
      <w:r>
        <w:rPr>
          <w:rFonts w:hint="default" w:ascii="Times New Roman" w:hAnsi="Times New Roman" w:eastAsia="宋体" w:cs="Times New Roman"/>
          <w:lang w:val="en-US" w:eastAsia="zh-CN"/>
        </w:rPr>
        <w:t>～</w:t>
      </w:r>
      <w:r>
        <w:rPr>
          <w:rFonts w:hint="default" w:ascii="Times New Roman" w:hAnsi="Times New Roman" w:eastAsia="宋体" w:cs="Times New Roman"/>
        </w:rPr>
        <w:t>121°26′00″，北纬41°54′00″</w:t>
      </w:r>
      <w:r>
        <w:rPr>
          <w:rFonts w:hint="default" w:ascii="Times New Roman" w:hAnsi="Times New Roman" w:eastAsia="宋体" w:cs="Times New Roman"/>
          <w:lang w:val="en-US" w:eastAsia="zh-CN"/>
        </w:rPr>
        <w:t>～</w:t>
      </w:r>
      <w:r>
        <w:rPr>
          <w:rFonts w:hint="default" w:ascii="Times New Roman" w:hAnsi="Times New Roman" w:eastAsia="宋体" w:cs="Times New Roman"/>
        </w:rPr>
        <w:t>42°10′00″</w:t>
      </w:r>
      <w:r>
        <w:rPr>
          <w:rFonts w:hint="default" w:ascii="Times New Roman" w:hAnsi="Times New Roman" w:cs="Times New Roman"/>
          <w:lang w:eastAsia="zh-CN"/>
        </w:rPr>
        <w:t>。</w:t>
      </w:r>
      <w:r>
        <w:rPr>
          <w:rFonts w:hint="default" w:ascii="Times New Roman" w:hAnsi="Times New Roman" w:eastAsia="宋体" w:cs="Times New Roman"/>
          <w:lang w:val="en-US" w:eastAsia="zh-CN"/>
        </w:rPr>
        <w:t>见附录A。</w:t>
      </w:r>
    </w:p>
    <w:p>
      <w:pPr>
        <w:pStyle w:val="105"/>
        <w:spacing w:before="240" w:after="240"/>
        <w:rPr>
          <w:rFonts w:hint="default" w:ascii="Times New Roman" w:hAnsi="Times New Roman" w:cs="Times New Roman"/>
          <w:lang w:val="en-US" w:eastAsia="zh-CN"/>
        </w:rPr>
      </w:pPr>
      <w:r>
        <w:rPr>
          <w:rFonts w:hint="default" w:ascii="Times New Roman" w:hAnsi="Times New Roman" w:cs="Times New Roman"/>
          <w:lang w:val="en-US" w:eastAsia="zh-CN"/>
        </w:rPr>
        <w:t>自然环境</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土壤</w:t>
      </w:r>
    </w:p>
    <w:p>
      <w:pPr>
        <w:pStyle w:val="105"/>
        <w:numPr>
          <w:ilvl w:val="1"/>
          <w:numId w:val="0"/>
        </w:numPr>
        <w:spacing w:before="240" w:after="240"/>
        <w:ind w:leftChars="0"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位于内蒙古高原和辽河平原的中间过渡带，属辽宁西部的低山丘陵区。地形南北呈狭长地势，地势东高西低。耕地的土壤类型主要是砂壤土和棕壤土，</w:t>
      </w:r>
      <w:r>
        <w:rPr>
          <w:rFonts w:hint="default" w:ascii="Times New Roman" w:hAnsi="Times New Roman" w:eastAsia="宋体" w:cs="Times New Roman"/>
          <w:strike w:val="0"/>
          <w:dstrike w:val="0"/>
          <w:color w:val="auto"/>
          <w:kern w:val="2"/>
          <w:sz w:val="21"/>
          <w:szCs w:val="21"/>
          <w:lang w:val="en-US" w:eastAsia="zh-CN" w:bidi="ar-SA"/>
        </w:rPr>
        <w:t>包括</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林木、灌丛、草原、草甸植被。土层深厚、排水性较好、土壤有机质含量较高、pH值在6.5</w:t>
      </w:r>
      <w:r>
        <w:rPr>
          <w:rFonts w:hint="default" w:ascii="Times New Roman" w:hAnsi="Times New Roman" w:eastAsia="宋体" w:cs="Times New Roman"/>
          <w:lang w:val="en-US" w:eastAsia="zh-CN"/>
        </w:rPr>
        <w:t>～</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7.5。</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气温</w:t>
      </w:r>
    </w:p>
    <w:p>
      <w:pPr>
        <w:pStyle w:val="105"/>
        <w:numPr>
          <w:ilvl w:val="1"/>
          <w:numId w:val="0"/>
        </w:numPr>
        <w:spacing w:before="240" w:after="240"/>
        <w:ind w:leftChars="0"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年平均气温8.9℃，全年极端最高气温为33.8℃，极端最低气温为-23.5℃。</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降水量</w:t>
      </w:r>
    </w:p>
    <w:p>
      <w:pPr>
        <w:pStyle w:val="105"/>
        <w:numPr>
          <w:ilvl w:val="1"/>
          <w:numId w:val="0"/>
        </w:numPr>
        <w:spacing w:before="240" w:after="240"/>
        <w:ind w:leftChars="0"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年平均降量为300 mm。</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日照</w:t>
      </w:r>
    </w:p>
    <w:p>
      <w:pPr>
        <w:pStyle w:val="105"/>
        <w:numPr>
          <w:ilvl w:val="1"/>
          <w:numId w:val="0"/>
        </w:numPr>
        <w:spacing w:before="240" w:after="240"/>
        <w:ind w:leftChars="0"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年平均日照时数为2865.5h，平均无霜期为158d。</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水质</w:t>
      </w:r>
    </w:p>
    <w:p>
      <w:pPr>
        <w:pStyle w:val="105"/>
        <w:numPr>
          <w:ilvl w:val="1"/>
          <w:numId w:val="0"/>
        </w:numPr>
        <w:spacing w:before="240" w:after="240"/>
        <w:ind w:leftChars="0" w:firstLine="420" w:firstLineChars="20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应采用地下水灌溉，水质符合 GB 5084 规定。</w:t>
      </w:r>
    </w:p>
    <w:p>
      <w:pPr>
        <w:pStyle w:val="105"/>
        <w:spacing w:before="240" w:after="240"/>
        <w:rPr>
          <w:rFonts w:hint="default" w:ascii="Times New Roman" w:hAnsi="Times New Roman" w:cs="Times New Roman"/>
          <w:lang w:val="en-US" w:eastAsia="zh-CN"/>
        </w:rPr>
      </w:pPr>
      <w:r>
        <w:rPr>
          <w:rFonts w:hint="default" w:ascii="Times New Roman" w:hAnsi="Times New Roman" w:cs="Times New Roman"/>
          <w:lang w:val="en-US" w:eastAsia="zh-CN"/>
        </w:rPr>
        <w:t>要求</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 xml:space="preserve"> 品种</w:t>
      </w:r>
    </w:p>
    <w:p>
      <w:pPr>
        <w:pStyle w:val="57"/>
        <w:ind w:firstLine="408"/>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应选择米质优良、籽粒整齐、抗逆性强的当地老品种</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，如</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金苗</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K</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1、燕谷18号、朝谷58、毛毛谷、齐头白、红谷子、青苗子、苏籽粮（苏子白）。</w:t>
      </w:r>
    </w:p>
    <w:p>
      <w:pPr>
        <w:pStyle w:val="224"/>
        <w:spacing w:before="120" w:beforeLines="50" w:after="120" w:afterLines="50" w:line="276" w:lineRule="auto"/>
        <w:ind w:left="424" w:leftChars="2" w:hanging="420" w:hanging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栽培管理</w:t>
      </w:r>
    </w:p>
    <w:p>
      <w:pPr>
        <w:pStyle w:val="66"/>
        <w:bidi w:val="0"/>
        <w:rPr>
          <w:rFonts w:hint="default" w:ascii="Times New Roman" w:hAnsi="Times New Roman" w:cs="Times New Roman"/>
          <w:lang w:val="en-US" w:eastAsia="zh-CN"/>
        </w:rPr>
      </w:pPr>
      <w:r>
        <w:rPr>
          <w:rFonts w:hint="default" w:ascii="Times New Roman" w:hAnsi="Times New Roman" w:cs="Times New Roman"/>
          <w:lang w:val="en-US" w:eastAsia="zh-CN"/>
        </w:rPr>
        <w:t>选地</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应选择3年以上没有种植谷子的地块，</w:t>
      </w:r>
      <w:r>
        <w:rPr>
          <w:rFonts w:hint="default" w:ascii="Times New Roman" w:hAnsi="Times New Roman" w:eastAsia="宋体" w:cs="Times New Roman"/>
          <w:kern w:val="2"/>
          <w:sz w:val="21"/>
          <w:szCs w:val="21"/>
          <w:lang w:val="en-US" w:eastAsia="zh-CN" w:bidi="ar-SA"/>
        </w:rPr>
        <w:t>前茬以豆类或玉米、高粱、薯类等作物为宜。</w:t>
      </w:r>
    </w:p>
    <w:p>
      <w:pPr>
        <w:pStyle w:val="66"/>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播种时间</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谷子的播种适期宜在5月上、中旬，最晚应在5</w:t>
      </w:r>
      <w:r>
        <w:rPr>
          <w:rFonts w:hint="default" w:ascii="Times New Roman" w:hAnsi="Times New Roman" w:eastAsia="宋体" w:cs="Times New Roman"/>
          <w:kern w:val="2"/>
          <w:sz w:val="21"/>
          <w:szCs w:val="21"/>
          <w:lang w:val="en-US" w:eastAsia="zh-CN" w:bidi="ar-SA"/>
        </w:rPr>
        <w:t>月底前播完。</w:t>
      </w:r>
    </w:p>
    <w:p>
      <w:pPr>
        <w:pStyle w:val="66"/>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播种方法</w:t>
      </w:r>
    </w:p>
    <w:p>
      <w:pPr>
        <w:pStyle w:val="57"/>
        <w:ind w:firstLine="420"/>
        <w:rPr>
          <w:rFonts w:hint="default" w:ascii="Times New Roman" w:hAnsi="Times New Roman" w:cs="Times New Roman"/>
          <w:lang w:val="en-US" w:eastAsia="zh-CN"/>
        </w:rPr>
      </w:pPr>
      <w:r>
        <w:rPr>
          <w:rFonts w:hint="default" w:ascii="Times New Roman" w:hAnsi="Times New Roman" w:cs="Times New Roman"/>
          <w:lang w:val="en-US" w:eastAsia="zh-CN"/>
        </w:rPr>
        <w:t>条播每亩可用种</w:t>
      </w:r>
      <w:r>
        <w:rPr>
          <w:rFonts w:hint="eastAsia" w:ascii="Times New Roman" w:cs="Times New Roman"/>
          <w:lang w:val="en-US" w:eastAsia="zh-CN"/>
        </w:rPr>
        <w:t xml:space="preserve"> </w:t>
      </w:r>
      <w:r>
        <w:rPr>
          <w:rFonts w:hint="default" w:ascii="Times New Roman" w:hAnsi="Times New Roman" w:cs="Times New Roman"/>
          <w:lang w:val="en-US" w:eastAsia="zh-CN"/>
        </w:rPr>
        <w:t>0.5</w:t>
      </w:r>
      <w:r>
        <w:rPr>
          <w:rFonts w:hint="eastAsia" w:ascii="Times New Roman" w:cs="Times New Roman"/>
          <w:lang w:val="en-US" w:eastAsia="zh-CN"/>
        </w:rPr>
        <w:t xml:space="preserve"> kg</w:t>
      </w:r>
      <w:r>
        <w:rPr>
          <w:rFonts w:hint="default" w:ascii="Times New Roman" w:hAnsi="Times New Roman" w:cs="Times New Roman"/>
          <w:lang w:val="en-US" w:eastAsia="zh-CN"/>
        </w:rPr>
        <w:t>，覆土深度应为3</w:t>
      </w:r>
      <w:r>
        <w:rPr>
          <w:rFonts w:hint="eastAsia" w:ascii="Times New Roman" w:cs="Times New Roman"/>
          <w:lang w:val="en-US" w:eastAsia="zh-CN"/>
        </w:rPr>
        <w:t xml:space="preserve"> </w:t>
      </w:r>
      <w:r>
        <w:rPr>
          <w:rFonts w:hint="default" w:ascii="Times New Roman" w:hAnsi="Times New Roman" w:cs="Times New Roman"/>
          <w:lang w:val="en-US" w:eastAsia="zh-CN"/>
        </w:rPr>
        <w:t>cm～4</w:t>
      </w:r>
      <w:r>
        <w:rPr>
          <w:rFonts w:hint="eastAsia" w:ascii="Times New Roman" w:cs="Times New Roman"/>
          <w:lang w:val="en-US" w:eastAsia="zh-CN"/>
        </w:rPr>
        <w:t xml:space="preserve"> </w:t>
      </w:r>
      <w:r>
        <w:rPr>
          <w:rFonts w:hint="default" w:ascii="Times New Roman" w:hAnsi="Times New Roman" w:cs="Times New Roman"/>
          <w:lang w:val="en-US" w:eastAsia="zh-CN"/>
        </w:rPr>
        <w:t>cm。平肥地每亩可保苗3～3.5万株，山坡地每亩可保苗</w:t>
      </w:r>
      <w:r>
        <w:rPr>
          <w:rFonts w:hint="eastAsia" w:ascii="Times New Roman" w:cs="Times New Roman"/>
          <w:lang w:val="en-US" w:eastAsia="zh-CN"/>
        </w:rPr>
        <w:t xml:space="preserve"> </w:t>
      </w:r>
      <w:r>
        <w:rPr>
          <w:rFonts w:hint="default" w:ascii="Times New Roman" w:hAnsi="Times New Roman" w:cs="Times New Roman"/>
          <w:lang w:val="en-US" w:eastAsia="zh-CN"/>
        </w:rPr>
        <w:t>2.5万～3万株。为了保墒和保全苗，应采取开沟接墒播种，应</w:t>
      </w:r>
      <w:r>
        <w:rPr>
          <w:rFonts w:hint="eastAsia" w:ascii="Times New Roman" w:cs="Times New Roman"/>
          <w:lang w:val="en-US" w:eastAsia="zh-CN"/>
        </w:rPr>
        <w:t>用</w:t>
      </w:r>
      <w:r>
        <w:rPr>
          <w:rFonts w:hint="default" w:ascii="Times New Roman" w:hAnsi="Times New Roman" w:cs="Times New Roman"/>
          <w:lang w:val="en-US" w:eastAsia="zh-CN"/>
        </w:rPr>
        <w:t>踩底格子后施肥、覆土、镇压的方法，做到一次播种保全苗。</w:t>
      </w:r>
    </w:p>
    <w:p>
      <w:pPr>
        <w:pStyle w:val="66"/>
        <w:bidi w:val="0"/>
        <w:rPr>
          <w:rFonts w:hint="default" w:ascii="Times New Roman" w:hAnsi="Times New Roman" w:cs="Times New Roman"/>
          <w:lang w:val="en-US" w:eastAsia="zh-CN"/>
        </w:rPr>
      </w:pPr>
      <w:r>
        <w:rPr>
          <w:rFonts w:hint="default" w:ascii="Times New Roman" w:hAnsi="Times New Roman" w:cs="Times New Roman"/>
          <w:lang w:val="en-US" w:eastAsia="zh-CN"/>
        </w:rPr>
        <w:t>田间管理</w:t>
      </w:r>
    </w:p>
    <w:p>
      <w:pPr>
        <w:pStyle w:val="9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早间苗、育壮苗</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宜在三叶期间苗，同时清除多余的苗及杂株、病株和杂草。</w:t>
      </w:r>
    </w:p>
    <w:p>
      <w:pPr>
        <w:pStyle w:val="95"/>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中耕除草</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间苗时应用手锄清除杂草，松土保墒，诱发次生根生长。定苗时可进行潜中耕，深度宜为3</w:t>
      </w:r>
      <w:r>
        <w:rPr>
          <w:rFonts w:hint="eastAsia" w:asci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cm～4</w:t>
      </w:r>
      <w:r>
        <w:rPr>
          <w:rFonts w:hint="eastAsia" w:asci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cm，拔节后进行一次深中耕，深度宜为7</w:t>
      </w:r>
      <w:r>
        <w:rPr>
          <w:rFonts w:hint="eastAsia" w:asci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cm～8 cm。</w:t>
      </w:r>
    </w:p>
    <w:p>
      <w:pPr>
        <w:pStyle w:val="9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施肥</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施肥</w:t>
      </w:r>
      <w:r>
        <w:rPr>
          <w:rFonts w:hint="default" w:ascii="Times New Roman" w:hAnsi="Times New Roman" w:eastAsia="宋体" w:cs="Times New Roman"/>
          <w:kern w:val="2"/>
          <w:sz w:val="21"/>
          <w:szCs w:val="21"/>
          <w:lang w:val="en-US" w:eastAsia="zh-CN" w:bidi="ar-SA"/>
        </w:rPr>
        <w:t>应以充分腐熟的优质农家肥为主，辅助施用少量的化肥，在播种前应每亩施用1500</w:t>
      </w:r>
      <w:r>
        <w:rPr>
          <w:rFonts w:hint="default" w:ascii="Times New Roman" w:hAnsi="Times New Roman" w:cs="Times New Roman"/>
          <w:kern w:val="2"/>
          <w:sz w:val="21"/>
          <w:szCs w:val="21"/>
          <w:lang w:val="en-US" w:eastAsia="zh-CN" w:bidi="ar-SA"/>
        </w:rPr>
        <w:t xml:space="preserve"> kg</w:t>
      </w:r>
      <w:r>
        <w:rPr>
          <w:rFonts w:hint="default" w:ascii="Times New Roman" w:hAnsi="Times New Roman" w:eastAsia="宋体" w:cs="Times New Roman"/>
          <w:kern w:val="2"/>
          <w:sz w:val="21"/>
          <w:szCs w:val="21"/>
          <w:lang w:val="en-US" w:eastAsia="zh-CN" w:bidi="ar-SA"/>
        </w:rPr>
        <w:t>充分腐熟的优质农家肥，同时施入硫酸钾5 kg，在谷子拔节时，应结合趟地每亩追施尿素10 kg。肥料使</w:t>
      </w:r>
      <w:r>
        <w:rPr>
          <w:rFonts w:hint="default" w:ascii="Times New Roman" w:hAnsi="Times New Roman" w:cs="Times New Roman"/>
          <w:kern w:val="2"/>
          <w:sz w:val="21"/>
          <w:szCs w:val="21"/>
          <w:lang w:val="en-US" w:eastAsia="zh-CN" w:bidi="ar-SA"/>
        </w:rPr>
        <w:t>用应符合</w:t>
      </w:r>
      <w:r>
        <w:rPr>
          <w:rFonts w:hint="default" w:ascii="Times New Roman" w:hAnsi="Times New Roman" w:eastAsia="宋体" w:cs="Times New Roman"/>
          <w:color w:val="000000"/>
          <w:kern w:val="0"/>
          <w:sz w:val="21"/>
          <w:szCs w:val="21"/>
          <w:lang w:val="en-US" w:eastAsia="zh-CN" w:bidi="ar"/>
        </w:rPr>
        <w:t>NY/T 496</w:t>
      </w:r>
      <w:r>
        <w:rPr>
          <w:rFonts w:hint="default" w:ascii="Times New Roman" w:hAnsi="Times New Roman" w:cs="Times New Roman"/>
          <w:kern w:val="2"/>
          <w:sz w:val="21"/>
          <w:szCs w:val="21"/>
          <w:lang w:val="en-US" w:eastAsia="zh-CN" w:bidi="ar-SA"/>
        </w:rPr>
        <w:t>的要求</w:t>
      </w:r>
      <w:r>
        <w:rPr>
          <w:rFonts w:hint="default" w:ascii="Times New Roman" w:hAnsi="Times New Roman" w:eastAsia="宋体" w:cs="Times New Roman"/>
          <w:kern w:val="2"/>
          <w:sz w:val="21"/>
          <w:szCs w:val="21"/>
          <w:lang w:val="en-US" w:eastAsia="zh-CN" w:bidi="ar-SA"/>
        </w:rPr>
        <w:t>。</w:t>
      </w:r>
    </w:p>
    <w:p>
      <w:pPr>
        <w:pStyle w:val="9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病虫害防治</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病虫害防治应采取预防为主、防治结合的方法，杜绝使用高毒、高残留的化学合成农药。谷子多发的病虫害主要是谷子粘虫，防治方法是在7月中旬用90%晶体敌百虫40g /667㎡喷雾防治。</w:t>
      </w:r>
    </w:p>
    <w:p>
      <w:pPr>
        <w:pStyle w:val="9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收获</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可根据不同的品种采取单打、单收、单运，防止品种混杂，脱粒过程中不应有碎石、土块等杂物混入其中，收获后应放在通风干燥处储藏。</w:t>
      </w:r>
    </w:p>
    <w:p>
      <w:pPr>
        <w:pStyle w:val="9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记录</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可按建立农产品生产记录，记载事项应包使用农业投入品的名称、来源、用法、用量和使用、停用的日期，</w:t>
      </w:r>
      <w:r>
        <w:rPr>
          <w:rFonts w:hint="default" w:ascii="Times New Roman" w:hAnsi="Times New Roman" w:eastAsia="宋体" w:cs="Times New Roman"/>
          <w:kern w:val="2"/>
          <w:sz w:val="21"/>
          <w:szCs w:val="21"/>
          <w:lang w:val="en-US" w:eastAsia="zh-CN" w:bidi="ar-SA"/>
        </w:rPr>
        <w:t>植物病虫草害的发生和防治情况、</w:t>
      </w:r>
      <w:r>
        <w:rPr>
          <w:rFonts w:hint="default" w:ascii="Times New Roman" w:hAnsi="Times New Roman" w:eastAsia="宋体" w:cs="Times New Roman"/>
          <w:kern w:val="2"/>
          <w:sz w:val="21"/>
          <w:szCs w:val="21"/>
          <w:lang w:val="en-US" w:eastAsia="zh-CN" w:bidi="ar-SA"/>
        </w:rPr>
        <w:t xml:space="preserve">收获日期。农产品生产记录应当保存 2 年。 </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感官指标</w:t>
      </w:r>
    </w:p>
    <w:p>
      <w:pPr>
        <w:pStyle w:val="57"/>
        <w:ind w:firstLine="4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感官指标应符合表1的规定。</w:t>
      </w:r>
    </w:p>
    <w:p>
      <w:pPr>
        <w:pStyle w:val="113"/>
        <w:spacing w:before="120" w:after="120"/>
        <w:rPr>
          <w:rFonts w:hint="default" w:ascii="Times New Roman" w:hAnsi="Times New Roman" w:cs="Times New Roman"/>
          <w:color w:val="0000FF"/>
        </w:rPr>
      </w:pPr>
      <w:r>
        <w:rPr>
          <w:rFonts w:hint="default" w:ascii="Times New Roman" w:hAnsi="Times New Roman" w:cs="Times New Roman"/>
        </w:rPr>
        <w:t>感官</w:t>
      </w:r>
      <w:r>
        <w:rPr>
          <w:rFonts w:hint="default" w:ascii="Times New Roman" w:hAnsi="Times New Roman" w:cs="Times New Roman"/>
          <w:lang w:val="en-US" w:eastAsia="zh-CN"/>
        </w:rPr>
        <w:t>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0"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项目</w:t>
            </w:r>
          </w:p>
        </w:tc>
        <w:tc>
          <w:tcPr>
            <w:tcW w:w="4626"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80"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形态</w:t>
            </w:r>
          </w:p>
        </w:tc>
        <w:tc>
          <w:tcPr>
            <w:tcW w:w="4626"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颗粒均匀饱满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0"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色泽</w:t>
            </w:r>
          </w:p>
        </w:tc>
        <w:tc>
          <w:tcPr>
            <w:tcW w:w="4626"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鲜黄明亮，无明显色差，无霉变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0"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气味</w:t>
            </w:r>
          </w:p>
        </w:tc>
        <w:tc>
          <w:tcPr>
            <w:tcW w:w="4626"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具有固有的自然清香，无异味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0"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bidi="ar-SA"/>
              </w:rPr>
              <w:t>口感</w:t>
            </w:r>
          </w:p>
        </w:tc>
        <w:tc>
          <w:tcPr>
            <w:tcW w:w="4626" w:type="dxa"/>
          </w:tcPr>
          <w:p>
            <w:pPr>
              <w:jc w:val="center"/>
              <w:rPr>
                <w:rFonts w:hint="default" w:ascii="Times New Roman" w:hAnsi="Times New Roman" w:eastAsia="宋体" w:cs="Times New Roman"/>
                <w:color w:val="auto"/>
                <w:kern w:val="2"/>
                <w:sz w:val="18"/>
                <w:szCs w:val="21"/>
                <w:lang w:val="en-US" w:eastAsia="zh-CN" w:bidi="ar-SA"/>
              </w:rPr>
            </w:pPr>
            <w:r>
              <w:rPr>
                <w:rFonts w:hint="default" w:ascii="Times New Roman" w:hAnsi="Times New Roman" w:cs="Times New Roman"/>
                <w:color w:val="auto"/>
                <w:kern w:val="2"/>
                <w:sz w:val="18"/>
                <w:szCs w:val="21"/>
                <w:lang w:val="en-US" w:eastAsia="zh-CN" w:bidi="ar-SA"/>
              </w:rPr>
              <w:t>软滑可口，清香绵长</w:t>
            </w:r>
          </w:p>
        </w:tc>
      </w:tr>
    </w:tbl>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加工质量指标</w:t>
      </w:r>
    </w:p>
    <w:p>
      <w:pPr>
        <w:pStyle w:val="57"/>
        <w:ind w:firstLine="420"/>
        <w:rPr>
          <w:rFonts w:hint="default" w:ascii="Times New Roman" w:hAnsi="Times New Roman" w:eastAsia="宋体" w:cs="Times New Roman"/>
          <w:szCs w:val="21"/>
        </w:rPr>
      </w:pPr>
      <w:r>
        <w:rPr>
          <w:rFonts w:hint="default" w:ascii="Times New Roman" w:hAnsi="Times New Roman" w:eastAsia="宋体" w:cs="Times New Roman"/>
          <w:lang w:val="en-US" w:eastAsia="zh-CN"/>
        </w:rPr>
        <w:t>加工质量指标</w:t>
      </w:r>
      <w:r>
        <w:rPr>
          <w:rFonts w:hint="default" w:ascii="Times New Roman" w:hAnsi="Times New Roman" w:eastAsia="宋体" w:cs="Times New Roman"/>
        </w:rPr>
        <w:t>应符合表2的规定。</w:t>
      </w:r>
    </w:p>
    <w:p>
      <w:pPr>
        <w:pStyle w:val="113"/>
        <w:spacing w:before="120" w:after="120"/>
        <w:rPr>
          <w:rFonts w:hint="default" w:ascii="Times New Roman" w:hAnsi="Times New Roman" w:cs="Times New Roman"/>
        </w:rPr>
      </w:pPr>
      <w:r>
        <w:rPr>
          <w:rFonts w:hint="default" w:ascii="Times New Roman" w:hAnsi="Times New Roman" w:cs="Times New Roman"/>
          <w:lang w:val="en-US" w:eastAsia="zh-CN"/>
        </w:rPr>
        <w:t>加工质量</w:t>
      </w:r>
      <w:r>
        <w:rPr>
          <w:rFonts w:hint="default" w:ascii="Times New Roman" w:hAnsi="Times New Roman" w:cs="Times New Roman"/>
        </w:rPr>
        <w:t>指标</w:t>
      </w:r>
    </w:p>
    <w:tbl>
      <w:tblPr>
        <w:tblStyle w:val="235"/>
        <w:tblW w:w="93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8"/>
        <w:gridCol w:w="928"/>
        <w:gridCol w:w="1414"/>
        <w:gridCol w:w="1560"/>
        <w:gridCol w:w="1558"/>
        <w:gridCol w:w="1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90" w:type="dxa"/>
            <w:gridSpan w:val="3"/>
            <w:vMerge w:val="restart"/>
            <w:tcBorders>
              <w:top w:val="single" w:color="000000" w:sz="6" w:space="0"/>
              <w:left w:val="single" w:color="000000" w:sz="6" w:space="0"/>
              <w:bottom w:val="nil"/>
            </w:tcBorders>
            <w:vAlign w:val="center"/>
          </w:tcPr>
          <w:p>
            <w:pPr>
              <w:spacing w:line="240" w:lineRule="auto"/>
              <w:jc w:val="center"/>
              <w:rPr>
                <w:rFonts w:hint="default" w:ascii="Times New Roman" w:hAnsi="Times New Roman" w:eastAsia="宋体" w:cs="Times New Roman"/>
                <w:sz w:val="18"/>
              </w:rPr>
            </w:pPr>
            <w:r>
              <w:rPr>
                <w:rFonts w:hint="default" w:ascii="Times New Roman" w:hAnsi="Times New Roman" w:eastAsia="宋体" w:cs="Times New Roman"/>
                <w:sz w:val="18"/>
              </w:rPr>
              <w:t>项目</w:t>
            </w:r>
          </w:p>
        </w:tc>
        <w:tc>
          <w:tcPr>
            <w:tcW w:w="4690" w:type="dxa"/>
            <w:gridSpan w:val="3"/>
            <w:tcBorders>
              <w:top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18"/>
              </w:rPr>
            </w:pPr>
            <w:r>
              <w:rPr>
                <w:rFonts w:hint="default" w:ascii="Times New Roman" w:hAnsi="Times New Roman" w:eastAsia="宋体" w:cs="Times New Roman"/>
                <w:sz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4690" w:type="dxa"/>
            <w:gridSpan w:val="3"/>
            <w:vMerge w:val="continue"/>
            <w:tcBorders>
              <w:top w:val="nil"/>
              <w:left w:val="single" w:color="000000" w:sz="6" w:space="0"/>
              <w:bottom w:val="single" w:color="000000" w:sz="6" w:space="0"/>
            </w:tcBorders>
            <w:vAlign w:val="center"/>
          </w:tcPr>
          <w:p>
            <w:pPr>
              <w:spacing w:line="240" w:lineRule="auto"/>
              <w:jc w:val="left"/>
              <w:rPr>
                <w:rFonts w:hint="default" w:ascii="Times New Roman" w:hAnsi="Times New Roman" w:eastAsia="宋体" w:cs="Times New Roman"/>
                <w:sz w:val="18"/>
              </w:rPr>
            </w:pPr>
          </w:p>
        </w:tc>
        <w:tc>
          <w:tcPr>
            <w:tcW w:w="1560" w:type="dxa"/>
            <w:tcBorders>
              <w:top w:val="single" w:color="000000" w:sz="6" w:space="0"/>
              <w:bottom w:val="single" w:color="000000" w:sz="6" w:space="0"/>
            </w:tcBorders>
            <w:vAlign w:val="center"/>
          </w:tcPr>
          <w:p>
            <w:pPr>
              <w:spacing w:line="240" w:lineRule="auto"/>
              <w:jc w:val="center"/>
              <w:rPr>
                <w:rFonts w:hint="default" w:ascii="Times New Roman" w:hAnsi="Times New Roman" w:eastAsia="宋体" w:cs="Times New Roman"/>
                <w:sz w:val="18"/>
              </w:rPr>
            </w:pPr>
            <w:r>
              <w:rPr>
                <w:rFonts w:hint="default" w:ascii="Times New Roman" w:hAnsi="Times New Roman" w:eastAsia="宋体" w:cs="Times New Roman"/>
                <w:sz w:val="18"/>
              </w:rPr>
              <w:t>一级</w:t>
            </w:r>
          </w:p>
        </w:tc>
        <w:tc>
          <w:tcPr>
            <w:tcW w:w="1558" w:type="dxa"/>
            <w:tcBorders>
              <w:top w:val="single" w:color="000000" w:sz="6" w:space="0"/>
              <w:bottom w:val="single" w:color="000000" w:sz="6" w:space="0"/>
            </w:tcBorders>
            <w:vAlign w:val="center"/>
          </w:tcPr>
          <w:p>
            <w:pPr>
              <w:spacing w:line="240" w:lineRule="auto"/>
              <w:jc w:val="center"/>
              <w:rPr>
                <w:rFonts w:hint="default" w:ascii="Times New Roman" w:hAnsi="Times New Roman" w:eastAsia="宋体" w:cs="Times New Roman"/>
                <w:sz w:val="18"/>
              </w:rPr>
            </w:pPr>
            <w:r>
              <w:rPr>
                <w:rFonts w:hint="default" w:ascii="Times New Roman" w:hAnsi="Times New Roman" w:eastAsia="宋体" w:cs="Times New Roman"/>
                <w:sz w:val="18"/>
              </w:rPr>
              <w:t>二级</w:t>
            </w:r>
          </w:p>
        </w:tc>
        <w:tc>
          <w:tcPr>
            <w:tcW w:w="1572" w:type="dxa"/>
            <w:tcBorders>
              <w:top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宋体" w:cs="Times New Roman"/>
                <w:sz w:val="18"/>
              </w:rPr>
            </w:pPr>
            <w:r>
              <w:rPr>
                <w:rFonts w:hint="default" w:ascii="Times New Roman" w:hAnsi="Times New Roman" w:eastAsia="宋体" w:cs="Times New Roman"/>
                <w:sz w:val="18"/>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690" w:type="dxa"/>
            <w:gridSpan w:val="3"/>
            <w:tcBorders>
              <w:top w:val="single" w:color="000000" w:sz="6" w:space="0"/>
              <w:left w:val="single" w:color="000000" w:sz="6" w:space="0"/>
            </w:tcBorders>
            <w:vAlign w:val="center"/>
          </w:tcPr>
          <w:p>
            <w:pPr>
              <w:pStyle w:val="236"/>
              <w:spacing w:before="109" w:line="240" w:lineRule="auto"/>
              <w:ind w:left="282"/>
              <w:jc w:val="left"/>
              <w:rPr>
                <w:rFonts w:hint="default" w:ascii="Times New Roman" w:hAnsi="Times New Roman" w:cs="Times New Roman"/>
                <w:sz w:val="18"/>
                <w:szCs w:val="18"/>
              </w:rPr>
            </w:pPr>
            <w:r>
              <w:rPr>
                <w:rFonts w:hint="default" w:ascii="Times New Roman" w:hAnsi="Times New Roman" w:cs="Times New Roman"/>
                <w:spacing w:val="4"/>
                <w:sz w:val="18"/>
                <w:szCs w:val="18"/>
              </w:rPr>
              <w:t>加工精度/（%）</w:t>
            </w:r>
            <w:r>
              <w:rPr>
                <w:rFonts w:hint="default" w:ascii="Times New Roman" w:hAnsi="Times New Roman" w:cs="Times New Roman"/>
                <w:spacing w:val="1"/>
                <w:sz w:val="18"/>
                <w:szCs w:val="18"/>
              </w:rPr>
              <w:t xml:space="preserve">                             </w:t>
            </w:r>
            <w:r>
              <w:rPr>
                <w:rFonts w:hint="default" w:ascii="Times New Roman" w:hAnsi="Times New Roman" w:cs="Times New Roman"/>
                <w:spacing w:val="4"/>
                <w:sz w:val="18"/>
                <w:szCs w:val="18"/>
              </w:rPr>
              <w:t>≥</w:t>
            </w:r>
          </w:p>
        </w:tc>
        <w:tc>
          <w:tcPr>
            <w:tcW w:w="1560" w:type="dxa"/>
            <w:tcBorders>
              <w:top w:val="single" w:color="000000" w:sz="6" w:space="0"/>
            </w:tcBorders>
            <w:vAlign w:val="center"/>
          </w:tcPr>
          <w:p>
            <w:pPr>
              <w:pStyle w:val="236"/>
              <w:spacing w:before="140" w:line="240" w:lineRule="auto"/>
              <w:ind w:left="696" w:leftChars="0" w:hanging="696" w:hangingChars="396"/>
              <w:jc w:val="center"/>
              <w:rPr>
                <w:rFonts w:hint="default" w:ascii="Times New Roman" w:hAnsi="Times New Roman" w:cs="Times New Roman"/>
                <w:sz w:val="18"/>
                <w:szCs w:val="18"/>
              </w:rPr>
            </w:pPr>
            <w:r>
              <w:rPr>
                <w:rFonts w:hint="default" w:ascii="Times New Roman" w:hAnsi="Times New Roman" w:cs="Times New Roman"/>
                <w:spacing w:val="-2"/>
                <w:sz w:val="18"/>
                <w:szCs w:val="18"/>
              </w:rPr>
              <w:t>95</w:t>
            </w:r>
          </w:p>
        </w:tc>
        <w:tc>
          <w:tcPr>
            <w:tcW w:w="1558" w:type="dxa"/>
            <w:tcBorders>
              <w:top w:val="single" w:color="000000" w:sz="6" w:space="0"/>
            </w:tcBorders>
            <w:vAlign w:val="center"/>
          </w:tcPr>
          <w:p>
            <w:pPr>
              <w:pStyle w:val="236"/>
              <w:spacing w:before="140" w:line="240" w:lineRule="auto"/>
              <w:ind w:left="698" w:leftChars="0" w:hanging="698" w:hangingChars="397"/>
              <w:jc w:val="center"/>
              <w:rPr>
                <w:rFonts w:hint="default" w:ascii="Times New Roman" w:hAnsi="Times New Roman" w:cs="Times New Roman"/>
                <w:sz w:val="18"/>
                <w:szCs w:val="18"/>
              </w:rPr>
            </w:pPr>
            <w:r>
              <w:rPr>
                <w:rFonts w:hint="default" w:ascii="Times New Roman" w:hAnsi="Times New Roman" w:cs="Times New Roman"/>
                <w:spacing w:val="-2"/>
                <w:sz w:val="18"/>
                <w:szCs w:val="18"/>
              </w:rPr>
              <w:t>90</w:t>
            </w:r>
          </w:p>
        </w:tc>
        <w:tc>
          <w:tcPr>
            <w:tcW w:w="1572" w:type="dxa"/>
            <w:tcBorders>
              <w:top w:val="single" w:color="000000" w:sz="6" w:space="0"/>
              <w:right w:val="single" w:color="000000" w:sz="6" w:space="0"/>
            </w:tcBorders>
            <w:vAlign w:val="center"/>
          </w:tcPr>
          <w:p>
            <w:pPr>
              <w:pStyle w:val="236"/>
              <w:spacing w:before="140" w:line="240" w:lineRule="auto"/>
              <w:ind w:left="700" w:leftChars="0" w:hanging="700" w:hangingChars="398"/>
              <w:jc w:val="center"/>
              <w:rPr>
                <w:rFonts w:hint="default" w:ascii="Times New Roman" w:hAnsi="Times New Roman" w:cs="Times New Roman"/>
                <w:sz w:val="18"/>
                <w:szCs w:val="18"/>
              </w:rPr>
            </w:pPr>
            <w:r>
              <w:rPr>
                <w:rFonts w:hint="default" w:ascii="Times New Roman" w:hAnsi="Times New Roman" w:cs="Times New Roman"/>
                <w:spacing w:val="-2"/>
                <w:sz w:val="18"/>
                <w:szCs w:val="18"/>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690" w:type="dxa"/>
            <w:gridSpan w:val="3"/>
            <w:tcBorders>
              <w:left w:val="single" w:color="000000" w:sz="6" w:space="0"/>
            </w:tcBorders>
            <w:vAlign w:val="center"/>
          </w:tcPr>
          <w:p>
            <w:pPr>
              <w:pStyle w:val="236"/>
              <w:spacing w:before="116" w:line="240" w:lineRule="auto"/>
              <w:ind w:left="285"/>
              <w:jc w:val="left"/>
              <w:rPr>
                <w:rFonts w:hint="default" w:ascii="Times New Roman" w:hAnsi="Times New Roman" w:cs="Times New Roman"/>
                <w:sz w:val="18"/>
                <w:szCs w:val="18"/>
              </w:rPr>
            </w:pPr>
            <w:r>
              <w:rPr>
                <w:rFonts w:hint="default" w:ascii="Times New Roman" w:hAnsi="Times New Roman" w:cs="Times New Roman"/>
                <w:spacing w:val="4"/>
                <w:sz w:val="18"/>
                <w:szCs w:val="18"/>
              </w:rPr>
              <w:t>不完善粒/（%）</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 xml:space="preserve">        </w:t>
            </w:r>
            <w:r>
              <w:rPr>
                <w:rFonts w:hint="default" w:ascii="Times New Roman" w:hAnsi="Times New Roman" w:cs="Times New Roman"/>
                <w:spacing w:val="4"/>
                <w:sz w:val="18"/>
                <w:szCs w:val="18"/>
              </w:rPr>
              <w:t>≤</w:t>
            </w:r>
          </w:p>
        </w:tc>
        <w:tc>
          <w:tcPr>
            <w:tcW w:w="1560" w:type="dxa"/>
            <w:vAlign w:val="center"/>
          </w:tcPr>
          <w:p>
            <w:pPr>
              <w:pStyle w:val="236"/>
              <w:spacing w:before="146" w:line="240" w:lineRule="auto"/>
              <w:ind w:left="681" w:leftChars="0" w:hanging="681" w:hangingChars="396"/>
              <w:jc w:val="center"/>
              <w:rPr>
                <w:rFonts w:hint="default" w:ascii="Times New Roman" w:hAnsi="Times New Roman" w:eastAsia="宋体" w:cs="Times New Roman"/>
                <w:sz w:val="18"/>
                <w:szCs w:val="18"/>
                <w:lang w:val="en-US" w:eastAsia="zh-CN"/>
              </w:rPr>
            </w:pPr>
            <w:r>
              <w:rPr>
                <w:rFonts w:hint="default" w:ascii="Times New Roman" w:hAnsi="Times New Roman" w:cs="Times New Roman"/>
                <w:spacing w:val="-4"/>
                <w:sz w:val="18"/>
                <w:szCs w:val="18"/>
                <w:lang w:val="en-US" w:eastAsia="zh-CN"/>
              </w:rPr>
              <w:t>0.8</w:t>
            </w:r>
          </w:p>
        </w:tc>
        <w:tc>
          <w:tcPr>
            <w:tcW w:w="1558" w:type="dxa"/>
            <w:vAlign w:val="center"/>
          </w:tcPr>
          <w:p>
            <w:pPr>
              <w:pStyle w:val="236"/>
              <w:spacing w:before="147" w:line="240" w:lineRule="auto"/>
              <w:ind w:left="698" w:leftChars="0" w:hanging="698" w:hangingChars="397"/>
              <w:jc w:val="center"/>
              <w:rPr>
                <w:rFonts w:hint="default" w:ascii="Times New Roman" w:hAnsi="Times New Roman" w:cs="Times New Roman"/>
                <w:sz w:val="18"/>
                <w:szCs w:val="18"/>
              </w:rPr>
            </w:pPr>
            <w:r>
              <w:rPr>
                <w:rFonts w:hint="default" w:ascii="Times New Roman" w:hAnsi="Times New Roman" w:cs="Times New Roman"/>
                <w:spacing w:val="-2"/>
                <w:sz w:val="18"/>
                <w:szCs w:val="18"/>
                <w:lang w:val="en-US" w:eastAsia="zh-CN"/>
              </w:rPr>
              <w:t>1</w:t>
            </w:r>
            <w:r>
              <w:rPr>
                <w:rFonts w:hint="default" w:ascii="Times New Roman" w:hAnsi="Times New Roman" w:cs="Times New Roman"/>
                <w:spacing w:val="-2"/>
                <w:sz w:val="18"/>
                <w:szCs w:val="18"/>
              </w:rPr>
              <w:t>.0</w:t>
            </w:r>
          </w:p>
        </w:tc>
        <w:tc>
          <w:tcPr>
            <w:tcW w:w="1572" w:type="dxa"/>
            <w:tcBorders>
              <w:right w:val="single" w:color="000000" w:sz="6" w:space="0"/>
            </w:tcBorders>
            <w:vAlign w:val="center"/>
          </w:tcPr>
          <w:p>
            <w:pPr>
              <w:pStyle w:val="236"/>
              <w:spacing w:before="147" w:line="240" w:lineRule="auto"/>
              <w:ind w:left="700" w:leftChars="0" w:hanging="700" w:hangingChars="398"/>
              <w:jc w:val="center"/>
              <w:rPr>
                <w:rFonts w:hint="default" w:ascii="Times New Roman" w:hAnsi="Times New Roman" w:eastAsia="宋体" w:cs="Times New Roman"/>
                <w:sz w:val="18"/>
                <w:szCs w:val="18"/>
                <w:lang w:val="en-US" w:eastAsia="zh-CN"/>
              </w:rPr>
            </w:pPr>
            <w:r>
              <w:rPr>
                <w:rFonts w:hint="default" w:ascii="Times New Roman" w:hAnsi="Times New Roman" w:cs="Times New Roman"/>
                <w:spacing w:val="-2"/>
                <w:sz w:val="18"/>
                <w:szCs w:val="18"/>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48" w:type="dxa"/>
            <w:vMerge w:val="restart"/>
            <w:tcBorders>
              <w:left w:val="single" w:color="000000" w:sz="6" w:space="0"/>
              <w:bottom w:val="nil"/>
            </w:tcBorders>
            <w:vAlign w:val="center"/>
          </w:tcPr>
          <w:p>
            <w:pPr>
              <w:pStyle w:val="236"/>
              <w:spacing w:before="58" w:line="240" w:lineRule="auto"/>
              <w:ind w:left="284"/>
              <w:jc w:val="left"/>
              <w:rPr>
                <w:rFonts w:hint="default" w:ascii="Times New Roman" w:hAnsi="Times New Roman" w:cs="Times New Roman"/>
                <w:sz w:val="18"/>
                <w:szCs w:val="18"/>
              </w:rPr>
            </w:pPr>
            <w:r>
              <w:rPr>
                <w:rFonts w:hint="default" w:ascii="Times New Roman" w:hAnsi="Times New Roman" w:cs="Times New Roman"/>
                <w:spacing w:val="6"/>
                <w:sz w:val="18"/>
                <w:szCs w:val="18"/>
              </w:rPr>
              <w:t>杂质/（%）</w:t>
            </w:r>
          </w:p>
        </w:tc>
        <w:tc>
          <w:tcPr>
            <w:tcW w:w="2342" w:type="dxa"/>
            <w:gridSpan w:val="2"/>
            <w:vAlign w:val="center"/>
          </w:tcPr>
          <w:p>
            <w:pPr>
              <w:pStyle w:val="236"/>
              <w:spacing w:before="122" w:line="240" w:lineRule="auto"/>
              <w:ind w:left="10"/>
              <w:jc w:val="left"/>
              <w:rPr>
                <w:rFonts w:hint="default" w:ascii="Times New Roman" w:hAnsi="Times New Roman" w:cs="Times New Roman"/>
                <w:sz w:val="18"/>
                <w:szCs w:val="18"/>
              </w:rPr>
            </w:pPr>
            <w:r>
              <w:rPr>
                <w:rFonts w:hint="default" w:ascii="Times New Roman" w:hAnsi="Times New Roman" w:cs="Times New Roman"/>
                <w:spacing w:val="-4"/>
                <w:sz w:val="18"/>
                <w:szCs w:val="18"/>
              </w:rPr>
              <w:t>总量</w:t>
            </w:r>
            <w:r>
              <w:rPr>
                <w:rFonts w:hint="default" w:ascii="Times New Roman" w:hAnsi="Times New Roman" w:cs="Times New Roman"/>
                <w:spacing w:val="1"/>
                <w:sz w:val="18"/>
                <w:szCs w:val="18"/>
              </w:rPr>
              <w:t xml:space="preserve">                </w:t>
            </w:r>
            <w:r>
              <w:rPr>
                <w:rFonts w:hint="default" w:ascii="Times New Roman" w:hAnsi="Times New Roman" w:cs="Times New Roman"/>
                <w:spacing w:val="-4"/>
                <w:sz w:val="18"/>
                <w:szCs w:val="18"/>
              </w:rPr>
              <w:t>≤</w:t>
            </w:r>
          </w:p>
        </w:tc>
        <w:tc>
          <w:tcPr>
            <w:tcW w:w="1560" w:type="dxa"/>
            <w:vAlign w:val="center"/>
          </w:tcPr>
          <w:p>
            <w:pPr>
              <w:pStyle w:val="236"/>
              <w:spacing w:before="152" w:line="240" w:lineRule="auto"/>
              <w:ind w:left="696" w:leftChars="0" w:hanging="696" w:hangingChars="396"/>
              <w:jc w:val="center"/>
              <w:rPr>
                <w:rFonts w:hint="default" w:ascii="Times New Roman" w:hAnsi="Times New Roman" w:cs="Times New Roman"/>
                <w:sz w:val="18"/>
                <w:szCs w:val="18"/>
              </w:rPr>
            </w:pPr>
            <w:r>
              <w:rPr>
                <w:rFonts w:hint="default" w:ascii="Times New Roman" w:hAnsi="Times New Roman" w:cs="Times New Roman"/>
                <w:spacing w:val="-2"/>
                <w:sz w:val="18"/>
                <w:szCs w:val="18"/>
              </w:rPr>
              <w:t>0.5</w:t>
            </w:r>
          </w:p>
        </w:tc>
        <w:tc>
          <w:tcPr>
            <w:tcW w:w="1558" w:type="dxa"/>
            <w:vAlign w:val="center"/>
          </w:tcPr>
          <w:p>
            <w:pPr>
              <w:pStyle w:val="236"/>
              <w:spacing w:before="152" w:line="240" w:lineRule="auto"/>
              <w:ind w:left="698" w:leftChars="0" w:hanging="698" w:hangingChars="397"/>
              <w:jc w:val="center"/>
              <w:rPr>
                <w:rFonts w:hint="default" w:ascii="Times New Roman" w:hAnsi="Times New Roman" w:cs="Times New Roman"/>
                <w:sz w:val="18"/>
                <w:szCs w:val="18"/>
              </w:rPr>
            </w:pPr>
            <w:r>
              <w:rPr>
                <w:rFonts w:hint="default" w:ascii="Times New Roman" w:hAnsi="Times New Roman" w:cs="Times New Roman"/>
                <w:spacing w:val="-2"/>
                <w:sz w:val="18"/>
                <w:szCs w:val="18"/>
              </w:rPr>
              <w:t>0.7</w:t>
            </w:r>
          </w:p>
        </w:tc>
        <w:tc>
          <w:tcPr>
            <w:tcW w:w="1572" w:type="dxa"/>
            <w:tcBorders>
              <w:right w:val="single" w:color="000000" w:sz="6" w:space="0"/>
            </w:tcBorders>
            <w:vAlign w:val="center"/>
          </w:tcPr>
          <w:p>
            <w:pPr>
              <w:pStyle w:val="236"/>
              <w:spacing w:before="151" w:line="240" w:lineRule="auto"/>
              <w:ind w:left="684" w:leftChars="0" w:hanging="684" w:hangingChars="398"/>
              <w:jc w:val="center"/>
              <w:rPr>
                <w:rFonts w:hint="default" w:ascii="Times New Roman" w:hAnsi="Times New Roman" w:cs="Times New Roman"/>
                <w:sz w:val="18"/>
                <w:szCs w:val="18"/>
              </w:rPr>
            </w:pPr>
            <w:r>
              <w:rPr>
                <w:rFonts w:hint="default" w:ascii="Times New Roman" w:hAnsi="Times New Roman" w:cs="Times New Roman"/>
                <w:spacing w:val="-4"/>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8" w:type="dxa"/>
            <w:vMerge w:val="continue"/>
            <w:tcBorders>
              <w:top w:val="nil"/>
              <w:left w:val="single" w:color="000000" w:sz="6" w:space="0"/>
              <w:bottom w:val="nil"/>
            </w:tcBorders>
            <w:vAlign w:val="center"/>
          </w:tcPr>
          <w:p>
            <w:pPr>
              <w:spacing w:line="240" w:lineRule="auto"/>
              <w:jc w:val="left"/>
              <w:rPr>
                <w:rFonts w:hint="default" w:ascii="Times New Roman" w:hAnsi="Times New Roman" w:cs="Times New Roman"/>
                <w:sz w:val="18"/>
                <w:szCs w:val="18"/>
              </w:rPr>
            </w:pPr>
          </w:p>
        </w:tc>
        <w:tc>
          <w:tcPr>
            <w:tcW w:w="928" w:type="dxa"/>
            <w:vMerge w:val="restart"/>
            <w:tcBorders>
              <w:bottom w:val="nil"/>
            </w:tcBorders>
            <w:vAlign w:val="center"/>
          </w:tcPr>
          <w:p>
            <w:pPr>
              <w:pStyle w:val="236"/>
              <w:spacing w:before="58" w:line="240" w:lineRule="auto"/>
              <w:ind w:left="9"/>
              <w:jc w:val="left"/>
              <w:rPr>
                <w:rFonts w:hint="default" w:ascii="Times New Roman" w:hAnsi="Times New Roman" w:cs="Times New Roman"/>
                <w:sz w:val="18"/>
                <w:szCs w:val="18"/>
              </w:rPr>
            </w:pPr>
            <w:r>
              <w:rPr>
                <w:rFonts w:hint="default" w:ascii="Times New Roman" w:hAnsi="Times New Roman" w:cs="Times New Roman"/>
                <w:spacing w:val="-2"/>
                <w:sz w:val="18"/>
                <w:szCs w:val="18"/>
              </w:rPr>
              <w:t>其中</w:t>
            </w:r>
          </w:p>
        </w:tc>
        <w:tc>
          <w:tcPr>
            <w:tcW w:w="1414" w:type="dxa"/>
            <w:vAlign w:val="center"/>
          </w:tcPr>
          <w:p>
            <w:pPr>
              <w:pStyle w:val="236"/>
              <w:spacing w:before="120" w:line="240" w:lineRule="auto"/>
              <w:ind w:left="11"/>
              <w:jc w:val="left"/>
              <w:rPr>
                <w:rFonts w:hint="default" w:ascii="Times New Roman" w:hAnsi="Times New Roman" w:cs="Times New Roman"/>
                <w:sz w:val="18"/>
                <w:szCs w:val="18"/>
              </w:rPr>
            </w:pPr>
            <w:r>
              <w:rPr>
                <w:rFonts w:hint="default" w:ascii="Times New Roman" w:hAnsi="Times New Roman" w:cs="Times New Roman"/>
                <w:spacing w:val="-4"/>
                <w:sz w:val="18"/>
                <w:szCs w:val="18"/>
              </w:rPr>
              <w:t>粟粒</w:t>
            </w:r>
            <w:r>
              <w:rPr>
                <w:rFonts w:hint="default" w:ascii="Times New Roman" w:hAnsi="Times New Roman" w:cs="Times New Roman"/>
                <w:spacing w:val="3"/>
                <w:sz w:val="18"/>
                <w:szCs w:val="18"/>
              </w:rPr>
              <w:t xml:space="preserve">      </w:t>
            </w:r>
            <w:r>
              <w:rPr>
                <w:rFonts w:hint="default" w:ascii="Times New Roman" w:hAnsi="Times New Roman" w:cs="Times New Roman"/>
                <w:spacing w:val="-4"/>
                <w:sz w:val="18"/>
                <w:szCs w:val="18"/>
              </w:rPr>
              <w:t>≤</w:t>
            </w:r>
          </w:p>
        </w:tc>
        <w:tc>
          <w:tcPr>
            <w:tcW w:w="1560" w:type="dxa"/>
            <w:vAlign w:val="center"/>
          </w:tcPr>
          <w:p>
            <w:pPr>
              <w:pStyle w:val="236"/>
              <w:spacing w:before="151" w:line="240" w:lineRule="auto"/>
              <w:ind w:left="696" w:leftChars="0" w:hanging="696" w:hangingChars="396"/>
              <w:jc w:val="center"/>
              <w:rPr>
                <w:rFonts w:hint="default" w:ascii="Times New Roman" w:hAnsi="Times New Roman" w:cs="Times New Roman"/>
                <w:sz w:val="18"/>
                <w:szCs w:val="18"/>
              </w:rPr>
            </w:pPr>
            <w:r>
              <w:rPr>
                <w:rFonts w:hint="default" w:ascii="Times New Roman" w:hAnsi="Times New Roman" w:cs="Times New Roman"/>
                <w:spacing w:val="-2"/>
                <w:sz w:val="18"/>
                <w:szCs w:val="18"/>
              </w:rPr>
              <w:t>0.3</w:t>
            </w:r>
          </w:p>
        </w:tc>
        <w:tc>
          <w:tcPr>
            <w:tcW w:w="1558" w:type="dxa"/>
            <w:vAlign w:val="center"/>
          </w:tcPr>
          <w:p>
            <w:pPr>
              <w:pStyle w:val="236"/>
              <w:spacing w:before="151" w:line="240" w:lineRule="auto"/>
              <w:ind w:left="698" w:leftChars="0" w:hanging="698" w:hangingChars="397"/>
              <w:jc w:val="center"/>
              <w:rPr>
                <w:rFonts w:hint="default" w:ascii="Times New Roman" w:hAnsi="Times New Roman" w:cs="Times New Roman"/>
                <w:sz w:val="18"/>
                <w:szCs w:val="18"/>
              </w:rPr>
            </w:pPr>
            <w:r>
              <w:rPr>
                <w:rFonts w:hint="default" w:ascii="Times New Roman" w:hAnsi="Times New Roman" w:cs="Times New Roman"/>
                <w:spacing w:val="-2"/>
                <w:sz w:val="18"/>
                <w:szCs w:val="18"/>
              </w:rPr>
              <w:t>0.5</w:t>
            </w:r>
          </w:p>
        </w:tc>
        <w:tc>
          <w:tcPr>
            <w:tcW w:w="1572" w:type="dxa"/>
            <w:tcBorders>
              <w:right w:val="single" w:color="000000" w:sz="6" w:space="0"/>
            </w:tcBorders>
            <w:vAlign w:val="center"/>
          </w:tcPr>
          <w:p>
            <w:pPr>
              <w:pStyle w:val="236"/>
              <w:spacing w:before="151" w:line="240" w:lineRule="auto"/>
              <w:ind w:left="700" w:leftChars="0" w:hanging="700" w:hangingChars="398"/>
              <w:jc w:val="center"/>
              <w:rPr>
                <w:rFonts w:hint="default" w:ascii="Times New Roman" w:hAnsi="Times New Roman" w:cs="Times New Roman"/>
                <w:sz w:val="18"/>
                <w:szCs w:val="18"/>
              </w:rPr>
            </w:pPr>
            <w:r>
              <w:rPr>
                <w:rFonts w:hint="default" w:ascii="Times New Roman" w:hAnsi="Times New Roman" w:cs="Times New Roman"/>
                <w:spacing w:val="-2"/>
                <w:sz w:val="18"/>
                <w:szCs w:val="18"/>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48" w:type="dxa"/>
            <w:vMerge w:val="continue"/>
            <w:tcBorders>
              <w:top w:val="nil"/>
              <w:left w:val="single" w:color="000000" w:sz="6" w:space="0"/>
            </w:tcBorders>
            <w:vAlign w:val="center"/>
          </w:tcPr>
          <w:p>
            <w:pPr>
              <w:spacing w:line="240" w:lineRule="auto"/>
              <w:jc w:val="left"/>
              <w:rPr>
                <w:rFonts w:hint="default" w:ascii="Times New Roman" w:hAnsi="Times New Roman" w:cs="Times New Roman"/>
                <w:sz w:val="18"/>
                <w:szCs w:val="18"/>
              </w:rPr>
            </w:pPr>
          </w:p>
        </w:tc>
        <w:tc>
          <w:tcPr>
            <w:tcW w:w="928" w:type="dxa"/>
            <w:vMerge w:val="continue"/>
            <w:tcBorders>
              <w:top w:val="nil"/>
            </w:tcBorders>
            <w:vAlign w:val="center"/>
          </w:tcPr>
          <w:p>
            <w:pPr>
              <w:spacing w:line="240" w:lineRule="auto"/>
              <w:jc w:val="left"/>
              <w:rPr>
                <w:rFonts w:hint="default" w:ascii="Times New Roman" w:hAnsi="Times New Roman" w:cs="Times New Roman"/>
                <w:sz w:val="18"/>
                <w:szCs w:val="18"/>
              </w:rPr>
            </w:pPr>
          </w:p>
        </w:tc>
        <w:tc>
          <w:tcPr>
            <w:tcW w:w="1414" w:type="dxa"/>
            <w:vAlign w:val="center"/>
          </w:tcPr>
          <w:p>
            <w:pPr>
              <w:pStyle w:val="236"/>
              <w:spacing w:before="122" w:line="240" w:lineRule="auto"/>
              <w:ind w:left="6"/>
              <w:jc w:val="left"/>
              <w:rPr>
                <w:rFonts w:hint="default" w:ascii="Times New Roman" w:hAnsi="Times New Roman" w:cs="Times New Roman"/>
                <w:sz w:val="18"/>
                <w:szCs w:val="18"/>
              </w:rPr>
            </w:pPr>
            <w:r>
              <w:rPr>
                <w:rFonts w:hint="default" w:ascii="Times New Roman" w:hAnsi="Times New Roman" w:cs="Times New Roman"/>
                <w:spacing w:val="-2"/>
                <w:sz w:val="18"/>
                <w:szCs w:val="18"/>
              </w:rPr>
              <w:t>矿物质</w:t>
            </w:r>
            <w:r>
              <w:rPr>
                <w:rFonts w:hint="default" w:ascii="Times New Roman" w:hAnsi="Times New Roman" w:cs="Times New Roman"/>
                <w:spacing w:val="5"/>
                <w:sz w:val="18"/>
                <w:szCs w:val="18"/>
              </w:rPr>
              <w:t xml:space="preserve">    </w:t>
            </w:r>
            <w:r>
              <w:rPr>
                <w:rFonts w:hint="default" w:ascii="Times New Roman" w:hAnsi="Times New Roman" w:cs="Times New Roman"/>
                <w:spacing w:val="-2"/>
                <w:sz w:val="18"/>
                <w:szCs w:val="18"/>
              </w:rPr>
              <w:t>≤</w:t>
            </w:r>
          </w:p>
        </w:tc>
        <w:tc>
          <w:tcPr>
            <w:tcW w:w="4690" w:type="dxa"/>
            <w:gridSpan w:val="3"/>
            <w:tcBorders>
              <w:right w:val="single" w:color="000000" w:sz="6" w:space="0"/>
            </w:tcBorders>
            <w:vAlign w:val="center"/>
          </w:tcPr>
          <w:p>
            <w:pPr>
              <w:pStyle w:val="236"/>
              <w:spacing w:before="153" w:line="240" w:lineRule="auto"/>
              <w:ind w:left="2164" w:leftChars="0" w:hanging="2164" w:hangingChars="1230"/>
              <w:jc w:val="center"/>
              <w:rPr>
                <w:rFonts w:hint="default" w:ascii="Times New Roman" w:hAnsi="Times New Roman" w:cs="Times New Roman"/>
                <w:sz w:val="18"/>
                <w:szCs w:val="18"/>
              </w:rPr>
            </w:pPr>
            <w:r>
              <w:rPr>
                <w:rFonts w:hint="default" w:ascii="Times New Roman" w:hAnsi="Times New Roman" w:cs="Times New Roman"/>
                <w:spacing w:val="-2"/>
                <w:sz w:val="18"/>
                <w:szCs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90" w:type="dxa"/>
            <w:gridSpan w:val="3"/>
            <w:tcBorders>
              <w:left w:val="single" w:color="000000" w:sz="6" w:space="0"/>
            </w:tcBorders>
            <w:vAlign w:val="center"/>
          </w:tcPr>
          <w:p>
            <w:pPr>
              <w:pStyle w:val="236"/>
              <w:spacing w:before="123" w:line="240" w:lineRule="auto"/>
              <w:ind w:left="282"/>
              <w:jc w:val="left"/>
              <w:rPr>
                <w:rFonts w:hint="default" w:ascii="Times New Roman" w:hAnsi="Times New Roman" w:cs="Times New Roman"/>
                <w:sz w:val="18"/>
                <w:szCs w:val="18"/>
              </w:rPr>
            </w:pPr>
            <w:r>
              <w:rPr>
                <w:rFonts w:hint="default" w:ascii="Times New Roman" w:hAnsi="Times New Roman" w:cs="Times New Roman"/>
                <w:spacing w:val="4"/>
                <w:sz w:val="18"/>
                <w:szCs w:val="18"/>
              </w:rPr>
              <w:t xml:space="preserve">碎米/（%）                             </w:t>
            </w:r>
            <w:r>
              <w:rPr>
                <w:rFonts w:hint="default" w:ascii="Times New Roman" w:hAnsi="Times New Roman" w:cs="Times New Roman"/>
                <w:spacing w:val="4"/>
                <w:sz w:val="18"/>
                <w:szCs w:val="18"/>
                <w:lang w:val="en-US" w:eastAsia="zh-CN"/>
              </w:rPr>
              <w:t xml:space="preserve">  </w:t>
            </w:r>
            <w:r>
              <w:rPr>
                <w:rFonts w:hint="default" w:ascii="Times New Roman" w:hAnsi="Times New Roman" w:cs="Times New Roman"/>
                <w:spacing w:val="3"/>
                <w:sz w:val="18"/>
                <w:szCs w:val="18"/>
              </w:rPr>
              <w:t>≤</w:t>
            </w:r>
          </w:p>
        </w:tc>
        <w:tc>
          <w:tcPr>
            <w:tcW w:w="4690" w:type="dxa"/>
            <w:gridSpan w:val="3"/>
            <w:tcBorders>
              <w:right w:val="single" w:color="000000" w:sz="6" w:space="0"/>
            </w:tcBorders>
            <w:vAlign w:val="center"/>
          </w:tcPr>
          <w:p>
            <w:pPr>
              <w:pStyle w:val="236"/>
              <w:spacing w:before="154" w:line="240" w:lineRule="auto"/>
              <w:ind w:left="2208" w:leftChars="0" w:hanging="2208" w:hangingChars="1241"/>
              <w:jc w:val="center"/>
              <w:rPr>
                <w:rFonts w:hint="default" w:ascii="Times New Roman" w:hAnsi="Times New Roman" w:cs="Times New Roman"/>
                <w:sz w:val="18"/>
                <w:szCs w:val="18"/>
              </w:rPr>
            </w:pPr>
            <w:r>
              <w:rPr>
                <w:rFonts w:hint="default" w:ascii="Times New Roman" w:hAnsi="Times New Roman" w:cs="Times New Roman"/>
                <w:spacing w:val="-1"/>
                <w:sz w:val="18"/>
                <w:szCs w:val="18"/>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690" w:type="dxa"/>
            <w:gridSpan w:val="3"/>
            <w:tcBorders>
              <w:left w:val="single" w:color="000000" w:sz="6" w:space="0"/>
              <w:bottom w:val="single" w:color="000000" w:sz="6" w:space="0"/>
            </w:tcBorders>
            <w:vAlign w:val="center"/>
          </w:tcPr>
          <w:p>
            <w:pPr>
              <w:pStyle w:val="236"/>
              <w:spacing w:before="124" w:line="240" w:lineRule="auto"/>
              <w:ind w:left="285"/>
              <w:jc w:val="left"/>
              <w:rPr>
                <w:rFonts w:hint="default" w:ascii="Times New Roman" w:hAnsi="Times New Roman" w:cs="Times New Roman"/>
                <w:sz w:val="18"/>
                <w:szCs w:val="18"/>
              </w:rPr>
            </w:pPr>
            <w:r>
              <w:rPr>
                <w:rFonts w:hint="default" w:ascii="Times New Roman" w:hAnsi="Times New Roman" w:cs="Times New Roman"/>
                <w:spacing w:val="4"/>
                <w:sz w:val="18"/>
                <w:szCs w:val="18"/>
              </w:rPr>
              <w:t xml:space="preserve">水分/（%）                          </w:t>
            </w:r>
            <w:r>
              <w:rPr>
                <w:rFonts w:hint="default" w:ascii="Times New Roman" w:hAnsi="Times New Roman" w:cs="Times New Roman"/>
                <w:spacing w:val="3"/>
                <w:sz w:val="18"/>
                <w:szCs w:val="18"/>
              </w:rPr>
              <w:t xml:space="preserve">     ≤</w:t>
            </w:r>
          </w:p>
        </w:tc>
        <w:tc>
          <w:tcPr>
            <w:tcW w:w="4690" w:type="dxa"/>
            <w:gridSpan w:val="3"/>
            <w:tcBorders>
              <w:bottom w:val="single" w:color="000000" w:sz="6" w:space="0"/>
              <w:right w:val="single" w:color="000000" w:sz="6" w:space="0"/>
            </w:tcBorders>
            <w:vAlign w:val="center"/>
          </w:tcPr>
          <w:p>
            <w:pPr>
              <w:pStyle w:val="236"/>
              <w:spacing w:before="154" w:line="240" w:lineRule="auto"/>
              <w:ind w:left="2177" w:leftChars="0" w:hanging="2177" w:hangingChars="1281"/>
              <w:jc w:val="center"/>
              <w:rPr>
                <w:rFonts w:hint="default" w:ascii="Times New Roman" w:hAnsi="Times New Roman" w:cs="Times New Roman"/>
                <w:sz w:val="18"/>
                <w:szCs w:val="18"/>
              </w:rPr>
            </w:pPr>
            <w:r>
              <w:rPr>
                <w:rFonts w:hint="default" w:ascii="Times New Roman" w:hAnsi="Times New Roman" w:cs="Times New Roman"/>
                <w:spacing w:val="-5"/>
                <w:sz w:val="18"/>
                <w:szCs w:val="18"/>
              </w:rPr>
              <w:t>13.0</w:t>
            </w:r>
          </w:p>
        </w:tc>
      </w:tr>
    </w:tbl>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安全指标</w:t>
      </w:r>
    </w:p>
    <w:p>
      <w:pPr>
        <w:keepNext w:val="0"/>
        <w:keepLines w:val="0"/>
        <w:widowControl/>
        <w:suppressLineNumbers w:val="0"/>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应符合</w:t>
      </w:r>
      <w:r>
        <w:rPr>
          <w:rFonts w:hint="default" w:ascii="Times New Roman" w:hAnsi="Times New Roman" w:eastAsia="宋体" w:cs="Times New Roman"/>
          <w:kern w:val="0"/>
          <w:sz w:val="21"/>
          <w:szCs w:val="20"/>
          <w:lang w:val="en-US" w:eastAsia="zh-CN" w:bidi="ar-SA"/>
        </w:rPr>
        <w:t>GB</w:t>
      </w:r>
      <w:r>
        <w:rPr>
          <w:rFonts w:hint="default" w:ascii="Times New Roman" w:hAnsi="Times New Roman" w:eastAsia="宋体" w:cs="Times New Roman"/>
          <w:kern w:val="2"/>
          <w:sz w:val="21"/>
          <w:szCs w:val="21"/>
          <w:lang w:val="en-US" w:eastAsia="zh-CN" w:bidi="ar-SA"/>
        </w:rPr>
        <w:t xml:space="preserve"> 2715的要求。</w:t>
      </w:r>
    </w:p>
    <w:p>
      <w:pPr>
        <w:pStyle w:val="10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检验方法</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形态</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应</w:t>
      </w:r>
      <w:r>
        <w:rPr>
          <w:rFonts w:hint="default" w:ascii="Times New Roman" w:hAnsi="Times New Roman" w:eastAsia="宋体" w:cs="Times New Roman"/>
          <w:kern w:val="2"/>
          <w:sz w:val="21"/>
          <w:szCs w:val="21"/>
          <w:lang w:val="en-US" w:eastAsia="zh-CN" w:bidi="ar-SA"/>
        </w:rPr>
        <w:t>将样品置于洁净的盘中目测，</w:t>
      </w:r>
      <w:r>
        <w:rPr>
          <w:rFonts w:hint="default" w:ascii="Times New Roman" w:hAnsi="Times New Roman" w:cs="Times New Roman"/>
          <w:kern w:val="2"/>
          <w:sz w:val="21"/>
          <w:szCs w:val="21"/>
          <w:lang w:val="en-US" w:eastAsia="zh-CN" w:bidi="ar-SA"/>
        </w:rPr>
        <w:t>目测检查其形态。</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色泽、气味</w:t>
      </w:r>
    </w:p>
    <w:p>
      <w:pPr>
        <w:pStyle w:val="57"/>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应按 G</w:t>
      </w:r>
      <w:r>
        <w:rPr>
          <w:rFonts w:hint="default" w:ascii="Times New Roman" w:hAnsi="Times New Roman" w:cs="Times New Roman"/>
          <w:lang w:val="en-US" w:eastAsia="zh-CN"/>
        </w:rPr>
        <w:t>B/T</w:t>
      </w:r>
      <w:r>
        <w:rPr>
          <w:rFonts w:hint="default" w:ascii="Times New Roman" w:hAnsi="Times New Roman" w:eastAsia="宋体" w:cs="Times New Roman"/>
          <w:kern w:val="2"/>
          <w:sz w:val="21"/>
          <w:szCs w:val="21"/>
          <w:lang w:val="en-US" w:eastAsia="zh-CN" w:bidi="ar-SA"/>
        </w:rPr>
        <w:t xml:space="preserve"> 5492 规定的方法执行。</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杂质和不完善粒</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w:t>
      </w:r>
      <w:r>
        <w:rPr>
          <w:rFonts w:hint="default" w:ascii="Times New Roman" w:hAnsi="Times New Roman" w:eastAsia="宋体" w:cs="Times New Roman"/>
          <w:kern w:val="2"/>
          <w:sz w:val="21"/>
          <w:szCs w:val="21"/>
          <w:lang w:val="en-US" w:eastAsia="zh-CN" w:bidi="ar-SA"/>
        </w:rPr>
        <w:t xml:space="preserve"> 5494 规定的方法执行。</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碎米</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GB/T</w:t>
      </w:r>
      <w:r>
        <w:rPr>
          <w:rFonts w:hint="default" w:ascii="Times New Roman" w:hAnsi="Times New Roman" w:eastAsia="宋体" w:cs="Times New Roman"/>
          <w:kern w:val="2"/>
          <w:sz w:val="21"/>
          <w:szCs w:val="21"/>
          <w:lang w:val="en-US" w:eastAsia="zh-CN" w:bidi="ar-SA"/>
        </w:rPr>
        <w:t xml:space="preserve"> 5503 规定的方法执行。</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水分</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GB </w:t>
      </w:r>
      <w:r>
        <w:rPr>
          <w:rFonts w:hint="default" w:ascii="Times New Roman" w:hAnsi="Times New Roman" w:eastAsia="宋体" w:cs="Times New Roman"/>
          <w:kern w:val="2"/>
          <w:sz w:val="21"/>
          <w:szCs w:val="21"/>
          <w:lang w:val="en-US" w:eastAsia="zh-CN" w:bidi="ar-SA"/>
        </w:rPr>
        <w:t>5009.3 规定的方法执行。</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蛋白质</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GB </w:t>
      </w:r>
      <w:r>
        <w:rPr>
          <w:rFonts w:hint="default" w:ascii="Times New Roman" w:hAnsi="Times New Roman" w:eastAsia="宋体" w:cs="Times New Roman"/>
          <w:kern w:val="2"/>
          <w:sz w:val="21"/>
          <w:szCs w:val="21"/>
          <w:lang w:val="en-US" w:eastAsia="zh-CN" w:bidi="ar-SA"/>
        </w:rPr>
        <w:t xml:space="preserve">5009.5 规定的方法执行。 </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脂肪</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应按</w:t>
      </w:r>
      <w:r>
        <w:rPr>
          <w:rFonts w:hint="default" w:ascii="Times New Roman" w:hAnsi="Times New Roman" w:eastAsia="宋体" w:cs="Times New Roman"/>
          <w:sz w:val="21"/>
          <w:lang w:val="en-US" w:eastAsia="zh-CN" w:bidi="ar-SA"/>
        </w:rPr>
        <w:t xml:space="preserve">GB </w:t>
      </w:r>
      <w:r>
        <w:rPr>
          <w:rFonts w:hint="default" w:ascii="Times New Roman" w:hAnsi="Times New Roman" w:eastAsia="宋体" w:cs="Times New Roman"/>
          <w:kern w:val="2"/>
          <w:sz w:val="21"/>
          <w:szCs w:val="21"/>
          <w:lang w:val="en-US" w:eastAsia="zh-CN" w:bidi="ar-SA"/>
        </w:rPr>
        <w:t xml:space="preserve">5009.6规定的方法执行。 </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直链淀粉</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NY/T </w:t>
      </w:r>
      <w:r>
        <w:rPr>
          <w:rFonts w:hint="default" w:ascii="Times New Roman" w:hAnsi="Times New Roman" w:eastAsia="宋体" w:cs="Times New Roman"/>
          <w:kern w:val="2"/>
          <w:sz w:val="21"/>
          <w:szCs w:val="21"/>
          <w:lang w:val="en-US" w:eastAsia="zh-CN" w:bidi="ar-SA"/>
        </w:rPr>
        <w:t xml:space="preserve">55 规定执行。 </w:t>
      </w:r>
    </w:p>
    <w:p>
      <w:pPr>
        <w:pStyle w:val="10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净含量检查</w:t>
      </w:r>
    </w:p>
    <w:p>
      <w:pPr>
        <w:pStyle w:val="66"/>
        <w:numPr>
          <w:ilvl w:val="0"/>
          <w:numId w:val="0"/>
        </w:numPr>
        <w:spacing w:before="120" w:after="12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应按 </w:t>
      </w:r>
      <w:r>
        <w:rPr>
          <w:rFonts w:hint="default" w:ascii="Times New Roman" w:hAnsi="Times New Roman" w:eastAsia="宋体" w:cs="Times New Roman"/>
          <w:sz w:val="21"/>
          <w:lang w:val="en-US" w:eastAsia="zh-CN" w:bidi="ar-SA"/>
        </w:rPr>
        <w:t xml:space="preserve">JJF </w:t>
      </w:r>
      <w:r>
        <w:rPr>
          <w:rFonts w:hint="default" w:ascii="Times New Roman" w:hAnsi="Times New Roman" w:eastAsia="宋体" w:cs="Times New Roman"/>
          <w:kern w:val="2"/>
          <w:sz w:val="21"/>
          <w:szCs w:val="21"/>
          <w:lang w:val="en-US" w:eastAsia="zh-CN" w:bidi="ar-SA"/>
        </w:rPr>
        <w:t>1070 规定执行。</w:t>
      </w:r>
    </w:p>
    <w:p>
      <w:pPr>
        <w:pStyle w:val="105"/>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检验规则</w:t>
      </w:r>
    </w:p>
    <w:p>
      <w:pPr>
        <w:pStyle w:val="106"/>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扦样和分样 </w:t>
      </w:r>
    </w:p>
    <w:p>
      <w:pPr>
        <w:keepNext w:val="0"/>
        <w:keepLines w:val="0"/>
        <w:widowControl/>
        <w:suppressLineNumbers w:val="0"/>
        <w:ind w:firstLine="42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应按 </w:t>
      </w:r>
      <w:r>
        <w:rPr>
          <w:rFonts w:hint="default" w:ascii="Times New Roman" w:hAnsi="Times New Roman" w:eastAsia="宋体" w:cs="Times New Roman"/>
          <w:kern w:val="0"/>
          <w:sz w:val="21"/>
          <w:szCs w:val="20"/>
          <w:lang w:val="en-US" w:eastAsia="zh-CN" w:bidi="ar-SA"/>
        </w:rPr>
        <w:t>GB/T</w:t>
      </w:r>
      <w:r>
        <w:rPr>
          <w:rFonts w:hint="default" w:ascii="Times New Roman" w:hAnsi="Times New Roman" w:eastAsia="宋体" w:cs="Times New Roman"/>
          <w:color w:val="000000"/>
          <w:kern w:val="0"/>
          <w:sz w:val="21"/>
          <w:szCs w:val="21"/>
          <w:lang w:val="en-US" w:eastAsia="zh-CN" w:bidi="ar"/>
        </w:rPr>
        <w:t xml:space="preserve"> 5491 规定执行。 </w:t>
      </w:r>
    </w:p>
    <w:p>
      <w:pPr>
        <w:pStyle w:val="106"/>
        <w:bidi w:val="0"/>
        <w:ind w:left="0" w:leftChars="0" w:firstLine="0" w:firstLineChars="0"/>
        <w:rPr>
          <w:rFonts w:hint="eastAsia"/>
          <w:lang w:val="en-US" w:eastAsia="zh-CN"/>
        </w:rPr>
      </w:pPr>
      <w:r>
        <w:rPr>
          <w:rFonts w:hint="eastAsia"/>
          <w:lang w:val="en-US" w:eastAsia="zh-CN"/>
        </w:rPr>
        <w:t>检验分类</w:t>
      </w:r>
    </w:p>
    <w:p>
      <w:pPr>
        <w:pStyle w:val="66"/>
        <w:bidi w:val="0"/>
        <w:ind w:left="0" w:leftChars="0" w:firstLine="0" w:firstLineChars="0"/>
        <w:rPr>
          <w:rFonts w:hint="default"/>
          <w:lang w:val="en-US" w:eastAsia="zh-CN"/>
        </w:rPr>
      </w:pPr>
      <w:r>
        <w:rPr>
          <w:rFonts w:hint="eastAsia"/>
          <w:lang w:val="en-US" w:eastAsia="zh-CN"/>
        </w:rPr>
        <w:t>出厂分类</w:t>
      </w:r>
    </w:p>
    <w:p>
      <w:pPr>
        <w:pStyle w:val="57"/>
        <w:ind w:firstLine="420"/>
        <w:rPr>
          <w:rFonts w:hint="default" w:ascii="Times New Roman"/>
          <w:lang w:val="en-US" w:eastAsia="zh-CN"/>
        </w:rPr>
      </w:pPr>
      <w:r>
        <w:rPr>
          <w:rFonts w:hint="eastAsia" w:ascii="Times New Roman"/>
          <w:lang w:val="en-US" w:eastAsia="zh-CN"/>
        </w:rPr>
        <w:t>每批产品出厂前，生产单位应进行出厂检验。出厂检验内容包括感官指标以及加工质量指标。检</w:t>
      </w:r>
      <w:r>
        <w:rPr>
          <w:rFonts w:hint="default" w:ascii="Times New Roman"/>
          <w:lang w:val="en-US" w:eastAsia="zh-CN"/>
        </w:rPr>
        <w:t xml:space="preserve">验合格后方可出厂。 </w:t>
      </w:r>
    </w:p>
    <w:p>
      <w:pPr>
        <w:pStyle w:val="66"/>
        <w:bidi w:val="0"/>
        <w:ind w:left="0" w:leftChars="0" w:firstLine="0" w:firstLineChars="0"/>
        <w:rPr>
          <w:rFonts w:hint="eastAsia"/>
          <w:lang w:val="en-US" w:eastAsia="zh-CN"/>
        </w:rPr>
      </w:pPr>
      <w:r>
        <w:rPr>
          <w:rFonts w:hint="eastAsia"/>
          <w:lang w:val="en-US" w:eastAsia="zh-CN"/>
        </w:rPr>
        <w:t>型式检验</w:t>
      </w:r>
    </w:p>
    <w:p>
      <w:pPr>
        <w:pStyle w:val="57"/>
        <w:ind w:firstLine="420"/>
        <w:rPr>
          <w:rFonts w:hint="default" w:ascii="Times New Roman" w:hAnsi="Times New Roman" w:cs="Times New Roman"/>
          <w:szCs w:val="21"/>
        </w:rPr>
      </w:pPr>
      <w:r>
        <w:rPr>
          <w:rFonts w:hint="default" w:ascii="Times New Roman" w:hAnsi="Times New Roman" w:cs="Times New Roman"/>
        </w:rPr>
        <w:t>型式检验项目应为本文件</w:t>
      </w:r>
      <w:r>
        <w:rPr>
          <w:rFonts w:hint="default" w:ascii="Times New Roman" w:hAnsi="Times New Roman" w:eastAsia="宋体" w:cs="Times New Roman"/>
          <w:spacing w:val="-5"/>
          <w:kern w:val="0"/>
          <w:sz w:val="21"/>
          <w:szCs w:val="21"/>
          <w:lang w:val="en-US" w:eastAsia="zh-CN" w:bidi="ar-SA"/>
        </w:rPr>
        <w:t>6.3</w:t>
      </w:r>
      <w:r>
        <w:rPr>
          <w:rFonts w:hint="default" w:ascii="Times New Roman" w:hAnsi="Times New Roman" w:eastAsia="宋体" w:cs="Times New Roman"/>
          <w:spacing w:val="-5"/>
          <w:kern w:val="0"/>
          <w:sz w:val="21"/>
          <w:szCs w:val="21"/>
          <w:lang w:val="zh-CN" w:eastAsia="zh-CN" w:bidi="ar-SA"/>
        </w:rPr>
        <w:t>～</w:t>
      </w:r>
      <w:r>
        <w:rPr>
          <w:rFonts w:hint="default" w:ascii="Times New Roman" w:hAnsi="Times New Roman" w:eastAsia="宋体" w:cs="Times New Roman"/>
          <w:spacing w:val="-5"/>
          <w:kern w:val="0"/>
          <w:sz w:val="21"/>
          <w:szCs w:val="21"/>
          <w:lang w:val="en-US" w:eastAsia="zh-CN" w:bidi="ar-SA"/>
        </w:rPr>
        <w:t>6.5规定的全</w:t>
      </w:r>
      <w:r>
        <w:rPr>
          <w:rFonts w:hint="default" w:ascii="Times New Roman" w:hAnsi="Times New Roman" w:cs="Times New Roman"/>
        </w:rPr>
        <w:t>部项目，有下列情形之一者，应进行型式检验：</w:t>
      </w:r>
    </w:p>
    <w:p>
      <w:pPr>
        <w:pStyle w:val="233"/>
        <w:numPr>
          <w:ilvl w:val="0"/>
          <w:numId w:val="32"/>
        </w:numPr>
        <w:spacing w:before="43" w:beforeAutospacing="0" w:after="0" w:afterAutospacing="0"/>
        <w:rPr>
          <w:rFonts w:cs="Times New Roman"/>
          <w:spacing w:val="-2"/>
          <w:sz w:val="21"/>
          <w:szCs w:val="21"/>
        </w:rPr>
      </w:pPr>
      <w:r>
        <w:rPr>
          <w:rFonts w:hint="eastAsia" w:cs="Times New Roman"/>
          <w:sz w:val="21"/>
          <w:szCs w:val="21"/>
        </w:rPr>
        <w:t>每年</w:t>
      </w:r>
      <w:r>
        <w:rPr>
          <w:rFonts w:hint="eastAsia" w:cs="Times New Roman"/>
          <w:spacing w:val="-4"/>
          <w:sz w:val="21"/>
          <w:szCs w:val="21"/>
        </w:rPr>
        <w:t>采</w:t>
      </w:r>
      <w:r>
        <w:rPr>
          <w:rFonts w:hint="eastAsia" w:cs="Times New Roman"/>
          <w:spacing w:val="-4"/>
          <w:sz w:val="21"/>
          <w:szCs w:val="21"/>
          <w:lang w:val="en-US" w:eastAsia="zh-CN"/>
        </w:rPr>
        <w:t>收</w:t>
      </w:r>
      <w:r>
        <w:rPr>
          <w:rFonts w:hint="eastAsia" w:cs="Times New Roman"/>
          <w:spacing w:val="-4"/>
          <w:sz w:val="21"/>
          <w:szCs w:val="21"/>
        </w:rPr>
        <w:t>初期</w:t>
      </w:r>
      <w:r>
        <w:rPr>
          <w:rFonts w:hint="eastAsia" w:cs="Times New Roman"/>
          <w:spacing w:val="-2"/>
          <w:sz w:val="21"/>
          <w:szCs w:val="21"/>
        </w:rPr>
        <w:t>；</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2"/>
          <w:sz w:val="21"/>
          <w:szCs w:val="21"/>
        </w:rPr>
        <w:t>生</w:t>
      </w:r>
      <w:r>
        <w:rPr>
          <w:rFonts w:cs="Times New Roman"/>
          <w:spacing w:val="-4"/>
          <w:sz w:val="21"/>
          <w:szCs w:val="21"/>
        </w:rPr>
        <w:t>产环境发生较大变化</w:t>
      </w:r>
      <w:r>
        <w:rPr>
          <w:rFonts w:hint="eastAsia" w:cs="Times New Roman"/>
          <w:spacing w:val="-4"/>
          <w:sz w:val="21"/>
          <w:szCs w:val="21"/>
        </w:rPr>
        <w:t>，可能影响产品质量</w:t>
      </w:r>
      <w:r>
        <w:rPr>
          <w:rFonts w:cs="Times New Roman"/>
          <w:spacing w:val="-4"/>
          <w:sz w:val="21"/>
          <w:szCs w:val="21"/>
        </w:rPr>
        <w:t>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2"/>
          <w:sz w:val="21"/>
          <w:szCs w:val="21"/>
        </w:rPr>
        <w:t>交收检验差异较大时；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cs="Times New Roman"/>
          <w:spacing w:val="-5"/>
          <w:sz w:val="21"/>
          <w:szCs w:val="21"/>
        </w:rPr>
        <w:t>型式</w:t>
      </w:r>
      <w:r>
        <w:rPr>
          <w:rFonts w:cs="Times New Roman"/>
          <w:spacing w:val="-5"/>
          <w:sz w:val="21"/>
          <w:szCs w:val="21"/>
        </w:rPr>
        <w:t>检验要求时。</w:t>
      </w:r>
    </w:p>
    <w:p>
      <w:pPr>
        <w:pStyle w:val="66"/>
        <w:bidi w:val="0"/>
        <w:ind w:left="0" w:leftChars="0" w:firstLine="0" w:firstLineChars="0"/>
        <w:rPr>
          <w:rFonts w:hint="eastAsia"/>
          <w:lang w:val="en-US" w:eastAsia="zh-CN"/>
        </w:rPr>
      </w:pPr>
      <w:r>
        <w:rPr>
          <w:rFonts w:hint="eastAsia"/>
          <w:lang w:val="en-US" w:eastAsia="zh-CN"/>
        </w:rPr>
        <w:t>产品组批</w:t>
      </w:r>
    </w:p>
    <w:p>
      <w:pPr>
        <w:pStyle w:val="105"/>
        <w:numPr>
          <w:ilvl w:val="1"/>
          <w:numId w:val="0"/>
        </w:numPr>
        <w:spacing w:before="240" w:after="240"/>
        <w:ind w:leftChars="0"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应以同原料、同工艺、同设备、同班次加</w:t>
      </w:r>
      <w:r>
        <w:rPr>
          <w:rFonts w:hint="eastAsia" w:ascii="Times New Roman" w:hAnsi="Times New Roman" w:eastAsia="宋体" w:cs="Times New Roman"/>
          <w:sz w:val="21"/>
          <w:lang w:val="en-US" w:eastAsia="zh-CN" w:bidi="ar-SA"/>
        </w:rPr>
        <w:t>工的同一等级的小米</w:t>
      </w:r>
      <w:r>
        <w:rPr>
          <w:rFonts w:hint="eastAsia" w:ascii="Calibri" w:hAnsi="Calibri" w:eastAsia="宋体" w:cs="Times New Roman"/>
          <w:kern w:val="2"/>
          <w:sz w:val="21"/>
          <w:szCs w:val="21"/>
          <w:lang w:val="en-US" w:eastAsia="zh-CN" w:bidi="ar-SA"/>
        </w:rPr>
        <w:t>产品为一个批次。</w:t>
      </w:r>
    </w:p>
    <w:p>
      <w:pPr>
        <w:pStyle w:val="106"/>
        <w:bidi w:val="0"/>
        <w:ind w:left="0" w:leftChars="0" w:firstLine="0" w:firstLineChars="0"/>
        <w:rPr>
          <w:rFonts w:hint="eastAsia" w:ascii="黑体" w:hAnsi="黑体" w:eastAsia="黑体" w:cs="黑体"/>
          <w:lang w:val="en-US" w:eastAsia="zh-CN"/>
        </w:rPr>
      </w:pPr>
      <w:r>
        <w:rPr>
          <w:rFonts w:hint="eastAsia" w:ascii="Times New Roman"/>
          <w:lang w:val="en-US" w:eastAsia="zh-CN"/>
        </w:rPr>
        <w:t>判断</w:t>
      </w:r>
      <w:r>
        <w:rPr>
          <w:rFonts w:hint="eastAsia" w:ascii="黑体" w:hAnsi="黑体" w:eastAsia="黑体" w:cs="黑体"/>
          <w:lang w:val="en-US" w:eastAsia="zh-CN"/>
        </w:rPr>
        <w:t>规则</w:t>
      </w:r>
    </w:p>
    <w:p>
      <w:pPr>
        <w:pStyle w:val="57"/>
        <w:ind w:firstLine="420"/>
        <w:rPr>
          <w:rFonts w:ascii="Times New Roman"/>
        </w:rPr>
      </w:pPr>
      <w:r>
        <w:rPr>
          <w:rFonts w:ascii="Times New Roman"/>
        </w:rPr>
        <w:t>检验项目全部符合本</w:t>
      </w:r>
      <w:r>
        <w:rPr>
          <w:rFonts w:hint="eastAsia" w:ascii="Times New Roman"/>
        </w:rPr>
        <w:t>文件规定</w:t>
      </w:r>
      <w:r>
        <w:rPr>
          <w:rFonts w:ascii="Times New Roman"/>
        </w:rPr>
        <w:t>，</w:t>
      </w:r>
      <w:r>
        <w:rPr>
          <w:rFonts w:hint="eastAsia" w:ascii="Times New Roman"/>
        </w:rPr>
        <w:t>应</w:t>
      </w:r>
      <w:r>
        <w:rPr>
          <w:rFonts w:ascii="Times New Roman"/>
        </w:rPr>
        <w:t>判该批产品合格。检验</w:t>
      </w:r>
      <w:r>
        <w:rPr>
          <w:rFonts w:hint="eastAsia" w:ascii="Times New Roman"/>
        </w:rPr>
        <w:t>项目</w:t>
      </w:r>
      <w:r>
        <w:rPr>
          <w:rFonts w:ascii="Times New Roman"/>
        </w:rPr>
        <w:t>中安全指标不符合</w:t>
      </w:r>
      <w:r>
        <w:rPr>
          <w:rFonts w:hint="eastAsia" w:ascii="Times New Roman"/>
        </w:rPr>
        <w:t>规定</w:t>
      </w:r>
      <w:r>
        <w:rPr>
          <w:rFonts w:ascii="Times New Roman"/>
        </w:rPr>
        <w:t>时，</w:t>
      </w:r>
      <w:r>
        <w:rPr>
          <w:rFonts w:hint="eastAsia" w:ascii="Times New Roman"/>
        </w:rPr>
        <w:t>应</w:t>
      </w:r>
      <w:r>
        <w:rPr>
          <w:rFonts w:ascii="Times New Roman"/>
        </w:rPr>
        <w:t>判该批产品不合格，不得复检。等级指标</w:t>
      </w:r>
      <w:r>
        <w:rPr>
          <w:rFonts w:hint="eastAsia" w:ascii="Times New Roman"/>
        </w:rPr>
        <w:t>有</w:t>
      </w:r>
      <w:r>
        <w:rPr>
          <w:rFonts w:ascii="Times New Roman"/>
        </w:rPr>
        <w:t>一项不符合</w:t>
      </w:r>
      <w:r>
        <w:rPr>
          <w:rFonts w:hint="eastAsia" w:ascii="Times New Roman"/>
        </w:rPr>
        <w:t>规定时</w:t>
      </w:r>
      <w:r>
        <w:rPr>
          <w:rFonts w:ascii="Times New Roman"/>
        </w:rPr>
        <w:t>，</w:t>
      </w:r>
      <w:r>
        <w:rPr>
          <w:rFonts w:hint="eastAsia" w:ascii="Times New Roman"/>
        </w:rPr>
        <w:t>应</w:t>
      </w:r>
      <w:r>
        <w:rPr>
          <w:rFonts w:ascii="Times New Roman"/>
        </w:rPr>
        <w:t>逐级下判，低于二级</w:t>
      </w:r>
      <w:r>
        <w:rPr>
          <w:rFonts w:hint="eastAsia" w:ascii="Times New Roman"/>
        </w:rPr>
        <w:t>应</w:t>
      </w:r>
      <w:r>
        <w:rPr>
          <w:rFonts w:ascii="Times New Roman"/>
        </w:rPr>
        <w:t>判为级外品</w:t>
      </w:r>
      <w:r>
        <w:rPr>
          <w:rFonts w:hint="eastAsia" w:ascii="Times New Roman"/>
        </w:rPr>
        <w:t>。</w:t>
      </w:r>
      <w:r>
        <w:rPr>
          <w:rFonts w:ascii="Times New Roman"/>
        </w:rPr>
        <w:t>理化指标和感官检验不合格</w:t>
      </w:r>
      <w:r>
        <w:rPr>
          <w:rFonts w:hint="eastAsia" w:ascii="Times New Roman"/>
        </w:rPr>
        <w:t>规定时</w:t>
      </w:r>
      <w:r>
        <w:rPr>
          <w:rFonts w:ascii="Times New Roman"/>
        </w:rPr>
        <w:t>，可加倍取样复检，复检仍不合格，</w:t>
      </w:r>
      <w:r>
        <w:rPr>
          <w:rFonts w:hint="eastAsia" w:ascii="Times New Roman"/>
        </w:rPr>
        <w:t>应</w:t>
      </w:r>
      <w:r>
        <w:rPr>
          <w:rFonts w:ascii="Times New Roman"/>
        </w:rPr>
        <w:t>判该批产品不合格。</w:t>
      </w:r>
    </w:p>
    <w:p>
      <w:pPr>
        <w:pStyle w:val="105"/>
        <w:bidi w:val="0"/>
        <w:ind w:left="0" w:leftChars="0" w:firstLine="0" w:firstLineChars="0"/>
        <w:rPr>
          <w:rFonts w:hint="eastAsia"/>
          <w:lang w:val="en-US" w:eastAsia="zh-CN"/>
        </w:rPr>
      </w:pPr>
      <w:r>
        <w:rPr>
          <w:rFonts w:hint="eastAsia"/>
          <w:lang w:val="en-US" w:eastAsia="zh-CN"/>
        </w:rPr>
        <w:t>标签、标志、包装、运输和贮存</w:t>
      </w:r>
    </w:p>
    <w:p>
      <w:pPr>
        <w:pStyle w:val="106"/>
        <w:bidi w:val="0"/>
        <w:ind w:left="0" w:leftChars="0" w:firstLine="0" w:firstLineChars="0"/>
        <w:rPr>
          <w:rFonts w:hint="eastAsia"/>
          <w:lang w:val="en-US" w:eastAsia="zh-CN"/>
        </w:rPr>
      </w:pPr>
      <w:r>
        <w:rPr>
          <w:rFonts w:hint="eastAsia" w:ascii="Times New Roman"/>
          <w:lang w:val="en-US" w:eastAsia="zh-CN"/>
        </w:rPr>
        <w:t>标签</w:t>
      </w:r>
    </w:p>
    <w:p>
      <w:pPr>
        <w:keepNext w:val="0"/>
        <w:keepLines w:val="0"/>
        <w:widowControl/>
        <w:suppressLineNumbers w:val="0"/>
        <w:ind w:firstLine="420" w:firstLineChars="20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 xml:space="preserve">应符合 </w:t>
      </w:r>
      <w:r>
        <w:rPr>
          <w:rFonts w:hint="eastAsia" w:ascii="Times New Roman" w:hAnsi="Times New Roman" w:eastAsia="宋体" w:cs="Times New Roman"/>
          <w:kern w:val="0"/>
          <w:sz w:val="21"/>
          <w:szCs w:val="20"/>
          <w:lang w:val="en-US" w:eastAsia="zh-CN" w:bidi="ar-SA"/>
        </w:rPr>
        <w:t>GB</w:t>
      </w:r>
      <w:r>
        <w:rPr>
          <w:rFonts w:hint="eastAsia" w:ascii="Calibri" w:hAnsi="Calibri" w:eastAsia="宋体" w:cs="Times New Roman"/>
          <w:kern w:val="2"/>
          <w:sz w:val="21"/>
          <w:szCs w:val="21"/>
          <w:lang w:val="en-US" w:eastAsia="zh-CN" w:bidi="ar-SA"/>
        </w:rPr>
        <w:t xml:space="preserve"> 7718的规定。</w:t>
      </w:r>
    </w:p>
    <w:bookmarkEnd w:id="22"/>
    <w:p>
      <w:pPr>
        <w:pStyle w:val="106"/>
        <w:bidi w:val="0"/>
        <w:ind w:left="0" w:leftChars="0" w:firstLine="0" w:firstLineChars="0"/>
        <w:rPr>
          <w:rFonts w:hint="eastAsia"/>
          <w:lang w:val="en-US" w:eastAsia="zh-CN"/>
        </w:rPr>
      </w:pPr>
      <w:bookmarkStart w:id="48" w:name="BookMark5"/>
      <w:r>
        <w:rPr>
          <w:rFonts w:hint="eastAsia" w:ascii="Times New Roman"/>
          <w:lang w:val="en-US" w:eastAsia="zh-CN"/>
        </w:rPr>
        <w:t>标志</w:t>
      </w:r>
    </w:p>
    <w:p>
      <w:pPr>
        <w:pStyle w:val="57"/>
        <w:ind w:firstLine="420"/>
        <w:rPr>
          <w:rFonts w:hint="eastAsia" w:ascii="Times New Roman"/>
          <w:lang w:val="en-US" w:eastAsia="zh-CN"/>
        </w:rPr>
      </w:pPr>
      <w:r>
        <w:rPr>
          <w:rFonts w:hint="eastAsia" w:ascii="Times New Roman"/>
          <w:lang w:val="en-US" w:eastAsia="zh-CN"/>
        </w:rPr>
        <w:t>应</w:t>
      </w:r>
      <w:r>
        <w:rPr>
          <w:rFonts w:ascii="Times New Roman"/>
        </w:rPr>
        <w:t>符合</w:t>
      </w:r>
      <w:r>
        <w:rPr>
          <w:rFonts w:hint="eastAsia" w:ascii="Times New Roman"/>
          <w:lang w:val="en-US" w:eastAsia="zh-CN"/>
        </w:rPr>
        <w:t xml:space="preserve"> </w:t>
      </w:r>
      <w:r>
        <w:rPr>
          <w:rFonts w:hint="eastAsia" w:ascii="Times New Roman"/>
        </w:rPr>
        <w:t>GB/T 191</w:t>
      </w:r>
      <w:r>
        <w:rPr>
          <w:rFonts w:ascii="Times New Roman"/>
        </w:rPr>
        <w:t>的规定。</w:t>
      </w:r>
      <w:r>
        <w:rPr>
          <w:rFonts w:hint="eastAsia" w:ascii="Times New Roman"/>
          <w:lang w:val="en-US" w:eastAsia="zh-CN"/>
        </w:rPr>
        <w:t xml:space="preserve"> </w:t>
      </w:r>
    </w:p>
    <w:p>
      <w:pPr>
        <w:pStyle w:val="106"/>
        <w:bidi w:val="0"/>
        <w:ind w:left="0" w:leftChars="0" w:firstLine="0" w:firstLineChars="0"/>
        <w:rPr>
          <w:rFonts w:hint="eastAsia"/>
          <w:lang w:val="en-US" w:eastAsia="zh-CN"/>
        </w:rPr>
      </w:pPr>
      <w:r>
        <w:rPr>
          <w:rFonts w:hint="eastAsia"/>
          <w:lang w:val="en-US" w:eastAsia="zh-CN"/>
        </w:rPr>
        <w:t>包装</w:t>
      </w:r>
    </w:p>
    <w:p>
      <w:pPr>
        <w:pStyle w:val="57"/>
        <w:ind w:firstLine="420"/>
        <w:rPr>
          <w:rFonts w:hint="eastAsia" w:ascii="Times New Roman"/>
          <w:lang w:val="en-US" w:eastAsia="zh-CN"/>
        </w:rPr>
      </w:pPr>
      <w:r>
        <w:rPr>
          <w:rFonts w:hint="eastAsia" w:ascii="Times New Roman"/>
          <w:lang w:val="en-US" w:eastAsia="zh-CN"/>
        </w:rPr>
        <w:t xml:space="preserve">应符合 GB/T 17109 的规定。 </w:t>
      </w:r>
    </w:p>
    <w:p>
      <w:pPr>
        <w:pStyle w:val="106"/>
        <w:bidi w:val="0"/>
        <w:ind w:left="0" w:leftChars="0" w:firstLine="0" w:firstLineChars="0"/>
        <w:rPr>
          <w:rFonts w:hint="eastAsia"/>
          <w:lang w:val="en-US" w:eastAsia="zh-CN"/>
        </w:rPr>
      </w:pPr>
      <w:r>
        <w:rPr>
          <w:rFonts w:hint="eastAsia"/>
          <w:lang w:val="en-US" w:eastAsia="zh-CN"/>
        </w:rPr>
        <w:t>运输</w:t>
      </w:r>
    </w:p>
    <w:p>
      <w:pPr>
        <w:keepNext w:val="0"/>
        <w:keepLines w:val="0"/>
        <w:widowControl/>
        <w:suppressLineNumbers w:val="0"/>
        <w:ind w:firstLine="420" w:firstLineChars="200"/>
        <w:jc w:val="left"/>
        <w:rPr>
          <w:rFonts w:hint="eastAsia" w:ascii="Times New Roman"/>
          <w:lang w:val="en-US" w:eastAsia="zh-CN"/>
        </w:rPr>
      </w:pPr>
      <w:r>
        <w:rPr>
          <w:rFonts w:hint="eastAsia" w:ascii="宋体" w:hAnsi="宋体" w:eastAsia="宋体" w:cs="宋体"/>
          <w:color w:val="000000"/>
          <w:kern w:val="0"/>
          <w:sz w:val="21"/>
          <w:szCs w:val="21"/>
          <w:lang w:val="en-US" w:eastAsia="zh-CN" w:bidi="ar"/>
        </w:rPr>
        <w:t>应使用</w:t>
      </w:r>
      <w:r>
        <w:rPr>
          <w:rFonts w:hint="eastAsia" w:ascii="宋体" w:hAnsi="宋体" w:cs="宋体"/>
          <w:color w:val="000000"/>
          <w:kern w:val="0"/>
          <w:sz w:val="21"/>
          <w:szCs w:val="21"/>
          <w:lang w:val="en-US" w:eastAsia="zh-CN" w:bidi="ar"/>
        </w:rPr>
        <w:t>符合卫生要求的运输工具，在运输过程中应防雨、防潮、防污染，</w:t>
      </w:r>
      <w:r>
        <w:rPr>
          <w:rFonts w:ascii="Times New Roman"/>
        </w:rPr>
        <w:t>不得与有毒、有害、有异味的物品混运</w:t>
      </w:r>
      <w:r>
        <w:rPr>
          <w:rFonts w:hint="eastAsia" w:ascii="宋体" w:hAnsi="宋体" w:cs="宋体"/>
          <w:color w:val="000000"/>
          <w:kern w:val="0"/>
          <w:sz w:val="21"/>
          <w:szCs w:val="21"/>
          <w:lang w:val="en-US" w:eastAsia="zh-CN" w:bidi="ar"/>
        </w:rPr>
        <w:t>。</w:t>
      </w:r>
    </w:p>
    <w:p>
      <w:pPr>
        <w:pStyle w:val="106"/>
        <w:bidi w:val="0"/>
        <w:ind w:left="0" w:leftChars="0" w:firstLine="0" w:firstLineChars="0"/>
        <w:rPr>
          <w:rFonts w:hint="eastAsia"/>
          <w:lang w:val="en-US" w:eastAsia="zh-CN"/>
        </w:rPr>
      </w:pPr>
      <w:r>
        <w:rPr>
          <w:rFonts w:hint="eastAsia" w:ascii="Times New Roman"/>
          <w:lang w:val="en-US" w:eastAsia="zh-CN"/>
        </w:rPr>
        <w:t>贮藏</w:t>
      </w:r>
    </w:p>
    <w:p>
      <w:pPr>
        <w:pStyle w:val="57"/>
        <w:ind w:firstLine="420"/>
        <w:rPr>
          <w:rFonts w:hint="eastAsia" w:ascii="Times New Roman"/>
          <w:lang w:val="en-US" w:eastAsia="zh-CN"/>
        </w:rPr>
      </w:pPr>
      <w:r>
        <w:rPr>
          <w:rFonts w:hint="eastAsia" w:ascii="Times New Roman"/>
          <w:lang w:val="en-US" w:eastAsia="zh-CN"/>
        </w:rPr>
        <w:t xml:space="preserve">贮存仓库应通风、干燥、阴凉、防潮、防雨、防虫、防鼠等，严禁与有害、有毒、有腐蚀性、有异味等物质混存。 </w:t>
      </w:r>
    </w:p>
    <w:p>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p>
    <w:bookmarkEnd w:id="48"/>
    <w:p>
      <w:pPr>
        <w:keepNext w:val="0"/>
        <w:keepLines w:val="0"/>
        <w:widowControl/>
        <w:suppressLineNumbers w:val="0"/>
        <w:jc w:val="center"/>
        <w:rPr>
          <w:rFonts w:ascii="黑体" w:hAnsi="宋体" w:eastAsia="黑体" w:cs="黑体"/>
          <w:color w:val="000000"/>
          <w:kern w:val="0"/>
          <w:sz w:val="21"/>
          <w:szCs w:val="21"/>
          <w:lang w:val="en-US" w:eastAsia="zh-CN" w:bidi="ar"/>
        </w:rPr>
      </w:pPr>
      <w:bookmarkStart w:id="49" w:name="BookMark8"/>
    </w:p>
    <w:p>
      <w:pPr>
        <w:keepNext w:val="0"/>
        <w:keepLines w:val="0"/>
        <w:widowControl/>
        <w:suppressLineNumbers w:val="0"/>
        <w:jc w:val="center"/>
        <w:rPr>
          <w:rFonts w:ascii="黑体" w:hAnsi="宋体" w:eastAsia="黑体" w:cs="黑体"/>
          <w:color w:val="000000"/>
          <w:kern w:val="0"/>
          <w:sz w:val="21"/>
          <w:szCs w:val="21"/>
          <w:lang w:val="en-US" w:eastAsia="zh-CN" w:bidi="ar"/>
        </w:rPr>
      </w:pPr>
    </w:p>
    <w:p>
      <w:pPr>
        <w:keepNext w:val="0"/>
        <w:keepLines w:val="0"/>
        <w:widowControl/>
        <w:suppressLineNumbers w:val="0"/>
        <w:jc w:val="center"/>
        <w:rPr>
          <w:rFonts w:ascii="黑体" w:hAnsi="宋体" w:eastAsia="黑体" w:cs="黑体"/>
          <w:color w:val="000000"/>
          <w:kern w:val="0"/>
          <w:sz w:val="21"/>
          <w:szCs w:val="21"/>
          <w:lang w:val="en-US" w:eastAsia="zh-CN" w:bidi="ar"/>
        </w:rPr>
      </w:pPr>
    </w:p>
    <w:p>
      <w:pPr>
        <w:keepNext w:val="0"/>
        <w:keepLines w:val="0"/>
        <w:widowControl/>
        <w:suppressLineNumbers w:val="0"/>
        <w:jc w:val="center"/>
        <w:rPr>
          <w:rFonts w:ascii="黑体" w:hAnsi="宋体" w:eastAsia="黑体" w:cs="黑体"/>
          <w:color w:val="000000"/>
          <w:kern w:val="0"/>
          <w:sz w:val="21"/>
          <w:szCs w:val="21"/>
          <w:lang w:val="en-US" w:eastAsia="zh-CN" w:bidi="ar"/>
        </w:rPr>
      </w:pPr>
    </w:p>
    <w:p>
      <w:pPr>
        <w:keepNext w:val="0"/>
        <w:keepLines w:val="0"/>
        <w:widowControl/>
        <w:suppressLineNumbers w:val="0"/>
        <w:jc w:val="center"/>
        <w:rPr>
          <w:rFonts w:ascii="黑体" w:hAnsi="宋体" w:eastAsia="黑体" w:cs="黑体"/>
          <w:color w:val="000000"/>
          <w:kern w:val="0"/>
          <w:sz w:val="21"/>
          <w:szCs w:val="21"/>
          <w:lang w:val="en-US" w:eastAsia="zh-CN" w:bidi="ar"/>
        </w:rPr>
      </w:pPr>
    </w:p>
    <w:p>
      <w:pPr>
        <w:keepNext w:val="0"/>
        <w:keepLines w:val="0"/>
        <w:widowControl/>
        <w:suppressLineNumbers w:val="0"/>
        <w:jc w:val="both"/>
        <w:rPr>
          <w:rFonts w:ascii="黑体" w:hAnsi="宋体" w:eastAsia="黑体" w:cs="黑体"/>
          <w:color w:val="000000"/>
          <w:kern w:val="0"/>
          <w:sz w:val="21"/>
          <w:szCs w:val="21"/>
          <w:lang w:val="en-US" w:eastAsia="zh-CN" w:bidi="ar"/>
        </w:rPr>
      </w:pPr>
    </w:p>
    <w:p>
      <w:pPr>
        <w:rPr>
          <w:rFonts w:ascii="黑体" w:hAnsi="宋体" w:eastAsia="黑体" w:cs="黑体"/>
          <w:color w:val="000000"/>
          <w:kern w:val="0"/>
          <w:sz w:val="21"/>
          <w:szCs w:val="21"/>
          <w:lang w:val="en-US" w:eastAsia="zh-CN" w:bidi="ar"/>
        </w:rPr>
      </w:pPr>
      <w:r>
        <w:rPr>
          <w:rFonts w:ascii="黑体" w:hAnsi="宋体" w:eastAsia="黑体" w:cs="黑体"/>
          <w:color w:val="000000"/>
          <w:kern w:val="0"/>
          <w:sz w:val="21"/>
          <w:szCs w:val="21"/>
          <w:lang w:val="en-US" w:eastAsia="zh-CN" w:bidi="ar"/>
        </w:rPr>
        <w:br w:type="page"/>
      </w:r>
    </w:p>
    <w:p>
      <w:pPr>
        <w:keepNext w:val="0"/>
        <w:keepLines w:val="0"/>
        <w:widowControl/>
        <w:suppressLineNumbers w:val="0"/>
        <w:jc w:val="center"/>
      </w:pPr>
      <w:r>
        <w:rPr>
          <w:rFonts w:ascii="黑体" w:hAnsi="宋体" w:eastAsia="黑体" w:cs="黑体"/>
          <w:color w:val="000000"/>
          <w:kern w:val="0"/>
          <w:sz w:val="21"/>
          <w:szCs w:val="21"/>
          <w:lang w:val="en-US" w:eastAsia="zh-CN" w:bidi="ar"/>
        </w:rPr>
        <w:t>附 录 A</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（规范性）</w:t>
      </w:r>
    </w:p>
    <w:p>
      <w:pPr>
        <w:keepNext w:val="0"/>
        <w:keepLines w:val="0"/>
        <w:widowControl/>
        <w:suppressLineNumbers w:val="0"/>
        <w:jc w:val="center"/>
      </w:pPr>
      <w:r>
        <w:rPr>
          <w:rFonts w:hint="eastAsia" w:ascii="黑体" w:hAnsi="宋体" w:eastAsia="黑体" w:cs="黑体"/>
          <w:color w:val="000000"/>
          <w:kern w:val="0"/>
          <w:sz w:val="21"/>
          <w:szCs w:val="21"/>
          <w:lang w:val="en-US" w:eastAsia="zh-CN" w:bidi="ar"/>
        </w:rPr>
        <w:t>化石戈小米地理标志保护范围图</w:t>
      </w:r>
    </w:p>
    <w:p>
      <w:pPr>
        <w:pStyle w:val="57"/>
        <w:ind w:firstLine="0" w:firstLineChars="0"/>
        <w:jc w:val="cente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A.1</w:t>
      </w:r>
      <w:r>
        <w:rPr>
          <w:rFonts w:hint="eastAsia" w:ascii="黑体" w:hAnsi="黑体" w:eastAsia="黑体" w:cs="黑体"/>
          <w:color w:val="FF0000"/>
          <w:kern w:val="0"/>
          <w:sz w:val="21"/>
          <w:szCs w:val="21"/>
          <w:lang w:val="en-US" w:eastAsia="zh-CN" w:bidi="ar"/>
        </w:rPr>
        <w:t xml:space="preserve"> </w:t>
      </w:r>
      <w:r>
        <w:rPr>
          <w:rFonts w:hint="eastAsia" w:ascii="宋体" w:hAnsi="宋体" w:cs="宋体"/>
          <w:color w:val="000000"/>
          <w:kern w:val="0"/>
          <w:sz w:val="21"/>
          <w:szCs w:val="21"/>
          <w:lang w:val="en-US" w:eastAsia="zh-CN" w:bidi="ar"/>
        </w:rPr>
        <w:t>化石戈</w:t>
      </w:r>
      <w:r>
        <w:rPr>
          <w:rFonts w:hint="eastAsia" w:ascii="宋体" w:hAnsi="宋体" w:eastAsia="宋体" w:cs="宋体"/>
          <w:color w:val="000000"/>
          <w:kern w:val="0"/>
          <w:sz w:val="21"/>
          <w:szCs w:val="21"/>
          <w:lang w:val="en-US" w:eastAsia="zh-CN" w:bidi="ar"/>
        </w:rPr>
        <w:t xml:space="preserve">小米地理标志产品保护范围见图 A.1。 </w:t>
      </w:r>
    </w:p>
    <w:p>
      <w:pPr>
        <w:pStyle w:val="57"/>
        <w:ind w:firstLine="0" w:firstLineChars="0"/>
        <w:jc w:val="center"/>
      </w:pPr>
    </w:p>
    <w:p>
      <w:pPr>
        <w:pStyle w:val="57"/>
        <w:ind w:firstLine="0" w:firstLineChars="0"/>
        <w:jc w:val="center"/>
      </w:pPr>
      <w:bookmarkStart w:id="50" w:name="_GoBack"/>
      <w:bookmarkEnd w:id="50"/>
    </w:p>
    <w:p>
      <w:pPr>
        <w:pStyle w:val="57"/>
        <w:ind w:firstLine="0" w:firstLineChars="0"/>
        <w:jc w:val="center"/>
      </w:pPr>
      <w:r>
        <w:rPr>
          <w:rFonts w:ascii="宋体" w:hAnsi="宋体" w:eastAsia="宋体" w:cs="宋体"/>
          <w:sz w:val="24"/>
          <w:szCs w:val="24"/>
        </w:rPr>
        <w:drawing>
          <wp:inline distT="0" distB="0" distL="114300" distR="114300">
            <wp:extent cx="5048250" cy="3409950"/>
            <wp:effectExtent l="0" t="0" r="11430" b="381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7"/>
                    <a:stretch>
                      <a:fillRect/>
                    </a:stretch>
                  </pic:blipFill>
                  <pic:spPr>
                    <a:xfrm>
                      <a:off x="0" y="0"/>
                      <a:ext cx="5048250" cy="3409950"/>
                    </a:xfrm>
                    <a:prstGeom prst="rect">
                      <a:avLst/>
                    </a:prstGeom>
                    <a:noFill/>
                    <a:ln w="9525">
                      <a:noFill/>
                    </a:ln>
                  </pic:spPr>
                </pic:pic>
              </a:graphicData>
            </a:graphic>
          </wp:inline>
        </w:drawing>
      </w:r>
    </w:p>
    <w:p>
      <w:pPr>
        <w:pStyle w:val="57"/>
        <w:ind w:firstLine="0" w:firstLineChars="0"/>
        <w:jc w:val="center"/>
      </w:pPr>
    </w:p>
    <w:p>
      <w:pPr>
        <w:pStyle w:val="57"/>
        <w:ind w:firstLine="0" w:firstLineChars="0"/>
        <w:jc w:val="center"/>
      </w:pPr>
    </w:p>
    <w:p>
      <w:pPr>
        <w:keepNext w:val="0"/>
        <w:keepLines w:val="0"/>
        <w:widowControl/>
        <w:suppressLineNumbers w:val="0"/>
        <w:jc w:val="center"/>
      </w:pPr>
      <w:r>
        <w:rPr>
          <w:rFonts w:ascii="黑体" w:hAnsi="宋体" w:eastAsia="黑体" w:cs="黑体"/>
          <w:color w:val="000000"/>
          <w:kern w:val="0"/>
          <w:sz w:val="21"/>
          <w:szCs w:val="21"/>
          <w:lang w:val="en-US" w:eastAsia="zh-CN" w:bidi="ar"/>
        </w:rPr>
        <w:t>图A.1</w:t>
      </w:r>
      <w:r>
        <w:rPr>
          <w:rFonts w:hint="eastAsia" w:ascii="黑体" w:hAnsi="宋体" w:eastAsia="黑体" w:cs="黑体"/>
          <w:color w:val="000000"/>
          <w:kern w:val="0"/>
          <w:sz w:val="21"/>
          <w:szCs w:val="21"/>
          <w:lang w:val="en-US" w:eastAsia="zh-CN" w:bidi="ar"/>
        </w:rPr>
        <w:t>化石戈小米地理标志保护范围图</w:t>
      </w:r>
    </w:p>
    <w:p>
      <w:pPr>
        <w:pStyle w:val="57"/>
        <w:ind w:firstLine="0" w:firstLineChars="0"/>
        <w:jc w:val="center"/>
      </w:pPr>
    </w:p>
    <w:p>
      <w:pPr>
        <w:pStyle w:val="57"/>
        <w:ind w:firstLine="0" w:firstLineChars="0"/>
        <w:jc w:val="both"/>
      </w:pPr>
      <w:r>
        <w:rPr>
          <w:rFonts w:hint="eastAsia"/>
          <w:lang w:val="en-US" w:eastAsia="zh-CN"/>
        </w:rPr>
        <w:t xml:space="preserve">                                </w:t>
      </w:r>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p>
      <w:pPr>
        <w:pStyle w:val="57"/>
        <w:ind w:firstLine="0" w:firstLineChars="0"/>
        <w:jc w:val="center"/>
      </w:pPr>
    </w:p>
    <w:p>
      <w:pPr>
        <w:pStyle w:val="57"/>
        <w:ind w:firstLine="0" w:firstLineChars="0"/>
        <w:jc w:val="cente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2NhM2Q5MmFhY2RmODIyN2M5OWQ2YTI1MGU0YjE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47"/>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52B1173"/>
    <w:rsid w:val="05BC655C"/>
    <w:rsid w:val="05DB4947"/>
    <w:rsid w:val="06E25862"/>
    <w:rsid w:val="07726BE5"/>
    <w:rsid w:val="07E01DA1"/>
    <w:rsid w:val="095D5673"/>
    <w:rsid w:val="095F13EB"/>
    <w:rsid w:val="09B3067A"/>
    <w:rsid w:val="0B725406"/>
    <w:rsid w:val="0CD06F02"/>
    <w:rsid w:val="0D1349C7"/>
    <w:rsid w:val="0E43308A"/>
    <w:rsid w:val="0EB43F87"/>
    <w:rsid w:val="0EC35F79"/>
    <w:rsid w:val="0EF10D38"/>
    <w:rsid w:val="0F556719"/>
    <w:rsid w:val="10CC380A"/>
    <w:rsid w:val="116C0B49"/>
    <w:rsid w:val="136820F1"/>
    <w:rsid w:val="139B5716"/>
    <w:rsid w:val="14EA425F"/>
    <w:rsid w:val="16BB079F"/>
    <w:rsid w:val="19151AC7"/>
    <w:rsid w:val="1A10558B"/>
    <w:rsid w:val="1B233D3D"/>
    <w:rsid w:val="1B26620D"/>
    <w:rsid w:val="1C055E22"/>
    <w:rsid w:val="1C984EE8"/>
    <w:rsid w:val="1D660B43"/>
    <w:rsid w:val="1E0760C3"/>
    <w:rsid w:val="1E2F53D8"/>
    <w:rsid w:val="1ECB3353"/>
    <w:rsid w:val="202A40A9"/>
    <w:rsid w:val="226715E5"/>
    <w:rsid w:val="22A2261D"/>
    <w:rsid w:val="236E3D27"/>
    <w:rsid w:val="24AC7A77"/>
    <w:rsid w:val="25090731"/>
    <w:rsid w:val="25237319"/>
    <w:rsid w:val="272E0923"/>
    <w:rsid w:val="27B70919"/>
    <w:rsid w:val="296A19BB"/>
    <w:rsid w:val="2A743763"/>
    <w:rsid w:val="2B9920E3"/>
    <w:rsid w:val="2BB0716F"/>
    <w:rsid w:val="2E935510"/>
    <w:rsid w:val="305317E8"/>
    <w:rsid w:val="31B23EFF"/>
    <w:rsid w:val="31BE0AF5"/>
    <w:rsid w:val="31D43E75"/>
    <w:rsid w:val="33FC76B3"/>
    <w:rsid w:val="340910B7"/>
    <w:rsid w:val="340C5B48"/>
    <w:rsid w:val="34B14942"/>
    <w:rsid w:val="35702A80"/>
    <w:rsid w:val="35E72927"/>
    <w:rsid w:val="371B1227"/>
    <w:rsid w:val="37503F9E"/>
    <w:rsid w:val="376161AB"/>
    <w:rsid w:val="39785A2E"/>
    <w:rsid w:val="39D0586A"/>
    <w:rsid w:val="3A9B7C26"/>
    <w:rsid w:val="3AA54601"/>
    <w:rsid w:val="3B225C51"/>
    <w:rsid w:val="3B581673"/>
    <w:rsid w:val="3B914B85"/>
    <w:rsid w:val="3F2D7618"/>
    <w:rsid w:val="3FD5624B"/>
    <w:rsid w:val="418F600A"/>
    <w:rsid w:val="41967399"/>
    <w:rsid w:val="42656804"/>
    <w:rsid w:val="42800C1C"/>
    <w:rsid w:val="431B26A6"/>
    <w:rsid w:val="433724B6"/>
    <w:rsid w:val="449F6565"/>
    <w:rsid w:val="44CC6C2E"/>
    <w:rsid w:val="46054AED"/>
    <w:rsid w:val="46CB3641"/>
    <w:rsid w:val="470D33BE"/>
    <w:rsid w:val="47C9026A"/>
    <w:rsid w:val="49F92273"/>
    <w:rsid w:val="4B5D2CD5"/>
    <w:rsid w:val="4BFC056A"/>
    <w:rsid w:val="4BFE6267"/>
    <w:rsid w:val="4C5144B4"/>
    <w:rsid w:val="4D4D1254"/>
    <w:rsid w:val="4D5A127B"/>
    <w:rsid w:val="4E8C5ECA"/>
    <w:rsid w:val="502239D1"/>
    <w:rsid w:val="50C57353"/>
    <w:rsid w:val="51071719"/>
    <w:rsid w:val="516E1798"/>
    <w:rsid w:val="53C80DCD"/>
    <w:rsid w:val="542E16B3"/>
    <w:rsid w:val="54905ECA"/>
    <w:rsid w:val="54D44008"/>
    <w:rsid w:val="55DF0EB7"/>
    <w:rsid w:val="576176AA"/>
    <w:rsid w:val="577338B7"/>
    <w:rsid w:val="584119B5"/>
    <w:rsid w:val="58B33F35"/>
    <w:rsid w:val="5BAD55B3"/>
    <w:rsid w:val="5BD4669C"/>
    <w:rsid w:val="5CDD2880"/>
    <w:rsid w:val="5D30024A"/>
    <w:rsid w:val="5DD9180F"/>
    <w:rsid w:val="5E4C2E61"/>
    <w:rsid w:val="5F7A755A"/>
    <w:rsid w:val="5FF217E7"/>
    <w:rsid w:val="6031230F"/>
    <w:rsid w:val="61C84EF5"/>
    <w:rsid w:val="63754C08"/>
    <w:rsid w:val="64A37553"/>
    <w:rsid w:val="64F34037"/>
    <w:rsid w:val="65363F24"/>
    <w:rsid w:val="68376930"/>
    <w:rsid w:val="68ED5241"/>
    <w:rsid w:val="6A3F7D1E"/>
    <w:rsid w:val="6A8F4802"/>
    <w:rsid w:val="6B2111D2"/>
    <w:rsid w:val="6C613F7C"/>
    <w:rsid w:val="6CD26C28"/>
    <w:rsid w:val="6E867CCA"/>
    <w:rsid w:val="6F226A87"/>
    <w:rsid w:val="6F3A07FE"/>
    <w:rsid w:val="6FEA4288"/>
    <w:rsid w:val="72065D91"/>
    <w:rsid w:val="734D525A"/>
    <w:rsid w:val="75D02172"/>
    <w:rsid w:val="763F698D"/>
    <w:rsid w:val="77297D8C"/>
    <w:rsid w:val="77B238DE"/>
    <w:rsid w:val="79D833A4"/>
    <w:rsid w:val="7A410F49"/>
    <w:rsid w:val="7AE00762"/>
    <w:rsid w:val="7AF406B1"/>
    <w:rsid w:val="7D292894"/>
    <w:rsid w:val="7D4F7E21"/>
    <w:rsid w:val="7F2F7F0A"/>
    <w:rsid w:val="7FC5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99"/>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99"/>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GIF"/><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2771</Words>
  <Characters>3299</Characters>
  <Lines>25</Lines>
  <Paragraphs>7</Paragraphs>
  <TotalTime>3</TotalTime>
  <ScaleCrop>false</ScaleCrop>
  <LinksUpToDate>false</LinksUpToDate>
  <CharactersWithSpaces>3694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2023-11-28T15:42:22Z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97872A7338E741B089880BF7C3DF10D2_13</vt:lpwstr>
  </property>
</Properties>
</file>