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2450" w14:textId="77777777" w:rsidR="00E06E80" w:rsidRDefault="00000000">
      <w:pPr>
        <w:wordWrap w:val="0"/>
        <w:topLinePunct/>
        <w:spacing w:line="240" w:lineRule="auto"/>
        <w:ind w:firstLine="420"/>
        <w:rPr>
          <w:rFonts w:ascii="黑体" w:eastAsia="黑体" w:hAnsi="黑体" w:cs="Times New Roman"/>
          <w:kern w:val="0"/>
          <w:sz w:val="10"/>
          <w:szCs w:val="10"/>
        </w:rPr>
      </w:pPr>
      <w:r>
        <w:rPr>
          <w:noProof/>
        </w:rPr>
        <mc:AlternateContent>
          <mc:Choice Requires="wps">
            <w:drawing>
              <wp:anchor distT="0" distB="0" distL="0" distR="0" simplePos="0" relativeHeight="251657216" behindDoc="0" locked="0" layoutInCell="1" allowOverlap="0" wp14:anchorId="6DA6FE51" wp14:editId="3A77527A">
                <wp:simplePos x="0" y="0"/>
                <wp:positionH relativeFrom="page">
                  <wp:posOffset>900430</wp:posOffset>
                </wp:positionH>
                <wp:positionV relativeFrom="page">
                  <wp:posOffset>2700655</wp:posOffset>
                </wp:positionV>
                <wp:extent cx="6120130" cy="0"/>
                <wp:effectExtent l="0" t="4445" r="0" b="5080"/>
                <wp:wrapNone/>
                <wp:docPr id="1026"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直接连接符 3"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eDSZbYAAAADAEAAA8AAAAAAAAAAQAgAAAAIgAAAGRycy9kb3ducmV2LnhtbFBLAQIU&#10;ABQAAAAIAIdO4kC22ZVZ8wEAAOUDAAAOAAAAAAAAAAEAIAAAACcBAABkcnMvZTJvRG9jLnhtbFBL&#10;BQYAAAAABgAGAFkBAACMBQAAAAA=&#10;">
                <v:fill on="f" focussize="0,0"/>
                <v:stroke color="#000000" joinstyle="round"/>
                <v:imagedata o:title=""/>
                <o:lock v:ext="edit" aspectratio="f"/>
              </v:line>
            </w:pict>
          </mc:Fallback>
        </mc:AlternateContent>
      </w:r>
    </w:p>
    <w:p w14:paraId="4504D40C" w14:textId="77777777" w:rsidR="00E06E80" w:rsidRDefault="00E06E80">
      <w:pPr>
        <w:pStyle w:val="ab"/>
        <w:framePr w:w="9639" w:h="6976" w:hRule="exact" w:hSpace="0" w:vSpace="0" w:wrap="around" w:vAnchor="text" w:hAnchor="page" w:y="6408"/>
        <w:kinsoku/>
        <w:wordWrap w:val="0"/>
        <w:overflowPunct/>
        <w:topLinePunct/>
        <w:jc w:val="center"/>
        <w:rPr>
          <w:rFonts w:ascii="黑体" w:eastAsia="黑体" w:hAnsi="黑体" w:cs="Times New Roman"/>
          <w:b w:val="0"/>
          <w:bCs w:val="0"/>
          <w:w w:val="100"/>
        </w:rPr>
      </w:pPr>
    </w:p>
    <w:p w14:paraId="6547B909" w14:textId="77777777" w:rsidR="00E06E80" w:rsidRDefault="00000000">
      <w:pPr>
        <w:framePr w:w="9639" w:h="6974" w:hRule="exact" w:wrap="around" w:vAnchor="page" w:hAnchor="page" w:x="1419" w:y="6408" w:anchorLock="1"/>
        <w:wordWrap w:val="0"/>
        <w:topLinePunct/>
        <w:snapToGrid/>
        <w:spacing w:line="360" w:lineRule="auto"/>
        <w:ind w:firstLine="964"/>
        <w:jc w:val="center"/>
        <w:rPr>
          <w:rFonts w:ascii="Times New Roman" w:hAnsi="Times New Roman" w:cs="Times New Roman"/>
          <w:b/>
          <w:bCs/>
          <w:sz w:val="48"/>
          <w:szCs w:val="48"/>
        </w:rPr>
      </w:pPr>
      <w:r>
        <w:rPr>
          <w:rFonts w:ascii="Times New Roman" w:hAnsi="Times New Roman" w:cs="Times New Roman"/>
          <w:b/>
          <w:bCs/>
          <w:sz w:val="48"/>
          <w:szCs w:val="48"/>
        </w:rPr>
        <w:t>自动化水质检测实验室运行</w:t>
      </w:r>
      <w:r>
        <w:rPr>
          <w:rFonts w:ascii="Times New Roman" w:hAnsi="Times New Roman" w:cs="Times New Roman" w:hint="eastAsia"/>
          <w:b/>
          <w:bCs/>
          <w:sz w:val="48"/>
          <w:szCs w:val="48"/>
        </w:rPr>
        <w:t>管理</w:t>
      </w:r>
      <w:r>
        <w:rPr>
          <w:rFonts w:ascii="Times New Roman" w:hAnsi="Times New Roman" w:cs="Times New Roman"/>
          <w:b/>
          <w:bCs/>
          <w:sz w:val="48"/>
          <w:szCs w:val="48"/>
        </w:rPr>
        <w:t>规范</w:t>
      </w:r>
    </w:p>
    <w:p w14:paraId="0B926CFB" w14:textId="77777777" w:rsidR="00E06E80" w:rsidRDefault="00000000">
      <w:pPr>
        <w:pStyle w:val="2"/>
        <w:framePr w:w="9639" w:h="6974" w:hRule="exact" w:wrap="around" w:vAnchor="page" w:hAnchor="page" w:x="1419" w:y="6408" w:anchorLock="1"/>
        <w:ind w:firstLine="810"/>
        <w:jc w:val="center"/>
        <w:rPr>
          <w:rFonts w:ascii="Times New Roman" w:hAnsi="Times New Roman" w:cs="Times New Roman"/>
          <w:sz w:val="36"/>
          <w:szCs w:val="32"/>
        </w:rPr>
      </w:pPr>
      <w:r>
        <w:rPr>
          <w:rFonts w:ascii="Times New Roman" w:hAnsi="Times New Roman" w:cs="Times New Roman"/>
          <w:sz w:val="36"/>
          <w:szCs w:val="32"/>
        </w:rPr>
        <w:t xml:space="preserve">Operation and Management Specification for Automated Water Quality Testing </w:t>
      </w:r>
      <w:r>
        <w:rPr>
          <w:rFonts w:ascii="Times New Roman" w:hAnsi="Times New Roman" w:cs="Times New Roman" w:hint="eastAsia"/>
          <w:sz w:val="36"/>
          <w:szCs w:val="32"/>
        </w:rPr>
        <w:t>L</w:t>
      </w:r>
      <w:r>
        <w:rPr>
          <w:rFonts w:ascii="Times New Roman" w:hAnsi="Times New Roman" w:cs="Times New Roman"/>
          <w:sz w:val="36"/>
          <w:szCs w:val="32"/>
        </w:rPr>
        <w:t>aboratories</w:t>
      </w:r>
    </w:p>
    <w:p w14:paraId="0B6BA371" w14:textId="77777777" w:rsidR="00E06E80" w:rsidRDefault="00000000">
      <w:pPr>
        <w:pStyle w:val="ad"/>
        <w:framePr w:wrap="around" w:y="14176"/>
        <w:wordWrap w:val="0"/>
        <w:topLinePunct/>
      </w:pPr>
      <w:proofErr w:type="spellStart"/>
      <w:r>
        <w:rPr>
          <w:rFonts w:ascii="黑体" w:cs="黑体" w:hint="eastAsia"/>
          <w:color w:val="FF0000"/>
        </w:rPr>
        <w:t>xxxx</w:t>
      </w:r>
      <w:proofErr w:type="spellEnd"/>
      <w:r>
        <w:rPr>
          <w:rFonts w:ascii="黑体" w:cs="黑体"/>
          <w:color w:val="FF0000"/>
        </w:rPr>
        <w:t>-</w:t>
      </w:r>
      <w:r>
        <w:rPr>
          <w:rFonts w:ascii="黑体" w:cs="黑体" w:hint="eastAsia"/>
          <w:color w:val="FF0000"/>
        </w:rPr>
        <w:t>xx</w:t>
      </w:r>
      <w:r>
        <w:rPr>
          <w:rFonts w:ascii="黑体" w:cs="黑体"/>
          <w:color w:val="FF0000"/>
        </w:rPr>
        <w:t>-</w:t>
      </w:r>
      <w:r>
        <w:rPr>
          <w:rFonts w:ascii="黑体" w:cs="黑体" w:hint="eastAsia"/>
          <w:color w:val="FF0000"/>
        </w:rPr>
        <w:t>xx</w:t>
      </w:r>
      <w:r>
        <w:rPr>
          <w:rFonts w:cs="黑体" w:hint="eastAsia"/>
        </w:rPr>
        <w:t>发布</w:t>
      </w:r>
    </w:p>
    <w:p w14:paraId="3B69D9C0" w14:textId="77777777" w:rsidR="00E06E80" w:rsidRDefault="00000000">
      <w:pPr>
        <w:pStyle w:val="af"/>
        <w:framePr w:wrap="around" w:y="14176"/>
        <w:wordWrap w:val="0"/>
        <w:topLinePunct/>
      </w:pPr>
      <w:proofErr w:type="spellStart"/>
      <w:r>
        <w:rPr>
          <w:rFonts w:ascii="黑体" w:cs="黑体" w:hint="eastAsia"/>
          <w:color w:val="FF0000"/>
        </w:rPr>
        <w:t>xxxx</w:t>
      </w:r>
      <w:proofErr w:type="spellEnd"/>
      <w:r>
        <w:rPr>
          <w:rFonts w:ascii="黑体" w:cs="黑体"/>
          <w:color w:val="FF0000"/>
        </w:rPr>
        <w:t>-</w:t>
      </w:r>
      <w:r>
        <w:rPr>
          <w:rFonts w:ascii="黑体" w:cs="黑体" w:hint="eastAsia"/>
          <w:color w:val="FF0000"/>
        </w:rPr>
        <w:t>xx</w:t>
      </w:r>
      <w:r>
        <w:rPr>
          <w:rFonts w:ascii="黑体" w:cs="黑体"/>
          <w:color w:val="FF0000"/>
        </w:rPr>
        <w:t>-</w:t>
      </w:r>
      <w:r>
        <w:rPr>
          <w:rFonts w:ascii="黑体" w:cs="黑体" w:hint="eastAsia"/>
        </w:rPr>
        <w:t>xx</w:t>
      </w:r>
      <w:r>
        <w:rPr>
          <w:rFonts w:cs="黑体" w:hint="eastAsia"/>
        </w:rPr>
        <w:t>实施</w:t>
      </w:r>
    </w:p>
    <w:bookmarkStart w:id="0" w:name="fm"/>
    <w:p w14:paraId="66D38153" w14:textId="77777777" w:rsidR="00E06E80" w:rsidRDefault="00000000">
      <w:pPr>
        <w:pStyle w:val="af1"/>
        <w:framePr w:h="584" w:hRule="exact" w:hSpace="181" w:vSpace="181" w:wrap="around" w:y="15027"/>
        <w:wordWrap w:val="0"/>
        <w:topLinePunct/>
        <w:rPr>
          <w:rFonts w:hAnsi="黑体" w:cs="Times New Roman"/>
        </w:rPr>
      </w:pPr>
      <w:r>
        <w:rPr>
          <w:rFonts w:hAnsi="黑体"/>
          <w:w w:val="100"/>
          <w:sz w:val="28"/>
          <w:szCs w:val="28"/>
        </w:rPr>
        <w:fldChar w:fldCharType="begin"/>
      </w:r>
      <w:r>
        <w:rPr>
          <w:rFonts w:hAnsi="黑体"/>
          <w:w w:val="100"/>
          <w:sz w:val="28"/>
          <w:szCs w:val="28"/>
        </w:rPr>
        <w:instrText xml:space="preserve"> FORMTEXT </w:instrText>
      </w:r>
      <w:r>
        <w:rPr>
          <w:rFonts w:hAnsi="黑体"/>
          <w:w w:val="100"/>
          <w:sz w:val="28"/>
          <w:szCs w:val="28"/>
        </w:rPr>
        <w:fldChar w:fldCharType="separate"/>
      </w:r>
      <w:r>
        <w:rPr>
          <w:rFonts w:hAnsi="黑体" w:hint="eastAsia"/>
          <w:w w:val="100"/>
          <w:sz w:val="28"/>
          <w:szCs w:val="28"/>
        </w:rPr>
        <w:t>重庆市生态环境监测协会</w:t>
      </w:r>
      <w:r>
        <w:rPr>
          <w:rFonts w:hAnsi="黑体"/>
          <w:w w:val="100"/>
          <w:sz w:val="28"/>
          <w:szCs w:val="28"/>
        </w:rPr>
        <w:fldChar w:fldCharType="end"/>
      </w:r>
      <w:bookmarkEnd w:id="0"/>
      <w:r>
        <w:rPr>
          <w:rFonts w:ascii="Times New Roman" w:cs="Times New Roman"/>
          <w:w w:val="100"/>
          <w:sz w:val="28"/>
          <w:szCs w:val="28"/>
        </w:rPr>
        <w:t>  </w:t>
      </w:r>
      <w:r>
        <w:rPr>
          <w:rStyle w:val="af4"/>
          <w:rFonts w:hAnsi="黑体" w:hint="eastAsia"/>
          <w:position w:val="0"/>
        </w:rPr>
        <w:t>发</w:t>
      </w:r>
      <w:r>
        <w:rPr>
          <w:rStyle w:val="af4"/>
          <w:rFonts w:hAnsi="黑体" w:hint="eastAsia"/>
          <w:spacing w:val="0"/>
          <w:position w:val="0"/>
        </w:rPr>
        <w:t>布</w:t>
      </w:r>
    </w:p>
    <w:tbl>
      <w:tblPr>
        <w:tblpPr w:leftFromText="180" w:rightFromText="180" w:vertAnchor="text" w:horzAnchor="page" w:tblpX="1356" w:tblpY="98"/>
        <w:tblOverlap w:val="never"/>
        <w:tblW w:w="0" w:type="auto"/>
        <w:tblLayout w:type="fixed"/>
        <w:tblCellMar>
          <w:left w:w="0" w:type="dxa"/>
          <w:right w:w="0" w:type="dxa"/>
        </w:tblCellMar>
        <w:tblLook w:val="04A0" w:firstRow="1" w:lastRow="0" w:firstColumn="1" w:lastColumn="0" w:noHBand="0" w:noVBand="1"/>
      </w:tblPr>
      <w:tblGrid>
        <w:gridCol w:w="509"/>
        <w:gridCol w:w="8855"/>
      </w:tblGrid>
      <w:tr w:rsidR="00E06E80" w14:paraId="6886BD04" w14:textId="77777777">
        <w:tc>
          <w:tcPr>
            <w:tcW w:w="509" w:type="dxa"/>
            <w:vAlign w:val="center"/>
          </w:tcPr>
          <w:p w14:paraId="5B15408A" w14:textId="77777777" w:rsidR="00E06E80" w:rsidRDefault="00000000">
            <w:pPr>
              <w:pStyle w:val="a7"/>
              <w:tabs>
                <w:tab w:val="clear" w:pos="4153"/>
                <w:tab w:val="clear" w:pos="8306"/>
              </w:tabs>
              <w:wordWrap w:val="0"/>
              <w:topLinePunct/>
              <w:spacing w:line="240" w:lineRule="auto"/>
              <w:ind w:firstLineChars="0" w:firstLine="0"/>
              <w:jc w:val="both"/>
              <w:rPr>
                <w:rFonts w:ascii="黑体" w:eastAsia="黑体" w:hAnsi="黑体"/>
                <w:kern w:val="2"/>
                <w:sz w:val="21"/>
                <w:szCs w:val="21"/>
              </w:rPr>
            </w:pPr>
            <w:r>
              <w:rPr>
                <w:rFonts w:eastAsia="黑体"/>
                <w:kern w:val="2"/>
                <w:sz w:val="21"/>
                <w:szCs w:val="21"/>
              </w:rPr>
              <w:t>ICS</w:t>
            </w:r>
          </w:p>
        </w:tc>
        <w:tc>
          <w:tcPr>
            <w:tcW w:w="8855" w:type="dxa"/>
            <w:vAlign w:val="center"/>
          </w:tcPr>
          <w:p w14:paraId="5959E3D8" w14:textId="77777777" w:rsidR="00E06E80" w:rsidRDefault="00000000">
            <w:pPr>
              <w:pStyle w:val="a7"/>
              <w:tabs>
                <w:tab w:val="clear" w:pos="4153"/>
                <w:tab w:val="clear" w:pos="8306"/>
              </w:tabs>
              <w:wordWrap w:val="0"/>
              <w:topLinePunct/>
              <w:spacing w:line="240" w:lineRule="auto"/>
              <w:ind w:left="3" w:firstLine="420"/>
              <w:jc w:val="both"/>
              <w:rPr>
                <w:rFonts w:ascii="黑体" w:eastAsia="黑体" w:hAnsi="黑体"/>
                <w:kern w:val="2"/>
                <w:sz w:val="21"/>
                <w:szCs w:val="21"/>
              </w:rPr>
            </w:pPr>
            <w:r>
              <w:rPr>
                <w:rFonts w:ascii="黑体"/>
                <w:sz w:val="21"/>
              </w:rPr>
              <w:t>13.</w:t>
            </w:r>
            <w:r>
              <w:rPr>
                <w:rFonts w:ascii="黑体" w:hint="eastAsia"/>
                <w:sz w:val="21"/>
              </w:rPr>
              <w:t>06</w:t>
            </w:r>
            <w:r>
              <w:rPr>
                <w:rFonts w:ascii="黑体"/>
                <w:sz w:val="21"/>
              </w:rPr>
              <w:t>0.99</w:t>
            </w:r>
          </w:p>
        </w:tc>
      </w:tr>
      <w:tr w:rsidR="00E06E80" w14:paraId="276EB540" w14:textId="77777777">
        <w:tc>
          <w:tcPr>
            <w:tcW w:w="509" w:type="dxa"/>
            <w:vAlign w:val="center"/>
          </w:tcPr>
          <w:p w14:paraId="140E43B5" w14:textId="77777777" w:rsidR="00E06E80" w:rsidRDefault="00000000">
            <w:pPr>
              <w:pStyle w:val="a7"/>
              <w:tabs>
                <w:tab w:val="clear" w:pos="4153"/>
                <w:tab w:val="clear" w:pos="8306"/>
              </w:tabs>
              <w:wordWrap w:val="0"/>
              <w:topLinePunct/>
              <w:spacing w:before="40" w:line="240" w:lineRule="auto"/>
              <w:ind w:firstLineChars="0" w:firstLine="0"/>
              <w:jc w:val="both"/>
              <w:rPr>
                <w:rFonts w:ascii="黑体" w:eastAsia="黑体" w:hAnsi="黑体"/>
                <w:kern w:val="2"/>
                <w:sz w:val="21"/>
                <w:szCs w:val="21"/>
              </w:rPr>
            </w:pPr>
            <w:r>
              <w:rPr>
                <w:rFonts w:eastAsia="黑体"/>
                <w:kern w:val="2"/>
                <w:sz w:val="21"/>
                <w:szCs w:val="21"/>
              </w:rPr>
              <w:t xml:space="preserve">CCS </w:t>
            </w:r>
          </w:p>
        </w:tc>
        <w:tc>
          <w:tcPr>
            <w:tcW w:w="8855" w:type="dxa"/>
            <w:vAlign w:val="center"/>
          </w:tcPr>
          <w:p w14:paraId="024836E6" w14:textId="77777777" w:rsidR="00E06E80" w:rsidRDefault="00000000">
            <w:pPr>
              <w:pStyle w:val="a7"/>
              <w:tabs>
                <w:tab w:val="clear" w:pos="4153"/>
                <w:tab w:val="clear" w:pos="8306"/>
              </w:tabs>
              <w:wordWrap w:val="0"/>
              <w:topLinePunct/>
              <w:spacing w:before="40" w:line="240" w:lineRule="auto"/>
              <w:ind w:firstLine="420"/>
              <w:jc w:val="both"/>
              <w:rPr>
                <w:rFonts w:ascii="黑体" w:eastAsia="黑体" w:hAnsi="黑体"/>
                <w:kern w:val="2"/>
                <w:sz w:val="21"/>
                <w:szCs w:val="21"/>
              </w:rPr>
            </w:pPr>
            <w:r>
              <w:rPr>
                <w:rFonts w:ascii="黑体" w:eastAsia="黑体" w:hAnsi="黑体" w:cs="黑体"/>
                <w:kern w:val="2"/>
                <w:sz w:val="21"/>
                <w:szCs w:val="21"/>
              </w:rPr>
              <w:t>Z.16</w:t>
            </w:r>
          </w:p>
        </w:tc>
      </w:tr>
    </w:tbl>
    <w:p w14:paraId="5D2C2BB9" w14:textId="77777777" w:rsidR="00E06E80" w:rsidRDefault="00000000">
      <w:pPr>
        <w:pStyle w:val="ab"/>
        <w:framePr w:w="9639" w:h="624" w:hRule="exact" w:hSpace="181" w:vSpace="181" w:wrap="around" w:vAnchor="text" w:hAnchor="page" w:x="1305" w:y="2269"/>
        <w:kinsoku/>
        <w:wordWrap w:val="0"/>
        <w:overflowPunct/>
        <w:topLinePunct/>
        <w:rPr>
          <w:rFonts w:ascii="黑体" w:eastAsia="黑体" w:hAnsi="黑体" w:cs="Times New Roman"/>
          <w:b w:val="0"/>
          <w:bCs w:val="0"/>
          <w:w w:val="100"/>
          <w:sz w:val="48"/>
          <w:szCs w:val="48"/>
        </w:rPr>
      </w:pPr>
      <w:bookmarkStart w:id="1" w:name="_Hlk26473981"/>
      <w:r>
        <w:rPr>
          <w:rFonts w:ascii="黑体" w:eastAsia="黑体" w:hAnsi="黑体" w:cs="黑体" w:hint="eastAsia"/>
          <w:b w:val="0"/>
          <w:bCs w:val="0"/>
          <w:w w:val="100"/>
          <w:sz w:val="48"/>
          <w:szCs w:val="48"/>
        </w:rPr>
        <w:t>团体标准</w:t>
      </w:r>
    </w:p>
    <w:bookmarkEnd w:id="1"/>
    <w:p w14:paraId="02963007" w14:textId="77777777" w:rsidR="00E06E80" w:rsidRDefault="00E06E80">
      <w:pPr>
        <w:pStyle w:val="af8"/>
        <w:framePr w:wrap="around"/>
        <w:topLinePunct/>
        <w:rPr>
          <w:rFonts w:hAnsi="黑体"/>
        </w:rPr>
      </w:pPr>
    </w:p>
    <w:p w14:paraId="56BD2B86" w14:textId="2DB2C26F" w:rsidR="00E06E80" w:rsidRDefault="00000000">
      <w:pPr>
        <w:pStyle w:val="af8"/>
        <w:framePr w:wrap="around"/>
        <w:topLinePunct/>
      </w:pPr>
      <w:r>
        <w:rPr>
          <w:rFonts w:hAnsi="黑体"/>
        </w:rPr>
        <w:t xml:space="preserve">T/CQEEMA </w:t>
      </w:r>
      <w:r w:rsidR="007039E8">
        <w:rPr>
          <w:rFonts w:hAnsi="黑体"/>
        </w:rPr>
        <w:t>9</w:t>
      </w:r>
      <w:r>
        <w:rPr>
          <w:rFonts w:hAnsi="黑体"/>
        </w:rPr>
        <w:t>—</w:t>
      </w:r>
      <w:r w:rsidR="007039E8">
        <w:rPr>
          <w:rFonts w:hAnsi="黑体"/>
        </w:rPr>
        <w:t>2023</w:t>
      </w:r>
    </w:p>
    <w:p w14:paraId="323B8940" w14:textId="77777777" w:rsidR="00E06E80" w:rsidRDefault="00E06E80">
      <w:pPr>
        <w:pStyle w:val="af9"/>
        <w:framePr w:wrap="around"/>
        <w:topLinePunct/>
        <w:rPr>
          <w:rFonts w:hAnsi="黑体" w:cs="Times New Roman"/>
        </w:rPr>
      </w:pPr>
    </w:p>
    <w:p w14:paraId="310D375D" w14:textId="77777777" w:rsidR="00E06E80" w:rsidRDefault="00000000">
      <w:pPr>
        <w:wordWrap w:val="0"/>
        <w:topLinePunct/>
        <w:ind w:firstLine="420"/>
        <w:rPr>
          <w:rFonts w:ascii="宋体" w:cs="Times New Roman"/>
          <w:sz w:val="28"/>
          <w:szCs w:val="28"/>
        </w:rPr>
        <w:sectPr w:rsidR="00E06E80">
          <w:headerReference w:type="default" r:id="rId8"/>
          <w:headerReference w:type="first" r:id="rId9"/>
          <w:footerReference w:type="first" r:id="rId10"/>
          <w:pgSz w:w="11906" w:h="16838"/>
          <w:pgMar w:top="-338" w:right="1134" w:bottom="1021" w:left="1134" w:header="0" w:footer="0" w:gutter="284"/>
          <w:cols w:space="720"/>
          <w:titlePg/>
          <w:docGrid w:linePitch="312"/>
        </w:sectPr>
      </w:pPr>
      <w:r>
        <w:rPr>
          <w:noProof/>
        </w:rPr>
        <mc:AlternateContent>
          <mc:Choice Requires="wps">
            <w:drawing>
              <wp:anchor distT="0" distB="0" distL="0" distR="0" simplePos="0" relativeHeight="251658240" behindDoc="0" locked="1" layoutInCell="1" allowOverlap="1" wp14:anchorId="0EA3DF46" wp14:editId="3FB948D0">
                <wp:simplePos x="0" y="0"/>
                <wp:positionH relativeFrom="page">
                  <wp:posOffset>899160</wp:posOffset>
                </wp:positionH>
                <wp:positionV relativeFrom="page">
                  <wp:posOffset>9253220</wp:posOffset>
                </wp:positionV>
                <wp:extent cx="6120130" cy="0"/>
                <wp:effectExtent l="0" t="4445" r="0" b="5080"/>
                <wp:wrapNone/>
                <wp:docPr id="1027"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直接连接符 4" o:spid="_x0000_s1026" o:spt="20" style="position:absolute;left:0pt;margin-left:70.8pt;margin-top:728.6pt;height:0pt;width:481.9pt;mso-position-horizontal-relative:page;mso-position-vertical-relative:page;z-index:251660288;mso-width-relative:page;mso-height-relative:page;" filled="f" stroked="t" coordsize="21600,21600" o:gfxdata="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zFQxfYAAAADgEAAA8AAAAAAAAAAQAgAAAAIgAAAGRycy9kb3ducmV2LnhtbFBLAQIU&#10;ABQAAAAIAIdO4kBNuhS98wEAAOUDAAAOAAAAAAAAAAEAIAAAACcBAABkcnMvZTJvRG9jLnhtbFBL&#10;BQYAAAAABgAGAFkBAACMBQAAAAA=&#10;">
                <v:fill on="f" focussize="0,0"/>
                <v:stroke color="#000000" joinstyle="round"/>
                <v:imagedata o:title=""/>
                <o:lock v:ext="edit" aspectratio="f"/>
                <w10:anchorlock/>
              </v:line>
            </w:pict>
          </mc:Fallback>
        </mc:AlternateContent>
      </w:r>
    </w:p>
    <w:p w14:paraId="6311BFD4" w14:textId="77777777" w:rsidR="00E06E80" w:rsidRDefault="00000000">
      <w:pPr>
        <w:pStyle w:val="af5"/>
        <w:wordWrap w:val="0"/>
        <w:topLinePunct/>
        <w:spacing w:after="468"/>
        <w:ind w:firstLineChars="0" w:firstLine="0"/>
        <w:rPr>
          <w:rFonts w:cs="Times New Roman"/>
        </w:rPr>
      </w:pPr>
      <w:bookmarkStart w:id="2" w:name="BookMark1"/>
      <w:r>
        <w:rPr>
          <w:rFonts w:hint="eastAsia"/>
          <w:spacing w:val="320"/>
        </w:rPr>
        <w:lastRenderedPageBreak/>
        <w:t>目</w:t>
      </w:r>
      <w:r>
        <w:rPr>
          <w:rFonts w:hint="eastAsia"/>
        </w:rPr>
        <w:t>次</w:t>
      </w:r>
    </w:p>
    <w:p w14:paraId="3AF90813" w14:textId="77777777" w:rsidR="00E06E80" w:rsidRDefault="00000000">
      <w:pPr>
        <w:pStyle w:val="TOC1"/>
        <w:tabs>
          <w:tab w:val="right" w:leader="dot" w:pos="9354"/>
        </w:tabs>
        <w:ind w:firstLine="420"/>
      </w:pPr>
      <w:r>
        <w:rPr>
          <w:rFonts w:hAnsi="宋体" w:hint="eastAsia"/>
          <w:szCs w:val="21"/>
        </w:rPr>
        <w:fldChar w:fldCharType="begin"/>
      </w:r>
      <w:r>
        <w:rPr>
          <w:rFonts w:hAnsi="宋体" w:hint="eastAsia"/>
          <w:szCs w:val="21"/>
        </w:rPr>
        <w:instrText xml:space="preserve">TOC \o "1-3" \h \u </w:instrText>
      </w:r>
      <w:r>
        <w:rPr>
          <w:rFonts w:hAnsi="宋体" w:hint="eastAsia"/>
          <w:szCs w:val="21"/>
        </w:rPr>
        <w:fldChar w:fldCharType="separate"/>
      </w:r>
      <w:hyperlink w:anchor="_Toc19314" w:history="1">
        <w:r>
          <w:rPr>
            <w:rFonts w:hint="eastAsia"/>
          </w:rPr>
          <w:t>前言</w:t>
        </w:r>
        <w:r>
          <w:tab/>
        </w:r>
        <w:r>
          <w:fldChar w:fldCharType="begin"/>
        </w:r>
        <w:r>
          <w:instrText xml:space="preserve"> PAGEREF _Toc19314 \h </w:instrText>
        </w:r>
        <w:r>
          <w:fldChar w:fldCharType="separate"/>
        </w:r>
        <w:r>
          <w:t>1</w:t>
        </w:r>
        <w:r>
          <w:fldChar w:fldCharType="end"/>
        </w:r>
      </w:hyperlink>
    </w:p>
    <w:p w14:paraId="7EB7957E" w14:textId="77777777" w:rsidR="00E06E80" w:rsidRDefault="00000000">
      <w:pPr>
        <w:pStyle w:val="TOC1"/>
        <w:tabs>
          <w:tab w:val="right" w:leader="dot" w:pos="9354"/>
        </w:tabs>
        <w:ind w:firstLine="420"/>
      </w:pPr>
      <w:hyperlink w:anchor="_Toc12354" w:history="1">
        <w:r>
          <w:t xml:space="preserve">一、 </w:t>
        </w:r>
        <w:r>
          <w:rPr>
            <w:rFonts w:hint="eastAsia"/>
          </w:rPr>
          <w:t>范围</w:t>
        </w:r>
        <w:r>
          <w:tab/>
        </w:r>
        <w:r>
          <w:fldChar w:fldCharType="begin"/>
        </w:r>
        <w:r>
          <w:instrText xml:space="preserve"> PAGEREF _Toc12354 \h </w:instrText>
        </w:r>
        <w:r>
          <w:fldChar w:fldCharType="separate"/>
        </w:r>
        <w:r>
          <w:t>2</w:t>
        </w:r>
        <w:r>
          <w:fldChar w:fldCharType="end"/>
        </w:r>
      </w:hyperlink>
    </w:p>
    <w:p w14:paraId="63EF05BF" w14:textId="77777777" w:rsidR="00E06E80" w:rsidRDefault="00000000">
      <w:pPr>
        <w:pStyle w:val="TOC1"/>
        <w:tabs>
          <w:tab w:val="right" w:leader="dot" w:pos="9354"/>
        </w:tabs>
        <w:ind w:firstLine="420"/>
      </w:pPr>
      <w:hyperlink w:anchor="_Toc23210" w:history="1">
        <w:r>
          <w:t xml:space="preserve">二、 </w:t>
        </w:r>
        <w:r>
          <w:rPr>
            <w:rFonts w:hint="eastAsia"/>
          </w:rPr>
          <w:t>规范性引用文件</w:t>
        </w:r>
        <w:r>
          <w:tab/>
        </w:r>
        <w:r>
          <w:fldChar w:fldCharType="begin"/>
        </w:r>
        <w:r>
          <w:instrText xml:space="preserve"> PAGEREF _Toc23210 \h </w:instrText>
        </w:r>
        <w:r>
          <w:fldChar w:fldCharType="separate"/>
        </w:r>
        <w:r>
          <w:t>2</w:t>
        </w:r>
        <w:r>
          <w:fldChar w:fldCharType="end"/>
        </w:r>
      </w:hyperlink>
    </w:p>
    <w:p w14:paraId="63BC5DB5" w14:textId="77777777" w:rsidR="00E06E80" w:rsidRDefault="00000000">
      <w:pPr>
        <w:pStyle w:val="TOC1"/>
        <w:tabs>
          <w:tab w:val="right" w:leader="dot" w:pos="9354"/>
        </w:tabs>
        <w:ind w:firstLine="420"/>
      </w:pPr>
      <w:hyperlink w:anchor="_Toc27226" w:history="1">
        <w:r>
          <w:t>三、 术语和定义</w:t>
        </w:r>
        <w:r>
          <w:tab/>
        </w:r>
        <w:r>
          <w:fldChar w:fldCharType="begin"/>
        </w:r>
        <w:r>
          <w:instrText xml:space="preserve"> PAGEREF _Toc27226 \h </w:instrText>
        </w:r>
        <w:r>
          <w:fldChar w:fldCharType="separate"/>
        </w:r>
        <w:r>
          <w:t>2</w:t>
        </w:r>
        <w:r>
          <w:fldChar w:fldCharType="end"/>
        </w:r>
      </w:hyperlink>
    </w:p>
    <w:p w14:paraId="4C63C31E" w14:textId="77777777" w:rsidR="00E06E80" w:rsidRDefault="00000000">
      <w:pPr>
        <w:pStyle w:val="TOC1"/>
        <w:tabs>
          <w:tab w:val="right" w:leader="dot" w:pos="9354"/>
        </w:tabs>
        <w:ind w:firstLine="420"/>
      </w:pPr>
      <w:hyperlink w:anchor="_Toc575" w:history="1">
        <w:r>
          <w:t xml:space="preserve">四、 </w:t>
        </w:r>
        <w:r>
          <w:rPr>
            <w:rFonts w:hint="eastAsia"/>
          </w:rPr>
          <w:t>检测业务过程规范要求</w:t>
        </w:r>
        <w:r>
          <w:tab/>
        </w:r>
        <w:r>
          <w:fldChar w:fldCharType="begin"/>
        </w:r>
        <w:r>
          <w:instrText xml:space="preserve"> PAGEREF _Toc575 \h </w:instrText>
        </w:r>
        <w:r>
          <w:fldChar w:fldCharType="separate"/>
        </w:r>
        <w:r>
          <w:t>3</w:t>
        </w:r>
        <w:r>
          <w:fldChar w:fldCharType="end"/>
        </w:r>
      </w:hyperlink>
    </w:p>
    <w:p w14:paraId="2A4131FD" w14:textId="77777777" w:rsidR="00E06E80" w:rsidRDefault="00000000">
      <w:pPr>
        <w:pStyle w:val="TOC2"/>
        <w:tabs>
          <w:tab w:val="clear" w:pos="9344"/>
          <w:tab w:val="right" w:leader="dot" w:pos="9354"/>
        </w:tabs>
        <w:ind w:firstLine="420"/>
      </w:pPr>
      <w:hyperlink w:anchor="_Toc19107" w:history="1">
        <w:r>
          <w:rPr>
            <w:rFonts w:hint="eastAsia"/>
            <w:szCs w:val="21"/>
          </w:rPr>
          <w:t>4.1样品的采集与运输</w:t>
        </w:r>
        <w:r>
          <w:tab/>
        </w:r>
        <w:r>
          <w:fldChar w:fldCharType="begin"/>
        </w:r>
        <w:r>
          <w:instrText xml:space="preserve"> PAGEREF _Toc19107 \h </w:instrText>
        </w:r>
        <w:r>
          <w:fldChar w:fldCharType="separate"/>
        </w:r>
        <w:r>
          <w:t>3</w:t>
        </w:r>
        <w:r>
          <w:fldChar w:fldCharType="end"/>
        </w:r>
      </w:hyperlink>
    </w:p>
    <w:p w14:paraId="22277374" w14:textId="77777777" w:rsidR="00E06E80" w:rsidRDefault="00000000">
      <w:pPr>
        <w:pStyle w:val="TOC2"/>
        <w:tabs>
          <w:tab w:val="clear" w:pos="9344"/>
          <w:tab w:val="right" w:leader="dot" w:pos="9354"/>
        </w:tabs>
        <w:ind w:firstLine="420"/>
      </w:pPr>
      <w:hyperlink w:anchor="_Toc21104" w:history="1">
        <w:r>
          <w:rPr>
            <w:rFonts w:hint="eastAsia"/>
            <w:szCs w:val="21"/>
          </w:rPr>
          <w:t>4.2样品标识</w:t>
        </w:r>
        <w:r>
          <w:tab/>
        </w:r>
        <w:r>
          <w:fldChar w:fldCharType="begin"/>
        </w:r>
        <w:r>
          <w:instrText xml:space="preserve"> PAGEREF _Toc21104 \h </w:instrText>
        </w:r>
        <w:r>
          <w:fldChar w:fldCharType="separate"/>
        </w:r>
        <w:r>
          <w:t>3</w:t>
        </w:r>
        <w:r>
          <w:fldChar w:fldCharType="end"/>
        </w:r>
      </w:hyperlink>
    </w:p>
    <w:p w14:paraId="5E84F9FD" w14:textId="77777777" w:rsidR="00E06E80" w:rsidRDefault="00000000">
      <w:pPr>
        <w:pStyle w:val="TOC2"/>
        <w:tabs>
          <w:tab w:val="clear" w:pos="9344"/>
          <w:tab w:val="right" w:leader="dot" w:pos="9354"/>
        </w:tabs>
        <w:ind w:firstLine="420"/>
      </w:pPr>
      <w:hyperlink w:anchor="_Toc9360" w:history="1">
        <w:r>
          <w:rPr>
            <w:rFonts w:hint="eastAsia"/>
            <w:szCs w:val="21"/>
          </w:rPr>
          <w:t>4.3样品接收和登记</w:t>
        </w:r>
        <w:r>
          <w:tab/>
        </w:r>
        <w:r>
          <w:fldChar w:fldCharType="begin"/>
        </w:r>
        <w:r>
          <w:instrText xml:space="preserve"> PAGEREF _Toc9360 \h </w:instrText>
        </w:r>
        <w:r>
          <w:fldChar w:fldCharType="separate"/>
        </w:r>
        <w:r>
          <w:t>3</w:t>
        </w:r>
        <w:r>
          <w:fldChar w:fldCharType="end"/>
        </w:r>
      </w:hyperlink>
    </w:p>
    <w:p w14:paraId="2E773860" w14:textId="77777777" w:rsidR="00E06E80" w:rsidRDefault="00000000">
      <w:pPr>
        <w:pStyle w:val="TOC2"/>
        <w:tabs>
          <w:tab w:val="clear" w:pos="9344"/>
          <w:tab w:val="right" w:leader="dot" w:pos="9354"/>
        </w:tabs>
        <w:ind w:firstLine="420"/>
      </w:pPr>
      <w:hyperlink w:anchor="_Toc3147" w:history="1">
        <w:r>
          <w:rPr>
            <w:rFonts w:hint="eastAsia"/>
            <w:szCs w:val="21"/>
          </w:rPr>
          <w:t>4.4样品识别与分发</w:t>
        </w:r>
        <w:r>
          <w:tab/>
        </w:r>
        <w:r>
          <w:fldChar w:fldCharType="begin"/>
        </w:r>
        <w:r>
          <w:instrText xml:space="preserve"> PAGEREF _Toc3147 \h </w:instrText>
        </w:r>
        <w:r>
          <w:fldChar w:fldCharType="separate"/>
        </w:r>
        <w:r>
          <w:t>3</w:t>
        </w:r>
        <w:r>
          <w:fldChar w:fldCharType="end"/>
        </w:r>
      </w:hyperlink>
    </w:p>
    <w:p w14:paraId="2EBA9012" w14:textId="77777777" w:rsidR="00E06E80" w:rsidRDefault="00000000">
      <w:pPr>
        <w:pStyle w:val="TOC2"/>
        <w:tabs>
          <w:tab w:val="clear" w:pos="9344"/>
          <w:tab w:val="right" w:leader="dot" w:pos="9354"/>
        </w:tabs>
        <w:ind w:firstLine="420"/>
      </w:pPr>
      <w:hyperlink w:anchor="_Toc10935" w:history="1">
        <w:r>
          <w:rPr>
            <w:rFonts w:hint="eastAsia"/>
            <w:szCs w:val="21"/>
          </w:rPr>
          <w:t>4.5样品流转</w:t>
        </w:r>
        <w:r>
          <w:tab/>
        </w:r>
        <w:r>
          <w:fldChar w:fldCharType="begin"/>
        </w:r>
        <w:r>
          <w:instrText xml:space="preserve"> PAGEREF _Toc10935 \h </w:instrText>
        </w:r>
        <w:r>
          <w:fldChar w:fldCharType="separate"/>
        </w:r>
        <w:r>
          <w:t>3</w:t>
        </w:r>
        <w:r>
          <w:fldChar w:fldCharType="end"/>
        </w:r>
      </w:hyperlink>
    </w:p>
    <w:p w14:paraId="4635CA2C" w14:textId="77777777" w:rsidR="00E06E80" w:rsidRDefault="00000000">
      <w:pPr>
        <w:pStyle w:val="TOC2"/>
        <w:tabs>
          <w:tab w:val="clear" w:pos="9344"/>
          <w:tab w:val="right" w:leader="dot" w:pos="9354"/>
        </w:tabs>
        <w:ind w:firstLine="420"/>
      </w:pPr>
      <w:hyperlink w:anchor="_Toc16072" w:history="1">
        <w:r>
          <w:rPr>
            <w:rFonts w:hint="eastAsia"/>
            <w:szCs w:val="21"/>
          </w:rPr>
          <w:t>4.6分析检测</w:t>
        </w:r>
        <w:r>
          <w:tab/>
        </w:r>
        <w:r>
          <w:fldChar w:fldCharType="begin"/>
        </w:r>
        <w:r>
          <w:instrText xml:space="preserve"> PAGEREF _Toc16072 \h </w:instrText>
        </w:r>
        <w:r>
          <w:fldChar w:fldCharType="separate"/>
        </w:r>
        <w:r>
          <w:t>3</w:t>
        </w:r>
        <w:r>
          <w:fldChar w:fldCharType="end"/>
        </w:r>
      </w:hyperlink>
    </w:p>
    <w:p w14:paraId="1899C657" w14:textId="77777777" w:rsidR="00E06E80" w:rsidRDefault="00000000">
      <w:pPr>
        <w:pStyle w:val="TOC2"/>
        <w:tabs>
          <w:tab w:val="clear" w:pos="9344"/>
          <w:tab w:val="right" w:leader="dot" w:pos="9354"/>
        </w:tabs>
        <w:ind w:firstLine="420"/>
      </w:pPr>
      <w:hyperlink w:anchor="_Toc9223" w:history="1">
        <w:r>
          <w:rPr>
            <w:rFonts w:hint="eastAsia"/>
            <w:szCs w:val="21"/>
          </w:rPr>
          <w:t>4.7质量控制</w:t>
        </w:r>
        <w:r>
          <w:tab/>
        </w:r>
        <w:r>
          <w:fldChar w:fldCharType="begin"/>
        </w:r>
        <w:r>
          <w:instrText xml:space="preserve"> PAGEREF _Toc9223 \h </w:instrText>
        </w:r>
        <w:r>
          <w:fldChar w:fldCharType="separate"/>
        </w:r>
        <w:r>
          <w:t>4</w:t>
        </w:r>
        <w:r>
          <w:fldChar w:fldCharType="end"/>
        </w:r>
      </w:hyperlink>
    </w:p>
    <w:p w14:paraId="5E5AAE9A" w14:textId="77777777" w:rsidR="00E06E80" w:rsidRDefault="00000000">
      <w:pPr>
        <w:pStyle w:val="TOC2"/>
        <w:tabs>
          <w:tab w:val="clear" w:pos="9344"/>
          <w:tab w:val="right" w:leader="dot" w:pos="9354"/>
        </w:tabs>
        <w:ind w:firstLine="420"/>
      </w:pPr>
      <w:hyperlink w:anchor="_Toc423" w:history="1">
        <w:r>
          <w:rPr>
            <w:rFonts w:hint="eastAsia"/>
          </w:rPr>
          <w:t>4.8三级审核</w:t>
        </w:r>
        <w:r>
          <w:tab/>
        </w:r>
        <w:r>
          <w:fldChar w:fldCharType="begin"/>
        </w:r>
        <w:r>
          <w:instrText xml:space="preserve"> PAGEREF _Toc423 \h </w:instrText>
        </w:r>
        <w:r>
          <w:fldChar w:fldCharType="separate"/>
        </w:r>
        <w:r>
          <w:t>4</w:t>
        </w:r>
        <w:r>
          <w:fldChar w:fldCharType="end"/>
        </w:r>
      </w:hyperlink>
    </w:p>
    <w:p w14:paraId="57E93039" w14:textId="77777777" w:rsidR="00E06E80" w:rsidRDefault="00000000">
      <w:pPr>
        <w:pStyle w:val="TOC2"/>
        <w:tabs>
          <w:tab w:val="clear" w:pos="9344"/>
          <w:tab w:val="right" w:leader="dot" w:pos="9354"/>
        </w:tabs>
        <w:ind w:firstLine="420"/>
      </w:pPr>
      <w:hyperlink w:anchor="_Toc11166" w:history="1">
        <w:r>
          <w:rPr>
            <w:rFonts w:hint="eastAsia"/>
          </w:rPr>
          <w:t>4.9检测报告</w:t>
        </w:r>
        <w:r>
          <w:tab/>
        </w:r>
        <w:r>
          <w:fldChar w:fldCharType="begin"/>
        </w:r>
        <w:r>
          <w:instrText xml:space="preserve"> PAGEREF _Toc11166 \h </w:instrText>
        </w:r>
        <w:r>
          <w:fldChar w:fldCharType="separate"/>
        </w:r>
        <w:r>
          <w:t>4</w:t>
        </w:r>
        <w:r>
          <w:fldChar w:fldCharType="end"/>
        </w:r>
      </w:hyperlink>
    </w:p>
    <w:p w14:paraId="27EBD23A" w14:textId="77777777" w:rsidR="00E06E80" w:rsidRDefault="00000000">
      <w:pPr>
        <w:pStyle w:val="TOC1"/>
        <w:tabs>
          <w:tab w:val="right" w:leader="dot" w:pos="9354"/>
        </w:tabs>
        <w:ind w:firstLine="420"/>
      </w:pPr>
      <w:hyperlink w:anchor="_Toc25703" w:history="1">
        <w:r>
          <w:t xml:space="preserve">五、 </w:t>
        </w:r>
        <w:r>
          <w:rPr>
            <w:rFonts w:hint="eastAsia"/>
          </w:rPr>
          <w:t>运行管理要求</w:t>
        </w:r>
        <w:r>
          <w:tab/>
        </w:r>
        <w:r>
          <w:fldChar w:fldCharType="begin"/>
        </w:r>
        <w:r>
          <w:instrText xml:space="preserve"> PAGEREF _Toc25703 \h </w:instrText>
        </w:r>
        <w:r>
          <w:fldChar w:fldCharType="separate"/>
        </w:r>
        <w:r>
          <w:t>4</w:t>
        </w:r>
        <w:r>
          <w:fldChar w:fldCharType="end"/>
        </w:r>
      </w:hyperlink>
    </w:p>
    <w:p w14:paraId="1CECB48B" w14:textId="77777777" w:rsidR="00E06E80" w:rsidRDefault="00000000">
      <w:pPr>
        <w:pStyle w:val="TOC2"/>
        <w:tabs>
          <w:tab w:val="clear" w:pos="9344"/>
          <w:tab w:val="right" w:leader="dot" w:pos="9354"/>
        </w:tabs>
        <w:ind w:firstLine="420"/>
      </w:pPr>
      <w:hyperlink w:anchor="_Toc22641" w:history="1">
        <w:r>
          <w:rPr>
            <w:rFonts w:hint="eastAsia"/>
          </w:rPr>
          <w:t>5.1设备/方法管理</w:t>
        </w:r>
        <w:r>
          <w:tab/>
        </w:r>
        <w:r>
          <w:fldChar w:fldCharType="begin"/>
        </w:r>
        <w:r>
          <w:instrText xml:space="preserve"> PAGEREF _Toc22641 \h </w:instrText>
        </w:r>
        <w:r>
          <w:fldChar w:fldCharType="separate"/>
        </w:r>
        <w:r>
          <w:t>4</w:t>
        </w:r>
        <w:r>
          <w:fldChar w:fldCharType="end"/>
        </w:r>
      </w:hyperlink>
    </w:p>
    <w:p w14:paraId="3FD6F82F" w14:textId="77777777" w:rsidR="00E06E80" w:rsidRDefault="00000000">
      <w:pPr>
        <w:pStyle w:val="TOC2"/>
        <w:tabs>
          <w:tab w:val="clear" w:pos="9344"/>
          <w:tab w:val="right" w:leader="dot" w:pos="9354"/>
        </w:tabs>
        <w:ind w:firstLine="420"/>
      </w:pPr>
      <w:hyperlink w:anchor="_Toc6609" w:history="1">
        <w:r>
          <w:rPr>
            <w:rFonts w:hint="eastAsia"/>
          </w:rPr>
          <w:t>5.2试剂/标液管理</w:t>
        </w:r>
        <w:r>
          <w:tab/>
        </w:r>
        <w:r>
          <w:fldChar w:fldCharType="begin"/>
        </w:r>
        <w:r>
          <w:instrText xml:space="preserve"> PAGEREF _Toc6609 \h </w:instrText>
        </w:r>
        <w:r>
          <w:fldChar w:fldCharType="separate"/>
        </w:r>
        <w:r>
          <w:t>5</w:t>
        </w:r>
        <w:r>
          <w:fldChar w:fldCharType="end"/>
        </w:r>
      </w:hyperlink>
    </w:p>
    <w:p w14:paraId="34FC0C0D" w14:textId="77777777" w:rsidR="00E06E80" w:rsidRDefault="00000000">
      <w:pPr>
        <w:pStyle w:val="TOC2"/>
        <w:tabs>
          <w:tab w:val="clear" w:pos="9344"/>
          <w:tab w:val="right" w:leader="dot" w:pos="9354"/>
        </w:tabs>
        <w:ind w:firstLine="420"/>
      </w:pPr>
      <w:hyperlink w:anchor="_Toc21289" w:history="1">
        <w:r>
          <w:rPr>
            <w:rFonts w:hint="eastAsia"/>
          </w:rPr>
          <w:t>5.3环境设施管理</w:t>
        </w:r>
        <w:r>
          <w:tab/>
        </w:r>
        <w:r>
          <w:fldChar w:fldCharType="begin"/>
        </w:r>
        <w:r>
          <w:instrText xml:space="preserve"> PAGEREF _Toc21289 \h </w:instrText>
        </w:r>
        <w:r>
          <w:fldChar w:fldCharType="separate"/>
        </w:r>
        <w:r>
          <w:t>5</w:t>
        </w:r>
        <w:r>
          <w:fldChar w:fldCharType="end"/>
        </w:r>
      </w:hyperlink>
    </w:p>
    <w:p w14:paraId="4467148E" w14:textId="77777777" w:rsidR="00E06E80" w:rsidRDefault="00000000">
      <w:pPr>
        <w:pStyle w:val="TOC2"/>
        <w:tabs>
          <w:tab w:val="clear" w:pos="9344"/>
          <w:tab w:val="right" w:leader="dot" w:pos="9354"/>
        </w:tabs>
        <w:ind w:firstLine="420"/>
      </w:pPr>
      <w:hyperlink w:anchor="_Toc27876" w:history="1">
        <w:r>
          <w:rPr>
            <w:rFonts w:hint="eastAsia"/>
          </w:rPr>
          <w:t>5.4平台管理</w:t>
        </w:r>
        <w:r>
          <w:tab/>
        </w:r>
        <w:r>
          <w:fldChar w:fldCharType="begin"/>
        </w:r>
        <w:r>
          <w:instrText xml:space="preserve"> PAGEREF _Toc27876 \h </w:instrText>
        </w:r>
        <w:r>
          <w:fldChar w:fldCharType="separate"/>
        </w:r>
        <w:r>
          <w:t>6</w:t>
        </w:r>
        <w:r>
          <w:fldChar w:fldCharType="end"/>
        </w:r>
      </w:hyperlink>
    </w:p>
    <w:p w14:paraId="418C7084" w14:textId="77777777" w:rsidR="00E06E80" w:rsidRDefault="00000000">
      <w:pPr>
        <w:pStyle w:val="TOC2"/>
        <w:tabs>
          <w:tab w:val="clear" w:pos="9344"/>
          <w:tab w:val="right" w:leader="dot" w:pos="9354"/>
        </w:tabs>
        <w:ind w:firstLine="420"/>
      </w:pPr>
      <w:hyperlink w:anchor="_Toc21468" w:history="1">
        <w:r>
          <w:rPr>
            <w:rFonts w:hint="eastAsia"/>
          </w:rPr>
          <w:t>5.5文件记录要求</w:t>
        </w:r>
        <w:r>
          <w:tab/>
        </w:r>
        <w:r>
          <w:fldChar w:fldCharType="begin"/>
        </w:r>
        <w:r>
          <w:instrText xml:space="preserve"> PAGEREF _Toc21468 \h </w:instrText>
        </w:r>
        <w:r>
          <w:fldChar w:fldCharType="separate"/>
        </w:r>
        <w:r>
          <w:t>6</w:t>
        </w:r>
        <w:r>
          <w:fldChar w:fldCharType="end"/>
        </w:r>
      </w:hyperlink>
    </w:p>
    <w:p w14:paraId="43C54521" w14:textId="77777777" w:rsidR="00E06E80" w:rsidRDefault="00000000">
      <w:pPr>
        <w:pStyle w:val="TOC1"/>
        <w:tabs>
          <w:tab w:val="right" w:leader="dot" w:pos="9354"/>
        </w:tabs>
        <w:ind w:firstLine="420"/>
      </w:pPr>
      <w:hyperlink w:anchor="_Toc12843" w:history="1">
        <w:r>
          <w:t>六、 维护</w:t>
        </w:r>
        <w:r>
          <w:rPr>
            <w:rFonts w:hint="eastAsia"/>
          </w:rPr>
          <w:t>管理要求</w:t>
        </w:r>
        <w:r>
          <w:tab/>
        </w:r>
        <w:r>
          <w:fldChar w:fldCharType="begin"/>
        </w:r>
        <w:r>
          <w:instrText xml:space="preserve"> PAGEREF _Toc12843 \h </w:instrText>
        </w:r>
        <w:r>
          <w:fldChar w:fldCharType="separate"/>
        </w:r>
        <w:r>
          <w:t>7</w:t>
        </w:r>
        <w:r>
          <w:fldChar w:fldCharType="end"/>
        </w:r>
      </w:hyperlink>
    </w:p>
    <w:p w14:paraId="01F9E047" w14:textId="77777777" w:rsidR="00E06E80" w:rsidRDefault="00000000">
      <w:pPr>
        <w:pStyle w:val="TOC2"/>
        <w:tabs>
          <w:tab w:val="clear" w:pos="9344"/>
          <w:tab w:val="right" w:leader="dot" w:pos="9354"/>
        </w:tabs>
        <w:ind w:firstLine="420"/>
      </w:pPr>
      <w:hyperlink w:anchor="_Toc3719" w:history="1">
        <w:r>
          <w:rPr>
            <w:rFonts w:hint="eastAsia"/>
          </w:rPr>
          <w:t>6.1日常维护</w:t>
        </w:r>
        <w:r>
          <w:tab/>
        </w:r>
        <w:r>
          <w:fldChar w:fldCharType="begin"/>
        </w:r>
        <w:r>
          <w:instrText xml:space="preserve"> PAGEREF _Toc3719 \h </w:instrText>
        </w:r>
        <w:r>
          <w:fldChar w:fldCharType="separate"/>
        </w:r>
        <w:r>
          <w:t>7</w:t>
        </w:r>
        <w:r>
          <w:fldChar w:fldCharType="end"/>
        </w:r>
      </w:hyperlink>
    </w:p>
    <w:p w14:paraId="6A1DBCBC" w14:textId="77777777" w:rsidR="00E06E80" w:rsidRDefault="00000000">
      <w:pPr>
        <w:pStyle w:val="TOC2"/>
        <w:tabs>
          <w:tab w:val="clear" w:pos="9344"/>
          <w:tab w:val="right" w:leader="dot" w:pos="9354"/>
        </w:tabs>
        <w:ind w:firstLine="420"/>
      </w:pPr>
      <w:hyperlink w:anchor="_Toc16583" w:history="1">
        <w:r>
          <w:rPr>
            <w:rFonts w:hint="eastAsia"/>
          </w:rPr>
          <w:t>6.2保养维护</w:t>
        </w:r>
        <w:r>
          <w:tab/>
        </w:r>
        <w:r>
          <w:fldChar w:fldCharType="begin"/>
        </w:r>
        <w:r>
          <w:instrText xml:space="preserve"> PAGEREF _Toc16583 \h </w:instrText>
        </w:r>
        <w:r>
          <w:fldChar w:fldCharType="separate"/>
        </w:r>
        <w:r>
          <w:t>7</w:t>
        </w:r>
        <w:r>
          <w:fldChar w:fldCharType="end"/>
        </w:r>
      </w:hyperlink>
    </w:p>
    <w:p w14:paraId="11DE7A4E" w14:textId="77777777" w:rsidR="00E06E80" w:rsidRDefault="00000000">
      <w:pPr>
        <w:pStyle w:val="TOC2"/>
        <w:tabs>
          <w:tab w:val="clear" w:pos="9344"/>
          <w:tab w:val="right" w:leader="dot" w:pos="9354"/>
        </w:tabs>
        <w:ind w:firstLine="420"/>
      </w:pPr>
      <w:hyperlink w:anchor="_Toc3196" w:history="1">
        <w:r>
          <w:rPr>
            <w:rFonts w:hint="eastAsia"/>
          </w:rPr>
          <w:t>6.3故障检修</w:t>
        </w:r>
        <w:r>
          <w:tab/>
        </w:r>
        <w:r>
          <w:fldChar w:fldCharType="begin"/>
        </w:r>
        <w:r>
          <w:instrText xml:space="preserve"> PAGEREF _Toc3196 \h </w:instrText>
        </w:r>
        <w:r>
          <w:fldChar w:fldCharType="separate"/>
        </w:r>
        <w:r>
          <w:t>8</w:t>
        </w:r>
        <w:r>
          <w:fldChar w:fldCharType="end"/>
        </w:r>
      </w:hyperlink>
    </w:p>
    <w:p w14:paraId="1F06AC13" w14:textId="77777777" w:rsidR="00E06E80" w:rsidRDefault="00000000">
      <w:pPr>
        <w:pStyle w:val="TOC1"/>
        <w:tabs>
          <w:tab w:val="right" w:leader="dot" w:pos="9354"/>
        </w:tabs>
        <w:ind w:firstLine="420"/>
      </w:pPr>
      <w:hyperlink w:anchor="_Toc6316" w:history="1">
        <w:r>
          <w:rPr>
            <w:rFonts w:hint="eastAsia"/>
            <w:szCs w:val="32"/>
          </w:rPr>
          <w:t xml:space="preserve">七、 </w:t>
        </w:r>
        <w:r>
          <w:t>附件</w:t>
        </w:r>
        <w:r>
          <w:tab/>
        </w:r>
        <w:r>
          <w:fldChar w:fldCharType="begin"/>
        </w:r>
        <w:r>
          <w:instrText xml:space="preserve"> PAGEREF _Toc6316 \h </w:instrText>
        </w:r>
        <w:r>
          <w:fldChar w:fldCharType="separate"/>
        </w:r>
        <w:r>
          <w:t>9</w:t>
        </w:r>
        <w:r>
          <w:fldChar w:fldCharType="end"/>
        </w:r>
      </w:hyperlink>
    </w:p>
    <w:p w14:paraId="5E040F0C" w14:textId="77777777" w:rsidR="00E06E80" w:rsidRDefault="00000000">
      <w:pPr>
        <w:pStyle w:val="af5"/>
        <w:wordWrap w:val="0"/>
        <w:topLinePunct/>
        <w:spacing w:after="468"/>
        <w:ind w:firstLine="640"/>
        <w:rPr>
          <w:rFonts w:ascii="宋体" w:eastAsia="宋体" w:hAnsi="宋体" w:cs="宋体"/>
          <w:sz w:val="21"/>
          <w:szCs w:val="21"/>
        </w:rPr>
        <w:sectPr w:rsidR="00E06E80">
          <w:headerReference w:type="default" r:id="rId11"/>
          <w:footerReference w:type="default" r:id="rId12"/>
          <w:pgSz w:w="11906" w:h="16838"/>
          <w:pgMar w:top="1871" w:right="1134" w:bottom="1134" w:left="1134" w:header="1418" w:footer="1134" w:gutter="284"/>
          <w:pgNumType w:fmt="upperRoman" w:start="1"/>
          <w:cols w:space="720"/>
          <w:docGrid w:type="lines" w:linePitch="312"/>
        </w:sectPr>
      </w:pPr>
      <w:r>
        <w:rPr>
          <w:rFonts w:ascii="宋体" w:eastAsia="宋体" w:hAnsi="宋体" w:cs="宋体" w:hint="eastAsia"/>
          <w:szCs w:val="21"/>
        </w:rPr>
        <w:fldChar w:fldCharType="end"/>
      </w:r>
    </w:p>
    <w:p w14:paraId="5CC21766" w14:textId="77777777" w:rsidR="00E06E80" w:rsidRDefault="00000000">
      <w:pPr>
        <w:pStyle w:val="a"/>
        <w:numPr>
          <w:ilvl w:val="0"/>
          <w:numId w:val="0"/>
        </w:numPr>
      </w:pPr>
      <w:bookmarkStart w:id="3" w:name="_Toc19314"/>
      <w:bookmarkStart w:id="4" w:name="_Toc68021517"/>
      <w:bookmarkStart w:id="5" w:name="_Hlk68012251"/>
      <w:bookmarkEnd w:id="2"/>
      <w:r>
        <w:rPr>
          <w:rFonts w:hint="eastAsia"/>
        </w:rPr>
        <w:lastRenderedPageBreak/>
        <w:t>前言</w:t>
      </w:r>
      <w:bookmarkEnd w:id="3"/>
      <w:bookmarkEnd w:id="4"/>
    </w:p>
    <w:bookmarkEnd w:id="5"/>
    <w:p w14:paraId="1D088E4E" w14:textId="77777777" w:rsidR="00E06E80" w:rsidRDefault="00000000">
      <w:pPr>
        <w:widowControl/>
        <w:wordWrap w:val="0"/>
        <w:topLinePunct/>
        <w:autoSpaceDE w:val="0"/>
        <w:autoSpaceDN w:val="0"/>
        <w:spacing w:line="360" w:lineRule="auto"/>
        <w:ind w:firstLine="420"/>
        <w:textAlignment w:val="baseline"/>
        <w:rPr>
          <w:rFonts w:ascii="宋体" w:hAnsi="宋体"/>
          <w:szCs w:val="21"/>
        </w:rPr>
      </w:pPr>
      <w:r>
        <w:rPr>
          <w:rFonts w:ascii="宋体" w:hAnsi="宋体" w:hint="eastAsia"/>
          <w:szCs w:val="21"/>
        </w:rPr>
        <w:t>本文件按照GB/T 1.1—2020《标准化工作导则 第1部分：标准化文件的结构和起草规则》的规定起草。</w:t>
      </w:r>
    </w:p>
    <w:p w14:paraId="6C480F8A" w14:textId="77777777" w:rsidR="00E06E80" w:rsidRDefault="00000000">
      <w:pPr>
        <w:pStyle w:val="af3"/>
        <w:wordWrap w:val="0"/>
        <w:topLinePunct/>
        <w:spacing w:line="360" w:lineRule="auto"/>
        <w:ind w:firstLine="420"/>
      </w:pPr>
      <w:r>
        <w:rPr>
          <w:rFonts w:hint="eastAsia"/>
        </w:rPr>
        <w:t>请注意本文件的某些内容可能涉及专利。本文件的发布机构不承担识别专利的责任。</w:t>
      </w:r>
    </w:p>
    <w:p w14:paraId="23890CBB" w14:textId="77777777" w:rsidR="00E06E80" w:rsidRDefault="00000000">
      <w:pPr>
        <w:pStyle w:val="af3"/>
        <w:wordWrap w:val="0"/>
        <w:topLinePunct/>
        <w:spacing w:line="360" w:lineRule="auto"/>
        <w:ind w:firstLine="420"/>
      </w:pPr>
      <w:r>
        <w:rPr>
          <w:rFonts w:hint="eastAsia"/>
        </w:rPr>
        <w:t>本文件由重庆市生态环境监测协会提出并归口。</w:t>
      </w:r>
    </w:p>
    <w:p w14:paraId="5BBA357A" w14:textId="77777777" w:rsidR="00E06E80" w:rsidRDefault="00000000">
      <w:pPr>
        <w:pStyle w:val="af3"/>
        <w:wordWrap w:val="0"/>
        <w:topLinePunct/>
        <w:spacing w:line="360" w:lineRule="auto"/>
        <w:ind w:firstLine="420"/>
      </w:pPr>
      <w:r>
        <w:rPr>
          <w:rFonts w:hint="eastAsia"/>
        </w:rPr>
        <w:t>本文件起草单位：</w:t>
      </w:r>
      <w:r>
        <w:rPr>
          <w:rFonts w:ascii="Times New Roman" w:cs="Times New Roman" w:hint="eastAsia"/>
        </w:rPr>
        <w:t>重庆市生态环境监测中心、力合科技（湖南）股份有限公司、</w:t>
      </w:r>
      <w:proofErr w:type="gramStart"/>
      <w:r>
        <w:rPr>
          <w:rFonts w:ascii="Times New Roman" w:cs="Times New Roman" w:hint="eastAsia"/>
        </w:rPr>
        <w:t>重庆渝胜道</w:t>
      </w:r>
      <w:proofErr w:type="gramEnd"/>
      <w:r>
        <w:rPr>
          <w:rFonts w:ascii="Times New Roman" w:cs="Times New Roman" w:hint="eastAsia"/>
        </w:rPr>
        <w:t>科智能科技有限公司、湖南力合检测技术服务有限公司。</w:t>
      </w:r>
    </w:p>
    <w:p w14:paraId="11A27778" w14:textId="77777777" w:rsidR="00E06E80" w:rsidRDefault="00000000">
      <w:pPr>
        <w:pStyle w:val="af3"/>
        <w:spacing w:line="360" w:lineRule="auto"/>
        <w:ind w:firstLine="420"/>
        <w:rPr>
          <w:rFonts w:hAnsi="宋体"/>
        </w:rPr>
      </w:pPr>
      <w:r>
        <w:rPr>
          <w:rFonts w:hAnsi="宋体" w:hint="eastAsia"/>
        </w:rPr>
        <w:t>本文件主要起草人：张晓岭、刘强、胡勇、蒙良庆、谭栋</w:t>
      </w:r>
      <w:proofErr w:type="gramStart"/>
      <w:r>
        <w:rPr>
          <w:rFonts w:hAnsi="宋体" w:hint="eastAsia"/>
        </w:rPr>
        <w:t>枥</w:t>
      </w:r>
      <w:proofErr w:type="gramEnd"/>
      <w:r>
        <w:rPr>
          <w:rFonts w:hAnsi="宋体" w:hint="eastAsia"/>
        </w:rPr>
        <w:t>、杨兵、吴庆梅、熊强、龚玲、肖婷、谭振华、赵行文、杨川云、张文阳</w:t>
      </w:r>
      <w:r>
        <w:rPr>
          <w:rFonts w:ascii="Times New Roman" w:cs="Times New Roman" w:hint="eastAsia"/>
        </w:rPr>
        <w:t>。</w:t>
      </w:r>
    </w:p>
    <w:p w14:paraId="20CDEA85" w14:textId="77777777" w:rsidR="00E06E80" w:rsidRDefault="00000000">
      <w:pPr>
        <w:pStyle w:val="af3"/>
        <w:wordWrap w:val="0"/>
        <w:topLinePunct/>
        <w:spacing w:line="360" w:lineRule="auto"/>
        <w:ind w:firstLine="420"/>
      </w:pPr>
      <w:r>
        <w:rPr>
          <w:rFonts w:hint="eastAsia"/>
        </w:rPr>
        <w:t>本文件在执行过程中的意见或建议反馈至重庆市生态环境监测协会质量标准工作委员会。</w:t>
      </w:r>
    </w:p>
    <w:p w14:paraId="16AAC570" w14:textId="77777777" w:rsidR="00E06E80" w:rsidRDefault="00000000">
      <w:pPr>
        <w:pStyle w:val="af3"/>
        <w:wordWrap w:val="0"/>
        <w:topLinePunct/>
        <w:spacing w:line="360" w:lineRule="auto"/>
        <w:ind w:firstLine="420"/>
        <w:rPr>
          <w:rFonts w:cs="Times New Roman"/>
        </w:rPr>
      </w:pPr>
      <w:r>
        <w:rPr>
          <w:rFonts w:hint="eastAsia"/>
        </w:rPr>
        <w:t>本文件为首次发布。</w:t>
      </w:r>
    </w:p>
    <w:p w14:paraId="30651A5A" w14:textId="77777777" w:rsidR="00E06E80" w:rsidRDefault="00000000">
      <w:pPr>
        <w:ind w:firstLine="602"/>
        <w:rPr>
          <w:b/>
          <w:bCs/>
          <w:sz w:val="30"/>
          <w:szCs w:val="30"/>
        </w:rPr>
      </w:pPr>
      <w:r>
        <w:rPr>
          <w:rFonts w:hint="eastAsia"/>
          <w:b/>
          <w:bCs/>
          <w:sz w:val="30"/>
          <w:szCs w:val="30"/>
        </w:rPr>
        <w:br w:type="page"/>
      </w:r>
    </w:p>
    <w:p w14:paraId="31B0BF2B" w14:textId="77777777" w:rsidR="00E06E80" w:rsidRDefault="00000000">
      <w:pPr>
        <w:spacing w:line="480" w:lineRule="auto"/>
        <w:ind w:firstLineChars="0" w:firstLine="0"/>
        <w:jc w:val="center"/>
        <w:rPr>
          <w:b/>
          <w:bCs/>
          <w:sz w:val="30"/>
          <w:szCs w:val="30"/>
        </w:rPr>
      </w:pPr>
      <w:r>
        <w:rPr>
          <w:rFonts w:hint="eastAsia"/>
          <w:b/>
          <w:bCs/>
          <w:sz w:val="30"/>
          <w:szCs w:val="30"/>
        </w:rPr>
        <w:lastRenderedPageBreak/>
        <w:t>自动化水质检测实验室运行管理规范</w:t>
      </w:r>
    </w:p>
    <w:p w14:paraId="64A2B19B" w14:textId="77777777" w:rsidR="00E06E80" w:rsidRDefault="00000000">
      <w:pPr>
        <w:pStyle w:val="1"/>
      </w:pPr>
      <w:bookmarkStart w:id="6" w:name="_Toc12354"/>
      <w:r>
        <w:rPr>
          <w:rFonts w:hint="eastAsia"/>
        </w:rPr>
        <w:t>范围</w:t>
      </w:r>
      <w:bookmarkEnd w:id="6"/>
    </w:p>
    <w:p w14:paraId="5084711B" w14:textId="77777777" w:rsidR="00E06E80" w:rsidRDefault="00000000">
      <w:pPr>
        <w:ind w:firstLine="420"/>
        <w:rPr>
          <w:szCs w:val="21"/>
        </w:rPr>
      </w:pPr>
      <w:r>
        <w:rPr>
          <w:rFonts w:hint="eastAsia"/>
          <w:szCs w:val="21"/>
        </w:rPr>
        <w:t>本规范规定了自动化水质检测实验室在开展检测、运行管理和维护保养等方面的规范要求。适用于生活饮用水、地表水、地下水的自动化水质检测实验室的运行质量管理。</w:t>
      </w:r>
    </w:p>
    <w:p w14:paraId="03F404EF" w14:textId="77777777" w:rsidR="00E06E80" w:rsidRDefault="00000000">
      <w:pPr>
        <w:ind w:firstLine="420"/>
        <w:rPr>
          <w:szCs w:val="21"/>
        </w:rPr>
      </w:pPr>
      <w:r>
        <w:rPr>
          <w:rFonts w:hint="eastAsia"/>
          <w:szCs w:val="21"/>
        </w:rPr>
        <w:t>如无特殊说明，本规范中以“实验室”代指“自动化水质检测实验室”。</w:t>
      </w:r>
    </w:p>
    <w:p w14:paraId="436DFC6C" w14:textId="77777777" w:rsidR="00E06E80" w:rsidRDefault="00E06E80">
      <w:pPr>
        <w:pStyle w:val="2"/>
      </w:pPr>
    </w:p>
    <w:p w14:paraId="6D798C87" w14:textId="77777777" w:rsidR="00E06E80" w:rsidRDefault="00000000">
      <w:pPr>
        <w:pStyle w:val="1"/>
      </w:pPr>
      <w:bookmarkStart w:id="7" w:name="_Toc23210"/>
      <w:r>
        <w:rPr>
          <w:rFonts w:hint="eastAsia"/>
        </w:rPr>
        <w:t>规范性引用文件</w:t>
      </w:r>
      <w:bookmarkEnd w:id="7"/>
    </w:p>
    <w:p w14:paraId="6B111A51" w14:textId="77777777" w:rsidR="00E06E80" w:rsidRDefault="00000000">
      <w:pPr>
        <w:ind w:firstLine="420"/>
        <w:rPr>
          <w:szCs w:val="21"/>
        </w:rPr>
      </w:pPr>
      <w:r>
        <w:rPr>
          <w:rFonts w:hint="eastAsia"/>
          <w:szCs w:val="21"/>
        </w:rPr>
        <w:t>本规范引用了下列文件或其中的条款。凡是未注日期的引用文件，其有效版本</w:t>
      </w:r>
      <w:r>
        <w:rPr>
          <w:rFonts w:hint="eastAsia"/>
          <w:szCs w:val="21"/>
        </w:rPr>
        <w:t>(</w:t>
      </w:r>
      <w:r>
        <w:rPr>
          <w:rFonts w:hint="eastAsia"/>
          <w:szCs w:val="21"/>
        </w:rPr>
        <w:t>包括所有的修改单</w:t>
      </w:r>
      <w:r>
        <w:rPr>
          <w:rFonts w:hint="eastAsia"/>
          <w:szCs w:val="21"/>
        </w:rPr>
        <w:t>)</w:t>
      </w:r>
      <w:r>
        <w:rPr>
          <w:rFonts w:hint="eastAsia"/>
          <w:szCs w:val="21"/>
        </w:rPr>
        <w:t>适用于本规范。</w:t>
      </w:r>
    </w:p>
    <w:p w14:paraId="0A2B7843" w14:textId="77777777" w:rsidR="00E06E80" w:rsidRDefault="00000000">
      <w:pPr>
        <w:ind w:firstLine="420"/>
        <w:rPr>
          <w:rFonts w:ascii="Times New Roman" w:hAnsi="Times New Roman" w:cs="Times New Roman"/>
          <w:szCs w:val="21"/>
        </w:rPr>
      </w:pPr>
      <w:r>
        <w:rPr>
          <w:rFonts w:ascii="Times New Roman" w:hAnsi="Times New Roman" w:cs="Times New Roman"/>
          <w:szCs w:val="21"/>
        </w:rPr>
        <w:t xml:space="preserve">HJ 630       </w:t>
      </w:r>
      <w:r>
        <w:rPr>
          <w:rFonts w:ascii="Times New Roman" w:hAnsi="Times New Roman" w:cs="Times New Roman"/>
          <w:szCs w:val="21"/>
        </w:rPr>
        <w:t>环境监测质量管理技术导则</w:t>
      </w:r>
    </w:p>
    <w:p w14:paraId="40B145EE" w14:textId="77777777" w:rsidR="00E06E80" w:rsidRDefault="00000000">
      <w:pPr>
        <w:ind w:firstLine="420"/>
        <w:rPr>
          <w:rFonts w:ascii="Times New Roman" w:hAnsi="Times New Roman" w:cs="Times New Roman"/>
          <w:szCs w:val="21"/>
        </w:rPr>
      </w:pPr>
      <w:r>
        <w:rPr>
          <w:rFonts w:ascii="Times New Roman" w:hAnsi="Times New Roman" w:cs="Times New Roman"/>
          <w:szCs w:val="21"/>
        </w:rPr>
        <w:t xml:space="preserve">RB/T 214     </w:t>
      </w:r>
      <w:r>
        <w:rPr>
          <w:rFonts w:ascii="Times New Roman" w:hAnsi="Times New Roman" w:cs="Times New Roman"/>
          <w:szCs w:val="21"/>
        </w:rPr>
        <w:t>检验检测机构资质认定能力评价</w:t>
      </w:r>
      <w:r>
        <w:rPr>
          <w:rFonts w:ascii="Times New Roman" w:hAnsi="Times New Roman" w:cs="Times New Roman"/>
          <w:szCs w:val="21"/>
        </w:rPr>
        <w:t xml:space="preserve"> </w:t>
      </w:r>
      <w:r>
        <w:rPr>
          <w:rFonts w:ascii="Times New Roman" w:hAnsi="Times New Roman" w:cs="Times New Roman"/>
          <w:szCs w:val="21"/>
        </w:rPr>
        <w:t>检验检测机构通用要求</w:t>
      </w:r>
    </w:p>
    <w:p w14:paraId="6BD4A003" w14:textId="77777777" w:rsidR="00E06E80" w:rsidRDefault="00000000">
      <w:pPr>
        <w:ind w:firstLine="420"/>
        <w:rPr>
          <w:rFonts w:ascii="Times New Roman" w:hAnsi="Times New Roman" w:cs="Times New Roman"/>
          <w:szCs w:val="21"/>
        </w:rPr>
      </w:pPr>
      <w:r>
        <w:rPr>
          <w:rFonts w:ascii="Times New Roman" w:hAnsi="Times New Roman" w:cs="Times New Roman"/>
          <w:szCs w:val="21"/>
        </w:rPr>
        <w:t xml:space="preserve">HJ 168       </w:t>
      </w:r>
      <w:r>
        <w:rPr>
          <w:rFonts w:ascii="Times New Roman" w:hAnsi="Times New Roman" w:cs="Times New Roman"/>
          <w:szCs w:val="21"/>
        </w:rPr>
        <w:t>环境监测分析方法标准制订技术导则</w:t>
      </w:r>
    </w:p>
    <w:p w14:paraId="570B8A26" w14:textId="77777777" w:rsidR="00E06E80" w:rsidRDefault="00000000">
      <w:pPr>
        <w:ind w:firstLine="420"/>
        <w:rPr>
          <w:rFonts w:ascii="Times New Roman" w:hAnsi="Times New Roman" w:cs="Times New Roman"/>
          <w:szCs w:val="21"/>
        </w:rPr>
      </w:pPr>
      <w:r>
        <w:rPr>
          <w:rFonts w:ascii="Times New Roman" w:hAnsi="Times New Roman" w:cs="Times New Roman"/>
          <w:szCs w:val="21"/>
        </w:rPr>
        <w:t xml:space="preserve">HJ 8.2       </w:t>
      </w:r>
      <w:r>
        <w:rPr>
          <w:rFonts w:ascii="Times New Roman" w:hAnsi="Times New Roman" w:cs="Times New Roman"/>
          <w:szCs w:val="21"/>
        </w:rPr>
        <w:t>生态环境档案管理规范</w:t>
      </w:r>
      <w:r>
        <w:rPr>
          <w:rFonts w:ascii="Times New Roman" w:hAnsi="Times New Roman" w:cs="Times New Roman"/>
          <w:szCs w:val="21"/>
        </w:rPr>
        <w:t xml:space="preserve"> </w:t>
      </w:r>
      <w:r>
        <w:rPr>
          <w:rFonts w:ascii="Times New Roman" w:hAnsi="Times New Roman" w:cs="Times New Roman"/>
          <w:szCs w:val="21"/>
        </w:rPr>
        <w:t>生态环境监测</w:t>
      </w:r>
    </w:p>
    <w:p w14:paraId="70BFC5C5" w14:textId="77777777" w:rsidR="00E06E80" w:rsidRDefault="00000000">
      <w:pPr>
        <w:ind w:firstLine="420"/>
        <w:rPr>
          <w:rFonts w:ascii="Times New Roman" w:hAnsi="Times New Roman" w:cs="Times New Roman"/>
          <w:szCs w:val="21"/>
        </w:rPr>
      </w:pPr>
      <w:r>
        <w:rPr>
          <w:rFonts w:ascii="Times New Roman" w:hAnsi="Times New Roman" w:cs="Times New Roman"/>
          <w:szCs w:val="21"/>
        </w:rPr>
        <w:t xml:space="preserve">HJ 91.1      </w:t>
      </w:r>
      <w:r>
        <w:rPr>
          <w:rFonts w:ascii="Times New Roman" w:hAnsi="Times New Roman" w:cs="Times New Roman"/>
          <w:szCs w:val="21"/>
        </w:rPr>
        <w:t>污水监测技术规范</w:t>
      </w:r>
    </w:p>
    <w:p w14:paraId="0812FAF9" w14:textId="77777777" w:rsidR="00E06E80" w:rsidRDefault="00000000">
      <w:pPr>
        <w:ind w:firstLine="420"/>
        <w:rPr>
          <w:rFonts w:ascii="Times New Roman" w:hAnsi="Times New Roman" w:cs="Times New Roman"/>
          <w:szCs w:val="21"/>
        </w:rPr>
      </w:pPr>
      <w:r>
        <w:rPr>
          <w:rFonts w:ascii="Times New Roman" w:hAnsi="Times New Roman" w:cs="Times New Roman"/>
          <w:szCs w:val="21"/>
        </w:rPr>
        <w:t>HJ 91.2</w:t>
      </w:r>
      <w:r>
        <w:rPr>
          <w:rFonts w:ascii="宋体" w:hAnsi="宋体" w:hint="eastAsia"/>
          <w:szCs w:val="21"/>
        </w:rPr>
        <w:t xml:space="preserve">      </w:t>
      </w:r>
      <w:r>
        <w:rPr>
          <w:rFonts w:ascii="宋体" w:hAnsi="宋体"/>
          <w:szCs w:val="21"/>
        </w:rPr>
        <w:t>地表水</w:t>
      </w:r>
      <w:r>
        <w:rPr>
          <w:rFonts w:ascii="Times New Roman" w:hAnsi="Times New Roman" w:cs="Times New Roman"/>
          <w:szCs w:val="21"/>
        </w:rPr>
        <w:t>环境质量监测技术规范</w:t>
      </w:r>
    </w:p>
    <w:p w14:paraId="5B32E538" w14:textId="77777777" w:rsidR="00E06E80" w:rsidRDefault="00000000">
      <w:pPr>
        <w:ind w:firstLine="420"/>
        <w:rPr>
          <w:rFonts w:ascii="Times New Roman" w:hAnsi="Times New Roman" w:cs="Times New Roman"/>
        </w:rPr>
      </w:pPr>
      <w:r>
        <w:rPr>
          <w:rFonts w:ascii="Times New Roman" w:hAnsi="Times New Roman" w:cs="Times New Roman"/>
        </w:rPr>
        <w:t>GB/T 19022</w:t>
      </w:r>
      <w:r>
        <w:rPr>
          <w:rFonts w:ascii="Times New Roman" w:hAnsi="Times New Roman" w:cs="Times New Roman" w:hint="eastAsia"/>
        </w:rPr>
        <w:t xml:space="preserve">  </w:t>
      </w:r>
      <w:r>
        <w:rPr>
          <w:rFonts w:ascii="Times New Roman" w:hAnsi="Times New Roman" w:cs="Times New Roman"/>
        </w:rPr>
        <w:t>测量管理体系</w:t>
      </w:r>
      <w:r>
        <w:rPr>
          <w:rFonts w:ascii="Times New Roman" w:hAnsi="Times New Roman" w:cs="Times New Roman"/>
        </w:rPr>
        <w:t xml:space="preserve"> </w:t>
      </w:r>
      <w:r>
        <w:rPr>
          <w:rFonts w:ascii="Times New Roman" w:hAnsi="Times New Roman" w:cs="Times New Roman"/>
        </w:rPr>
        <w:t>测量过程和测量设备的要求</w:t>
      </w:r>
    </w:p>
    <w:p w14:paraId="4A90691D" w14:textId="77777777" w:rsidR="00E06E80" w:rsidRDefault="00000000">
      <w:pPr>
        <w:ind w:firstLine="420"/>
        <w:rPr>
          <w:rFonts w:ascii="Times New Roman" w:hAnsi="Times New Roman" w:cs="Times New Roman"/>
        </w:rPr>
      </w:pPr>
      <w:r>
        <w:rPr>
          <w:rFonts w:ascii="Times New Roman" w:hAnsi="Times New Roman" w:cs="Times New Roman"/>
        </w:rPr>
        <w:t>GB/T 27025</w:t>
      </w:r>
      <w:r>
        <w:rPr>
          <w:rFonts w:ascii="Times New Roman" w:hAnsi="Times New Roman" w:cs="Times New Roman" w:hint="eastAsia"/>
        </w:rPr>
        <w:t xml:space="preserve">  </w:t>
      </w:r>
      <w:r>
        <w:rPr>
          <w:rFonts w:ascii="Times New Roman" w:hAnsi="Times New Roman" w:cs="Times New Roman"/>
        </w:rPr>
        <w:t>检测和校准实验</w:t>
      </w:r>
      <w:proofErr w:type="gramStart"/>
      <w:r>
        <w:rPr>
          <w:rFonts w:ascii="Times New Roman" w:hAnsi="Times New Roman" w:cs="Times New Roman"/>
        </w:rPr>
        <w:t>室能力</w:t>
      </w:r>
      <w:proofErr w:type="gramEnd"/>
      <w:r>
        <w:rPr>
          <w:rFonts w:ascii="Times New Roman" w:hAnsi="Times New Roman" w:cs="Times New Roman"/>
        </w:rPr>
        <w:t>的通用要求</w:t>
      </w:r>
    </w:p>
    <w:p w14:paraId="211D5A39" w14:textId="77777777" w:rsidR="00E06E80" w:rsidRDefault="00E06E80">
      <w:pPr>
        <w:pStyle w:val="2"/>
      </w:pPr>
    </w:p>
    <w:p w14:paraId="7E1B0AA1" w14:textId="77777777" w:rsidR="00E06E80" w:rsidRDefault="00000000">
      <w:pPr>
        <w:pStyle w:val="1"/>
      </w:pPr>
      <w:bookmarkStart w:id="8" w:name="_Toc27226"/>
      <w:r>
        <w:t>术语和定义</w:t>
      </w:r>
      <w:bookmarkEnd w:id="8"/>
    </w:p>
    <w:p w14:paraId="6E73BF17" w14:textId="77777777" w:rsidR="00E06E80" w:rsidRDefault="00000000">
      <w:pPr>
        <w:ind w:firstLine="422"/>
        <w:rPr>
          <w:strike/>
          <w:szCs w:val="21"/>
        </w:rPr>
      </w:pPr>
      <w:r>
        <w:rPr>
          <w:rFonts w:hint="eastAsia"/>
          <w:b/>
          <w:bCs/>
          <w:szCs w:val="21"/>
        </w:rPr>
        <w:t>自动化水质检测实验室</w:t>
      </w:r>
      <w:r>
        <w:rPr>
          <w:rFonts w:hint="eastAsia"/>
          <w:b/>
          <w:bCs/>
          <w:szCs w:val="21"/>
        </w:rPr>
        <w:t>Automated Water Quality Testing Laboratory</w:t>
      </w:r>
    </w:p>
    <w:p w14:paraId="6976D841" w14:textId="77777777" w:rsidR="00E06E80" w:rsidRDefault="00000000">
      <w:pPr>
        <w:pStyle w:val="2"/>
        <w:spacing w:line="312" w:lineRule="auto"/>
        <w:ind w:firstLineChars="200" w:firstLine="420"/>
        <w:rPr>
          <w:szCs w:val="21"/>
        </w:rPr>
      </w:pPr>
      <w:r>
        <w:rPr>
          <w:rFonts w:hint="eastAsia"/>
          <w:sz w:val="21"/>
          <w:szCs w:val="21"/>
        </w:rPr>
        <w:t>自动化水质检测实验室是指由中控系统、信息化系统、识别系统、流转系统、检测系统，试剂耗材供应系统等组成，能自动完成样品信息识别、检测需求读取、检测策略匹配、样品流转、样品预处理、分析检测、质量控制、数据审核、报告编制、样品处置等系列检测工作的综合集成智能实验室。</w:t>
      </w:r>
    </w:p>
    <w:p w14:paraId="0F531C0B" w14:textId="77777777" w:rsidR="00E06E80" w:rsidRDefault="00000000">
      <w:pPr>
        <w:ind w:firstLine="422"/>
        <w:rPr>
          <w:b/>
          <w:bCs/>
          <w:szCs w:val="21"/>
        </w:rPr>
      </w:pPr>
      <w:r>
        <w:rPr>
          <w:rFonts w:hint="eastAsia"/>
          <w:b/>
          <w:bCs/>
          <w:szCs w:val="21"/>
        </w:rPr>
        <w:t>仪器质控</w:t>
      </w:r>
      <w:r>
        <w:rPr>
          <w:rFonts w:hint="eastAsia"/>
          <w:b/>
          <w:bCs/>
          <w:szCs w:val="21"/>
        </w:rPr>
        <w:t>Instrument Quality Control</w:t>
      </w:r>
    </w:p>
    <w:p w14:paraId="02679117" w14:textId="77777777" w:rsidR="00E06E80" w:rsidRDefault="00000000">
      <w:pPr>
        <w:widowControl/>
        <w:wordWrap w:val="0"/>
        <w:topLinePunct/>
        <w:autoSpaceDE w:val="0"/>
        <w:autoSpaceDN w:val="0"/>
        <w:ind w:firstLine="420"/>
        <w:textAlignment w:val="baseline"/>
        <w:rPr>
          <w:rFonts w:ascii="Times New Roman" w:hAnsi="Times New Roman" w:cs="Times New Roman"/>
          <w:szCs w:val="21"/>
        </w:rPr>
      </w:pPr>
      <w:r>
        <w:rPr>
          <w:rFonts w:ascii="Times New Roman" w:hAnsi="Times New Roman" w:cs="Times New Roman"/>
          <w:szCs w:val="21"/>
        </w:rPr>
        <w:t>在自动化检测</w:t>
      </w:r>
      <w:r>
        <w:rPr>
          <w:rFonts w:ascii="Times New Roman" w:hAnsi="Times New Roman" w:cs="Times New Roman" w:hint="eastAsia"/>
          <w:szCs w:val="21"/>
        </w:rPr>
        <w:t>系统</w:t>
      </w:r>
      <w:r>
        <w:rPr>
          <w:rFonts w:ascii="Times New Roman" w:hAnsi="Times New Roman" w:cs="Times New Roman"/>
          <w:szCs w:val="21"/>
        </w:rPr>
        <w:t>进行</w:t>
      </w:r>
      <w:r>
        <w:rPr>
          <w:rFonts w:ascii="Times New Roman" w:hAnsi="Times New Roman" w:cs="Times New Roman" w:hint="eastAsia"/>
          <w:szCs w:val="21"/>
        </w:rPr>
        <w:t>水样</w:t>
      </w:r>
      <w:r>
        <w:rPr>
          <w:rFonts w:ascii="Times New Roman" w:hAnsi="Times New Roman" w:cs="Times New Roman"/>
          <w:szCs w:val="21"/>
        </w:rPr>
        <w:t>检测之前，</w:t>
      </w:r>
      <w:r>
        <w:rPr>
          <w:rFonts w:ascii="Times New Roman" w:hAnsi="Times New Roman" w:cs="Times New Roman" w:hint="eastAsia"/>
          <w:szCs w:val="21"/>
        </w:rPr>
        <w:t>进行的</w:t>
      </w:r>
      <w:r>
        <w:rPr>
          <w:rFonts w:hint="eastAsia"/>
          <w:szCs w:val="21"/>
        </w:rPr>
        <w:t>前级</w:t>
      </w:r>
      <w:r>
        <w:rPr>
          <w:rFonts w:ascii="Times New Roman" w:hAnsi="Times New Roman" w:cs="Times New Roman"/>
          <w:szCs w:val="21"/>
        </w:rPr>
        <w:t>空白</w:t>
      </w:r>
      <w:r>
        <w:rPr>
          <w:rFonts w:ascii="Times New Roman" w:hAnsi="Times New Roman" w:cs="Times New Roman" w:hint="eastAsia"/>
          <w:szCs w:val="21"/>
        </w:rPr>
        <w:t>、</w:t>
      </w:r>
      <w:proofErr w:type="gramStart"/>
      <w:r>
        <w:rPr>
          <w:rFonts w:ascii="Times New Roman" w:hAnsi="Times New Roman" w:cs="Times New Roman" w:hint="eastAsia"/>
          <w:szCs w:val="21"/>
        </w:rPr>
        <w:t>标液核查</w:t>
      </w:r>
      <w:proofErr w:type="gramEnd"/>
      <w:r>
        <w:rPr>
          <w:rFonts w:ascii="Times New Roman" w:hAnsi="Times New Roman" w:cs="Times New Roman" w:hint="eastAsia"/>
          <w:szCs w:val="21"/>
        </w:rPr>
        <w:t>，以检查</w:t>
      </w:r>
      <w:r>
        <w:rPr>
          <w:rFonts w:ascii="Times New Roman" w:hAnsi="Times New Roman" w:cs="Times New Roman"/>
          <w:szCs w:val="21"/>
        </w:rPr>
        <w:t>自动化设备性能</w:t>
      </w:r>
      <w:r>
        <w:rPr>
          <w:rFonts w:ascii="Times New Roman" w:hAnsi="Times New Roman" w:cs="Times New Roman" w:hint="eastAsia"/>
          <w:szCs w:val="21"/>
        </w:rPr>
        <w:t>进行的质控措施</w:t>
      </w:r>
      <w:r>
        <w:rPr>
          <w:rFonts w:ascii="Times New Roman" w:hAnsi="Times New Roman" w:cs="Times New Roman"/>
          <w:szCs w:val="21"/>
        </w:rPr>
        <w:t>。</w:t>
      </w:r>
    </w:p>
    <w:p w14:paraId="5A35D095" w14:textId="77777777" w:rsidR="00E06E80" w:rsidRDefault="00000000">
      <w:pPr>
        <w:ind w:firstLine="422"/>
        <w:rPr>
          <w:b/>
          <w:bCs/>
          <w:szCs w:val="21"/>
        </w:rPr>
      </w:pPr>
      <w:r>
        <w:rPr>
          <w:rFonts w:hint="eastAsia"/>
          <w:b/>
          <w:bCs/>
          <w:szCs w:val="21"/>
        </w:rPr>
        <w:t>方法质控</w:t>
      </w:r>
      <w:r>
        <w:rPr>
          <w:rFonts w:hint="eastAsia"/>
          <w:b/>
          <w:bCs/>
          <w:szCs w:val="21"/>
        </w:rPr>
        <w:t>Method Quality Control</w:t>
      </w:r>
    </w:p>
    <w:p w14:paraId="5D8FCAEE" w14:textId="77777777" w:rsidR="00E06E80" w:rsidRDefault="00000000">
      <w:pPr>
        <w:widowControl/>
        <w:wordWrap w:val="0"/>
        <w:topLinePunct/>
        <w:autoSpaceDE w:val="0"/>
        <w:autoSpaceDN w:val="0"/>
        <w:ind w:firstLine="420"/>
        <w:jc w:val="left"/>
        <w:textAlignment w:val="baseline"/>
        <w:rPr>
          <w:rFonts w:ascii="Times New Roman" w:hAnsi="Times New Roman" w:cs="Times New Roman"/>
          <w:szCs w:val="21"/>
        </w:rPr>
      </w:pPr>
      <w:r>
        <w:rPr>
          <w:rFonts w:ascii="Times New Roman" w:hAnsi="Times New Roman" w:cs="Times New Roman"/>
          <w:szCs w:val="21"/>
        </w:rPr>
        <w:t>在自动化检测</w:t>
      </w:r>
      <w:r>
        <w:rPr>
          <w:rFonts w:ascii="Times New Roman" w:hAnsi="Times New Roman" w:cs="Times New Roman" w:hint="eastAsia"/>
          <w:szCs w:val="21"/>
        </w:rPr>
        <w:t>系统</w:t>
      </w:r>
      <w:r>
        <w:rPr>
          <w:rFonts w:ascii="Times New Roman" w:hAnsi="Times New Roman" w:cs="Times New Roman"/>
          <w:szCs w:val="21"/>
        </w:rPr>
        <w:t>进行</w:t>
      </w:r>
      <w:r>
        <w:rPr>
          <w:rFonts w:ascii="Times New Roman" w:hAnsi="Times New Roman" w:cs="Times New Roman" w:hint="eastAsia"/>
          <w:szCs w:val="21"/>
        </w:rPr>
        <w:t>水样</w:t>
      </w:r>
      <w:r>
        <w:rPr>
          <w:rFonts w:ascii="Times New Roman" w:hAnsi="Times New Roman" w:cs="Times New Roman"/>
          <w:szCs w:val="21"/>
        </w:rPr>
        <w:t>检测</w:t>
      </w:r>
      <w:r>
        <w:rPr>
          <w:rFonts w:ascii="Times New Roman" w:hAnsi="Times New Roman" w:cs="Times New Roman" w:hint="eastAsia"/>
          <w:szCs w:val="21"/>
        </w:rPr>
        <w:t>时，与水样同步进行的批次</w:t>
      </w:r>
      <w:r>
        <w:rPr>
          <w:rFonts w:ascii="Times New Roman" w:hAnsi="Times New Roman" w:cs="Times New Roman"/>
          <w:szCs w:val="21"/>
        </w:rPr>
        <w:t>空白、平行、加标回收率和有证标准物质测试</w:t>
      </w:r>
      <w:r>
        <w:rPr>
          <w:rFonts w:ascii="Times New Roman" w:hAnsi="Times New Roman" w:cs="Times New Roman" w:hint="eastAsia"/>
          <w:szCs w:val="21"/>
        </w:rPr>
        <w:t>，对本批次样品检测过程进行的质控措施</w:t>
      </w:r>
      <w:r>
        <w:rPr>
          <w:rFonts w:ascii="Times New Roman" w:hAnsi="Times New Roman" w:cs="Times New Roman"/>
          <w:szCs w:val="21"/>
        </w:rPr>
        <w:t>。</w:t>
      </w:r>
    </w:p>
    <w:p w14:paraId="70690564" w14:textId="77777777" w:rsidR="00E06E80" w:rsidRDefault="00000000">
      <w:pPr>
        <w:ind w:firstLine="422"/>
        <w:rPr>
          <w:b/>
          <w:bCs/>
          <w:szCs w:val="21"/>
        </w:rPr>
      </w:pPr>
      <w:r>
        <w:rPr>
          <w:b/>
          <w:bCs/>
          <w:szCs w:val="21"/>
        </w:rPr>
        <w:t>电子原始记录</w:t>
      </w:r>
      <w:r>
        <w:rPr>
          <w:b/>
          <w:bCs/>
          <w:szCs w:val="21"/>
        </w:rPr>
        <w:t xml:space="preserve"> Electronic </w:t>
      </w:r>
      <w:r>
        <w:rPr>
          <w:rFonts w:hint="eastAsia"/>
          <w:b/>
          <w:bCs/>
          <w:szCs w:val="21"/>
        </w:rPr>
        <w:t>O</w:t>
      </w:r>
      <w:r>
        <w:rPr>
          <w:b/>
          <w:bCs/>
          <w:szCs w:val="21"/>
        </w:rPr>
        <w:t xml:space="preserve">riginal </w:t>
      </w:r>
      <w:r>
        <w:rPr>
          <w:rFonts w:hint="eastAsia"/>
          <w:b/>
          <w:bCs/>
          <w:szCs w:val="21"/>
        </w:rPr>
        <w:t>R</w:t>
      </w:r>
      <w:r>
        <w:rPr>
          <w:b/>
          <w:bCs/>
          <w:szCs w:val="21"/>
        </w:rPr>
        <w:t>ecord</w:t>
      </w:r>
    </w:p>
    <w:p w14:paraId="0800D3FA" w14:textId="77777777" w:rsidR="00E06E80" w:rsidRDefault="00000000">
      <w:pPr>
        <w:pStyle w:val="2"/>
        <w:spacing w:line="312" w:lineRule="auto"/>
        <w:ind w:firstLineChars="200" w:firstLine="420"/>
        <w:rPr>
          <w:rFonts w:ascii="Times New Roman" w:hAnsi="Times New Roman" w:cs="Times New Roman"/>
          <w:sz w:val="21"/>
          <w:szCs w:val="21"/>
        </w:rPr>
      </w:pPr>
      <w:r>
        <w:rPr>
          <w:rFonts w:ascii="Times New Roman" w:hAnsi="Times New Roman" w:cs="Times New Roman"/>
          <w:sz w:val="21"/>
          <w:szCs w:val="21"/>
        </w:rPr>
        <w:t>电子化的原始记录，记载方式是将检验检测过程中对原始的观察结果、数据、计算结果、结论和相关信息等录入计算机等电子设备。</w:t>
      </w:r>
    </w:p>
    <w:p w14:paraId="22D0E108" w14:textId="77777777" w:rsidR="00E06E80" w:rsidRDefault="00000000">
      <w:pPr>
        <w:pStyle w:val="2"/>
        <w:adjustRightInd/>
        <w:snapToGrid/>
        <w:spacing w:line="240" w:lineRule="auto"/>
        <w:ind w:firstLine="405"/>
        <w:jc w:val="left"/>
        <w:rPr>
          <w:sz w:val="18"/>
          <w:szCs w:val="18"/>
        </w:rPr>
      </w:pPr>
      <w:r>
        <w:rPr>
          <w:sz w:val="18"/>
          <w:szCs w:val="18"/>
        </w:rPr>
        <w:t>注：电子原始记录的录入方式包括采用人工录入，或采集仪器发送的检测数据，或接收自动测量系统发送的包含检测数据的文件。在人工录入方式中可先在纸质材料上记录原始观察数据，再录入电子设备，这种方式应同时保存原纸质记录或通过扫描、复印、照相等方式进行保存，这两个记录作为一个整体</w:t>
      </w:r>
      <w:r>
        <w:rPr>
          <w:sz w:val="18"/>
          <w:szCs w:val="18"/>
        </w:rPr>
        <w:lastRenderedPageBreak/>
        <w:t>也可作为电子原始记录。电子原始记录的记载方式可混合使用上述多种方式。</w:t>
      </w:r>
    </w:p>
    <w:p w14:paraId="4255C71F" w14:textId="77777777" w:rsidR="00E06E80" w:rsidRDefault="00E06E80">
      <w:pPr>
        <w:widowControl/>
        <w:wordWrap w:val="0"/>
        <w:topLinePunct/>
        <w:autoSpaceDE w:val="0"/>
        <w:autoSpaceDN w:val="0"/>
        <w:ind w:firstLine="420"/>
        <w:textAlignment w:val="baseline"/>
        <w:rPr>
          <w:rFonts w:ascii="Times New Roman" w:hAnsi="Times New Roman" w:cs="Times New Roman"/>
          <w:szCs w:val="21"/>
        </w:rPr>
      </w:pPr>
    </w:p>
    <w:p w14:paraId="6FC4DA95" w14:textId="77777777" w:rsidR="00E06E80" w:rsidRDefault="00000000">
      <w:pPr>
        <w:pStyle w:val="1"/>
      </w:pPr>
      <w:bookmarkStart w:id="9" w:name="_Toc575"/>
      <w:r>
        <w:rPr>
          <w:rFonts w:hint="eastAsia"/>
        </w:rPr>
        <w:t>检测业务过程规范要求</w:t>
      </w:r>
      <w:bookmarkEnd w:id="9"/>
    </w:p>
    <w:p w14:paraId="6E027CAA" w14:textId="77777777" w:rsidR="00E06E80" w:rsidRDefault="00000000">
      <w:pPr>
        <w:ind w:firstLine="420"/>
        <w:jc w:val="left"/>
        <w:rPr>
          <w:szCs w:val="21"/>
        </w:rPr>
      </w:pPr>
      <w:r>
        <w:rPr>
          <w:rFonts w:hint="eastAsia"/>
          <w:szCs w:val="21"/>
        </w:rPr>
        <w:t>实验室应建立完整的采样程序，程序应至少包括样品的标识、采集、运输、接收、</w:t>
      </w:r>
      <w:r>
        <w:rPr>
          <w:rFonts w:ascii="Times New Roman" w:hAnsi="Times New Roman" w:cs="Times New Roman"/>
          <w:snapToGrid w:val="0"/>
          <w:color w:val="000000"/>
          <w:spacing w:val="-2"/>
          <w:kern w:val="0"/>
          <w:szCs w:val="21"/>
        </w:rPr>
        <w:t>登记</w:t>
      </w:r>
      <w:r>
        <w:rPr>
          <w:rFonts w:hint="eastAsia"/>
          <w:szCs w:val="21"/>
        </w:rPr>
        <w:t>、流转、识别、贮存和处置等各个环节。实验室应采取有效的质量控制的措施，</w:t>
      </w:r>
      <w:r>
        <w:rPr>
          <w:rFonts w:ascii="宋体" w:hAnsi="宋体" w:hint="eastAsia"/>
          <w:snapToGrid w:val="0"/>
          <w:color w:val="000000"/>
          <w:spacing w:val="-2"/>
          <w:kern w:val="0"/>
          <w:szCs w:val="21"/>
        </w:rPr>
        <w:t>保证所采样品的真实性、完整性和代表性，并</w:t>
      </w:r>
      <w:r>
        <w:rPr>
          <w:rFonts w:hint="eastAsia"/>
          <w:szCs w:val="21"/>
        </w:rPr>
        <w:t>做好样品的保密与安全工作。</w:t>
      </w:r>
    </w:p>
    <w:p w14:paraId="70756D62" w14:textId="77777777" w:rsidR="00E06E80" w:rsidRDefault="00000000">
      <w:pPr>
        <w:pStyle w:val="20"/>
        <w:ind w:firstLine="211"/>
        <w:jc w:val="left"/>
        <w:rPr>
          <w:sz w:val="21"/>
          <w:szCs w:val="21"/>
        </w:rPr>
      </w:pPr>
      <w:bookmarkStart w:id="10" w:name="_Toc19107"/>
      <w:r>
        <w:rPr>
          <w:rFonts w:hint="eastAsia"/>
          <w:sz w:val="21"/>
          <w:szCs w:val="21"/>
        </w:rPr>
        <w:t>4.1</w:t>
      </w:r>
      <w:r>
        <w:rPr>
          <w:rFonts w:hint="eastAsia"/>
          <w:sz w:val="21"/>
          <w:szCs w:val="21"/>
        </w:rPr>
        <w:t>样品的采集与运输</w:t>
      </w:r>
      <w:bookmarkEnd w:id="10"/>
    </w:p>
    <w:p w14:paraId="63F22A88" w14:textId="77777777" w:rsidR="00E06E80" w:rsidRDefault="00000000">
      <w:pPr>
        <w:widowControl/>
        <w:wordWrap w:val="0"/>
        <w:topLinePunct/>
        <w:autoSpaceDE w:val="0"/>
        <w:autoSpaceDN w:val="0"/>
        <w:ind w:firstLine="412"/>
        <w:jc w:val="left"/>
        <w:textAlignment w:val="baseline"/>
        <w:rPr>
          <w:rFonts w:ascii="Times New Roman" w:hAnsi="Times New Roman" w:cs="Times New Roman"/>
          <w:strike/>
          <w:snapToGrid w:val="0"/>
          <w:spacing w:val="-2"/>
          <w:kern w:val="0"/>
          <w:szCs w:val="21"/>
        </w:rPr>
      </w:pPr>
      <w:r>
        <w:rPr>
          <w:rFonts w:ascii="Times New Roman" w:hAnsi="Times New Roman" w:cs="Times New Roman"/>
          <w:snapToGrid w:val="0"/>
          <w:color w:val="000000"/>
          <w:spacing w:val="-2"/>
          <w:kern w:val="0"/>
          <w:szCs w:val="21"/>
        </w:rPr>
        <w:t>实验室</w:t>
      </w:r>
      <w:r>
        <w:rPr>
          <w:rFonts w:ascii="Times New Roman" w:hAnsi="Times New Roman" w:cs="Times New Roman" w:hint="eastAsia"/>
          <w:snapToGrid w:val="0"/>
          <w:color w:val="000000"/>
          <w:spacing w:val="-2"/>
          <w:kern w:val="0"/>
          <w:szCs w:val="21"/>
        </w:rPr>
        <w:t>应识</w:t>
      </w:r>
      <w:r>
        <w:rPr>
          <w:rFonts w:ascii="Times New Roman" w:hAnsi="Times New Roman" w:cs="Times New Roman" w:hint="eastAsia"/>
          <w:snapToGrid w:val="0"/>
          <w:spacing w:val="-2"/>
          <w:kern w:val="0"/>
          <w:szCs w:val="21"/>
        </w:rPr>
        <w:t>别客户需求，</w:t>
      </w:r>
      <w:r>
        <w:rPr>
          <w:rFonts w:hint="eastAsia"/>
          <w:szCs w:val="21"/>
        </w:rPr>
        <w:t>样品采集容器、频次、采样方法、保存、运输应满足</w:t>
      </w:r>
      <w:r>
        <w:rPr>
          <w:rFonts w:ascii="Times New Roman" w:hAnsi="Times New Roman" w:cs="Times New Roman"/>
          <w:szCs w:val="21"/>
        </w:rPr>
        <w:t>HJ91.1</w:t>
      </w:r>
      <w:r>
        <w:rPr>
          <w:rFonts w:ascii="Times New Roman" w:hAnsi="Times New Roman" w:cs="Times New Roman"/>
          <w:szCs w:val="21"/>
        </w:rPr>
        <w:t>、</w:t>
      </w:r>
      <w:r>
        <w:rPr>
          <w:rFonts w:ascii="Times New Roman" w:hAnsi="Times New Roman" w:cs="Times New Roman"/>
          <w:szCs w:val="21"/>
        </w:rPr>
        <w:t>HJ91.2</w:t>
      </w:r>
      <w:r>
        <w:rPr>
          <w:rFonts w:hint="eastAsia"/>
          <w:szCs w:val="21"/>
        </w:rPr>
        <w:t>及相关标准规范的要求，当使用自动化采样设备进行采样时，应充分考虑自动化采样取水位置，</w:t>
      </w:r>
      <w:r>
        <w:rPr>
          <w:rFonts w:ascii="宋体" w:hAnsi="宋体" w:hint="eastAsia"/>
          <w:snapToGrid w:val="0"/>
          <w:spacing w:val="-2"/>
          <w:kern w:val="0"/>
          <w:szCs w:val="21"/>
        </w:rPr>
        <w:t>保证所采样品的代表性，</w:t>
      </w:r>
      <w:r>
        <w:rPr>
          <w:rFonts w:ascii="Times New Roman" w:hAnsi="Times New Roman" w:cs="Times New Roman" w:hint="eastAsia"/>
          <w:snapToGrid w:val="0"/>
          <w:spacing w:val="-2"/>
          <w:kern w:val="0"/>
          <w:szCs w:val="21"/>
        </w:rPr>
        <w:t>所采样品有完整的样品标识。</w:t>
      </w:r>
      <w:r>
        <w:rPr>
          <w:rFonts w:ascii="Times New Roman" w:hAnsi="Times New Roman" w:cs="Times New Roman"/>
          <w:snapToGrid w:val="0"/>
          <w:spacing w:val="-2"/>
          <w:kern w:val="0"/>
          <w:szCs w:val="21"/>
        </w:rPr>
        <w:t>若客户对样品采集或检测有特殊要求，应书面注明。</w:t>
      </w:r>
    </w:p>
    <w:p w14:paraId="5C568CD4" w14:textId="77777777" w:rsidR="00E06E80" w:rsidRDefault="00000000">
      <w:pPr>
        <w:pStyle w:val="20"/>
        <w:ind w:firstLine="211"/>
        <w:jc w:val="left"/>
        <w:rPr>
          <w:sz w:val="21"/>
          <w:szCs w:val="21"/>
        </w:rPr>
      </w:pPr>
      <w:bookmarkStart w:id="11" w:name="_Toc21104"/>
      <w:r>
        <w:rPr>
          <w:rFonts w:hint="eastAsia"/>
          <w:sz w:val="21"/>
          <w:szCs w:val="21"/>
        </w:rPr>
        <w:t>4.2</w:t>
      </w:r>
      <w:r>
        <w:rPr>
          <w:rFonts w:hint="eastAsia"/>
          <w:sz w:val="21"/>
          <w:szCs w:val="21"/>
        </w:rPr>
        <w:t>样品标识</w:t>
      </w:r>
      <w:bookmarkEnd w:id="11"/>
    </w:p>
    <w:p w14:paraId="7F6590A8" w14:textId="77777777" w:rsidR="00E06E80" w:rsidRDefault="00000000">
      <w:pPr>
        <w:ind w:firstLine="420"/>
      </w:pPr>
      <w:r>
        <w:rPr>
          <w:rFonts w:hint="eastAsia"/>
        </w:rPr>
        <w:t>实验室应建立样品编码规则，保证样品编码的唯一性、可操作性，以便识别和防止样品混淆。每个样品应有完整的样品标识，可采用</w:t>
      </w:r>
      <w:proofErr w:type="gramStart"/>
      <w:r>
        <w:rPr>
          <w:rFonts w:hint="eastAsia"/>
        </w:rPr>
        <w:t>二维码形式</w:t>
      </w:r>
      <w:proofErr w:type="gramEnd"/>
      <w:r>
        <w:rPr>
          <w:rFonts w:hint="eastAsia"/>
        </w:rPr>
        <w:t>，并能被实验室信息系统识别，样品的信息内容应至少包含样品名称、样品编号、采样人员、采样日期、采样地点、保存剂、样品检测状态等。</w:t>
      </w:r>
    </w:p>
    <w:p w14:paraId="766B6F98" w14:textId="77777777" w:rsidR="00E06E80" w:rsidRDefault="00000000">
      <w:pPr>
        <w:pStyle w:val="20"/>
        <w:ind w:firstLine="211"/>
        <w:jc w:val="left"/>
        <w:rPr>
          <w:sz w:val="21"/>
          <w:szCs w:val="21"/>
        </w:rPr>
      </w:pPr>
      <w:bookmarkStart w:id="12" w:name="_Toc9360"/>
      <w:r>
        <w:rPr>
          <w:rFonts w:hint="eastAsia"/>
          <w:sz w:val="21"/>
          <w:szCs w:val="21"/>
        </w:rPr>
        <w:t>4.3</w:t>
      </w:r>
      <w:r>
        <w:rPr>
          <w:rFonts w:hint="eastAsia"/>
          <w:sz w:val="21"/>
          <w:szCs w:val="21"/>
        </w:rPr>
        <w:t>样品接收和登记</w:t>
      </w:r>
      <w:bookmarkEnd w:id="12"/>
    </w:p>
    <w:p w14:paraId="12A51016" w14:textId="77777777" w:rsidR="00E06E80" w:rsidRDefault="00000000">
      <w:pPr>
        <w:widowControl/>
        <w:wordWrap w:val="0"/>
        <w:topLinePunct/>
        <w:autoSpaceDE w:val="0"/>
        <w:autoSpaceDN w:val="0"/>
        <w:ind w:firstLine="412"/>
        <w:jc w:val="left"/>
        <w:textAlignment w:val="baseline"/>
        <w:rPr>
          <w:szCs w:val="21"/>
        </w:rPr>
      </w:pPr>
      <w:r>
        <w:rPr>
          <w:rFonts w:ascii="Times New Roman" w:hAnsi="Times New Roman" w:cs="Times New Roman" w:hint="eastAsia"/>
          <w:snapToGrid w:val="0"/>
          <w:spacing w:val="-2"/>
          <w:kern w:val="0"/>
          <w:szCs w:val="21"/>
        </w:rPr>
        <w:t>样品接收前，应对样品标识、状态、保存方式及有效期进行检查，对检查合格的样品通过识别唯一样品编码进行确认接收。若为客户送样检测样品，对样品原标识、实验室标识、检测需求、样品信息等进行电子登记，并张贴完整唯一的样品标识。</w:t>
      </w:r>
    </w:p>
    <w:p w14:paraId="6166C4D4" w14:textId="77777777" w:rsidR="00E06E80" w:rsidRDefault="00000000">
      <w:pPr>
        <w:pStyle w:val="20"/>
        <w:ind w:firstLine="211"/>
        <w:jc w:val="left"/>
        <w:rPr>
          <w:sz w:val="21"/>
          <w:szCs w:val="21"/>
        </w:rPr>
      </w:pPr>
      <w:bookmarkStart w:id="13" w:name="_Toc3147"/>
      <w:r>
        <w:rPr>
          <w:rFonts w:hint="eastAsia"/>
          <w:sz w:val="21"/>
          <w:szCs w:val="21"/>
        </w:rPr>
        <w:t>4.4</w:t>
      </w:r>
      <w:r>
        <w:rPr>
          <w:rFonts w:hint="eastAsia"/>
          <w:sz w:val="21"/>
          <w:szCs w:val="21"/>
        </w:rPr>
        <w:t>样品识别与分发</w:t>
      </w:r>
      <w:bookmarkEnd w:id="13"/>
    </w:p>
    <w:p w14:paraId="3E99D2A1" w14:textId="77777777" w:rsidR="00E06E80" w:rsidRDefault="00000000">
      <w:pPr>
        <w:widowControl/>
        <w:wordWrap w:val="0"/>
        <w:topLinePunct/>
        <w:autoSpaceDE w:val="0"/>
        <w:autoSpaceDN w:val="0"/>
        <w:ind w:firstLine="412"/>
        <w:jc w:val="left"/>
        <w:textAlignment w:val="baseline"/>
        <w:rPr>
          <w:rFonts w:ascii="Times New Roman" w:hAnsi="Times New Roman" w:cs="Times New Roman"/>
          <w:snapToGrid w:val="0"/>
          <w:spacing w:val="-2"/>
          <w:kern w:val="0"/>
          <w:szCs w:val="21"/>
        </w:rPr>
      </w:pPr>
      <w:r>
        <w:rPr>
          <w:rFonts w:ascii="Times New Roman" w:hAnsi="Times New Roman" w:cs="Times New Roman" w:hint="eastAsia"/>
          <w:snapToGrid w:val="0"/>
          <w:spacing w:val="-2"/>
          <w:kern w:val="0"/>
          <w:szCs w:val="21"/>
        </w:rPr>
        <w:t>实验室自动化系统应能自动识别已接收样品的唯一性样品标识，并对样品的检测要求进行分析，确定样品的检测参数、检测方法、检测范围、质</w:t>
      </w:r>
      <w:proofErr w:type="gramStart"/>
      <w:r>
        <w:rPr>
          <w:rFonts w:ascii="Times New Roman" w:hAnsi="Times New Roman" w:cs="Times New Roman" w:hint="eastAsia"/>
          <w:snapToGrid w:val="0"/>
          <w:spacing w:val="-2"/>
          <w:kern w:val="0"/>
          <w:szCs w:val="21"/>
        </w:rPr>
        <w:t>控要求</w:t>
      </w:r>
      <w:proofErr w:type="gramEnd"/>
      <w:r>
        <w:rPr>
          <w:rFonts w:ascii="Times New Roman" w:hAnsi="Times New Roman" w:cs="Times New Roman" w:hint="eastAsia"/>
          <w:snapToGrid w:val="0"/>
          <w:spacing w:val="-2"/>
          <w:kern w:val="0"/>
          <w:szCs w:val="21"/>
        </w:rPr>
        <w:t>等基本信息。</w:t>
      </w:r>
    </w:p>
    <w:p w14:paraId="2E324D9F" w14:textId="77777777" w:rsidR="00E06E80" w:rsidRDefault="00000000">
      <w:pPr>
        <w:widowControl/>
        <w:wordWrap w:val="0"/>
        <w:topLinePunct/>
        <w:autoSpaceDE w:val="0"/>
        <w:autoSpaceDN w:val="0"/>
        <w:ind w:firstLine="412"/>
        <w:jc w:val="left"/>
        <w:textAlignment w:val="baseline"/>
        <w:rPr>
          <w:rFonts w:ascii="Times New Roman" w:hAnsi="Times New Roman" w:cs="Times New Roman"/>
          <w:snapToGrid w:val="0"/>
          <w:spacing w:val="-2"/>
          <w:kern w:val="0"/>
          <w:szCs w:val="21"/>
        </w:rPr>
      </w:pPr>
      <w:r>
        <w:rPr>
          <w:rFonts w:ascii="Times New Roman" w:hAnsi="Times New Roman" w:cs="Times New Roman" w:hint="eastAsia"/>
          <w:snapToGrid w:val="0"/>
          <w:spacing w:val="-2"/>
          <w:kern w:val="0"/>
          <w:szCs w:val="21"/>
        </w:rPr>
        <w:t>实验室自动化系统应能自动分配样品至对应的检测工位，防止不必要的等待或样品失效。若同一样品分析不同检测参数，自动化系统应能识别当前的检测进程，并将样品合理分配至下一检测工位。</w:t>
      </w:r>
    </w:p>
    <w:p w14:paraId="5AD88C26" w14:textId="77777777" w:rsidR="00E06E80" w:rsidRDefault="00000000">
      <w:pPr>
        <w:pStyle w:val="20"/>
        <w:ind w:firstLine="211"/>
        <w:jc w:val="left"/>
        <w:rPr>
          <w:sz w:val="21"/>
          <w:szCs w:val="21"/>
        </w:rPr>
      </w:pPr>
      <w:bookmarkStart w:id="14" w:name="_Toc10935"/>
      <w:r>
        <w:rPr>
          <w:rFonts w:hint="eastAsia"/>
          <w:sz w:val="21"/>
          <w:szCs w:val="21"/>
        </w:rPr>
        <w:t>4.5</w:t>
      </w:r>
      <w:r>
        <w:rPr>
          <w:rFonts w:hint="eastAsia"/>
          <w:sz w:val="21"/>
          <w:szCs w:val="21"/>
        </w:rPr>
        <w:t>样品流转</w:t>
      </w:r>
      <w:bookmarkEnd w:id="14"/>
    </w:p>
    <w:p w14:paraId="40858145" w14:textId="77777777" w:rsidR="00E06E80" w:rsidRDefault="00000000">
      <w:pPr>
        <w:ind w:firstLine="420"/>
        <w:rPr>
          <w:szCs w:val="21"/>
        </w:rPr>
      </w:pPr>
      <w:r>
        <w:rPr>
          <w:rFonts w:hint="eastAsia"/>
          <w:szCs w:val="21"/>
        </w:rPr>
        <w:t>实验室自动化系统应能识别样品在整个流转过程中的状态，状态包括“未检”、“在检”、“检毕”和“复测”等，自动化系统在确定所有检测均已完成的情况下，应能将样品密封并将</w:t>
      </w:r>
      <w:proofErr w:type="gramStart"/>
      <w:r>
        <w:rPr>
          <w:rFonts w:hint="eastAsia"/>
          <w:szCs w:val="21"/>
        </w:rPr>
        <w:t>样品送离检测</w:t>
      </w:r>
      <w:proofErr w:type="gramEnd"/>
      <w:r>
        <w:rPr>
          <w:rFonts w:hint="eastAsia"/>
          <w:szCs w:val="21"/>
        </w:rPr>
        <w:t>系统。</w:t>
      </w:r>
    </w:p>
    <w:p w14:paraId="5CBD0A62" w14:textId="77777777" w:rsidR="00E06E80" w:rsidRDefault="00000000">
      <w:pPr>
        <w:ind w:firstLine="420"/>
        <w:rPr>
          <w:szCs w:val="21"/>
        </w:rPr>
      </w:pPr>
      <w:proofErr w:type="gramStart"/>
      <w:r>
        <w:rPr>
          <w:rFonts w:hint="eastAsia"/>
          <w:szCs w:val="21"/>
        </w:rPr>
        <w:t>已检毕</w:t>
      </w:r>
      <w:proofErr w:type="gramEnd"/>
      <w:r>
        <w:rPr>
          <w:rFonts w:hint="eastAsia"/>
          <w:szCs w:val="21"/>
        </w:rPr>
        <w:t>的样品在其有效期内若需复测，实验室操作人员应向自动化系统下达指令，自动化系统应能识别复测的指令，并按要求完成复测。失效或过期的样品，实验室应及时按要求完成样品处置。</w:t>
      </w:r>
    </w:p>
    <w:p w14:paraId="5B443508" w14:textId="77777777" w:rsidR="00E06E80" w:rsidRDefault="00000000">
      <w:pPr>
        <w:pStyle w:val="20"/>
        <w:ind w:firstLine="211"/>
        <w:jc w:val="left"/>
        <w:rPr>
          <w:sz w:val="21"/>
          <w:szCs w:val="21"/>
        </w:rPr>
      </w:pPr>
      <w:bookmarkStart w:id="15" w:name="_Toc16072"/>
      <w:r>
        <w:rPr>
          <w:rFonts w:hint="eastAsia"/>
          <w:sz w:val="21"/>
          <w:szCs w:val="21"/>
        </w:rPr>
        <w:t>4.6</w:t>
      </w:r>
      <w:r>
        <w:rPr>
          <w:rFonts w:hint="eastAsia"/>
          <w:sz w:val="21"/>
          <w:szCs w:val="21"/>
        </w:rPr>
        <w:t>分析检测</w:t>
      </w:r>
      <w:bookmarkEnd w:id="15"/>
    </w:p>
    <w:p w14:paraId="62B34F2B" w14:textId="77777777" w:rsidR="00E06E80" w:rsidRDefault="00000000">
      <w:pPr>
        <w:ind w:firstLine="420"/>
        <w:jc w:val="left"/>
        <w:rPr>
          <w:szCs w:val="21"/>
        </w:rPr>
      </w:pPr>
      <w:r>
        <w:rPr>
          <w:rFonts w:hint="eastAsia"/>
          <w:szCs w:val="21"/>
        </w:rPr>
        <w:t>实验室自动化系统在样品测试之前，应自动完成性能状态核查，选择合适量程进行标线、测试，自动化系统应有必要的措施，消除连续测试、高浓度残留等对结果的影响。当检测样品的浓度超过曲线最高点时，应稀释后测定。曲线截距和斜率应符合出厂范围和检</w:t>
      </w:r>
      <w:r>
        <w:rPr>
          <w:rFonts w:hint="eastAsia"/>
          <w:szCs w:val="21"/>
        </w:rPr>
        <w:lastRenderedPageBreak/>
        <w:t>测方法的要求。</w:t>
      </w:r>
    </w:p>
    <w:p w14:paraId="13F1079B" w14:textId="77777777" w:rsidR="00E06E80" w:rsidRDefault="00000000">
      <w:pPr>
        <w:pStyle w:val="20"/>
        <w:ind w:firstLine="211"/>
        <w:jc w:val="left"/>
        <w:rPr>
          <w:sz w:val="21"/>
          <w:szCs w:val="21"/>
        </w:rPr>
      </w:pPr>
      <w:bookmarkStart w:id="16" w:name="_Toc9223"/>
      <w:r>
        <w:rPr>
          <w:rFonts w:hint="eastAsia"/>
          <w:sz w:val="21"/>
          <w:szCs w:val="21"/>
        </w:rPr>
        <w:t>4.7</w:t>
      </w:r>
      <w:r>
        <w:rPr>
          <w:rFonts w:hint="eastAsia"/>
          <w:sz w:val="21"/>
          <w:szCs w:val="21"/>
        </w:rPr>
        <w:t>质量控制</w:t>
      </w:r>
      <w:bookmarkEnd w:id="16"/>
    </w:p>
    <w:p w14:paraId="20BD76C3" w14:textId="77777777" w:rsidR="00E06E80" w:rsidRDefault="00000000">
      <w:pPr>
        <w:ind w:firstLine="420"/>
        <w:jc w:val="left"/>
        <w:rPr>
          <w:szCs w:val="21"/>
        </w:rPr>
      </w:pPr>
      <w:r>
        <w:rPr>
          <w:rFonts w:hint="eastAsia"/>
          <w:szCs w:val="21"/>
        </w:rPr>
        <w:t>实验室应建立完整的质控方案，包括仪器质控、方法质控（或等效措施）的质量控制手段，并进行有效实施。</w:t>
      </w:r>
      <w:proofErr w:type="gramStart"/>
      <w:r>
        <w:rPr>
          <w:rFonts w:ascii="宋体" w:hAnsi="宋体"/>
          <w:spacing w:val="-2"/>
          <w:szCs w:val="21"/>
        </w:rPr>
        <w:t>除分析</w:t>
      </w:r>
      <w:proofErr w:type="gramEnd"/>
      <w:r>
        <w:rPr>
          <w:rFonts w:ascii="宋体" w:hAnsi="宋体"/>
          <w:spacing w:val="-2"/>
          <w:szCs w:val="21"/>
        </w:rPr>
        <w:t>方法另有规定之</w:t>
      </w:r>
      <w:r>
        <w:rPr>
          <w:rFonts w:ascii="宋体" w:hAnsi="宋体"/>
          <w:spacing w:val="-1"/>
          <w:szCs w:val="21"/>
        </w:rPr>
        <w:t>外</w:t>
      </w:r>
      <w:r>
        <w:rPr>
          <w:rFonts w:ascii="宋体" w:hAnsi="宋体" w:hint="eastAsia"/>
          <w:spacing w:val="-1"/>
          <w:szCs w:val="21"/>
        </w:rPr>
        <w:t>，应满足附表1要求。</w:t>
      </w:r>
    </w:p>
    <w:p w14:paraId="1F81EC2F" w14:textId="77777777" w:rsidR="00E06E80" w:rsidRDefault="00000000">
      <w:pPr>
        <w:ind w:firstLine="420"/>
        <w:jc w:val="left"/>
        <w:rPr>
          <w:szCs w:val="21"/>
        </w:rPr>
      </w:pPr>
      <w:r>
        <w:rPr>
          <w:rFonts w:hint="eastAsia"/>
          <w:szCs w:val="21"/>
        </w:rPr>
        <w:t>实验室自动化系统应对质</w:t>
      </w:r>
      <w:proofErr w:type="gramStart"/>
      <w:r>
        <w:rPr>
          <w:rFonts w:hint="eastAsia"/>
          <w:szCs w:val="21"/>
        </w:rPr>
        <w:t>控结果</w:t>
      </w:r>
      <w:proofErr w:type="gramEnd"/>
      <w:r>
        <w:rPr>
          <w:rFonts w:hint="eastAsia"/>
          <w:szCs w:val="21"/>
        </w:rPr>
        <w:t>符合性做出判断，当仪器质控测试不合格，系统应自动禁用分析模块，通过调试、维护合格后，方可恢复测试。</w:t>
      </w:r>
      <w:proofErr w:type="gramStart"/>
      <w:r>
        <w:rPr>
          <w:rFonts w:hint="eastAsia"/>
          <w:szCs w:val="21"/>
        </w:rPr>
        <w:t>当方法质</w:t>
      </w:r>
      <w:proofErr w:type="gramEnd"/>
      <w:r>
        <w:rPr>
          <w:rFonts w:hint="eastAsia"/>
          <w:szCs w:val="21"/>
        </w:rPr>
        <w:t>控测试不合格，自动进行质控复测，若仍不合格，本批次该项参数的检测结果为无效数据，通过维护后重新测试。</w:t>
      </w:r>
    </w:p>
    <w:p w14:paraId="564E9CA4" w14:textId="77777777" w:rsidR="00E06E80" w:rsidRDefault="00000000">
      <w:pPr>
        <w:pStyle w:val="20"/>
        <w:ind w:firstLine="241"/>
      </w:pPr>
      <w:bookmarkStart w:id="17" w:name="_Toc423"/>
      <w:r>
        <w:rPr>
          <w:rFonts w:hint="eastAsia"/>
        </w:rPr>
        <w:t>4.8</w:t>
      </w:r>
      <w:proofErr w:type="gramStart"/>
      <w:r>
        <w:rPr>
          <w:rFonts w:hint="eastAsia"/>
        </w:rPr>
        <w:t>三</w:t>
      </w:r>
      <w:proofErr w:type="gramEnd"/>
      <w:r>
        <w:rPr>
          <w:rFonts w:hint="eastAsia"/>
        </w:rPr>
        <w:t>级审核</w:t>
      </w:r>
      <w:bookmarkEnd w:id="17"/>
    </w:p>
    <w:p w14:paraId="20DC2A0E" w14:textId="77777777" w:rsidR="00E06E80" w:rsidRDefault="00000000">
      <w:pPr>
        <w:ind w:firstLine="420"/>
        <w:rPr>
          <w:szCs w:val="21"/>
        </w:rPr>
      </w:pPr>
      <w:r>
        <w:rPr>
          <w:rFonts w:hint="eastAsia"/>
          <w:szCs w:val="21"/>
        </w:rPr>
        <w:t>实验室应建立检测数据的三级审核机制，保证检测结果的真实有效，实验室应合理分配审核人员的权限，配合自动化系统的数据管理程序，完成三级审核，三级审核内容如下：</w:t>
      </w:r>
    </w:p>
    <w:p w14:paraId="394612D5" w14:textId="77777777" w:rsidR="00E06E80" w:rsidRDefault="00000000">
      <w:pPr>
        <w:ind w:firstLine="420"/>
        <w:rPr>
          <w:szCs w:val="21"/>
        </w:rPr>
      </w:pPr>
      <w:r>
        <w:rPr>
          <w:rFonts w:hint="eastAsia"/>
          <w:szCs w:val="21"/>
        </w:rPr>
        <w:t>一级审核：优化自动化系统软件功能，对质控、检测结果的逻辑性进行自动审核；</w:t>
      </w:r>
    </w:p>
    <w:p w14:paraId="504D549D" w14:textId="77777777" w:rsidR="00E06E80" w:rsidRDefault="00000000">
      <w:pPr>
        <w:ind w:firstLine="420"/>
        <w:rPr>
          <w:szCs w:val="21"/>
        </w:rPr>
      </w:pPr>
      <w:r>
        <w:rPr>
          <w:rFonts w:hint="eastAsia"/>
          <w:szCs w:val="21"/>
        </w:rPr>
        <w:t>二审审核：对一级审核结果、仪器日志、仪器选择、样品有效性等进行审核；</w:t>
      </w:r>
    </w:p>
    <w:p w14:paraId="41B3DFB4" w14:textId="77777777" w:rsidR="00E06E80" w:rsidRDefault="00000000">
      <w:pPr>
        <w:ind w:firstLine="420"/>
        <w:rPr>
          <w:szCs w:val="21"/>
        </w:rPr>
      </w:pPr>
      <w:r>
        <w:rPr>
          <w:rFonts w:hint="eastAsia"/>
          <w:szCs w:val="21"/>
        </w:rPr>
        <w:t>三级审核：对二级审核结果、方法合理性、检测结果、报告格式和报告的完整性等进行审核。</w:t>
      </w:r>
    </w:p>
    <w:p w14:paraId="2C99DFF9" w14:textId="77777777" w:rsidR="00E06E80" w:rsidRDefault="00000000">
      <w:pPr>
        <w:pStyle w:val="20"/>
        <w:ind w:firstLine="241"/>
      </w:pPr>
      <w:bookmarkStart w:id="18" w:name="_Toc11166"/>
      <w:r>
        <w:rPr>
          <w:rFonts w:hint="eastAsia"/>
        </w:rPr>
        <w:t>4.9</w:t>
      </w:r>
      <w:r>
        <w:rPr>
          <w:rFonts w:hint="eastAsia"/>
        </w:rPr>
        <w:t>检测报告</w:t>
      </w:r>
      <w:bookmarkEnd w:id="18"/>
    </w:p>
    <w:p w14:paraId="2632164C" w14:textId="77777777" w:rsidR="00E06E80" w:rsidRDefault="00000000">
      <w:pPr>
        <w:spacing w:line="284" w:lineRule="auto"/>
        <w:ind w:firstLine="420"/>
        <w:jc w:val="left"/>
        <w:rPr>
          <w:rFonts w:ascii="Times New Roman" w:hAnsi="Times New Roman" w:cs="Times New Roman"/>
          <w:szCs w:val="21"/>
        </w:rPr>
      </w:pPr>
      <w:r>
        <w:rPr>
          <w:rFonts w:ascii="Times New Roman" w:hAnsi="Times New Roman" w:cs="Times New Roman"/>
          <w:szCs w:val="21"/>
        </w:rPr>
        <w:t>自动化系统对检测信息和结果自动生成检测报告，当存在使用的特定方法、送样检测、委托方要求的附加信息、对检测结果的解释等，应做出有关说明。</w:t>
      </w:r>
    </w:p>
    <w:p w14:paraId="6A8E15FB" w14:textId="77777777" w:rsidR="00E06E80" w:rsidRDefault="00000000">
      <w:pPr>
        <w:spacing w:line="284" w:lineRule="auto"/>
        <w:ind w:firstLine="420"/>
        <w:rPr>
          <w:rFonts w:ascii="Times New Roman" w:hAnsi="Times New Roman" w:cs="Times New Roman"/>
          <w:szCs w:val="21"/>
        </w:rPr>
      </w:pPr>
      <w:r>
        <w:rPr>
          <w:rFonts w:ascii="Times New Roman" w:hAnsi="Times New Roman" w:cs="Times New Roman"/>
          <w:szCs w:val="21"/>
        </w:rPr>
        <w:t>检测报告至少包括下列信息：</w:t>
      </w:r>
    </w:p>
    <w:p w14:paraId="67EE3D1C" w14:textId="77777777" w:rsidR="00E06E80" w:rsidRDefault="00000000">
      <w:pPr>
        <w:spacing w:line="284" w:lineRule="auto"/>
        <w:ind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标题</w:t>
      </w:r>
    </w:p>
    <w:p w14:paraId="39AB4FD6" w14:textId="77777777" w:rsidR="00E06E80" w:rsidRDefault="00000000">
      <w:pPr>
        <w:ind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检验检测专用章或标注资质认定标志（适用时）；</w:t>
      </w:r>
    </w:p>
    <w:p w14:paraId="7C229776" w14:textId="77777777" w:rsidR="00E06E80" w:rsidRDefault="00000000">
      <w:pPr>
        <w:spacing w:line="284" w:lineRule="auto"/>
        <w:ind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自动化检测实验室的名称、地址；</w:t>
      </w:r>
    </w:p>
    <w:p w14:paraId="56197816" w14:textId="77777777" w:rsidR="00E06E80" w:rsidRDefault="00000000">
      <w:pPr>
        <w:spacing w:line="284" w:lineRule="auto"/>
        <w:ind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检测</w:t>
      </w:r>
      <w:r>
        <w:rPr>
          <w:rFonts w:ascii="Times New Roman" w:hAnsi="Times New Roman" w:cs="Times New Roman"/>
          <w:spacing w:val="-5"/>
          <w:szCs w:val="21"/>
        </w:rPr>
        <w:t>报告有唯一性编码标识，每页应有页码和总页数，并确保</w:t>
      </w:r>
      <w:r>
        <w:rPr>
          <w:rFonts w:ascii="Times New Roman" w:hAnsi="Times New Roman" w:cs="Times New Roman"/>
          <w:szCs w:val="21"/>
        </w:rPr>
        <w:t>能有效识别该页是属于检测报告的一部分，</w:t>
      </w:r>
      <w:r>
        <w:rPr>
          <w:rFonts w:ascii="Times New Roman" w:hAnsi="Times New Roman" w:cs="Times New Roman"/>
          <w:spacing w:val="-5"/>
          <w:szCs w:val="21"/>
        </w:rPr>
        <w:t>结尾处有结束标识；</w:t>
      </w:r>
    </w:p>
    <w:p w14:paraId="2A20C553" w14:textId="77777777" w:rsidR="00E06E80" w:rsidRDefault="00000000">
      <w:pPr>
        <w:spacing w:line="284" w:lineRule="auto"/>
        <w:ind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客户名称、联系人信息；</w:t>
      </w:r>
    </w:p>
    <w:p w14:paraId="463ED91E" w14:textId="77777777" w:rsidR="00E06E80" w:rsidRDefault="00000000">
      <w:pPr>
        <w:spacing w:line="284" w:lineRule="auto"/>
        <w:ind w:firstLine="424"/>
        <w:rPr>
          <w:rFonts w:ascii="Times New Roman" w:hAnsi="Times New Roman" w:cs="Times New Roman"/>
          <w:szCs w:val="21"/>
        </w:rPr>
      </w:pPr>
      <w:r>
        <w:rPr>
          <w:rFonts w:ascii="Times New Roman" w:hAnsi="Times New Roman" w:cs="Times New Roman"/>
          <w:spacing w:val="1"/>
          <w:szCs w:val="21"/>
        </w:rPr>
        <w:t>6.</w:t>
      </w:r>
      <w:r>
        <w:rPr>
          <w:rFonts w:ascii="Times New Roman" w:hAnsi="Times New Roman" w:cs="Times New Roman"/>
          <w:spacing w:val="1"/>
          <w:szCs w:val="21"/>
        </w:rPr>
        <w:t>检测项目、方法；</w:t>
      </w:r>
    </w:p>
    <w:p w14:paraId="741C372D" w14:textId="77777777" w:rsidR="00E06E80" w:rsidRDefault="00000000">
      <w:pPr>
        <w:spacing w:line="284" w:lineRule="auto"/>
        <w:ind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检测样品的标识、和状态描述；</w:t>
      </w:r>
    </w:p>
    <w:p w14:paraId="797DAD09" w14:textId="77777777" w:rsidR="00E06E80" w:rsidRDefault="00000000">
      <w:pPr>
        <w:spacing w:line="284" w:lineRule="auto"/>
        <w:ind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采样、检测和报告的日期；</w:t>
      </w:r>
    </w:p>
    <w:p w14:paraId="65641D7D" w14:textId="77777777" w:rsidR="00E06E80" w:rsidRDefault="00000000">
      <w:pPr>
        <w:spacing w:line="284" w:lineRule="auto"/>
        <w:ind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对检测结果的有效性或应用有影响时，提供实验室所用的抽样计划和程序的说明；</w:t>
      </w:r>
    </w:p>
    <w:p w14:paraId="4CCC41EA" w14:textId="77777777" w:rsidR="00E06E80" w:rsidRDefault="00000000">
      <w:pPr>
        <w:spacing w:line="284" w:lineRule="auto"/>
        <w:ind w:firstLine="420"/>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采样（送样）、检测、审核、批准人员；</w:t>
      </w:r>
    </w:p>
    <w:p w14:paraId="5309915D" w14:textId="77777777" w:rsidR="00E06E80" w:rsidRDefault="00000000">
      <w:pPr>
        <w:spacing w:line="284" w:lineRule="auto"/>
        <w:ind w:firstLine="420"/>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检测结果的测量单位（适用时）；</w:t>
      </w:r>
    </w:p>
    <w:p w14:paraId="311A7115" w14:textId="77777777" w:rsidR="00E06E80" w:rsidRDefault="00000000">
      <w:pPr>
        <w:spacing w:line="284" w:lineRule="auto"/>
        <w:ind w:firstLine="420"/>
        <w:rPr>
          <w:rFonts w:ascii="Times New Roman" w:hAnsi="Times New Roman" w:cs="Times New Roman"/>
          <w:szCs w:val="21"/>
        </w:rPr>
      </w:pPr>
      <w:r>
        <w:rPr>
          <w:rFonts w:ascii="Times New Roman" w:hAnsi="Times New Roman" w:cs="Times New Roman"/>
          <w:szCs w:val="21"/>
        </w:rPr>
        <w:t>12.</w:t>
      </w:r>
      <w:r>
        <w:rPr>
          <w:rFonts w:ascii="Times New Roman" w:hAnsi="Times New Roman" w:cs="Times New Roman"/>
          <w:szCs w:val="21"/>
        </w:rPr>
        <w:t>不负责采样的送样检测时，应在报中做类似</w:t>
      </w:r>
      <w:r>
        <w:rPr>
          <w:rFonts w:ascii="Times New Roman" w:hAnsi="Times New Roman" w:cs="Times New Roman"/>
          <w:szCs w:val="21"/>
        </w:rPr>
        <w:t>“</w:t>
      </w:r>
      <w:r>
        <w:rPr>
          <w:rFonts w:ascii="Times New Roman" w:hAnsi="Times New Roman" w:cs="Times New Roman"/>
          <w:szCs w:val="21"/>
        </w:rPr>
        <w:t>检测结果仅对送检样品负责</w:t>
      </w:r>
      <w:r>
        <w:rPr>
          <w:rFonts w:ascii="Times New Roman" w:hAnsi="Times New Roman" w:cs="Times New Roman"/>
          <w:szCs w:val="21"/>
        </w:rPr>
        <w:t>”</w:t>
      </w:r>
      <w:r>
        <w:rPr>
          <w:rFonts w:ascii="Times New Roman" w:hAnsi="Times New Roman" w:cs="Times New Roman"/>
          <w:szCs w:val="21"/>
        </w:rPr>
        <w:t>的声明；</w:t>
      </w:r>
    </w:p>
    <w:p w14:paraId="5E70F35E" w14:textId="77777777" w:rsidR="00E06E80" w:rsidRDefault="00000000">
      <w:pPr>
        <w:spacing w:line="284" w:lineRule="auto"/>
        <w:ind w:firstLine="420"/>
        <w:rPr>
          <w:rFonts w:ascii="Times New Roman" w:hAnsi="Times New Roman" w:cs="Times New Roman"/>
          <w:szCs w:val="21"/>
        </w:rPr>
      </w:pPr>
      <w:r>
        <w:rPr>
          <w:rFonts w:ascii="Times New Roman" w:hAnsi="Times New Roman" w:cs="Times New Roman"/>
          <w:szCs w:val="21"/>
        </w:rPr>
        <w:t>13.</w:t>
      </w:r>
      <w:r>
        <w:rPr>
          <w:rFonts w:ascii="Times New Roman" w:hAnsi="Times New Roman" w:cs="Times New Roman"/>
          <w:szCs w:val="21"/>
        </w:rPr>
        <w:t>客户所要求的附加信息，应有明确的标识，当客户提供的信息可能对结果的有效性有影响时，应有免责声明。</w:t>
      </w:r>
    </w:p>
    <w:p w14:paraId="2E353497" w14:textId="77777777" w:rsidR="00E06E80" w:rsidRDefault="00000000">
      <w:pPr>
        <w:spacing w:line="284" w:lineRule="auto"/>
        <w:ind w:firstLine="420"/>
        <w:jc w:val="left"/>
        <w:rPr>
          <w:rFonts w:ascii="Times New Roman" w:hAnsi="Times New Roman" w:cs="Times New Roman"/>
          <w:szCs w:val="21"/>
        </w:rPr>
      </w:pPr>
      <w:r>
        <w:rPr>
          <w:rFonts w:ascii="Times New Roman" w:hAnsi="Times New Roman" w:cs="Times New Roman"/>
          <w:szCs w:val="21"/>
        </w:rPr>
        <w:t>检测报告需要更正或者补充时，应收回原报告，修改后的检测报告应有新的唯一性标识，并注明原报告作废的标识和声明。</w:t>
      </w:r>
    </w:p>
    <w:p w14:paraId="4A2F5DB8" w14:textId="77777777" w:rsidR="00E06E80" w:rsidRDefault="00E06E80">
      <w:pPr>
        <w:pStyle w:val="2"/>
      </w:pPr>
    </w:p>
    <w:p w14:paraId="162B4605" w14:textId="77777777" w:rsidR="00E06E80" w:rsidRDefault="00000000">
      <w:pPr>
        <w:pStyle w:val="1"/>
      </w:pPr>
      <w:bookmarkStart w:id="19" w:name="_Toc25703"/>
      <w:r>
        <w:rPr>
          <w:rFonts w:hint="eastAsia"/>
        </w:rPr>
        <w:lastRenderedPageBreak/>
        <w:t>运行管理要求</w:t>
      </w:r>
      <w:bookmarkEnd w:id="19"/>
    </w:p>
    <w:p w14:paraId="1529F00E" w14:textId="77777777" w:rsidR="00E06E80" w:rsidRDefault="00000000">
      <w:pPr>
        <w:pStyle w:val="20"/>
        <w:ind w:firstLine="241"/>
      </w:pPr>
      <w:bookmarkStart w:id="20" w:name="_Toc22641"/>
      <w:r>
        <w:rPr>
          <w:rFonts w:hint="eastAsia"/>
        </w:rPr>
        <w:t>5.1</w:t>
      </w:r>
      <w:r>
        <w:rPr>
          <w:rFonts w:hint="eastAsia"/>
        </w:rPr>
        <w:t>设备</w:t>
      </w:r>
      <w:r>
        <w:rPr>
          <w:rFonts w:hint="eastAsia"/>
        </w:rPr>
        <w:t>/</w:t>
      </w:r>
      <w:r>
        <w:rPr>
          <w:rFonts w:hint="eastAsia"/>
        </w:rPr>
        <w:t>方法管理</w:t>
      </w:r>
      <w:bookmarkEnd w:id="20"/>
    </w:p>
    <w:p w14:paraId="04EB1272" w14:textId="77777777" w:rsidR="00E06E80" w:rsidRDefault="00000000">
      <w:pPr>
        <w:ind w:firstLine="422"/>
        <w:rPr>
          <w:b/>
          <w:bCs/>
        </w:rPr>
      </w:pPr>
      <w:r>
        <w:rPr>
          <w:rFonts w:hint="eastAsia"/>
          <w:b/>
          <w:bCs/>
        </w:rPr>
        <w:t>5.1.1</w:t>
      </w:r>
      <w:r>
        <w:rPr>
          <w:rFonts w:hint="eastAsia"/>
          <w:b/>
          <w:bCs/>
        </w:rPr>
        <w:t>设备的配置与确认</w:t>
      </w:r>
    </w:p>
    <w:p w14:paraId="492F4C39" w14:textId="77777777" w:rsidR="00E06E80" w:rsidRDefault="00000000">
      <w:pPr>
        <w:spacing w:line="284" w:lineRule="auto"/>
        <w:ind w:firstLine="420"/>
        <w:rPr>
          <w:szCs w:val="21"/>
        </w:rPr>
      </w:pPr>
      <w:r>
        <w:rPr>
          <w:rFonts w:hint="eastAsia"/>
          <w:szCs w:val="21"/>
        </w:rPr>
        <w:t>实验室</w:t>
      </w:r>
      <w:r>
        <w:rPr>
          <w:szCs w:val="21"/>
        </w:rPr>
        <w:t>应配备检测工作所需的</w:t>
      </w:r>
      <w:r>
        <w:rPr>
          <w:rFonts w:hint="eastAsia"/>
          <w:szCs w:val="21"/>
        </w:rPr>
        <w:t>检测</w:t>
      </w:r>
      <w:r>
        <w:rPr>
          <w:szCs w:val="21"/>
        </w:rPr>
        <w:t>仪器和辅助设备。并保证用于检测的设备设施有利于检测工作的开展。</w:t>
      </w:r>
      <w:r>
        <w:rPr>
          <w:rFonts w:hint="eastAsia"/>
          <w:szCs w:val="21"/>
        </w:rPr>
        <w:t>实验室应对新接入自动化管理的设备进行确认，确认内容应至少包括检测仪器使用的检测方法、检出限、准确度、精密度等，必要时，应通过实验进行验证。</w:t>
      </w:r>
    </w:p>
    <w:p w14:paraId="368BF203" w14:textId="77777777" w:rsidR="00E06E80" w:rsidRDefault="00000000">
      <w:pPr>
        <w:spacing w:line="284" w:lineRule="auto"/>
        <w:ind w:firstLine="420"/>
        <w:rPr>
          <w:szCs w:val="21"/>
        </w:rPr>
      </w:pPr>
      <w:r>
        <w:rPr>
          <w:rFonts w:hint="eastAsia"/>
          <w:szCs w:val="21"/>
        </w:rPr>
        <w:t>实验室应优先考虑使用国标方法的检测仪器，若仪器进行检测时，使用的方法与标准方法存在偏离（如试剂加入量不一致、消解温度</w:t>
      </w:r>
      <w:proofErr w:type="gramStart"/>
      <w:r>
        <w:rPr>
          <w:rFonts w:hint="eastAsia"/>
          <w:szCs w:val="21"/>
        </w:rPr>
        <w:t>不</w:t>
      </w:r>
      <w:proofErr w:type="gramEnd"/>
      <w:r>
        <w:rPr>
          <w:rFonts w:hint="eastAsia"/>
          <w:szCs w:val="21"/>
        </w:rPr>
        <w:t>同等），实验室应通过实验验证方法偏离的可行性，并编制可行性报告。</w:t>
      </w:r>
    </w:p>
    <w:p w14:paraId="31D0259F" w14:textId="77777777" w:rsidR="00E06E80" w:rsidRDefault="00000000">
      <w:pPr>
        <w:ind w:firstLine="422"/>
        <w:rPr>
          <w:b/>
          <w:bCs/>
        </w:rPr>
      </w:pPr>
      <w:r>
        <w:rPr>
          <w:rFonts w:hint="eastAsia"/>
          <w:b/>
          <w:bCs/>
        </w:rPr>
        <w:t>5.1.2</w:t>
      </w:r>
      <w:r>
        <w:rPr>
          <w:rFonts w:hint="eastAsia"/>
          <w:b/>
          <w:bCs/>
        </w:rPr>
        <w:t>设备的中期管理</w:t>
      </w:r>
    </w:p>
    <w:p w14:paraId="19401802" w14:textId="77777777" w:rsidR="00E06E80" w:rsidRDefault="00000000">
      <w:pPr>
        <w:spacing w:line="284" w:lineRule="auto"/>
        <w:ind w:firstLine="420"/>
        <w:rPr>
          <w:szCs w:val="21"/>
        </w:rPr>
      </w:pPr>
      <w:r>
        <w:rPr>
          <w:rFonts w:hint="eastAsia"/>
          <w:szCs w:val="21"/>
        </w:rPr>
        <w:t>实验室使用的</w:t>
      </w:r>
      <w:r>
        <w:rPr>
          <w:szCs w:val="21"/>
        </w:rPr>
        <w:t>每台</w:t>
      </w:r>
      <w:r>
        <w:rPr>
          <w:rFonts w:hint="eastAsia"/>
          <w:szCs w:val="21"/>
        </w:rPr>
        <w:t>检测</w:t>
      </w:r>
      <w:r>
        <w:rPr>
          <w:szCs w:val="21"/>
        </w:rPr>
        <w:t>仪器应</w:t>
      </w:r>
      <w:r>
        <w:rPr>
          <w:rFonts w:hint="eastAsia"/>
          <w:szCs w:val="21"/>
        </w:rPr>
        <w:t>具</w:t>
      </w:r>
      <w:r>
        <w:rPr>
          <w:szCs w:val="21"/>
        </w:rPr>
        <w:t>有唯一性标识，并有标志表明其溯源、验证和功能状态。对设备出现故障或者异常时，</w:t>
      </w:r>
      <w:r>
        <w:rPr>
          <w:rFonts w:hint="eastAsia"/>
          <w:szCs w:val="21"/>
        </w:rPr>
        <w:t>实验室</w:t>
      </w:r>
      <w:r>
        <w:rPr>
          <w:szCs w:val="21"/>
        </w:rPr>
        <w:t>应采取相应措施，如停止使用、隔离或停用标签、标记，直至修复并通过溯源或验证表明能正常工作为止，应核查这些缺陷或偏离对以前检测结果的影响。</w:t>
      </w:r>
    </w:p>
    <w:p w14:paraId="4AE5D6FF" w14:textId="77777777" w:rsidR="00E06E80" w:rsidRDefault="00000000">
      <w:pPr>
        <w:ind w:firstLine="422"/>
        <w:rPr>
          <w:b/>
          <w:bCs/>
        </w:rPr>
      </w:pPr>
      <w:r>
        <w:rPr>
          <w:rFonts w:hint="eastAsia"/>
          <w:b/>
          <w:bCs/>
        </w:rPr>
        <w:t>5.1.3</w:t>
      </w:r>
      <w:r>
        <w:rPr>
          <w:rFonts w:hint="eastAsia"/>
          <w:b/>
          <w:bCs/>
        </w:rPr>
        <w:t>设备的性能核查</w:t>
      </w:r>
    </w:p>
    <w:p w14:paraId="6E75DF68" w14:textId="77777777" w:rsidR="00E06E80" w:rsidRDefault="00000000">
      <w:pPr>
        <w:spacing w:line="284" w:lineRule="auto"/>
        <w:ind w:firstLine="420"/>
        <w:rPr>
          <w:szCs w:val="21"/>
        </w:rPr>
      </w:pPr>
      <w:r>
        <w:rPr>
          <w:rFonts w:hint="eastAsia"/>
          <w:szCs w:val="21"/>
        </w:rPr>
        <w:t>实验室应定期对检测</w:t>
      </w:r>
      <w:r>
        <w:rPr>
          <w:szCs w:val="21"/>
        </w:rPr>
        <w:t>仪器</w:t>
      </w:r>
      <w:r>
        <w:rPr>
          <w:rFonts w:hint="eastAsia"/>
          <w:szCs w:val="21"/>
        </w:rPr>
        <w:t>进行性能核查。</w:t>
      </w:r>
      <w:r>
        <w:rPr>
          <w:szCs w:val="21"/>
        </w:rPr>
        <w:t>核查的方式包括仪器比对、方法比对、标准物质验证（包括加标回收）、单点自校、用稳定性</w:t>
      </w:r>
      <w:proofErr w:type="gramStart"/>
      <w:r>
        <w:rPr>
          <w:szCs w:val="21"/>
        </w:rPr>
        <w:t>好的样检重复检查</w:t>
      </w:r>
      <w:proofErr w:type="gramEnd"/>
      <w:r>
        <w:rPr>
          <w:szCs w:val="21"/>
        </w:rPr>
        <w:t>等。进行</w:t>
      </w:r>
      <w:r>
        <w:rPr>
          <w:rFonts w:hint="eastAsia"/>
          <w:szCs w:val="21"/>
        </w:rPr>
        <w:t>性能</w:t>
      </w:r>
      <w:r>
        <w:rPr>
          <w:szCs w:val="21"/>
        </w:rPr>
        <w:t>核查后，</w:t>
      </w:r>
      <w:r>
        <w:rPr>
          <w:rFonts w:hint="eastAsia"/>
          <w:szCs w:val="21"/>
        </w:rPr>
        <w:t>实验室</w:t>
      </w:r>
      <w:r>
        <w:rPr>
          <w:szCs w:val="21"/>
        </w:rPr>
        <w:t>应对数据进行分析和评价，如经分析发现仪器设备已经出现较大偏离，可能导致检测结果不可靠时，应按相关规定处理（包括重新校准）</w:t>
      </w:r>
      <w:r>
        <w:rPr>
          <w:rFonts w:hint="eastAsia"/>
          <w:szCs w:val="21"/>
        </w:rPr>
        <w:t>，</w:t>
      </w:r>
      <w:r>
        <w:rPr>
          <w:szCs w:val="21"/>
        </w:rPr>
        <w:t>直到经检验的结果是满意时方可投入使用。</w:t>
      </w:r>
    </w:p>
    <w:p w14:paraId="3B0892C4" w14:textId="77777777" w:rsidR="00E06E80" w:rsidRDefault="00000000">
      <w:pPr>
        <w:spacing w:line="360" w:lineRule="auto"/>
        <w:ind w:firstLine="422"/>
        <w:rPr>
          <w:b/>
          <w:bCs/>
        </w:rPr>
      </w:pPr>
      <w:r>
        <w:rPr>
          <w:rFonts w:hint="eastAsia"/>
          <w:b/>
          <w:bCs/>
        </w:rPr>
        <w:t>5.1.4</w:t>
      </w:r>
      <w:r>
        <w:rPr>
          <w:rFonts w:hint="eastAsia"/>
          <w:b/>
          <w:bCs/>
        </w:rPr>
        <w:t>仪器的校准</w:t>
      </w:r>
    </w:p>
    <w:p w14:paraId="52F337F4" w14:textId="77777777" w:rsidR="00E06E80" w:rsidRDefault="00000000">
      <w:pPr>
        <w:ind w:firstLine="420"/>
      </w:pPr>
      <w:r>
        <w:rPr>
          <w:rFonts w:hint="eastAsia"/>
        </w:rPr>
        <w:t>实验室应定期对检测仪器进行校准，以确定检测仪器持续满足检测的需求，校准应使用有证标准物质，对仪器进行单点自校核查，对校准不通过的仪器，实验室应重新对检测仪器进行曲线标定并测试有证标准样品验证其准确性，标定的曲线应满足检测方法的要求。</w:t>
      </w:r>
    </w:p>
    <w:p w14:paraId="57B661CF" w14:textId="77777777" w:rsidR="00E06E80" w:rsidRDefault="00000000">
      <w:pPr>
        <w:pStyle w:val="20"/>
        <w:ind w:firstLine="241"/>
      </w:pPr>
      <w:bookmarkStart w:id="21" w:name="_Toc6609"/>
      <w:r>
        <w:rPr>
          <w:rFonts w:hint="eastAsia"/>
        </w:rPr>
        <w:t>5.2</w:t>
      </w:r>
      <w:r>
        <w:rPr>
          <w:rFonts w:hint="eastAsia"/>
        </w:rPr>
        <w:t>试剂</w:t>
      </w:r>
      <w:r>
        <w:rPr>
          <w:rFonts w:hint="eastAsia"/>
        </w:rPr>
        <w:t>/</w:t>
      </w:r>
      <w:proofErr w:type="gramStart"/>
      <w:r>
        <w:rPr>
          <w:rFonts w:hint="eastAsia"/>
        </w:rPr>
        <w:t>标液管理</w:t>
      </w:r>
      <w:bookmarkEnd w:id="21"/>
      <w:proofErr w:type="gramEnd"/>
    </w:p>
    <w:p w14:paraId="0AD317B2" w14:textId="77777777" w:rsidR="00E06E80" w:rsidRDefault="00000000">
      <w:pPr>
        <w:ind w:firstLine="422"/>
        <w:rPr>
          <w:b/>
          <w:bCs/>
        </w:rPr>
      </w:pPr>
      <w:r>
        <w:rPr>
          <w:rFonts w:hint="eastAsia"/>
          <w:b/>
          <w:bCs/>
        </w:rPr>
        <w:t>5.2.1</w:t>
      </w:r>
      <w:proofErr w:type="gramStart"/>
      <w:r>
        <w:rPr>
          <w:rFonts w:hint="eastAsia"/>
          <w:b/>
          <w:bCs/>
        </w:rPr>
        <w:t>试剂标液的</w:t>
      </w:r>
      <w:proofErr w:type="gramEnd"/>
      <w:r>
        <w:rPr>
          <w:rFonts w:hint="eastAsia"/>
          <w:b/>
          <w:bCs/>
        </w:rPr>
        <w:t>验收</w:t>
      </w:r>
    </w:p>
    <w:p w14:paraId="5F40C4CE" w14:textId="77777777" w:rsidR="00E06E80" w:rsidRDefault="00000000">
      <w:pPr>
        <w:ind w:firstLine="420"/>
      </w:pPr>
      <w:r>
        <w:rPr>
          <w:rFonts w:hint="eastAsia"/>
        </w:rPr>
        <w:t>实验室应组织人员对检测仪器所使用的检测试剂和标准样品进行验收，试剂的验收应至少包括</w:t>
      </w:r>
      <w:r>
        <w:t>规格、纯度、等级、生产日期、有效期</w:t>
      </w:r>
      <w:r>
        <w:rPr>
          <w:rFonts w:hint="eastAsia"/>
        </w:rPr>
        <w:t>和数量等，标准物质的验收应至少包括数量、标识、密封性、证书等。实验室应为验收合格的试剂和标准物质建立</w:t>
      </w:r>
      <w:proofErr w:type="gramStart"/>
      <w:r>
        <w:rPr>
          <w:rFonts w:hint="eastAsia"/>
        </w:rPr>
        <w:t>台账并规范</w:t>
      </w:r>
      <w:proofErr w:type="gramEnd"/>
      <w:r>
        <w:rPr>
          <w:rFonts w:hint="eastAsia"/>
        </w:rPr>
        <w:t>出入库管理，防止使用过期或失效的试剂或标液。</w:t>
      </w:r>
    </w:p>
    <w:p w14:paraId="52CAF511" w14:textId="77777777" w:rsidR="00E06E80" w:rsidRDefault="00000000">
      <w:pPr>
        <w:ind w:firstLine="422"/>
        <w:rPr>
          <w:b/>
          <w:bCs/>
        </w:rPr>
      </w:pPr>
      <w:r>
        <w:rPr>
          <w:rFonts w:hint="eastAsia"/>
          <w:b/>
          <w:bCs/>
        </w:rPr>
        <w:t>5.2.2</w:t>
      </w:r>
      <w:proofErr w:type="gramStart"/>
      <w:r>
        <w:rPr>
          <w:rFonts w:hint="eastAsia"/>
          <w:b/>
          <w:bCs/>
        </w:rPr>
        <w:t>试剂标液的</w:t>
      </w:r>
      <w:proofErr w:type="gramEnd"/>
      <w:r>
        <w:rPr>
          <w:rFonts w:hint="eastAsia"/>
          <w:b/>
          <w:bCs/>
        </w:rPr>
        <w:t>储存</w:t>
      </w:r>
    </w:p>
    <w:p w14:paraId="4F286C09" w14:textId="77777777" w:rsidR="00E06E80" w:rsidRDefault="00000000">
      <w:pPr>
        <w:ind w:firstLine="420"/>
      </w:pPr>
      <w:r>
        <w:rPr>
          <w:rFonts w:hint="eastAsia"/>
        </w:rPr>
        <w:t>实验室应定期检查在用检测试剂的剩余量、有效期和保存环境，避免出现检测过程中缺少试剂或使用失效试剂的情况。验收合格但未开始使用的试剂和标准物质，实验室也应定期检查其保存条件并核查有效期，如发现失效或过期的物品，应及时处理。</w:t>
      </w:r>
    </w:p>
    <w:p w14:paraId="5CC56D75" w14:textId="77777777" w:rsidR="00E06E80" w:rsidRDefault="00000000">
      <w:pPr>
        <w:ind w:firstLine="422"/>
        <w:rPr>
          <w:b/>
          <w:bCs/>
        </w:rPr>
      </w:pPr>
      <w:r>
        <w:rPr>
          <w:rFonts w:hint="eastAsia"/>
          <w:b/>
          <w:bCs/>
        </w:rPr>
        <w:t>5.2.3</w:t>
      </w:r>
      <w:proofErr w:type="gramStart"/>
      <w:r>
        <w:rPr>
          <w:rFonts w:hint="eastAsia"/>
          <w:b/>
          <w:bCs/>
        </w:rPr>
        <w:t>试剂标液的</w:t>
      </w:r>
      <w:proofErr w:type="gramEnd"/>
      <w:r>
        <w:rPr>
          <w:rFonts w:hint="eastAsia"/>
          <w:b/>
          <w:bCs/>
        </w:rPr>
        <w:t>使用</w:t>
      </w:r>
    </w:p>
    <w:p w14:paraId="1D0519B1" w14:textId="77777777" w:rsidR="00E06E80" w:rsidRDefault="00000000">
      <w:pPr>
        <w:ind w:firstLine="420"/>
      </w:pPr>
      <w:r>
        <w:rPr>
          <w:rFonts w:hint="eastAsia"/>
        </w:rPr>
        <w:t>实验室应为检测试剂和</w:t>
      </w:r>
      <w:proofErr w:type="gramStart"/>
      <w:r>
        <w:rPr>
          <w:rFonts w:hint="eastAsia"/>
        </w:rPr>
        <w:t>标液建立</w:t>
      </w:r>
      <w:proofErr w:type="gramEnd"/>
      <w:r>
        <w:rPr>
          <w:rFonts w:hint="eastAsia"/>
        </w:rPr>
        <w:t>管理台账，并进行出入库管理，做到按需领用。实验室自动化系统应对在用试剂、</w:t>
      </w:r>
      <w:proofErr w:type="gramStart"/>
      <w:r>
        <w:rPr>
          <w:rFonts w:hint="eastAsia"/>
        </w:rPr>
        <w:t>标液的</w:t>
      </w:r>
      <w:proofErr w:type="gramEnd"/>
      <w:r>
        <w:rPr>
          <w:rFonts w:hint="eastAsia"/>
        </w:rPr>
        <w:t>有效期、余量等实时监控，并有警报提示。</w:t>
      </w:r>
    </w:p>
    <w:p w14:paraId="67B75C43" w14:textId="77777777" w:rsidR="00E06E80" w:rsidRDefault="00000000">
      <w:pPr>
        <w:ind w:firstLine="422"/>
        <w:rPr>
          <w:b/>
          <w:bCs/>
        </w:rPr>
      </w:pPr>
      <w:r>
        <w:rPr>
          <w:rFonts w:hint="eastAsia"/>
          <w:b/>
          <w:bCs/>
        </w:rPr>
        <w:t>5.2.4</w:t>
      </w:r>
      <w:proofErr w:type="gramStart"/>
      <w:r>
        <w:rPr>
          <w:rFonts w:hint="eastAsia"/>
          <w:b/>
          <w:bCs/>
        </w:rPr>
        <w:t>试剂标液的</w:t>
      </w:r>
      <w:proofErr w:type="gramEnd"/>
      <w:r>
        <w:rPr>
          <w:rFonts w:hint="eastAsia"/>
          <w:b/>
          <w:bCs/>
        </w:rPr>
        <w:t>处置</w:t>
      </w:r>
    </w:p>
    <w:p w14:paraId="005B62B1" w14:textId="77777777" w:rsidR="00E06E80" w:rsidRDefault="00000000">
      <w:pPr>
        <w:ind w:firstLine="420"/>
      </w:pPr>
      <w:r>
        <w:rPr>
          <w:rFonts w:hint="eastAsia"/>
        </w:rPr>
        <w:lastRenderedPageBreak/>
        <w:t>实验室应对检测或存储过程中产生的过期、变质的试剂进行有效区分、分类存放，定期处理，处理时应满足环境保护或相关法规的要求；对于实验室产生的危险废物，应定期交由有处理危险废物资质的单位处置。</w:t>
      </w:r>
    </w:p>
    <w:p w14:paraId="4CE5C670" w14:textId="77777777" w:rsidR="00E06E80" w:rsidRDefault="00000000">
      <w:pPr>
        <w:pStyle w:val="20"/>
        <w:ind w:firstLine="241"/>
      </w:pPr>
      <w:bookmarkStart w:id="22" w:name="_Toc21289"/>
      <w:r>
        <w:rPr>
          <w:rFonts w:hint="eastAsia"/>
        </w:rPr>
        <w:t>5.3</w:t>
      </w:r>
      <w:r>
        <w:rPr>
          <w:rFonts w:hint="eastAsia"/>
        </w:rPr>
        <w:t>环境设施管理</w:t>
      </w:r>
      <w:bookmarkEnd w:id="22"/>
    </w:p>
    <w:p w14:paraId="25FAA1FD" w14:textId="77777777" w:rsidR="00E06E80" w:rsidRDefault="00000000">
      <w:pPr>
        <w:ind w:firstLine="422"/>
        <w:rPr>
          <w:b/>
          <w:bCs/>
        </w:rPr>
      </w:pPr>
      <w:r>
        <w:rPr>
          <w:rFonts w:hint="eastAsia"/>
          <w:b/>
          <w:bCs/>
        </w:rPr>
        <w:t>5.3.1</w:t>
      </w:r>
      <w:r>
        <w:rPr>
          <w:rFonts w:hint="eastAsia"/>
          <w:b/>
          <w:bCs/>
        </w:rPr>
        <w:t>环境设施的配置</w:t>
      </w:r>
    </w:p>
    <w:p w14:paraId="1B252CF8" w14:textId="77777777" w:rsidR="00E06E80" w:rsidRDefault="00000000">
      <w:pPr>
        <w:ind w:firstLine="420"/>
      </w:pPr>
      <w:r>
        <w:t>检测场所应具备检测活动所需的房间和功能区。</w:t>
      </w:r>
      <w:r>
        <w:rPr>
          <w:rFonts w:hint="eastAsia"/>
        </w:rPr>
        <w:t>实验室</w:t>
      </w:r>
      <w:r>
        <w:t>应根据各区功能和相关控制要求，</w:t>
      </w:r>
      <w:r>
        <w:rPr>
          <w:rFonts w:hint="eastAsia"/>
        </w:rPr>
        <w:t>实验室的建设面积应满足检测工作的需要，实验室内应</w:t>
      </w:r>
      <w:r>
        <w:t>配备相适宜的给排水、供电、通风系统、信息系统、防尘、防震、控温、控湿、安全防护、监控等设施。</w:t>
      </w:r>
      <w:r>
        <w:rPr>
          <w:rFonts w:hint="eastAsia"/>
        </w:rPr>
        <w:t>其中实验室的供电功率应大于所有检测相关仪器的用电功率，实验室内通风应保证不会对检测工作造成干扰，信息系统</w:t>
      </w:r>
      <w:proofErr w:type="gramStart"/>
      <w:r>
        <w:rPr>
          <w:rFonts w:hint="eastAsia"/>
        </w:rPr>
        <w:t>网速应满足</w:t>
      </w:r>
      <w:proofErr w:type="gramEnd"/>
      <w:r>
        <w:rPr>
          <w:rFonts w:hint="eastAsia"/>
        </w:rPr>
        <w:t>检测工作的需要，并采取措施保证信息系统、监控设施、安全防护功能不会收到来自外界攻击的干扰。</w:t>
      </w:r>
    </w:p>
    <w:p w14:paraId="7C3AF98F" w14:textId="77777777" w:rsidR="00E06E80" w:rsidRDefault="00000000">
      <w:pPr>
        <w:ind w:firstLine="420"/>
      </w:pPr>
      <w:r>
        <w:t>各区域环境要能够满足检测工作需要，保证不会对检测结果和人员健康产生不良影响。环境条件应采取监控措施，并自动记录采样或检测的环境条件，当环境条件不能满足检测要求时，应停止检测活动。</w:t>
      </w:r>
    </w:p>
    <w:p w14:paraId="7D84F07C" w14:textId="77777777" w:rsidR="00E06E80" w:rsidRDefault="00000000">
      <w:pPr>
        <w:ind w:firstLine="422"/>
        <w:rPr>
          <w:b/>
          <w:bCs/>
        </w:rPr>
      </w:pPr>
      <w:r>
        <w:rPr>
          <w:rFonts w:hint="eastAsia"/>
          <w:b/>
          <w:bCs/>
        </w:rPr>
        <w:t>5.3.2</w:t>
      </w:r>
      <w:r>
        <w:rPr>
          <w:rFonts w:hint="eastAsia"/>
          <w:b/>
          <w:bCs/>
        </w:rPr>
        <w:t>环境设施的管理</w:t>
      </w:r>
    </w:p>
    <w:p w14:paraId="700AC9E4" w14:textId="77777777" w:rsidR="00E06E80" w:rsidRDefault="00000000">
      <w:pPr>
        <w:ind w:firstLine="420"/>
      </w:pPr>
      <w:r>
        <w:t>检测场所应设有必要的安全警示标识，配备安全防护装备或设施，并定期检查其有效性，满足操作人员健康安全和环境保护的要求。</w:t>
      </w:r>
    </w:p>
    <w:p w14:paraId="68F031FA" w14:textId="77777777" w:rsidR="00E06E80" w:rsidRDefault="00000000">
      <w:pPr>
        <w:ind w:firstLine="420"/>
      </w:pPr>
      <w:r>
        <w:t>检测区域应设立明显的警示标识并加以控制，禁止无关人员进入。其他人员进入实验区域必须经过批准、有专人陪伴并登记在册。</w:t>
      </w:r>
      <w:r>
        <w:rPr>
          <w:rFonts w:hint="eastAsia"/>
        </w:rPr>
        <w:t>实验室</w:t>
      </w:r>
      <w:r>
        <w:t>应将不相容活动的相邻区域进行有效隔离，应采取措施以防止干扰或者交叉污染。</w:t>
      </w:r>
    </w:p>
    <w:p w14:paraId="61BA314A" w14:textId="77777777" w:rsidR="00E06E80" w:rsidRDefault="00000000">
      <w:pPr>
        <w:ind w:firstLine="422"/>
        <w:rPr>
          <w:b/>
          <w:bCs/>
        </w:rPr>
      </w:pPr>
      <w:r>
        <w:rPr>
          <w:rFonts w:hint="eastAsia"/>
          <w:b/>
          <w:bCs/>
        </w:rPr>
        <w:t>5.3.3</w:t>
      </w:r>
      <w:r>
        <w:rPr>
          <w:rFonts w:hint="eastAsia"/>
          <w:b/>
          <w:bCs/>
        </w:rPr>
        <w:t>内务管理</w:t>
      </w:r>
    </w:p>
    <w:p w14:paraId="3F01CC2F" w14:textId="77777777" w:rsidR="00E06E80" w:rsidRDefault="00000000">
      <w:pPr>
        <w:ind w:firstLine="420"/>
      </w:pPr>
      <w:r>
        <w:rPr>
          <w:rFonts w:hint="eastAsia"/>
        </w:rPr>
        <w:t>实验室</w:t>
      </w:r>
      <w:r>
        <w:t>应保持良好内务，核心区不得存放与检测无关的物品。高压气体钢瓶、危险化学品存放和管理应满足要求。</w:t>
      </w:r>
    </w:p>
    <w:p w14:paraId="4302FAEB" w14:textId="77777777" w:rsidR="00E06E80" w:rsidRDefault="00000000">
      <w:pPr>
        <w:ind w:firstLine="422"/>
        <w:rPr>
          <w:b/>
          <w:bCs/>
        </w:rPr>
      </w:pPr>
      <w:r>
        <w:rPr>
          <w:rFonts w:hint="eastAsia"/>
          <w:b/>
          <w:bCs/>
        </w:rPr>
        <w:t>5.3.4</w:t>
      </w:r>
      <w:r>
        <w:rPr>
          <w:rFonts w:hint="eastAsia"/>
          <w:b/>
          <w:bCs/>
        </w:rPr>
        <w:t>环境保护要求</w:t>
      </w:r>
    </w:p>
    <w:p w14:paraId="6460ED06" w14:textId="77777777" w:rsidR="00E06E80" w:rsidRDefault="00000000">
      <w:pPr>
        <w:ind w:firstLine="420"/>
      </w:pPr>
      <w:r>
        <w:rPr>
          <w:rFonts w:hint="eastAsia"/>
        </w:rPr>
        <w:t>实验室</w:t>
      </w:r>
      <w:r>
        <w:t>应</w:t>
      </w:r>
      <w:r>
        <w:rPr>
          <w:rFonts w:hint="eastAsia"/>
        </w:rPr>
        <w:t>建立环境保护的程序，对实验室产生的“三废”进行安全的处理。</w:t>
      </w:r>
      <w:r>
        <w:t>应收集检测工作中产生的废弃物并妥善处理，自身无法处置的危险废物等，应交由有资质的单位进行处理，并做好相关记录。</w:t>
      </w:r>
    </w:p>
    <w:p w14:paraId="7571EF58" w14:textId="77777777" w:rsidR="00E06E80" w:rsidRDefault="00000000">
      <w:pPr>
        <w:ind w:firstLine="420"/>
      </w:pPr>
      <w:r>
        <w:t>在固定场所以外的场所进行采样、检测时，应满足相关标准、技术规范要求</w:t>
      </w:r>
      <w:r>
        <w:rPr>
          <w:rFonts w:hint="eastAsia"/>
        </w:rPr>
        <w:t>。自动化采样设备采样口布设应具有代表性，并保证供电、网络安全，有防雨、防雷、加锁等保护措施，对所采集的样品有保护措施。现场自动检测仪器环境条件需受控，保证仪器设备正常运行，</w:t>
      </w:r>
      <w:r>
        <w:t>当环境条件可能对检测结果产生影响时，应立即停止工作。</w:t>
      </w:r>
    </w:p>
    <w:p w14:paraId="2EF7FFF3" w14:textId="77777777" w:rsidR="00E06E80" w:rsidRDefault="00000000">
      <w:pPr>
        <w:pStyle w:val="20"/>
        <w:ind w:firstLine="241"/>
      </w:pPr>
      <w:bookmarkStart w:id="23" w:name="_Toc27876"/>
      <w:r>
        <w:rPr>
          <w:rFonts w:hint="eastAsia"/>
        </w:rPr>
        <w:t>5.4</w:t>
      </w:r>
      <w:r>
        <w:rPr>
          <w:rFonts w:hint="eastAsia"/>
        </w:rPr>
        <w:t>平台管理</w:t>
      </w:r>
      <w:bookmarkEnd w:id="23"/>
    </w:p>
    <w:p w14:paraId="7B22E637" w14:textId="77777777" w:rsidR="00E06E80" w:rsidRDefault="00000000">
      <w:pPr>
        <w:spacing w:line="360" w:lineRule="auto"/>
        <w:ind w:firstLine="422"/>
        <w:rPr>
          <w:b/>
          <w:bCs/>
        </w:rPr>
      </w:pPr>
      <w:r>
        <w:rPr>
          <w:rFonts w:hint="eastAsia"/>
          <w:b/>
          <w:bCs/>
        </w:rPr>
        <w:t>5.4.1</w:t>
      </w:r>
      <w:r>
        <w:rPr>
          <w:rFonts w:hint="eastAsia"/>
          <w:b/>
          <w:bCs/>
        </w:rPr>
        <w:t>软件的维护</w:t>
      </w:r>
    </w:p>
    <w:p w14:paraId="04E6BD20" w14:textId="77777777" w:rsidR="00E06E80" w:rsidRDefault="00000000">
      <w:pPr>
        <w:ind w:firstLine="420"/>
      </w:pPr>
      <w:r>
        <w:rPr>
          <w:rFonts w:hint="eastAsia"/>
        </w:rPr>
        <w:t>实验室</w:t>
      </w:r>
      <w:r>
        <w:t>应建立软件维护</w:t>
      </w:r>
      <w:r>
        <w:rPr>
          <w:rFonts w:hint="eastAsia"/>
        </w:rPr>
        <w:t>的要求</w:t>
      </w:r>
      <w:r>
        <w:t>，以确保检测流程正常运行，检</w:t>
      </w:r>
      <w:r>
        <w:rPr>
          <w:rFonts w:hint="eastAsia"/>
        </w:rPr>
        <w:t>查</w:t>
      </w:r>
      <w:r>
        <w:t>数据和信息维护的准确性、完整性和安全性。</w:t>
      </w:r>
      <w:r>
        <w:rPr>
          <w:rFonts w:hint="eastAsia"/>
        </w:rPr>
        <w:t>实验室</w:t>
      </w:r>
      <w:r>
        <w:t>应由专人对软件平台进行维护，负责</w:t>
      </w:r>
      <w:r>
        <w:rPr>
          <w:rFonts w:hint="eastAsia"/>
        </w:rPr>
        <w:t>实验室</w:t>
      </w:r>
      <w:r>
        <w:t>的操作软件和数据管理系统日常运行维护、升级、监控、安全及故障处理、意外事件处理。</w:t>
      </w:r>
    </w:p>
    <w:p w14:paraId="22F232E4" w14:textId="77777777" w:rsidR="00E06E80" w:rsidRDefault="00000000">
      <w:pPr>
        <w:ind w:firstLine="422"/>
        <w:rPr>
          <w:b/>
          <w:bCs/>
        </w:rPr>
      </w:pPr>
      <w:r>
        <w:rPr>
          <w:rFonts w:hint="eastAsia"/>
          <w:b/>
          <w:bCs/>
        </w:rPr>
        <w:t>5.4.2</w:t>
      </w:r>
      <w:r>
        <w:rPr>
          <w:rFonts w:hint="eastAsia"/>
          <w:b/>
          <w:bCs/>
        </w:rPr>
        <w:t>账号安全</w:t>
      </w:r>
    </w:p>
    <w:p w14:paraId="40972C7F" w14:textId="77777777" w:rsidR="00E06E80" w:rsidRDefault="00000000">
      <w:pPr>
        <w:ind w:firstLine="420"/>
      </w:pPr>
      <w:r>
        <w:rPr>
          <w:rFonts w:hint="eastAsia"/>
        </w:rPr>
        <w:t>实验室应为各岗位人员（包括检测人员、审核人员、授权签字人等）分配账号，并分配</w:t>
      </w:r>
      <w:r>
        <w:rPr>
          <w:rFonts w:hint="eastAsia"/>
        </w:rPr>
        <w:lastRenderedPageBreak/>
        <w:t>相应的工作权限，实验室应采取措施保护各账号安全。</w:t>
      </w:r>
    </w:p>
    <w:p w14:paraId="0292CB8C" w14:textId="77777777" w:rsidR="00E06E80" w:rsidRDefault="00000000">
      <w:pPr>
        <w:pStyle w:val="20"/>
        <w:ind w:firstLine="241"/>
      </w:pPr>
      <w:bookmarkStart w:id="24" w:name="_Toc21468"/>
      <w:r>
        <w:rPr>
          <w:rFonts w:hint="eastAsia"/>
        </w:rPr>
        <w:t>5.5</w:t>
      </w:r>
      <w:r>
        <w:rPr>
          <w:rFonts w:hint="eastAsia"/>
        </w:rPr>
        <w:t>文件记录要求</w:t>
      </w:r>
      <w:bookmarkEnd w:id="24"/>
    </w:p>
    <w:p w14:paraId="5497714E" w14:textId="77777777" w:rsidR="00E06E80" w:rsidRDefault="00000000">
      <w:pPr>
        <w:ind w:firstLine="422"/>
        <w:rPr>
          <w:b/>
          <w:bCs/>
        </w:rPr>
      </w:pPr>
      <w:r>
        <w:rPr>
          <w:rFonts w:hint="eastAsia"/>
          <w:b/>
          <w:bCs/>
        </w:rPr>
        <w:t>5.5.1</w:t>
      </w:r>
      <w:r>
        <w:rPr>
          <w:rFonts w:hint="eastAsia"/>
          <w:b/>
          <w:bCs/>
        </w:rPr>
        <w:t>电子记录的信息化</w:t>
      </w:r>
    </w:p>
    <w:p w14:paraId="50E2A710" w14:textId="77777777" w:rsidR="00E06E80" w:rsidRDefault="00000000">
      <w:pPr>
        <w:ind w:firstLine="420"/>
      </w:pPr>
      <w:r>
        <w:rPr>
          <w:rFonts w:hint="eastAsia"/>
        </w:rPr>
        <w:t>实验室</w:t>
      </w:r>
      <w:r>
        <w:t>应有完整的记录管理</w:t>
      </w:r>
      <w:r>
        <w:rPr>
          <w:rFonts w:hint="eastAsia"/>
        </w:rPr>
        <w:t>的要求</w:t>
      </w:r>
      <w:r>
        <w:t>，确保质量记录、技术记录信息充分</w:t>
      </w:r>
      <w:r>
        <w:rPr>
          <w:rFonts w:hint="eastAsia"/>
        </w:rPr>
        <w:t>，实验室</w:t>
      </w:r>
      <w:r>
        <w:t>在保证电子记录信息充分、安全可靠的前提下，</w:t>
      </w:r>
      <w:r>
        <w:rPr>
          <w:rFonts w:hint="eastAsia"/>
        </w:rPr>
        <w:t>应尽可能</w:t>
      </w:r>
      <w:r>
        <w:t>使用电子记录</w:t>
      </w:r>
      <w:r>
        <w:rPr>
          <w:rFonts w:hint="eastAsia"/>
        </w:rPr>
        <w:t>。</w:t>
      </w:r>
    </w:p>
    <w:p w14:paraId="222FE69C" w14:textId="77777777" w:rsidR="00E06E80" w:rsidRDefault="00000000">
      <w:pPr>
        <w:ind w:firstLine="420"/>
      </w:pPr>
      <w:r>
        <w:rPr>
          <w:rFonts w:hint="eastAsia"/>
        </w:rPr>
        <w:t>实验室的检测仪器应具有自动记录的功能，电子原始记录允许电子设备通过电子原始记录管理系统采集仪器发送的数据，或接收测量系统发送的包含检测数据的文件。原始记录</w:t>
      </w:r>
      <w:r>
        <w:t>管理系统在数据采集、计算、修约、异常值的取舍、结果表示、统计处理等</w:t>
      </w:r>
      <w:r>
        <w:rPr>
          <w:rFonts w:hint="eastAsia"/>
        </w:rPr>
        <w:t>方面</w:t>
      </w:r>
      <w:r>
        <w:t>应满足检测方法或方法确认的要求。</w:t>
      </w:r>
    </w:p>
    <w:p w14:paraId="22AEA153" w14:textId="77777777" w:rsidR="00E06E80" w:rsidRDefault="00000000">
      <w:pPr>
        <w:ind w:firstLine="420"/>
      </w:pPr>
      <w:r>
        <w:t>电子原始记录包含检测的整个过程，宜利用信息技术实现检测过程的复现能力</w:t>
      </w:r>
      <w:r>
        <w:rPr>
          <w:rFonts w:hint="eastAsia"/>
        </w:rPr>
        <w:t>，实验室应对电子记录的原始性负责。</w:t>
      </w:r>
    </w:p>
    <w:p w14:paraId="206FBEE7" w14:textId="77777777" w:rsidR="00E06E80" w:rsidRDefault="00000000">
      <w:pPr>
        <w:ind w:firstLine="422"/>
        <w:rPr>
          <w:b/>
          <w:bCs/>
        </w:rPr>
      </w:pPr>
      <w:r>
        <w:rPr>
          <w:rFonts w:hint="eastAsia"/>
          <w:b/>
          <w:bCs/>
        </w:rPr>
        <w:t>5.5.2</w:t>
      </w:r>
      <w:r>
        <w:rPr>
          <w:rFonts w:hint="eastAsia"/>
          <w:b/>
          <w:bCs/>
        </w:rPr>
        <w:t>电子数据的保护</w:t>
      </w:r>
    </w:p>
    <w:p w14:paraId="79FB5DE9" w14:textId="77777777" w:rsidR="00E06E80" w:rsidRDefault="00000000">
      <w:pPr>
        <w:ind w:firstLine="420"/>
      </w:pPr>
      <w:r>
        <w:rPr>
          <w:rFonts w:hint="eastAsia"/>
        </w:rPr>
        <w:t>实验室应对电子原始记录中固定信息、计算公式、校正因子以及数据修约要求等采取保护措施，防止未经授权的变动。软件升级完成后，实验室应评估升级后的软件对检测原始记录固定信息、计算公式等的影响。</w:t>
      </w:r>
    </w:p>
    <w:p w14:paraId="3B4EA41D" w14:textId="77777777" w:rsidR="00E06E80" w:rsidRDefault="00000000">
      <w:pPr>
        <w:ind w:firstLine="422"/>
        <w:rPr>
          <w:b/>
          <w:bCs/>
        </w:rPr>
      </w:pPr>
      <w:r>
        <w:rPr>
          <w:rFonts w:hint="eastAsia"/>
          <w:b/>
          <w:bCs/>
        </w:rPr>
        <w:t>5.5.3</w:t>
      </w:r>
      <w:r>
        <w:rPr>
          <w:rFonts w:hint="eastAsia"/>
          <w:b/>
          <w:bCs/>
        </w:rPr>
        <w:t>电子记录的修改</w:t>
      </w:r>
    </w:p>
    <w:p w14:paraId="52FAB8BD" w14:textId="77777777" w:rsidR="00E06E80" w:rsidRDefault="00000000">
      <w:pPr>
        <w:ind w:firstLine="420"/>
      </w:pPr>
      <w:r>
        <w:rPr>
          <w:rFonts w:hint="eastAsia"/>
        </w:rPr>
        <w:t>在检测过程中，电子原始记录如需修改，一般应由原承检人员或其授权的人员修改。原始记录中的内容一旦确认被修改，则应自动留存修改痕迹。修改痕迹应至少包括修改人员、修改时间、修改前和修改</w:t>
      </w:r>
      <w:proofErr w:type="gramStart"/>
      <w:r>
        <w:rPr>
          <w:rFonts w:hint="eastAsia"/>
        </w:rPr>
        <w:t>后内容</w:t>
      </w:r>
      <w:proofErr w:type="gramEnd"/>
      <w:r>
        <w:rPr>
          <w:rFonts w:hint="eastAsia"/>
        </w:rPr>
        <w:t>等数据和信息。</w:t>
      </w:r>
    </w:p>
    <w:p w14:paraId="778DFA15" w14:textId="77777777" w:rsidR="00E06E80" w:rsidRDefault="00000000">
      <w:pPr>
        <w:ind w:firstLine="422"/>
        <w:rPr>
          <w:b/>
          <w:bCs/>
        </w:rPr>
      </w:pPr>
      <w:r>
        <w:rPr>
          <w:rFonts w:hint="eastAsia"/>
          <w:b/>
          <w:bCs/>
        </w:rPr>
        <w:t>5.5.4</w:t>
      </w:r>
      <w:r>
        <w:rPr>
          <w:rFonts w:hint="eastAsia"/>
          <w:b/>
          <w:bCs/>
        </w:rPr>
        <w:t>电子记录的备份</w:t>
      </w:r>
    </w:p>
    <w:p w14:paraId="1CBFE627" w14:textId="77777777" w:rsidR="00E06E80" w:rsidRDefault="00000000">
      <w:pPr>
        <w:ind w:firstLine="420"/>
      </w:pPr>
      <w:r>
        <w:rPr>
          <w:rFonts w:hint="eastAsia"/>
        </w:rPr>
        <w:t>实验室应规定对电子原始记录进行电子备份的措施，定期对产生的电子原始记录进行安全备份，备份的电子数据不可保存在同一储存介质内，防止存储介质损坏造成严重事故。实验室</w:t>
      </w:r>
      <w:r>
        <w:t>应定期对产生的原始记录分类管理，做到电子文件的加密、加权、加备和防丢失</w:t>
      </w:r>
      <w:r>
        <w:rPr>
          <w:rFonts w:hint="eastAsia"/>
        </w:rPr>
        <w:t>，电子原始记录的保存期限应按</w:t>
      </w:r>
      <w:r>
        <w:rPr>
          <w:rFonts w:ascii="Times New Roman" w:hAnsi="Times New Roman" w:cs="Times New Roman"/>
        </w:rPr>
        <w:t>HJ8.2</w:t>
      </w:r>
      <w:r>
        <w:rPr>
          <w:rFonts w:hint="eastAsia"/>
        </w:rPr>
        <w:t>执行。</w:t>
      </w:r>
    </w:p>
    <w:p w14:paraId="08ED16A6" w14:textId="77777777" w:rsidR="00E06E80" w:rsidRDefault="00E06E80">
      <w:pPr>
        <w:pStyle w:val="2"/>
      </w:pPr>
    </w:p>
    <w:p w14:paraId="0A8AA5CA" w14:textId="77777777" w:rsidR="00E06E80" w:rsidRDefault="00000000">
      <w:pPr>
        <w:pStyle w:val="1"/>
      </w:pPr>
      <w:bookmarkStart w:id="25" w:name="_Toc12843"/>
      <w:r>
        <w:t>维护</w:t>
      </w:r>
      <w:r>
        <w:rPr>
          <w:rFonts w:hint="eastAsia"/>
        </w:rPr>
        <w:t>管理要求</w:t>
      </w:r>
      <w:bookmarkEnd w:id="25"/>
    </w:p>
    <w:p w14:paraId="0406F4CD" w14:textId="77777777" w:rsidR="00E06E80" w:rsidRDefault="00000000">
      <w:pPr>
        <w:pStyle w:val="20"/>
        <w:ind w:firstLine="241"/>
      </w:pPr>
      <w:bookmarkStart w:id="26" w:name="_Toc3719"/>
      <w:r>
        <w:rPr>
          <w:rFonts w:hint="eastAsia"/>
        </w:rPr>
        <w:t>6.1</w:t>
      </w:r>
      <w:r>
        <w:rPr>
          <w:rFonts w:hint="eastAsia"/>
        </w:rPr>
        <w:t>日常维护</w:t>
      </w:r>
      <w:bookmarkEnd w:id="26"/>
    </w:p>
    <w:p w14:paraId="19EA1BB7" w14:textId="77777777" w:rsidR="00E06E80" w:rsidRDefault="00000000">
      <w:pPr>
        <w:ind w:firstLine="420"/>
      </w:pPr>
      <w:r>
        <w:rPr>
          <w:rFonts w:hint="eastAsia"/>
        </w:rPr>
        <w:t>实验室应定期对实验室辅助性的设施和设备状态进行检查维护，维护内容至少包括试剂检查、设备状态检查、内务检查、纯水检查、废液处理系统检查等。</w:t>
      </w:r>
    </w:p>
    <w:p w14:paraId="4535FAA5" w14:textId="77777777" w:rsidR="00E06E80" w:rsidRDefault="00000000">
      <w:pPr>
        <w:ind w:firstLine="420"/>
      </w:pPr>
      <w:r>
        <w:rPr>
          <w:rFonts w:hint="eastAsia"/>
        </w:rPr>
        <w:t>试剂检查：对使用中试剂的有效期、状态、余量进行检查，更换试剂后，所涉及模块应做仪器质控，必要时重新标定曲线。</w:t>
      </w:r>
    </w:p>
    <w:p w14:paraId="42DD6A80" w14:textId="77777777" w:rsidR="00E06E80" w:rsidRDefault="00000000">
      <w:pPr>
        <w:ind w:firstLine="420"/>
      </w:pPr>
      <w:r>
        <w:rPr>
          <w:rFonts w:hint="eastAsia"/>
        </w:rPr>
        <w:t>设备状态检查：对当前检测仪器的状态进行检查，不宜继续参与检测的设备，应及时处理并粘贴明显的标识；检查设备的备品备件是否充分，能否满足当前检测的需要。</w:t>
      </w:r>
    </w:p>
    <w:p w14:paraId="434B932E" w14:textId="77777777" w:rsidR="00E06E80" w:rsidRDefault="00000000">
      <w:pPr>
        <w:ind w:firstLine="420"/>
      </w:pPr>
      <w:r>
        <w:rPr>
          <w:rFonts w:hint="eastAsia"/>
        </w:rPr>
        <w:t>内务检查：对实验室环境条件进行检查，避免不良条件对检测结果造成影响，对安全设施、消防等设施配备、有效性进行检查。</w:t>
      </w:r>
    </w:p>
    <w:p w14:paraId="455A2E04" w14:textId="77777777" w:rsidR="00E06E80" w:rsidRDefault="00000000">
      <w:pPr>
        <w:ind w:firstLine="420"/>
      </w:pPr>
      <w:r>
        <w:rPr>
          <w:rFonts w:hint="eastAsia"/>
        </w:rPr>
        <w:t>纯水系统检查：更换纯水机滤芯，检查、更换纯水管路。</w:t>
      </w:r>
    </w:p>
    <w:p w14:paraId="2FA43548" w14:textId="77777777" w:rsidR="00E06E80" w:rsidRDefault="00000000">
      <w:pPr>
        <w:ind w:firstLine="420"/>
      </w:pPr>
      <w:r>
        <w:rPr>
          <w:rFonts w:hint="eastAsia"/>
        </w:rPr>
        <w:t>废液系统检查：检查废液系统功能，添加废水处理试剂，更换耗材。</w:t>
      </w:r>
    </w:p>
    <w:p w14:paraId="499CDF3A" w14:textId="77777777" w:rsidR="00E06E80" w:rsidRDefault="00000000">
      <w:pPr>
        <w:ind w:firstLine="420"/>
      </w:pPr>
      <w:r>
        <w:rPr>
          <w:rFonts w:hint="eastAsia"/>
        </w:rPr>
        <w:lastRenderedPageBreak/>
        <w:t>网络安全检查：检查系统日志，网络安全。</w:t>
      </w:r>
    </w:p>
    <w:p w14:paraId="222C8645" w14:textId="77777777" w:rsidR="00E06E80" w:rsidRDefault="00000000">
      <w:pPr>
        <w:ind w:firstLine="420"/>
      </w:pPr>
      <w:r>
        <w:rPr>
          <w:rFonts w:hint="eastAsia"/>
        </w:rPr>
        <w:t>备份：实验室电子原始记录备份。</w:t>
      </w:r>
    </w:p>
    <w:p w14:paraId="2127C283" w14:textId="77777777" w:rsidR="00E06E80" w:rsidRDefault="00000000">
      <w:pPr>
        <w:ind w:firstLine="420"/>
      </w:pPr>
      <w:r>
        <w:rPr>
          <w:rFonts w:hint="eastAsia"/>
        </w:rPr>
        <w:t>实验室应当在日常维护完成后，保留相关记录。</w:t>
      </w:r>
    </w:p>
    <w:p w14:paraId="0D5DCCF9" w14:textId="77777777" w:rsidR="00E06E80" w:rsidRDefault="00000000">
      <w:pPr>
        <w:pStyle w:val="20"/>
        <w:ind w:firstLine="241"/>
      </w:pPr>
      <w:bookmarkStart w:id="27" w:name="_Toc16583"/>
      <w:r>
        <w:rPr>
          <w:rFonts w:hint="eastAsia"/>
        </w:rPr>
        <w:t>6.2</w:t>
      </w:r>
      <w:r>
        <w:rPr>
          <w:rFonts w:hint="eastAsia"/>
        </w:rPr>
        <w:t>保养维护</w:t>
      </w:r>
      <w:bookmarkEnd w:id="27"/>
    </w:p>
    <w:p w14:paraId="628D1478" w14:textId="77777777" w:rsidR="00E06E80" w:rsidRDefault="00000000">
      <w:pPr>
        <w:ind w:firstLine="420"/>
        <w:rPr>
          <w:szCs w:val="21"/>
        </w:rPr>
      </w:pPr>
      <w:r>
        <w:rPr>
          <w:rFonts w:hint="eastAsia"/>
          <w:szCs w:val="21"/>
        </w:rPr>
        <w:t>实验室应为直接出具检测数据的仪器建立仪器维护保养作业指导书，作业指导书应识别各检测仪器的维护保养要求并规定检测仪器维护保养的方法、频次和要求等内容，</w:t>
      </w:r>
      <w:r>
        <w:rPr>
          <w:rFonts w:hint="eastAsia"/>
          <w:strike/>
          <w:szCs w:val="21"/>
        </w:rPr>
        <w:t>当</w:t>
      </w:r>
      <w:r>
        <w:rPr>
          <w:rFonts w:hint="eastAsia"/>
          <w:szCs w:val="21"/>
        </w:rPr>
        <w:t>日常维护后异常、维护保养计划时，应当对仪器进行保养维护。维护保养内容可包括拆机清洗、系统冲洗、停机保养等。</w:t>
      </w:r>
    </w:p>
    <w:p w14:paraId="59571948" w14:textId="77777777" w:rsidR="00E06E80" w:rsidRDefault="00000000">
      <w:pPr>
        <w:ind w:firstLine="420"/>
        <w:rPr>
          <w:szCs w:val="21"/>
        </w:rPr>
      </w:pPr>
      <w:r>
        <w:rPr>
          <w:rFonts w:hint="eastAsia"/>
          <w:szCs w:val="21"/>
        </w:rPr>
        <w:t>实验室每次完成维护保养之后，应进行仪器质控的检测，保证维护保养未对仪器的检测功能造成影响，若仪器</w:t>
      </w:r>
      <w:proofErr w:type="gramStart"/>
      <w:r>
        <w:rPr>
          <w:rFonts w:hint="eastAsia"/>
          <w:szCs w:val="21"/>
        </w:rPr>
        <w:t>质控不通过</w:t>
      </w:r>
      <w:proofErr w:type="gramEnd"/>
      <w:r>
        <w:rPr>
          <w:rFonts w:hint="eastAsia"/>
          <w:szCs w:val="21"/>
        </w:rPr>
        <w:t>，应执行故障检修程序。实验室应当保存对检测仪器的保养记录和保养日志。</w:t>
      </w:r>
    </w:p>
    <w:p w14:paraId="7D71C940" w14:textId="77777777" w:rsidR="00E06E80" w:rsidRDefault="00000000">
      <w:pPr>
        <w:pStyle w:val="20"/>
        <w:ind w:firstLine="241"/>
      </w:pPr>
      <w:bookmarkStart w:id="28" w:name="_Toc3196"/>
      <w:r>
        <w:rPr>
          <w:rFonts w:hint="eastAsia"/>
        </w:rPr>
        <w:t>6.3</w:t>
      </w:r>
      <w:r>
        <w:rPr>
          <w:rFonts w:hint="eastAsia"/>
        </w:rPr>
        <w:t>故障检修</w:t>
      </w:r>
      <w:bookmarkEnd w:id="28"/>
    </w:p>
    <w:p w14:paraId="1142A43F" w14:textId="77777777" w:rsidR="00E06E80" w:rsidRDefault="00000000">
      <w:pPr>
        <w:ind w:firstLine="420"/>
        <w:rPr>
          <w:szCs w:val="21"/>
        </w:rPr>
      </w:pPr>
      <w:r>
        <w:rPr>
          <w:rFonts w:hint="eastAsia"/>
          <w:szCs w:val="21"/>
        </w:rPr>
        <w:t>当设备</w:t>
      </w:r>
      <w:proofErr w:type="gramStart"/>
      <w:r>
        <w:rPr>
          <w:rFonts w:hint="eastAsia"/>
          <w:szCs w:val="21"/>
        </w:rPr>
        <w:t>经维护</w:t>
      </w:r>
      <w:proofErr w:type="gramEnd"/>
      <w:r>
        <w:rPr>
          <w:rFonts w:hint="eastAsia"/>
          <w:szCs w:val="21"/>
        </w:rPr>
        <w:t>后，仍测试异常，维护人员提出故障检修申请，同意后进行检修。需送出实验室进行维修的仪器设备，需进行外观、配件检查登记，仪器返回后做好完整性、准确性检查，质控合格后才能继续使用。</w:t>
      </w:r>
    </w:p>
    <w:p w14:paraId="44A3D270" w14:textId="77777777" w:rsidR="00E06E80" w:rsidRDefault="00000000">
      <w:pPr>
        <w:ind w:firstLine="420"/>
      </w:pPr>
      <w:r>
        <w:rPr>
          <w:rFonts w:hint="eastAsia"/>
          <w:szCs w:val="21"/>
        </w:rPr>
        <w:t>因故障未上线使用仪器，拆卸后未进行维修的，应贴上“停用”标识明示，避免误用。并保留相关检修记录。</w:t>
      </w:r>
    </w:p>
    <w:p w14:paraId="5BCCEC73" w14:textId="77777777" w:rsidR="00E06E80" w:rsidRDefault="00E06E80">
      <w:pPr>
        <w:widowControl/>
        <w:ind w:firstLine="420"/>
        <w:jc w:val="left"/>
      </w:pPr>
    </w:p>
    <w:p w14:paraId="5F97E8D8" w14:textId="77777777" w:rsidR="00E06E80" w:rsidRDefault="00E06E80">
      <w:pPr>
        <w:widowControl/>
        <w:ind w:firstLine="420"/>
        <w:jc w:val="left"/>
        <w:sectPr w:rsidR="00E06E80">
          <w:footerReference w:type="default" r:id="rId13"/>
          <w:pgSz w:w="11906" w:h="16838"/>
          <w:pgMar w:top="1440" w:right="1800" w:bottom="1440" w:left="1800" w:header="851" w:footer="992" w:gutter="0"/>
          <w:pgNumType w:start="1"/>
          <w:cols w:space="425"/>
          <w:docGrid w:type="lines" w:linePitch="312"/>
        </w:sectPr>
      </w:pPr>
    </w:p>
    <w:p w14:paraId="61CC83FA" w14:textId="77777777" w:rsidR="00E06E80" w:rsidRDefault="00000000">
      <w:pPr>
        <w:pStyle w:val="1"/>
        <w:numPr>
          <w:ilvl w:val="0"/>
          <w:numId w:val="0"/>
        </w:numPr>
        <w:rPr>
          <w:b w:val="0"/>
          <w:bCs w:val="0"/>
          <w:sz w:val="32"/>
          <w:szCs w:val="32"/>
        </w:rPr>
      </w:pPr>
      <w:bookmarkStart w:id="29" w:name="_Toc6316"/>
      <w:bookmarkStart w:id="30" w:name="_Toc30807"/>
      <w:r>
        <w:rPr>
          <w:rFonts w:hint="eastAsia"/>
          <w:sz w:val="32"/>
          <w:szCs w:val="32"/>
        </w:rPr>
        <w:lastRenderedPageBreak/>
        <w:t>七、</w:t>
      </w:r>
      <w:r>
        <w:rPr>
          <w:rFonts w:hint="eastAsia"/>
          <w:sz w:val="32"/>
          <w:szCs w:val="32"/>
        </w:rPr>
        <w:t xml:space="preserve"> </w:t>
      </w:r>
      <w:r>
        <w:t>附件</w:t>
      </w:r>
      <w:bookmarkEnd w:id="29"/>
      <w:bookmarkEnd w:id="30"/>
    </w:p>
    <w:p w14:paraId="7DF00208" w14:textId="77777777" w:rsidR="00E06E80" w:rsidRDefault="00000000">
      <w:pPr>
        <w:spacing w:line="240" w:lineRule="auto"/>
        <w:ind w:firstLineChars="0" w:firstLine="0"/>
        <w:jc w:val="center"/>
        <w:rPr>
          <w:rFonts w:ascii="宋体" w:hAnsi="宋体"/>
          <w:b/>
          <w:bCs/>
          <w:sz w:val="24"/>
          <w:szCs w:val="28"/>
        </w:rPr>
      </w:pPr>
      <w:r>
        <w:rPr>
          <w:rFonts w:ascii="宋体" w:hAnsi="宋体" w:hint="eastAsia"/>
          <w:b/>
          <w:bCs/>
          <w:sz w:val="24"/>
          <w:szCs w:val="28"/>
        </w:rPr>
        <w:t>附表1  地表水部分项目质控要求</w:t>
      </w:r>
    </w:p>
    <w:tbl>
      <w:tblPr>
        <w:tblpPr w:leftFromText="180" w:rightFromText="180" w:vertAnchor="text" w:horzAnchor="page" w:tblpXSpec="center" w:tblpY="543"/>
        <w:tblOverlap w:val="never"/>
        <w:tblW w:w="14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775"/>
        <w:gridCol w:w="1351"/>
        <w:gridCol w:w="1512"/>
        <w:gridCol w:w="1500"/>
        <w:gridCol w:w="1488"/>
        <w:gridCol w:w="1362"/>
        <w:gridCol w:w="1523"/>
        <w:gridCol w:w="1477"/>
        <w:gridCol w:w="2109"/>
      </w:tblGrid>
      <w:tr w:rsidR="00E06E80" w14:paraId="4C6EE0C3" w14:textId="77777777">
        <w:trPr>
          <w:cantSplit/>
          <w:trHeight w:val="328"/>
          <w:tblHeader/>
          <w:jc w:val="center"/>
        </w:trPr>
        <w:tc>
          <w:tcPr>
            <w:tcW w:w="599" w:type="dxa"/>
            <w:vMerge w:val="restart"/>
            <w:vAlign w:val="center"/>
          </w:tcPr>
          <w:p w14:paraId="7B8AE28A" w14:textId="77777777" w:rsidR="00E06E80" w:rsidRDefault="00000000">
            <w:pPr>
              <w:spacing w:line="240" w:lineRule="auto"/>
              <w:ind w:firstLineChars="0" w:firstLine="0"/>
              <w:jc w:val="center"/>
              <w:rPr>
                <w:rFonts w:ascii="宋体" w:hAnsi="宋体"/>
              </w:rPr>
            </w:pPr>
            <w:r>
              <w:rPr>
                <w:rFonts w:ascii="宋体" w:hAnsi="宋体" w:hint="eastAsia"/>
              </w:rPr>
              <w:lastRenderedPageBreak/>
              <w:t>序号</w:t>
            </w:r>
          </w:p>
        </w:tc>
        <w:tc>
          <w:tcPr>
            <w:tcW w:w="1775" w:type="dxa"/>
            <w:vMerge w:val="restart"/>
            <w:vAlign w:val="center"/>
          </w:tcPr>
          <w:p w14:paraId="1A21CF3B" w14:textId="77777777" w:rsidR="00E06E80" w:rsidRDefault="00000000">
            <w:pPr>
              <w:spacing w:line="240" w:lineRule="auto"/>
              <w:ind w:firstLineChars="0" w:firstLine="0"/>
              <w:jc w:val="center"/>
              <w:rPr>
                <w:rFonts w:ascii="宋体" w:hAnsi="宋体"/>
              </w:rPr>
            </w:pPr>
            <w:r>
              <w:rPr>
                <w:rFonts w:ascii="宋体" w:hAnsi="宋体" w:hint="eastAsia"/>
              </w:rPr>
              <w:t>检测项目</w:t>
            </w:r>
          </w:p>
        </w:tc>
        <w:tc>
          <w:tcPr>
            <w:tcW w:w="1351" w:type="dxa"/>
            <w:vMerge w:val="restart"/>
            <w:vAlign w:val="center"/>
          </w:tcPr>
          <w:p w14:paraId="1E17D118" w14:textId="77777777" w:rsidR="00E06E80" w:rsidRDefault="00000000">
            <w:pPr>
              <w:spacing w:line="240" w:lineRule="auto"/>
              <w:ind w:firstLineChars="0" w:firstLine="0"/>
              <w:jc w:val="center"/>
              <w:rPr>
                <w:rFonts w:ascii="宋体" w:hAnsi="宋体"/>
              </w:rPr>
            </w:pPr>
            <w:r>
              <w:rPr>
                <w:rFonts w:ascii="宋体" w:hAnsi="宋体" w:hint="eastAsia"/>
              </w:rPr>
              <w:t>结果小数点后</w:t>
            </w:r>
            <w:proofErr w:type="gramStart"/>
            <w:r>
              <w:rPr>
                <w:rFonts w:ascii="宋体" w:hAnsi="宋体" w:hint="eastAsia"/>
              </w:rPr>
              <w:t>最多位</w:t>
            </w:r>
            <w:proofErr w:type="gramEnd"/>
          </w:p>
        </w:tc>
        <w:tc>
          <w:tcPr>
            <w:tcW w:w="1512" w:type="dxa"/>
            <w:vMerge w:val="restart"/>
            <w:vAlign w:val="center"/>
          </w:tcPr>
          <w:p w14:paraId="12BD4436" w14:textId="77777777" w:rsidR="00E06E80" w:rsidRDefault="00000000">
            <w:pPr>
              <w:spacing w:line="240" w:lineRule="auto"/>
              <w:ind w:firstLineChars="0" w:firstLine="0"/>
              <w:jc w:val="center"/>
              <w:rPr>
                <w:rFonts w:ascii="宋体" w:hAnsi="宋体"/>
              </w:rPr>
            </w:pPr>
            <w:r>
              <w:rPr>
                <w:rFonts w:ascii="宋体" w:hAnsi="宋体" w:hint="eastAsia"/>
              </w:rPr>
              <w:t>样品含量范围（mg/L）</w:t>
            </w:r>
          </w:p>
        </w:tc>
        <w:tc>
          <w:tcPr>
            <w:tcW w:w="2988" w:type="dxa"/>
            <w:gridSpan w:val="2"/>
            <w:vAlign w:val="center"/>
          </w:tcPr>
          <w:p w14:paraId="01EE91D4" w14:textId="77777777" w:rsidR="00E06E80" w:rsidRDefault="00000000">
            <w:pPr>
              <w:spacing w:line="240" w:lineRule="auto"/>
              <w:ind w:firstLineChars="0" w:firstLine="0"/>
              <w:jc w:val="center"/>
              <w:rPr>
                <w:rFonts w:ascii="宋体" w:hAnsi="宋体"/>
              </w:rPr>
            </w:pPr>
            <w:r>
              <w:rPr>
                <w:rFonts w:ascii="宋体" w:hAnsi="宋体" w:hint="eastAsia"/>
              </w:rPr>
              <w:t>精密度（％）</w:t>
            </w:r>
          </w:p>
        </w:tc>
        <w:tc>
          <w:tcPr>
            <w:tcW w:w="4362" w:type="dxa"/>
            <w:gridSpan w:val="3"/>
            <w:vAlign w:val="center"/>
          </w:tcPr>
          <w:p w14:paraId="385D2D0F" w14:textId="77777777" w:rsidR="00E06E80" w:rsidRDefault="00000000">
            <w:pPr>
              <w:spacing w:line="240" w:lineRule="auto"/>
              <w:ind w:firstLineChars="0" w:firstLine="0"/>
              <w:jc w:val="center"/>
              <w:rPr>
                <w:rFonts w:ascii="宋体" w:hAnsi="宋体"/>
              </w:rPr>
            </w:pPr>
            <w:r>
              <w:rPr>
                <w:rFonts w:ascii="宋体" w:hAnsi="宋体" w:hint="eastAsia"/>
              </w:rPr>
              <w:t>准确度（％）</w:t>
            </w:r>
          </w:p>
        </w:tc>
        <w:tc>
          <w:tcPr>
            <w:tcW w:w="2109" w:type="dxa"/>
            <w:vMerge w:val="restart"/>
            <w:vAlign w:val="center"/>
          </w:tcPr>
          <w:p w14:paraId="69967762" w14:textId="77777777" w:rsidR="00E06E80" w:rsidRDefault="00000000">
            <w:pPr>
              <w:spacing w:line="240" w:lineRule="auto"/>
              <w:ind w:firstLineChars="0" w:firstLine="0"/>
              <w:jc w:val="center"/>
              <w:rPr>
                <w:rFonts w:ascii="宋体" w:hAnsi="宋体"/>
              </w:rPr>
            </w:pPr>
            <w:r>
              <w:rPr>
                <w:rFonts w:ascii="宋体" w:hAnsi="宋体" w:hint="eastAsia"/>
              </w:rPr>
              <w:t>适用的监测分析方法</w:t>
            </w:r>
          </w:p>
        </w:tc>
      </w:tr>
      <w:tr w:rsidR="00E06E80" w14:paraId="11EBECB6" w14:textId="77777777">
        <w:trPr>
          <w:cantSplit/>
          <w:trHeight w:val="386"/>
          <w:tblHeader/>
          <w:jc w:val="center"/>
        </w:trPr>
        <w:tc>
          <w:tcPr>
            <w:tcW w:w="599" w:type="dxa"/>
            <w:vMerge/>
            <w:vAlign w:val="center"/>
          </w:tcPr>
          <w:p w14:paraId="54B183D6" w14:textId="77777777" w:rsidR="00E06E80" w:rsidRDefault="00E06E80">
            <w:pPr>
              <w:spacing w:line="240" w:lineRule="auto"/>
              <w:ind w:firstLineChars="0" w:firstLine="0"/>
              <w:jc w:val="center"/>
              <w:rPr>
                <w:rFonts w:ascii="宋体" w:hAnsi="宋体"/>
              </w:rPr>
            </w:pPr>
          </w:p>
        </w:tc>
        <w:tc>
          <w:tcPr>
            <w:tcW w:w="1775" w:type="dxa"/>
            <w:vMerge/>
            <w:vAlign w:val="center"/>
          </w:tcPr>
          <w:p w14:paraId="391B9145" w14:textId="77777777" w:rsidR="00E06E80" w:rsidRDefault="00E06E80">
            <w:pPr>
              <w:spacing w:line="240" w:lineRule="auto"/>
              <w:ind w:firstLineChars="0" w:firstLine="0"/>
              <w:jc w:val="center"/>
              <w:rPr>
                <w:rFonts w:ascii="宋体" w:hAnsi="宋体"/>
              </w:rPr>
            </w:pPr>
          </w:p>
        </w:tc>
        <w:tc>
          <w:tcPr>
            <w:tcW w:w="1351" w:type="dxa"/>
            <w:vMerge/>
            <w:vAlign w:val="center"/>
          </w:tcPr>
          <w:p w14:paraId="71A0C673" w14:textId="77777777" w:rsidR="00E06E80" w:rsidRDefault="00E06E80">
            <w:pPr>
              <w:spacing w:line="240" w:lineRule="auto"/>
              <w:ind w:firstLineChars="0" w:firstLine="0"/>
              <w:jc w:val="center"/>
              <w:rPr>
                <w:rFonts w:ascii="宋体" w:hAnsi="宋体"/>
              </w:rPr>
            </w:pPr>
          </w:p>
        </w:tc>
        <w:tc>
          <w:tcPr>
            <w:tcW w:w="1512" w:type="dxa"/>
            <w:vMerge/>
            <w:vAlign w:val="center"/>
          </w:tcPr>
          <w:p w14:paraId="3FEA276F" w14:textId="77777777" w:rsidR="00E06E80" w:rsidRDefault="00E06E80">
            <w:pPr>
              <w:spacing w:line="240" w:lineRule="auto"/>
              <w:ind w:firstLineChars="0" w:firstLine="0"/>
              <w:jc w:val="center"/>
              <w:rPr>
                <w:rFonts w:ascii="宋体" w:hAnsi="宋体"/>
              </w:rPr>
            </w:pPr>
          </w:p>
        </w:tc>
        <w:tc>
          <w:tcPr>
            <w:tcW w:w="1500" w:type="dxa"/>
            <w:vAlign w:val="center"/>
          </w:tcPr>
          <w:p w14:paraId="14F79855" w14:textId="77777777" w:rsidR="00E06E80" w:rsidRDefault="00000000">
            <w:pPr>
              <w:spacing w:line="240" w:lineRule="auto"/>
              <w:ind w:firstLineChars="0" w:firstLine="0"/>
              <w:jc w:val="center"/>
              <w:rPr>
                <w:rFonts w:ascii="宋体" w:hAnsi="宋体"/>
              </w:rPr>
            </w:pPr>
            <w:r>
              <w:rPr>
                <w:rFonts w:ascii="宋体" w:hAnsi="宋体" w:hint="eastAsia"/>
              </w:rPr>
              <w:t>室内相对偏差</w:t>
            </w:r>
          </w:p>
        </w:tc>
        <w:tc>
          <w:tcPr>
            <w:tcW w:w="1488" w:type="dxa"/>
            <w:vAlign w:val="center"/>
          </w:tcPr>
          <w:p w14:paraId="799BA188" w14:textId="77777777" w:rsidR="00E06E80" w:rsidRDefault="00000000">
            <w:pPr>
              <w:spacing w:line="240" w:lineRule="auto"/>
              <w:ind w:firstLineChars="0" w:firstLine="0"/>
              <w:jc w:val="center"/>
              <w:rPr>
                <w:rFonts w:ascii="宋体" w:hAnsi="宋体"/>
              </w:rPr>
            </w:pPr>
            <w:r>
              <w:rPr>
                <w:rFonts w:ascii="宋体" w:hAnsi="宋体" w:hint="eastAsia"/>
              </w:rPr>
              <w:t>室间相对偏差</w:t>
            </w:r>
          </w:p>
        </w:tc>
        <w:tc>
          <w:tcPr>
            <w:tcW w:w="1362" w:type="dxa"/>
            <w:vAlign w:val="center"/>
          </w:tcPr>
          <w:p w14:paraId="6290E87F" w14:textId="77777777" w:rsidR="00E06E80" w:rsidRDefault="00000000">
            <w:pPr>
              <w:spacing w:line="240" w:lineRule="auto"/>
              <w:ind w:firstLineChars="0" w:firstLine="0"/>
              <w:jc w:val="center"/>
              <w:rPr>
                <w:rFonts w:ascii="宋体" w:hAnsi="宋体"/>
              </w:rPr>
            </w:pPr>
            <w:r>
              <w:rPr>
                <w:rFonts w:ascii="宋体" w:hAnsi="宋体" w:hint="eastAsia"/>
              </w:rPr>
              <w:t>加标回收率</w:t>
            </w:r>
          </w:p>
        </w:tc>
        <w:tc>
          <w:tcPr>
            <w:tcW w:w="1523" w:type="dxa"/>
            <w:vAlign w:val="center"/>
          </w:tcPr>
          <w:p w14:paraId="6C344758" w14:textId="77777777" w:rsidR="00E06E80" w:rsidRDefault="00000000">
            <w:pPr>
              <w:spacing w:line="240" w:lineRule="auto"/>
              <w:ind w:firstLineChars="0" w:firstLine="0"/>
              <w:jc w:val="center"/>
              <w:rPr>
                <w:rFonts w:ascii="宋体" w:hAnsi="宋体"/>
              </w:rPr>
            </w:pPr>
            <w:r>
              <w:rPr>
                <w:rFonts w:ascii="宋体" w:hAnsi="宋体" w:hint="eastAsia"/>
              </w:rPr>
              <w:t>室内相对误差</w:t>
            </w:r>
          </w:p>
        </w:tc>
        <w:tc>
          <w:tcPr>
            <w:tcW w:w="1477" w:type="dxa"/>
            <w:vAlign w:val="center"/>
          </w:tcPr>
          <w:p w14:paraId="2CA1FACC" w14:textId="77777777" w:rsidR="00E06E80" w:rsidRDefault="00000000">
            <w:pPr>
              <w:spacing w:line="240" w:lineRule="auto"/>
              <w:ind w:firstLineChars="0" w:firstLine="0"/>
              <w:jc w:val="center"/>
              <w:rPr>
                <w:rFonts w:ascii="宋体" w:hAnsi="宋体"/>
              </w:rPr>
            </w:pPr>
            <w:r>
              <w:rPr>
                <w:rFonts w:ascii="宋体" w:hAnsi="宋体" w:hint="eastAsia"/>
              </w:rPr>
              <w:t>室间相对误差</w:t>
            </w:r>
          </w:p>
        </w:tc>
        <w:tc>
          <w:tcPr>
            <w:tcW w:w="2109" w:type="dxa"/>
            <w:vMerge/>
            <w:vAlign w:val="center"/>
          </w:tcPr>
          <w:p w14:paraId="5D1F3974" w14:textId="77777777" w:rsidR="00E06E80" w:rsidRDefault="00E06E80">
            <w:pPr>
              <w:spacing w:line="240" w:lineRule="auto"/>
              <w:ind w:firstLineChars="0" w:firstLine="0"/>
              <w:jc w:val="center"/>
              <w:rPr>
                <w:rFonts w:ascii="宋体" w:hAnsi="宋体"/>
              </w:rPr>
            </w:pPr>
          </w:p>
        </w:tc>
      </w:tr>
      <w:tr w:rsidR="00E06E80" w14:paraId="40E48DBF" w14:textId="77777777">
        <w:trPr>
          <w:cantSplit/>
          <w:trHeight w:val="454"/>
          <w:tblHeader/>
          <w:jc w:val="center"/>
        </w:trPr>
        <w:tc>
          <w:tcPr>
            <w:tcW w:w="599" w:type="dxa"/>
            <w:vAlign w:val="center"/>
          </w:tcPr>
          <w:p w14:paraId="22E4C63B"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w:t>
            </w:r>
          </w:p>
        </w:tc>
        <w:tc>
          <w:tcPr>
            <w:tcW w:w="1775" w:type="dxa"/>
            <w:vAlign w:val="center"/>
          </w:tcPr>
          <w:p w14:paraId="3D957D2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水温</w:t>
            </w:r>
          </w:p>
        </w:tc>
        <w:tc>
          <w:tcPr>
            <w:tcW w:w="1351" w:type="dxa"/>
            <w:vAlign w:val="center"/>
          </w:tcPr>
          <w:p w14:paraId="2AF02CF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w:t>
            </w:r>
          </w:p>
        </w:tc>
        <w:tc>
          <w:tcPr>
            <w:tcW w:w="1512" w:type="dxa"/>
            <w:vAlign w:val="center"/>
          </w:tcPr>
          <w:p w14:paraId="5AF91495"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500" w:type="dxa"/>
            <w:vAlign w:val="center"/>
          </w:tcPr>
          <w:p w14:paraId="20977BB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488" w:type="dxa"/>
            <w:vAlign w:val="center"/>
          </w:tcPr>
          <w:p w14:paraId="6E71B7F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362" w:type="dxa"/>
            <w:vAlign w:val="center"/>
          </w:tcPr>
          <w:p w14:paraId="1BAAE66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523" w:type="dxa"/>
            <w:vAlign w:val="center"/>
          </w:tcPr>
          <w:p w14:paraId="0654EFE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477" w:type="dxa"/>
            <w:vAlign w:val="center"/>
          </w:tcPr>
          <w:p w14:paraId="0383600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2109" w:type="dxa"/>
            <w:vAlign w:val="center"/>
          </w:tcPr>
          <w:p w14:paraId="6206FB53" w14:textId="77777777" w:rsidR="00E06E80" w:rsidRDefault="00000000">
            <w:pPr>
              <w:spacing w:line="240" w:lineRule="auto"/>
              <w:ind w:firstLineChars="0" w:firstLine="0"/>
              <w:jc w:val="center"/>
              <w:rPr>
                <w:rFonts w:ascii="宋体" w:hAnsi="宋体"/>
              </w:rPr>
            </w:pPr>
            <w:r>
              <w:rPr>
                <w:rFonts w:ascii="宋体" w:hAnsi="宋体" w:hint="eastAsia"/>
              </w:rPr>
              <w:t>温度计法</w:t>
            </w:r>
          </w:p>
        </w:tc>
      </w:tr>
      <w:tr w:rsidR="00E06E80" w14:paraId="184C62DE" w14:textId="77777777">
        <w:trPr>
          <w:cantSplit/>
          <w:trHeight w:val="454"/>
          <w:tblHeader/>
          <w:jc w:val="center"/>
        </w:trPr>
        <w:tc>
          <w:tcPr>
            <w:tcW w:w="599" w:type="dxa"/>
            <w:vAlign w:val="center"/>
          </w:tcPr>
          <w:p w14:paraId="1B1EB620"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w:t>
            </w:r>
          </w:p>
        </w:tc>
        <w:tc>
          <w:tcPr>
            <w:tcW w:w="1775" w:type="dxa"/>
            <w:vAlign w:val="center"/>
          </w:tcPr>
          <w:p w14:paraId="043DA605"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pH</w:t>
            </w:r>
            <w:r>
              <w:rPr>
                <w:rFonts w:ascii="Times New Roman" w:hAnsi="Times New Roman" w:cs="Times New Roman"/>
              </w:rPr>
              <w:t>值</w:t>
            </w:r>
          </w:p>
        </w:tc>
        <w:tc>
          <w:tcPr>
            <w:tcW w:w="1351" w:type="dxa"/>
            <w:vAlign w:val="center"/>
          </w:tcPr>
          <w:p w14:paraId="4C16D0B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w:t>
            </w:r>
          </w:p>
        </w:tc>
        <w:tc>
          <w:tcPr>
            <w:tcW w:w="1512" w:type="dxa"/>
            <w:vAlign w:val="center"/>
          </w:tcPr>
          <w:p w14:paraId="2252514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500" w:type="dxa"/>
            <w:vAlign w:val="center"/>
          </w:tcPr>
          <w:p w14:paraId="4B04E53D"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绝对偏差</w:t>
            </w:r>
          </w:p>
          <w:p w14:paraId="15DB23D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≤0.05</w:t>
            </w:r>
            <w:r>
              <w:rPr>
                <w:rFonts w:ascii="Times New Roman" w:hAnsi="Times New Roman" w:cs="Times New Roman"/>
              </w:rPr>
              <w:t>单位</w:t>
            </w:r>
          </w:p>
        </w:tc>
        <w:tc>
          <w:tcPr>
            <w:tcW w:w="1488" w:type="dxa"/>
            <w:vAlign w:val="center"/>
          </w:tcPr>
          <w:p w14:paraId="12FA97F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绝对偏差</w:t>
            </w:r>
          </w:p>
          <w:p w14:paraId="32A3D22B"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≤0.1</w:t>
            </w:r>
            <w:r>
              <w:rPr>
                <w:rFonts w:ascii="Times New Roman" w:hAnsi="Times New Roman" w:cs="Times New Roman"/>
              </w:rPr>
              <w:t>单位</w:t>
            </w:r>
          </w:p>
        </w:tc>
        <w:tc>
          <w:tcPr>
            <w:tcW w:w="1362" w:type="dxa"/>
            <w:vAlign w:val="center"/>
          </w:tcPr>
          <w:p w14:paraId="51C2786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523" w:type="dxa"/>
            <w:vAlign w:val="center"/>
          </w:tcPr>
          <w:p w14:paraId="2C9153B8"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477" w:type="dxa"/>
            <w:vAlign w:val="center"/>
          </w:tcPr>
          <w:p w14:paraId="5E4586F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2109" w:type="dxa"/>
            <w:vAlign w:val="center"/>
          </w:tcPr>
          <w:p w14:paraId="2C56C83C" w14:textId="77777777" w:rsidR="00E06E80" w:rsidRDefault="00000000">
            <w:pPr>
              <w:spacing w:line="240" w:lineRule="auto"/>
              <w:ind w:firstLineChars="0" w:firstLine="0"/>
              <w:jc w:val="center"/>
              <w:rPr>
                <w:rFonts w:ascii="宋体" w:hAnsi="宋体"/>
              </w:rPr>
            </w:pPr>
            <w:r>
              <w:rPr>
                <w:rFonts w:ascii="宋体" w:hAnsi="宋体" w:hint="eastAsia"/>
              </w:rPr>
              <w:t>玻璃电极法</w:t>
            </w:r>
          </w:p>
        </w:tc>
      </w:tr>
      <w:tr w:rsidR="00E06E80" w14:paraId="1359BE3E" w14:textId="77777777">
        <w:trPr>
          <w:cantSplit/>
          <w:trHeight w:val="454"/>
          <w:tblHeader/>
          <w:jc w:val="center"/>
        </w:trPr>
        <w:tc>
          <w:tcPr>
            <w:tcW w:w="599" w:type="dxa"/>
            <w:vAlign w:val="center"/>
          </w:tcPr>
          <w:p w14:paraId="4579938C"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3</w:t>
            </w:r>
          </w:p>
        </w:tc>
        <w:tc>
          <w:tcPr>
            <w:tcW w:w="1775" w:type="dxa"/>
            <w:vAlign w:val="center"/>
          </w:tcPr>
          <w:p w14:paraId="641E44D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溶解氧</w:t>
            </w:r>
          </w:p>
        </w:tc>
        <w:tc>
          <w:tcPr>
            <w:tcW w:w="1351" w:type="dxa"/>
            <w:vAlign w:val="center"/>
          </w:tcPr>
          <w:p w14:paraId="7843C3EB"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w:t>
            </w:r>
          </w:p>
        </w:tc>
        <w:tc>
          <w:tcPr>
            <w:tcW w:w="1512" w:type="dxa"/>
            <w:vAlign w:val="center"/>
          </w:tcPr>
          <w:p w14:paraId="5AC00A14"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≤4.0</w:t>
            </w:r>
          </w:p>
          <w:p w14:paraId="144F76E9"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4.0</w:t>
            </w:r>
          </w:p>
        </w:tc>
        <w:tc>
          <w:tcPr>
            <w:tcW w:w="1500" w:type="dxa"/>
            <w:vAlign w:val="center"/>
          </w:tcPr>
          <w:p w14:paraId="479193B9"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36DCFA3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≤5</w:t>
            </w:r>
          </w:p>
        </w:tc>
        <w:tc>
          <w:tcPr>
            <w:tcW w:w="1488" w:type="dxa"/>
            <w:vAlign w:val="center"/>
          </w:tcPr>
          <w:p w14:paraId="56772FC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p w14:paraId="35709014"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1362" w:type="dxa"/>
            <w:vAlign w:val="center"/>
          </w:tcPr>
          <w:p w14:paraId="3A541E3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523" w:type="dxa"/>
            <w:vAlign w:val="center"/>
          </w:tcPr>
          <w:p w14:paraId="4818F53C"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477" w:type="dxa"/>
            <w:vAlign w:val="center"/>
          </w:tcPr>
          <w:p w14:paraId="0084C7E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2109" w:type="dxa"/>
            <w:vAlign w:val="center"/>
          </w:tcPr>
          <w:p w14:paraId="00F6B3BB" w14:textId="77777777" w:rsidR="00E06E80" w:rsidRDefault="00000000">
            <w:pPr>
              <w:spacing w:line="240" w:lineRule="auto"/>
              <w:ind w:firstLineChars="0" w:firstLine="0"/>
              <w:jc w:val="center"/>
              <w:rPr>
                <w:rFonts w:ascii="宋体" w:hAnsi="宋体"/>
              </w:rPr>
            </w:pPr>
            <w:r>
              <w:rPr>
                <w:rFonts w:ascii="宋体" w:hAnsi="宋体" w:hint="eastAsia"/>
              </w:rPr>
              <w:t>电极法</w:t>
            </w:r>
          </w:p>
        </w:tc>
      </w:tr>
      <w:tr w:rsidR="00E06E80" w14:paraId="2061661B" w14:textId="77777777">
        <w:trPr>
          <w:cantSplit/>
          <w:trHeight w:val="454"/>
          <w:tblHeader/>
          <w:jc w:val="center"/>
        </w:trPr>
        <w:tc>
          <w:tcPr>
            <w:tcW w:w="599" w:type="dxa"/>
            <w:vAlign w:val="center"/>
          </w:tcPr>
          <w:p w14:paraId="74E3FD10"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4</w:t>
            </w:r>
          </w:p>
        </w:tc>
        <w:tc>
          <w:tcPr>
            <w:tcW w:w="1775" w:type="dxa"/>
            <w:vAlign w:val="center"/>
          </w:tcPr>
          <w:p w14:paraId="69704AA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高锰酸盐指数</w:t>
            </w:r>
          </w:p>
        </w:tc>
        <w:tc>
          <w:tcPr>
            <w:tcW w:w="1351" w:type="dxa"/>
            <w:vAlign w:val="center"/>
          </w:tcPr>
          <w:p w14:paraId="13EBF5C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w:t>
            </w:r>
          </w:p>
        </w:tc>
        <w:tc>
          <w:tcPr>
            <w:tcW w:w="1512" w:type="dxa"/>
            <w:vAlign w:val="center"/>
          </w:tcPr>
          <w:p w14:paraId="5E41A83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w:t>
            </w:r>
          </w:p>
          <w:p w14:paraId="17DF31A8"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2.0</w:t>
            </w:r>
          </w:p>
        </w:tc>
        <w:tc>
          <w:tcPr>
            <w:tcW w:w="1500" w:type="dxa"/>
            <w:vAlign w:val="center"/>
          </w:tcPr>
          <w:p w14:paraId="6880AE2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w:t>
            </w:r>
          </w:p>
          <w:p w14:paraId="2BA704BC"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tc>
        <w:tc>
          <w:tcPr>
            <w:tcW w:w="1488" w:type="dxa"/>
            <w:vAlign w:val="center"/>
          </w:tcPr>
          <w:p w14:paraId="416D7AF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≤25</w:t>
            </w:r>
          </w:p>
          <w:p w14:paraId="201300F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w:t>
            </w:r>
          </w:p>
        </w:tc>
        <w:tc>
          <w:tcPr>
            <w:tcW w:w="1362" w:type="dxa"/>
            <w:vAlign w:val="center"/>
          </w:tcPr>
          <w:p w14:paraId="1418D628"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523" w:type="dxa"/>
            <w:vAlign w:val="center"/>
          </w:tcPr>
          <w:p w14:paraId="17DC6884"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w:t>
            </w:r>
          </w:p>
          <w:p w14:paraId="7DA25B54"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tc>
        <w:tc>
          <w:tcPr>
            <w:tcW w:w="1477" w:type="dxa"/>
            <w:vAlign w:val="center"/>
          </w:tcPr>
          <w:p w14:paraId="58969B60"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≤±25</w:t>
            </w:r>
          </w:p>
          <w:p w14:paraId="24D3A77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w:t>
            </w:r>
          </w:p>
        </w:tc>
        <w:tc>
          <w:tcPr>
            <w:tcW w:w="2109" w:type="dxa"/>
            <w:vAlign w:val="center"/>
          </w:tcPr>
          <w:p w14:paraId="66CB4D4D" w14:textId="77777777" w:rsidR="00E06E80" w:rsidRDefault="00000000">
            <w:pPr>
              <w:spacing w:line="240" w:lineRule="auto"/>
              <w:ind w:firstLineChars="0" w:firstLine="0"/>
              <w:jc w:val="center"/>
              <w:rPr>
                <w:rFonts w:ascii="宋体" w:hAnsi="宋体"/>
              </w:rPr>
            </w:pPr>
            <w:r>
              <w:rPr>
                <w:rFonts w:ascii="宋体" w:hAnsi="宋体" w:hint="eastAsia"/>
              </w:rPr>
              <w:t>酸性法、碱性法</w:t>
            </w:r>
          </w:p>
        </w:tc>
      </w:tr>
      <w:tr w:rsidR="00E06E80" w14:paraId="6DE1F0EA" w14:textId="77777777">
        <w:trPr>
          <w:cantSplit/>
          <w:trHeight w:val="454"/>
          <w:tblHeader/>
          <w:jc w:val="center"/>
        </w:trPr>
        <w:tc>
          <w:tcPr>
            <w:tcW w:w="599" w:type="dxa"/>
            <w:vAlign w:val="center"/>
          </w:tcPr>
          <w:p w14:paraId="5396D93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5</w:t>
            </w:r>
          </w:p>
        </w:tc>
        <w:tc>
          <w:tcPr>
            <w:tcW w:w="1775" w:type="dxa"/>
            <w:vAlign w:val="center"/>
          </w:tcPr>
          <w:p w14:paraId="5D1746A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化学需氧量</w:t>
            </w:r>
          </w:p>
        </w:tc>
        <w:tc>
          <w:tcPr>
            <w:tcW w:w="1351" w:type="dxa"/>
            <w:vAlign w:val="center"/>
          </w:tcPr>
          <w:p w14:paraId="60FD64C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0</w:t>
            </w:r>
          </w:p>
        </w:tc>
        <w:tc>
          <w:tcPr>
            <w:tcW w:w="1512" w:type="dxa"/>
            <w:vAlign w:val="center"/>
          </w:tcPr>
          <w:p w14:paraId="7411164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≤100</w:t>
            </w:r>
          </w:p>
          <w:p w14:paraId="4E9009F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100</w:t>
            </w:r>
          </w:p>
        </w:tc>
        <w:tc>
          <w:tcPr>
            <w:tcW w:w="1500" w:type="dxa"/>
            <w:vAlign w:val="center"/>
          </w:tcPr>
          <w:p w14:paraId="06DB2BDD"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r>
              <w:rPr>
                <w:rFonts w:ascii="Times New Roman" w:hAnsi="Times New Roman" w:cs="Times New Roman"/>
              </w:rPr>
              <w:br/>
              <w:t>≤10</w:t>
            </w:r>
          </w:p>
        </w:tc>
        <w:tc>
          <w:tcPr>
            <w:tcW w:w="1488" w:type="dxa"/>
            <w:vAlign w:val="center"/>
          </w:tcPr>
          <w:p w14:paraId="212E7CAD"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w:t>
            </w:r>
          </w:p>
          <w:p w14:paraId="0F71C5F4"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tc>
        <w:tc>
          <w:tcPr>
            <w:tcW w:w="1362" w:type="dxa"/>
            <w:vAlign w:val="center"/>
          </w:tcPr>
          <w:p w14:paraId="1AC3D199"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523" w:type="dxa"/>
            <w:vAlign w:val="center"/>
          </w:tcPr>
          <w:p w14:paraId="654C97A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4662969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≤±5</w:t>
            </w:r>
          </w:p>
        </w:tc>
        <w:tc>
          <w:tcPr>
            <w:tcW w:w="1477" w:type="dxa"/>
            <w:vAlign w:val="center"/>
          </w:tcPr>
          <w:p w14:paraId="4F371BA8"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p w14:paraId="102CD3D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2109" w:type="dxa"/>
            <w:vAlign w:val="center"/>
          </w:tcPr>
          <w:p w14:paraId="22C8012D" w14:textId="77777777" w:rsidR="00E06E80" w:rsidRDefault="00000000">
            <w:pPr>
              <w:spacing w:line="240" w:lineRule="auto"/>
              <w:ind w:firstLineChars="0" w:firstLine="0"/>
              <w:jc w:val="center"/>
              <w:rPr>
                <w:rFonts w:ascii="宋体" w:hAnsi="宋体"/>
              </w:rPr>
            </w:pPr>
            <w:r>
              <w:rPr>
                <w:rFonts w:ascii="宋体" w:hAnsi="宋体" w:hint="eastAsia"/>
              </w:rPr>
              <w:t>重铬酸盐法</w:t>
            </w:r>
          </w:p>
        </w:tc>
      </w:tr>
      <w:tr w:rsidR="00E06E80" w14:paraId="5A9B2544" w14:textId="77777777">
        <w:trPr>
          <w:cantSplit/>
          <w:trHeight w:val="454"/>
          <w:tblHeader/>
          <w:jc w:val="center"/>
        </w:trPr>
        <w:tc>
          <w:tcPr>
            <w:tcW w:w="599" w:type="dxa"/>
            <w:vAlign w:val="center"/>
          </w:tcPr>
          <w:p w14:paraId="0FE42B7C"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6</w:t>
            </w:r>
          </w:p>
        </w:tc>
        <w:tc>
          <w:tcPr>
            <w:tcW w:w="1775" w:type="dxa"/>
            <w:vAlign w:val="center"/>
          </w:tcPr>
          <w:p w14:paraId="3F64EBD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五日生化需氧量</w:t>
            </w:r>
          </w:p>
        </w:tc>
        <w:tc>
          <w:tcPr>
            <w:tcW w:w="1351" w:type="dxa"/>
            <w:vAlign w:val="center"/>
          </w:tcPr>
          <w:p w14:paraId="1DB989D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w:t>
            </w:r>
          </w:p>
        </w:tc>
        <w:tc>
          <w:tcPr>
            <w:tcW w:w="1512" w:type="dxa"/>
            <w:vAlign w:val="center"/>
          </w:tcPr>
          <w:p w14:paraId="71EA40B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≤100</w:t>
            </w:r>
          </w:p>
          <w:p w14:paraId="42C29CF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100</w:t>
            </w:r>
          </w:p>
        </w:tc>
        <w:tc>
          <w:tcPr>
            <w:tcW w:w="1500" w:type="dxa"/>
            <w:vAlign w:val="center"/>
          </w:tcPr>
          <w:p w14:paraId="3F0D08A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p w14:paraId="72119C5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1488" w:type="dxa"/>
            <w:vAlign w:val="center"/>
          </w:tcPr>
          <w:p w14:paraId="28A8E11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w:t>
            </w:r>
          </w:p>
          <w:p w14:paraId="71CF536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tc>
        <w:tc>
          <w:tcPr>
            <w:tcW w:w="1362" w:type="dxa"/>
            <w:vAlign w:val="center"/>
          </w:tcPr>
          <w:p w14:paraId="39C00E95"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523" w:type="dxa"/>
            <w:vAlign w:val="center"/>
          </w:tcPr>
          <w:p w14:paraId="17FC346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477" w:type="dxa"/>
            <w:vAlign w:val="center"/>
          </w:tcPr>
          <w:p w14:paraId="41726DA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2109" w:type="dxa"/>
            <w:vAlign w:val="center"/>
          </w:tcPr>
          <w:p w14:paraId="5DE5F955" w14:textId="77777777" w:rsidR="00E06E80" w:rsidRDefault="00000000">
            <w:pPr>
              <w:spacing w:line="240" w:lineRule="auto"/>
              <w:ind w:firstLineChars="0" w:firstLine="0"/>
              <w:jc w:val="center"/>
              <w:rPr>
                <w:rFonts w:ascii="宋体" w:hAnsi="宋体"/>
              </w:rPr>
            </w:pPr>
            <w:r>
              <w:rPr>
                <w:rFonts w:ascii="宋体" w:hAnsi="宋体" w:hint="eastAsia"/>
              </w:rPr>
              <w:t>压差法</w:t>
            </w:r>
          </w:p>
        </w:tc>
      </w:tr>
      <w:tr w:rsidR="00E06E80" w14:paraId="3EC22A6E" w14:textId="77777777">
        <w:trPr>
          <w:cantSplit/>
          <w:trHeight w:val="454"/>
          <w:tblHeader/>
          <w:jc w:val="center"/>
        </w:trPr>
        <w:tc>
          <w:tcPr>
            <w:tcW w:w="599" w:type="dxa"/>
            <w:vAlign w:val="center"/>
          </w:tcPr>
          <w:p w14:paraId="0CF1976B"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7</w:t>
            </w:r>
          </w:p>
        </w:tc>
        <w:tc>
          <w:tcPr>
            <w:tcW w:w="1775" w:type="dxa"/>
            <w:vAlign w:val="center"/>
          </w:tcPr>
          <w:p w14:paraId="2B4AA50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氨氮</w:t>
            </w:r>
          </w:p>
        </w:tc>
        <w:tc>
          <w:tcPr>
            <w:tcW w:w="1351" w:type="dxa"/>
            <w:vAlign w:val="center"/>
          </w:tcPr>
          <w:p w14:paraId="69AB0B5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w:t>
            </w:r>
          </w:p>
        </w:tc>
        <w:tc>
          <w:tcPr>
            <w:tcW w:w="1512" w:type="dxa"/>
            <w:vAlign w:val="center"/>
          </w:tcPr>
          <w:p w14:paraId="61DEC8B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3AC80D7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1.0</w:t>
            </w:r>
          </w:p>
        </w:tc>
        <w:tc>
          <w:tcPr>
            <w:tcW w:w="1500" w:type="dxa"/>
            <w:vAlign w:val="center"/>
          </w:tcPr>
          <w:p w14:paraId="27B8A1E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               ≤10</w:t>
            </w:r>
          </w:p>
        </w:tc>
        <w:tc>
          <w:tcPr>
            <w:tcW w:w="1488" w:type="dxa"/>
            <w:vAlign w:val="center"/>
          </w:tcPr>
          <w:p w14:paraId="7127424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               ≤15</w:t>
            </w:r>
          </w:p>
        </w:tc>
        <w:tc>
          <w:tcPr>
            <w:tcW w:w="1362" w:type="dxa"/>
            <w:vAlign w:val="center"/>
          </w:tcPr>
          <w:p w14:paraId="0A267C35"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95-105</w:t>
            </w:r>
          </w:p>
          <w:p w14:paraId="0177ABA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90-110</w:t>
            </w:r>
          </w:p>
        </w:tc>
        <w:tc>
          <w:tcPr>
            <w:tcW w:w="1523" w:type="dxa"/>
            <w:vAlign w:val="center"/>
          </w:tcPr>
          <w:p w14:paraId="6700506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≤±5</w:t>
            </w:r>
          </w:p>
          <w:p w14:paraId="12193E2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≤±5</w:t>
            </w:r>
          </w:p>
        </w:tc>
        <w:tc>
          <w:tcPr>
            <w:tcW w:w="1477" w:type="dxa"/>
            <w:vAlign w:val="center"/>
          </w:tcPr>
          <w:p w14:paraId="6D7184ED"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37056B7D"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2109" w:type="dxa"/>
            <w:vAlign w:val="center"/>
          </w:tcPr>
          <w:p w14:paraId="65F969C2" w14:textId="77777777" w:rsidR="00E06E80" w:rsidRDefault="00000000">
            <w:pPr>
              <w:spacing w:line="240" w:lineRule="auto"/>
              <w:ind w:firstLineChars="0" w:firstLine="0"/>
              <w:jc w:val="center"/>
              <w:rPr>
                <w:rFonts w:ascii="宋体" w:hAnsi="宋体"/>
              </w:rPr>
            </w:pPr>
            <w:r>
              <w:rPr>
                <w:rFonts w:ascii="宋体" w:hAnsi="宋体" w:hint="eastAsia"/>
              </w:rPr>
              <w:t>纳氏试剂分光光度法</w:t>
            </w:r>
          </w:p>
          <w:p w14:paraId="2C5B1F07" w14:textId="77777777" w:rsidR="00E06E80" w:rsidRDefault="00000000">
            <w:pPr>
              <w:spacing w:line="240" w:lineRule="auto"/>
              <w:ind w:firstLineChars="0" w:firstLine="0"/>
              <w:jc w:val="center"/>
              <w:rPr>
                <w:rFonts w:ascii="宋体" w:hAnsi="宋体"/>
              </w:rPr>
            </w:pPr>
            <w:r>
              <w:rPr>
                <w:rFonts w:ascii="宋体" w:hAnsi="宋体" w:hint="eastAsia"/>
              </w:rPr>
              <w:t>水杨酸分光光度法</w:t>
            </w:r>
          </w:p>
        </w:tc>
      </w:tr>
      <w:tr w:rsidR="00E06E80" w14:paraId="29CFDF32" w14:textId="77777777">
        <w:trPr>
          <w:cantSplit/>
          <w:trHeight w:val="454"/>
          <w:tblHeader/>
          <w:jc w:val="center"/>
        </w:trPr>
        <w:tc>
          <w:tcPr>
            <w:tcW w:w="599" w:type="dxa"/>
            <w:vAlign w:val="center"/>
          </w:tcPr>
          <w:p w14:paraId="39E2A47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8</w:t>
            </w:r>
          </w:p>
        </w:tc>
        <w:tc>
          <w:tcPr>
            <w:tcW w:w="1775" w:type="dxa"/>
            <w:vAlign w:val="center"/>
          </w:tcPr>
          <w:p w14:paraId="46CC2F4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总磷</w:t>
            </w:r>
          </w:p>
        </w:tc>
        <w:tc>
          <w:tcPr>
            <w:tcW w:w="1351" w:type="dxa"/>
            <w:vAlign w:val="center"/>
          </w:tcPr>
          <w:p w14:paraId="223EFD5B"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w:t>
            </w:r>
          </w:p>
        </w:tc>
        <w:tc>
          <w:tcPr>
            <w:tcW w:w="1512" w:type="dxa"/>
            <w:vAlign w:val="center"/>
          </w:tcPr>
          <w:p w14:paraId="658A4CD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≤0.6</w:t>
            </w:r>
          </w:p>
          <w:p w14:paraId="05B3E56D"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0.6</w:t>
            </w:r>
          </w:p>
        </w:tc>
        <w:tc>
          <w:tcPr>
            <w:tcW w:w="1500" w:type="dxa"/>
            <w:vAlign w:val="center"/>
          </w:tcPr>
          <w:p w14:paraId="617534F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          ≤5</w:t>
            </w:r>
          </w:p>
        </w:tc>
        <w:tc>
          <w:tcPr>
            <w:tcW w:w="1488" w:type="dxa"/>
            <w:vAlign w:val="center"/>
          </w:tcPr>
          <w:p w14:paraId="687E455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               ≤10</w:t>
            </w:r>
          </w:p>
        </w:tc>
        <w:tc>
          <w:tcPr>
            <w:tcW w:w="1362" w:type="dxa"/>
            <w:vAlign w:val="center"/>
          </w:tcPr>
          <w:p w14:paraId="4F380C3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90-110       90-110</w:t>
            </w:r>
          </w:p>
        </w:tc>
        <w:tc>
          <w:tcPr>
            <w:tcW w:w="1523" w:type="dxa"/>
            <w:vAlign w:val="center"/>
          </w:tcPr>
          <w:p w14:paraId="3439E82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           ≤±10</w:t>
            </w:r>
          </w:p>
        </w:tc>
        <w:tc>
          <w:tcPr>
            <w:tcW w:w="1477" w:type="dxa"/>
            <w:vAlign w:val="center"/>
          </w:tcPr>
          <w:p w14:paraId="2C8D281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p w14:paraId="3E48E6F5"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2109" w:type="dxa"/>
            <w:vAlign w:val="center"/>
          </w:tcPr>
          <w:p w14:paraId="0DD1199A" w14:textId="77777777" w:rsidR="00E06E80" w:rsidRDefault="00000000">
            <w:pPr>
              <w:spacing w:line="240" w:lineRule="auto"/>
              <w:ind w:firstLineChars="0" w:firstLine="0"/>
              <w:jc w:val="center"/>
              <w:rPr>
                <w:rFonts w:ascii="宋体" w:hAnsi="宋体"/>
              </w:rPr>
            </w:pPr>
            <w:r>
              <w:rPr>
                <w:rFonts w:ascii="宋体" w:hAnsi="宋体" w:hint="eastAsia"/>
              </w:rPr>
              <w:t>钼酸铵分光光度法</w:t>
            </w:r>
          </w:p>
        </w:tc>
      </w:tr>
      <w:tr w:rsidR="00E06E80" w14:paraId="42F007FF" w14:textId="77777777">
        <w:trPr>
          <w:cantSplit/>
          <w:trHeight w:val="454"/>
          <w:tblHeader/>
          <w:jc w:val="center"/>
        </w:trPr>
        <w:tc>
          <w:tcPr>
            <w:tcW w:w="599" w:type="dxa"/>
            <w:tcBorders>
              <w:top w:val="single" w:sz="4" w:space="0" w:color="auto"/>
              <w:left w:val="single" w:sz="4" w:space="0" w:color="auto"/>
              <w:bottom w:val="single" w:sz="4" w:space="0" w:color="auto"/>
              <w:right w:val="single" w:sz="4" w:space="0" w:color="auto"/>
            </w:tcBorders>
            <w:vAlign w:val="center"/>
          </w:tcPr>
          <w:p w14:paraId="26B2481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w:t>
            </w:r>
          </w:p>
        </w:tc>
        <w:tc>
          <w:tcPr>
            <w:tcW w:w="1775" w:type="dxa"/>
            <w:tcBorders>
              <w:top w:val="single" w:sz="4" w:space="0" w:color="auto"/>
              <w:left w:val="single" w:sz="4" w:space="0" w:color="auto"/>
              <w:bottom w:val="single" w:sz="4" w:space="0" w:color="auto"/>
              <w:right w:val="single" w:sz="4" w:space="0" w:color="auto"/>
            </w:tcBorders>
            <w:vAlign w:val="center"/>
          </w:tcPr>
          <w:p w14:paraId="2085A7A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总氮</w:t>
            </w:r>
          </w:p>
        </w:tc>
        <w:tc>
          <w:tcPr>
            <w:tcW w:w="1351" w:type="dxa"/>
            <w:tcBorders>
              <w:top w:val="single" w:sz="4" w:space="0" w:color="auto"/>
              <w:left w:val="single" w:sz="4" w:space="0" w:color="auto"/>
              <w:bottom w:val="single" w:sz="4" w:space="0" w:color="auto"/>
              <w:right w:val="single" w:sz="4" w:space="0" w:color="auto"/>
            </w:tcBorders>
            <w:vAlign w:val="center"/>
          </w:tcPr>
          <w:p w14:paraId="427C813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w:t>
            </w:r>
          </w:p>
        </w:tc>
        <w:tc>
          <w:tcPr>
            <w:tcW w:w="1512" w:type="dxa"/>
            <w:tcBorders>
              <w:top w:val="single" w:sz="4" w:space="0" w:color="auto"/>
              <w:left w:val="single" w:sz="4" w:space="0" w:color="auto"/>
              <w:bottom w:val="single" w:sz="4" w:space="0" w:color="auto"/>
              <w:right w:val="single" w:sz="4" w:space="0" w:color="auto"/>
            </w:tcBorders>
            <w:vAlign w:val="center"/>
          </w:tcPr>
          <w:p w14:paraId="3D75D78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6CDA008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1.0</w:t>
            </w:r>
          </w:p>
        </w:tc>
        <w:tc>
          <w:tcPr>
            <w:tcW w:w="1500" w:type="dxa"/>
            <w:tcBorders>
              <w:top w:val="single" w:sz="4" w:space="0" w:color="auto"/>
              <w:left w:val="single" w:sz="4" w:space="0" w:color="auto"/>
              <w:bottom w:val="single" w:sz="4" w:space="0" w:color="auto"/>
              <w:right w:val="single" w:sz="4" w:space="0" w:color="auto"/>
            </w:tcBorders>
            <w:vAlign w:val="center"/>
          </w:tcPr>
          <w:p w14:paraId="0253148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                   ≤5</w:t>
            </w:r>
          </w:p>
        </w:tc>
        <w:tc>
          <w:tcPr>
            <w:tcW w:w="1488" w:type="dxa"/>
            <w:tcBorders>
              <w:top w:val="single" w:sz="4" w:space="0" w:color="auto"/>
              <w:left w:val="single" w:sz="4" w:space="0" w:color="auto"/>
              <w:bottom w:val="single" w:sz="4" w:space="0" w:color="auto"/>
              <w:right w:val="single" w:sz="4" w:space="0" w:color="auto"/>
            </w:tcBorders>
            <w:vAlign w:val="center"/>
          </w:tcPr>
          <w:p w14:paraId="4846949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               ≤10</w:t>
            </w:r>
          </w:p>
        </w:tc>
        <w:tc>
          <w:tcPr>
            <w:tcW w:w="1362" w:type="dxa"/>
            <w:tcBorders>
              <w:top w:val="single" w:sz="4" w:space="0" w:color="auto"/>
              <w:left w:val="single" w:sz="4" w:space="0" w:color="auto"/>
              <w:bottom w:val="single" w:sz="4" w:space="0" w:color="auto"/>
              <w:right w:val="single" w:sz="4" w:space="0" w:color="auto"/>
            </w:tcBorders>
            <w:vAlign w:val="center"/>
          </w:tcPr>
          <w:p w14:paraId="56BE7A9C"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90-110       95-105</w:t>
            </w:r>
          </w:p>
        </w:tc>
        <w:tc>
          <w:tcPr>
            <w:tcW w:w="1523" w:type="dxa"/>
            <w:tcBorders>
              <w:top w:val="single" w:sz="4" w:space="0" w:color="auto"/>
              <w:left w:val="single" w:sz="4" w:space="0" w:color="auto"/>
              <w:bottom w:val="single" w:sz="4" w:space="0" w:color="auto"/>
              <w:right w:val="single" w:sz="4" w:space="0" w:color="auto"/>
            </w:tcBorders>
            <w:vAlign w:val="center"/>
          </w:tcPr>
          <w:p w14:paraId="64728DC8"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                     ≤±5</w:t>
            </w:r>
          </w:p>
        </w:tc>
        <w:tc>
          <w:tcPr>
            <w:tcW w:w="1477" w:type="dxa"/>
            <w:tcBorders>
              <w:top w:val="single" w:sz="4" w:space="0" w:color="auto"/>
              <w:left w:val="single" w:sz="4" w:space="0" w:color="auto"/>
              <w:bottom w:val="single" w:sz="4" w:space="0" w:color="auto"/>
              <w:right w:val="single" w:sz="4" w:space="0" w:color="auto"/>
            </w:tcBorders>
            <w:vAlign w:val="center"/>
          </w:tcPr>
          <w:p w14:paraId="19B62D1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p w14:paraId="7CEB9ED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2109" w:type="dxa"/>
            <w:tcBorders>
              <w:top w:val="single" w:sz="4" w:space="0" w:color="auto"/>
              <w:left w:val="single" w:sz="4" w:space="0" w:color="auto"/>
              <w:bottom w:val="single" w:sz="4" w:space="0" w:color="auto"/>
              <w:right w:val="single" w:sz="4" w:space="0" w:color="auto"/>
            </w:tcBorders>
            <w:vAlign w:val="center"/>
          </w:tcPr>
          <w:p w14:paraId="763AA59A" w14:textId="77777777" w:rsidR="00E06E80" w:rsidRDefault="00000000">
            <w:pPr>
              <w:spacing w:line="240" w:lineRule="auto"/>
              <w:ind w:firstLineChars="0" w:firstLine="0"/>
              <w:jc w:val="center"/>
              <w:rPr>
                <w:rFonts w:ascii="宋体" w:hAnsi="宋体"/>
              </w:rPr>
            </w:pPr>
            <w:r>
              <w:rPr>
                <w:rFonts w:ascii="宋体" w:hAnsi="宋体" w:hint="eastAsia"/>
              </w:rPr>
              <w:t>碱性过硫酸钾消解紫外分光光度法</w:t>
            </w:r>
          </w:p>
        </w:tc>
      </w:tr>
      <w:tr w:rsidR="00E06E80" w14:paraId="27D48B86" w14:textId="77777777">
        <w:trPr>
          <w:cantSplit/>
          <w:trHeight w:val="454"/>
          <w:tblHeader/>
          <w:jc w:val="center"/>
        </w:trPr>
        <w:tc>
          <w:tcPr>
            <w:tcW w:w="599" w:type="dxa"/>
            <w:vAlign w:val="center"/>
          </w:tcPr>
          <w:p w14:paraId="0D6F8FA4"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1775" w:type="dxa"/>
            <w:vAlign w:val="center"/>
          </w:tcPr>
          <w:p w14:paraId="0BE63D6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铜</w:t>
            </w:r>
          </w:p>
        </w:tc>
        <w:tc>
          <w:tcPr>
            <w:tcW w:w="1351" w:type="dxa"/>
            <w:vAlign w:val="center"/>
          </w:tcPr>
          <w:p w14:paraId="1ACF56F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w:t>
            </w:r>
          </w:p>
        </w:tc>
        <w:tc>
          <w:tcPr>
            <w:tcW w:w="1512" w:type="dxa"/>
            <w:vAlign w:val="center"/>
          </w:tcPr>
          <w:p w14:paraId="1F4714F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04FB670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1</w:t>
            </w:r>
          </w:p>
        </w:tc>
        <w:tc>
          <w:tcPr>
            <w:tcW w:w="1500" w:type="dxa"/>
            <w:vAlign w:val="center"/>
          </w:tcPr>
          <w:p w14:paraId="3BAB31BC"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          ≤8</w:t>
            </w:r>
          </w:p>
        </w:tc>
        <w:tc>
          <w:tcPr>
            <w:tcW w:w="1488" w:type="dxa"/>
            <w:vAlign w:val="center"/>
          </w:tcPr>
          <w:p w14:paraId="319FBEC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               ≤10</w:t>
            </w:r>
          </w:p>
        </w:tc>
        <w:tc>
          <w:tcPr>
            <w:tcW w:w="1362" w:type="dxa"/>
            <w:vAlign w:val="center"/>
          </w:tcPr>
          <w:p w14:paraId="5865DA90"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90-110       95-105</w:t>
            </w:r>
          </w:p>
        </w:tc>
        <w:tc>
          <w:tcPr>
            <w:tcW w:w="1523" w:type="dxa"/>
            <w:vAlign w:val="center"/>
          </w:tcPr>
          <w:p w14:paraId="567EA818"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≤±5           ≤±5</w:t>
            </w:r>
          </w:p>
        </w:tc>
        <w:tc>
          <w:tcPr>
            <w:tcW w:w="1477" w:type="dxa"/>
            <w:vAlign w:val="center"/>
          </w:tcPr>
          <w:p w14:paraId="54037C2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24BDEEE8"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2109" w:type="dxa"/>
            <w:vAlign w:val="center"/>
          </w:tcPr>
          <w:p w14:paraId="258309DB" w14:textId="77777777" w:rsidR="00E06E80" w:rsidRDefault="00000000">
            <w:pPr>
              <w:spacing w:line="240" w:lineRule="auto"/>
              <w:ind w:firstLineChars="0" w:firstLine="0"/>
              <w:jc w:val="center"/>
              <w:rPr>
                <w:rFonts w:ascii="宋体" w:hAnsi="宋体"/>
              </w:rPr>
            </w:pPr>
            <w:r>
              <w:rPr>
                <w:rFonts w:ascii="宋体" w:hAnsi="宋体" w:hint="eastAsia"/>
              </w:rPr>
              <w:t>等离子发射光谱法</w:t>
            </w:r>
          </w:p>
          <w:p w14:paraId="2F1DECA7" w14:textId="77777777" w:rsidR="00E06E80" w:rsidRDefault="00000000">
            <w:pPr>
              <w:spacing w:line="240" w:lineRule="auto"/>
              <w:ind w:firstLineChars="0" w:firstLine="0"/>
              <w:jc w:val="center"/>
              <w:rPr>
                <w:rFonts w:ascii="宋体" w:hAnsi="宋体"/>
              </w:rPr>
            </w:pPr>
            <w:r>
              <w:rPr>
                <w:rFonts w:ascii="宋体" w:hAnsi="宋体" w:hint="eastAsia"/>
              </w:rPr>
              <w:t>等离子体质谱法</w:t>
            </w:r>
          </w:p>
          <w:p w14:paraId="2A0C9132" w14:textId="77777777" w:rsidR="00E06E80" w:rsidRDefault="00000000">
            <w:pPr>
              <w:spacing w:line="240" w:lineRule="auto"/>
              <w:ind w:firstLineChars="0" w:firstLine="0"/>
              <w:jc w:val="center"/>
              <w:rPr>
                <w:rFonts w:ascii="宋体" w:hAnsi="宋体"/>
              </w:rPr>
            </w:pPr>
            <w:r>
              <w:rPr>
                <w:rFonts w:ascii="宋体" w:hAnsi="宋体" w:hint="eastAsia"/>
              </w:rPr>
              <w:t>原子吸收法</w:t>
            </w:r>
          </w:p>
          <w:p w14:paraId="3F2AEC6D" w14:textId="77777777" w:rsidR="00E06E80" w:rsidRDefault="00000000">
            <w:pPr>
              <w:spacing w:line="240" w:lineRule="auto"/>
              <w:ind w:firstLineChars="0" w:firstLine="0"/>
              <w:jc w:val="center"/>
              <w:rPr>
                <w:rFonts w:ascii="宋体" w:hAnsi="宋体"/>
              </w:rPr>
            </w:pPr>
            <w:r>
              <w:rPr>
                <w:rFonts w:ascii="宋体" w:hAnsi="宋体" w:hint="eastAsia"/>
              </w:rPr>
              <w:t>分光光度法</w:t>
            </w:r>
          </w:p>
          <w:p w14:paraId="6CBCF374" w14:textId="77777777" w:rsidR="00E06E80" w:rsidRDefault="00000000">
            <w:pPr>
              <w:spacing w:line="240" w:lineRule="auto"/>
              <w:ind w:firstLineChars="0" w:firstLine="0"/>
              <w:jc w:val="center"/>
              <w:rPr>
                <w:rFonts w:ascii="宋体" w:hAnsi="宋体"/>
              </w:rPr>
            </w:pPr>
            <w:r>
              <w:rPr>
                <w:rFonts w:ascii="宋体" w:hAnsi="宋体" w:hint="eastAsia"/>
              </w:rPr>
              <w:t>阳极溶出伏安法</w:t>
            </w:r>
          </w:p>
        </w:tc>
      </w:tr>
      <w:tr w:rsidR="00E06E80" w14:paraId="057BE4C7" w14:textId="77777777">
        <w:trPr>
          <w:cantSplit/>
          <w:trHeight w:val="454"/>
          <w:tblHeader/>
          <w:jc w:val="center"/>
        </w:trPr>
        <w:tc>
          <w:tcPr>
            <w:tcW w:w="599" w:type="dxa"/>
            <w:vAlign w:val="center"/>
          </w:tcPr>
          <w:p w14:paraId="1FF95A3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11</w:t>
            </w:r>
          </w:p>
        </w:tc>
        <w:tc>
          <w:tcPr>
            <w:tcW w:w="1775" w:type="dxa"/>
            <w:vAlign w:val="center"/>
          </w:tcPr>
          <w:p w14:paraId="3C05BA5B"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锌</w:t>
            </w:r>
          </w:p>
        </w:tc>
        <w:tc>
          <w:tcPr>
            <w:tcW w:w="1351" w:type="dxa"/>
            <w:vAlign w:val="center"/>
          </w:tcPr>
          <w:p w14:paraId="42CB038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w:t>
            </w:r>
          </w:p>
        </w:tc>
        <w:tc>
          <w:tcPr>
            <w:tcW w:w="1512" w:type="dxa"/>
            <w:vAlign w:val="center"/>
          </w:tcPr>
          <w:p w14:paraId="015272E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530E2E14"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1.0</w:t>
            </w:r>
          </w:p>
        </w:tc>
        <w:tc>
          <w:tcPr>
            <w:tcW w:w="1500" w:type="dxa"/>
            <w:vAlign w:val="center"/>
          </w:tcPr>
          <w:p w14:paraId="620A9745"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         ≤10</w:t>
            </w:r>
          </w:p>
        </w:tc>
        <w:tc>
          <w:tcPr>
            <w:tcW w:w="1488" w:type="dxa"/>
            <w:vAlign w:val="center"/>
          </w:tcPr>
          <w:p w14:paraId="4B5A2DD9"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               ≤15</w:t>
            </w:r>
          </w:p>
        </w:tc>
        <w:tc>
          <w:tcPr>
            <w:tcW w:w="1362" w:type="dxa"/>
            <w:vAlign w:val="center"/>
          </w:tcPr>
          <w:p w14:paraId="5D9DBA5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90-110       95-105</w:t>
            </w:r>
          </w:p>
        </w:tc>
        <w:tc>
          <w:tcPr>
            <w:tcW w:w="1523" w:type="dxa"/>
            <w:vAlign w:val="center"/>
          </w:tcPr>
          <w:p w14:paraId="07038E8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≤±8           ≤±5</w:t>
            </w:r>
          </w:p>
        </w:tc>
        <w:tc>
          <w:tcPr>
            <w:tcW w:w="1477" w:type="dxa"/>
            <w:vAlign w:val="center"/>
          </w:tcPr>
          <w:p w14:paraId="2E7EA2FC"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4B3F794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2109" w:type="dxa"/>
            <w:vAlign w:val="center"/>
          </w:tcPr>
          <w:p w14:paraId="5D1BBF67" w14:textId="77777777" w:rsidR="00E06E80" w:rsidRDefault="00000000">
            <w:pPr>
              <w:spacing w:line="240" w:lineRule="auto"/>
              <w:ind w:firstLineChars="0" w:firstLine="0"/>
              <w:jc w:val="center"/>
              <w:rPr>
                <w:rFonts w:ascii="宋体" w:hAnsi="宋体"/>
              </w:rPr>
            </w:pPr>
            <w:r>
              <w:rPr>
                <w:rFonts w:ascii="宋体" w:hAnsi="宋体" w:hint="eastAsia"/>
              </w:rPr>
              <w:t>等离子发射光谱法</w:t>
            </w:r>
          </w:p>
          <w:p w14:paraId="0C8AB7E0" w14:textId="77777777" w:rsidR="00E06E80" w:rsidRDefault="00000000">
            <w:pPr>
              <w:spacing w:line="240" w:lineRule="auto"/>
              <w:ind w:firstLineChars="0" w:firstLine="0"/>
              <w:jc w:val="center"/>
              <w:rPr>
                <w:rFonts w:ascii="宋体" w:hAnsi="宋体"/>
              </w:rPr>
            </w:pPr>
            <w:r>
              <w:rPr>
                <w:rFonts w:ascii="宋体" w:hAnsi="宋体" w:hint="eastAsia"/>
              </w:rPr>
              <w:t>等离子体质谱法</w:t>
            </w:r>
          </w:p>
          <w:p w14:paraId="40BCBD9A" w14:textId="77777777" w:rsidR="00E06E80" w:rsidRDefault="00000000">
            <w:pPr>
              <w:spacing w:line="240" w:lineRule="auto"/>
              <w:ind w:firstLineChars="0" w:firstLine="0"/>
              <w:jc w:val="center"/>
              <w:rPr>
                <w:rFonts w:ascii="宋体" w:hAnsi="宋体"/>
              </w:rPr>
            </w:pPr>
            <w:r>
              <w:rPr>
                <w:rFonts w:ascii="宋体" w:hAnsi="宋体" w:hint="eastAsia"/>
              </w:rPr>
              <w:t>原子吸收法</w:t>
            </w:r>
          </w:p>
          <w:p w14:paraId="23C2A3C0" w14:textId="77777777" w:rsidR="00E06E80" w:rsidRDefault="00000000">
            <w:pPr>
              <w:spacing w:line="240" w:lineRule="auto"/>
              <w:ind w:firstLineChars="0" w:firstLine="0"/>
              <w:jc w:val="center"/>
              <w:rPr>
                <w:rFonts w:ascii="宋体" w:hAnsi="宋体"/>
              </w:rPr>
            </w:pPr>
            <w:r>
              <w:rPr>
                <w:rFonts w:ascii="宋体" w:hAnsi="宋体" w:hint="eastAsia"/>
              </w:rPr>
              <w:t>分光光度法</w:t>
            </w:r>
          </w:p>
          <w:p w14:paraId="7D10B851" w14:textId="77777777" w:rsidR="00E06E80" w:rsidRDefault="00000000">
            <w:pPr>
              <w:spacing w:line="240" w:lineRule="auto"/>
              <w:ind w:firstLineChars="0" w:firstLine="0"/>
              <w:jc w:val="center"/>
              <w:rPr>
                <w:rFonts w:ascii="宋体" w:hAnsi="宋体"/>
              </w:rPr>
            </w:pPr>
            <w:r>
              <w:rPr>
                <w:rFonts w:ascii="宋体" w:hAnsi="宋体" w:hint="eastAsia"/>
              </w:rPr>
              <w:t>阳极溶出伏安法</w:t>
            </w:r>
          </w:p>
        </w:tc>
      </w:tr>
      <w:tr w:rsidR="00E06E80" w14:paraId="480E04FB" w14:textId="77777777">
        <w:trPr>
          <w:cantSplit/>
          <w:trHeight w:val="454"/>
          <w:tblHeader/>
          <w:jc w:val="center"/>
        </w:trPr>
        <w:tc>
          <w:tcPr>
            <w:tcW w:w="599" w:type="dxa"/>
            <w:vAlign w:val="center"/>
          </w:tcPr>
          <w:p w14:paraId="7D0468C0"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12</w:t>
            </w:r>
          </w:p>
        </w:tc>
        <w:tc>
          <w:tcPr>
            <w:tcW w:w="1775" w:type="dxa"/>
            <w:vAlign w:val="center"/>
          </w:tcPr>
          <w:p w14:paraId="2D339260"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铅</w:t>
            </w:r>
          </w:p>
        </w:tc>
        <w:tc>
          <w:tcPr>
            <w:tcW w:w="1351" w:type="dxa"/>
            <w:vAlign w:val="center"/>
          </w:tcPr>
          <w:p w14:paraId="2E8333D5"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3</w:t>
            </w:r>
          </w:p>
        </w:tc>
        <w:tc>
          <w:tcPr>
            <w:tcW w:w="1512" w:type="dxa"/>
            <w:vAlign w:val="center"/>
          </w:tcPr>
          <w:p w14:paraId="7A684CBD"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0E54F11D"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1.0</w:t>
            </w:r>
          </w:p>
        </w:tc>
        <w:tc>
          <w:tcPr>
            <w:tcW w:w="1500" w:type="dxa"/>
            <w:vAlign w:val="center"/>
          </w:tcPr>
          <w:p w14:paraId="6BB2A22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≤25         ≤15</w:t>
            </w:r>
          </w:p>
        </w:tc>
        <w:tc>
          <w:tcPr>
            <w:tcW w:w="1488" w:type="dxa"/>
            <w:vAlign w:val="center"/>
          </w:tcPr>
          <w:p w14:paraId="3F0389FC"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≤30         ≤20</w:t>
            </w:r>
          </w:p>
        </w:tc>
        <w:tc>
          <w:tcPr>
            <w:tcW w:w="1362" w:type="dxa"/>
            <w:vAlign w:val="center"/>
          </w:tcPr>
          <w:p w14:paraId="05D15DE5"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85-115      90-110</w:t>
            </w:r>
          </w:p>
        </w:tc>
        <w:tc>
          <w:tcPr>
            <w:tcW w:w="1523" w:type="dxa"/>
            <w:vAlign w:val="center"/>
          </w:tcPr>
          <w:p w14:paraId="4C0BC965"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7B3A1229"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≤±8</w:t>
            </w:r>
          </w:p>
        </w:tc>
        <w:tc>
          <w:tcPr>
            <w:tcW w:w="1477" w:type="dxa"/>
            <w:vAlign w:val="center"/>
          </w:tcPr>
          <w:p w14:paraId="7DD7B35D"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p w14:paraId="5708FC6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tc>
        <w:tc>
          <w:tcPr>
            <w:tcW w:w="2109" w:type="dxa"/>
            <w:vAlign w:val="center"/>
          </w:tcPr>
          <w:p w14:paraId="0EC71059" w14:textId="77777777" w:rsidR="00E06E80" w:rsidRDefault="00000000">
            <w:pPr>
              <w:spacing w:line="240" w:lineRule="auto"/>
              <w:ind w:firstLineChars="0" w:firstLine="0"/>
              <w:jc w:val="center"/>
              <w:rPr>
                <w:rFonts w:ascii="宋体" w:hAnsi="宋体"/>
              </w:rPr>
            </w:pPr>
            <w:r>
              <w:rPr>
                <w:rFonts w:ascii="宋体" w:hAnsi="宋体" w:hint="eastAsia"/>
              </w:rPr>
              <w:t>等离子发射光谱法</w:t>
            </w:r>
          </w:p>
          <w:p w14:paraId="05CAEA85" w14:textId="77777777" w:rsidR="00E06E80" w:rsidRDefault="00000000">
            <w:pPr>
              <w:spacing w:line="240" w:lineRule="auto"/>
              <w:ind w:firstLineChars="0" w:firstLine="0"/>
              <w:jc w:val="center"/>
              <w:rPr>
                <w:rFonts w:ascii="宋体" w:hAnsi="宋体"/>
              </w:rPr>
            </w:pPr>
            <w:r>
              <w:rPr>
                <w:rFonts w:ascii="宋体" w:hAnsi="宋体" w:hint="eastAsia"/>
              </w:rPr>
              <w:t>等离子体质谱法</w:t>
            </w:r>
          </w:p>
          <w:p w14:paraId="5493AF08" w14:textId="77777777" w:rsidR="00E06E80" w:rsidRDefault="00000000">
            <w:pPr>
              <w:spacing w:line="240" w:lineRule="auto"/>
              <w:ind w:firstLineChars="0" w:firstLine="0"/>
              <w:jc w:val="center"/>
              <w:rPr>
                <w:rFonts w:ascii="宋体" w:hAnsi="宋体"/>
              </w:rPr>
            </w:pPr>
            <w:r>
              <w:rPr>
                <w:rFonts w:ascii="宋体" w:hAnsi="宋体" w:hint="eastAsia"/>
              </w:rPr>
              <w:lastRenderedPageBreak/>
              <w:t>原子吸收法</w:t>
            </w:r>
          </w:p>
          <w:p w14:paraId="40AEA105" w14:textId="77777777" w:rsidR="00E06E80" w:rsidRDefault="00000000">
            <w:pPr>
              <w:spacing w:line="240" w:lineRule="auto"/>
              <w:ind w:firstLineChars="0" w:firstLine="0"/>
              <w:jc w:val="center"/>
              <w:rPr>
                <w:rFonts w:ascii="宋体" w:hAnsi="宋体"/>
              </w:rPr>
            </w:pPr>
            <w:r>
              <w:rPr>
                <w:rFonts w:ascii="宋体" w:hAnsi="宋体" w:hint="eastAsia"/>
              </w:rPr>
              <w:t>分光光度法</w:t>
            </w:r>
          </w:p>
          <w:p w14:paraId="066411DD" w14:textId="77777777" w:rsidR="00E06E80" w:rsidRDefault="00000000">
            <w:pPr>
              <w:spacing w:line="240" w:lineRule="auto"/>
              <w:ind w:firstLineChars="0" w:firstLine="0"/>
              <w:jc w:val="center"/>
              <w:rPr>
                <w:rFonts w:ascii="宋体" w:hAnsi="宋体"/>
              </w:rPr>
            </w:pPr>
            <w:r>
              <w:rPr>
                <w:rFonts w:ascii="宋体" w:hAnsi="宋体" w:hint="eastAsia"/>
              </w:rPr>
              <w:t>阳极溶出伏安法</w:t>
            </w:r>
          </w:p>
        </w:tc>
      </w:tr>
      <w:tr w:rsidR="00E06E80" w14:paraId="3349E85C" w14:textId="77777777">
        <w:trPr>
          <w:cantSplit/>
          <w:trHeight w:val="454"/>
          <w:tblHeader/>
          <w:jc w:val="center"/>
        </w:trPr>
        <w:tc>
          <w:tcPr>
            <w:tcW w:w="599" w:type="dxa"/>
            <w:vAlign w:val="center"/>
          </w:tcPr>
          <w:p w14:paraId="5CE1E5C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lastRenderedPageBreak/>
              <w:t>13</w:t>
            </w:r>
          </w:p>
        </w:tc>
        <w:tc>
          <w:tcPr>
            <w:tcW w:w="1775" w:type="dxa"/>
            <w:vAlign w:val="center"/>
          </w:tcPr>
          <w:p w14:paraId="6138DFE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镉</w:t>
            </w:r>
          </w:p>
        </w:tc>
        <w:tc>
          <w:tcPr>
            <w:tcW w:w="1351" w:type="dxa"/>
            <w:vAlign w:val="center"/>
          </w:tcPr>
          <w:p w14:paraId="5DF28E3D"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3</w:t>
            </w:r>
          </w:p>
        </w:tc>
        <w:tc>
          <w:tcPr>
            <w:tcW w:w="1512" w:type="dxa"/>
            <w:vAlign w:val="center"/>
          </w:tcPr>
          <w:p w14:paraId="3D47948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≤0.1</w:t>
            </w:r>
          </w:p>
          <w:p w14:paraId="7E19B4C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1.0</w:t>
            </w:r>
          </w:p>
        </w:tc>
        <w:tc>
          <w:tcPr>
            <w:tcW w:w="1500" w:type="dxa"/>
            <w:vAlign w:val="center"/>
          </w:tcPr>
          <w:p w14:paraId="3B38A61C"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         ≤10</w:t>
            </w:r>
          </w:p>
        </w:tc>
        <w:tc>
          <w:tcPr>
            <w:tcW w:w="1488" w:type="dxa"/>
            <w:vAlign w:val="center"/>
          </w:tcPr>
          <w:p w14:paraId="0749510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               ≤15</w:t>
            </w:r>
          </w:p>
        </w:tc>
        <w:tc>
          <w:tcPr>
            <w:tcW w:w="1362" w:type="dxa"/>
            <w:vAlign w:val="center"/>
          </w:tcPr>
          <w:p w14:paraId="22B60648"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90-110       90-110</w:t>
            </w:r>
          </w:p>
        </w:tc>
        <w:tc>
          <w:tcPr>
            <w:tcW w:w="1523" w:type="dxa"/>
            <w:vAlign w:val="center"/>
          </w:tcPr>
          <w:p w14:paraId="3C1BCD5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11A1BD54"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1477" w:type="dxa"/>
            <w:vAlign w:val="center"/>
          </w:tcPr>
          <w:p w14:paraId="04E90BD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p w14:paraId="7B79210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tc>
        <w:tc>
          <w:tcPr>
            <w:tcW w:w="2109" w:type="dxa"/>
            <w:vAlign w:val="center"/>
          </w:tcPr>
          <w:p w14:paraId="70F43000" w14:textId="77777777" w:rsidR="00E06E80" w:rsidRDefault="00000000">
            <w:pPr>
              <w:spacing w:line="240" w:lineRule="auto"/>
              <w:ind w:firstLineChars="0" w:firstLine="0"/>
              <w:jc w:val="center"/>
              <w:rPr>
                <w:rFonts w:ascii="宋体" w:hAnsi="宋体"/>
              </w:rPr>
            </w:pPr>
            <w:r>
              <w:rPr>
                <w:rFonts w:ascii="宋体" w:hAnsi="宋体" w:hint="eastAsia"/>
              </w:rPr>
              <w:t>等离子发射光谱法</w:t>
            </w:r>
          </w:p>
          <w:p w14:paraId="62E26DF4" w14:textId="77777777" w:rsidR="00E06E80" w:rsidRDefault="00000000">
            <w:pPr>
              <w:spacing w:line="240" w:lineRule="auto"/>
              <w:ind w:firstLineChars="0" w:firstLine="0"/>
              <w:jc w:val="center"/>
              <w:rPr>
                <w:rFonts w:ascii="宋体" w:hAnsi="宋体"/>
              </w:rPr>
            </w:pPr>
            <w:r>
              <w:rPr>
                <w:rFonts w:ascii="宋体" w:hAnsi="宋体" w:hint="eastAsia"/>
              </w:rPr>
              <w:t>等离子体质谱法</w:t>
            </w:r>
          </w:p>
          <w:p w14:paraId="23A11085" w14:textId="77777777" w:rsidR="00E06E80" w:rsidRDefault="00000000">
            <w:pPr>
              <w:spacing w:line="240" w:lineRule="auto"/>
              <w:ind w:firstLineChars="0" w:firstLine="0"/>
              <w:jc w:val="center"/>
              <w:rPr>
                <w:rFonts w:ascii="宋体" w:hAnsi="宋体"/>
              </w:rPr>
            </w:pPr>
            <w:r>
              <w:rPr>
                <w:rFonts w:ascii="宋体" w:hAnsi="宋体" w:hint="eastAsia"/>
              </w:rPr>
              <w:t>原子吸收法</w:t>
            </w:r>
          </w:p>
          <w:p w14:paraId="750380DA" w14:textId="77777777" w:rsidR="00E06E80" w:rsidRDefault="00000000">
            <w:pPr>
              <w:spacing w:line="240" w:lineRule="auto"/>
              <w:ind w:firstLineChars="0" w:firstLine="0"/>
              <w:jc w:val="center"/>
              <w:rPr>
                <w:rFonts w:ascii="宋体" w:hAnsi="宋体"/>
              </w:rPr>
            </w:pPr>
            <w:r>
              <w:rPr>
                <w:rFonts w:ascii="宋体" w:hAnsi="宋体" w:hint="eastAsia"/>
              </w:rPr>
              <w:t>分光光度法</w:t>
            </w:r>
          </w:p>
          <w:p w14:paraId="2273106D" w14:textId="77777777" w:rsidR="00E06E80" w:rsidRDefault="00000000">
            <w:pPr>
              <w:spacing w:line="240" w:lineRule="auto"/>
              <w:ind w:firstLineChars="0" w:firstLine="0"/>
              <w:jc w:val="center"/>
              <w:rPr>
                <w:rFonts w:ascii="宋体" w:hAnsi="宋体"/>
              </w:rPr>
            </w:pPr>
            <w:r>
              <w:rPr>
                <w:rFonts w:ascii="宋体" w:hAnsi="宋体" w:hint="eastAsia"/>
              </w:rPr>
              <w:t>阳极溶出伏安法</w:t>
            </w:r>
          </w:p>
        </w:tc>
      </w:tr>
      <w:tr w:rsidR="00E06E80" w14:paraId="68CC15D8" w14:textId="77777777">
        <w:trPr>
          <w:cantSplit/>
          <w:trHeight w:val="454"/>
          <w:tblHeader/>
          <w:jc w:val="center"/>
        </w:trPr>
        <w:tc>
          <w:tcPr>
            <w:tcW w:w="599" w:type="dxa"/>
            <w:vAlign w:val="center"/>
          </w:tcPr>
          <w:p w14:paraId="3563E53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14</w:t>
            </w:r>
          </w:p>
        </w:tc>
        <w:tc>
          <w:tcPr>
            <w:tcW w:w="1775" w:type="dxa"/>
            <w:vAlign w:val="center"/>
          </w:tcPr>
          <w:p w14:paraId="545C657C"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六价铬</w:t>
            </w:r>
          </w:p>
        </w:tc>
        <w:tc>
          <w:tcPr>
            <w:tcW w:w="1351" w:type="dxa"/>
            <w:vAlign w:val="center"/>
          </w:tcPr>
          <w:p w14:paraId="77AE3A55"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3</w:t>
            </w:r>
          </w:p>
        </w:tc>
        <w:tc>
          <w:tcPr>
            <w:tcW w:w="1512" w:type="dxa"/>
            <w:vAlign w:val="center"/>
          </w:tcPr>
          <w:p w14:paraId="7200CB7B"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238B309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1.0</w:t>
            </w:r>
          </w:p>
        </w:tc>
        <w:tc>
          <w:tcPr>
            <w:tcW w:w="1500" w:type="dxa"/>
            <w:vAlign w:val="center"/>
          </w:tcPr>
          <w:p w14:paraId="2DD3AA8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               ≤5</w:t>
            </w:r>
          </w:p>
        </w:tc>
        <w:tc>
          <w:tcPr>
            <w:tcW w:w="1488" w:type="dxa"/>
            <w:vAlign w:val="center"/>
          </w:tcPr>
          <w:p w14:paraId="2C42EF0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               ≤10</w:t>
            </w:r>
          </w:p>
        </w:tc>
        <w:tc>
          <w:tcPr>
            <w:tcW w:w="1362" w:type="dxa"/>
            <w:vAlign w:val="center"/>
          </w:tcPr>
          <w:p w14:paraId="1ED92A3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90-110       90-110</w:t>
            </w:r>
          </w:p>
        </w:tc>
        <w:tc>
          <w:tcPr>
            <w:tcW w:w="1523" w:type="dxa"/>
            <w:vAlign w:val="center"/>
          </w:tcPr>
          <w:p w14:paraId="0C35B38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≤±5             ≤±5</w:t>
            </w:r>
          </w:p>
        </w:tc>
        <w:tc>
          <w:tcPr>
            <w:tcW w:w="1477" w:type="dxa"/>
            <w:vAlign w:val="center"/>
          </w:tcPr>
          <w:p w14:paraId="03346429"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0BF33BE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2109" w:type="dxa"/>
            <w:vAlign w:val="center"/>
          </w:tcPr>
          <w:p w14:paraId="0D4D0F6B" w14:textId="77777777" w:rsidR="00E06E80" w:rsidRDefault="00000000">
            <w:pPr>
              <w:spacing w:line="240" w:lineRule="auto"/>
              <w:ind w:firstLineChars="0" w:firstLine="0"/>
              <w:jc w:val="center"/>
              <w:rPr>
                <w:rFonts w:ascii="宋体" w:hAnsi="宋体"/>
              </w:rPr>
            </w:pPr>
            <w:r>
              <w:rPr>
                <w:rFonts w:ascii="宋体" w:hAnsi="宋体" w:hint="eastAsia"/>
              </w:rPr>
              <w:t>等离子发射光谱法</w:t>
            </w:r>
          </w:p>
          <w:p w14:paraId="60553CD3" w14:textId="77777777" w:rsidR="00E06E80" w:rsidRDefault="00000000">
            <w:pPr>
              <w:spacing w:line="240" w:lineRule="auto"/>
              <w:ind w:firstLineChars="0" w:firstLine="0"/>
              <w:jc w:val="center"/>
              <w:rPr>
                <w:rFonts w:ascii="宋体" w:hAnsi="宋体"/>
              </w:rPr>
            </w:pPr>
            <w:r>
              <w:rPr>
                <w:rFonts w:ascii="宋体" w:hAnsi="宋体" w:hint="eastAsia"/>
              </w:rPr>
              <w:t>等离子体质谱法</w:t>
            </w:r>
          </w:p>
          <w:p w14:paraId="410B47BE" w14:textId="77777777" w:rsidR="00E06E80" w:rsidRDefault="00000000">
            <w:pPr>
              <w:spacing w:line="240" w:lineRule="auto"/>
              <w:ind w:firstLineChars="0" w:firstLine="0"/>
              <w:jc w:val="center"/>
              <w:rPr>
                <w:rFonts w:ascii="宋体" w:hAnsi="宋体"/>
              </w:rPr>
            </w:pPr>
            <w:r>
              <w:rPr>
                <w:rFonts w:ascii="宋体" w:hAnsi="宋体" w:hint="eastAsia"/>
              </w:rPr>
              <w:t>分光光度法</w:t>
            </w:r>
          </w:p>
        </w:tc>
      </w:tr>
      <w:tr w:rsidR="00E06E80" w14:paraId="66601F38" w14:textId="77777777">
        <w:trPr>
          <w:cantSplit/>
          <w:trHeight w:val="454"/>
          <w:tblHeader/>
          <w:jc w:val="center"/>
        </w:trPr>
        <w:tc>
          <w:tcPr>
            <w:tcW w:w="599" w:type="dxa"/>
            <w:vAlign w:val="center"/>
          </w:tcPr>
          <w:p w14:paraId="786EE6CB"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tc>
        <w:tc>
          <w:tcPr>
            <w:tcW w:w="1775" w:type="dxa"/>
            <w:vAlign w:val="center"/>
          </w:tcPr>
          <w:p w14:paraId="5198E61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砷</w:t>
            </w:r>
          </w:p>
        </w:tc>
        <w:tc>
          <w:tcPr>
            <w:tcW w:w="1351" w:type="dxa"/>
            <w:vAlign w:val="center"/>
          </w:tcPr>
          <w:p w14:paraId="71BFF35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3</w:t>
            </w:r>
          </w:p>
        </w:tc>
        <w:tc>
          <w:tcPr>
            <w:tcW w:w="1512" w:type="dxa"/>
            <w:vAlign w:val="center"/>
          </w:tcPr>
          <w:p w14:paraId="6BE8566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≤0.05</w:t>
            </w:r>
          </w:p>
          <w:p w14:paraId="4B46C38B"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0.05</w:t>
            </w:r>
          </w:p>
        </w:tc>
        <w:tc>
          <w:tcPr>
            <w:tcW w:w="1500" w:type="dxa"/>
            <w:vAlign w:val="center"/>
          </w:tcPr>
          <w:p w14:paraId="74C89285"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         ≤10</w:t>
            </w:r>
          </w:p>
        </w:tc>
        <w:tc>
          <w:tcPr>
            <w:tcW w:w="1488" w:type="dxa"/>
            <w:vAlign w:val="center"/>
          </w:tcPr>
          <w:p w14:paraId="4DA9EF2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≤30         ≤15</w:t>
            </w:r>
          </w:p>
        </w:tc>
        <w:tc>
          <w:tcPr>
            <w:tcW w:w="1362" w:type="dxa"/>
            <w:vAlign w:val="center"/>
          </w:tcPr>
          <w:p w14:paraId="0B48884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85-115      90-110</w:t>
            </w:r>
          </w:p>
        </w:tc>
        <w:tc>
          <w:tcPr>
            <w:tcW w:w="1523" w:type="dxa"/>
            <w:vAlign w:val="center"/>
          </w:tcPr>
          <w:p w14:paraId="78A1E9B4"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            ≤±10</w:t>
            </w:r>
          </w:p>
        </w:tc>
        <w:tc>
          <w:tcPr>
            <w:tcW w:w="1477" w:type="dxa"/>
            <w:vAlign w:val="center"/>
          </w:tcPr>
          <w:p w14:paraId="768FA8A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w:t>
            </w:r>
          </w:p>
          <w:p w14:paraId="00452DA4"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tc>
        <w:tc>
          <w:tcPr>
            <w:tcW w:w="2109" w:type="dxa"/>
            <w:vAlign w:val="center"/>
          </w:tcPr>
          <w:p w14:paraId="78F49782" w14:textId="77777777" w:rsidR="00E06E80" w:rsidRDefault="00000000">
            <w:pPr>
              <w:spacing w:line="240" w:lineRule="auto"/>
              <w:ind w:firstLineChars="0" w:firstLine="0"/>
              <w:jc w:val="center"/>
              <w:rPr>
                <w:rFonts w:ascii="宋体" w:hAnsi="宋体"/>
              </w:rPr>
            </w:pPr>
            <w:r>
              <w:rPr>
                <w:rFonts w:ascii="宋体" w:hAnsi="宋体" w:hint="eastAsia"/>
              </w:rPr>
              <w:t>等离子发射光谱法</w:t>
            </w:r>
          </w:p>
          <w:p w14:paraId="5A655980" w14:textId="77777777" w:rsidR="00E06E80" w:rsidRDefault="00000000">
            <w:pPr>
              <w:spacing w:line="240" w:lineRule="auto"/>
              <w:ind w:firstLineChars="0" w:firstLine="0"/>
              <w:jc w:val="center"/>
              <w:rPr>
                <w:rFonts w:ascii="宋体" w:hAnsi="宋体"/>
              </w:rPr>
            </w:pPr>
            <w:r>
              <w:rPr>
                <w:rFonts w:ascii="宋体" w:hAnsi="宋体" w:hint="eastAsia"/>
              </w:rPr>
              <w:t>等离子体质谱法</w:t>
            </w:r>
          </w:p>
          <w:p w14:paraId="7D2774B7" w14:textId="77777777" w:rsidR="00E06E80" w:rsidRDefault="00000000">
            <w:pPr>
              <w:spacing w:line="240" w:lineRule="auto"/>
              <w:ind w:firstLineChars="0" w:firstLine="0"/>
              <w:jc w:val="center"/>
              <w:rPr>
                <w:rFonts w:ascii="宋体" w:hAnsi="宋体"/>
              </w:rPr>
            </w:pPr>
            <w:r>
              <w:rPr>
                <w:rFonts w:ascii="宋体" w:hAnsi="宋体" w:hint="eastAsia"/>
              </w:rPr>
              <w:t>原子荧光法</w:t>
            </w:r>
          </w:p>
          <w:p w14:paraId="6DB57BED" w14:textId="77777777" w:rsidR="00E06E80" w:rsidRDefault="00000000">
            <w:pPr>
              <w:spacing w:line="240" w:lineRule="auto"/>
              <w:ind w:firstLineChars="0" w:firstLine="0"/>
              <w:jc w:val="center"/>
              <w:rPr>
                <w:rFonts w:ascii="宋体" w:hAnsi="宋体"/>
              </w:rPr>
            </w:pPr>
            <w:r>
              <w:rPr>
                <w:rFonts w:ascii="宋体" w:hAnsi="宋体" w:hint="eastAsia"/>
              </w:rPr>
              <w:t>分光光度法</w:t>
            </w:r>
          </w:p>
        </w:tc>
      </w:tr>
      <w:tr w:rsidR="00E06E80" w14:paraId="0C81B64E" w14:textId="77777777">
        <w:trPr>
          <w:cantSplit/>
          <w:trHeight w:val="454"/>
          <w:tblHeader/>
          <w:jc w:val="center"/>
        </w:trPr>
        <w:tc>
          <w:tcPr>
            <w:tcW w:w="599" w:type="dxa"/>
            <w:vAlign w:val="center"/>
          </w:tcPr>
          <w:p w14:paraId="109A856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16</w:t>
            </w:r>
          </w:p>
        </w:tc>
        <w:tc>
          <w:tcPr>
            <w:tcW w:w="1775" w:type="dxa"/>
            <w:vAlign w:val="center"/>
          </w:tcPr>
          <w:p w14:paraId="12FBB28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硒</w:t>
            </w:r>
          </w:p>
        </w:tc>
        <w:tc>
          <w:tcPr>
            <w:tcW w:w="1351" w:type="dxa"/>
            <w:vAlign w:val="center"/>
          </w:tcPr>
          <w:p w14:paraId="5CFBD7A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5</w:t>
            </w:r>
          </w:p>
        </w:tc>
        <w:tc>
          <w:tcPr>
            <w:tcW w:w="1512" w:type="dxa"/>
            <w:vAlign w:val="center"/>
          </w:tcPr>
          <w:p w14:paraId="448D04E0"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≤0.01</w:t>
            </w:r>
          </w:p>
          <w:p w14:paraId="7100CBBB"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0.01</w:t>
            </w:r>
          </w:p>
        </w:tc>
        <w:tc>
          <w:tcPr>
            <w:tcW w:w="1500" w:type="dxa"/>
            <w:vAlign w:val="center"/>
          </w:tcPr>
          <w:p w14:paraId="4694B44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≤25          ≤20</w:t>
            </w:r>
          </w:p>
        </w:tc>
        <w:tc>
          <w:tcPr>
            <w:tcW w:w="1488" w:type="dxa"/>
            <w:vAlign w:val="center"/>
          </w:tcPr>
          <w:p w14:paraId="51D4DEA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≤30         ≤25</w:t>
            </w:r>
          </w:p>
        </w:tc>
        <w:tc>
          <w:tcPr>
            <w:tcW w:w="1362" w:type="dxa"/>
            <w:vAlign w:val="center"/>
          </w:tcPr>
          <w:p w14:paraId="6E6DDAB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85-115      90-110</w:t>
            </w:r>
          </w:p>
        </w:tc>
        <w:tc>
          <w:tcPr>
            <w:tcW w:w="1523" w:type="dxa"/>
            <w:vAlign w:val="center"/>
          </w:tcPr>
          <w:p w14:paraId="076BC37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            ≤±10</w:t>
            </w:r>
          </w:p>
        </w:tc>
        <w:tc>
          <w:tcPr>
            <w:tcW w:w="1477" w:type="dxa"/>
            <w:vAlign w:val="center"/>
          </w:tcPr>
          <w:p w14:paraId="4C35ABB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w:t>
            </w:r>
          </w:p>
          <w:p w14:paraId="4209EB1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tc>
        <w:tc>
          <w:tcPr>
            <w:tcW w:w="2109" w:type="dxa"/>
            <w:vAlign w:val="center"/>
          </w:tcPr>
          <w:p w14:paraId="118BC59E" w14:textId="77777777" w:rsidR="00E06E80" w:rsidRDefault="00000000">
            <w:pPr>
              <w:spacing w:line="240" w:lineRule="auto"/>
              <w:ind w:firstLineChars="0" w:firstLine="0"/>
              <w:jc w:val="center"/>
              <w:rPr>
                <w:rFonts w:ascii="宋体" w:hAnsi="宋体"/>
              </w:rPr>
            </w:pPr>
            <w:r>
              <w:rPr>
                <w:rFonts w:ascii="宋体" w:hAnsi="宋体" w:hint="eastAsia"/>
              </w:rPr>
              <w:t>等离子发射光谱法</w:t>
            </w:r>
          </w:p>
          <w:p w14:paraId="3A28FB17" w14:textId="77777777" w:rsidR="00E06E80" w:rsidRDefault="00000000">
            <w:pPr>
              <w:spacing w:line="240" w:lineRule="auto"/>
              <w:ind w:firstLineChars="0" w:firstLine="0"/>
              <w:jc w:val="center"/>
              <w:rPr>
                <w:rFonts w:ascii="宋体" w:hAnsi="宋体"/>
              </w:rPr>
            </w:pPr>
            <w:r>
              <w:rPr>
                <w:rFonts w:ascii="宋体" w:hAnsi="宋体" w:hint="eastAsia"/>
              </w:rPr>
              <w:t>等离子体质谱法</w:t>
            </w:r>
          </w:p>
          <w:p w14:paraId="51358024" w14:textId="77777777" w:rsidR="00E06E80" w:rsidRDefault="00000000">
            <w:pPr>
              <w:spacing w:line="240" w:lineRule="auto"/>
              <w:ind w:firstLineChars="0" w:firstLine="0"/>
              <w:jc w:val="center"/>
              <w:rPr>
                <w:rFonts w:ascii="宋体" w:hAnsi="宋体"/>
              </w:rPr>
            </w:pPr>
            <w:r>
              <w:rPr>
                <w:rFonts w:ascii="宋体" w:hAnsi="宋体" w:hint="eastAsia"/>
              </w:rPr>
              <w:t>原子荧光法</w:t>
            </w:r>
          </w:p>
        </w:tc>
      </w:tr>
      <w:tr w:rsidR="00E06E80" w14:paraId="424C1BF3" w14:textId="77777777">
        <w:trPr>
          <w:cantSplit/>
          <w:trHeight w:val="454"/>
          <w:tblHeader/>
          <w:jc w:val="center"/>
        </w:trPr>
        <w:tc>
          <w:tcPr>
            <w:tcW w:w="599" w:type="dxa"/>
            <w:vAlign w:val="center"/>
          </w:tcPr>
          <w:p w14:paraId="673B7DE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17</w:t>
            </w:r>
          </w:p>
        </w:tc>
        <w:tc>
          <w:tcPr>
            <w:tcW w:w="1775" w:type="dxa"/>
            <w:vAlign w:val="center"/>
          </w:tcPr>
          <w:p w14:paraId="705A60F5"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汞</w:t>
            </w:r>
          </w:p>
        </w:tc>
        <w:tc>
          <w:tcPr>
            <w:tcW w:w="1351" w:type="dxa"/>
            <w:vAlign w:val="center"/>
          </w:tcPr>
          <w:p w14:paraId="564686D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5</w:t>
            </w:r>
          </w:p>
        </w:tc>
        <w:tc>
          <w:tcPr>
            <w:tcW w:w="1512" w:type="dxa"/>
            <w:vAlign w:val="center"/>
          </w:tcPr>
          <w:p w14:paraId="6AB0FA3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0≤0.005</w:t>
            </w:r>
          </w:p>
          <w:p w14:paraId="227B1A3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0.005</w:t>
            </w:r>
          </w:p>
        </w:tc>
        <w:tc>
          <w:tcPr>
            <w:tcW w:w="1500" w:type="dxa"/>
            <w:vAlign w:val="center"/>
          </w:tcPr>
          <w:p w14:paraId="67A8B55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               ≤15</w:t>
            </w:r>
          </w:p>
        </w:tc>
        <w:tc>
          <w:tcPr>
            <w:tcW w:w="1488" w:type="dxa"/>
            <w:vAlign w:val="center"/>
          </w:tcPr>
          <w:p w14:paraId="4E40FDB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≤25         ≤20</w:t>
            </w:r>
          </w:p>
        </w:tc>
        <w:tc>
          <w:tcPr>
            <w:tcW w:w="1362" w:type="dxa"/>
            <w:vAlign w:val="center"/>
          </w:tcPr>
          <w:p w14:paraId="2E52BAD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90-110       90-110</w:t>
            </w:r>
          </w:p>
        </w:tc>
        <w:tc>
          <w:tcPr>
            <w:tcW w:w="1523" w:type="dxa"/>
            <w:vAlign w:val="center"/>
          </w:tcPr>
          <w:p w14:paraId="36D67DA8"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5D9F6EAC"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1477" w:type="dxa"/>
            <w:vAlign w:val="center"/>
          </w:tcPr>
          <w:p w14:paraId="486591C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p w14:paraId="7B9567B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tc>
        <w:tc>
          <w:tcPr>
            <w:tcW w:w="2109" w:type="dxa"/>
            <w:vAlign w:val="center"/>
          </w:tcPr>
          <w:p w14:paraId="2DB89FB6" w14:textId="77777777" w:rsidR="00E06E80" w:rsidRDefault="00000000">
            <w:pPr>
              <w:spacing w:line="240" w:lineRule="auto"/>
              <w:ind w:firstLineChars="0" w:firstLine="0"/>
              <w:jc w:val="center"/>
              <w:rPr>
                <w:rFonts w:ascii="宋体" w:hAnsi="宋体"/>
              </w:rPr>
            </w:pPr>
            <w:r>
              <w:rPr>
                <w:rFonts w:ascii="宋体" w:hAnsi="宋体" w:hint="eastAsia"/>
              </w:rPr>
              <w:t>原子荧光法</w:t>
            </w:r>
          </w:p>
          <w:p w14:paraId="1ED3E6DB" w14:textId="77777777" w:rsidR="00E06E80" w:rsidRDefault="00000000">
            <w:pPr>
              <w:spacing w:line="240" w:lineRule="auto"/>
              <w:ind w:firstLineChars="0" w:firstLine="0"/>
              <w:jc w:val="center"/>
              <w:rPr>
                <w:rFonts w:ascii="宋体" w:hAnsi="宋体"/>
              </w:rPr>
            </w:pPr>
            <w:r>
              <w:rPr>
                <w:rFonts w:ascii="宋体" w:hAnsi="宋体" w:hint="eastAsia"/>
              </w:rPr>
              <w:t>冷原子吸收分光光度法</w:t>
            </w:r>
          </w:p>
        </w:tc>
      </w:tr>
      <w:tr w:rsidR="00E06E80" w14:paraId="0D65BE86" w14:textId="77777777">
        <w:trPr>
          <w:cantSplit/>
          <w:trHeight w:val="90"/>
          <w:tblHeader/>
          <w:jc w:val="center"/>
        </w:trPr>
        <w:tc>
          <w:tcPr>
            <w:tcW w:w="599" w:type="dxa"/>
            <w:vAlign w:val="center"/>
          </w:tcPr>
          <w:p w14:paraId="7CD9228C"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18</w:t>
            </w:r>
          </w:p>
        </w:tc>
        <w:tc>
          <w:tcPr>
            <w:tcW w:w="1775" w:type="dxa"/>
            <w:vAlign w:val="center"/>
          </w:tcPr>
          <w:p w14:paraId="310F5CE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氟化物</w:t>
            </w:r>
          </w:p>
        </w:tc>
        <w:tc>
          <w:tcPr>
            <w:tcW w:w="1351" w:type="dxa"/>
            <w:vAlign w:val="center"/>
          </w:tcPr>
          <w:p w14:paraId="356CEAE8"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w:t>
            </w:r>
          </w:p>
        </w:tc>
        <w:tc>
          <w:tcPr>
            <w:tcW w:w="1512" w:type="dxa"/>
            <w:vAlign w:val="center"/>
          </w:tcPr>
          <w:p w14:paraId="2E7C94F5"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7C6B4A3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1.0</w:t>
            </w:r>
          </w:p>
        </w:tc>
        <w:tc>
          <w:tcPr>
            <w:tcW w:w="1500" w:type="dxa"/>
            <w:vAlign w:val="center"/>
          </w:tcPr>
          <w:p w14:paraId="3B0A868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p w14:paraId="1DD6E5F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1488" w:type="dxa"/>
            <w:vAlign w:val="center"/>
          </w:tcPr>
          <w:p w14:paraId="5842270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        ≤15</w:t>
            </w:r>
          </w:p>
        </w:tc>
        <w:tc>
          <w:tcPr>
            <w:tcW w:w="1362" w:type="dxa"/>
            <w:vAlign w:val="center"/>
          </w:tcPr>
          <w:p w14:paraId="7CE004A4"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90-110</w:t>
            </w:r>
          </w:p>
          <w:p w14:paraId="391F0442"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95-105</w:t>
            </w:r>
          </w:p>
        </w:tc>
        <w:tc>
          <w:tcPr>
            <w:tcW w:w="1523" w:type="dxa"/>
            <w:vAlign w:val="center"/>
          </w:tcPr>
          <w:p w14:paraId="75F33B6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0F3AE00C"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≤±5</w:t>
            </w:r>
          </w:p>
        </w:tc>
        <w:tc>
          <w:tcPr>
            <w:tcW w:w="1477" w:type="dxa"/>
            <w:vAlign w:val="center"/>
          </w:tcPr>
          <w:p w14:paraId="60B1E920"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p w14:paraId="2449566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2109" w:type="dxa"/>
            <w:vAlign w:val="center"/>
          </w:tcPr>
          <w:p w14:paraId="2C839457" w14:textId="77777777" w:rsidR="00E06E80" w:rsidRDefault="00000000">
            <w:pPr>
              <w:spacing w:line="240" w:lineRule="auto"/>
              <w:ind w:firstLineChars="0" w:firstLine="0"/>
              <w:jc w:val="center"/>
              <w:rPr>
                <w:rFonts w:ascii="宋体" w:hAnsi="宋体"/>
              </w:rPr>
            </w:pPr>
            <w:r>
              <w:rPr>
                <w:rFonts w:ascii="宋体" w:hAnsi="宋体" w:hint="eastAsia"/>
              </w:rPr>
              <w:t>离子选择电极法</w:t>
            </w:r>
          </w:p>
          <w:p w14:paraId="4EDEA3EC" w14:textId="77777777" w:rsidR="00E06E80" w:rsidRDefault="00000000">
            <w:pPr>
              <w:spacing w:line="240" w:lineRule="auto"/>
              <w:ind w:firstLineChars="0" w:firstLine="0"/>
              <w:jc w:val="center"/>
              <w:rPr>
                <w:rFonts w:ascii="宋体" w:hAnsi="宋体"/>
              </w:rPr>
            </w:pPr>
            <w:r>
              <w:rPr>
                <w:rFonts w:ascii="宋体" w:hAnsi="宋体" w:hint="eastAsia"/>
              </w:rPr>
              <w:t>氟试剂光度法</w:t>
            </w:r>
          </w:p>
          <w:p w14:paraId="4E43782A" w14:textId="77777777" w:rsidR="00E06E80" w:rsidRDefault="00000000">
            <w:pPr>
              <w:spacing w:line="240" w:lineRule="auto"/>
              <w:ind w:firstLineChars="0" w:firstLine="0"/>
              <w:jc w:val="center"/>
              <w:rPr>
                <w:rFonts w:ascii="宋体" w:hAnsi="宋体"/>
              </w:rPr>
            </w:pPr>
            <w:r>
              <w:rPr>
                <w:rFonts w:ascii="宋体" w:hAnsi="宋体" w:hint="eastAsia"/>
              </w:rPr>
              <w:t>离子色谱法</w:t>
            </w:r>
          </w:p>
        </w:tc>
      </w:tr>
      <w:tr w:rsidR="00E06E80" w14:paraId="67CCF615" w14:textId="77777777">
        <w:trPr>
          <w:cantSplit/>
          <w:trHeight w:val="454"/>
          <w:tblHeader/>
          <w:jc w:val="center"/>
        </w:trPr>
        <w:tc>
          <w:tcPr>
            <w:tcW w:w="599" w:type="dxa"/>
            <w:vAlign w:val="center"/>
          </w:tcPr>
          <w:p w14:paraId="134AD74D"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19</w:t>
            </w:r>
          </w:p>
        </w:tc>
        <w:tc>
          <w:tcPr>
            <w:tcW w:w="1775" w:type="dxa"/>
            <w:vAlign w:val="center"/>
          </w:tcPr>
          <w:p w14:paraId="3932566D"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硫化物</w:t>
            </w:r>
          </w:p>
        </w:tc>
        <w:tc>
          <w:tcPr>
            <w:tcW w:w="1351" w:type="dxa"/>
            <w:vAlign w:val="center"/>
          </w:tcPr>
          <w:p w14:paraId="5B2A68F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w:t>
            </w:r>
          </w:p>
        </w:tc>
        <w:tc>
          <w:tcPr>
            <w:tcW w:w="1512" w:type="dxa"/>
            <w:vAlign w:val="center"/>
          </w:tcPr>
          <w:p w14:paraId="0508BB1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500" w:type="dxa"/>
            <w:vAlign w:val="center"/>
          </w:tcPr>
          <w:p w14:paraId="3AFF585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≤30</w:t>
            </w:r>
          </w:p>
        </w:tc>
        <w:tc>
          <w:tcPr>
            <w:tcW w:w="1488" w:type="dxa"/>
            <w:vAlign w:val="center"/>
          </w:tcPr>
          <w:p w14:paraId="70EE129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≤35</w:t>
            </w:r>
          </w:p>
        </w:tc>
        <w:tc>
          <w:tcPr>
            <w:tcW w:w="1362" w:type="dxa"/>
            <w:vAlign w:val="center"/>
          </w:tcPr>
          <w:p w14:paraId="784D3CF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60-120</w:t>
            </w:r>
          </w:p>
        </w:tc>
        <w:tc>
          <w:tcPr>
            <w:tcW w:w="1523" w:type="dxa"/>
            <w:vAlign w:val="center"/>
          </w:tcPr>
          <w:p w14:paraId="4629D76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1477" w:type="dxa"/>
            <w:vAlign w:val="center"/>
          </w:tcPr>
          <w:p w14:paraId="4E388EDC"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p>
        </w:tc>
        <w:tc>
          <w:tcPr>
            <w:tcW w:w="2109" w:type="dxa"/>
            <w:vAlign w:val="center"/>
          </w:tcPr>
          <w:p w14:paraId="6ACD79F7" w14:textId="77777777" w:rsidR="00E06E80" w:rsidRDefault="00000000">
            <w:pPr>
              <w:spacing w:line="240" w:lineRule="auto"/>
              <w:ind w:firstLineChars="0" w:firstLine="0"/>
              <w:jc w:val="center"/>
              <w:rPr>
                <w:rFonts w:ascii="宋体" w:hAnsi="宋体"/>
              </w:rPr>
            </w:pPr>
            <w:r>
              <w:rPr>
                <w:rFonts w:ascii="宋体" w:hAnsi="宋体" w:hint="eastAsia"/>
              </w:rPr>
              <w:t>分光光度法</w:t>
            </w:r>
          </w:p>
        </w:tc>
      </w:tr>
      <w:tr w:rsidR="00E06E80" w14:paraId="01B1B53E" w14:textId="77777777">
        <w:trPr>
          <w:cantSplit/>
          <w:trHeight w:val="454"/>
          <w:tblHeader/>
          <w:jc w:val="center"/>
        </w:trPr>
        <w:tc>
          <w:tcPr>
            <w:tcW w:w="599" w:type="dxa"/>
            <w:vAlign w:val="center"/>
          </w:tcPr>
          <w:p w14:paraId="3D097F7C"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w:t>
            </w:r>
          </w:p>
        </w:tc>
        <w:tc>
          <w:tcPr>
            <w:tcW w:w="1775" w:type="dxa"/>
            <w:vAlign w:val="center"/>
          </w:tcPr>
          <w:p w14:paraId="306C9B8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氰化物</w:t>
            </w:r>
          </w:p>
        </w:tc>
        <w:tc>
          <w:tcPr>
            <w:tcW w:w="1351" w:type="dxa"/>
            <w:vAlign w:val="center"/>
          </w:tcPr>
          <w:p w14:paraId="51985274"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3</w:t>
            </w:r>
          </w:p>
        </w:tc>
        <w:tc>
          <w:tcPr>
            <w:tcW w:w="1512" w:type="dxa"/>
            <w:vAlign w:val="center"/>
          </w:tcPr>
          <w:p w14:paraId="5BA00B00"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≤0.5</w:t>
            </w:r>
          </w:p>
          <w:p w14:paraId="25D2D73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0.5</w:t>
            </w:r>
          </w:p>
        </w:tc>
        <w:tc>
          <w:tcPr>
            <w:tcW w:w="1500" w:type="dxa"/>
            <w:vAlign w:val="center"/>
          </w:tcPr>
          <w:p w14:paraId="249644A0"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           ≤10</w:t>
            </w:r>
          </w:p>
        </w:tc>
        <w:tc>
          <w:tcPr>
            <w:tcW w:w="1488" w:type="dxa"/>
            <w:vAlign w:val="center"/>
          </w:tcPr>
          <w:p w14:paraId="33D36F1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        ≤15</w:t>
            </w:r>
          </w:p>
        </w:tc>
        <w:tc>
          <w:tcPr>
            <w:tcW w:w="1362" w:type="dxa"/>
            <w:vAlign w:val="center"/>
          </w:tcPr>
          <w:p w14:paraId="51598B5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90-110</w:t>
            </w:r>
          </w:p>
          <w:p w14:paraId="7343551B"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90-110</w:t>
            </w:r>
          </w:p>
        </w:tc>
        <w:tc>
          <w:tcPr>
            <w:tcW w:w="1523" w:type="dxa"/>
            <w:vAlign w:val="center"/>
          </w:tcPr>
          <w:p w14:paraId="7924D81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           ≤±10</w:t>
            </w:r>
          </w:p>
        </w:tc>
        <w:tc>
          <w:tcPr>
            <w:tcW w:w="1477" w:type="dxa"/>
            <w:vAlign w:val="center"/>
          </w:tcPr>
          <w:p w14:paraId="158361D9"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p w14:paraId="6C4D73C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tc>
        <w:tc>
          <w:tcPr>
            <w:tcW w:w="2109" w:type="dxa"/>
            <w:vAlign w:val="center"/>
          </w:tcPr>
          <w:p w14:paraId="7260ABF4" w14:textId="77777777" w:rsidR="00E06E80" w:rsidRDefault="00000000">
            <w:pPr>
              <w:spacing w:line="240" w:lineRule="auto"/>
              <w:ind w:firstLineChars="0" w:firstLine="0"/>
              <w:jc w:val="center"/>
              <w:rPr>
                <w:rFonts w:ascii="宋体" w:hAnsi="宋体"/>
              </w:rPr>
            </w:pPr>
            <w:r>
              <w:rPr>
                <w:rFonts w:ascii="宋体" w:hAnsi="宋体" w:hint="eastAsia"/>
              </w:rPr>
              <w:t>分光光度法</w:t>
            </w:r>
          </w:p>
        </w:tc>
      </w:tr>
      <w:tr w:rsidR="00E06E80" w14:paraId="0E5D2B0D" w14:textId="77777777">
        <w:trPr>
          <w:cantSplit/>
          <w:trHeight w:val="454"/>
          <w:tblHeader/>
          <w:jc w:val="center"/>
        </w:trPr>
        <w:tc>
          <w:tcPr>
            <w:tcW w:w="599" w:type="dxa"/>
            <w:vAlign w:val="center"/>
          </w:tcPr>
          <w:p w14:paraId="1982B9E8"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21</w:t>
            </w:r>
          </w:p>
        </w:tc>
        <w:tc>
          <w:tcPr>
            <w:tcW w:w="1775" w:type="dxa"/>
            <w:vAlign w:val="center"/>
          </w:tcPr>
          <w:p w14:paraId="4722BD78"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挥发</w:t>
            </w:r>
            <w:proofErr w:type="gramStart"/>
            <w:r>
              <w:rPr>
                <w:rFonts w:ascii="Times New Roman" w:hAnsi="Times New Roman" w:cs="Times New Roman"/>
              </w:rPr>
              <w:t>酚</w:t>
            </w:r>
            <w:proofErr w:type="gramEnd"/>
          </w:p>
        </w:tc>
        <w:tc>
          <w:tcPr>
            <w:tcW w:w="1351" w:type="dxa"/>
            <w:vAlign w:val="center"/>
          </w:tcPr>
          <w:p w14:paraId="1ACB7A50"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3</w:t>
            </w:r>
          </w:p>
          <w:p w14:paraId="0B20211D"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w:t>
            </w:r>
          </w:p>
        </w:tc>
        <w:tc>
          <w:tcPr>
            <w:tcW w:w="1512" w:type="dxa"/>
            <w:vAlign w:val="center"/>
          </w:tcPr>
          <w:p w14:paraId="6AA3050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p w14:paraId="0B05309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1.0</w:t>
            </w:r>
          </w:p>
        </w:tc>
        <w:tc>
          <w:tcPr>
            <w:tcW w:w="1500" w:type="dxa"/>
            <w:vAlign w:val="center"/>
          </w:tcPr>
          <w:p w14:paraId="6126EB0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p w14:paraId="2D1325E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1488" w:type="dxa"/>
            <w:vAlign w:val="center"/>
          </w:tcPr>
          <w:p w14:paraId="52A2489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        ≤15</w:t>
            </w:r>
          </w:p>
        </w:tc>
        <w:tc>
          <w:tcPr>
            <w:tcW w:w="1362" w:type="dxa"/>
            <w:vAlign w:val="center"/>
          </w:tcPr>
          <w:p w14:paraId="36C7A6B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90-110</w:t>
            </w:r>
          </w:p>
          <w:p w14:paraId="2454915B"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90-110</w:t>
            </w:r>
          </w:p>
        </w:tc>
        <w:tc>
          <w:tcPr>
            <w:tcW w:w="1523" w:type="dxa"/>
            <w:vAlign w:val="center"/>
          </w:tcPr>
          <w:p w14:paraId="5B590ABA"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           ≤±10</w:t>
            </w:r>
          </w:p>
        </w:tc>
        <w:tc>
          <w:tcPr>
            <w:tcW w:w="1477" w:type="dxa"/>
            <w:vAlign w:val="center"/>
          </w:tcPr>
          <w:p w14:paraId="01FD6408"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p w14:paraId="70F32DF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tc>
        <w:tc>
          <w:tcPr>
            <w:tcW w:w="2109" w:type="dxa"/>
            <w:vAlign w:val="center"/>
          </w:tcPr>
          <w:p w14:paraId="3C3668BF" w14:textId="77777777" w:rsidR="00E06E80" w:rsidRDefault="00000000">
            <w:pPr>
              <w:spacing w:line="240" w:lineRule="auto"/>
              <w:ind w:firstLineChars="0" w:firstLine="0"/>
              <w:jc w:val="center"/>
              <w:rPr>
                <w:rFonts w:ascii="宋体" w:hAnsi="宋体"/>
              </w:rPr>
            </w:pPr>
            <w:r>
              <w:rPr>
                <w:rFonts w:ascii="宋体" w:hAnsi="宋体" w:hint="eastAsia"/>
              </w:rPr>
              <w:t>分光光度法</w:t>
            </w:r>
          </w:p>
        </w:tc>
      </w:tr>
      <w:tr w:rsidR="00E06E80" w14:paraId="132D0740" w14:textId="77777777">
        <w:trPr>
          <w:cantSplit/>
          <w:trHeight w:val="454"/>
          <w:tblHeader/>
          <w:jc w:val="center"/>
        </w:trPr>
        <w:tc>
          <w:tcPr>
            <w:tcW w:w="599" w:type="dxa"/>
            <w:vAlign w:val="center"/>
          </w:tcPr>
          <w:p w14:paraId="27494606"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22</w:t>
            </w:r>
          </w:p>
        </w:tc>
        <w:tc>
          <w:tcPr>
            <w:tcW w:w="1775" w:type="dxa"/>
            <w:vAlign w:val="center"/>
          </w:tcPr>
          <w:p w14:paraId="411025C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阴离子表面活性剂</w:t>
            </w:r>
          </w:p>
        </w:tc>
        <w:tc>
          <w:tcPr>
            <w:tcW w:w="1351" w:type="dxa"/>
            <w:vAlign w:val="center"/>
          </w:tcPr>
          <w:p w14:paraId="238615B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w:t>
            </w:r>
          </w:p>
        </w:tc>
        <w:tc>
          <w:tcPr>
            <w:tcW w:w="1512" w:type="dxa"/>
            <w:vAlign w:val="center"/>
          </w:tcPr>
          <w:p w14:paraId="69FBDFD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≤0.5</w:t>
            </w:r>
          </w:p>
          <w:p w14:paraId="7EC69364"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0.5</w:t>
            </w:r>
          </w:p>
        </w:tc>
        <w:tc>
          <w:tcPr>
            <w:tcW w:w="1500" w:type="dxa"/>
            <w:vAlign w:val="center"/>
          </w:tcPr>
          <w:p w14:paraId="2311593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w:t>
            </w:r>
          </w:p>
          <w:p w14:paraId="6B977BFF"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w:t>
            </w:r>
          </w:p>
        </w:tc>
        <w:tc>
          <w:tcPr>
            <w:tcW w:w="1488" w:type="dxa"/>
            <w:vAlign w:val="center"/>
          </w:tcPr>
          <w:p w14:paraId="2D7CE59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≤25        ≤25</w:t>
            </w:r>
          </w:p>
        </w:tc>
        <w:tc>
          <w:tcPr>
            <w:tcW w:w="1362" w:type="dxa"/>
            <w:vAlign w:val="center"/>
          </w:tcPr>
          <w:p w14:paraId="2B819B2B"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85-115</w:t>
            </w:r>
          </w:p>
          <w:p w14:paraId="262A8003"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85-110</w:t>
            </w:r>
          </w:p>
        </w:tc>
        <w:tc>
          <w:tcPr>
            <w:tcW w:w="1523" w:type="dxa"/>
            <w:vAlign w:val="center"/>
          </w:tcPr>
          <w:p w14:paraId="477DC031"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p w14:paraId="3E42EE1E"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≤±10</w:t>
            </w:r>
          </w:p>
        </w:tc>
        <w:tc>
          <w:tcPr>
            <w:tcW w:w="1477" w:type="dxa"/>
            <w:vAlign w:val="center"/>
          </w:tcPr>
          <w:p w14:paraId="28B5D854"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≤±20</w:t>
            </w:r>
          </w:p>
          <w:p w14:paraId="6338E9C7" w14:textId="77777777" w:rsidR="00E06E80" w:rsidRDefault="00000000">
            <w:pPr>
              <w:spacing w:line="240" w:lineRule="auto"/>
              <w:ind w:firstLineChars="0" w:firstLine="0"/>
              <w:jc w:val="center"/>
              <w:rPr>
                <w:rFonts w:ascii="Times New Roman" w:hAnsi="Times New Roman" w:cs="Times New Roman"/>
              </w:rPr>
            </w:pPr>
            <w:r>
              <w:rPr>
                <w:rFonts w:ascii="Times New Roman" w:hAnsi="Times New Roman" w:cs="Times New Roman"/>
              </w:rPr>
              <w:t>≤±15</w:t>
            </w:r>
          </w:p>
        </w:tc>
        <w:tc>
          <w:tcPr>
            <w:tcW w:w="2109" w:type="dxa"/>
            <w:vAlign w:val="center"/>
          </w:tcPr>
          <w:p w14:paraId="196D5A47" w14:textId="77777777" w:rsidR="00E06E80" w:rsidRDefault="00000000">
            <w:pPr>
              <w:spacing w:line="240" w:lineRule="auto"/>
              <w:ind w:firstLineChars="0" w:firstLine="0"/>
              <w:jc w:val="center"/>
              <w:rPr>
                <w:rFonts w:ascii="宋体" w:hAnsi="宋体"/>
              </w:rPr>
            </w:pPr>
            <w:r>
              <w:rPr>
                <w:rFonts w:ascii="宋体" w:hAnsi="宋体" w:hint="eastAsia"/>
              </w:rPr>
              <w:t>分光光度法</w:t>
            </w:r>
          </w:p>
        </w:tc>
      </w:tr>
      <w:tr w:rsidR="00E06E80" w14:paraId="7469BBE3" w14:textId="77777777">
        <w:trPr>
          <w:cantSplit/>
          <w:trHeight w:val="454"/>
          <w:tblHeader/>
          <w:jc w:val="center"/>
        </w:trPr>
        <w:tc>
          <w:tcPr>
            <w:tcW w:w="599" w:type="dxa"/>
            <w:vAlign w:val="center"/>
          </w:tcPr>
          <w:p w14:paraId="417BD13B" w14:textId="77777777" w:rsidR="00E06E80" w:rsidRDefault="00000000">
            <w:pPr>
              <w:spacing w:line="240" w:lineRule="auto"/>
              <w:ind w:firstLineChars="0" w:firstLine="0"/>
              <w:jc w:val="center"/>
              <w:rPr>
                <w:rFonts w:ascii="宋体" w:hAnsi="宋体"/>
              </w:rPr>
            </w:pPr>
            <w:r>
              <w:rPr>
                <w:rFonts w:ascii="宋体" w:hAnsi="宋体" w:hint="eastAsia"/>
              </w:rPr>
              <w:t>说明</w:t>
            </w:r>
          </w:p>
        </w:tc>
        <w:tc>
          <w:tcPr>
            <w:tcW w:w="14097" w:type="dxa"/>
            <w:gridSpan w:val="9"/>
            <w:vAlign w:val="center"/>
          </w:tcPr>
          <w:p w14:paraId="46169A00" w14:textId="77777777" w:rsidR="00E06E80" w:rsidRDefault="00000000">
            <w:pPr>
              <w:spacing w:line="240" w:lineRule="auto"/>
              <w:ind w:firstLineChars="0" w:firstLine="0"/>
              <w:jc w:val="left"/>
            </w:pPr>
            <w:r>
              <w:rPr>
                <w:rFonts w:hint="eastAsia"/>
              </w:rPr>
              <w:t>1.</w:t>
            </w:r>
            <w:r>
              <w:rPr>
                <w:rFonts w:hint="eastAsia"/>
              </w:rPr>
              <w:t>空白应低于检出限；</w:t>
            </w:r>
          </w:p>
          <w:p w14:paraId="6C1EDC79" w14:textId="77777777" w:rsidR="00E06E80" w:rsidRDefault="00000000">
            <w:pPr>
              <w:spacing w:line="240" w:lineRule="auto"/>
              <w:ind w:firstLineChars="0" w:firstLine="0"/>
              <w:jc w:val="left"/>
            </w:pPr>
            <w:r>
              <w:rPr>
                <w:rFonts w:hint="eastAsia"/>
              </w:rPr>
              <w:t>2.</w:t>
            </w:r>
            <w:r>
              <w:rPr>
                <w:rFonts w:hint="eastAsia"/>
              </w:rPr>
              <w:t>检测结果低于检出限，结果用“检出限</w:t>
            </w:r>
            <w:r>
              <w:rPr>
                <w:rFonts w:hint="eastAsia"/>
              </w:rPr>
              <w:t>+L</w:t>
            </w:r>
            <w:r>
              <w:rPr>
                <w:rFonts w:hint="eastAsia"/>
              </w:rPr>
              <w:t>”表示，且不计算相对偏差和误差；</w:t>
            </w:r>
          </w:p>
          <w:p w14:paraId="76FCEC10" w14:textId="77777777" w:rsidR="00E06E80" w:rsidRDefault="00000000">
            <w:pPr>
              <w:spacing w:line="240" w:lineRule="auto"/>
              <w:ind w:firstLineChars="0" w:firstLine="0"/>
              <w:jc w:val="left"/>
            </w:pPr>
            <w:r>
              <w:rPr>
                <w:rFonts w:hint="eastAsia"/>
              </w:rPr>
              <w:lastRenderedPageBreak/>
              <w:t>3.</w:t>
            </w:r>
            <w:r>
              <w:rPr>
                <w:rFonts w:hint="eastAsia"/>
              </w:rPr>
              <w:t>检测结果最多有效数位数为</w:t>
            </w:r>
            <w:r>
              <w:rPr>
                <w:rFonts w:hint="eastAsia"/>
              </w:rPr>
              <w:t>3</w:t>
            </w:r>
            <w:r>
              <w:rPr>
                <w:rFonts w:hint="eastAsia"/>
              </w:rPr>
              <w:t>位；</w:t>
            </w:r>
          </w:p>
          <w:p w14:paraId="5FF92768" w14:textId="77777777" w:rsidR="00E06E80" w:rsidRDefault="00000000">
            <w:pPr>
              <w:ind w:firstLineChars="0" w:firstLine="0"/>
              <w:jc w:val="left"/>
            </w:pPr>
            <w:r>
              <w:rPr>
                <w:rFonts w:hint="eastAsia"/>
              </w:rPr>
              <w:t>4.</w:t>
            </w:r>
            <w:r>
              <w:rPr>
                <w:rFonts w:hint="eastAsia"/>
              </w:rPr>
              <w:t>其他水质类型要求可参照本表格进行细化。</w:t>
            </w:r>
          </w:p>
        </w:tc>
      </w:tr>
    </w:tbl>
    <w:p w14:paraId="1759DE04" w14:textId="77777777" w:rsidR="00E06E80" w:rsidRDefault="00E06E80">
      <w:pPr>
        <w:pStyle w:val="2"/>
        <w:ind w:firstLineChars="0" w:firstLine="0"/>
      </w:pPr>
    </w:p>
    <w:sectPr w:rsidR="00E06E80">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EC28" w14:textId="77777777" w:rsidR="00FF2B3D" w:rsidRDefault="00FF2B3D">
      <w:pPr>
        <w:spacing w:line="240" w:lineRule="auto"/>
        <w:ind w:firstLine="420"/>
      </w:pPr>
      <w:r>
        <w:separator/>
      </w:r>
    </w:p>
  </w:endnote>
  <w:endnote w:type="continuationSeparator" w:id="0">
    <w:p w14:paraId="17B6F980" w14:textId="77777777" w:rsidR="00FF2B3D" w:rsidRDefault="00FF2B3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
    <w:altName w:val="Segoe Print"/>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FC79" w14:textId="77777777" w:rsidR="00E06E80" w:rsidRDefault="00E06E80">
    <w:pPr>
      <w:pStyle w:val="a6"/>
      <w:ind w:right="720" w:firstLine="40"/>
      <w:jc w:val="both"/>
      <w:rPr>
        <w:rFonts w:cs="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890F" w14:textId="77777777" w:rsidR="00E06E80" w:rsidRDefault="00000000">
    <w:pPr>
      <w:pStyle w:val="af7"/>
      <w:rPr>
        <w:rFonts w:cs="Times New Roman"/>
      </w:rPr>
    </w:pPr>
    <w:r>
      <w:rPr>
        <w:rFonts w:cs="Times New Roman" w:hint="eastAsia"/>
      </w:rPr>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1422" w14:textId="77777777" w:rsidR="00E06E80" w:rsidRDefault="00000000">
    <w:pPr>
      <w:pStyle w:val="af7"/>
      <w:rPr>
        <w:rFonts w:cs="Times New Roman"/>
      </w:rPr>
    </w:pPr>
    <w:r>
      <w:rPr>
        <w:noProof/>
      </w:rPr>
      <mc:AlternateContent>
        <mc:Choice Requires="wps">
          <w:drawing>
            <wp:anchor distT="0" distB="0" distL="114300" distR="114300" simplePos="0" relativeHeight="251659264" behindDoc="0" locked="0" layoutInCell="1" allowOverlap="1" wp14:anchorId="0CF8F298" wp14:editId="457F7BD9">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F0A60" w14:textId="77777777" w:rsidR="00E06E80" w:rsidRDefault="00000000">
                          <w:pPr>
                            <w:pStyle w:val="a6"/>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6E307" w14:textId="77777777" w:rsidR="00FF2B3D" w:rsidRDefault="00FF2B3D">
      <w:pPr>
        <w:ind w:firstLine="420"/>
      </w:pPr>
      <w:r>
        <w:separator/>
      </w:r>
    </w:p>
  </w:footnote>
  <w:footnote w:type="continuationSeparator" w:id="0">
    <w:p w14:paraId="24D61337" w14:textId="77777777" w:rsidR="00FF2B3D" w:rsidRDefault="00FF2B3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CDC8" w14:textId="77777777" w:rsidR="00E06E80" w:rsidRDefault="00000000">
    <w:pPr>
      <w:pStyle w:val="a7"/>
      <w:wordWrap w:val="0"/>
      <w:ind w:firstLine="360"/>
      <w:jc w:val="right"/>
      <w:rPr>
        <w:rFonts w:ascii="黑体" w:eastAsia="黑体" w:hAnsi="黑体" w:cs="黑体"/>
      </w:rPr>
    </w:pPr>
    <w:r>
      <w:rPr>
        <w:rFonts w:ascii="黑体" w:eastAsia="黑体" w:hAnsi="黑体" w:cs="黑体"/>
      </w:rPr>
      <w:t>Q/LB.</w:t>
    </w:r>
    <w:r>
      <w:rPr>
        <w:rFonts w:ascii="黑体" w:eastAsia="黑体" w:hAnsi="黑体" w:cs="黑体" w:hint="eastAsia"/>
      </w:rPr>
      <w:t>□</w:t>
    </w:r>
    <w:r>
      <w:rPr>
        <w:rFonts w:ascii="黑体" w:eastAsia="黑体" w:hAnsi="黑体" w:cs="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7933" w14:textId="77777777" w:rsidR="00E06E80" w:rsidRDefault="00E06E80">
    <w:pPr>
      <w:pStyle w:val="a7"/>
      <w:ind w:firstLine="4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54DC" w14:textId="77777777" w:rsidR="00E06E80" w:rsidRDefault="00E06E80">
    <w:pPr>
      <w:pStyle w:val="af6"/>
      <w:rPr>
        <w:rFonts w:cs="Times New Roman"/>
        <w:highlight w:val="re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00000000"/>
    <w:lvl w:ilvl="0">
      <w:start w:val="1"/>
      <w:numFmt w:val="none"/>
      <w:pStyle w:val="a"/>
      <w:lvlText w:val="%1"/>
      <w:lvlJc w:val="left"/>
      <w:pPr>
        <w:ind w:left="425" w:hanging="425"/>
      </w:pPr>
      <w:rPr>
        <w:rFonts w:hint="eastAsia"/>
      </w:rPr>
    </w:lvl>
    <w:lvl w:ilvl="1">
      <w:start w:val="1"/>
      <w:numFmt w:val="decimal"/>
      <w:suff w:val="nothing"/>
      <w:lvlText w:val="%10.%2 "/>
      <w:lvlJc w:val="left"/>
      <w:rPr>
        <w:rFonts w:ascii="黑体" w:eastAsia="黑体" w:hAnsi="??" w:hint="eastAsia"/>
        <w:b w:val="0"/>
        <w:bCs w:val="0"/>
        <w:i w:val="0"/>
        <w:iCs w:val="0"/>
        <w:sz w:val="21"/>
        <w:szCs w:val="21"/>
      </w:rPr>
    </w:lvl>
    <w:lvl w:ilvl="2">
      <w:start w:val="1"/>
      <w:numFmt w:val="decimal"/>
      <w:suff w:val="nothing"/>
      <w:lvlText w:val="%10.%2.%3 "/>
      <w:lvlJc w:val="left"/>
      <w:rPr>
        <w:rFonts w:ascii="黑体" w:eastAsia="黑体" w:hAnsi="??" w:hint="eastAsia"/>
        <w:b w:val="0"/>
        <w:bCs w:val="0"/>
        <w:i w:val="0"/>
        <w:iCs w:val="0"/>
        <w:sz w:val="21"/>
        <w:szCs w:val="21"/>
      </w:rPr>
    </w:lvl>
    <w:lvl w:ilvl="3">
      <w:start w:val="1"/>
      <w:numFmt w:val="decimal"/>
      <w:suff w:val="nothing"/>
      <w:lvlText w:val="%10.%2.%3.%4 "/>
      <w:lvlJc w:val="left"/>
      <w:rPr>
        <w:rFonts w:ascii="黑体" w:eastAsia="黑体" w:hAnsi="??" w:hint="eastAsia"/>
        <w:b w:val="0"/>
        <w:bCs w:val="0"/>
        <w:i w:val="0"/>
        <w:iCs w:val="0"/>
        <w:sz w:val="21"/>
        <w:szCs w:val="21"/>
      </w:rPr>
    </w:lvl>
    <w:lvl w:ilvl="4">
      <w:start w:val="1"/>
      <w:numFmt w:val="decimal"/>
      <w:suff w:val="nothing"/>
      <w:lvlText w:val="%10.%2.%3.%4.%5 "/>
      <w:lvlJc w:val="left"/>
      <w:rPr>
        <w:rFonts w:ascii="黑体" w:eastAsia="黑体" w:hAnsi="??" w:hint="eastAsia"/>
        <w:b w:val="0"/>
        <w:bCs w:val="0"/>
        <w:i w:val="0"/>
        <w:iCs w:val="0"/>
        <w:sz w:val="21"/>
        <w:szCs w:val="21"/>
      </w:rPr>
    </w:lvl>
    <w:lvl w:ilvl="5">
      <w:start w:val="1"/>
      <w:numFmt w:val="decimal"/>
      <w:suff w:val="nothing"/>
      <w:lvlText w:val="%10.%2.%3.%4.%5.%6 "/>
      <w:lvlJc w:val="left"/>
      <w:rPr>
        <w:rFonts w:ascii="黑体" w:eastAsia="黑体" w:hAnsi="??" w:hint="eastAsia"/>
        <w:b w:val="0"/>
        <w:bCs w:val="0"/>
        <w:i w:val="0"/>
        <w:iCs w:val="0"/>
        <w:sz w:val="21"/>
        <w:szCs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0000001"/>
    <w:multiLevelType w:val="multilevel"/>
    <w:tmpl w:val="00000001"/>
    <w:lvl w:ilvl="0">
      <w:start w:val="1"/>
      <w:numFmt w:val="chineseCountingThousand"/>
      <w:pStyle w:val="1"/>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00350392">
    <w:abstractNumId w:val="1"/>
  </w:num>
  <w:num w:numId="2" w16cid:durableId="546844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FmZWIzNDg2MmIzZjExOTIzMmViNTBmYTMwYTk0ZWYifQ=="/>
  </w:docVars>
  <w:rsids>
    <w:rsidRoot w:val="00E06E80"/>
    <w:rsid w:val="007039E8"/>
    <w:rsid w:val="00C776A6"/>
    <w:rsid w:val="00E06E80"/>
    <w:rsid w:val="00FF2B3D"/>
    <w:rsid w:val="059E34D7"/>
    <w:rsid w:val="088F093D"/>
    <w:rsid w:val="09C851E3"/>
    <w:rsid w:val="0A6C0C3C"/>
    <w:rsid w:val="0C2B0972"/>
    <w:rsid w:val="0DE469E5"/>
    <w:rsid w:val="0FDC4C2E"/>
    <w:rsid w:val="11A74202"/>
    <w:rsid w:val="12744159"/>
    <w:rsid w:val="13A14D60"/>
    <w:rsid w:val="174E3FA5"/>
    <w:rsid w:val="1AB9571F"/>
    <w:rsid w:val="1FC74A21"/>
    <w:rsid w:val="21A70CA1"/>
    <w:rsid w:val="22CD1A0A"/>
    <w:rsid w:val="2473282D"/>
    <w:rsid w:val="26571452"/>
    <w:rsid w:val="2C0A1DFB"/>
    <w:rsid w:val="38310609"/>
    <w:rsid w:val="388D245A"/>
    <w:rsid w:val="3D576CB9"/>
    <w:rsid w:val="451025D9"/>
    <w:rsid w:val="534146BA"/>
    <w:rsid w:val="558B5843"/>
    <w:rsid w:val="58CC4713"/>
    <w:rsid w:val="6CC71D01"/>
    <w:rsid w:val="7075771C"/>
    <w:rsid w:val="73FD5BC1"/>
    <w:rsid w:val="7948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A9A7E2"/>
  <w15:docId w15:val="{78462E14-8204-4F88-B441-C6128110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toc 2" w:uiPriority="99" w:qFormat="1"/>
    <w:lsdException w:name="toc 3" w:uiPriority="99" w:qFormat="1"/>
    <w:lsdException w:name="Normal Indent" w:uiPriority="99" w:qFormat="1"/>
    <w:lsdException w:name="annotation text" w:uiPriority="99"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adjustRightInd w:val="0"/>
      <w:snapToGrid w:val="0"/>
      <w:spacing w:line="312" w:lineRule="auto"/>
      <w:ind w:firstLineChars="200" w:firstLine="502"/>
      <w:jc w:val="both"/>
    </w:pPr>
    <w:rPr>
      <w:rFonts w:ascii="等线" w:hAnsi="等线" w:cs="宋体"/>
      <w:kern w:val="2"/>
      <w:sz w:val="21"/>
      <w:szCs w:val="22"/>
    </w:rPr>
  </w:style>
  <w:style w:type="paragraph" w:styleId="1">
    <w:name w:val="heading 1"/>
    <w:basedOn w:val="a0"/>
    <w:next w:val="a0"/>
    <w:link w:val="10"/>
    <w:uiPriority w:val="9"/>
    <w:qFormat/>
    <w:pPr>
      <w:keepNext/>
      <w:keepLines/>
      <w:numPr>
        <w:numId w:val="1"/>
      </w:numPr>
      <w:spacing w:line="360" w:lineRule="auto"/>
      <w:ind w:left="0" w:firstLineChars="0" w:firstLine="0"/>
      <w:outlineLvl w:val="0"/>
    </w:pPr>
    <w:rPr>
      <w:b/>
      <w:bCs/>
      <w:kern w:val="44"/>
      <w:sz w:val="28"/>
      <w:szCs w:val="44"/>
    </w:rPr>
  </w:style>
  <w:style w:type="paragraph" w:styleId="20">
    <w:name w:val="heading 2"/>
    <w:basedOn w:val="a0"/>
    <w:next w:val="a0"/>
    <w:link w:val="21"/>
    <w:uiPriority w:val="9"/>
    <w:qFormat/>
    <w:pPr>
      <w:keepNext/>
      <w:keepLines/>
      <w:spacing w:line="360" w:lineRule="auto"/>
      <w:ind w:firstLineChars="100" w:firstLine="100"/>
      <w:outlineLvl w:val="1"/>
    </w:pPr>
    <w:rPr>
      <w:rFonts w:ascii="等线 Light" w:hAnsi="等线 Light"/>
      <w:b/>
      <w:bCs/>
      <w:sz w:val="24"/>
      <w:szCs w:val="32"/>
    </w:rPr>
  </w:style>
  <w:style w:type="paragraph" w:styleId="3">
    <w:name w:val="heading 3"/>
    <w:basedOn w:val="a0"/>
    <w:next w:val="a0"/>
    <w:uiPriority w:val="9"/>
    <w:qFormat/>
    <w:pPr>
      <w:keepNext/>
      <w:keepLines/>
      <w:spacing w:before="260" w:after="260" w:line="413" w:lineRule="auto"/>
      <w:outlineLvl w:val="2"/>
    </w:pPr>
    <w:rPr>
      <w:b/>
      <w:sz w:val="32"/>
    </w:rPr>
  </w:style>
  <w:style w:type="paragraph" w:styleId="4">
    <w:name w:val="heading 4"/>
    <w:basedOn w:val="a0"/>
    <w:next w:val="a0"/>
    <w:uiPriority w:val="9"/>
    <w:qFormat/>
    <w:pPr>
      <w:keepNext/>
      <w:keepLines/>
      <w:spacing w:line="360" w:lineRule="auto"/>
      <w:outlineLvl w:val="3"/>
    </w:pPr>
    <w:rPr>
      <w:rFonts w:ascii="Arial" w:hAnsi="Arial" w:cs="Arial"/>
      <w:b/>
      <w:snapToGrid w:val="0"/>
      <w:color w:val="000000"/>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qFormat/>
    <w:pPr>
      <w:spacing w:line="440" w:lineRule="exact"/>
      <w:ind w:firstLineChars="225" w:firstLine="540"/>
    </w:pPr>
    <w:rPr>
      <w:sz w:val="24"/>
    </w:rPr>
  </w:style>
  <w:style w:type="paragraph" w:styleId="a4">
    <w:name w:val="Normal Indent"/>
    <w:basedOn w:val="a0"/>
    <w:uiPriority w:val="99"/>
    <w:qFormat/>
    <w:pPr>
      <w:spacing w:line="480" w:lineRule="exact"/>
      <w:ind w:firstLine="595"/>
      <w:textAlignment w:val="baseline"/>
    </w:pPr>
    <w:rPr>
      <w:rFonts w:ascii="Times New Roman" w:hAnsi="Times New Roman" w:cs="Times New Roman"/>
      <w:kern w:val="0"/>
      <w:sz w:val="28"/>
      <w:szCs w:val="20"/>
    </w:rPr>
  </w:style>
  <w:style w:type="paragraph" w:styleId="a5">
    <w:name w:val="annotation text"/>
    <w:basedOn w:val="a0"/>
    <w:uiPriority w:val="99"/>
    <w:qFormat/>
    <w:pPr>
      <w:jc w:val="left"/>
    </w:pPr>
  </w:style>
  <w:style w:type="paragraph" w:styleId="TOC3">
    <w:name w:val="toc 3"/>
    <w:basedOn w:val="a0"/>
    <w:next w:val="a0"/>
    <w:uiPriority w:val="99"/>
    <w:qFormat/>
    <w:pPr>
      <w:spacing w:line="300" w:lineRule="exact"/>
      <w:ind w:left="420"/>
    </w:pPr>
    <w:rPr>
      <w:rFonts w:ascii="宋体"/>
    </w:rPr>
  </w:style>
  <w:style w:type="paragraph" w:styleId="a6">
    <w:name w:val="footer"/>
    <w:basedOn w:val="a0"/>
    <w:uiPriority w:val="99"/>
    <w:qFormat/>
    <w:pPr>
      <w:tabs>
        <w:tab w:val="center" w:pos="4153"/>
        <w:tab w:val="right" w:pos="8306"/>
      </w:tabs>
      <w:adjustRightInd/>
      <w:spacing w:line="240" w:lineRule="auto"/>
      <w:jc w:val="right"/>
    </w:pPr>
    <w:rPr>
      <w:rFonts w:ascii="宋体" w:hAnsi="Times New Roman"/>
      <w:kern w:val="0"/>
      <w:sz w:val="18"/>
      <w:szCs w:val="18"/>
    </w:rPr>
  </w:style>
  <w:style w:type="paragraph" w:styleId="a7">
    <w:name w:val="header"/>
    <w:basedOn w:val="a0"/>
    <w:uiPriority w:val="99"/>
    <w:qFormat/>
    <w:pPr>
      <w:tabs>
        <w:tab w:val="center" w:pos="4153"/>
        <w:tab w:val="right" w:pos="8306"/>
      </w:tabs>
      <w:adjustRightInd/>
      <w:jc w:val="center"/>
    </w:pPr>
    <w:rPr>
      <w:rFonts w:ascii="Times New Roman" w:hAnsi="Times New Roman" w:cs="Times New Roman"/>
      <w:kern w:val="0"/>
      <w:sz w:val="18"/>
      <w:szCs w:val="18"/>
    </w:rPr>
  </w:style>
  <w:style w:type="paragraph" w:styleId="TOC1">
    <w:name w:val="toc 1"/>
    <w:basedOn w:val="a0"/>
    <w:next w:val="a0"/>
    <w:uiPriority w:val="99"/>
    <w:qFormat/>
    <w:rPr>
      <w:rFonts w:ascii="宋体"/>
    </w:rPr>
  </w:style>
  <w:style w:type="paragraph" w:styleId="TOC2">
    <w:name w:val="toc 2"/>
    <w:basedOn w:val="a0"/>
    <w:next w:val="a0"/>
    <w:uiPriority w:val="99"/>
    <w:qFormat/>
    <w:pPr>
      <w:tabs>
        <w:tab w:val="right" w:leader="dot" w:pos="9344"/>
      </w:tabs>
      <w:spacing w:line="300" w:lineRule="exact"/>
      <w:ind w:left="210"/>
    </w:pPr>
    <w:rPr>
      <w:rFonts w:ascii="宋体"/>
    </w:rPr>
  </w:style>
  <w:style w:type="paragraph" w:styleId="a8">
    <w:name w:val="Normal (Web)"/>
    <w:basedOn w:val="a0"/>
    <w:qFormat/>
    <w:pPr>
      <w:spacing w:beforeAutospacing="1" w:afterAutospacing="1"/>
      <w:jc w:val="left"/>
    </w:pPr>
    <w:rPr>
      <w:rFonts w:cs="Times New Roman"/>
      <w:kern w:val="0"/>
      <w:sz w:val="24"/>
    </w:rPr>
  </w:style>
  <w:style w:type="table" w:styleId="a9">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qFormat/>
    <w:rPr>
      <w:color w:val="0000FF"/>
      <w:u w:val="single"/>
    </w:rPr>
  </w:style>
  <w:style w:type="character" w:customStyle="1" w:styleId="21">
    <w:name w:val="标题 2 字符"/>
    <w:basedOn w:val="a1"/>
    <w:link w:val="20"/>
    <w:uiPriority w:val="9"/>
    <w:qFormat/>
    <w:rPr>
      <w:rFonts w:ascii="等线 Light" w:eastAsia="宋体" w:hAnsi="等线 Light" w:cs="宋体"/>
      <w:b/>
      <w:bCs/>
      <w:sz w:val="24"/>
      <w:szCs w:val="32"/>
    </w:rPr>
  </w:style>
  <w:style w:type="character" w:customStyle="1" w:styleId="10">
    <w:name w:val="标题 1 字符"/>
    <w:basedOn w:val="a1"/>
    <w:link w:val="1"/>
    <w:uiPriority w:val="9"/>
    <w:qFormat/>
    <w:rPr>
      <w:rFonts w:eastAsia="宋体"/>
      <w:b/>
      <w:bCs/>
      <w:kern w:val="44"/>
      <w:sz w:val="28"/>
      <w:szCs w:val="44"/>
    </w:rPr>
  </w:style>
  <w:style w:type="paragraph" w:customStyle="1" w:styleId="ab">
    <w:name w:val="标准称谓"/>
    <w:next w:val="a0"/>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cs="宋体"/>
      <w:b/>
      <w:bCs/>
      <w:w w:val="148"/>
      <w:sz w:val="52"/>
      <w:szCs w:val="52"/>
    </w:rPr>
  </w:style>
  <w:style w:type="paragraph" w:customStyle="1" w:styleId="ac">
    <w:name w:val="封面标准英文名称"/>
    <w:uiPriority w:val="99"/>
    <w:qFormat/>
    <w:pPr>
      <w:widowControl w:val="0"/>
      <w:spacing w:line="360" w:lineRule="exact"/>
      <w:jc w:val="center"/>
    </w:pPr>
    <w:rPr>
      <w:sz w:val="28"/>
      <w:szCs w:val="28"/>
    </w:rPr>
  </w:style>
  <w:style w:type="paragraph" w:customStyle="1" w:styleId="ad">
    <w:name w:val="其他发布日期"/>
    <w:basedOn w:val="ae"/>
    <w:uiPriority w:val="99"/>
    <w:qFormat/>
    <w:pPr>
      <w:framePr w:w="3997" w:h="471" w:hRule="exact" w:hSpace="0" w:vSpace="181" w:wrap="around" w:vAnchor="page" w:hAnchor="page" w:x="1419" w:y="14097"/>
    </w:pPr>
  </w:style>
  <w:style w:type="paragraph" w:customStyle="1" w:styleId="ae">
    <w:name w:val="发布日期"/>
    <w:uiPriority w:val="99"/>
    <w:qFormat/>
    <w:pPr>
      <w:framePr w:w="4000" w:h="473" w:hRule="exact" w:hSpace="180" w:vSpace="180" w:wrap="around" w:hAnchor="margin" w:y="13511" w:anchorLock="1"/>
    </w:pPr>
    <w:rPr>
      <w:rFonts w:eastAsia="黑体"/>
      <w:sz w:val="28"/>
      <w:szCs w:val="28"/>
    </w:rPr>
  </w:style>
  <w:style w:type="paragraph" w:customStyle="1" w:styleId="af">
    <w:name w:val="其他实施日期"/>
    <w:basedOn w:val="af0"/>
    <w:uiPriority w:val="99"/>
    <w:qFormat/>
    <w:pPr>
      <w:framePr w:w="3997" w:h="471" w:hRule="exact" w:vSpace="181" w:wrap="around" w:vAnchor="page" w:hAnchor="page" w:x="7089" w:y="14097"/>
    </w:pPr>
  </w:style>
  <w:style w:type="paragraph" w:customStyle="1" w:styleId="af0">
    <w:name w:val="实施日期"/>
    <w:basedOn w:val="ae"/>
    <w:uiPriority w:val="99"/>
    <w:qFormat/>
    <w:pPr>
      <w:framePr w:hSpace="0" w:wrap="around" w:xAlign="right"/>
      <w:jc w:val="right"/>
    </w:pPr>
  </w:style>
  <w:style w:type="paragraph" w:customStyle="1" w:styleId="af1">
    <w:name w:val="其他发布部门"/>
    <w:basedOn w:val="af2"/>
    <w:uiPriority w:val="99"/>
    <w:qFormat/>
    <w:pPr>
      <w:framePr w:wrap="around"/>
      <w:spacing w:line="240" w:lineRule="atLeast"/>
    </w:pPr>
    <w:rPr>
      <w:rFonts w:ascii="黑体" w:eastAsia="黑体" w:cs="黑体"/>
      <w:b w:val="0"/>
      <w:bCs w:val="0"/>
    </w:rPr>
  </w:style>
  <w:style w:type="paragraph" w:customStyle="1" w:styleId="af2">
    <w:name w:val="发布部门"/>
    <w:next w:val="af3"/>
    <w:uiPriority w:val="99"/>
    <w:qFormat/>
    <w:pPr>
      <w:framePr w:w="7433" w:h="585" w:hRule="exact" w:hSpace="180" w:vSpace="180" w:wrap="around" w:hAnchor="margin" w:xAlign="center" w:y="14401" w:anchorLock="1"/>
      <w:jc w:val="center"/>
    </w:pPr>
    <w:rPr>
      <w:rFonts w:ascii="宋体" w:cs="宋体"/>
      <w:b/>
      <w:bCs/>
      <w:w w:val="135"/>
      <w:sz w:val="36"/>
      <w:szCs w:val="36"/>
    </w:rPr>
  </w:style>
  <w:style w:type="paragraph" w:customStyle="1" w:styleId="af3">
    <w:name w:val="标准文件_段"/>
    <w:uiPriority w:val="99"/>
    <w:qFormat/>
    <w:pPr>
      <w:autoSpaceDE w:val="0"/>
      <w:autoSpaceDN w:val="0"/>
      <w:ind w:firstLineChars="200" w:firstLine="200"/>
      <w:jc w:val="both"/>
    </w:pPr>
    <w:rPr>
      <w:rFonts w:ascii="宋体" w:cs="宋体"/>
      <w:sz w:val="21"/>
      <w:szCs w:val="21"/>
    </w:rPr>
  </w:style>
  <w:style w:type="character" w:customStyle="1" w:styleId="af4">
    <w:name w:val="发布"/>
    <w:uiPriority w:val="99"/>
    <w:qFormat/>
    <w:rPr>
      <w:rFonts w:ascii="黑体" w:eastAsia="黑体" w:cs="黑体"/>
      <w:spacing w:val="85"/>
      <w:w w:val="100"/>
      <w:position w:val="3"/>
      <w:sz w:val="28"/>
      <w:szCs w:val="28"/>
    </w:rPr>
  </w:style>
  <w:style w:type="paragraph" w:customStyle="1" w:styleId="af5">
    <w:name w:val="标准文件_目录标题"/>
    <w:basedOn w:val="a0"/>
    <w:uiPriority w:val="99"/>
    <w:qFormat/>
    <w:pPr>
      <w:spacing w:afterLines="150" w:line="240" w:lineRule="auto"/>
      <w:jc w:val="center"/>
    </w:pPr>
    <w:rPr>
      <w:rFonts w:ascii="黑体" w:eastAsia="黑体" w:cs="黑体"/>
      <w:sz w:val="32"/>
      <w:szCs w:val="32"/>
    </w:rPr>
  </w:style>
  <w:style w:type="paragraph" w:customStyle="1" w:styleId="a">
    <w:name w:val="标准文件_前言、引言标题"/>
    <w:next w:val="a0"/>
    <w:uiPriority w:val="99"/>
    <w:qFormat/>
    <w:pPr>
      <w:numPr>
        <w:numId w:val="2"/>
      </w:numPr>
      <w:shd w:val="clear" w:color="FFFFFF" w:fill="FFFFFF"/>
      <w:ind w:left="0" w:firstLine="0"/>
      <w:jc w:val="center"/>
      <w:outlineLvl w:val="0"/>
    </w:pPr>
    <w:rPr>
      <w:rFonts w:ascii="黑体" w:hAnsi="黑体" w:cs="黑体"/>
      <w:sz w:val="32"/>
      <w:szCs w:val="32"/>
    </w:rPr>
  </w:style>
  <w:style w:type="paragraph" w:customStyle="1" w:styleId="af6">
    <w:name w:val="标准文件_页眉奇数页"/>
    <w:next w:val="a0"/>
    <w:uiPriority w:val="99"/>
    <w:qFormat/>
    <w:pPr>
      <w:tabs>
        <w:tab w:val="center" w:pos="4154"/>
        <w:tab w:val="right" w:pos="8306"/>
      </w:tabs>
      <w:spacing w:after="120"/>
      <w:jc w:val="right"/>
    </w:pPr>
    <w:rPr>
      <w:rFonts w:ascii="黑体" w:eastAsia="黑体" w:hAnsi="宋体" w:cs="黑体"/>
      <w:sz w:val="21"/>
      <w:szCs w:val="21"/>
    </w:rPr>
  </w:style>
  <w:style w:type="paragraph" w:customStyle="1" w:styleId="af7">
    <w:name w:val="标准文件_页脚奇数页"/>
    <w:uiPriority w:val="99"/>
    <w:qFormat/>
    <w:pPr>
      <w:ind w:right="227"/>
      <w:jc w:val="right"/>
    </w:pPr>
    <w:rPr>
      <w:rFonts w:ascii="宋体" w:cs="宋体"/>
      <w:sz w:val="18"/>
      <w:szCs w:val="18"/>
    </w:rPr>
  </w:style>
  <w:style w:type="paragraph" w:customStyle="1" w:styleId="af8">
    <w:name w:val="标准文件_文件编号"/>
    <w:basedOn w:val="af3"/>
    <w:uiPriority w:val="99"/>
    <w:qFormat/>
    <w:pPr>
      <w:framePr w:w="9356" w:h="624" w:hRule="exact" w:hSpace="181" w:vSpace="181" w:wrap="around" w:vAnchor="page" w:hAnchor="page" w:x="1419" w:y="3284"/>
      <w:wordWrap w:val="0"/>
      <w:spacing w:line="280" w:lineRule="exact"/>
      <w:ind w:firstLineChars="0" w:firstLine="0"/>
      <w:jc w:val="right"/>
    </w:pPr>
    <w:rPr>
      <w:rFonts w:ascii="黑体" w:eastAsia="黑体" w:cs="黑体"/>
      <w:sz w:val="28"/>
      <w:szCs w:val="28"/>
    </w:rPr>
  </w:style>
  <w:style w:type="paragraph" w:customStyle="1" w:styleId="af9">
    <w:name w:val="标准文件_替换文件编号"/>
    <w:basedOn w:val="af8"/>
    <w:uiPriority w:val="99"/>
    <w:qFormat/>
    <w:pPr>
      <w:framePr w:wrap="around"/>
      <w:spacing w:before="57"/>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1641</Words>
  <Characters>9354</Characters>
  <Application>Microsoft Office Word</Application>
  <DocSecurity>0</DocSecurity>
  <Lines>77</Lines>
  <Paragraphs>21</Paragraphs>
  <ScaleCrop>false</ScaleCrop>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晋</dc:creator>
  <cp:lastModifiedBy>A95276</cp:lastModifiedBy>
  <cp:revision>4</cp:revision>
  <dcterms:created xsi:type="dcterms:W3CDTF">2023-08-18T07:44:00Z</dcterms:created>
  <dcterms:modified xsi:type="dcterms:W3CDTF">2023-11-29T07:01:00Z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D0D2004AAF8C42598F92E86B2F449387_13</vt:lpwstr>
  </property>
</Properties>
</file>