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highlight w:val="none"/>
        </w:rPr>
      </w:pPr>
      <w:r>
        <w:rPr>
          <w:rFonts w:ascii="Times New Roman"/>
          <w:highlight w:val="none"/>
        </w:rPr>
        <w:t>团体标准</w:t>
      </w:r>
    </w:p>
    <w:p>
      <w:pPr>
        <w:pStyle w:val="147"/>
        <w:framePr w:wrap="around"/>
        <w:pBdr>
          <w:bottom w:val="single" w:color="auto" w:sz="4" w:space="1"/>
        </w:pBdr>
        <w:wordWrap w:val="0"/>
        <w:rPr>
          <w:rFonts w:ascii="Times New Roman" w:eastAsia="宋体"/>
          <w:highlight w:val="none"/>
        </w:rPr>
      </w:pPr>
      <w:r>
        <w:rPr>
          <w:rFonts w:ascii="Times New Roman" w:eastAsia="宋体"/>
          <w:highlight w:val="none"/>
        </w:rPr>
        <w:t>T/SSEA XXXX—202</w:t>
      </w:r>
      <w:r>
        <w:rPr>
          <w:rFonts w:hint="eastAsia" w:ascii="Times New Roman" w:eastAsia="宋体"/>
          <w:highlight w:val="none"/>
        </w:rPr>
        <w:t>3</w:t>
      </w:r>
    </w:p>
    <w:p>
      <w:pPr>
        <w:pStyle w:val="147"/>
        <w:framePr w:wrap="around"/>
        <w:rPr>
          <w:rFonts w:ascii="Times New Roman" w:eastAsia="宋体"/>
          <w:highlight w:val="yellow"/>
        </w:rPr>
      </w:pPr>
    </w:p>
    <w:p>
      <w:pPr>
        <w:pStyle w:val="147"/>
        <w:framePr w:wrap="around"/>
        <w:rPr>
          <w:rFonts w:ascii="Times New Roman" w:eastAsia="宋体"/>
          <w:highlight w:val="yellow"/>
        </w:rPr>
      </w:pPr>
    </w:p>
    <w:p>
      <w:pPr>
        <w:pStyle w:val="71"/>
        <w:framePr w:wrap="around" w:x="1381" w:y="6406"/>
        <w:rPr>
          <w:rFonts w:ascii="Times New Roman"/>
          <w:highlight w:val="none"/>
        </w:rPr>
      </w:pPr>
      <w:r>
        <w:rPr>
          <w:rFonts w:hint="eastAsia" w:ascii="Times New Roman"/>
          <w:highlight w:val="none"/>
        </w:rPr>
        <w:t>钢铁企业用高效络合脱硫催化剂</w:t>
      </w:r>
    </w:p>
    <w:p>
      <w:pPr>
        <w:pStyle w:val="70"/>
        <w:framePr w:wrap="around" w:x="1381" w:y="6406"/>
        <w:rPr>
          <w:highlight w:val="none"/>
        </w:rPr>
      </w:pPr>
      <w:r>
        <w:rPr>
          <w:rFonts w:hint="eastAsia"/>
          <w:highlight w:val="none"/>
        </w:rPr>
        <w:t>Efficient complex desulfurization catalyst for iron and steel enterprises</w:t>
      </w:r>
    </w:p>
    <w:p>
      <w:pPr>
        <w:pStyle w:val="113"/>
        <w:framePr w:wrap="around" w:hAnchor="page" w:x="1372" w:y="14084"/>
        <w:rPr>
          <w:rFonts w:eastAsia="宋体"/>
          <w:highlight w:val="yellow"/>
        </w:rPr>
      </w:pPr>
      <w:r>
        <w:rPr>
          <w:rFonts w:eastAsia="宋体"/>
          <w:highlight w:val="none"/>
        </w:rPr>
        <w:t>20</w:t>
      </w:r>
      <w:bookmarkStart w:id="0" w:name="FM"/>
      <w:r>
        <w:rPr>
          <w:rFonts w:eastAsia="宋体"/>
          <w:highlight w:val="none"/>
        </w:rPr>
        <w:t>2</w:t>
      </w:r>
      <w:r>
        <w:rPr>
          <w:rFonts w:hint="eastAsia" w:eastAsia="宋体"/>
          <w:highlight w:val="none"/>
        </w:rPr>
        <w:t>3</w:t>
      </w:r>
      <w:r>
        <w:rPr>
          <w:rFonts w:eastAsia="宋体"/>
          <w:highlight w:val="none"/>
        </w:rPr>
        <w:t>-</w:t>
      </w:r>
      <w:bookmarkEnd w:id="0"/>
      <w:r>
        <w:rPr>
          <w:rFonts w:eastAsia="宋体"/>
          <w:highlight w:val="none"/>
        </w:rPr>
        <w:t>XX-XX发布</w:t>
      </w:r>
      <w:r>
        <w:rPr>
          <w:rFonts w:eastAsia="宋体"/>
          <w:highlight w:val="yellow"/>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pPr>
        <w:pStyle w:val="92"/>
        <w:framePr w:wrap="around" w:hAnchor="page" w:x="7116" w:y="14024"/>
        <w:rPr>
          <w:rFonts w:eastAsia="宋体"/>
          <w:highlight w:val="yellow"/>
        </w:rPr>
      </w:pPr>
      <w:r>
        <w:rPr>
          <w:rFonts w:eastAsia="宋体"/>
          <w:highlight w:val="none"/>
        </w:rPr>
        <w:t>202</w:t>
      </w:r>
      <w:r>
        <w:rPr>
          <w:rFonts w:hint="eastAsia" w:eastAsia="宋体"/>
          <w:highlight w:val="none"/>
        </w:rPr>
        <w:t>3</w:t>
      </w:r>
      <w:r>
        <w:rPr>
          <w:rFonts w:eastAsia="宋体"/>
          <w:highlight w:val="none"/>
        </w:rPr>
        <w:t>-XX-XX实施</w:t>
      </w:r>
    </w:p>
    <w:p>
      <w:pPr>
        <w:pStyle w:val="105"/>
        <w:framePr w:wrap="around" w:x="2300" w:y="14629"/>
        <w:rPr>
          <w:rFonts w:ascii="Times New Roman"/>
          <w:highlight w:val="none"/>
        </w:rPr>
      </w:pPr>
      <w:r>
        <w:rPr>
          <w:rFonts w:ascii="Times New Roman"/>
          <w:sz w:val="36"/>
          <w:szCs w:val="36"/>
          <w:highlight w:val="none"/>
        </w:rPr>
        <w:t xml:space="preserve">中国特钢企业协会 </w:t>
      </w:r>
      <w:r>
        <w:rPr>
          <w:rFonts w:ascii="Times New Roman"/>
          <w:highlight w:val="none"/>
        </w:rPr>
        <w:t>发布</w:t>
      </w:r>
    </w:p>
    <w:p>
      <w:pPr>
        <w:pStyle w:val="22"/>
        <w:spacing w:line="340" w:lineRule="exact"/>
        <w:rPr>
          <w:rFonts w:hint="default" w:ascii="Times New Roman" w:eastAsia="宋体"/>
          <w:kern w:val="2"/>
          <w:sz w:val="22"/>
          <w:szCs w:val="22"/>
          <w:highlight w:val="none"/>
          <w:lang w:val="en-US" w:eastAsia="zh-CN"/>
        </w:rPr>
      </w:pPr>
      <w:r>
        <w:rPr>
          <w:rFonts w:ascii="Times New Roman"/>
          <w:highlight w:val="none"/>
        </w:rPr>
        <w:t>ICS</w:t>
      </w:r>
      <w:r>
        <w:rPr>
          <w:rFonts w:ascii="Times New Roman"/>
          <w:kern w:val="2"/>
          <w:sz w:val="22"/>
          <w:szCs w:val="22"/>
          <w:highlight w:val="none"/>
        </w:rPr>
        <w:t xml:space="preserve"> </w:t>
      </w:r>
      <w:r>
        <w:rPr>
          <w:rFonts w:hint="eastAsia" w:ascii="Times New Roman"/>
          <w:kern w:val="2"/>
          <w:sz w:val="22"/>
          <w:szCs w:val="22"/>
          <w:highlight w:val="none"/>
          <w:lang w:val="en-US" w:eastAsia="zh-CN"/>
        </w:rPr>
        <w:t>77.080.01</w:t>
      </w:r>
    </w:p>
    <w:p>
      <w:pPr>
        <w:pStyle w:val="22"/>
        <w:spacing w:line="340" w:lineRule="exact"/>
        <w:rPr>
          <w:rFonts w:ascii="Times New Roman"/>
          <w:highlight w:val="none"/>
        </w:rPr>
      </w:pPr>
      <w:r>
        <w:rPr>
          <w:rFonts w:ascii="Times New Roman"/>
          <w:highlight w:val="none"/>
        </w:rPr>
        <w:t xml:space="preserve">CCS H </w:t>
      </w:r>
      <w:r>
        <w:rPr>
          <w:rFonts w:hint="eastAsia" w:ascii="Times New Roman"/>
          <w:highlight w:val="none"/>
        </w:rPr>
        <w:t>04</w:t>
      </w:r>
    </w:p>
    <w:p>
      <w:pPr>
        <w:pStyle w:val="22"/>
        <w:spacing w:line="340" w:lineRule="exact"/>
        <w:rPr>
          <w:rFonts w:ascii="Times New Roman"/>
          <w:highlight w:val="yellow"/>
        </w:rPr>
      </w:pPr>
    </w:p>
    <w:p>
      <w:pPr>
        <w:jc w:val="center"/>
        <w:rPr>
          <w:spacing w:val="20"/>
          <w:sz w:val="28"/>
          <w:szCs w:val="28"/>
          <w:highlight w:val="yellow"/>
        </w:rPr>
      </w:pPr>
    </w:p>
    <w:p>
      <w:pPr>
        <w:jc w:val="center"/>
        <w:rPr>
          <w:spacing w:val="20"/>
          <w:sz w:val="28"/>
          <w:szCs w:val="28"/>
          <w:highlight w:val="yellow"/>
        </w:rPr>
      </w:pPr>
    </w:p>
    <w:p>
      <w:pPr>
        <w:jc w:val="center"/>
        <w:rPr>
          <w:spacing w:val="20"/>
          <w:sz w:val="28"/>
          <w:szCs w:val="28"/>
          <w:highlight w:val="yellow"/>
        </w:rPr>
      </w:pPr>
      <w:r>
        <w:rPr>
          <w:sz w:val="28"/>
          <w:highlight w:val="yellow"/>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5611495</wp:posOffset>
                </wp:positionV>
                <wp:extent cx="6219825" cy="0"/>
                <wp:effectExtent l="0" t="0" r="0" b="0"/>
                <wp:wrapNone/>
                <wp:docPr id="8" name="直接连接符 8"/>
                <wp:cNvGraphicFramePr/>
                <a:graphic xmlns:a="http://schemas.openxmlformats.org/drawingml/2006/main">
                  <a:graphicData uri="http://schemas.microsoft.com/office/word/2010/wordprocessingShape">
                    <wps:wsp>
                      <wps:cNvCnPr/>
                      <wps:spPr>
                        <a:xfrm>
                          <a:off x="859155" y="9256395"/>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441.85pt;height:0pt;width:489.75pt;z-index:251661312;mso-width-relative:page;mso-height-relative:page;" filled="f" stroked="t" coordsize="21600,21600" o:gfxdata="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V468tcAAAAK&#10;AQAADwAAAAAAAAABACAAAAAiAAAAZHJzL2Rvd25yZXYueG1sUEsBAhQAFAAAAAgAh07iQGEIBmPk&#10;AQAApQMAAA4AAAAAAAAAAQAgAAAAJgEAAGRycy9lMm9Eb2MueG1sUEsFBgAAAAAGAAYAWQEAAHwF&#10;AAAAAA==&#10;">
                <v:fill on="f" focussize="0,0"/>
                <v:stroke color="#000000 [3213]" joinstyle="round"/>
                <v:imagedata o:title=""/>
                <o:lock v:ext="edit" aspectratio="f"/>
              </v:line>
            </w:pict>
          </mc:Fallback>
        </mc:AlternateContent>
      </w:r>
    </w:p>
    <w:p>
      <w:pPr>
        <w:jc w:val="center"/>
        <w:rPr>
          <w:b/>
          <w:sz w:val="32"/>
          <w:highlight w:val="yellow"/>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highlight w:val="yellow"/>
        </w:rPr>
      </w:pPr>
      <w:bookmarkStart w:id="1" w:name="_Toc26452183"/>
      <w:bookmarkStart w:id="2" w:name="_Toc534127476"/>
      <w:bookmarkStart w:id="3" w:name="_Toc1337"/>
      <w:bookmarkStart w:id="4" w:name="_Toc40476791"/>
      <w:bookmarkStart w:id="5" w:name="_Toc40475545"/>
      <w:bookmarkStart w:id="6" w:name="_Toc951"/>
      <w:bookmarkStart w:id="7" w:name="_Toc520380389"/>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yellow"/>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pStyle w:val="22"/>
        <w:rPr>
          <w:rFonts w:ascii="Times New Roman"/>
          <w:highlight w:val="none"/>
        </w:rPr>
      </w:pPr>
    </w:p>
    <w:p>
      <w:pPr>
        <w:rPr>
          <w:highlight w:val="none"/>
        </w:rPr>
      </w:pPr>
      <w:r>
        <w:rPr>
          <w:highlight w:val="none"/>
        </w:rP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rPr>
          <w:highlight w:val="none"/>
        </w:rPr>
        <w:t>版权保护文件</w:t>
      </w:r>
    </w:p>
    <w:p>
      <w:pPr>
        <w:spacing w:before="156" w:beforeLines="50" w:after="156" w:afterLines="50"/>
        <w:rPr>
          <w:highlight w:val="none"/>
        </w:rPr>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rPr>
          <w:highlight w:val="none"/>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106"/>
        <w:rPr>
          <w:rFonts w:ascii="Times New Roman"/>
          <w:highlight w:val="none"/>
        </w:rPr>
      </w:pPr>
      <w:r>
        <w:rPr>
          <w:rFonts w:ascii="Times New Roman"/>
          <w:highlight w:val="none"/>
        </w:rPr>
        <w:t>目</w:t>
      </w:r>
      <w:bookmarkEnd w:id="1"/>
      <w:bookmarkEnd w:id="2"/>
      <w:bookmarkEnd w:id="3"/>
      <w:bookmarkEnd w:id="4"/>
      <w:bookmarkEnd w:id="5"/>
      <w:r>
        <w:rPr>
          <w:rFonts w:ascii="Times New Roman"/>
          <w:highlight w:val="none"/>
        </w:rPr>
        <w:t xml:space="preserve">  次</w:t>
      </w:r>
      <w:bookmarkEnd w:id="6"/>
      <w:r>
        <w:rPr>
          <w:rFonts w:ascii="Times New Roman"/>
          <w:highlight w:val="none"/>
        </w:rPr>
        <w:fldChar w:fldCharType="begin"/>
      </w:r>
      <w:r>
        <w:rPr>
          <w:rFonts w:ascii="Times New Roman"/>
          <w:highlight w:val="none"/>
        </w:rPr>
        <w:instrText xml:space="preserve"> TOC \o "1-2" \h \z \u </w:instrText>
      </w:r>
      <w:r>
        <w:rPr>
          <w:rFonts w:ascii="Times New Roman"/>
          <w:highlight w:val="none"/>
        </w:rPr>
        <w:fldChar w:fldCharType="separate"/>
      </w:r>
    </w:p>
    <w:p>
      <w:pPr>
        <w:pStyle w:val="18"/>
        <w:tabs>
          <w:tab w:val="right" w:leader="dot" w:pos="9354"/>
          <w:tab w:val="clear" w:pos="9242"/>
        </w:tabs>
        <w:spacing w:before="78" w:after="78"/>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"_Toc31329"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前  言</w:t>
      </w:r>
      <w:r>
        <w:rPr>
          <w:rFonts w:hint="default" w:ascii="Times New Roman" w:hAnsi="Times New Roman" w:cs="Times New Roman"/>
          <w:highlight w:val="none"/>
        </w:rPr>
        <w:tab/>
      </w:r>
      <w:r>
        <w:rPr>
          <w:rFonts w:hint="default" w:ascii="Times New Roman" w:hAnsi="Times New Roman" w:cs="Times New Roman"/>
          <w:highlight w:val="none"/>
        </w:rPr>
        <w:t>Ⅱ</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"_Toc31747"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 范围</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"_Toc2222"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 规范性引用文件</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"_Toc10886"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 术语和定义</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4 技术要求</w:t>
      </w:r>
      <w:r>
        <w:rPr>
          <w:rFonts w:hint="default" w:ascii="Times New Roman" w:hAnsi="Times New Roman" w:cs="Times New Roman"/>
          <w:highlight w:val="none"/>
        </w:rPr>
        <w:tab/>
      </w:r>
      <w:r>
        <w:rPr>
          <w:rFonts w:hint="default" w:ascii="Times New Roman" w:hAnsi="Times New Roman" w:cs="Times New Roman"/>
          <w:highlight w:val="none"/>
        </w:rPr>
        <w:t>1</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试验方法</w:t>
      </w:r>
      <w:r>
        <w:rPr>
          <w:rFonts w:hint="default" w:ascii="Times New Roman" w:hAnsi="Times New Roman" w:cs="Times New Roman"/>
          <w:highlight w:val="none"/>
        </w:rPr>
        <w:tab/>
      </w:r>
      <w:r>
        <w:rPr>
          <w:rFonts w:hint="default" w:ascii="Times New Roman" w:hAnsi="Times New Roman" w:cs="Times New Roman"/>
          <w:highlight w:val="none"/>
          <w:lang w:val="en-US" w:eastAsia="zh-CN"/>
        </w:rPr>
        <w:t>2</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6</w:t>
      </w:r>
      <w:r>
        <w:rPr>
          <w:rFonts w:hint="default" w:ascii="Times New Roman" w:hAnsi="Times New Roman" w:cs="Times New Roman"/>
          <w:highlight w:val="none"/>
        </w:rPr>
        <w:t xml:space="preserve"> 检验规则</w:t>
      </w:r>
      <w:r>
        <w:rPr>
          <w:rFonts w:hint="default" w:ascii="Times New Roman" w:hAnsi="Times New Roman" w:cs="Times New Roman"/>
          <w:highlight w:val="none"/>
        </w:rPr>
        <w:tab/>
      </w:r>
      <w:r>
        <w:rPr>
          <w:rFonts w:hint="default" w:ascii="Times New Roman" w:hAnsi="Times New Roman" w:cs="Times New Roman"/>
          <w:highlight w:val="none"/>
          <w:lang w:val="en-US" w:eastAsia="zh-CN"/>
        </w:rPr>
        <w:t>2</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7</w:t>
      </w:r>
      <w:r>
        <w:rPr>
          <w:rFonts w:hint="default" w:ascii="Times New Roman" w:hAnsi="Times New Roman" w:cs="Times New Roman"/>
          <w:highlight w:val="none"/>
        </w:rPr>
        <w:t xml:space="preserve"> 标志、使用说明书、包装、运输和贮存</w:t>
      </w:r>
      <w:r>
        <w:rPr>
          <w:rFonts w:hint="default" w:ascii="Times New Roman" w:hAnsi="Times New Roman" w:cs="Times New Roman"/>
          <w:highlight w:val="none"/>
        </w:rPr>
        <w:tab/>
      </w:r>
      <w:r>
        <w:rPr>
          <w:rFonts w:hint="default" w:ascii="Times New Roman" w:hAnsi="Times New Roman" w:cs="Times New Roman"/>
          <w:highlight w:val="none"/>
          <w:lang w:val="en-US" w:eastAsia="zh-CN"/>
        </w:rPr>
        <w:t>3</w:t>
      </w:r>
      <w:r>
        <w:rPr>
          <w:rFonts w:hint="default" w:ascii="Times New Roman" w:hAnsi="Times New Roman" w:cs="Times New Roman"/>
          <w:highlight w:val="none"/>
        </w:rPr>
        <w:fldChar w:fldCharType="end"/>
      </w:r>
    </w:p>
    <w:p>
      <w:pPr>
        <w:pStyle w:val="28"/>
        <w:tabs>
          <w:tab w:val="right" w:leader="dot" w:pos="9354"/>
          <w:tab w:val="clear" w:pos="9242"/>
        </w:tabs>
        <w:rPr>
          <w:rFonts w:hint="default" w:ascii="Times New Roman" w:hAnsi="Times New Roman" w:cs="Times New Roman"/>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"_Toc4036"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 xml:space="preserve">附录A （资料性） </w:t>
      </w:r>
      <w:r>
        <w:rPr>
          <w:rFonts w:hint="default" w:ascii="Times New Roman" w:hAnsi="Times New Roman" w:cs="Times New Roman"/>
          <w:highlight w:val="none"/>
        </w:rPr>
        <w:t>铁离子浓度分析</w:t>
      </w:r>
      <w:r>
        <w:rPr>
          <w:rFonts w:hint="default" w:ascii="Times New Roman" w:hAnsi="Times New Roman" w:cs="Times New Roman"/>
          <w:highlight w:val="none"/>
        </w:rPr>
        <w:tab/>
      </w:r>
      <w:r>
        <w:rPr>
          <w:rFonts w:hint="default" w:ascii="Times New Roman" w:hAnsi="Times New Roman" w:cs="Times New Roman"/>
          <w:highlight w:val="none"/>
          <w:lang w:val="en-US" w:eastAsia="zh-CN"/>
        </w:rPr>
        <w:t>5</w:t>
      </w:r>
      <w:r>
        <w:rPr>
          <w:rFonts w:hint="default" w:ascii="Times New Roman" w:hAnsi="Times New Roman" w:cs="Times New Roman"/>
          <w:highlight w:val="none"/>
        </w:rPr>
        <w:fldChar w:fldCharType="end"/>
      </w:r>
    </w:p>
    <w:p>
      <w:pPr>
        <w:rPr>
          <w:rFonts w:hint="eastAsia" w:ascii="Times New Roman"/>
          <w:highlight w:val="none"/>
        </w:rPr>
      </w:pPr>
    </w:p>
    <w:p>
      <w:pPr>
        <w:pStyle w:val="90"/>
        <w:rPr>
          <w:rFonts w:ascii="Times New Roman"/>
          <w:highlight w:val="none"/>
        </w:rPr>
      </w:pPr>
      <w:r>
        <w:rPr>
          <w:rFonts w:ascii="Times New Roman"/>
          <w:highlight w:val="none"/>
        </w:rPr>
        <w:fldChar w:fldCharType="end"/>
      </w:r>
      <w:bookmarkStart w:id="8" w:name="_Toc31329"/>
      <w:r>
        <w:rPr>
          <w:rFonts w:ascii="Times New Roman"/>
          <w:highlight w:val="none"/>
        </w:rPr>
        <w:t>前  言</w:t>
      </w:r>
      <w:bookmarkEnd w:id="7"/>
      <w:bookmarkEnd w:id="8"/>
    </w:p>
    <w:p>
      <w:pPr>
        <w:pStyle w:val="22"/>
        <w:rPr>
          <w:rFonts w:ascii="Times New Roman"/>
          <w:highlight w:val="none"/>
        </w:rPr>
      </w:pPr>
      <w:r>
        <w:rPr>
          <w:rFonts w:ascii="Times New Roman"/>
          <w:highlight w:val="none"/>
        </w:rPr>
        <w:t>本文件按照GB/T 1.1-2020《标准化工作导则 第1部分：标准化文件的结构和起草规则》的规定起草。</w:t>
      </w:r>
    </w:p>
    <w:p>
      <w:pPr>
        <w:pStyle w:val="22"/>
        <w:rPr>
          <w:rFonts w:ascii="Times New Roman"/>
          <w:highlight w:val="none"/>
        </w:rPr>
      </w:pPr>
      <w:r>
        <w:rPr>
          <w:rFonts w:ascii="Times New Roman"/>
          <w:highlight w:val="none"/>
        </w:rPr>
        <w:t>请注意本文件的某些内容可能涉及专利。本文件的发布机构不承担识别专利的责任。</w:t>
      </w:r>
    </w:p>
    <w:p>
      <w:pPr>
        <w:pStyle w:val="22"/>
        <w:rPr>
          <w:rFonts w:ascii="Times New Roman"/>
          <w:highlight w:val="none"/>
        </w:rPr>
      </w:pPr>
      <w:r>
        <w:rPr>
          <w:rFonts w:ascii="Times New Roman"/>
          <w:highlight w:val="none"/>
        </w:rPr>
        <w:t>本文件由中国特钢企业协会团体标准化工作委员会提出并归口。</w:t>
      </w:r>
    </w:p>
    <w:p>
      <w:pPr>
        <w:pStyle w:val="22"/>
        <w:rPr>
          <w:rFonts w:ascii="Times New Roman"/>
          <w:highlight w:val="none"/>
        </w:rPr>
      </w:pPr>
      <w:r>
        <w:rPr>
          <w:rFonts w:ascii="Times New Roman"/>
          <w:highlight w:val="none"/>
        </w:rPr>
        <w:t>本文件起草单位：</w:t>
      </w:r>
    </w:p>
    <w:p>
      <w:pPr>
        <w:pStyle w:val="22"/>
        <w:rPr>
          <w:rFonts w:ascii="Times New Roman"/>
          <w:highlight w:val="none"/>
        </w:rPr>
      </w:pPr>
      <w:r>
        <w:rPr>
          <w:rFonts w:ascii="Times New Roman"/>
          <w:highlight w:val="none"/>
        </w:rPr>
        <w:t>本文件主要起草人：</w:t>
      </w:r>
    </w:p>
    <w:p>
      <w:pPr>
        <w:pStyle w:val="22"/>
        <w:rPr>
          <w:rFonts w:ascii="Times New Roman"/>
          <w:highlight w:val="none"/>
        </w:rPr>
      </w:pPr>
      <w:r>
        <w:rPr>
          <w:rFonts w:hint="eastAsia" w:ascii="Times New Roman"/>
          <w:highlight w:val="none"/>
        </w:rPr>
        <w:t>本文件为首次发布。</w:t>
      </w:r>
    </w:p>
    <w:p>
      <w:pPr>
        <w:ind w:firstLine="420" w:firstLineChars="200"/>
        <w:rPr>
          <w:highlight w:val="yellow"/>
        </w:rPr>
      </w:pPr>
    </w:p>
    <w:p>
      <w:pPr>
        <w:pStyle w:val="106"/>
        <w:spacing w:after="624" w:afterLines="200"/>
        <w:rPr>
          <w:rFonts w:ascii="Times New Roman"/>
          <w:highlight w:val="yellow"/>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hd w:val="clear" w:color="FFFFFF" w:fill="FFFFFF"/>
        <w:spacing w:after="624" w:afterLines="200"/>
        <w:rPr>
          <w:rFonts w:hint="eastAsia" w:ascii="Times New Roman" w:hAnsi="Times New Roman" w:cs="Times New Roman"/>
          <w:highlight w:val="none"/>
        </w:rPr>
      </w:pPr>
      <w:r>
        <w:rPr>
          <w:rFonts w:hint="eastAsia" w:ascii="Times New Roman" w:hAnsi="Times New Roman" w:cs="Times New Roman"/>
          <w:highlight w:val="none"/>
        </w:rPr>
        <w:t>钢铁企业用高效络合脱硫催化剂</w:t>
      </w:r>
    </w:p>
    <w:p>
      <w:pPr>
        <w:pStyle w:val="52"/>
        <w:outlineLvl w:val="0"/>
        <w:rPr>
          <w:rFonts w:hAnsi="黑体" w:cs="Times New Roman"/>
          <w:sz w:val="21"/>
          <w:szCs w:val="21"/>
          <w:highlight w:val="none"/>
        </w:rPr>
      </w:pPr>
      <w:bookmarkStart w:id="9" w:name="_Toc520380391"/>
      <w:bookmarkStart w:id="10" w:name="_Toc31747"/>
      <w:r>
        <w:rPr>
          <w:rFonts w:hAnsi="黑体" w:cs="Times New Roman"/>
          <w:sz w:val="21"/>
          <w:szCs w:val="21"/>
          <w:highlight w:val="none"/>
        </w:rPr>
        <w:t>范围</w:t>
      </w:r>
      <w:bookmarkEnd w:id="9"/>
      <w:bookmarkEnd w:id="10"/>
    </w:p>
    <w:p>
      <w:pPr>
        <w:pStyle w:val="22"/>
        <w:rPr>
          <w:rFonts w:hint="eastAsia" w:ascii="Times New Roman" w:hAnsi="Times New Roman" w:eastAsia="宋体" w:cs="Times New Roman"/>
          <w:highlight w:val="none"/>
          <w:lang w:val="en-US" w:eastAsia="zh-CN"/>
        </w:rPr>
      </w:pPr>
      <w:bookmarkStart w:id="11" w:name="_Toc520380392"/>
      <w:r>
        <w:rPr>
          <w:rFonts w:hint="eastAsia" w:ascii="Times New Roman" w:hAnsi="Times New Roman" w:eastAsia="宋体" w:cs="Times New Roman"/>
          <w:highlight w:val="none"/>
          <w:lang w:val="en-US" w:eastAsia="zh-CN"/>
        </w:rPr>
        <w:t>本文件规定高效络合脱硫催化剂的技术要求、试验方法、检验规则、标志、使用说明书、包装、运输和贮存。</w:t>
      </w:r>
    </w:p>
    <w:p>
      <w:pPr>
        <w:pStyle w:val="2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本文件适用于</w:t>
      </w:r>
      <w:r>
        <w:rPr>
          <w:rFonts w:hint="eastAsia" w:ascii="Times New Roman" w:cs="Times New Roman"/>
          <w:highlight w:val="none"/>
          <w:lang w:val="en-US" w:eastAsia="zh-CN"/>
        </w:rPr>
        <w:t>焦炉煤气脱硫用的</w:t>
      </w:r>
      <w:r>
        <w:rPr>
          <w:rFonts w:hint="eastAsia" w:ascii="Times New Roman" w:hAnsi="Times New Roman" w:eastAsia="宋体" w:cs="Times New Roman"/>
          <w:highlight w:val="none"/>
          <w:lang w:val="en-US" w:eastAsia="zh-CN"/>
        </w:rPr>
        <w:t>高效络合脱硫催化剂。</w:t>
      </w:r>
    </w:p>
    <w:p>
      <w:pPr>
        <w:pStyle w:val="52"/>
        <w:outlineLvl w:val="0"/>
        <w:rPr>
          <w:rFonts w:hAnsi="黑体" w:cs="Times New Roman"/>
          <w:sz w:val="21"/>
          <w:szCs w:val="21"/>
          <w:highlight w:val="none"/>
        </w:rPr>
      </w:pPr>
      <w:bookmarkStart w:id="12" w:name="_Toc2222"/>
      <w:r>
        <w:rPr>
          <w:rFonts w:hAnsi="黑体" w:cs="Times New Roman"/>
          <w:sz w:val="21"/>
          <w:szCs w:val="21"/>
          <w:highlight w:val="none"/>
        </w:rPr>
        <w:t>规范性引用文件</w:t>
      </w:r>
      <w:bookmarkEnd w:id="11"/>
      <w:bookmarkEnd w:id="12"/>
    </w:p>
    <w:p>
      <w:pPr>
        <w:pStyle w:val="22"/>
        <w:rPr>
          <w:rFonts w:ascii="Times New Roman" w:hAnsi="Times New Roman" w:eastAsia="宋体" w:cs="Times New Roman"/>
          <w:highlight w:val="none"/>
        </w:rPr>
      </w:pPr>
      <w:bookmarkStart w:id="13" w:name="_Toc520380394"/>
      <w:r>
        <w:rPr>
          <w:rFonts w:ascii="Times New Roman" w:hAnsi="Times New Roman" w:eastAsia="宋体" w:cs="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 xml:space="preserve">GB/T 4472  </w:t>
      </w:r>
      <w:r>
        <w:rPr>
          <w:rFonts w:hint="eastAsia" w:ascii="Times New Roman" w:hAnsi="Times New Roman" w:eastAsia="宋体" w:cs="Times New Roman"/>
          <w:highlight w:val="none"/>
        </w:rPr>
        <w:t>化工产品密度、相对密度的测定</w:t>
      </w:r>
    </w:p>
    <w:p>
      <w:pPr>
        <w:pStyle w:val="2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GB/T 23769</w:t>
      </w:r>
      <w:r>
        <w:rPr>
          <w:rFonts w:hint="eastAsia" w:ascii="Times New Roman" w:cs="Times New Roman"/>
          <w:highlight w:val="none"/>
          <w:lang w:val="en-US" w:eastAsia="zh-CN"/>
        </w:rPr>
        <w:t xml:space="preserve">  无机化工产品 水溶液中pH值测定通用方法</w:t>
      </w:r>
    </w:p>
    <w:bookmarkEnd w:id="13"/>
    <w:p>
      <w:pPr>
        <w:pStyle w:val="52"/>
        <w:outlineLvl w:val="0"/>
        <w:rPr>
          <w:rFonts w:hAnsi="黑体" w:cs="Times New Roman"/>
          <w:sz w:val="21"/>
          <w:szCs w:val="21"/>
          <w:highlight w:val="none"/>
        </w:rPr>
      </w:pPr>
      <w:bookmarkStart w:id="14" w:name="_Toc10886"/>
      <w:bookmarkStart w:id="15" w:name="_Toc520380395"/>
      <w:r>
        <w:rPr>
          <w:rFonts w:hAnsi="黑体" w:cs="Times New Roman"/>
          <w:sz w:val="21"/>
          <w:szCs w:val="21"/>
          <w:highlight w:val="none"/>
        </w:rPr>
        <w:t>术语和定义</w:t>
      </w:r>
      <w:bookmarkEnd w:id="14"/>
    </w:p>
    <w:bookmarkEnd w:id="15"/>
    <w:p>
      <w:pPr>
        <w:pStyle w:val="22"/>
        <w:rPr>
          <w:rFonts w:hint="eastAsia" w:ascii="Times New Roman" w:hAnsi="Times New Roman" w:eastAsia="宋体" w:cs="Times New Roman"/>
          <w:highlight w:val="none"/>
        </w:rPr>
      </w:pPr>
      <w:r>
        <w:rPr>
          <w:rFonts w:hint="eastAsia" w:ascii="Times New Roman" w:cs="Times New Roman"/>
          <w:highlight w:val="none"/>
          <w:lang w:val="en-US" w:eastAsia="zh-CN"/>
        </w:rPr>
        <w:t>本文件没有需要界定的术语和定义</w:t>
      </w:r>
      <w:r>
        <w:rPr>
          <w:rFonts w:hint="eastAsia" w:ascii="Times New Roman" w:hAnsi="Times New Roman" w:eastAsia="宋体" w:cs="Times New Roman"/>
          <w:highlight w:val="none"/>
        </w:rPr>
        <w:t>。</w:t>
      </w:r>
    </w:p>
    <w:p>
      <w:pPr>
        <w:pStyle w:val="52"/>
        <w:outlineLvl w:val="0"/>
        <w:rPr>
          <w:rFonts w:hAnsi="黑体" w:cs="Times New Roman"/>
          <w:sz w:val="21"/>
          <w:szCs w:val="21"/>
          <w:highlight w:val="none"/>
        </w:rPr>
      </w:pPr>
      <w:r>
        <w:rPr>
          <w:rFonts w:hint="eastAsia" w:hAnsi="黑体" w:cs="Times New Roman"/>
          <w:sz w:val="21"/>
          <w:szCs w:val="21"/>
          <w:highlight w:val="none"/>
          <w:lang w:val="en-US" w:eastAsia="zh-CN"/>
        </w:rPr>
        <w:t>技术要求</w:t>
      </w:r>
    </w:p>
    <w:p>
      <w:pPr>
        <w:pStyle w:val="54"/>
        <w:ind w:lef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脱硫催化剂JSTL-01A</w:t>
      </w:r>
    </w:p>
    <w:p>
      <w:pPr>
        <w:pStyle w:val="30"/>
        <w:widowControl/>
        <w:spacing w:before="156" w:beforeLines="50" w:after="156" w:afterLines="50"/>
        <w:jc w:val="center"/>
        <w:outlineLvl w:val="2"/>
        <w:rPr>
          <w:rFonts w:hint="default" w:ascii="Times New Roman" w:hAnsi="Times New Roman" w:eastAsia="黑体" w:cs="Times New Roman"/>
          <w:kern w:val="0"/>
          <w:sz w:val="20"/>
          <w:szCs w:val="20"/>
          <w:highlight w:val="none"/>
          <w:lang w:bidi="ar"/>
        </w:rPr>
      </w:pPr>
      <w:r>
        <w:rPr>
          <w:rFonts w:hint="default" w:ascii="Times New Roman" w:hAnsi="Times New Roman" w:eastAsia="黑体" w:cs="Times New Roman"/>
          <w:kern w:val="0"/>
          <w:sz w:val="20"/>
          <w:szCs w:val="20"/>
          <w:highlight w:val="none"/>
          <w:lang w:bidi="ar"/>
        </w:rPr>
        <w:t xml:space="preserve">表1  </w:t>
      </w:r>
      <w:r>
        <w:rPr>
          <w:rFonts w:hint="default" w:ascii="Times New Roman" w:hAnsi="Times New Roman" w:eastAsia="黑体" w:cs="Times New Roman"/>
          <w:kern w:val="0"/>
          <w:sz w:val="20"/>
          <w:szCs w:val="20"/>
          <w:highlight w:val="none"/>
          <w:lang w:val="en-US" w:eastAsia="zh-CN" w:bidi="ar"/>
        </w:rPr>
        <w:t>脱硫催化剂JSTL-01A技术指标</w:t>
      </w:r>
      <w:r>
        <w:rPr>
          <w:rFonts w:hint="default" w:ascii="Times New Roman" w:hAnsi="Times New Roman" w:eastAsia="黑体" w:cs="Times New Roman"/>
          <w:kern w:val="0"/>
          <w:sz w:val="20"/>
          <w:szCs w:val="20"/>
          <w:highlight w:val="none"/>
          <w:lang w:bidi="ar"/>
        </w:rPr>
        <w:t>参数</w:t>
      </w:r>
    </w:p>
    <w:tbl>
      <w:tblPr>
        <w:tblStyle w:val="3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782"/>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b/>
                <w:bCs/>
                <w:kern w:val="0"/>
                <w:sz w:val="21"/>
                <w:szCs w:val="21"/>
                <w:highlight w:val="none"/>
                <w:lang w:bidi="ar"/>
              </w:rPr>
            </w:pPr>
            <w:r>
              <w:rPr>
                <w:rFonts w:hint="default" w:ascii="Times New Roman" w:hAnsi="Times New Roman" w:eastAsia="宋体" w:cs="Times New Roman"/>
                <w:b/>
                <w:bCs/>
                <w:kern w:val="0"/>
                <w:sz w:val="21"/>
                <w:szCs w:val="21"/>
                <w:highlight w:val="none"/>
                <w:lang w:bidi="ar"/>
              </w:rPr>
              <w:t>序号</w:t>
            </w:r>
          </w:p>
        </w:tc>
        <w:tc>
          <w:tcPr>
            <w:tcW w:w="3782" w:type="dxa"/>
          </w:tcPr>
          <w:p>
            <w:pPr>
              <w:widowControl/>
              <w:jc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cs="Times New Roman"/>
                <w:b/>
                <w:bCs/>
                <w:kern w:val="0"/>
                <w:sz w:val="21"/>
                <w:szCs w:val="21"/>
                <w:highlight w:val="none"/>
                <w:lang w:val="en-US" w:eastAsia="zh-CN" w:bidi="ar"/>
              </w:rPr>
              <w:t>项目</w:t>
            </w:r>
          </w:p>
        </w:tc>
        <w:tc>
          <w:tcPr>
            <w:tcW w:w="4153" w:type="dxa"/>
          </w:tcPr>
          <w:p>
            <w:pPr>
              <w:widowControl/>
              <w:jc w:val="center"/>
              <w:rPr>
                <w:rFonts w:hint="default" w:ascii="Times New Roman" w:hAnsi="Times New Roman" w:eastAsia="宋体" w:cs="Times New Roman"/>
                <w:b/>
                <w:bCs/>
                <w:kern w:val="0"/>
                <w:sz w:val="21"/>
                <w:szCs w:val="21"/>
                <w:highlight w:val="none"/>
                <w:lang w:eastAsia="zh-CN" w:bidi="ar"/>
              </w:rPr>
            </w:pPr>
            <w:r>
              <w:rPr>
                <w:rFonts w:hint="default" w:ascii="Times New Roman" w:hAnsi="Times New Roman" w:cs="Times New Roman"/>
                <w:b/>
                <w:bCs/>
                <w:kern w:val="0"/>
                <w:sz w:val="21"/>
                <w:szCs w:val="21"/>
                <w:highlight w:val="none"/>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外观</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红褐色透明液体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沸点</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3</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熔点</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4</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相对密度</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pH</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6</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总铁（Fe）质量分数</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12.5-13.5%</w:t>
            </w:r>
          </w:p>
        </w:tc>
      </w:tr>
    </w:tbl>
    <w:p>
      <w:pPr>
        <w:pStyle w:val="54"/>
        <w:ind w:left="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脱硫催化剂JSTL-01</w:t>
      </w:r>
      <w:r>
        <w:rPr>
          <w:rFonts w:hint="eastAsia" w:ascii="Times New Roman" w:eastAsia="宋体" w:cs="Times New Roman"/>
          <w:sz w:val="21"/>
          <w:szCs w:val="21"/>
          <w:highlight w:val="none"/>
          <w:lang w:val="en-US" w:eastAsia="zh-CN" w:bidi="ar-SA"/>
        </w:rPr>
        <w:t>B</w:t>
      </w:r>
    </w:p>
    <w:p>
      <w:pPr>
        <w:pStyle w:val="30"/>
        <w:widowControl/>
        <w:spacing w:before="156" w:beforeLines="50" w:after="156" w:afterLines="50"/>
        <w:jc w:val="center"/>
        <w:outlineLvl w:val="2"/>
        <w:rPr>
          <w:rFonts w:hint="default" w:ascii="Times New Roman" w:hAnsi="Times New Roman" w:eastAsia="黑体" w:cs="Times New Roman"/>
          <w:kern w:val="0"/>
          <w:sz w:val="20"/>
          <w:szCs w:val="20"/>
          <w:highlight w:val="none"/>
          <w:lang w:bidi="ar"/>
        </w:rPr>
      </w:pPr>
      <w:r>
        <w:rPr>
          <w:rFonts w:hint="default" w:ascii="Times New Roman" w:hAnsi="Times New Roman" w:eastAsia="黑体" w:cs="Times New Roman"/>
          <w:kern w:val="0"/>
          <w:sz w:val="20"/>
          <w:szCs w:val="20"/>
          <w:highlight w:val="none"/>
          <w:lang w:bidi="ar"/>
        </w:rPr>
        <w:t>表</w:t>
      </w:r>
      <w:r>
        <w:rPr>
          <w:rFonts w:hint="eastAsia" w:eastAsia="黑体" w:cs="Times New Roman"/>
          <w:kern w:val="0"/>
          <w:sz w:val="20"/>
          <w:szCs w:val="20"/>
          <w:highlight w:val="none"/>
          <w:lang w:val="en-US" w:eastAsia="zh-CN" w:bidi="ar"/>
        </w:rPr>
        <w:t>2</w:t>
      </w:r>
      <w:r>
        <w:rPr>
          <w:rFonts w:hint="default" w:ascii="Times New Roman" w:hAnsi="Times New Roman" w:eastAsia="黑体" w:cs="Times New Roman"/>
          <w:kern w:val="0"/>
          <w:sz w:val="20"/>
          <w:szCs w:val="20"/>
          <w:highlight w:val="none"/>
          <w:lang w:bidi="ar"/>
        </w:rPr>
        <w:t xml:space="preserve">  </w:t>
      </w:r>
      <w:r>
        <w:rPr>
          <w:rFonts w:hint="default" w:ascii="Times New Roman" w:hAnsi="Times New Roman" w:eastAsia="黑体" w:cs="Times New Roman"/>
          <w:kern w:val="0"/>
          <w:sz w:val="20"/>
          <w:szCs w:val="20"/>
          <w:highlight w:val="none"/>
          <w:lang w:val="en-US" w:eastAsia="zh-CN" w:bidi="ar"/>
        </w:rPr>
        <w:t>脱硫催化剂JSTL-01</w:t>
      </w:r>
      <w:r>
        <w:rPr>
          <w:rFonts w:hint="eastAsia" w:eastAsia="黑体" w:cs="Times New Roman"/>
          <w:kern w:val="0"/>
          <w:sz w:val="20"/>
          <w:szCs w:val="20"/>
          <w:highlight w:val="none"/>
          <w:lang w:val="en-US" w:eastAsia="zh-CN" w:bidi="ar"/>
        </w:rPr>
        <w:t>B</w:t>
      </w:r>
      <w:r>
        <w:rPr>
          <w:rFonts w:hint="default" w:ascii="Times New Roman" w:hAnsi="Times New Roman" w:eastAsia="黑体" w:cs="Times New Roman"/>
          <w:kern w:val="0"/>
          <w:sz w:val="20"/>
          <w:szCs w:val="20"/>
          <w:highlight w:val="none"/>
          <w:lang w:val="en-US" w:eastAsia="zh-CN" w:bidi="ar"/>
        </w:rPr>
        <w:t>技术指标</w:t>
      </w:r>
      <w:r>
        <w:rPr>
          <w:rFonts w:hint="default" w:ascii="Times New Roman" w:hAnsi="Times New Roman" w:eastAsia="黑体" w:cs="Times New Roman"/>
          <w:kern w:val="0"/>
          <w:sz w:val="20"/>
          <w:szCs w:val="20"/>
          <w:highlight w:val="none"/>
          <w:lang w:bidi="ar"/>
        </w:rPr>
        <w:t>参数</w:t>
      </w:r>
    </w:p>
    <w:tbl>
      <w:tblPr>
        <w:tblStyle w:val="3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782"/>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b/>
                <w:bCs/>
                <w:kern w:val="0"/>
                <w:sz w:val="21"/>
                <w:szCs w:val="21"/>
                <w:highlight w:val="none"/>
                <w:lang w:bidi="ar"/>
              </w:rPr>
            </w:pPr>
            <w:r>
              <w:rPr>
                <w:rFonts w:hint="default" w:ascii="Times New Roman" w:hAnsi="Times New Roman" w:eastAsia="宋体" w:cs="Times New Roman"/>
                <w:b/>
                <w:bCs/>
                <w:kern w:val="0"/>
                <w:sz w:val="21"/>
                <w:szCs w:val="21"/>
                <w:highlight w:val="none"/>
                <w:lang w:bidi="ar"/>
              </w:rPr>
              <w:t>序号</w:t>
            </w:r>
          </w:p>
        </w:tc>
        <w:tc>
          <w:tcPr>
            <w:tcW w:w="3782" w:type="dxa"/>
          </w:tcPr>
          <w:p>
            <w:pPr>
              <w:widowControl/>
              <w:jc w:val="center"/>
              <w:rPr>
                <w:rFonts w:hint="default" w:ascii="Times New Roman" w:hAnsi="Times New Roman" w:eastAsia="宋体" w:cs="Times New Roman"/>
                <w:b/>
                <w:bCs/>
                <w:kern w:val="0"/>
                <w:sz w:val="21"/>
                <w:szCs w:val="21"/>
                <w:highlight w:val="none"/>
                <w:lang w:val="en-US" w:eastAsia="zh-CN" w:bidi="ar"/>
              </w:rPr>
            </w:pPr>
            <w:r>
              <w:rPr>
                <w:rFonts w:hint="default" w:ascii="Times New Roman" w:hAnsi="Times New Roman" w:cs="Times New Roman"/>
                <w:b/>
                <w:bCs/>
                <w:kern w:val="0"/>
                <w:sz w:val="21"/>
                <w:szCs w:val="21"/>
                <w:highlight w:val="none"/>
                <w:lang w:val="en-US" w:eastAsia="zh-CN" w:bidi="ar"/>
              </w:rPr>
              <w:t>项目</w:t>
            </w:r>
          </w:p>
        </w:tc>
        <w:tc>
          <w:tcPr>
            <w:tcW w:w="4153" w:type="dxa"/>
          </w:tcPr>
          <w:p>
            <w:pPr>
              <w:widowControl/>
              <w:jc w:val="center"/>
              <w:rPr>
                <w:rFonts w:hint="default" w:ascii="Times New Roman" w:hAnsi="Times New Roman" w:eastAsia="宋体" w:cs="Times New Roman"/>
                <w:b/>
                <w:bCs/>
                <w:kern w:val="0"/>
                <w:sz w:val="21"/>
                <w:szCs w:val="21"/>
                <w:highlight w:val="none"/>
                <w:lang w:eastAsia="zh-CN" w:bidi="ar"/>
              </w:rPr>
            </w:pPr>
            <w:r>
              <w:rPr>
                <w:rFonts w:hint="default" w:ascii="Times New Roman" w:hAnsi="Times New Roman" w:cs="Times New Roman"/>
                <w:b/>
                <w:bCs/>
                <w:kern w:val="0"/>
                <w:sz w:val="21"/>
                <w:szCs w:val="21"/>
                <w:highlight w:val="none"/>
                <w:lang w:val="en-US" w:eastAsia="zh-CN"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外观</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褐色或黄色结晶粉末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沸点</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3</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熔点</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4</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相对密度</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≥1.0</w:t>
            </w:r>
            <w:r>
              <w:rPr>
                <w:rFonts w:hint="eastAsia" w:cs="Times New Roman"/>
                <w:color w:val="auto"/>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pH</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6</w:t>
            </w:r>
          </w:p>
        </w:tc>
        <w:tc>
          <w:tcPr>
            <w:tcW w:w="3782"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总铁（Fe）质量分数</w:t>
            </w:r>
          </w:p>
        </w:tc>
        <w:tc>
          <w:tcPr>
            <w:tcW w:w="4153" w:type="dxa"/>
          </w:tcPr>
          <w:p>
            <w:pPr>
              <w:widowControl/>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12.5-13.5%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3" w:type="dxa"/>
          </w:tcPr>
          <w:p>
            <w:pPr>
              <w:widowControl/>
              <w:jc w:val="center"/>
              <w:rPr>
                <w:rFonts w:hint="eastAsia"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7</w:t>
            </w:r>
          </w:p>
        </w:tc>
        <w:tc>
          <w:tcPr>
            <w:tcW w:w="3782" w:type="dxa"/>
          </w:tcPr>
          <w:p>
            <w:pPr>
              <w:widowControl/>
              <w:jc w:val="center"/>
              <w:rPr>
                <w:rFonts w:hint="default" w:ascii="Times New Roman" w:hAnsi="Times New Roman"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固体含量</w:t>
            </w:r>
          </w:p>
        </w:tc>
        <w:tc>
          <w:tcPr>
            <w:tcW w:w="4153" w:type="dxa"/>
          </w:tcPr>
          <w:p>
            <w:pPr>
              <w:widowControl/>
              <w:jc w:val="center"/>
              <w:rPr>
                <w:rFonts w:hint="default" w:ascii="Times New Roman" w:hAnsi="Times New Roman" w:cs="Times New Roman"/>
                <w:color w:val="auto"/>
                <w:kern w:val="0"/>
                <w:sz w:val="21"/>
                <w:szCs w:val="21"/>
                <w:highlight w:val="yellow"/>
                <w:lang w:val="en-US" w:eastAsia="zh-CN" w:bidi="ar"/>
              </w:rPr>
            </w:pPr>
            <w:r>
              <w:rPr>
                <w:rFonts w:hint="default" w:ascii="Times New Roman" w:hAnsi="Times New Roman" w:cs="Times New Roman"/>
                <w:color w:val="auto"/>
                <w:kern w:val="0"/>
                <w:sz w:val="21"/>
                <w:szCs w:val="21"/>
                <w:highlight w:val="none"/>
                <w:lang w:val="en-US" w:eastAsia="zh-CN" w:bidi="ar"/>
              </w:rPr>
              <w:t>≥88</w:t>
            </w:r>
          </w:p>
        </w:tc>
      </w:tr>
    </w:tbl>
    <w:p>
      <w:pPr>
        <w:pStyle w:val="52"/>
        <w:outlineLvl w:val="0"/>
        <w:rPr>
          <w:rFonts w:hAnsi="黑体" w:cs="Times New Roman"/>
          <w:sz w:val="21"/>
          <w:szCs w:val="21"/>
          <w:highlight w:val="none"/>
        </w:rPr>
      </w:pPr>
      <w:r>
        <w:rPr>
          <w:rFonts w:hint="eastAsia" w:hAnsi="黑体" w:cs="Times New Roman"/>
          <w:sz w:val="21"/>
          <w:szCs w:val="21"/>
          <w:highlight w:val="none"/>
          <w:lang w:val="en-US" w:eastAsia="zh-CN"/>
        </w:rPr>
        <w:t>试验方法</w:t>
      </w:r>
    </w:p>
    <w:p>
      <w:pPr>
        <w:pStyle w:val="54"/>
        <w:ind w:left="0"/>
        <w:rPr>
          <w:rFonts w:hint="eastAsia" w:ascii="黑体" w:hAnsi="黑体" w:eastAsia="黑体" w:cs="Times New Roman"/>
          <w:sz w:val="21"/>
          <w:szCs w:val="21"/>
          <w:highlight w:val="none"/>
          <w:lang w:val="en-US" w:eastAsia="zh-CN" w:bidi="ar-SA"/>
        </w:rPr>
      </w:pPr>
      <w:r>
        <w:rPr>
          <w:rFonts w:hint="eastAsia" w:hAnsi="黑体" w:cs="Times New Roman"/>
          <w:sz w:val="21"/>
          <w:szCs w:val="21"/>
          <w:highlight w:val="none"/>
          <w:lang w:val="en-US" w:eastAsia="zh-CN" w:bidi="ar-SA"/>
        </w:rPr>
        <w:t>外观</w:t>
      </w:r>
    </w:p>
    <w:p>
      <w:pPr>
        <w:pStyle w:val="30"/>
        <w:widowControl/>
        <w:spacing w:before="156" w:beforeLines="50" w:after="156" w:afterLines="50"/>
        <w:ind w:firstLine="420" w:firstLineChars="200"/>
        <w:jc w:val="left"/>
        <w:outlineLvl w:val="2"/>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采用目视检验，在正常日光下观察固体粉末或者溶液的颜色。</w:t>
      </w:r>
    </w:p>
    <w:p>
      <w:pPr>
        <w:pStyle w:val="54"/>
        <w:ind w:left="0"/>
        <w:rPr>
          <w:rFonts w:hint="default" w:ascii="黑体" w:hAnsi="黑体" w:eastAsia="黑体" w:cs="Times New Roman"/>
          <w:sz w:val="21"/>
          <w:szCs w:val="21"/>
          <w:highlight w:val="none"/>
          <w:lang w:val="en-US" w:eastAsia="zh-CN" w:bidi="ar-SA"/>
        </w:rPr>
      </w:pPr>
      <w:r>
        <w:rPr>
          <w:rFonts w:hint="eastAsia" w:hAnsi="黑体" w:cs="Times New Roman"/>
          <w:sz w:val="21"/>
          <w:szCs w:val="21"/>
          <w:highlight w:val="none"/>
          <w:lang w:val="en-US" w:eastAsia="zh-CN" w:bidi="ar-SA"/>
        </w:rPr>
        <w:t>理化</w:t>
      </w:r>
      <w:r>
        <w:rPr>
          <w:rFonts w:hint="eastAsia" w:ascii="黑体" w:hAnsi="黑体" w:eastAsia="黑体" w:cs="Times New Roman"/>
          <w:sz w:val="21"/>
          <w:szCs w:val="21"/>
          <w:highlight w:val="none"/>
          <w:lang w:val="en-US" w:eastAsia="zh-CN" w:bidi="ar-SA"/>
        </w:rPr>
        <w:t>指标检验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pH值</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按照GB/T 23769的规定执行。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密度</w:t>
      </w:r>
    </w:p>
    <w:p>
      <w:pPr>
        <w:pStyle w:val="22"/>
        <w:rPr>
          <w:rFonts w:hint="eastAsia" w:ascii="Times New Roman" w:cs="Times New Roman"/>
          <w:sz w:val="21"/>
          <w:highlight w:val="none"/>
          <w:lang w:val="en-US" w:eastAsia="zh-CN" w:bidi="ar-SA"/>
        </w:rPr>
      </w:pPr>
      <w:r>
        <w:rPr>
          <w:rFonts w:hint="eastAsia" w:ascii="Times New Roman" w:cs="Times New Roman"/>
          <w:sz w:val="21"/>
          <w:highlight w:val="none"/>
          <w:lang w:val="en-US" w:eastAsia="zh-CN" w:bidi="ar-SA"/>
        </w:rPr>
        <w:t>按照GB/T 4472的规定执行。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铁离子浓度</w:t>
      </w:r>
    </w:p>
    <w:p>
      <w:pPr>
        <w:pStyle w:val="22"/>
        <w:rPr>
          <w:rFonts w:hint="default"/>
          <w:lang w:val="en-US" w:eastAsia="zh-CN"/>
        </w:rPr>
      </w:pPr>
      <w:r>
        <w:rPr>
          <w:rFonts w:hint="eastAsia" w:ascii="Times New Roman" w:cs="Times New Roman"/>
          <w:sz w:val="21"/>
          <w:highlight w:val="none"/>
          <w:lang w:val="en-US" w:eastAsia="zh-CN" w:bidi="ar-SA"/>
        </w:rPr>
        <w:t>参照附录A的方法。</w:t>
      </w:r>
    </w:p>
    <w:p>
      <w:pPr>
        <w:pStyle w:val="52"/>
        <w:outlineLvl w:val="0"/>
        <w:rPr>
          <w:rFonts w:hint="eastAsia" w:hAnsi="黑体" w:cs="Times New Roman"/>
          <w:sz w:val="21"/>
          <w:szCs w:val="21"/>
          <w:highlight w:val="none"/>
        </w:rPr>
      </w:pPr>
      <w:bookmarkStart w:id="16" w:name="_Toc14321"/>
      <w:r>
        <w:rPr>
          <w:rFonts w:hint="eastAsia" w:hAnsi="黑体" w:cs="Times New Roman"/>
          <w:sz w:val="21"/>
          <w:szCs w:val="21"/>
          <w:highlight w:val="none"/>
        </w:rPr>
        <w:t>检验规则</w:t>
      </w:r>
      <w:bookmarkEnd w:id="16"/>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检验分类</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cs="Times New Roman"/>
          <w:sz w:val="21"/>
          <w:szCs w:val="21"/>
          <w:highlight w:val="none"/>
          <w:lang w:val="en-US" w:eastAsia="zh-CN" w:bidi="ar-SA"/>
        </w:rPr>
        <w:t>脱硫催化剂</w:t>
      </w:r>
      <w:r>
        <w:rPr>
          <w:rFonts w:hint="eastAsia" w:ascii="Times New Roman" w:hAnsi="Times New Roman" w:eastAsia="宋体" w:cs="Times New Roman"/>
          <w:sz w:val="21"/>
          <w:szCs w:val="21"/>
          <w:highlight w:val="none"/>
          <w:lang w:val="en-US" w:eastAsia="zh-CN" w:bidi="ar-SA"/>
        </w:rPr>
        <w:t>的检验分为出厂检验和型式检验。</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出厂检验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eastAsia" w:ascii="Times New Roman" w:eastAsia="宋体" w:cs="Times New Roman"/>
          <w:sz w:val="21"/>
          <w:highlight w:val="none"/>
          <w:lang w:val="en-US" w:eastAsia="zh-CN" w:bidi="ar-SA"/>
        </w:rPr>
        <w:t>产品出厂前需经生产单位质检部门检验合格，并签发合格证后方可出厂，产品合格应标明以下内容：</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w:t>
      </w:r>
      <w:r>
        <w:rPr>
          <w:rFonts w:hint="eastAsia" w:cs="Times New Roman"/>
          <w:sz w:val="21"/>
          <w:szCs w:val="21"/>
          <w:highlight w:val="none"/>
          <w:lang w:val="en-US" w:eastAsia="zh-CN" w:bidi="ar-SA"/>
        </w:rPr>
        <w:t>生产单位名称</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w:t>
      </w:r>
      <w:r>
        <w:rPr>
          <w:rFonts w:hint="eastAsia" w:cs="Times New Roman"/>
          <w:sz w:val="21"/>
          <w:szCs w:val="21"/>
          <w:highlight w:val="none"/>
          <w:lang w:val="en-US" w:eastAsia="zh-CN" w:bidi="ar-SA"/>
        </w:rPr>
        <w:t>产品名称</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w:t>
      </w:r>
      <w:r>
        <w:rPr>
          <w:rFonts w:hint="eastAsia" w:cs="Times New Roman"/>
          <w:sz w:val="21"/>
          <w:szCs w:val="21"/>
          <w:highlight w:val="none"/>
          <w:lang w:val="en-US" w:eastAsia="zh-CN" w:bidi="ar-SA"/>
        </w:rPr>
        <w:t>批号</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w:t>
      </w:r>
      <w:r>
        <w:rPr>
          <w:rFonts w:hint="eastAsia" w:cs="Times New Roman"/>
          <w:sz w:val="21"/>
          <w:szCs w:val="21"/>
          <w:highlight w:val="none"/>
          <w:lang w:val="en-US" w:eastAsia="zh-CN" w:bidi="ar-SA"/>
        </w:rPr>
        <w:t>生产日期；</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cs="Times New Roman"/>
          <w:sz w:val="21"/>
          <w:szCs w:val="21"/>
          <w:highlight w:val="none"/>
          <w:lang w:val="en-US" w:eastAsia="zh-CN" w:bidi="ar-SA"/>
        </w:rPr>
        <w:t>e）产品净重。</w:t>
      </w:r>
    </w:p>
    <w:p>
      <w:pPr>
        <w:pStyle w:val="56"/>
        <w:spacing w:before="156" w:after="156"/>
        <w:ind w:left="0"/>
        <w:rPr>
          <w:rFonts w:hint="eastAsia" w:ascii="Times New Roman" w:eastAsia="宋体" w:cs="Times New Roman"/>
          <w:sz w:val="21"/>
          <w:highlight w:val="none"/>
          <w:lang w:val="en-US" w:eastAsia="zh-CN" w:bidi="ar-SA"/>
        </w:rPr>
      </w:pPr>
      <w:r>
        <w:rPr>
          <w:rFonts w:hint="eastAsia" w:ascii="Times New Roman" w:eastAsia="宋体" w:cs="Times New Roman"/>
          <w:sz w:val="21"/>
          <w:highlight w:val="none"/>
          <w:lang w:val="en-US" w:eastAsia="zh-CN" w:bidi="ar-SA"/>
        </w:rPr>
        <w:t>出厂检验项目应包括：</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cs="Times New Roman"/>
          <w:sz w:val="21"/>
          <w:szCs w:val="21"/>
          <w:highlight w:val="none"/>
          <w:lang w:val="en-US" w:eastAsia="zh-CN" w:bidi="ar-SA"/>
        </w:rPr>
        <w:t>a）pH值；</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cs="Times New Roman"/>
          <w:sz w:val="21"/>
          <w:szCs w:val="21"/>
          <w:highlight w:val="none"/>
          <w:lang w:val="en-US" w:eastAsia="zh-CN" w:bidi="ar-SA"/>
        </w:rPr>
        <w:t>b）密度；</w:t>
      </w:r>
    </w:p>
    <w:p>
      <w:pPr>
        <w:pStyle w:val="30"/>
        <w:widowControl/>
        <w:spacing w:before="156" w:beforeLines="50" w:after="156" w:afterLines="50"/>
        <w:ind w:firstLine="420" w:firstLineChars="200"/>
        <w:jc w:val="left"/>
        <w:outlineLvl w:val="2"/>
        <w:rPr>
          <w:rFonts w:hint="default" w:cs="Times New Roman"/>
          <w:sz w:val="21"/>
          <w:szCs w:val="21"/>
          <w:highlight w:val="none"/>
          <w:lang w:val="en-US" w:eastAsia="zh-CN" w:bidi="ar-SA"/>
        </w:rPr>
      </w:pPr>
      <w:r>
        <w:rPr>
          <w:rFonts w:hint="eastAsia" w:cs="Times New Roman"/>
          <w:sz w:val="21"/>
          <w:szCs w:val="21"/>
          <w:highlight w:val="none"/>
          <w:lang w:val="en-US" w:eastAsia="zh-CN" w:bidi="ar-SA"/>
        </w:rPr>
        <w:t>c）总铁含量。</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型式检验</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在下列情况之一时应进行型式检验；</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w:t>
      </w:r>
      <w:r>
        <w:rPr>
          <w:rFonts w:hint="eastAsia" w:cs="Times New Roman"/>
          <w:sz w:val="21"/>
          <w:szCs w:val="21"/>
          <w:highlight w:val="none"/>
          <w:lang w:val="en-US" w:eastAsia="zh-CN" w:bidi="ar-SA"/>
        </w:rPr>
        <w:t>新产品投产前</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w:t>
      </w:r>
      <w:r>
        <w:rPr>
          <w:rFonts w:hint="eastAsia" w:cs="Times New Roman"/>
          <w:sz w:val="21"/>
          <w:szCs w:val="21"/>
          <w:highlight w:val="none"/>
          <w:lang w:val="en-US" w:eastAsia="zh-CN" w:bidi="ar-SA"/>
        </w:rPr>
        <w:t>生产原料有重大变化</w:t>
      </w:r>
      <w:r>
        <w:rPr>
          <w:rFonts w:hint="eastAsia" w:ascii="Times New Roman" w:hAnsi="Times New Roman" w:eastAsia="宋体" w:cs="Times New Roman"/>
          <w:sz w:val="21"/>
          <w:szCs w:val="21"/>
          <w:highlight w:val="none"/>
          <w:lang w:val="en-US" w:eastAsia="zh-CN" w:bidi="ar-SA"/>
        </w:rPr>
        <w:t>，可能影响产品质量时；</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c）产品长期停产（一年及以上）后，恢复生产时；</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d）正常生产时，每年进行一次</w:t>
      </w:r>
      <w:r>
        <w:rPr>
          <w:rFonts w:hint="eastAsia"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cs="Times New Roman"/>
          <w:sz w:val="21"/>
          <w:szCs w:val="21"/>
          <w:highlight w:val="none"/>
          <w:lang w:val="en-US" w:eastAsia="zh-CN" w:bidi="ar-SA"/>
        </w:rPr>
        <w:t>e）出厂检测结果与上次型式检验有较大差异时；</w:t>
      </w:r>
    </w:p>
    <w:p>
      <w:pPr>
        <w:pStyle w:val="30"/>
        <w:widowControl/>
        <w:spacing w:before="156" w:beforeLines="50" w:after="156" w:afterLines="50"/>
        <w:ind w:firstLine="420" w:firstLineChars="200"/>
        <w:jc w:val="left"/>
        <w:outlineLvl w:val="2"/>
        <w:rPr>
          <w:rFonts w:hint="default" w:cs="Times New Roman"/>
          <w:sz w:val="21"/>
          <w:szCs w:val="21"/>
          <w:highlight w:val="none"/>
          <w:lang w:val="en-US" w:eastAsia="zh-CN" w:bidi="ar-SA"/>
        </w:rPr>
      </w:pPr>
      <w:r>
        <w:rPr>
          <w:rFonts w:hint="eastAsia" w:cs="Times New Roman"/>
          <w:sz w:val="21"/>
          <w:szCs w:val="21"/>
          <w:highlight w:val="none"/>
          <w:lang w:val="en-US" w:eastAsia="zh-CN" w:bidi="ar-SA"/>
        </w:rPr>
        <w:t>f）国家质量检测机构提出进行形式检验时。</w:t>
      </w:r>
    </w:p>
    <w:p>
      <w:pPr>
        <w:pStyle w:val="56"/>
        <w:spacing w:before="156" w:after="156"/>
        <w:ind w:left="0"/>
        <w:rPr>
          <w:rFonts w:hint="default" w:ascii="Times New Roman" w:hAnsi="Times New Roman" w:eastAsia="宋体" w:cs="Times New Roman"/>
          <w:sz w:val="21"/>
          <w:highlight w:val="none"/>
          <w:lang w:val="en-US" w:eastAsia="zh-CN" w:bidi="ar-SA"/>
        </w:rPr>
      </w:pPr>
      <w:r>
        <w:rPr>
          <w:rFonts w:hint="default" w:ascii="Times New Roman" w:hAnsi="Times New Roman" w:eastAsia="宋体" w:cs="Times New Roman"/>
          <w:sz w:val="21"/>
          <w:highlight w:val="none"/>
          <w:lang w:val="en-US" w:eastAsia="zh-CN" w:bidi="ar-SA"/>
        </w:rPr>
        <w:t>型式检验项目为本文件中的全部项目。</w:t>
      </w:r>
    </w:p>
    <w:p>
      <w:pPr>
        <w:pStyle w:val="54"/>
        <w:ind w:left="0"/>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判定规则</w:t>
      </w:r>
    </w:p>
    <w:p>
      <w:pPr>
        <w:pStyle w:val="30"/>
        <w:widowControl/>
        <w:spacing w:before="156" w:beforeLines="50" w:after="156" w:afterLines="50"/>
        <w:ind w:firstLine="420" w:firstLineChars="200"/>
        <w:jc w:val="left"/>
        <w:outlineLvl w:val="2"/>
        <w:rPr>
          <w:rFonts w:hint="default" w:cs="Times New Roman"/>
          <w:sz w:val="21"/>
          <w:szCs w:val="21"/>
          <w:highlight w:val="none"/>
          <w:lang w:val="en-US" w:eastAsia="zh-CN" w:bidi="ar-SA"/>
        </w:rPr>
      </w:pPr>
      <w:r>
        <w:rPr>
          <w:rFonts w:hint="eastAsia" w:cs="Times New Roman"/>
          <w:sz w:val="21"/>
          <w:szCs w:val="21"/>
          <w:highlight w:val="none"/>
          <w:lang w:val="en-US" w:eastAsia="zh-CN" w:bidi="ar-SA"/>
        </w:rPr>
        <w:t>产品经检验，如全部项目符合本文件要求，可判定产品为合格品，如果有一项指标不合格，应重新抽样复检，复检结果仍有一项不符合本文件要求，则判定该批次产品为不合格品。</w:t>
      </w:r>
    </w:p>
    <w:p>
      <w:pPr>
        <w:pStyle w:val="52"/>
        <w:outlineLvl w:val="0"/>
        <w:rPr>
          <w:rFonts w:hint="eastAsia" w:hAnsi="黑体" w:cs="Times New Roman"/>
          <w:sz w:val="21"/>
          <w:szCs w:val="21"/>
          <w:highlight w:val="none"/>
        </w:rPr>
      </w:pPr>
      <w:bookmarkStart w:id="18" w:name="_GoBack"/>
      <w:bookmarkStart w:id="17" w:name="_Toc10683"/>
      <w:r>
        <w:rPr>
          <w:rFonts w:hint="eastAsia" w:hAnsi="黑体" w:cs="Times New Roman"/>
          <w:sz w:val="21"/>
          <w:szCs w:val="21"/>
          <w:highlight w:val="none"/>
        </w:rPr>
        <w:t>标志、</w:t>
      </w:r>
      <w:r>
        <w:rPr>
          <w:rFonts w:hint="eastAsia" w:hAnsi="黑体" w:cs="Times New Roman"/>
          <w:sz w:val="21"/>
          <w:szCs w:val="21"/>
          <w:highlight w:val="none"/>
          <w:lang w:val="en-US" w:eastAsia="zh-CN"/>
        </w:rPr>
        <w:t>使用说明书、</w:t>
      </w:r>
      <w:r>
        <w:rPr>
          <w:rFonts w:hint="eastAsia" w:hAnsi="黑体" w:cs="Times New Roman"/>
          <w:sz w:val="21"/>
          <w:szCs w:val="21"/>
          <w:highlight w:val="none"/>
        </w:rPr>
        <w:t>包装、运输和</w:t>
      </w:r>
      <w:bookmarkEnd w:id="17"/>
      <w:r>
        <w:rPr>
          <w:rFonts w:hint="eastAsia" w:hAnsi="黑体" w:cs="Times New Roman"/>
          <w:sz w:val="21"/>
          <w:szCs w:val="21"/>
          <w:highlight w:val="none"/>
        </w:rPr>
        <w:t>贮存</w:t>
      </w:r>
      <w:bookmarkEnd w:id="18"/>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标志</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标志应清晰、牢固，标志内容包括但不限于：</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a）制造厂名称；</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b）产品名称；</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w:t>
      </w:r>
      <w:r>
        <w:rPr>
          <w:rFonts w:hint="eastAsia" w:cs="Times New Roman"/>
          <w:sz w:val="21"/>
          <w:szCs w:val="21"/>
          <w:highlight w:val="none"/>
          <w:lang w:val="en-US" w:eastAsia="zh-CN" w:bidi="ar-SA"/>
        </w:rPr>
        <w:t>产品</w:t>
      </w:r>
      <w:r>
        <w:rPr>
          <w:rFonts w:hint="eastAsia" w:ascii="Times New Roman" w:hAnsi="Times New Roman" w:eastAsia="宋体" w:cs="Times New Roman"/>
          <w:sz w:val="21"/>
          <w:szCs w:val="21"/>
          <w:highlight w:val="none"/>
          <w:lang w:val="en-US" w:eastAsia="zh-CN" w:bidi="ar-SA"/>
        </w:rPr>
        <w:t>规格；</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w:t>
      </w:r>
      <w:r>
        <w:rPr>
          <w:rFonts w:hint="eastAsia" w:cs="Times New Roman"/>
          <w:sz w:val="21"/>
          <w:szCs w:val="21"/>
          <w:highlight w:val="none"/>
          <w:lang w:val="en-US" w:eastAsia="zh-CN" w:bidi="ar-SA"/>
        </w:rPr>
        <w:t>产品标准号</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e）</w:t>
      </w:r>
      <w:r>
        <w:rPr>
          <w:rFonts w:hint="eastAsia" w:cs="Times New Roman"/>
          <w:sz w:val="21"/>
          <w:szCs w:val="21"/>
          <w:highlight w:val="none"/>
          <w:lang w:val="en-US" w:eastAsia="zh-CN" w:bidi="ar-SA"/>
        </w:rPr>
        <w:t>生产日期</w:t>
      </w:r>
      <w:r>
        <w:rPr>
          <w:rFonts w:hint="eastAsia" w:ascii="Times New Roman" w:hAnsi="Times New Roman" w:eastAsia="宋体" w:cs="Times New Roman"/>
          <w:sz w:val="21"/>
          <w:szCs w:val="21"/>
          <w:highlight w:val="none"/>
          <w:lang w:val="en-US" w:eastAsia="zh-CN" w:bidi="ar-SA"/>
        </w:rPr>
        <w:t>。</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使用说明书</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使用说明书包括但不限于：</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a）</w:t>
      </w:r>
      <w:r>
        <w:rPr>
          <w:rFonts w:hint="eastAsia" w:cs="Times New Roman"/>
          <w:sz w:val="21"/>
          <w:szCs w:val="21"/>
          <w:highlight w:val="none"/>
          <w:lang w:val="en-US" w:eastAsia="zh-CN" w:bidi="ar-SA"/>
        </w:rPr>
        <w:t>产品概述</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b）</w:t>
      </w:r>
      <w:r>
        <w:rPr>
          <w:rFonts w:hint="eastAsia" w:cs="Times New Roman"/>
          <w:sz w:val="21"/>
          <w:szCs w:val="21"/>
          <w:highlight w:val="none"/>
          <w:lang w:val="en-US" w:eastAsia="zh-CN" w:bidi="ar-SA"/>
        </w:rPr>
        <w:t>技术指标</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c）</w:t>
      </w:r>
      <w:r>
        <w:rPr>
          <w:rFonts w:hint="eastAsia" w:cs="Times New Roman"/>
          <w:sz w:val="21"/>
          <w:szCs w:val="21"/>
          <w:highlight w:val="none"/>
          <w:lang w:val="en-US" w:eastAsia="zh-CN" w:bidi="ar-SA"/>
        </w:rPr>
        <w:t>使用方法</w:t>
      </w:r>
      <w:r>
        <w:rPr>
          <w:rFonts w:hint="eastAsia" w:ascii="Times New Roman" w:hAnsi="Times New Roman" w:eastAsia="宋体" w:cs="Times New Roman"/>
          <w:sz w:val="21"/>
          <w:szCs w:val="21"/>
          <w:highlight w:val="none"/>
          <w:lang w:val="en-US" w:eastAsia="zh-CN" w:bidi="ar-SA"/>
        </w:rPr>
        <w:t>；</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d）</w:t>
      </w:r>
      <w:r>
        <w:rPr>
          <w:rFonts w:hint="eastAsia" w:cs="Times New Roman"/>
          <w:sz w:val="21"/>
          <w:szCs w:val="21"/>
          <w:highlight w:val="none"/>
          <w:lang w:val="en-US" w:eastAsia="zh-CN" w:bidi="ar-SA"/>
        </w:rPr>
        <w:t>注意事项。</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包装</w:t>
      </w:r>
    </w:p>
    <w:p>
      <w:pPr>
        <w:pStyle w:val="30"/>
        <w:widowControl/>
        <w:spacing w:before="156" w:beforeLines="50" w:after="156" w:afterLines="50"/>
        <w:ind w:firstLine="420" w:firstLineChars="200"/>
        <w:jc w:val="left"/>
        <w:outlineLvl w:val="2"/>
        <w:rPr>
          <w:rFonts w:hint="default" w:cs="Times New Roman"/>
          <w:sz w:val="21"/>
          <w:szCs w:val="21"/>
          <w:highlight w:val="none"/>
          <w:lang w:val="en-US" w:eastAsia="zh-CN" w:bidi="ar-SA"/>
        </w:rPr>
      </w:pPr>
      <w:r>
        <w:rPr>
          <w:rFonts w:hint="eastAsia" w:cs="Times New Roman"/>
          <w:sz w:val="21"/>
          <w:szCs w:val="21"/>
          <w:highlight w:val="none"/>
          <w:lang w:val="en-US" w:eastAsia="zh-CN" w:bidi="ar-SA"/>
        </w:rPr>
        <w:t>采用集装桶或者25kg包装袋盛装。</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运输</w:t>
      </w:r>
    </w:p>
    <w:p>
      <w:pPr>
        <w:pStyle w:val="30"/>
        <w:widowControl/>
        <w:spacing w:before="156" w:beforeLines="50" w:after="156" w:afterLines="50"/>
        <w:ind w:firstLine="420" w:firstLineChars="200"/>
        <w:jc w:val="left"/>
        <w:outlineLvl w:val="2"/>
        <w:rPr>
          <w:rFonts w:hint="eastAsia" w:cs="Times New Roman"/>
          <w:sz w:val="21"/>
          <w:szCs w:val="21"/>
          <w:highlight w:val="none"/>
          <w:lang w:val="en-US" w:eastAsia="zh-CN" w:bidi="ar-SA"/>
        </w:rPr>
      </w:pPr>
      <w:r>
        <w:rPr>
          <w:rFonts w:hint="eastAsia" w:cs="Times New Roman"/>
          <w:sz w:val="21"/>
          <w:szCs w:val="21"/>
          <w:highlight w:val="none"/>
          <w:lang w:val="en-US" w:eastAsia="zh-CN" w:bidi="ar-SA"/>
        </w:rPr>
        <w:t>产品应轻装轻卸，避免剧烈震动、撞击。</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贮存</w:t>
      </w:r>
    </w:p>
    <w:p>
      <w:pPr>
        <w:pStyle w:val="30"/>
        <w:widowControl/>
        <w:spacing w:before="156" w:beforeLines="50" w:after="156" w:afterLines="50"/>
        <w:ind w:firstLine="420" w:firstLineChars="200"/>
        <w:jc w:val="left"/>
        <w:outlineLvl w:val="2"/>
        <w:rPr>
          <w:rFonts w:hint="eastAsia" w:ascii="Times New Roman" w:hAnsi="Times New Roman" w:eastAsia="宋体" w:cs="Times New Roman"/>
          <w:sz w:val="21"/>
          <w:szCs w:val="21"/>
          <w:highlight w:val="none"/>
          <w:lang w:val="en-US" w:eastAsia="zh-CN" w:bidi="ar-SA"/>
        </w:rPr>
      </w:pPr>
      <w:r>
        <w:rPr>
          <w:rFonts w:hint="eastAsia" w:cs="Times New Roman"/>
          <w:sz w:val="21"/>
          <w:szCs w:val="21"/>
          <w:highlight w:val="none"/>
          <w:lang w:val="en-US" w:eastAsia="zh-CN" w:bidi="ar-SA"/>
        </w:rPr>
        <w:t>产品应贮存在阴凉、干燥、通风的洁净处</w:t>
      </w:r>
      <w:r>
        <w:rPr>
          <w:rFonts w:hint="eastAsia" w:ascii="Times New Roman" w:hAnsi="Times New Roman" w:eastAsia="宋体" w:cs="Times New Roman"/>
          <w:sz w:val="21"/>
          <w:szCs w:val="21"/>
          <w:highlight w:val="none"/>
          <w:lang w:val="en-US" w:eastAsia="zh-CN" w:bidi="ar-SA"/>
        </w:rPr>
        <w:t>。</w:t>
      </w:r>
    </w:p>
    <w:p>
      <w:pPr>
        <w:pStyle w:val="54"/>
        <w:ind w:left="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保质期</w:t>
      </w:r>
    </w:p>
    <w:p>
      <w:pPr>
        <w:pStyle w:val="30"/>
        <w:widowControl/>
        <w:spacing w:before="156" w:beforeLines="50" w:after="156" w:afterLines="50"/>
        <w:ind w:firstLine="420" w:firstLineChars="200"/>
        <w:jc w:val="left"/>
        <w:outlineLvl w:val="2"/>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产品包装完整、未经启封且符合规定的运输和贮存条件下，保质期按销售包装标注执行。</w:t>
      </w:r>
    </w:p>
    <w:p>
      <w:pPr>
        <w:rPr>
          <w:rFonts w:eastAsia="黑体"/>
        </w:rPr>
      </w:pPr>
      <w:r>
        <w:rPr>
          <w:rFonts w:eastAsia="黑体"/>
        </w:rPr>
        <w:br w:type="page"/>
      </w:r>
    </w:p>
    <w:p>
      <w:pPr>
        <w:spacing w:line="360" w:lineRule="auto"/>
        <w:ind w:firstLine="420" w:firstLineChars="200"/>
        <w:jc w:val="center"/>
        <w:outlineLvl w:val="0"/>
        <w:rPr>
          <w:rFonts w:hint="default" w:ascii="Times New Roman" w:hAnsi="Times New Roman" w:eastAsia="黑体" w:cs="Times New Roman"/>
          <w:szCs w:val="21"/>
        </w:rPr>
      </w:pPr>
      <w:r>
        <w:rPr>
          <w:rFonts w:hint="default" w:ascii="Times New Roman" w:hAnsi="Times New Roman" w:eastAsia="黑体" w:cs="Times New Roman"/>
        </w:rPr>
        <w:t>附  录  A</w:t>
      </w:r>
    </w:p>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w:t>
      </w:r>
      <w:r>
        <w:rPr>
          <w:rFonts w:hint="default" w:ascii="Times New Roman" w:hAnsi="Times New Roman" w:eastAsia="黑体" w:cs="Times New Roman"/>
          <w:lang w:val="en-US" w:eastAsia="zh-CN"/>
        </w:rPr>
        <w:t>资料</w:t>
      </w:r>
      <w:r>
        <w:rPr>
          <w:rFonts w:hint="default" w:ascii="Times New Roman" w:hAnsi="Times New Roman" w:eastAsia="黑体" w:cs="Times New Roman"/>
        </w:rPr>
        <w:t>性）</w:t>
      </w:r>
    </w:p>
    <w:p>
      <w:pPr>
        <w:spacing w:line="360" w:lineRule="auto"/>
        <w:ind w:firstLine="420" w:firstLineChars="200"/>
        <w:jc w:val="center"/>
        <w:rPr>
          <w:rFonts w:hint="default" w:ascii="Times New Roman" w:hAnsi="Times New Roman" w:eastAsia="黑体" w:cs="Times New Roman"/>
        </w:rPr>
      </w:pPr>
      <w:r>
        <w:rPr>
          <w:rFonts w:hint="default" w:ascii="Times New Roman" w:hAnsi="Times New Roman" w:eastAsia="黑体" w:cs="Times New Roman"/>
        </w:rPr>
        <w:t>铁离子浓度分析</w:t>
      </w:r>
    </w:p>
    <w:p>
      <w:pPr>
        <w:pStyle w:val="30"/>
        <w:widowControl/>
        <w:numPr>
          <w:ilvl w:val="0"/>
          <w:numId w:val="18"/>
        </w:numPr>
        <w:tabs>
          <w:tab w:val="left" w:pos="0"/>
        </w:tabs>
        <w:spacing w:before="156" w:beforeLines="50" w:after="156" w:afterLines="50"/>
        <w:jc w:val="left"/>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实验原理</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磺基水杨酸与Fe</w:t>
      </w:r>
      <w:r>
        <w:rPr>
          <w:rFonts w:hint="default" w:ascii="Times New Roman" w:hAnsi="Times New Roman" w:cs="Times New Roman"/>
          <w:sz w:val="21"/>
          <w:szCs w:val="21"/>
          <w:highlight w:val="none"/>
          <w:vertAlign w:val="superscript"/>
          <w:lang w:val="en-US" w:eastAsia="zh-CN" w:bidi="ar-SA"/>
        </w:rPr>
        <w:t>3+</w:t>
      </w:r>
      <w:r>
        <w:rPr>
          <w:rFonts w:hint="default" w:ascii="Times New Roman" w:hAnsi="Times New Roman" w:cs="Times New Roman"/>
          <w:sz w:val="21"/>
          <w:szCs w:val="21"/>
          <w:highlight w:val="none"/>
          <w:lang w:val="en-US" w:eastAsia="zh-CN" w:bidi="ar-SA"/>
        </w:rPr>
        <w:t>在pH为8-10时生产黄色络合物，采用分光光度法，在423nm处测定体系吸光度，测定络合铁类脱硫剂中络合铁的质量浓度。</w:t>
      </w:r>
    </w:p>
    <w:p>
      <w:pPr>
        <w:pStyle w:val="30"/>
        <w:widowControl/>
        <w:numPr>
          <w:ilvl w:val="0"/>
          <w:numId w:val="18"/>
        </w:numPr>
        <w:tabs>
          <w:tab w:val="left" w:pos="0"/>
        </w:tabs>
        <w:spacing w:before="156" w:beforeLines="50" w:after="156" w:afterLines="50"/>
        <w:jc w:val="left"/>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试剂与仪器</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试剂</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a）三氯化铁：分析纯，99%；</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b）磺基水杨酸：分析纯，99%；</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c）氢氧化氨：分析纯，25%~28%。</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仪器</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a）721型分光光度计或723；</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b）pH酸度计。</w:t>
      </w:r>
    </w:p>
    <w:p>
      <w:pPr>
        <w:pStyle w:val="30"/>
        <w:widowControl/>
        <w:numPr>
          <w:ilvl w:val="0"/>
          <w:numId w:val="18"/>
        </w:numPr>
        <w:tabs>
          <w:tab w:val="left" w:pos="0"/>
        </w:tabs>
        <w:spacing w:before="156" w:beforeLines="50" w:after="156" w:afterLines="50"/>
        <w:jc w:val="left"/>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实验步骤</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Fe3+标准溶液贮备液准确称取0.2415g三氯化铁（含6个结晶水），充分溶解后移入500mL容量瓶中，稀释至刻线，此溶液铁离子含量为100μg/mL。</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磺基水杨酸贮备液</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称取20g磺基水杨酸于 80mL 蒸馏水中，准确配制浓度为 20%的磺基水杨酸溶液待用。</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标准曲线溶液的配</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分别取0mL、2mL、2.5mL、3mL、3.5mL、4mL铁标准溶液于100mL容量瓶中，加入适量水稀释。然后向6个样中分别加入20%的磺基水杨酸溶液10mL，用1:1氢氧化氨中和至溶液由紫红色变为黄色并过量4mL，用蒸馏水稀释至刻度，摇匀。将6个样品分别标为0~5号标准样，其中0号样为空白样，作为参比值，分别测定其吸光度并绘出标准曲线。</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空白试验</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用 50mL 纯水代替试样，添加相同的处理，进行空白试验。</w:t>
      </w:r>
    </w:p>
    <w:p>
      <w:pPr>
        <w:pStyle w:val="30"/>
        <w:keepNext w:val="0"/>
        <w:keepLines w:val="0"/>
        <w:pageBreakBefore w:val="0"/>
        <w:widowControl/>
        <w:numPr>
          <w:ilvl w:val="1"/>
          <w:numId w:val="18"/>
        </w:numPr>
        <w:kinsoku/>
        <w:wordWrap/>
        <w:overflowPunct/>
        <w:topLinePunct w:val="0"/>
        <w:autoSpaceDE/>
        <w:autoSpaceDN/>
        <w:bidi w:val="0"/>
        <w:adjustRightInd/>
        <w:snapToGrid/>
        <w:spacing w:before="156" w:beforeLines="50" w:after="156" w:afterLines="50"/>
        <w:ind w:left="0" w:leftChars="0" w:firstLine="0" w:firstLineChars="0"/>
        <w:jc w:val="left"/>
        <w:textAlignment w:val="auto"/>
        <w:outlineLvl w:val="2"/>
        <w:rPr>
          <w:rFonts w:hint="default" w:ascii="Times New Roman" w:hAnsi="Times New Roman" w:cs="Times New Roman"/>
          <w:kern w:val="0"/>
          <w:sz w:val="21"/>
          <w:szCs w:val="21"/>
          <w:lang w:val="en-US" w:eastAsia="zh-CN" w:bidi="ar"/>
        </w:rPr>
      </w:pPr>
      <w:r>
        <w:rPr>
          <w:rFonts w:hint="default" w:ascii="Times New Roman" w:hAnsi="Times New Roman" w:cs="Times New Roman"/>
          <w:kern w:val="0"/>
          <w:sz w:val="21"/>
          <w:szCs w:val="21"/>
          <w:lang w:val="en-US" w:eastAsia="zh-CN" w:bidi="ar"/>
        </w:rPr>
        <w:t>测定</w:t>
      </w:r>
    </w:p>
    <w:p>
      <w:pPr>
        <w:pStyle w:val="30"/>
        <w:widowControl/>
        <w:spacing w:before="156" w:beforeLines="50" w:after="156" w:afterLines="50"/>
        <w:ind w:firstLine="420" w:firstLineChars="200"/>
        <w:jc w:val="left"/>
        <w:outlineLvl w:val="2"/>
        <w:rPr>
          <w:rFonts w:hint="default" w:ascii="Times New Roman" w:hAnsi="Times New Roman" w:cs="Times New Roman"/>
          <w:sz w:val="21"/>
          <w:szCs w:val="21"/>
          <w:highlight w:val="none"/>
          <w:lang w:val="en-US" w:eastAsia="zh-CN" w:bidi="ar-SA"/>
        </w:rPr>
      </w:pPr>
      <w:r>
        <w:rPr>
          <w:rFonts w:hint="default" w:ascii="Times New Roman" w:hAnsi="Times New Roman" w:cs="Times New Roman"/>
          <w:sz w:val="21"/>
          <w:szCs w:val="21"/>
          <w:highlight w:val="none"/>
          <w:lang w:val="en-US" w:eastAsia="zh-CN" w:bidi="ar-SA"/>
        </w:rPr>
        <w:t>取适量的络合铁类脱硫剂，置于100mL容量瓶中，加入适量水稀释，再加入20%的磺基水杨酸溶液10mL，用1:1氢氧化氨中和至溶液由紫红色变为黄色并过量4mL，用蒸馏水稀释至刻度，摇匀。在423nm波长处，用3cm比色皿，用水做参比，测定吸光度，扣除空白试验测得的吸光度，从标准曲线上查的络合铁的含量。</w:t>
      </w:r>
    </w:p>
    <w:p>
      <w:pPr>
        <w:rPr>
          <w:kern w:val="0"/>
          <w:szCs w:val="20"/>
          <w:highlight w:val="yellow"/>
        </w:rPr>
      </w:pPr>
      <w:r>
        <w:rPr>
          <w:kern w:val="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60288;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footerReference r:id="rId8"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777954"/>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color w:val="000000"/>
      </w:rPr>
    </w:pPr>
    <w:r>
      <w:t>T/SSEA XXXX-</w:t>
    </w:r>
    <w:r>
      <w:rPr>
        <w:rFonts w:hint="eastAsia"/>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5EF53"/>
    <w:multiLevelType w:val="multilevel"/>
    <w:tmpl w:val="9A35EF53"/>
    <w:lvl w:ilvl="0" w:tentative="0">
      <w:start w:val="1"/>
      <w:numFmt w:val="decimal"/>
      <w:suff w:val="nothing"/>
      <w:lvlText w:val="A.%1　"/>
      <w:lvlJc w:val="left"/>
      <w:pPr>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tabs>
          <w:tab w:val="left" w:pos="0"/>
        </w:tabs>
        <w:ind w:left="2552"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A.%1.%2.%3　"/>
      <w:lvlJc w:val="left"/>
      <w:pPr>
        <w:ind w:left="710" w:firstLine="0"/>
      </w:pPr>
      <w:rPr>
        <w:rFonts w:hint="default" w:ascii="宋体" w:hAnsi="宋体" w:eastAsia="宋体" w:cs="宋体"/>
        <w:b w:val="0"/>
        <w:i w:val="0"/>
        <w:sz w:val="21"/>
        <w:szCs w:val="21"/>
      </w:rPr>
    </w:lvl>
    <w:lvl w:ilvl="3" w:tentative="0">
      <w:start w:val="1"/>
      <w:numFmt w:val="decimal"/>
      <w:suff w:val="nothing"/>
      <w:lvlText w:val="A.%1.%2.%3.%4　"/>
      <w:lvlJc w:val="left"/>
      <w:pPr>
        <w:ind w:left="-84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A.%1.%2.%3.%4.%5.%6　"/>
      <w:lvlJc w:val="left"/>
      <w:pPr>
        <w:ind w:left="0" w:firstLine="0"/>
      </w:pPr>
      <w:rPr>
        <w:rFonts w:hint="default" w:ascii="宋体" w:hAnsi="宋体" w:eastAsia="宋体" w:cs="宋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5953"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567" w:firstLine="0"/>
      </w:pPr>
      <w:rPr>
        <w:rFonts w:hint="default" w:ascii="Times New Roman" w:hAnsi="Times New Roman" w:eastAsia="黑体" w:cs="Times New Roman"/>
        <w:b w:val="0"/>
        <w:i w:val="0"/>
        <w:sz w:val="21"/>
        <w:szCs w:val="21"/>
        <w:highlight w:val="none"/>
      </w:rPr>
    </w:lvl>
    <w:lvl w:ilvl="3" w:tentative="0">
      <w:start w:val="1"/>
      <w:numFmt w:val="decimal"/>
      <w:pStyle w:val="78"/>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4"/>
  </w:num>
  <w:num w:numId="3">
    <w:abstractNumId w:val="6"/>
  </w:num>
  <w:num w:numId="4">
    <w:abstractNumId w:val="2"/>
  </w:num>
  <w:num w:numId="5">
    <w:abstractNumId w:val="8"/>
  </w:num>
  <w:num w:numId="6">
    <w:abstractNumId w:val="13"/>
  </w:num>
  <w:num w:numId="7">
    <w:abstractNumId w:val="15"/>
  </w:num>
  <w:num w:numId="8">
    <w:abstractNumId w:val="11"/>
  </w:num>
  <w:num w:numId="9">
    <w:abstractNumId w:val="12"/>
  </w:num>
  <w:num w:numId="10">
    <w:abstractNumId w:val="10"/>
  </w:num>
  <w:num w:numId="11">
    <w:abstractNumId w:val="14"/>
  </w:num>
  <w:num w:numId="12">
    <w:abstractNumId w:val="17"/>
  </w:num>
  <w:num w:numId="13">
    <w:abstractNumId w:val="16"/>
  </w:num>
  <w:num w:numId="14">
    <w:abstractNumId w:val="7"/>
  </w:num>
  <w:num w:numId="15">
    <w:abstractNumId w:val="3"/>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WU2ZmQzMTQzOGI5YWRkZjI1NjkxYTMwMWY0M2QifQ=="/>
  </w:docVars>
  <w:rsids>
    <w:rsidRoot w:val="00172A27"/>
    <w:rsid w:val="00000244"/>
    <w:rsid w:val="0000185F"/>
    <w:rsid w:val="0000377A"/>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2078"/>
    <w:rsid w:val="00045C9B"/>
    <w:rsid w:val="000466F7"/>
    <w:rsid w:val="00055534"/>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07602"/>
    <w:rsid w:val="00111863"/>
    <w:rsid w:val="001124C0"/>
    <w:rsid w:val="00125647"/>
    <w:rsid w:val="001278EF"/>
    <w:rsid w:val="0013175F"/>
    <w:rsid w:val="001512B4"/>
    <w:rsid w:val="00152179"/>
    <w:rsid w:val="00156D41"/>
    <w:rsid w:val="0016056B"/>
    <w:rsid w:val="001620A5"/>
    <w:rsid w:val="00164E53"/>
    <w:rsid w:val="0016699D"/>
    <w:rsid w:val="0016789C"/>
    <w:rsid w:val="00167AF6"/>
    <w:rsid w:val="001701E9"/>
    <w:rsid w:val="00170F6D"/>
    <w:rsid w:val="0017259F"/>
    <w:rsid w:val="00172A27"/>
    <w:rsid w:val="00175159"/>
    <w:rsid w:val="00176208"/>
    <w:rsid w:val="0018211B"/>
    <w:rsid w:val="00182D67"/>
    <w:rsid w:val="001830E2"/>
    <w:rsid w:val="001840D3"/>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59EA"/>
    <w:rsid w:val="001D406C"/>
    <w:rsid w:val="001D41EE"/>
    <w:rsid w:val="001E0380"/>
    <w:rsid w:val="001E13B1"/>
    <w:rsid w:val="001E55B7"/>
    <w:rsid w:val="001E69DB"/>
    <w:rsid w:val="001F22E7"/>
    <w:rsid w:val="001F3A19"/>
    <w:rsid w:val="00210BFB"/>
    <w:rsid w:val="002120CE"/>
    <w:rsid w:val="0022046A"/>
    <w:rsid w:val="00220F92"/>
    <w:rsid w:val="00231142"/>
    <w:rsid w:val="00231970"/>
    <w:rsid w:val="002332A1"/>
    <w:rsid w:val="0023428E"/>
    <w:rsid w:val="00234467"/>
    <w:rsid w:val="00237D8D"/>
    <w:rsid w:val="00240FE6"/>
    <w:rsid w:val="00241DA2"/>
    <w:rsid w:val="00245B95"/>
    <w:rsid w:val="00247FEE"/>
    <w:rsid w:val="00250E7D"/>
    <w:rsid w:val="002565D5"/>
    <w:rsid w:val="00257449"/>
    <w:rsid w:val="00257C39"/>
    <w:rsid w:val="002622C0"/>
    <w:rsid w:val="00262D2E"/>
    <w:rsid w:val="002665C3"/>
    <w:rsid w:val="00276B08"/>
    <w:rsid w:val="002778AE"/>
    <w:rsid w:val="00281919"/>
    <w:rsid w:val="002824CB"/>
    <w:rsid w:val="0028269A"/>
    <w:rsid w:val="00283590"/>
    <w:rsid w:val="00286973"/>
    <w:rsid w:val="002904AF"/>
    <w:rsid w:val="00290F60"/>
    <w:rsid w:val="00292E83"/>
    <w:rsid w:val="00294E70"/>
    <w:rsid w:val="00295B84"/>
    <w:rsid w:val="00296FB8"/>
    <w:rsid w:val="0029702A"/>
    <w:rsid w:val="002A06B3"/>
    <w:rsid w:val="002A1924"/>
    <w:rsid w:val="002A7420"/>
    <w:rsid w:val="002B0F12"/>
    <w:rsid w:val="002B1308"/>
    <w:rsid w:val="002B4554"/>
    <w:rsid w:val="002C2696"/>
    <w:rsid w:val="002C42FF"/>
    <w:rsid w:val="002C72D8"/>
    <w:rsid w:val="002D11FA"/>
    <w:rsid w:val="002D47DF"/>
    <w:rsid w:val="002D6AF5"/>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7A8A"/>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F39D9"/>
    <w:rsid w:val="003F4EE0"/>
    <w:rsid w:val="004009E5"/>
    <w:rsid w:val="00400C28"/>
    <w:rsid w:val="00402153"/>
    <w:rsid w:val="00402FC1"/>
    <w:rsid w:val="0040593D"/>
    <w:rsid w:val="004134DD"/>
    <w:rsid w:val="00413E75"/>
    <w:rsid w:val="00415CE8"/>
    <w:rsid w:val="004166CD"/>
    <w:rsid w:val="0041793A"/>
    <w:rsid w:val="00423779"/>
    <w:rsid w:val="004239C2"/>
    <w:rsid w:val="00423DBC"/>
    <w:rsid w:val="00425082"/>
    <w:rsid w:val="00431DEB"/>
    <w:rsid w:val="00446B29"/>
    <w:rsid w:val="004500A5"/>
    <w:rsid w:val="00453F9A"/>
    <w:rsid w:val="0045659F"/>
    <w:rsid w:val="00462311"/>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26C90"/>
    <w:rsid w:val="00534C02"/>
    <w:rsid w:val="00534D29"/>
    <w:rsid w:val="00534EC9"/>
    <w:rsid w:val="0053668C"/>
    <w:rsid w:val="0054264B"/>
    <w:rsid w:val="00543786"/>
    <w:rsid w:val="00550AC2"/>
    <w:rsid w:val="005521BC"/>
    <w:rsid w:val="005533D7"/>
    <w:rsid w:val="005703DE"/>
    <w:rsid w:val="00575169"/>
    <w:rsid w:val="005828EB"/>
    <w:rsid w:val="0058464E"/>
    <w:rsid w:val="00587FD0"/>
    <w:rsid w:val="00592C13"/>
    <w:rsid w:val="0059333D"/>
    <w:rsid w:val="00594AEB"/>
    <w:rsid w:val="005A01CB"/>
    <w:rsid w:val="005A58FF"/>
    <w:rsid w:val="005A5EAF"/>
    <w:rsid w:val="005A64C0"/>
    <w:rsid w:val="005B0682"/>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105"/>
    <w:rsid w:val="005E6661"/>
    <w:rsid w:val="005E71F4"/>
    <w:rsid w:val="005F1913"/>
    <w:rsid w:val="005F2504"/>
    <w:rsid w:val="005F350E"/>
    <w:rsid w:val="005F7EFC"/>
    <w:rsid w:val="00603CAD"/>
    <w:rsid w:val="0061716C"/>
    <w:rsid w:val="006243A1"/>
    <w:rsid w:val="0062500E"/>
    <w:rsid w:val="0063099E"/>
    <w:rsid w:val="0063111E"/>
    <w:rsid w:val="00632E56"/>
    <w:rsid w:val="00635CBA"/>
    <w:rsid w:val="006409FF"/>
    <w:rsid w:val="00641A9B"/>
    <w:rsid w:val="00641C62"/>
    <w:rsid w:val="006423A6"/>
    <w:rsid w:val="0064338B"/>
    <w:rsid w:val="00646542"/>
    <w:rsid w:val="00646A44"/>
    <w:rsid w:val="00646A5E"/>
    <w:rsid w:val="006471BF"/>
    <w:rsid w:val="006504F4"/>
    <w:rsid w:val="00651D37"/>
    <w:rsid w:val="00652A8E"/>
    <w:rsid w:val="00652D81"/>
    <w:rsid w:val="00654BC9"/>
    <w:rsid w:val="006552FD"/>
    <w:rsid w:val="006554A5"/>
    <w:rsid w:val="00663AF3"/>
    <w:rsid w:val="00666B6C"/>
    <w:rsid w:val="006721D1"/>
    <w:rsid w:val="00676D9C"/>
    <w:rsid w:val="0067773B"/>
    <w:rsid w:val="00682682"/>
    <w:rsid w:val="00682702"/>
    <w:rsid w:val="006862EB"/>
    <w:rsid w:val="00692368"/>
    <w:rsid w:val="00692D89"/>
    <w:rsid w:val="006A2EBC"/>
    <w:rsid w:val="006A5EA0"/>
    <w:rsid w:val="006A70C5"/>
    <w:rsid w:val="006A783B"/>
    <w:rsid w:val="006A7AEB"/>
    <w:rsid w:val="006A7B33"/>
    <w:rsid w:val="006B0009"/>
    <w:rsid w:val="006B4E13"/>
    <w:rsid w:val="006B75DD"/>
    <w:rsid w:val="006C3EC4"/>
    <w:rsid w:val="006C41F1"/>
    <w:rsid w:val="006C4C67"/>
    <w:rsid w:val="006C558C"/>
    <w:rsid w:val="006C5EC8"/>
    <w:rsid w:val="006C67E0"/>
    <w:rsid w:val="006C7ABA"/>
    <w:rsid w:val="006D08F4"/>
    <w:rsid w:val="006D0D60"/>
    <w:rsid w:val="006D1122"/>
    <w:rsid w:val="006D3C00"/>
    <w:rsid w:val="006D4D2E"/>
    <w:rsid w:val="006D4D40"/>
    <w:rsid w:val="006E1903"/>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6F5"/>
    <w:rsid w:val="00727F16"/>
    <w:rsid w:val="00732949"/>
    <w:rsid w:val="007410DC"/>
    <w:rsid w:val="007419C3"/>
    <w:rsid w:val="00743B4A"/>
    <w:rsid w:val="007467A7"/>
    <w:rsid w:val="007469DD"/>
    <w:rsid w:val="00746B3C"/>
    <w:rsid w:val="00747275"/>
    <w:rsid w:val="0074741B"/>
    <w:rsid w:val="0074759E"/>
    <w:rsid w:val="007478EA"/>
    <w:rsid w:val="00750DC8"/>
    <w:rsid w:val="00753E0E"/>
    <w:rsid w:val="0075415C"/>
    <w:rsid w:val="007567F4"/>
    <w:rsid w:val="00763502"/>
    <w:rsid w:val="00764C9D"/>
    <w:rsid w:val="00765463"/>
    <w:rsid w:val="00767D83"/>
    <w:rsid w:val="00774E9B"/>
    <w:rsid w:val="00776E00"/>
    <w:rsid w:val="00777400"/>
    <w:rsid w:val="00777C1C"/>
    <w:rsid w:val="00781926"/>
    <w:rsid w:val="007848C5"/>
    <w:rsid w:val="00784DB9"/>
    <w:rsid w:val="007913AB"/>
    <w:rsid w:val="007914F7"/>
    <w:rsid w:val="0079230D"/>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21D1"/>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024D"/>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73E"/>
    <w:rsid w:val="00877910"/>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D8B"/>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37569"/>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0B67"/>
    <w:rsid w:val="00994E8F"/>
    <w:rsid w:val="009951DC"/>
    <w:rsid w:val="009959BB"/>
    <w:rsid w:val="00996669"/>
    <w:rsid w:val="00997158"/>
    <w:rsid w:val="009A3A7C"/>
    <w:rsid w:val="009A65E2"/>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71A9"/>
    <w:rsid w:val="00A6730D"/>
    <w:rsid w:val="00A6746D"/>
    <w:rsid w:val="00A71625"/>
    <w:rsid w:val="00A71B9B"/>
    <w:rsid w:val="00A751C7"/>
    <w:rsid w:val="00A77851"/>
    <w:rsid w:val="00A80C88"/>
    <w:rsid w:val="00A828DE"/>
    <w:rsid w:val="00A8492D"/>
    <w:rsid w:val="00A87844"/>
    <w:rsid w:val="00A9269C"/>
    <w:rsid w:val="00A92ADF"/>
    <w:rsid w:val="00A94C41"/>
    <w:rsid w:val="00AA038C"/>
    <w:rsid w:val="00AA1737"/>
    <w:rsid w:val="00AA296A"/>
    <w:rsid w:val="00AA5EC2"/>
    <w:rsid w:val="00AA7A09"/>
    <w:rsid w:val="00AB2498"/>
    <w:rsid w:val="00AB2D90"/>
    <w:rsid w:val="00AB3B50"/>
    <w:rsid w:val="00AB3C6A"/>
    <w:rsid w:val="00AC05B1"/>
    <w:rsid w:val="00AC6F5A"/>
    <w:rsid w:val="00AD1C43"/>
    <w:rsid w:val="00AD356C"/>
    <w:rsid w:val="00AD6C43"/>
    <w:rsid w:val="00AE2914"/>
    <w:rsid w:val="00AE42A9"/>
    <w:rsid w:val="00AE6D15"/>
    <w:rsid w:val="00AE7BBA"/>
    <w:rsid w:val="00AF4D12"/>
    <w:rsid w:val="00AF5F62"/>
    <w:rsid w:val="00B01D5B"/>
    <w:rsid w:val="00B01FF6"/>
    <w:rsid w:val="00B04182"/>
    <w:rsid w:val="00B07AE3"/>
    <w:rsid w:val="00B11430"/>
    <w:rsid w:val="00B157F4"/>
    <w:rsid w:val="00B3081E"/>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B65EB"/>
    <w:rsid w:val="00BC18E2"/>
    <w:rsid w:val="00BD00D3"/>
    <w:rsid w:val="00BD1659"/>
    <w:rsid w:val="00BD3AA9"/>
    <w:rsid w:val="00BD4A18"/>
    <w:rsid w:val="00BD6DB2"/>
    <w:rsid w:val="00BE042B"/>
    <w:rsid w:val="00BE11CF"/>
    <w:rsid w:val="00BE21AB"/>
    <w:rsid w:val="00BE2E40"/>
    <w:rsid w:val="00BE4E0E"/>
    <w:rsid w:val="00BE55CB"/>
    <w:rsid w:val="00BF101B"/>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368A9"/>
    <w:rsid w:val="00C4095D"/>
    <w:rsid w:val="00C446D1"/>
    <w:rsid w:val="00C458E9"/>
    <w:rsid w:val="00C45A5A"/>
    <w:rsid w:val="00C50805"/>
    <w:rsid w:val="00C50BA5"/>
    <w:rsid w:val="00C543C0"/>
    <w:rsid w:val="00C55F2B"/>
    <w:rsid w:val="00C56DF0"/>
    <w:rsid w:val="00C601D2"/>
    <w:rsid w:val="00C613DE"/>
    <w:rsid w:val="00C61CA0"/>
    <w:rsid w:val="00C636F9"/>
    <w:rsid w:val="00C657AB"/>
    <w:rsid w:val="00C65BCC"/>
    <w:rsid w:val="00C66970"/>
    <w:rsid w:val="00C67EE6"/>
    <w:rsid w:val="00C71397"/>
    <w:rsid w:val="00C73BC7"/>
    <w:rsid w:val="00C7467B"/>
    <w:rsid w:val="00C7740A"/>
    <w:rsid w:val="00C778A9"/>
    <w:rsid w:val="00C8585D"/>
    <w:rsid w:val="00C8691C"/>
    <w:rsid w:val="00C86A9E"/>
    <w:rsid w:val="00C90606"/>
    <w:rsid w:val="00C95B40"/>
    <w:rsid w:val="00CA168A"/>
    <w:rsid w:val="00CA2A1D"/>
    <w:rsid w:val="00CA34B5"/>
    <w:rsid w:val="00CA357E"/>
    <w:rsid w:val="00CA4088"/>
    <w:rsid w:val="00CA44F9"/>
    <w:rsid w:val="00CA4A69"/>
    <w:rsid w:val="00CA7857"/>
    <w:rsid w:val="00CB2D67"/>
    <w:rsid w:val="00CC3E0C"/>
    <w:rsid w:val="00CC58D3"/>
    <w:rsid w:val="00CC784D"/>
    <w:rsid w:val="00CC7E72"/>
    <w:rsid w:val="00CD08A9"/>
    <w:rsid w:val="00CD10D1"/>
    <w:rsid w:val="00CD1342"/>
    <w:rsid w:val="00CD2F47"/>
    <w:rsid w:val="00CD6628"/>
    <w:rsid w:val="00CD6B91"/>
    <w:rsid w:val="00CE107C"/>
    <w:rsid w:val="00CE2006"/>
    <w:rsid w:val="00CE51F5"/>
    <w:rsid w:val="00CE51F7"/>
    <w:rsid w:val="00CF15CF"/>
    <w:rsid w:val="00CF1A06"/>
    <w:rsid w:val="00CF29DE"/>
    <w:rsid w:val="00D0337B"/>
    <w:rsid w:val="00D0412E"/>
    <w:rsid w:val="00D04F64"/>
    <w:rsid w:val="00D05B87"/>
    <w:rsid w:val="00D079B2"/>
    <w:rsid w:val="00D114E9"/>
    <w:rsid w:val="00D11A67"/>
    <w:rsid w:val="00D11FDA"/>
    <w:rsid w:val="00D12894"/>
    <w:rsid w:val="00D13087"/>
    <w:rsid w:val="00D2393C"/>
    <w:rsid w:val="00D242F8"/>
    <w:rsid w:val="00D25665"/>
    <w:rsid w:val="00D36516"/>
    <w:rsid w:val="00D37A4C"/>
    <w:rsid w:val="00D41BB5"/>
    <w:rsid w:val="00D429C6"/>
    <w:rsid w:val="00D45385"/>
    <w:rsid w:val="00D45825"/>
    <w:rsid w:val="00D47748"/>
    <w:rsid w:val="00D54CC3"/>
    <w:rsid w:val="00D567B0"/>
    <w:rsid w:val="00D6041A"/>
    <w:rsid w:val="00D633EB"/>
    <w:rsid w:val="00D71C2B"/>
    <w:rsid w:val="00D72991"/>
    <w:rsid w:val="00D77C58"/>
    <w:rsid w:val="00D827AB"/>
    <w:rsid w:val="00D82FF7"/>
    <w:rsid w:val="00D83842"/>
    <w:rsid w:val="00D847FE"/>
    <w:rsid w:val="00D85F8E"/>
    <w:rsid w:val="00D86EC2"/>
    <w:rsid w:val="00D9561C"/>
    <w:rsid w:val="00D964EA"/>
    <w:rsid w:val="00D966D0"/>
    <w:rsid w:val="00DA0C59"/>
    <w:rsid w:val="00DA1E1B"/>
    <w:rsid w:val="00DA3991"/>
    <w:rsid w:val="00DA3A00"/>
    <w:rsid w:val="00DB1642"/>
    <w:rsid w:val="00DB5F1D"/>
    <w:rsid w:val="00DB7566"/>
    <w:rsid w:val="00DB7E6C"/>
    <w:rsid w:val="00DC1267"/>
    <w:rsid w:val="00DC3B61"/>
    <w:rsid w:val="00DC6475"/>
    <w:rsid w:val="00DC68C1"/>
    <w:rsid w:val="00DD5A29"/>
    <w:rsid w:val="00DD5D9D"/>
    <w:rsid w:val="00DD62AF"/>
    <w:rsid w:val="00DE1E8C"/>
    <w:rsid w:val="00DE35CB"/>
    <w:rsid w:val="00DE3CC6"/>
    <w:rsid w:val="00DE3E01"/>
    <w:rsid w:val="00DE54C0"/>
    <w:rsid w:val="00DF1769"/>
    <w:rsid w:val="00DF21E9"/>
    <w:rsid w:val="00DF3835"/>
    <w:rsid w:val="00DF4689"/>
    <w:rsid w:val="00DF7839"/>
    <w:rsid w:val="00E00F14"/>
    <w:rsid w:val="00E014DB"/>
    <w:rsid w:val="00E01E2C"/>
    <w:rsid w:val="00E06386"/>
    <w:rsid w:val="00E06724"/>
    <w:rsid w:val="00E1121D"/>
    <w:rsid w:val="00E12991"/>
    <w:rsid w:val="00E13AFD"/>
    <w:rsid w:val="00E24EB4"/>
    <w:rsid w:val="00E320ED"/>
    <w:rsid w:val="00E32DF6"/>
    <w:rsid w:val="00E33AFB"/>
    <w:rsid w:val="00E34218"/>
    <w:rsid w:val="00E36B6A"/>
    <w:rsid w:val="00E46282"/>
    <w:rsid w:val="00E47E10"/>
    <w:rsid w:val="00E51468"/>
    <w:rsid w:val="00E5216E"/>
    <w:rsid w:val="00E562FC"/>
    <w:rsid w:val="00E57BBB"/>
    <w:rsid w:val="00E608D9"/>
    <w:rsid w:val="00E60B84"/>
    <w:rsid w:val="00E70631"/>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19DB"/>
    <w:rsid w:val="00EF3D77"/>
    <w:rsid w:val="00EF58BA"/>
    <w:rsid w:val="00EF7629"/>
    <w:rsid w:val="00F01332"/>
    <w:rsid w:val="00F04C3F"/>
    <w:rsid w:val="00F11BB5"/>
    <w:rsid w:val="00F1417B"/>
    <w:rsid w:val="00F1787C"/>
    <w:rsid w:val="00F27FF2"/>
    <w:rsid w:val="00F34B99"/>
    <w:rsid w:val="00F37A7F"/>
    <w:rsid w:val="00F43145"/>
    <w:rsid w:val="00F510E6"/>
    <w:rsid w:val="00F52DAB"/>
    <w:rsid w:val="00F543F0"/>
    <w:rsid w:val="00F6373D"/>
    <w:rsid w:val="00F67206"/>
    <w:rsid w:val="00F72314"/>
    <w:rsid w:val="00F737AD"/>
    <w:rsid w:val="00F7488F"/>
    <w:rsid w:val="00F77AD4"/>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4823"/>
    <w:rsid w:val="00FC6358"/>
    <w:rsid w:val="00FC6C90"/>
    <w:rsid w:val="00FC73CB"/>
    <w:rsid w:val="00FD04BB"/>
    <w:rsid w:val="00FD320D"/>
    <w:rsid w:val="00FD570D"/>
    <w:rsid w:val="00FD5950"/>
    <w:rsid w:val="00FE23DE"/>
    <w:rsid w:val="00FE773B"/>
    <w:rsid w:val="01B62B99"/>
    <w:rsid w:val="01CC50FF"/>
    <w:rsid w:val="03563CE3"/>
    <w:rsid w:val="041A1188"/>
    <w:rsid w:val="04AF42EF"/>
    <w:rsid w:val="05C14567"/>
    <w:rsid w:val="05FF07B5"/>
    <w:rsid w:val="0644652B"/>
    <w:rsid w:val="08C75728"/>
    <w:rsid w:val="08E55DE7"/>
    <w:rsid w:val="0A6C5668"/>
    <w:rsid w:val="0A842761"/>
    <w:rsid w:val="0B7274F3"/>
    <w:rsid w:val="0BAC32E0"/>
    <w:rsid w:val="0C68411F"/>
    <w:rsid w:val="0C6C6950"/>
    <w:rsid w:val="0DD7773F"/>
    <w:rsid w:val="0E27175D"/>
    <w:rsid w:val="0E8D76BF"/>
    <w:rsid w:val="0F073C55"/>
    <w:rsid w:val="0F0C7D92"/>
    <w:rsid w:val="0F6945CC"/>
    <w:rsid w:val="0FCF7D15"/>
    <w:rsid w:val="114805EC"/>
    <w:rsid w:val="11F85CBA"/>
    <w:rsid w:val="12463E5D"/>
    <w:rsid w:val="128A1009"/>
    <w:rsid w:val="129A6EDF"/>
    <w:rsid w:val="134A1835"/>
    <w:rsid w:val="13794378"/>
    <w:rsid w:val="14987CE5"/>
    <w:rsid w:val="14EA2A7E"/>
    <w:rsid w:val="17176377"/>
    <w:rsid w:val="180B12B5"/>
    <w:rsid w:val="19382624"/>
    <w:rsid w:val="19A5475F"/>
    <w:rsid w:val="1AAE65BB"/>
    <w:rsid w:val="1B56145F"/>
    <w:rsid w:val="1C2A2576"/>
    <w:rsid w:val="1D781DF9"/>
    <w:rsid w:val="1EBA3B86"/>
    <w:rsid w:val="1F3E57F5"/>
    <w:rsid w:val="20236CFE"/>
    <w:rsid w:val="202E6203"/>
    <w:rsid w:val="208F11E7"/>
    <w:rsid w:val="215C14F1"/>
    <w:rsid w:val="23671F2C"/>
    <w:rsid w:val="23CA246C"/>
    <w:rsid w:val="24191DC1"/>
    <w:rsid w:val="24642242"/>
    <w:rsid w:val="24767468"/>
    <w:rsid w:val="26615569"/>
    <w:rsid w:val="26834513"/>
    <w:rsid w:val="274A5AC6"/>
    <w:rsid w:val="28752F46"/>
    <w:rsid w:val="28CA71A5"/>
    <w:rsid w:val="2AE93DA7"/>
    <w:rsid w:val="2B6D248E"/>
    <w:rsid w:val="2B8B7DC3"/>
    <w:rsid w:val="2BD650E5"/>
    <w:rsid w:val="2C2D37D2"/>
    <w:rsid w:val="2D1F1D65"/>
    <w:rsid w:val="2DAC5F75"/>
    <w:rsid w:val="2E1C1A4E"/>
    <w:rsid w:val="2E5D1AEE"/>
    <w:rsid w:val="2F062103"/>
    <w:rsid w:val="301C5852"/>
    <w:rsid w:val="31F01FE0"/>
    <w:rsid w:val="321A12C0"/>
    <w:rsid w:val="324B7B8D"/>
    <w:rsid w:val="3410010D"/>
    <w:rsid w:val="34851BA6"/>
    <w:rsid w:val="35155A35"/>
    <w:rsid w:val="35DB4005"/>
    <w:rsid w:val="369260AD"/>
    <w:rsid w:val="38675EDD"/>
    <w:rsid w:val="3871021D"/>
    <w:rsid w:val="38BA5276"/>
    <w:rsid w:val="38D26EC8"/>
    <w:rsid w:val="39CC502E"/>
    <w:rsid w:val="39DC01DA"/>
    <w:rsid w:val="3A2C035C"/>
    <w:rsid w:val="3A7466AB"/>
    <w:rsid w:val="3A8D375B"/>
    <w:rsid w:val="3AB00829"/>
    <w:rsid w:val="3C6F43DB"/>
    <w:rsid w:val="3CE2056B"/>
    <w:rsid w:val="3DDE678C"/>
    <w:rsid w:val="3E4A00F3"/>
    <w:rsid w:val="3E517F07"/>
    <w:rsid w:val="3F2C098B"/>
    <w:rsid w:val="3F615412"/>
    <w:rsid w:val="40321118"/>
    <w:rsid w:val="40540B76"/>
    <w:rsid w:val="40B51706"/>
    <w:rsid w:val="40EE303B"/>
    <w:rsid w:val="41572058"/>
    <w:rsid w:val="41695BCD"/>
    <w:rsid w:val="41B778CF"/>
    <w:rsid w:val="4234324C"/>
    <w:rsid w:val="4383564A"/>
    <w:rsid w:val="451C3C40"/>
    <w:rsid w:val="45B03890"/>
    <w:rsid w:val="45C00343"/>
    <w:rsid w:val="469C2D08"/>
    <w:rsid w:val="47932DEB"/>
    <w:rsid w:val="479D0403"/>
    <w:rsid w:val="488A12D3"/>
    <w:rsid w:val="489B5047"/>
    <w:rsid w:val="494914DD"/>
    <w:rsid w:val="49FA4C9F"/>
    <w:rsid w:val="4BE148C2"/>
    <w:rsid w:val="4DA353B5"/>
    <w:rsid w:val="4DC024C2"/>
    <w:rsid w:val="4E1C0C26"/>
    <w:rsid w:val="4F98252E"/>
    <w:rsid w:val="4FFE506F"/>
    <w:rsid w:val="512C1180"/>
    <w:rsid w:val="51A45239"/>
    <w:rsid w:val="51B63A66"/>
    <w:rsid w:val="51C508AC"/>
    <w:rsid w:val="51D33F98"/>
    <w:rsid w:val="529A51A6"/>
    <w:rsid w:val="54677F4B"/>
    <w:rsid w:val="54AB45BB"/>
    <w:rsid w:val="54FC279E"/>
    <w:rsid w:val="56963C59"/>
    <w:rsid w:val="56AA3B7A"/>
    <w:rsid w:val="56D94B3D"/>
    <w:rsid w:val="58036951"/>
    <w:rsid w:val="58094B8B"/>
    <w:rsid w:val="587614A3"/>
    <w:rsid w:val="58777528"/>
    <w:rsid w:val="595C5808"/>
    <w:rsid w:val="5AE12A2F"/>
    <w:rsid w:val="5B47245F"/>
    <w:rsid w:val="5C227DDB"/>
    <w:rsid w:val="5C366724"/>
    <w:rsid w:val="5C7A3515"/>
    <w:rsid w:val="5D5C64B2"/>
    <w:rsid w:val="5E2B2A21"/>
    <w:rsid w:val="5E3C3679"/>
    <w:rsid w:val="5E6B18C8"/>
    <w:rsid w:val="5F20741E"/>
    <w:rsid w:val="5F47332B"/>
    <w:rsid w:val="5F7B5377"/>
    <w:rsid w:val="602F098A"/>
    <w:rsid w:val="616151C6"/>
    <w:rsid w:val="616803F8"/>
    <w:rsid w:val="622E7C4D"/>
    <w:rsid w:val="62301BA8"/>
    <w:rsid w:val="624B4DA8"/>
    <w:rsid w:val="627B408D"/>
    <w:rsid w:val="645D5F22"/>
    <w:rsid w:val="64B670D4"/>
    <w:rsid w:val="651340F7"/>
    <w:rsid w:val="6568477B"/>
    <w:rsid w:val="66013CB9"/>
    <w:rsid w:val="66E7353A"/>
    <w:rsid w:val="674B0307"/>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657824"/>
    <w:rsid w:val="716E3847"/>
    <w:rsid w:val="716F1097"/>
    <w:rsid w:val="72B868C0"/>
    <w:rsid w:val="73325C18"/>
    <w:rsid w:val="742A28ED"/>
    <w:rsid w:val="767B1592"/>
    <w:rsid w:val="770807A4"/>
    <w:rsid w:val="77CA3CE3"/>
    <w:rsid w:val="77E61714"/>
    <w:rsid w:val="77EB02B8"/>
    <w:rsid w:val="78A92C80"/>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3038</Words>
  <Characters>3698</Characters>
  <Lines>31</Lines>
  <Paragraphs>8</Paragraphs>
  <TotalTime>10</TotalTime>
  <ScaleCrop>false</ScaleCrop>
  <LinksUpToDate>false</LinksUpToDate>
  <CharactersWithSpaces>3774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2023-11-27T09:05:48Z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00AA423C70D8419CA907BE3941BDA9B6_13</vt:lpwstr>
  </property>
</Properties>
</file>