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x="1590" w:y="2356"/>
        <w:shd w:val="clear" w:color="auto" w:fill="FFFFFF" w:themeFill="background1"/>
        <w:rPr>
          <w:rFonts w:ascii="Times New Roman"/>
          <w:szCs w:val="48"/>
        </w:rPr>
      </w:pPr>
      <w:bookmarkStart w:id="113" w:name="_GoBack"/>
      <w:bookmarkEnd w:id="113"/>
      <w:r>
        <w:rPr>
          <w:rFonts w:ascii="Times New Roman"/>
        </w:rPr>
        <w:t>团体标准</w:t>
      </w:r>
    </w:p>
    <w:p>
      <w:pPr>
        <w:pStyle w:val="68"/>
        <w:framePr w:x="1033" w:y="5955"/>
        <w:shd w:val="clear" w:color="auto" w:fill="FFFFFF" w:themeFill="background1"/>
        <w:rPr>
          <w:rFonts w:ascii="Times New Roman"/>
        </w:rPr>
      </w:pPr>
      <w:bookmarkStart w:id="0" w:name="OLE_LINK6"/>
      <w:bookmarkStart w:id="1" w:name="OLE_LINK53"/>
      <w:r>
        <w:rPr>
          <w:rFonts w:hint="eastAsia" w:ascii="Times New Roman"/>
        </w:rPr>
        <w:t>无磁不锈钢</w:t>
      </w:r>
      <w:r>
        <w:rPr>
          <w:rFonts w:ascii="Times New Roman"/>
        </w:rPr>
        <w:t>钢板及钢带</w:t>
      </w:r>
      <w:bookmarkEnd w:id="0"/>
    </w:p>
    <w:bookmarkEnd w:id="1"/>
    <w:p>
      <w:pPr>
        <w:pStyle w:val="66"/>
        <w:framePr w:x="1033" w:y="5955"/>
        <w:shd w:val="clear" w:color="auto" w:fill="FFFFFF" w:themeFill="background1"/>
        <w:spacing w:before="156" w:after="156"/>
        <w:rPr>
          <w:rFonts w:ascii="Times New Roman"/>
        </w:rPr>
      </w:pPr>
      <w:r>
        <w:rPr>
          <w:rFonts w:hint="eastAsia" w:ascii="Times New Roman" w:eastAsia="仿宋_GB2312"/>
        </w:rPr>
        <w:t>Non-magnetic s</w:t>
      </w:r>
      <w:r>
        <w:rPr>
          <w:rFonts w:ascii="Times New Roman" w:eastAsia="仿宋_GB2312"/>
        </w:rPr>
        <w:t xml:space="preserve">tainless steel </w:t>
      </w:r>
      <w:r>
        <w:rPr>
          <w:rFonts w:hint="eastAsia" w:ascii="Times New Roman" w:eastAsia="仿宋_GB2312"/>
        </w:rPr>
        <w:t>plate、sheet</w:t>
      </w:r>
      <w:r>
        <w:rPr>
          <w:rFonts w:ascii="Times New Roman" w:eastAsia="仿宋_GB2312"/>
        </w:rPr>
        <w:t xml:space="preserve"> and strip </w:t>
      </w:r>
    </w:p>
    <w:p>
      <w:pPr>
        <w:pStyle w:val="109"/>
        <w:framePr w:hAnchor="page" w:x="1175" w:y="14086"/>
        <w:shd w:val="clear" w:color="auto" w:fill="FFFFFF" w:themeFill="background1"/>
        <w:rPr>
          <w:rFonts w:eastAsia="宋体"/>
        </w:rPr>
      </w:pPr>
      <w:bookmarkStart w:id="2" w:name="FM"/>
      <w:r>
        <mc:AlternateContent>
          <mc:Choice Requires="wps">
            <w:drawing>
              <wp:anchor distT="0" distB="0" distL="114300" distR="114300" simplePos="0" relativeHeight="251660288" behindDoc="1" locked="0" layoutInCell="1" allowOverlap="1">
                <wp:simplePos x="0" y="0"/>
                <wp:positionH relativeFrom="column">
                  <wp:posOffset>53340</wp:posOffset>
                </wp:positionH>
                <wp:positionV relativeFrom="paragraph">
                  <wp:posOffset>385445</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4.2pt;margin-top:30.35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r8y/6dQAAAAH&#10;AQAADwAAAGRycy9kb3ducmV2LnhtbE2Oy07DMBBF90j8gzVIbCpqN5RSQiZdANmxoYDYTuMhiYjH&#10;aew+4OsxYgHL+9C9p1gdXa/2PIbOC8JsakCx1N520iC8PFcXS1AhkljqvTDCJwdYlacnBeXWH+SJ&#10;9+vYqDQiISeENsYh1zrULTsKUz+wpOzdj45ikmOj7UiHNO56nRmz0I46SQ8tDXzXcv2x3jmEUL3y&#10;tvqa1BPzdtl4zrb3jw+EeH42M7egIh/jXxl+8BM6lIlp43dig+oRlvNURFiYa1ApvplfZaA2v4Yu&#10;C/2fv/wGUEsDBBQAAAAIAIdO4kA8CvUmyQEAAJ8DAAAOAAAAZHJzL2Uyb0RvYy54bWytU8Fu2zAM&#10;vQ/YPwi6L06CpkiNOD0k6C7ZFqDdByiybAuVREFUYufvR8lJ2nWXHuaDIInk43uP8upxsIadVEAN&#10;ruKzyZQz5STU2rUV//3y9G3JGUbhamHAqYqfFfLH9dcvq96Xag4dmFoFRiAOy95XvIvRl0WBslNW&#10;4AS8chRsIFgR6Rjaog6iJ3Rrivl0el/0EGofQCpEut2OQX5BDJ8BhKbRUm1BHq1ycUQNyohIkrDT&#10;Hvk6s20aJeOvpkEVmak4KY15pSa0P6S1WK9E2QbhOy0vFMRnKHzQZIV21PQGtRVRsGPQ/0BZLQMg&#10;NHEiwRajkOwIqZhNP3jz3AmvshayGv3NdPx/sPLnaR+Yriu+4MwJSwPfaafYMjnTeywpYeP2IWmT&#10;g3v2O5CvyBxsOuFalRm+nD2VzVJF8VdJOqAn/EP/A2rKEccI2aahCTZBkgFsyNM436ahhsgkXS4e&#10;7pb3SxqUvMYKUV4LfcD4XYFlaVNxQ5wzsDjtMCYiorympD4OnrQxedjGsb7iD4v5IhcgGF2nYErD&#10;0B42JrCTSM8lf1kVRd6nBTi6emxi3EV00jk6doD6vA9XM2humc3ljaWH8f6cq9/+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8y/6dQAAAAHAQAADwAAAAAAAAABACAAAAAiAAAAZHJzL2Rvd25y&#10;ZXYueG1sUEsBAhQAFAAAAAgAh07iQDwK9SbJAQAAnwMAAA4AAAAAAAAAAQAgAAAAIwEAAGRycy9l&#10;Mm9Eb2MueG1sUEsFBgAAAAAGAAYAWQEAAF4FAAAAAA==&#10;">
                <v:fill on="f" focussize="0,0"/>
                <v:stroke color="#000000" joinstyle="round"/>
                <v:imagedata o:title=""/>
                <o:lock v:ext="edit" aspectratio="f"/>
                <w10:wrap type="tight"/>
              </v:line>
            </w:pict>
          </mc:Fallback>
        </mc:AlternateContent>
      </w:r>
      <w:r>
        <w:rPr>
          <w:rFonts w:eastAsia="宋体"/>
        </w:rPr>
        <w:t>XXXX-</w:t>
      </w:r>
      <w:bookmarkEnd w:id="2"/>
      <w:r>
        <w:rPr>
          <w:rFonts w:eastAsia="宋体"/>
        </w:rPr>
        <w:t>XX-XX</w:t>
      </w:r>
      <w:r>
        <w:t>发布</w:t>
      </w:r>
    </w:p>
    <w:p>
      <w:pPr>
        <w:pStyle w:val="140"/>
        <w:framePr w:hAnchor="page" w:x="6661" w:y="14041"/>
        <w:shd w:val="clear" w:color="auto" w:fill="FFFFFF" w:themeFill="background1"/>
      </w:pPr>
      <w:r>
        <w:rPr>
          <w:rFonts w:eastAsia="宋体"/>
        </w:rPr>
        <w:t>XXXX-XX-XX</w:t>
      </w:r>
      <w:r>
        <w:t>实施</w:t>
      </w:r>
    </w:p>
    <w:p>
      <w:pPr>
        <w:pStyle w:val="22"/>
        <w:shd w:val="clear" w:color="auto" w:fill="FFFFFF" w:themeFill="background1"/>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pPr>
        <w:pStyle w:val="22"/>
        <w:shd w:val="clear" w:color="auto" w:fill="FFFFFF" w:themeFill="background1"/>
        <w:spacing w:line="340" w:lineRule="exact"/>
        <w:rPr>
          <w:rFonts w:ascii="Times New Roman"/>
        </w:rPr>
      </w:pPr>
      <w:r>
        <w:rPr>
          <w:rFonts w:ascii="Times New Roman"/>
        </w:rPr>
        <w:t>CCS H 46</w:t>
      </w:r>
    </w:p>
    <w:p>
      <w:pPr>
        <w:pStyle w:val="22"/>
        <w:shd w:val="clear" w:color="auto" w:fill="FFFFFF" w:themeFill="background1"/>
        <w:spacing w:line="340" w:lineRule="exact"/>
        <w:rPr>
          <w:rFonts w:ascii="Times New Roman"/>
        </w:rPr>
      </w:pPr>
    </w:p>
    <w:p>
      <w:pPr>
        <w:pStyle w:val="78"/>
        <w:framePr w:h="2001" w:hRule="exact"/>
        <w:pBdr>
          <w:bottom w:val="single" w:color="auto" w:sz="4" w:space="1"/>
        </w:pBdr>
        <w:wordWrap w:val="0"/>
        <w:rPr>
          <w:rFonts w:ascii="Times New Roman" w:eastAsia="宋体"/>
        </w:rPr>
      </w:pPr>
      <w:r>
        <w:rPr>
          <w:rFonts w:ascii="Times New Roman" w:eastAsia="宋体"/>
        </w:rPr>
        <w:t xml:space="preserve">T/SSEA </w:t>
      </w:r>
      <w:r>
        <w:rPr>
          <w:rFonts w:hint="eastAsia" w:ascii="Times New Roman" w:eastAsia="宋体"/>
        </w:rPr>
        <w:t>XXXX</w:t>
      </w:r>
      <w:r>
        <w:rPr>
          <w:rFonts w:ascii="Times New Roman" w:eastAsia="宋体"/>
        </w:rPr>
        <w:t>—20</w:t>
      </w:r>
      <w:r>
        <w:rPr>
          <w:rFonts w:hint="eastAsia" w:ascii="Times New Roman" w:eastAsia="宋体"/>
        </w:rPr>
        <w:t>23</w:t>
      </w:r>
    </w:p>
    <w:p>
      <w:pPr>
        <w:pStyle w:val="78"/>
        <w:framePr w:h="2001" w:hRule="exact"/>
        <w:pBdr>
          <w:bottom w:val="single" w:color="auto" w:sz="4" w:space="1"/>
        </w:pBdr>
        <w:wordWrap w:val="0"/>
        <w:rPr>
          <w:rFonts w:ascii="Times New Roman" w:eastAsia="宋体"/>
        </w:rPr>
      </w:pPr>
      <w:r>
        <w:rPr>
          <w:rFonts w:ascii="Times New Roman" w:eastAsia="宋体"/>
        </w:rPr>
        <w:t>T/</w:t>
      </w:r>
      <w:r>
        <w:rPr>
          <w:rFonts w:hint="eastAsia" w:ascii="Times New Roman" w:eastAsia="宋体"/>
        </w:rPr>
        <w:t>CSTA XXXX</w:t>
      </w:r>
      <w:r>
        <w:rPr>
          <w:rFonts w:ascii="Times New Roman" w:eastAsia="宋体"/>
        </w:rPr>
        <w:t>—</w:t>
      </w:r>
      <w:r>
        <w:rPr>
          <w:rFonts w:hint="eastAsia" w:ascii="Times New Roman" w:eastAsia="宋体"/>
        </w:rPr>
        <w:t>2023</w:t>
      </w:r>
    </w:p>
    <w:p>
      <w:pPr>
        <w:pStyle w:val="78"/>
        <w:framePr w:h="2001" w:hRule="exact"/>
        <w:rPr>
          <w:rFonts w:ascii="Times New Roman" w:eastAsia="宋体"/>
        </w:rPr>
      </w:pPr>
    </w:p>
    <w:p>
      <w:pPr>
        <w:pStyle w:val="78"/>
        <w:framePr w:h="2001" w:hRule="exact"/>
        <w:rPr>
          <w:rFonts w:ascii="Times New Roman" w:eastAsia="宋体"/>
        </w:rPr>
      </w:pPr>
    </w:p>
    <w:p>
      <w:pPr>
        <w:shd w:val="clear" w:color="auto" w:fill="FFFFFF" w:themeFill="background1"/>
        <w:jc w:val="center"/>
        <w:rPr>
          <w:spacing w:val="20"/>
          <w:sz w:val="28"/>
          <w:szCs w:val="28"/>
        </w:rPr>
      </w:pPr>
    </w:p>
    <w:p>
      <w:pPr>
        <w:shd w:val="clear" w:color="auto" w:fill="FFFFFF" w:themeFill="background1"/>
        <w:jc w:val="center"/>
        <w:rPr>
          <w:spacing w:val="20"/>
          <w:sz w:val="28"/>
          <w:szCs w:val="28"/>
        </w:rPr>
      </w:pPr>
    </w:p>
    <w:p>
      <w:pPr>
        <w:pStyle w:val="134"/>
        <w:framePr w:w="8988" w:h="1351" w:hRule="exact" w:x="1332" w:y="14940"/>
        <w:rPr>
          <w:rFonts w:ascii="Times New Roman"/>
          <w:sz w:val="32"/>
        </w:rPr>
      </w:pPr>
      <w:r>
        <w:rPr>
          <w:rFonts w:ascii="Times New Roman"/>
          <w:sz w:val="32"/>
        </w:rPr>
        <w:t>中国特钢企业协会</w:t>
      </w:r>
    </w:p>
    <w:p>
      <w:pPr>
        <w:pStyle w:val="134"/>
        <w:framePr w:w="8988" w:h="1351" w:hRule="exact" w:x="1332" w:y="14940"/>
        <w:jc w:val="right"/>
        <w:rPr>
          <w:rFonts w:ascii="Times New Roman"/>
          <w:sz w:val="32"/>
          <w:szCs w:val="32"/>
        </w:rPr>
      </w:pPr>
      <w:r>
        <w:rPr>
          <w:rFonts w:ascii="Times New Roman"/>
          <w:sz w:val="32"/>
          <w:szCs w:val="32"/>
        </w:rPr>
        <w:t xml:space="preserve">中关村不锈及特种合金新材料   </w:t>
      </w:r>
      <w:r>
        <w:rPr>
          <w:rStyle w:val="43"/>
          <w:rFonts w:ascii="Times New Roman"/>
        </w:rPr>
        <w:t>发布</w:t>
      </w:r>
    </w:p>
    <w:p>
      <w:pPr>
        <w:pStyle w:val="134"/>
        <w:framePr w:w="8988" w:h="1351" w:hRule="exact" w:x="1332" w:y="14940"/>
        <w:rPr>
          <w:rFonts w:ascii="Times New Roman"/>
        </w:rPr>
      </w:pPr>
      <w:r>
        <w:rPr>
          <w:rFonts w:ascii="Times New Roman"/>
          <w:sz w:val="32"/>
          <w:szCs w:val="32"/>
        </w:rPr>
        <w:t>产业技术创新联盟</w:t>
      </w:r>
    </w:p>
    <w:p>
      <w:pPr>
        <w:shd w:val="clear" w:color="auto" w:fill="FFFFFF" w:themeFill="background1"/>
        <w:jc w:val="center"/>
        <w:rPr>
          <w:spacing w:val="20"/>
          <w:sz w:val="28"/>
          <w:szCs w:val="28"/>
        </w:rPr>
      </w:pPr>
    </w:p>
    <w:p>
      <w:pPr>
        <w:shd w:val="clear" w:color="auto" w:fill="FFFFFF" w:themeFill="background1"/>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themeFill="background1"/>
        <w:spacing w:before="640" w:after="560"/>
        <w:jc w:val="center"/>
        <w:outlineLvl w:val="0"/>
        <w:rPr>
          <w:rFonts w:eastAsia="黑体"/>
          <w:kern w:val="0"/>
          <w:sz w:val="32"/>
          <w:szCs w:val="20"/>
        </w:rPr>
      </w:pPr>
      <w:bookmarkStart w:id="3" w:name="_Toc520380389"/>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rPr>
      </w:pPr>
    </w:p>
    <w:p>
      <w:pPr>
        <w:shd w:val="clear" w:color="auto" w:fill="FFFFFF" w:themeFill="background1"/>
        <w:rPr>
          <w:szCs w:val="21"/>
        </w:rPr>
      </w:pPr>
      <w:r>
        <w:rPr>
          <w:szCs w:val="21"/>
        </w:rPr>
        <w:drawing>
          <wp:inline distT="0" distB="0" distL="0" distR="0">
            <wp:extent cx="809625" cy="762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hd w:val="clear" w:color="auto" w:fill="FFFFFF" w:themeFill="background1"/>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81"/>
        <w:shd w:val="clear" w:color="auto" w:fill="FFFFFF" w:themeFill="background1"/>
        <w:rPr>
          <w:rFonts w:ascii="Times New Roman"/>
        </w:rPr>
      </w:pPr>
      <w:bookmarkStart w:id="4" w:name="_Toc6605"/>
      <w:r>
        <w:rPr>
          <w:rFonts w:ascii="Times New Roman"/>
        </w:rPr>
        <w:t>前　言</w:t>
      </w:r>
      <w:bookmarkEnd w:id="3"/>
      <w:bookmarkEnd w:id="4"/>
    </w:p>
    <w:p>
      <w:pPr>
        <w:pStyle w:val="22"/>
        <w:shd w:val="clear" w:color="auto" w:fill="FFFFFF" w:themeFill="background1"/>
        <w:rPr>
          <w:rFonts w:ascii="Times New Roman"/>
        </w:rPr>
      </w:pPr>
      <w:r>
        <w:rPr>
          <w:rFonts w:ascii="Times New Roman"/>
        </w:rPr>
        <w:t>本文件按照GB/T 1.1—2020《标准化工作导则  第1部分：标准化文件的结构和起草规则》的规定起草。</w:t>
      </w:r>
    </w:p>
    <w:p>
      <w:pPr>
        <w:pStyle w:val="22"/>
        <w:shd w:val="clear" w:color="auto" w:fill="FFFFFF" w:themeFill="background1"/>
        <w:rPr>
          <w:rFonts w:ascii="Times New Roman"/>
        </w:rPr>
      </w:pPr>
      <w:r>
        <w:rPr>
          <w:rFonts w:ascii="Times New Roman"/>
        </w:rPr>
        <w:t>请注意本文件的某些内容可能涉及专利。本文件的发布机构不承担识别专利的责任。</w:t>
      </w:r>
    </w:p>
    <w:p>
      <w:pPr>
        <w:pStyle w:val="22"/>
        <w:shd w:val="clear" w:color="auto" w:fill="FFFFFF" w:themeFill="background1"/>
        <w:rPr>
          <w:rFonts w:ascii="Times New Roman"/>
        </w:rPr>
      </w:pPr>
      <w:r>
        <w:rPr>
          <w:rFonts w:ascii="Times New Roman"/>
        </w:rPr>
        <w:t>本文件由</w:t>
      </w:r>
      <w:r>
        <w:t>中国特钢企业协会团体标准化工作委员会、中关村不锈及特种合金新材料产业技术创新联盟团体标准化工作委员会联合提出并归口</w:t>
      </w:r>
      <w:r>
        <w:rPr>
          <w:rFonts w:ascii="Times New Roman"/>
        </w:rPr>
        <w:t>。</w:t>
      </w:r>
    </w:p>
    <w:p>
      <w:pPr>
        <w:pStyle w:val="22"/>
        <w:shd w:val="clear" w:color="auto" w:fill="FFFFFF" w:themeFill="background1"/>
        <w:rPr>
          <w:rFonts w:ascii="Times New Roman"/>
        </w:rPr>
      </w:pPr>
      <w:r>
        <w:rPr>
          <w:rFonts w:ascii="Times New Roman"/>
        </w:rPr>
        <w:t>本文件起草单位：山西太钢不锈钢股份有限公司</w:t>
      </w:r>
      <w:r>
        <w:rPr>
          <w:rFonts w:hint="eastAsia" w:ascii="Times New Roman"/>
        </w:rPr>
        <w:t>、冶金工业规划研究院</w:t>
      </w:r>
    </w:p>
    <w:p>
      <w:pPr>
        <w:pStyle w:val="22"/>
        <w:shd w:val="clear" w:color="auto" w:fill="FFFFFF" w:themeFill="background1"/>
        <w:rPr>
          <w:rFonts w:ascii="Times New Roman"/>
        </w:rPr>
      </w:pPr>
      <w:r>
        <w:rPr>
          <w:rFonts w:ascii="Times New Roman"/>
        </w:rPr>
        <w:t>本文件主要起草人：</w:t>
      </w:r>
    </w:p>
    <w:p>
      <w:pPr>
        <w:pStyle w:val="22"/>
        <w:shd w:val="clear" w:color="auto" w:fill="FFFFFF" w:themeFill="background1"/>
        <w:rPr>
          <w:rFonts w:ascii="Times New Roman"/>
        </w:rPr>
      </w:pPr>
    </w:p>
    <w:p>
      <w:pPr>
        <w:shd w:val="clear" w:color="auto" w:fill="FFFFFF" w:themeFill="background1"/>
        <w:tabs>
          <w:tab w:val="left" w:pos="7033"/>
        </w:tabs>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r>
        <w:tab/>
      </w:r>
    </w:p>
    <w:p>
      <w:pPr>
        <w:pStyle w:val="58"/>
        <w:shd w:val="clear" w:color="auto" w:fill="FFFFFF" w:themeFill="background1"/>
        <w:spacing w:after="624" w:afterLines="200"/>
        <w:rPr>
          <w:rFonts w:ascii="Times New Roman"/>
        </w:rPr>
      </w:pPr>
      <w:bookmarkStart w:id="5" w:name="_Toc103946130"/>
      <w:bookmarkStart w:id="6" w:name="_Toc5604"/>
      <w:r>
        <w:rPr>
          <w:rFonts w:hint="eastAsia" w:ascii="Times New Roman"/>
        </w:rPr>
        <w:t>无磁不锈钢钢板及钢</w:t>
      </w:r>
      <w:r>
        <w:rPr>
          <w:rFonts w:ascii="Times New Roman"/>
        </w:rPr>
        <w:t>带</w:t>
      </w:r>
      <w:bookmarkEnd w:id="5"/>
      <w:bookmarkEnd w:id="6"/>
    </w:p>
    <w:p>
      <w:pPr>
        <w:pStyle w:val="45"/>
        <w:numPr>
          <w:ilvl w:val="0"/>
          <w:numId w:val="2"/>
        </w:numPr>
        <w:shd w:val="clear" w:color="auto" w:fill="FFFFFF" w:themeFill="background1"/>
        <w:spacing w:before="312" w:after="312"/>
        <w:rPr>
          <w:rFonts w:ascii="Times New Roman"/>
        </w:rPr>
      </w:pPr>
      <w:bookmarkStart w:id="7" w:name="_Toc520380391"/>
      <w:bookmarkStart w:id="8" w:name="_Toc28026"/>
      <w:r>
        <w:rPr>
          <w:rFonts w:ascii="Times New Roman"/>
        </w:rPr>
        <w:t>范围</w:t>
      </w:r>
      <w:bookmarkEnd w:id="7"/>
      <w:bookmarkEnd w:id="8"/>
    </w:p>
    <w:p>
      <w:pPr>
        <w:pStyle w:val="22"/>
        <w:shd w:val="clear" w:color="auto" w:fill="FFFFFF" w:themeFill="background1"/>
        <w:rPr>
          <w:rFonts w:ascii="Times New Roman"/>
        </w:rPr>
      </w:pPr>
      <w:bookmarkStart w:id="9" w:name="_Toc520380392"/>
      <w:r>
        <w:rPr>
          <w:rFonts w:ascii="Times New Roman"/>
        </w:rPr>
        <w:t>本文件规定了</w:t>
      </w:r>
      <w:r>
        <w:rPr>
          <w:rFonts w:hint="eastAsia" w:ascii="Times New Roman"/>
        </w:rPr>
        <w:t>无磁不锈钢</w:t>
      </w:r>
      <w:r>
        <w:rPr>
          <w:rFonts w:ascii="Times New Roman"/>
        </w:rPr>
        <w:t>钢板及钢带的分类及代号、订货内容、尺寸、外形、重量、技术要求、试验方法、检验规则、包装、标志和质量证明书。</w:t>
      </w:r>
    </w:p>
    <w:bookmarkEnd w:id="9"/>
    <w:p>
      <w:pPr>
        <w:pStyle w:val="22"/>
        <w:shd w:val="clear" w:color="auto" w:fill="FFFFFF" w:themeFill="background1"/>
        <w:rPr>
          <w:rFonts w:ascii="Times New Roman"/>
        </w:rPr>
      </w:pPr>
      <w:r>
        <w:rPr>
          <w:rFonts w:hint="eastAsia" w:ascii="Times New Roman"/>
        </w:rPr>
        <w:t>本文件适用于无磁不锈钢</w:t>
      </w:r>
      <w:bookmarkStart w:id="10" w:name="OLE_LINK37"/>
      <w:r>
        <w:rPr>
          <w:rFonts w:hint="eastAsia" w:ascii="Times New Roman"/>
        </w:rPr>
        <w:t>热轧厚钢板</w:t>
      </w:r>
      <w:bookmarkEnd w:id="10"/>
      <w:r>
        <w:rPr>
          <w:rFonts w:hint="eastAsia" w:ascii="Times New Roman"/>
        </w:rPr>
        <w:t>、</w:t>
      </w:r>
      <w:bookmarkStart w:id="11" w:name="OLE_LINK38"/>
      <w:bookmarkStart w:id="12" w:name="OLE_LINK7"/>
      <w:r>
        <w:rPr>
          <w:rFonts w:hint="eastAsia" w:ascii="Times New Roman"/>
        </w:rPr>
        <w:t>热轧钢板及钢带</w:t>
      </w:r>
      <w:bookmarkEnd w:id="11"/>
      <w:bookmarkEnd w:id="12"/>
      <w:r>
        <w:rPr>
          <w:rFonts w:hint="eastAsia" w:ascii="Times New Roman"/>
        </w:rPr>
        <w:t>、冷轧钢板及钢带、</w:t>
      </w:r>
      <w:bookmarkStart w:id="13" w:name="OLE_LINK41"/>
      <w:r>
        <w:rPr>
          <w:rFonts w:hint="eastAsia" w:ascii="Times New Roman"/>
        </w:rPr>
        <w:t>精密钢带（片）</w:t>
      </w:r>
      <w:bookmarkEnd w:id="13"/>
      <w:r>
        <w:rPr>
          <w:rFonts w:hint="eastAsia" w:ascii="Times New Roman"/>
        </w:rPr>
        <w:t>。</w:t>
      </w:r>
    </w:p>
    <w:p>
      <w:pPr>
        <w:pStyle w:val="45"/>
        <w:numPr>
          <w:ilvl w:val="0"/>
          <w:numId w:val="2"/>
        </w:numPr>
        <w:shd w:val="clear" w:color="auto" w:fill="FFFFFF" w:themeFill="background1"/>
        <w:spacing w:before="312" w:after="312"/>
        <w:rPr>
          <w:rFonts w:ascii="Times New Roman"/>
        </w:rPr>
      </w:pPr>
      <w:bookmarkStart w:id="14" w:name="_Toc1366"/>
      <w:bookmarkStart w:id="15" w:name="_Toc520380393"/>
      <w:r>
        <w:rPr>
          <w:rFonts w:ascii="Times New Roman"/>
        </w:rPr>
        <w:t>规范性引用文件</w:t>
      </w:r>
      <w:bookmarkEnd w:id="14"/>
    </w:p>
    <w:p>
      <w:pPr>
        <w:shd w:val="clear" w:color="auto" w:fill="FFFFFF" w:themeFill="background1"/>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5"/>
    <w:p>
      <w:pPr>
        <w:pStyle w:val="22"/>
        <w:rPr>
          <w:rFonts w:ascii="Times New Roman"/>
        </w:rPr>
      </w:pPr>
      <w:bookmarkStart w:id="16" w:name="OLE_LINK40"/>
      <w:bookmarkStart w:id="17" w:name="_Toc6996"/>
      <w:bookmarkStart w:id="18" w:name="_Toc520380394"/>
      <w:r>
        <w:rPr>
          <w:rFonts w:hint="eastAsia" w:ascii="Times New Roman"/>
        </w:rPr>
        <w:t>GB/T 222</w:t>
      </w:r>
      <w:bookmarkEnd w:id="16"/>
      <w:r>
        <w:rPr>
          <w:rFonts w:hint="eastAsia" w:ascii="Times New Roman"/>
        </w:rPr>
        <w:t xml:space="preserve">  </w:t>
      </w:r>
      <w:bookmarkStart w:id="19" w:name="OLE_LINK8"/>
      <w:r>
        <w:rPr>
          <w:rFonts w:hint="eastAsia" w:ascii="Times New Roman"/>
        </w:rPr>
        <w:t>钢的成品化学成分允许偏差</w:t>
      </w:r>
      <w:bookmarkEnd w:id="19"/>
    </w:p>
    <w:p>
      <w:pPr>
        <w:pStyle w:val="22"/>
        <w:rPr>
          <w:rFonts w:ascii="Times New Roman"/>
        </w:rPr>
      </w:pPr>
      <w:r>
        <w:rPr>
          <w:rFonts w:hint="eastAsia" w:ascii="Times New Roman"/>
        </w:rPr>
        <w:t xml:space="preserve">GB/T </w:t>
      </w:r>
      <w:bookmarkStart w:id="20" w:name="OLE_LINK43"/>
      <w:r>
        <w:rPr>
          <w:rFonts w:hint="eastAsia" w:ascii="Times New Roman"/>
        </w:rPr>
        <w:t>223.11</w:t>
      </w:r>
      <w:bookmarkEnd w:id="20"/>
      <w:r>
        <w:rPr>
          <w:rFonts w:hint="eastAsia" w:ascii="Times New Roman"/>
        </w:rPr>
        <w:t xml:space="preserve">  钢铁及合金  铬含量的测定  可视滴定或电位滴定法</w:t>
      </w:r>
    </w:p>
    <w:p>
      <w:pPr>
        <w:pStyle w:val="22"/>
        <w:rPr>
          <w:rFonts w:ascii="Times New Roman"/>
        </w:rPr>
      </w:pPr>
      <w:bookmarkStart w:id="21" w:name="OLE_LINK60"/>
      <w:r>
        <w:rPr>
          <w:rFonts w:hint="eastAsia" w:ascii="Times New Roman"/>
        </w:rPr>
        <w:t xml:space="preserve">GB/T </w:t>
      </w:r>
      <w:bookmarkStart w:id="22" w:name="OLE_LINK46"/>
      <w:r>
        <w:rPr>
          <w:rFonts w:hint="eastAsia" w:ascii="Times New Roman"/>
        </w:rPr>
        <w:t>223.13</w:t>
      </w:r>
      <w:bookmarkEnd w:id="21"/>
      <w:bookmarkEnd w:id="22"/>
      <w:r>
        <w:rPr>
          <w:rFonts w:hint="eastAsia" w:ascii="Times New Roman"/>
        </w:rPr>
        <w:t xml:space="preserve">  钢铁及合金化学分析方法 硫酸亚铁铵滴定法测定钒含量</w:t>
      </w:r>
    </w:p>
    <w:p>
      <w:pPr>
        <w:pStyle w:val="22"/>
        <w:rPr>
          <w:rFonts w:ascii="Times New Roman"/>
        </w:rPr>
      </w:pPr>
      <w:r>
        <w:rPr>
          <w:rFonts w:hint="eastAsia" w:ascii="Times New Roman"/>
        </w:rPr>
        <w:t xml:space="preserve">GB/T </w:t>
      </w:r>
      <w:bookmarkStart w:id="23" w:name="OLE_LINK47"/>
      <w:r>
        <w:rPr>
          <w:rFonts w:hint="eastAsia" w:ascii="Times New Roman"/>
        </w:rPr>
        <w:t>223.23</w:t>
      </w:r>
      <w:bookmarkEnd w:id="23"/>
      <w:r>
        <w:rPr>
          <w:rFonts w:hint="eastAsia" w:ascii="Times New Roman"/>
        </w:rPr>
        <w:t xml:space="preserve">  钢铁及合金  镍含量的测定  丁二酮肟分光光度法</w:t>
      </w:r>
    </w:p>
    <w:p>
      <w:pPr>
        <w:pStyle w:val="22"/>
        <w:rPr>
          <w:rFonts w:ascii="Times New Roman"/>
        </w:rPr>
      </w:pPr>
      <w:r>
        <w:rPr>
          <w:rFonts w:hint="eastAsia" w:ascii="Times New Roman"/>
        </w:rPr>
        <w:t xml:space="preserve">GB/T </w:t>
      </w:r>
      <w:bookmarkStart w:id="24" w:name="OLE_LINK54"/>
      <w:r>
        <w:rPr>
          <w:rFonts w:hint="eastAsia" w:ascii="Times New Roman"/>
        </w:rPr>
        <w:t>223.28</w:t>
      </w:r>
      <w:bookmarkEnd w:id="24"/>
      <w:r>
        <w:rPr>
          <w:rFonts w:hint="eastAsia" w:ascii="Times New Roman"/>
        </w:rPr>
        <w:t xml:space="preserve">  </w:t>
      </w:r>
      <w:bookmarkStart w:id="25" w:name="OLE_LINK58"/>
      <w:r>
        <w:rPr>
          <w:rFonts w:hint="eastAsia" w:ascii="Times New Roman"/>
        </w:rPr>
        <w:t>钢铁及合金化学分析方法</w:t>
      </w:r>
      <w:bookmarkEnd w:id="25"/>
      <w:r>
        <w:rPr>
          <w:rFonts w:hint="eastAsia" w:ascii="Times New Roman"/>
        </w:rPr>
        <w:t xml:space="preserve">  α-安息香肟重量法测定钼量</w:t>
      </w:r>
    </w:p>
    <w:p>
      <w:pPr>
        <w:pStyle w:val="22"/>
        <w:rPr>
          <w:rFonts w:ascii="Times New Roman"/>
        </w:rPr>
      </w:pPr>
      <w:bookmarkStart w:id="26" w:name="OLE_LINK61"/>
      <w:r>
        <w:rPr>
          <w:rFonts w:ascii="Times New Roman"/>
        </w:rPr>
        <w:t xml:space="preserve">GB/T </w:t>
      </w:r>
      <w:bookmarkStart w:id="27" w:name="OLE_LINK79"/>
      <w:r>
        <w:rPr>
          <w:rFonts w:ascii="Times New Roman"/>
        </w:rPr>
        <w:t>223.36</w:t>
      </w:r>
      <w:bookmarkEnd w:id="26"/>
      <w:bookmarkEnd w:id="27"/>
      <w:r>
        <w:rPr>
          <w:rFonts w:ascii="Times New Roman"/>
        </w:rPr>
        <w:t xml:space="preserve">  钢铁及合金化学分析方法 蒸馏分离-中和滴定法测定氮量</w:t>
      </w:r>
    </w:p>
    <w:p>
      <w:pPr>
        <w:pStyle w:val="22"/>
        <w:rPr>
          <w:rFonts w:ascii="Times New Roman"/>
        </w:rPr>
      </w:pPr>
      <w:r>
        <w:rPr>
          <w:rFonts w:hint="eastAsia" w:ascii="Times New Roman"/>
        </w:rPr>
        <w:t xml:space="preserve">GB/T </w:t>
      </w:r>
      <w:bookmarkStart w:id="28" w:name="OLE_LINK80"/>
      <w:r>
        <w:rPr>
          <w:rFonts w:hint="eastAsia" w:ascii="Times New Roman"/>
        </w:rPr>
        <w:t>223.40</w:t>
      </w:r>
      <w:bookmarkEnd w:id="28"/>
      <w:r>
        <w:rPr>
          <w:rFonts w:hint="eastAsia" w:ascii="Times New Roman"/>
        </w:rPr>
        <w:t xml:space="preserve">  钢铁及合金  铌含量的测定  氯磺酚S分光光度法</w:t>
      </w:r>
    </w:p>
    <w:p>
      <w:pPr>
        <w:pStyle w:val="22"/>
        <w:rPr>
          <w:rFonts w:ascii="Times New Roman"/>
        </w:rPr>
      </w:pPr>
      <w:r>
        <w:rPr>
          <w:rFonts w:ascii="Times New Roman"/>
        </w:rPr>
        <w:t xml:space="preserve">GB/T </w:t>
      </w:r>
      <w:bookmarkStart w:id="29" w:name="OLE_LINK81"/>
      <w:r>
        <w:rPr>
          <w:rFonts w:ascii="Times New Roman"/>
        </w:rPr>
        <w:t>223.58</w:t>
      </w:r>
      <w:bookmarkEnd w:id="29"/>
      <w:r>
        <w:rPr>
          <w:rFonts w:ascii="Times New Roman"/>
        </w:rPr>
        <w:t xml:space="preserve">  钢铁及合金化学分析方法 亚砷酸钠-亚硝酸钠滴定法测定锰量</w:t>
      </w:r>
    </w:p>
    <w:p>
      <w:pPr>
        <w:pStyle w:val="22"/>
        <w:rPr>
          <w:rFonts w:ascii="Times New Roman"/>
        </w:rPr>
      </w:pPr>
      <w:r>
        <w:rPr>
          <w:rFonts w:hint="eastAsia" w:ascii="Times New Roman"/>
        </w:rPr>
        <w:t xml:space="preserve">GB/T </w:t>
      </w:r>
      <w:bookmarkStart w:id="30" w:name="OLE_LINK82"/>
      <w:r>
        <w:rPr>
          <w:rFonts w:hint="eastAsia" w:ascii="Times New Roman"/>
        </w:rPr>
        <w:t>223.59</w:t>
      </w:r>
      <w:bookmarkEnd w:id="30"/>
      <w:r>
        <w:rPr>
          <w:rFonts w:hint="eastAsia" w:ascii="Times New Roman"/>
        </w:rPr>
        <w:t xml:space="preserve">  钢铁及合金  磷含量的测定  铋磷钼蓝分光光度法和锑磷钼蓝分光光度法</w:t>
      </w:r>
    </w:p>
    <w:p>
      <w:pPr>
        <w:pStyle w:val="22"/>
        <w:rPr>
          <w:rFonts w:ascii="Times New Roman"/>
        </w:rPr>
      </w:pPr>
      <w:bookmarkStart w:id="31" w:name="OLE_LINK56"/>
      <w:r>
        <w:rPr>
          <w:rFonts w:hint="eastAsia" w:ascii="Times New Roman"/>
        </w:rPr>
        <w:t>GB/T 223.60</w:t>
      </w:r>
      <w:bookmarkEnd w:id="31"/>
      <w:r>
        <w:rPr>
          <w:rFonts w:hint="eastAsia" w:ascii="Times New Roman"/>
        </w:rPr>
        <w:t xml:space="preserve">  钢铁及合金化学分析方法  高氯酸脱水重量法测定硅含量</w:t>
      </w:r>
    </w:p>
    <w:p>
      <w:pPr>
        <w:pStyle w:val="22"/>
        <w:rPr>
          <w:rFonts w:ascii="Times New Roman"/>
        </w:rPr>
      </w:pPr>
      <w:r>
        <w:rPr>
          <w:rFonts w:ascii="Times New Roman"/>
        </w:rPr>
        <w:t>GB/T 223.6</w:t>
      </w:r>
      <w:r>
        <w:rPr>
          <w:rFonts w:hint="eastAsia" w:ascii="Times New Roman"/>
        </w:rPr>
        <w:t>8</w:t>
      </w:r>
      <w:r>
        <w:rPr>
          <w:rFonts w:ascii="Times New Roman"/>
        </w:rPr>
        <w:t xml:space="preserve">  钢铁及合金</w:t>
      </w:r>
      <w:r>
        <w:rPr>
          <w:rFonts w:hint="eastAsia" w:ascii="Times New Roman"/>
        </w:rPr>
        <w:t>化学分析方法</w:t>
      </w:r>
      <w:r>
        <w:rPr>
          <w:rFonts w:ascii="Times New Roman"/>
        </w:rPr>
        <w:t xml:space="preserve">  管式炉内燃烧后</w:t>
      </w:r>
      <w:r>
        <w:rPr>
          <w:rFonts w:hint="eastAsia" w:ascii="Times New Roman"/>
        </w:rPr>
        <w:t>碘酸钾滴定法</w:t>
      </w:r>
      <w:bookmarkStart w:id="32" w:name="OLE_LINK63"/>
      <w:r>
        <w:rPr>
          <w:rFonts w:hint="eastAsia" w:ascii="Times New Roman"/>
        </w:rPr>
        <w:t>测定硫含量</w:t>
      </w:r>
    </w:p>
    <w:p>
      <w:pPr>
        <w:pStyle w:val="22"/>
        <w:rPr>
          <w:rFonts w:ascii="Times New Roman"/>
        </w:rPr>
      </w:pPr>
      <w:r>
        <w:rPr>
          <w:rFonts w:ascii="Times New Roman"/>
        </w:rPr>
        <w:t>GB/T 223.69  钢铁及合金  碳含量的测定  管式炉内燃烧后气体容量法</w:t>
      </w:r>
      <w:bookmarkEnd w:id="32"/>
    </w:p>
    <w:p>
      <w:pPr>
        <w:pStyle w:val="22"/>
        <w:rPr>
          <w:rFonts w:ascii="Times New Roman"/>
        </w:rPr>
      </w:pPr>
      <w:r>
        <w:rPr>
          <w:rFonts w:hint="eastAsia" w:ascii="Times New Roman"/>
        </w:rPr>
        <w:t>GB/T 228.1  金属材料  拉伸试验  第1部分：室温试验方法</w:t>
      </w:r>
    </w:p>
    <w:p>
      <w:pPr>
        <w:pStyle w:val="22"/>
        <w:rPr>
          <w:rFonts w:ascii="Times New Roman"/>
        </w:rPr>
      </w:pPr>
      <w:r>
        <w:rPr>
          <w:rFonts w:hint="eastAsia" w:ascii="Times New Roman"/>
        </w:rPr>
        <w:t>GB/T 230.1  金属材料 洛氏硬度试验 第1部分：试验方法</w:t>
      </w:r>
    </w:p>
    <w:p>
      <w:pPr>
        <w:pStyle w:val="22"/>
        <w:rPr>
          <w:rFonts w:ascii="Times New Roman"/>
        </w:rPr>
      </w:pPr>
      <w:r>
        <w:rPr>
          <w:rFonts w:hint="eastAsia" w:ascii="Times New Roman"/>
        </w:rPr>
        <w:t>GB/T 231.1  金属材料 布氏硬度试验 第1部分：试验方法</w:t>
      </w:r>
    </w:p>
    <w:p>
      <w:pPr>
        <w:pStyle w:val="22"/>
        <w:rPr>
          <w:rFonts w:ascii="Times New Roman"/>
        </w:rPr>
      </w:pPr>
      <w:r>
        <w:rPr>
          <w:rFonts w:hint="eastAsia" w:ascii="Times New Roman"/>
        </w:rPr>
        <w:t>GB/T 247  钢板和钢带包装、标志及质量证明书的一般规定</w:t>
      </w:r>
    </w:p>
    <w:p>
      <w:pPr>
        <w:pStyle w:val="22"/>
        <w:rPr>
          <w:rFonts w:ascii="Times New Roman"/>
        </w:rPr>
      </w:pPr>
      <w:r>
        <w:rPr>
          <w:rFonts w:hint="eastAsia" w:ascii="Times New Roman"/>
        </w:rPr>
        <w:t>GB/T 2975  钢及钢产品  力学性能试验取样位置及试样制备</w:t>
      </w:r>
    </w:p>
    <w:p>
      <w:pPr>
        <w:pStyle w:val="22"/>
        <w:rPr>
          <w:rFonts w:ascii="Times New Roman" w:eastAsiaTheme="minorEastAsia"/>
        </w:rPr>
      </w:pPr>
      <w:r>
        <w:rPr>
          <w:rFonts w:hint="eastAsia" w:ascii="Times New Roman" w:eastAsiaTheme="minorEastAsia"/>
        </w:rPr>
        <w:t>GB/T 3280  不锈钢冷轧钢板和钢带</w:t>
      </w:r>
    </w:p>
    <w:p>
      <w:pPr>
        <w:pStyle w:val="22"/>
        <w:rPr>
          <w:rFonts w:ascii="Times New Roman" w:eastAsiaTheme="minorEastAsia"/>
        </w:rPr>
      </w:pPr>
      <w:r>
        <w:rPr>
          <w:rFonts w:hint="eastAsia" w:ascii="Times New Roman" w:eastAsiaTheme="minorEastAsia"/>
        </w:rPr>
        <w:t>GB/T 4237  不锈钢热轧钢板和钢带</w:t>
      </w:r>
    </w:p>
    <w:p>
      <w:pPr>
        <w:pStyle w:val="22"/>
        <w:rPr>
          <w:rFonts w:hint="eastAsia" w:ascii="Times New Roman"/>
        </w:rPr>
      </w:pPr>
      <w:r>
        <w:rPr>
          <w:rFonts w:hint="eastAsia" w:ascii="Times New Roman"/>
        </w:rPr>
        <w:t>GB/T 4340.1  金属材料  维氏硬度试验  第1部分：试验方法</w:t>
      </w:r>
    </w:p>
    <w:p>
      <w:pPr>
        <w:pStyle w:val="22"/>
        <w:rPr>
          <w:rFonts w:hint="eastAsia" w:ascii="Times New Roman"/>
        </w:rPr>
      </w:pPr>
      <w:r>
        <w:rPr>
          <w:rFonts w:hint="eastAsia" w:ascii="Times New Roman"/>
        </w:rPr>
        <w:t>GB/T 6394</w:t>
      </w:r>
      <w:r>
        <w:rPr>
          <w:rFonts w:hint="eastAsia" w:ascii="Times New Roman"/>
          <w:lang w:val="en-US" w:eastAsia="zh-CN"/>
        </w:rPr>
        <w:t xml:space="preserve">  金属平均晶粒度测定方法</w:t>
      </w:r>
    </w:p>
    <w:p>
      <w:pPr>
        <w:pStyle w:val="22"/>
        <w:rPr>
          <w:rFonts w:hint="eastAsia" w:ascii="Times New Roman"/>
        </w:rPr>
      </w:pPr>
      <w:r>
        <w:rPr>
          <w:rFonts w:hint="eastAsia" w:ascii="Times New Roman"/>
        </w:rPr>
        <w:t>GB/T 8170  数值修约规则与极限数值的表示和判定</w:t>
      </w:r>
    </w:p>
    <w:p>
      <w:pPr>
        <w:pStyle w:val="22"/>
        <w:rPr>
          <w:rFonts w:hint="eastAsia" w:ascii="Times New Roman"/>
        </w:rPr>
      </w:pPr>
      <w:r>
        <w:rPr>
          <w:rFonts w:hint="eastAsia" w:ascii="Times New Roman"/>
        </w:rPr>
        <w:t xml:space="preserve">GB/T </w:t>
      </w:r>
      <w:r>
        <w:rPr>
          <w:rFonts w:hint="eastAsia" w:ascii="Times New Roman"/>
          <w:lang w:val="en-US" w:eastAsia="zh-CN"/>
        </w:rPr>
        <w:t>10561  钢中非金属夹杂物含量的测定 标准评级图显微检验法</w:t>
      </w:r>
    </w:p>
    <w:p>
      <w:pPr>
        <w:pStyle w:val="22"/>
        <w:rPr>
          <w:rFonts w:ascii="Times New Roman"/>
        </w:rPr>
      </w:pPr>
      <w:r>
        <w:rPr>
          <w:rFonts w:hint="eastAsia" w:ascii="Times New Roman"/>
        </w:rPr>
        <w:t>GB/T 11170  不锈钢  多元素含量的测定  火花放电原子发射光谱法（常规方法）</w:t>
      </w:r>
    </w:p>
    <w:p>
      <w:pPr>
        <w:pStyle w:val="22"/>
        <w:rPr>
          <w:rFonts w:ascii="Times New Roman"/>
        </w:rPr>
      </w:pPr>
      <w:r>
        <w:rPr>
          <w:rFonts w:hint="eastAsia" w:ascii="Times New Roman"/>
        </w:rPr>
        <w:t>GB/T 17505  钢及钢产品  交货一般技术要求</w:t>
      </w:r>
    </w:p>
    <w:p>
      <w:pPr>
        <w:pStyle w:val="22"/>
        <w:rPr>
          <w:rFonts w:ascii="Times New Roman"/>
        </w:rPr>
      </w:pPr>
      <w:r>
        <w:rPr>
          <w:rFonts w:hint="eastAsia" w:ascii="Times New Roman"/>
        </w:rPr>
        <w:t>GB/T 20066  钢和铁  化学成分测定用试样的取样和制样方法</w:t>
      </w:r>
    </w:p>
    <w:p>
      <w:pPr>
        <w:pStyle w:val="22"/>
        <w:rPr>
          <w:rFonts w:ascii="Times New Roman"/>
        </w:rPr>
      </w:pPr>
      <w:bookmarkStart w:id="33" w:name="OLE_LINK59"/>
      <w:r>
        <w:rPr>
          <w:rFonts w:hint="eastAsia" w:ascii="Times New Roman"/>
        </w:rPr>
        <w:t>GB/T 20123</w:t>
      </w:r>
      <w:bookmarkEnd w:id="33"/>
      <w:r>
        <w:rPr>
          <w:rFonts w:hint="eastAsia" w:ascii="Times New Roman"/>
        </w:rPr>
        <w:t xml:space="preserve">  钢铁  总碳硫含量的测定  高频感应炉燃烧后红外吸收法（常规方法）</w:t>
      </w:r>
    </w:p>
    <w:p>
      <w:pPr>
        <w:pStyle w:val="22"/>
        <w:rPr>
          <w:rFonts w:ascii="Times New Roman"/>
        </w:rPr>
      </w:pPr>
      <w:r>
        <w:rPr>
          <w:rFonts w:hint="eastAsia" w:ascii="Times New Roman"/>
        </w:rPr>
        <w:t>GB/T 20124  钢铁  氮含量的测定  惰性气体熔融热导法（常规方法）</w:t>
      </w:r>
    </w:p>
    <w:p>
      <w:pPr>
        <w:pStyle w:val="22"/>
        <w:rPr>
          <w:rFonts w:ascii="Times New Roman"/>
        </w:rPr>
      </w:pPr>
      <w:bookmarkStart w:id="34" w:name="OLE_LINK4"/>
      <w:r>
        <w:rPr>
          <w:rFonts w:hint="eastAsia" w:ascii="Times New Roman"/>
        </w:rPr>
        <w:t>GB/T 35690</w:t>
      </w:r>
      <w:bookmarkEnd w:id="34"/>
      <w:r>
        <w:rPr>
          <w:rFonts w:hint="eastAsia" w:ascii="Times New Roman"/>
        </w:rPr>
        <w:t xml:space="preserve">  弱磁材料相对磁导率的测量方法</w:t>
      </w:r>
    </w:p>
    <w:p>
      <w:pPr>
        <w:pStyle w:val="22"/>
        <w:rPr>
          <w:rFonts w:ascii="Times New Roman"/>
        </w:rPr>
      </w:pPr>
      <w:bookmarkStart w:id="35" w:name="OLE_LINK15"/>
      <w:r>
        <w:rPr>
          <w:rFonts w:hint="eastAsia" w:ascii="Times New Roman"/>
        </w:rPr>
        <w:t>YB/T 4334  金属箔材</w:t>
      </w:r>
      <w:r>
        <w:rPr>
          <w:rFonts w:hint="eastAsia" w:ascii="Times New Roman"/>
          <w:lang w:val="en-US" w:eastAsia="zh-CN"/>
        </w:rPr>
        <w:t xml:space="preserve">  </w:t>
      </w:r>
      <w:r>
        <w:rPr>
          <w:rFonts w:hint="eastAsia" w:ascii="Times New Roman"/>
        </w:rPr>
        <w:t>室温拉伸试验方法</w:t>
      </w:r>
    </w:p>
    <w:p>
      <w:pPr>
        <w:pStyle w:val="22"/>
        <w:rPr>
          <w:rFonts w:hint="eastAsia" w:ascii="Times New Roman"/>
        </w:rPr>
      </w:pPr>
      <w:r>
        <w:rPr>
          <w:rFonts w:hint="eastAsia" w:ascii="Times New Roman"/>
        </w:rPr>
        <w:t>YB/T 4432</w:t>
      </w:r>
      <w:bookmarkEnd w:id="35"/>
      <w:r>
        <w:rPr>
          <w:rFonts w:hint="eastAsia" w:ascii="Times New Roman"/>
        </w:rPr>
        <w:t xml:space="preserve"> </w:t>
      </w:r>
      <w:bookmarkStart w:id="36" w:name="OLE_LINK10"/>
      <w:bookmarkStart w:id="37" w:name="OLE_LINK39"/>
      <w:r>
        <w:rPr>
          <w:rFonts w:hint="eastAsia" w:ascii="Times New Roman"/>
          <w:lang w:val="en-US" w:eastAsia="zh-CN"/>
        </w:rPr>
        <w:t xml:space="preserve"> </w:t>
      </w:r>
      <w:r>
        <w:rPr>
          <w:rFonts w:hint="eastAsia" w:ascii="Times New Roman"/>
        </w:rPr>
        <w:t>不锈钢精密钢带（片</w:t>
      </w:r>
      <w:bookmarkEnd w:id="36"/>
      <w:r>
        <w:rPr>
          <w:rFonts w:hint="eastAsia" w:ascii="Times New Roman"/>
        </w:rPr>
        <w:t>）</w:t>
      </w:r>
      <w:bookmarkEnd w:id="37"/>
    </w:p>
    <w:p>
      <w:pPr>
        <w:pStyle w:val="45"/>
        <w:numPr>
          <w:ilvl w:val="0"/>
          <w:numId w:val="2"/>
        </w:numPr>
        <w:shd w:val="clear" w:color="auto" w:fill="FFFFFF" w:themeFill="background1"/>
        <w:spacing w:before="312" w:after="312"/>
        <w:rPr>
          <w:rFonts w:ascii="Times New Roman"/>
        </w:rPr>
      </w:pPr>
      <w:r>
        <w:rPr>
          <w:rFonts w:ascii="Times New Roman"/>
        </w:rPr>
        <w:t>术语和定义</w:t>
      </w:r>
      <w:bookmarkEnd w:id="17"/>
    </w:p>
    <w:p>
      <w:pPr>
        <w:shd w:val="clear" w:color="auto" w:fill="FFFFFF" w:themeFill="background1"/>
        <w:ind w:firstLine="420" w:firstLineChars="200"/>
      </w:pPr>
      <w:r>
        <w:t>本文件没有需要界定的术语和定义。</w:t>
      </w:r>
    </w:p>
    <w:p>
      <w:pPr>
        <w:pStyle w:val="45"/>
        <w:numPr>
          <w:ilvl w:val="0"/>
          <w:numId w:val="2"/>
        </w:numPr>
        <w:spacing w:before="312" w:after="312"/>
        <w:rPr>
          <w:rFonts w:ascii="Times New Roman"/>
        </w:rPr>
      </w:pPr>
      <w:r>
        <w:rPr>
          <w:rFonts w:ascii="Times New Roman"/>
        </w:rPr>
        <w:t>分类及代号</w:t>
      </w:r>
    </w:p>
    <w:p>
      <w:pPr>
        <w:pStyle w:val="102"/>
        <w:numPr>
          <w:ilvl w:val="255"/>
          <w:numId w:val="0"/>
        </w:numPr>
        <w:shd w:val="clear" w:color="auto" w:fill="FFFFFF" w:themeFill="background1"/>
        <w:spacing w:before="156" w:beforeLines="50" w:after="156" w:afterLines="50"/>
        <w:ind w:left="839" w:leftChars="200"/>
        <w:jc w:val="left"/>
        <w:rPr>
          <w:rFonts w:ascii="Times New Roman"/>
          <w:szCs w:val="22"/>
        </w:rPr>
      </w:pPr>
      <w:r>
        <w:rPr>
          <w:rFonts w:ascii="Times New Roman"/>
          <w:szCs w:val="22"/>
        </w:rPr>
        <w:t>按边缘状态分：</w:t>
      </w:r>
    </w:p>
    <w:p>
      <w:pPr>
        <w:pStyle w:val="102"/>
        <w:numPr>
          <w:ilvl w:val="255"/>
          <w:numId w:val="0"/>
        </w:numPr>
        <w:shd w:val="clear" w:color="auto" w:fill="FFFFFF" w:themeFill="background1"/>
        <w:spacing w:before="156" w:beforeLines="50" w:after="156" w:afterLines="50"/>
        <w:ind w:left="839" w:leftChars="200"/>
        <w:jc w:val="left"/>
        <w:rPr>
          <w:rFonts w:ascii="Times New Roman"/>
          <w:szCs w:val="22"/>
        </w:rPr>
      </w:pPr>
      <w:r>
        <w:rPr>
          <w:rFonts w:ascii="Times New Roman"/>
          <w:szCs w:val="22"/>
        </w:rPr>
        <w:t>a) 切边，EC；</w:t>
      </w:r>
    </w:p>
    <w:p>
      <w:pPr>
        <w:pStyle w:val="102"/>
        <w:numPr>
          <w:ilvl w:val="255"/>
          <w:numId w:val="0"/>
        </w:numPr>
        <w:shd w:val="clear" w:color="auto" w:fill="FFFFFF" w:themeFill="background1"/>
        <w:spacing w:before="156" w:beforeLines="50" w:after="156" w:afterLines="50"/>
        <w:ind w:left="839" w:leftChars="200"/>
        <w:jc w:val="left"/>
        <w:rPr>
          <w:rFonts w:ascii="Times New Roman"/>
          <w:szCs w:val="22"/>
        </w:rPr>
      </w:pPr>
      <w:r>
        <w:rPr>
          <w:rFonts w:ascii="Times New Roman"/>
          <w:szCs w:val="22"/>
        </w:rPr>
        <w:t>b) 不切边，EM。</w:t>
      </w:r>
    </w:p>
    <w:p>
      <w:pPr>
        <w:pStyle w:val="45"/>
        <w:numPr>
          <w:ilvl w:val="0"/>
          <w:numId w:val="2"/>
        </w:numPr>
        <w:shd w:val="clear" w:color="auto" w:fill="FFFFFF" w:themeFill="background1"/>
        <w:spacing w:before="312" w:after="312"/>
        <w:rPr>
          <w:rFonts w:ascii="Times New Roman"/>
        </w:rPr>
      </w:pPr>
      <w:bookmarkStart w:id="38" w:name="_Toc21592"/>
      <w:r>
        <w:rPr>
          <w:rFonts w:ascii="Times New Roman"/>
        </w:rPr>
        <w:t>订货内容</w:t>
      </w:r>
      <w:bookmarkEnd w:id="38"/>
    </w:p>
    <w:p>
      <w:pPr>
        <w:pStyle w:val="22"/>
        <w:shd w:val="clear" w:color="auto" w:fill="FFFFFF" w:themeFill="background1"/>
        <w:rPr>
          <w:rFonts w:ascii="Times New Roman"/>
        </w:rPr>
      </w:pPr>
      <w:r>
        <w:rPr>
          <w:rFonts w:ascii="Times New Roman"/>
        </w:rPr>
        <w:t>按本文件订货的合同或订单应包括下列内容：</w:t>
      </w:r>
    </w:p>
    <w:p>
      <w:pPr>
        <w:pStyle w:val="102"/>
        <w:numPr>
          <w:ilvl w:val="0"/>
          <w:numId w:val="4"/>
        </w:numPr>
        <w:shd w:val="clear" w:color="auto" w:fill="FFFFFF" w:themeFill="background1"/>
        <w:rPr>
          <w:rFonts w:ascii="Times New Roman"/>
        </w:rPr>
      </w:pPr>
      <w:bookmarkStart w:id="39" w:name="OLE_LINK78"/>
      <w:r>
        <w:rPr>
          <w:rFonts w:ascii="Times New Roman"/>
        </w:rPr>
        <w:t>产品名称；</w:t>
      </w:r>
    </w:p>
    <w:p>
      <w:pPr>
        <w:pStyle w:val="102"/>
        <w:numPr>
          <w:ilvl w:val="0"/>
          <w:numId w:val="4"/>
        </w:numPr>
        <w:shd w:val="clear" w:color="auto" w:fill="FFFFFF" w:themeFill="background1"/>
        <w:rPr>
          <w:rFonts w:ascii="Times New Roman"/>
        </w:rPr>
      </w:pPr>
      <w:r>
        <w:rPr>
          <w:rFonts w:ascii="Times New Roman"/>
        </w:rPr>
        <w:t>本文件编号；</w:t>
      </w:r>
    </w:p>
    <w:p>
      <w:pPr>
        <w:pStyle w:val="102"/>
        <w:numPr>
          <w:ilvl w:val="0"/>
          <w:numId w:val="4"/>
        </w:numPr>
        <w:shd w:val="clear" w:color="auto" w:fill="FFFFFF" w:themeFill="background1"/>
        <w:rPr>
          <w:rFonts w:ascii="Times New Roman"/>
        </w:rPr>
      </w:pPr>
      <w:r>
        <w:rPr>
          <w:rFonts w:ascii="Times New Roman"/>
        </w:rPr>
        <w:t>牌号或统一数字代号；</w:t>
      </w:r>
    </w:p>
    <w:p>
      <w:pPr>
        <w:pStyle w:val="102"/>
        <w:numPr>
          <w:ilvl w:val="0"/>
          <w:numId w:val="4"/>
        </w:numPr>
        <w:shd w:val="clear" w:color="auto" w:fill="FFFFFF" w:themeFill="background1"/>
        <w:rPr>
          <w:rFonts w:ascii="Times New Roman"/>
        </w:rPr>
      </w:pPr>
      <w:r>
        <w:rPr>
          <w:rFonts w:ascii="Times New Roman"/>
        </w:rPr>
        <w:t>尺寸及精度；</w:t>
      </w:r>
    </w:p>
    <w:p>
      <w:pPr>
        <w:pStyle w:val="102"/>
        <w:numPr>
          <w:ilvl w:val="0"/>
          <w:numId w:val="4"/>
        </w:numPr>
        <w:shd w:val="clear" w:color="auto" w:fill="FFFFFF" w:themeFill="background1"/>
        <w:rPr>
          <w:rFonts w:ascii="Times New Roman"/>
        </w:rPr>
      </w:pPr>
      <w:r>
        <w:rPr>
          <w:rFonts w:ascii="Times New Roman"/>
        </w:rPr>
        <w:t>交货的重量（数量）；</w:t>
      </w:r>
    </w:p>
    <w:p>
      <w:pPr>
        <w:pStyle w:val="102"/>
        <w:numPr>
          <w:ilvl w:val="0"/>
          <w:numId w:val="4"/>
        </w:numPr>
        <w:shd w:val="clear" w:color="auto" w:fill="FFFFFF" w:themeFill="background1"/>
        <w:rPr>
          <w:rFonts w:ascii="Times New Roman"/>
        </w:rPr>
      </w:pPr>
      <w:r>
        <w:rPr>
          <w:rFonts w:ascii="Times New Roman"/>
        </w:rPr>
        <w:t>表面加工类型；</w:t>
      </w:r>
    </w:p>
    <w:p>
      <w:pPr>
        <w:pStyle w:val="102"/>
        <w:numPr>
          <w:ilvl w:val="0"/>
          <w:numId w:val="4"/>
        </w:numPr>
        <w:shd w:val="clear" w:color="auto" w:fill="FFFFFF" w:themeFill="background1"/>
        <w:rPr>
          <w:rFonts w:ascii="Times New Roman"/>
        </w:rPr>
      </w:pPr>
      <w:r>
        <w:rPr>
          <w:rFonts w:ascii="Times New Roman"/>
        </w:rPr>
        <w:t>边缘状态；</w:t>
      </w:r>
    </w:p>
    <w:p>
      <w:pPr>
        <w:pStyle w:val="102"/>
        <w:numPr>
          <w:ilvl w:val="0"/>
          <w:numId w:val="4"/>
        </w:numPr>
        <w:shd w:val="clear" w:color="auto" w:fill="FFFFFF" w:themeFill="background1"/>
        <w:rPr>
          <w:rFonts w:ascii="Times New Roman"/>
        </w:rPr>
      </w:pPr>
      <w:r>
        <w:rPr>
          <w:rFonts w:ascii="Times New Roman"/>
        </w:rPr>
        <w:t>交货状态；</w:t>
      </w:r>
    </w:p>
    <w:p>
      <w:pPr>
        <w:pStyle w:val="102"/>
        <w:numPr>
          <w:ilvl w:val="0"/>
          <w:numId w:val="4"/>
        </w:numPr>
        <w:shd w:val="clear" w:color="auto" w:fill="FFFFFF" w:themeFill="background1"/>
        <w:rPr>
          <w:rFonts w:ascii="Times New Roman"/>
        </w:rPr>
      </w:pPr>
      <w:r>
        <w:rPr>
          <w:rFonts w:ascii="Times New Roman"/>
        </w:rPr>
        <w:t>特殊要求。</w:t>
      </w:r>
    </w:p>
    <w:bookmarkEnd w:id="18"/>
    <w:bookmarkEnd w:id="39"/>
    <w:p>
      <w:pPr>
        <w:pStyle w:val="45"/>
        <w:numPr>
          <w:ilvl w:val="0"/>
          <w:numId w:val="2"/>
        </w:numPr>
        <w:shd w:val="clear" w:color="auto" w:fill="FFFFFF" w:themeFill="background1"/>
        <w:spacing w:before="312" w:after="312"/>
        <w:rPr>
          <w:rFonts w:ascii="Times New Roman"/>
        </w:rPr>
      </w:pPr>
      <w:bookmarkStart w:id="40" w:name="_Toc15685"/>
      <w:bookmarkStart w:id="41" w:name="_Toc520380395"/>
      <w:r>
        <w:rPr>
          <w:rFonts w:ascii="Times New Roman"/>
        </w:rPr>
        <w:t>尺寸、外形、重量</w:t>
      </w:r>
      <w:bookmarkEnd w:id="40"/>
      <w:bookmarkEnd w:id="41"/>
    </w:p>
    <w:p>
      <w:pPr>
        <w:pStyle w:val="47"/>
        <w:shd w:val="clear" w:color="auto" w:fill="FFFFFF" w:themeFill="background1"/>
        <w:spacing w:before="156" w:after="156"/>
        <w:ind w:left="0"/>
        <w:rPr>
          <w:rFonts w:ascii="Times New Roman"/>
        </w:rPr>
      </w:pPr>
      <w:bookmarkStart w:id="42" w:name="_Hlk5804893"/>
      <w:r>
        <w:rPr>
          <w:rFonts w:ascii="Times New Roman"/>
        </w:rPr>
        <w:t>尺寸及允许偏差</w:t>
      </w:r>
    </w:p>
    <w:p>
      <w:pPr>
        <w:pStyle w:val="22"/>
        <w:shd w:val="clear" w:color="auto" w:fill="FFFFFF" w:themeFill="background1"/>
        <w:rPr>
          <w:rFonts w:ascii="Times New Roman"/>
        </w:rPr>
      </w:pPr>
      <w:bookmarkStart w:id="43" w:name="OLE_LINK75"/>
      <w:bookmarkStart w:id="44" w:name="OLE_LINK74"/>
      <w:r>
        <w:rPr>
          <w:rFonts w:ascii="Times New Roman"/>
        </w:rPr>
        <w:t>钢板及钢带的公称尺寸</w:t>
      </w:r>
      <w:bookmarkStart w:id="45" w:name="OLE_LINK77"/>
      <w:r>
        <w:rPr>
          <w:rFonts w:ascii="Times New Roman"/>
        </w:rPr>
        <w:t>范围</w:t>
      </w:r>
      <w:r>
        <w:rPr>
          <w:rFonts w:hint="eastAsia" w:ascii="Times New Roman"/>
        </w:rPr>
        <w:t>及允许偏差</w:t>
      </w:r>
      <w:r>
        <w:rPr>
          <w:rFonts w:ascii="Times New Roman"/>
        </w:rPr>
        <w:t>见表</w:t>
      </w:r>
      <w:bookmarkEnd w:id="45"/>
      <w:r>
        <w:rPr>
          <w:rFonts w:ascii="Times New Roman"/>
        </w:rPr>
        <w:t>1</w:t>
      </w:r>
      <w:bookmarkEnd w:id="43"/>
      <w:r>
        <w:rPr>
          <w:rFonts w:hint="eastAsia" w:ascii="Times New Roman"/>
        </w:rPr>
        <w:t>，根据需方要求，经供需双方协商，并在合同中注明，可供应其他尺寸的产品。</w:t>
      </w:r>
    </w:p>
    <w:bookmarkEnd w:id="44"/>
    <w:p>
      <w:pPr>
        <w:pStyle w:val="22"/>
        <w:shd w:val="clear" w:color="auto" w:fill="FFFFFF" w:themeFill="background1"/>
        <w:spacing w:before="156" w:beforeLines="50" w:after="156" w:afterLines="50"/>
        <w:ind w:firstLine="0" w:firstLineChars="0"/>
        <w:jc w:val="right"/>
        <w:rPr>
          <w:rFonts w:ascii="Times New Roman" w:eastAsia="黑体"/>
        </w:rPr>
      </w:pPr>
      <w:bookmarkStart w:id="46" w:name="OLE_LINK76"/>
      <w:r>
        <w:rPr>
          <w:rFonts w:ascii="Times New Roman" w:eastAsia="黑体"/>
        </w:rPr>
        <w:t>表1  公称尺寸范围</w:t>
      </w:r>
      <w:r>
        <w:rPr>
          <w:rFonts w:hint="eastAsia" w:ascii="Times New Roman" w:eastAsia="黑体"/>
        </w:rPr>
        <w:t>及允许偏差</w:t>
      </w:r>
      <w:r>
        <w:rPr>
          <w:rFonts w:ascii="Times New Roman" w:eastAsia="黑体"/>
        </w:rPr>
        <w:t xml:space="preserve">                       单位为毫米</w:t>
      </w:r>
    </w:p>
    <w:tbl>
      <w:tblPr>
        <w:tblStyle w:val="32"/>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2200"/>
        <w:gridCol w:w="220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445" w:type="dxa"/>
          </w:tcPr>
          <w:p>
            <w:pPr>
              <w:numPr>
                <w:ilvl w:val="0"/>
                <w:numId w:val="0"/>
              </w:numPr>
              <w:shd w:val="clear" w:color="auto" w:fill="FFFFFF" w:themeFill="background1"/>
              <w:ind w:left="363" w:hanging="181"/>
              <w:jc w:val="center"/>
              <w:rPr>
                <w:rFonts w:ascii="宋体"/>
              </w:rPr>
            </w:pPr>
            <w:r>
              <w:rPr>
                <w:rFonts w:hint="eastAsia" w:ascii="宋体"/>
              </w:rPr>
              <w:t>产品类别</w:t>
            </w:r>
          </w:p>
        </w:tc>
        <w:tc>
          <w:tcPr>
            <w:tcW w:w="2200" w:type="dxa"/>
          </w:tcPr>
          <w:p>
            <w:pPr>
              <w:numPr>
                <w:ilvl w:val="0"/>
                <w:numId w:val="0"/>
              </w:numPr>
              <w:shd w:val="clear" w:color="auto" w:fill="FFFFFF" w:themeFill="background1"/>
              <w:ind w:left="363" w:hanging="181"/>
              <w:jc w:val="center"/>
              <w:rPr>
                <w:rFonts w:ascii="宋体"/>
              </w:rPr>
            </w:pPr>
            <w:r>
              <w:rPr>
                <w:rFonts w:ascii="宋体"/>
              </w:rPr>
              <w:t>公称厚度</w:t>
            </w:r>
          </w:p>
        </w:tc>
        <w:tc>
          <w:tcPr>
            <w:tcW w:w="2205" w:type="dxa"/>
          </w:tcPr>
          <w:p>
            <w:pPr>
              <w:numPr>
                <w:ilvl w:val="0"/>
                <w:numId w:val="0"/>
              </w:numPr>
              <w:shd w:val="clear" w:color="auto" w:fill="FFFFFF" w:themeFill="background1"/>
              <w:ind w:left="363" w:hanging="181"/>
              <w:jc w:val="center"/>
              <w:rPr>
                <w:rFonts w:ascii="宋体"/>
              </w:rPr>
            </w:pPr>
            <w:r>
              <w:rPr>
                <w:rFonts w:ascii="宋体"/>
              </w:rPr>
              <w:t>公称宽度</w:t>
            </w:r>
          </w:p>
        </w:tc>
        <w:tc>
          <w:tcPr>
            <w:tcW w:w="2978" w:type="dxa"/>
          </w:tcPr>
          <w:p>
            <w:pPr>
              <w:numPr>
                <w:ilvl w:val="0"/>
                <w:numId w:val="0"/>
              </w:numPr>
              <w:shd w:val="clear" w:color="auto" w:fill="FFFFFF" w:themeFill="background1"/>
              <w:ind w:left="363" w:hanging="181"/>
              <w:jc w:val="center"/>
              <w:rPr>
                <w:rFonts w:ascii="宋体"/>
              </w:rPr>
            </w:pPr>
            <w:r>
              <w:rPr>
                <w:rFonts w:hint="eastAsia" w:ascii="宋体"/>
              </w:rPr>
              <w:t>尺寸及允许偏差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45" w:type="dxa"/>
          </w:tcPr>
          <w:p>
            <w:pPr>
              <w:numPr>
                <w:ilvl w:val="0"/>
                <w:numId w:val="0"/>
              </w:numPr>
              <w:shd w:val="clear" w:color="auto" w:fill="FFFFFF" w:themeFill="background1"/>
              <w:ind w:left="363" w:hanging="181"/>
              <w:jc w:val="center"/>
              <w:rPr>
                <w:rFonts w:ascii="宋体"/>
              </w:rPr>
            </w:pPr>
            <w:r>
              <w:rPr>
                <w:rFonts w:hint="eastAsia" w:ascii="宋体"/>
              </w:rPr>
              <w:t>热轧厚钢板</w:t>
            </w:r>
          </w:p>
        </w:tc>
        <w:tc>
          <w:tcPr>
            <w:tcW w:w="2200" w:type="dxa"/>
          </w:tcPr>
          <w:p>
            <w:pPr>
              <w:numPr>
                <w:ilvl w:val="0"/>
                <w:numId w:val="0"/>
              </w:numPr>
              <w:shd w:val="clear" w:color="auto" w:fill="FFFFFF" w:themeFill="background1"/>
              <w:ind w:left="363" w:hanging="181"/>
              <w:jc w:val="center"/>
              <w:rPr>
                <w:rFonts w:ascii="宋体"/>
              </w:rPr>
            </w:pPr>
            <w:r>
              <w:rPr>
                <w:rFonts w:hint="eastAsia" w:ascii="宋体"/>
              </w:rPr>
              <w:t>3.0</w:t>
            </w:r>
            <w:r>
              <w:rPr>
                <w:rFonts w:ascii="宋体"/>
              </w:rPr>
              <w:t>~</w:t>
            </w:r>
            <w:r>
              <w:rPr>
                <w:rFonts w:hint="eastAsia" w:ascii="宋体"/>
              </w:rPr>
              <w:t>120.0</w:t>
            </w:r>
          </w:p>
        </w:tc>
        <w:tc>
          <w:tcPr>
            <w:tcW w:w="2205" w:type="dxa"/>
          </w:tcPr>
          <w:p>
            <w:pPr>
              <w:numPr>
                <w:ilvl w:val="0"/>
                <w:numId w:val="0"/>
              </w:numPr>
              <w:shd w:val="clear" w:color="auto" w:fill="FFFFFF" w:themeFill="background1"/>
              <w:ind w:left="363" w:hanging="181"/>
              <w:jc w:val="center"/>
              <w:rPr>
                <w:rFonts w:ascii="宋体"/>
              </w:rPr>
            </w:pPr>
            <w:r>
              <w:rPr>
                <w:rFonts w:hint="eastAsia" w:ascii="宋体"/>
              </w:rPr>
              <w:t>60</w:t>
            </w:r>
            <w:r>
              <w:rPr>
                <w:rFonts w:ascii="宋体"/>
              </w:rPr>
              <w:t>0~</w:t>
            </w:r>
            <w:r>
              <w:rPr>
                <w:rFonts w:hint="eastAsia" w:ascii="宋体"/>
              </w:rPr>
              <w:t>4800</w:t>
            </w:r>
          </w:p>
        </w:tc>
        <w:tc>
          <w:tcPr>
            <w:tcW w:w="2978" w:type="dxa"/>
          </w:tcPr>
          <w:p>
            <w:pPr>
              <w:numPr>
                <w:ilvl w:val="0"/>
                <w:numId w:val="0"/>
              </w:numPr>
              <w:shd w:val="clear" w:color="auto" w:fill="FFFFFF" w:themeFill="background1"/>
              <w:ind w:left="363" w:hanging="181"/>
              <w:jc w:val="center"/>
              <w:rPr>
                <w:rFonts w:ascii="宋体"/>
              </w:rPr>
            </w:pPr>
            <w:r>
              <w:rPr>
                <w:rFonts w:hint="eastAsia" w:ascii="宋体"/>
              </w:rPr>
              <w:t>GB/T 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45" w:type="dxa"/>
          </w:tcPr>
          <w:p>
            <w:pPr>
              <w:numPr>
                <w:ilvl w:val="0"/>
                <w:numId w:val="0"/>
              </w:numPr>
              <w:shd w:val="clear" w:color="auto" w:fill="FFFFFF" w:themeFill="background1"/>
              <w:ind w:left="363" w:hanging="181"/>
              <w:jc w:val="center"/>
              <w:rPr>
                <w:rFonts w:ascii="宋体"/>
              </w:rPr>
            </w:pPr>
            <w:r>
              <w:rPr>
                <w:rFonts w:hint="eastAsia" w:ascii="宋体"/>
              </w:rPr>
              <w:t>热轧钢板及钢带</w:t>
            </w:r>
          </w:p>
        </w:tc>
        <w:tc>
          <w:tcPr>
            <w:tcW w:w="2200" w:type="dxa"/>
          </w:tcPr>
          <w:p>
            <w:pPr>
              <w:numPr>
                <w:ilvl w:val="0"/>
                <w:numId w:val="0"/>
              </w:numPr>
              <w:shd w:val="clear" w:color="auto" w:fill="FFFFFF" w:themeFill="background1"/>
              <w:ind w:left="363" w:hanging="181"/>
              <w:jc w:val="center"/>
              <w:rPr>
                <w:rFonts w:ascii="宋体"/>
              </w:rPr>
            </w:pPr>
            <w:r>
              <w:rPr>
                <w:rFonts w:hint="eastAsia" w:ascii="宋体"/>
              </w:rPr>
              <w:t>2.0</w:t>
            </w:r>
            <w:r>
              <w:rPr>
                <w:rFonts w:ascii="宋体"/>
              </w:rPr>
              <w:t>~</w:t>
            </w:r>
            <w:r>
              <w:rPr>
                <w:rFonts w:hint="eastAsia" w:ascii="宋体"/>
              </w:rPr>
              <w:t>25.4</w:t>
            </w:r>
          </w:p>
        </w:tc>
        <w:tc>
          <w:tcPr>
            <w:tcW w:w="2205" w:type="dxa"/>
          </w:tcPr>
          <w:p>
            <w:pPr>
              <w:numPr>
                <w:ilvl w:val="0"/>
                <w:numId w:val="0"/>
              </w:numPr>
              <w:shd w:val="clear" w:color="auto" w:fill="FFFFFF" w:themeFill="background1"/>
              <w:ind w:left="363" w:hanging="181"/>
              <w:jc w:val="center"/>
              <w:rPr>
                <w:rFonts w:ascii="宋体"/>
              </w:rPr>
            </w:pPr>
            <w:bookmarkStart w:id="47" w:name="OLE_LINK9"/>
            <w:r>
              <w:rPr>
                <w:rFonts w:hint="eastAsia" w:ascii="宋体"/>
              </w:rPr>
              <w:t>600</w:t>
            </w:r>
            <w:r>
              <w:rPr>
                <w:rFonts w:ascii="宋体"/>
              </w:rPr>
              <w:t>~</w:t>
            </w:r>
            <w:r>
              <w:rPr>
                <w:rFonts w:hint="eastAsia" w:ascii="宋体"/>
              </w:rPr>
              <w:t>2100</w:t>
            </w:r>
            <w:bookmarkEnd w:id="47"/>
          </w:p>
        </w:tc>
        <w:tc>
          <w:tcPr>
            <w:tcW w:w="2978" w:type="dxa"/>
          </w:tcPr>
          <w:p>
            <w:pPr>
              <w:numPr>
                <w:ilvl w:val="0"/>
                <w:numId w:val="0"/>
              </w:numPr>
              <w:shd w:val="clear" w:color="auto" w:fill="FFFFFF" w:themeFill="background1"/>
              <w:ind w:left="363" w:hanging="181"/>
              <w:jc w:val="center"/>
              <w:rPr>
                <w:rFonts w:ascii="宋体"/>
              </w:rPr>
            </w:pPr>
            <w:r>
              <w:rPr>
                <w:rFonts w:hint="eastAsia" w:ascii="宋体"/>
              </w:rPr>
              <w:t>GB/T 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45" w:type="dxa"/>
          </w:tcPr>
          <w:p>
            <w:pPr>
              <w:numPr>
                <w:ilvl w:val="0"/>
                <w:numId w:val="0"/>
              </w:numPr>
              <w:shd w:val="clear" w:color="auto" w:fill="FFFFFF" w:themeFill="background1"/>
              <w:ind w:left="363" w:hanging="181"/>
              <w:jc w:val="center"/>
              <w:rPr>
                <w:rFonts w:ascii="宋体"/>
              </w:rPr>
            </w:pPr>
            <w:bookmarkStart w:id="48" w:name="OLE_LINK11"/>
            <w:r>
              <w:rPr>
                <w:rFonts w:hint="eastAsia" w:ascii="宋体"/>
              </w:rPr>
              <w:t>冷轧钢板及钢带</w:t>
            </w:r>
            <w:bookmarkEnd w:id="48"/>
          </w:p>
        </w:tc>
        <w:tc>
          <w:tcPr>
            <w:tcW w:w="2200" w:type="dxa"/>
          </w:tcPr>
          <w:p>
            <w:pPr>
              <w:numPr>
                <w:ilvl w:val="0"/>
                <w:numId w:val="0"/>
              </w:numPr>
              <w:shd w:val="clear" w:color="auto" w:fill="FFFFFF" w:themeFill="background1"/>
              <w:ind w:left="363" w:hanging="181"/>
              <w:jc w:val="center"/>
              <w:rPr>
                <w:rFonts w:ascii="宋体"/>
              </w:rPr>
            </w:pPr>
            <w:r>
              <w:rPr>
                <w:rFonts w:hint="eastAsia" w:ascii="宋体"/>
              </w:rPr>
              <w:t>0.3~8.0</w:t>
            </w:r>
          </w:p>
        </w:tc>
        <w:tc>
          <w:tcPr>
            <w:tcW w:w="2205" w:type="dxa"/>
          </w:tcPr>
          <w:p>
            <w:pPr>
              <w:numPr>
                <w:ilvl w:val="0"/>
                <w:numId w:val="0"/>
              </w:numPr>
              <w:shd w:val="clear" w:color="auto" w:fill="FFFFFF" w:themeFill="background1"/>
              <w:ind w:left="363" w:hanging="181"/>
              <w:jc w:val="center"/>
              <w:rPr>
                <w:rFonts w:ascii="宋体"/>
              </w:rPr>
            </w:pPr>
            <w:r>
              <w:rPr>
                <w:rFonts w:hint="eastAsia" w:ascii="宋体"/>
              </w:rPr>
              <w:t>600</w:t>
            </w:r>
            <w:r>
              <w:rPr>
                <w:rFonts w:ascii="宋体"/>
              </w:rPr>
              <w:t>~</w:t>
            </w:r>
            <w:r>
              <w:rPr>
                <w:rFonts w:hint="eastAsia" w:ascii="宋体"/>
              </w:rPr>
              <w:t>2100</w:t>
            </w:r>
          </w:p>
        </w:tc>
        <w:tc>
          <w:tcPr>
            <w:tcW w:w="2978" w:type="dxa"/>
          </w:tcPr>
          <w:p>
            <w:pPr>
              <w:numPr>
                <w:ilvl w:val="0"/>
                <w:numId w:val="0"/>
              </w:numPr>
              <w:shd w:val="clear" w:color="auto" w:fill="FFFFFF" w:themeFill="background1"/>
              <w:ind w:left="363" w:hanging="181"/>
              <w:jc w:val="center"/>
              <w:rPr>
                <w:rFonts w:ascii="宋体"/>
              </w:rPr>
            </w:pPr>
            <w:r>
              <w:rPr>
                <w:rFonts w:hint="eastAsia" w:ascii="宋体"/>
              </w:rPr>
              <w:t>GB/T 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45" w:type="dxa"/>
          </w:tcPr>
          <w:p>
            <w:pPr>
              <w:numPr>
                <w:ilvl w:val="0"/>
                <w:numId w:val="0"/>
              </w:numPr>
              <w:shd w:val="clear" w:color="auto" w:fill="FFFFFF" w:themeFill="background1"/>
              <w:ind w:left="363" w:hanging="181"/>
              <w:jc w:val="both"/>
              <w:rPr>
                <w:rFonts w:ascii="宋体"/>
              </w:rPr>
            </w:pPr>
            <w:bookmarkStart w:id="49" w:name="OLE_LINK13"/>
            <w:r>
              <w:rPr>
                <w:rFonts w:hint="eastAsia" w:ascii="宋体"/>
              </w:rPr>
              <w:t>不锈钢精密钢带（片）</w:t>
            </w:r>
            <w:bookmarkEnd w:id="49"/>
          </w:p>
        </w:tc>
        <w:tc>
          <w:tcPr>
            <w:tcW w:w="2200" w:type="dxa"/>
          </w:tcPr>
          <w:p>
            <w:pPr>
              <w:numPr>
                <w:ilvl w:val="0"/>
                <w:numId w:val="0"/>
              </w:numPr>
              <w:shd w:val="clear" w:color="auto" w:fill="FFFFFF" w:themeFill="background1"/>
              <w:ind w:left="363" w:hanging="181"/>
              <w:jc w:val="center"/>
              <w:rPr>
                <w:rFonts w:ascii="宋体"/>
              </w:rPr>
            </w:pPr>
            <w:r>
              <w:rPr>
                <w:rFonts w:hint="eastAsia" w:ascii="宋体"/>
              </w:rPr>
              <w:t>0.05~1.50</w:t>
            </w:r>
          </w:p>
        </w:tc>
        <w:tc>
          <w:tcPr>
            <w:tcW w:w="2205" w:type="dxa"/>
          </w:tcPr>
          <w:p>
            <w:pPr>
              <w:numPr>
                <w:ilvl w:val="0"/>
                <w:numId w:val="0"/>
              </w:numPr>
              <w:shd w:val="clear" w:color="auto" w:fill="FFFFFF" w:themeFill="background1"/>
              <w:ind w:left="363" w:hanging="181"/>
              <w:jc w:val="center"/>
              <w:rPr>
                <w:rFonts w:ascii="宋体"/>
              </w:rPr>
            </w:pPr>
            <w:r>
              <w:rPr>
                <w:rFonts w:hint="eastAsia" w:ascii="宋体"/>
              </w:rPr>
              <w:t>≤1250</w:t>
            </w:r>
          </w:p>
        </w:tc>
        <w:tc>
          <w:tcPr>
            <w:tcW w:w="2978" w:type="dxa"/>
          </w:tcPr>
          <w:p>
            <w:pPr>
              <w:numPr>
                <w:ilvl w:val="0"/>
                <w:numId w:val="0"/>
              </w:numPr>
              <w:shd w:val="clear" w:color="auto" w:fill="FFFFFF" w:themeFill="background1"/>
              <w:ind w:left="363" w:hanging="181"/>
              <w:jc w:val="center"/>
              <w:rPr>
                <w:rFonts w:ascii="宋体"/>
              </w:rPr>
            </w:pPr>
            <w:r>
              <w:rPr>
                <w:rFonts w:hint="eastAsia" w:ascii="宋体"/>
              </w:rPr>
              <w:t>YB/T 4432</w:t>
            </w:r>
          </w:p>
        </w:tc>
      </w:tr>
      <w:bookmarkEnd w:id="46"/>
    </w:tbl>
    <w:p>
      <w:pPr>
        <w:pStyle w:val="47"/>
        <w:shd w:val="clear" w:color="auto" w:fill="FFFFFF" w:themeFill="background1"/>
        <w:spacing w:before="156" w:after="156"/>
        <w:ind w:left="0"/>
        <w:rPr>
          <w:rFonts w:ascii="Times New Roman"/>
        </w:rPr>
      </w:pPr>
      <w:r>
        <w:rPr>
          <w:rFonts w:ascii="Times New Roman"/>
        </w:rPr>
        <w:t>外形</w:t>
      </w:r>
    </w:p>
    <w:p>
      <w:pPr>
        <w:pStyle w:val="50"/>
        <w:shd w:val="clear" w:color="auto" w:fill="FFFFFF" w:themeFill="background1"/>
        <w:spacing w:before="156" w:after="156"/>
        <w:rPr>
          <w:rFonts w:ascii="Times New Roman" w:eastAsia="宋体"/>
        </w:rPr>
      </w:pPr>
      <w:r>
        <w:rPr>
          <w:rFonts w:ascii="Times New Roman" w:eastAsia="宋体"/>
        </w:rPr>
        <w:t>钢带应牢固成卷并尽量保持圆柱形和不卷边。钢带内径应在合同中注明。</w:t>
      </w:r>
    </w:p>
    <w:p>
      <w:pPr>
        <w:pStyle w:val="50"/>
        <w:shd w:val="clear" w:color="auto" w:fill="FFFFFF" w:themeFill="background1"/>
        <w:spacing w:before="156" w:after="156"/>
        <w:rPr>
          <w:rFonts w:ascii="Times New Roman" w:eastAsia="宋体"/>
        </w:rPr>
      </w:pPr>
      <w:r>
        <w:rPr>
          <w:rFonts w:ascii="Times New Roman" w:eastAsia="宋体"/>
        </w:rPr>
        <w:t>钢带塔形应符合：切边钢带（EC）及纵剪钢带不大于35mm；不切边钢带（EM）不大于70mm。</w:t>
      </w:r>
    </w:p>
    <w:p>
      <w:pPr>
        <w:pStyle w:val="47"/>
        <w:shd w:val="clear" w:color="auto" w:fill="FFFFFF" w:themeFill="background1"/>
        <w:spacing w:before="156" w:after="156"/>
        <w:ind w:left="0"/>
        <w:rPr>
          <w:rFonts w:ascii="Times New Roman"/>
        </w:rPr>
      </w:pPr>
      <w:r>
        <w:rPr>
          <w:rFonts w:ascii="Times New Roman"/>
        </w:rPr>
        <w:t>重量</w:t>
      </w:r>
    </w:p>
    <w:p>
      <w:pPr>
        <w:pStyle w:val="22"/>
        <w:shd w:val="clear" w:color="auto" w:fill="FFFFFF" w:themeFill="background1"/>
        <w:rPr>
          <w:rFonts w:ascii="Times New Roman"/>
        </w:rPr>
      </w:pPr>
      <w:r>
        <w:rPr>
          <w:rFonts w:ascii="Times New Roman"/>
        </w:rPr>
        <w:t>钢板及钢带按实际重量交货。</w:t>
      </w:r>
    </w:p>
    <w:bookmarkEnd w:id="42"/>
    <w:p>
      <w:pPr>
        <w:pStyle w:val="45"/>
        <w:numPr>
          <w:ilvl w:val="0"/>
          <w:numId w:val="2"/>
        </w:numPr>
        <w:shd w:val="clear" w:color="auto" w:fill="FFFFFF" w:themeFill="background1"/>
        <w:spacing w:before="312" w:after="312"/>
        <w:rPr>
          <w:rFonts w:ascii="Times New Roman"/>
        </w:rPr>
      </w:pPr>
      <w:bookmarkStart w:id="50" w:name="_Toc30656"/>
      <w:r>
        <w:rPr>
          <w:rFonts w:ascii="Times New Roman"/>
        </w:rPr>
        <w:t>技术要求</w:t>
      </w:r>
      <w:bookmarkEnd w:id="50"/>
    </w:p>
    <w:p>
      <w:pPr>
        <w:pStyle w:val="47"/>
        <w:shd w:val="clear" w:color="auto" w:fill="FFFFFF" w:themeFill="background1"/>
        <w:spacing w:before="156" w:after="156"/>
        <w:ind w:left="0"/>
        <w:rPr>
          <w:rFonts w:ascii="Times New Roman"/>
        </w:rPr>
      </w:pPr>
      <w:r>
        <w:rPr>
          <w:rFonts w:ascii="Times New Roman"/>
        </w:rPr>
        <w:t>牌号和化学成分</w:t>
      </w:r>
    </w:p>
    <w:p>
      <w:pPr>
        <w:pStyle w:val="50"/>
        <w:shd w:val="clear" w:color="auto" w:fill="FFFFFF" w:themeFill="background1"/>
        <w:spacing w:before="156" w:after="156"/>
        <w:rPr>
          <w:rFonts w:ascii="Times New Roman" w:eastAsia="宋体"/>
        </w:rPr>
      </w:pPr>
      <w:r>
        <w:rPr>
          <w:rFonts w:ascii="Times New Roman" w:eastAsia="宋体"/>
        </w:rPr>
        <w:t>钢的牌号和化学成分（熔炼分析）应符合表2的规定。</w:t>
      </w:r>
    </w:p>
    <w:p>
      <w:pPr>
        <w:pStyle w:val="50"/>
        <w:shd w:val="clear" w:color="auto" w:fill="FFFFFF" w:themeFill="background1"/>
        <w:spacing w:before="156" w:after="156"/>
        <w:rPr>
          <w:rFonts w:ascii="Times New Roman" w:eastAsia="宋体"/>
        </w:rPr>
      </w:pPr>
      <w:r>
        <w:rPr>
          <w:rFonts w:ascii="Times New Roman" w:eastAsia="宋体"/>
        </w:rPr>
        <w:t>成品化学成分允许偏差应符合GB/T 222的规定。</w:t>
      </w:r>
    </w:p>
    <w:p>
      <w:pPr>
        <w:pStyle w:val="50"/>
        <w:shd w:val="clear" w:color="auto" w:fill="FFFFFF" w:themeFill="background1"/>
        <w:spacing w:before="156" w:after="156"/>
        <w:rPr>
          <w:rFonts w:ascii="Times New Roman" w:eastAsia="宋体"/>
        </w:rPr>
      </w:pPr>
      <w:r>
        <w:rPr>
          <w:rFonts w:ascii="Times New Roman" w:eastAsia="宋体"/>
        </w:rPr>
        <w:t>本文件钢的牌号与其他文件相近钢牌号的对照参见附录A。</w:t>
      </w:r>
    </w:p>
    <w:p>
      <w:pPr>
        <w:pStyle w:val="22"/>
        <w:shd w:val="clear" w:color="auto" w:fill="FFFFFF" w:themeFill="background1"/>
        <w:spacing w:before="156" w:beforeLines="50" w:after="156" w:afterLines="50"/>
        <w:ind w:firstLine="0" w:firstLineChars="0"/>
        <w:jc w:val="center"/>
        <w:rPr>
          <w:rFonts w:ascii="Times New Roman" w:eastAsia="黑体"/>
        </w:rPr>
      </w:pPr>
      <w:bookmarkStart w:id="51" w:name="_Toc520380396"/>
      <w:r>
        <w:rPr>
          <w:rFonts w:ascii="Times New Roman" w:eastAsia="黑体"/>
        </w:rPr>
        <w:t>表2  牌号和化学成分（熔炼分析）</w:t>
      </w:r>
    </w:p>
    <w:tbl>
      <w:tblPr>
        <w:tblStyle w:val="148"/>
        <w:tblW w:w="102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4"/>
        <w:gridCol w:w="850"/>
        <w:gridCol w:w="708"/>
        <w:gridCol w:w="709"/>
        <w:gridCol w:w="649"/>
        <w:gridCol w:w="621"/>
        <w:gridCol w:w="742"/>
        <w:gridCol w:w="750"/>
        <w:gridCol w:w="705"/>
        <w:gridCol w:w="720"/>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64" w:type="dxa"/>
            <w:vMerge w:val="restart"/>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52" w:name="_Hlk107862947"/>
            <w:bookmarkStart w:id="53" w:name="OLE_LINK73"/>
            <w:r>
              <w:rPr>
                <w:rFonts w:ascii="宋体"/>
                <w:kern w:val="0"/>
                <w:sz w:val="18"/>
                <w:szCs w:val="18"/>
              </w:rPr>
              <w:t>牌号</w:t>
            </w:r>
          </w:p>
        </w:tc>
        <w:tc>
          <w:tcPr>
            <w:tcW w:w="7925" w:type="dxa"/>
            <w:gridSpan w:val="10"/>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eastAsiaTheme="minorEastAsia"/>
                <w:kern w:val="0"/>
                <w:sz w:val="18"/>
                <w:szCs w:val="18"/>
              </w:rPr>
              <w:t xml:space="preserve">化学成分（质量分数）/%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4" w:type="dxa"/>
            <w:vMerge w:val="continue"/>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p>
        </w:tc>
        <w:tc>
          <w:tcPr>
            <w:tcW w:w="8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C</w:t>
            </w:r>
          </w:p>
        </w:tc>
        <w:tc>
          <w:tcPr>
            <w:tcW w:w="708"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Si</w:t>
            </w:r>
          </w:p>
        </w:tc>
        <w:tc>
          <w:tcPr>
            <w:tcW w:w="70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Mn</w:t>
            </w:r>
          </w:p>
        </w:tc>
        <w:tc>
          <w:tcPr>
            <w:tcW w:w="64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P</w:t>
            </w:r>
          </w:p>
        </w:tc>
        <w:tc>
          <w:tcPr>
            <w:tcW w:w="62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S</w:t>
            </w:r>
          </w:p>
        </w:tc>
        <w:tc>
          <w:tcPr>
            <w:tcW w:w="742"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Ni</w:t>
            </w:r>
          </w:p>
        </w:tc>
        <w:tc>
          <w:tcPr>
            <w:tcW w:w="7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Cr</w:t>
            </w:r>
          </w:p>
        </w:tc>
        <w:tc>
          <w:tcPr>
            <w:tcW w:w="705"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Mo</w:t>
            </w:r>
          </w:p>
        </w:tc>
        <w:tc>
          <w:tcPr>
            <w:tcW w:w="72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N</w:t>
            </w:r>
          </w:p>
        </w:tc>
        <w:tc>
          <w:tcPr>
            <w:tcW w:w="147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ascii="宋体"/>
                <w:kern w:val="0"/>
                <w:sz w:val="18"/>
                <w:szCs w:val="18"/>
              </w:rPr>
              <w:t>其他元素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4"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54" w:name="OLE_LINK32" w:colFirst="1" w:colLast="1"/>
            <w:r>
              <w:rPr>
                <w:rFonts w:hint="eastAsia" w:ascii="宋体"/>
                <w:kern w:val="0"/>
                <w:sz w:val="18"/>
                <w:szCs w:val="18"/>
              </w:rPr>
              <w:t>10Cr18Ni12</w:t>
            </w:r>
          </w:p>
        </w:tc>
        <w:tc>
          <w:tcPr>
            <w:tcW w:w="8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55" w:name="OLE_LINK16"/>
            <w:r>
              <w:rPr>
                <w:rFonts w:hint="eastAsia" w:ascii="宋体"/>
                <w:kern w:val="0"/>
                <w:sz w:val="18"/>
                <w:szCs w:val="18"/>
              </w:rPr>
              <w:t>≤</w:t>
            </w:r>
            <w:bookmarkEnd w:id="55"/>
            <w:r>
              <w:rPr>
                <w:rFonts w:hint="eastAsia" w:ascii="宋体"/>
                <w:kern w:val="0"/>
                <w:sz w:val="18"/>
                <w:szCs w:val="18"/>
              </w:rPr>
              <w:t>0.12</w:t>
            </w:r>
          </w:p>
        </w:tc>
        <w:tc>
          <w:tcPr>
            <w:tcW w:w="708" w:type="dxa"/>
            <w:vAlign w:val="center"/>
          </w:tcPr>
          <w:p>
            <w:pPr>
              <w:widowControl/>
              <w:tabs>
                <w:tab w:val="center" w:pos="4201"/>
                <w:tab w:val="right" w:leader="dot" w:pos="9298"/>
              </w:tabs>
              <w:autoSpaceDE w:val="0"/>
              <w:autoSpaceDN w:val="0"/>
              <w:adjustRightInd w:val="0"/>
              <w:snapToGrid w:val="0"/>
              <w:jc w:val="center"/>
              <w:rPr>
                <w:rFonts w:hint="eastAsia" w:ascii="宋体" w:eastAsia="宋体"/>
                <w:kern w:val="0"/>
                <w:sz w:val="18"/>
                <w:szCs w:val="18"/>
                <w:lang w:val="en-US" w:eastAsia="zh-CN"/>
              </w:rPr>
            </w:pPr>
            <w:r>
              <w:rPr>
                <w:rFonts w:hint="eastAsia" w:ascii="宋体"/>
                <w:kern w:val="0"/>
                <w:sz w:val="18"/>
                <w:szCs w:val="18"/>
              </w:rPr>
              <w:t>≤</w:t>
            </w:r>
            <w:r>
              <w:rPr>
                <w:rFonts w:hint="eastAsia" w:ascii="宋体"/>
                <w:kern w:val="0"/>
                <w:sz w:val="18"/>
                <w:szCs w:val="18"/>
                <w:lang w:val="en-US" w:eastAsia="zh-CN"/>
              </w:rPr>
              <w:t>0.75</w:t>
            </w:r>
          </w:p>
        </w:tc>
        <w:tc>
          <w:tcPr>
            <w:tcW w:w="70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56" w:name="OLE_LINK17"/>
            <w:r>
              <w:rPr>
                <w:rFonts w:hint="eastAsia" w:ascii="宋体"/>
                <w:kern w:val="0"/>
                <w:sz w:val="18"/>
                <w:szCs w:val="18"/>
              </w:rPr>
              <w:t>≤2.00</w:t>
            </w:r>
            <w:bookmarkEnd w:id="56"/>
          </w:p>
        </w:tc>
        <w:tc>
          <w:tcPr>
            <w:tcW w:w="64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57" w:name="OLE_LINK18"/>
            <w:r>
              <w:rPr>
                <w:rFonts w:hint="eastAsia" w:ascii="宋体"/>
                <w:kern w:val="0"/>
                <w:sz w:val="18"/>
                <w:szCs w:val="18"/>
              </w:rPr>
              <w:t>≤0.040</w:t>
            </w:r>
            <w:bookmarkEnd w:id="57"/>
          </w:p>
        </w:tc>
        <w:tc>
          <w:tcPr>
            <w:tcW w:w="62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58" w:name="OLE_LINK19"/>
            <w:r>
              <w:rPr>
                <w:rFonts w:hint="eastAsia" w:ascii="宋体"/>
                <w:kern w:val="0"/>
                <w:sz w:val="18"/>
                <w:szCs w:val="18"/>
              </w:rPr>
              <w:t>≤0.0</w:t>
            </w:r>
            <w:bookmarkEnd w:id="58"/>
            <w:r>
              <w:rPr>
                <w:rFonts w:hint="eastAsia" w:ascii="宋体"/>
                <w:kern w:val="0"/>
                <w:sz w:val="18"/>
                <w:szCs w:val="18"/>
              </w:rPr>
              <w:t>30</w:t>
            </w:r>
          </w:p>
        </w:tc>
        <w:tc>
          <w:tcPr>
            <w:tcW w:w="742"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59" w:name="OLE_LINK20"/>
            <w:r>
              <w:rPr>
                <w:rFonts w:hint="eastAsia" w:ascii="宋体"/>
                <w:kern w:val="0"/>
                <w:sz w:val="18"/>
                <w:szCs w:val="18"/>
              </w:rPr>
              <w:t>10.50~13.00</w:t>
            </w:r>
            <w:bookmarkEnd w:id="59"/>
          </w:p>
        </w:tc>
        <w:tc>
          <w:tcPr>
            <w:tcW w:w="7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0" w:name="OLE_LINK21"/>
            <w:r>
              <w:rPr>
                <w:rFonts w:hint="eastAsia" w:ascii="宋体"/>
                <w:kern w:val="0"/>
                <w:sz w:val="18"/>
                <w:szCs w:val="18"/>
              </w:rPr>
              <w:t>17.00~19.00</w:t>
            </w:r>
            <w:bookmarkEnd w:id="60"/>
          </w:p>
        </w:tc>
        <w:tc>
          <w:tcPr>
            <w:tcW w:w="705"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c>
          <w:tcPr>
            <w:tcW w:w="72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c>
          <w:tcPr>
            <w:tcW w:w="147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4"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1" w:name="OLE_LINK31" w:colFirst="5" w:colLast="6"/>
            <w:r>
              <w:rPr>
                <w:rFonts w:hint="eastAsia" w:ascii="宋体"/>
                <w:kern w:val="0"/>
                <w:sz w:val="18"/>
                <w:szCs w:val="18"/>
              </w:rPr>
              <w:t>06Cr18Ni12</w:t>
            </w:r>
          </w:p>
        </w:tc>
        <w:tc>
          <w:tcPr>
            <w:tcW w:w="8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2" w:name="OLE_LINK22"/>
            <w:r>
              <w:rPr>
                <w:rFonts w:hint="eastAsia" w:ascii="宋体"/>
                <w:kern w:val="0"/>
                <w:sz w:val="18"/>
                <w:szCs w:val="18"/>
              </w:rPr>
              <w:t>≤0.08</w:t>
            </w:r>
            <w:bookmarkEnd w:id="62"/>
          </w:p>
        </w:tc>
        <w:tc>
          <w:tcPr>
            <w:tcW w:w="708"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≤1.00</w:t>
            </w:r>
          </w:p>
        </w:tc>
        <w:tc>
          <w:tcPr>
            <w:tcW w:w="70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≤2.00</w:t>
            </w:r>
          </w:p>
        </w:tc>
        <w:tc>
          <w:tcPr>
            <w:tcW w:w="64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3" w:name="OLE_LINK24"/>
            <w:r>
              <w:rPr>
                <w:rFonts w:hint="eastAsia" w:ascii="宋体"/>
                <w:kern w:val="0"/>
                <w:sz w:val="18"/>
                <w:szCs w:val="18"/>
              </w:rPr>
              <w:t>≤0.040</w:t>
            </w:r>
            <w:bookmarkEnd w:id="63"/>
          </w:p>
        </w:tc>
        <w:tc>
          <w:tcPr>
            <w:tcW w:w="62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742"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10.50~13.00</w:t>
            </w:r>
          </w:p>
        </w:tc>
        <w:tc>
          <w:tcPr>
            <w:tcW w:w="7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17.00~19.00</w:t>
            </w:r>
          </w:p>
        </w:tc>
        <w:tc>
          <w:tcPr>
            <w:tcW w:w="705"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c>
          <w:tcPr>
            <w:tcW w:w="72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c>
          <w:tcPr>
            <w:tcW w:w="147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r>
      <w:bookmarkEnd w:id="6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4"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4" w:name="OLE_LINK25" w:colFirst="9" w:colLast="12"/>
            <w:r>
              <w:rPr>
                <w:rFonts w:hint="eastAsia" w:ascii="宋体"/>
                <w:kern w:val="0"/>
                <w:sz w:val="18"/>
                <w:szCs w:val="18"/>
              </w:rPr>
              <w:t>05Cr16Ni14</w:t>
            </w:r>
          </w:p>
        </w:tc>
        <w:tc>
          <w:tcPr>
            <w:tcW w:w="8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≤0.06</w:t>
            </w:r>
          </w:p>
        </w:tc>
        <w:tc>
          <w:tcPr>
            <w:tcW w:w="708"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≤0.80</w:t>
            </w:r>
          </w:p>
        </w:tc>
        <w:tc>
          <w:tcPr>
            <w:tcW w:w="70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5" w:name="OLE_LINK23"/>
            <w:r>
              <w:rPr>
                <w:rFonts w:hint="eastAsia" w:ascii="宋体"/>
                <w:kern w:val="0"/>
                <w:sz w:val="18"/>
                <w:szCs w:val="18"/>
              </w:rPr>
              <w:t>≤2.00</w:t>
            </w:r>
            <w:bookmarkEnd w:id="65"/>
          </w:p>
        </w:tc>
        <w:tc>
          <w:tcPr>
            <w:tcW w:w="64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62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742"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13.50~15.50</w:t>
            </w:r>
          </w:p>
        </w:tc>
        <w:tc>
          <w:tcPr>
            <w:tcW w:w="7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15.00~17.00</w:t>
            </w:r>
          </w:p>
        </w:tc>
        <w:tc>
          <w:tcPr>
            <w:tcW w:w="705"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c>
          <w:tcPr>
            <w:tcW w:w="72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c>
          <w:tcPr>
            <w:tcW w:w="147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r>
      <w:bookmarkEnd w:id="6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06Cr25Ni20</w:t>
            </w:r>
          </w:p>
        </w:tc>
        <w:tc>
          <w:tcPr>
            <w:tcW w:w="8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6" w:name="OLE_LINK26"/>
            <w:r>
              <w:rPr>
                <w:rFonts w:hint="eastAsia" w:ascii="宋体"/>
                <w:kern w:val="0"/>
                <w:sz w:val="18"/>
                <w:szCs w:val="18"/>
              </w:rPr>
              <w:t>≤0.08</w:t>
            </w:r>
            <w:bookmarkEnd w:id="66"/>
          </w:p>
        </w:tc>
        <w:tc>
          <w:tcPr>
            <w:tcW w:w="708"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≤1.50</w:t>
            </w:r>
          </w:p>
        </w:tc>
        <w:tc>
          <w:tcPr>
            <w:tcW w:w="70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7" w:name="OLE_LINK27"/>
            <w:r>
              <w:rPr>
                <w:rFonts w:hint="eastAsia" w:ascii="宋体"/>
                <w:kern w:val="0"/>
                <w:sz w:val="18"/>
                <w:szCs w:val="18"/>
              </w:rPr>
              <w:t>≤2.00</w:t>
            </w:r>
            <w:bookmarkEnd w:id="67"/>
          </w:p>
        </w:tc>
        <w:tc>
          <w:tcPr>
            <w:tcW w:w="64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≤0.045</w:t>
            </w:r>
          </w:p>
        </w:tc>
        <w:tc>
          <w:tcPr>
            <w:tcW w:w="62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742"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19.00~22.00</w:t>
            </w:r>
          </w:p>
        </w:tc>
        <w:tc>
          <w:tcPr>
            <w:tcW w:w="7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24.00~26.00</w:t>
            </w:r>
          </w:p>
        </w:tc>
        <w:tc>
          <w:tcPr>
            <w:tcW w:w="705"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c>
          <w:tcPr>
            <w:tcW w:w="72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c>
          <w:tcPr>
            <w:tcW w:w="147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8" w:name="OLE_LINK29" w:colFirst="2" w:colLast="11"/>
            <w:r>
              <w:rPr>
                <w:rFonts w:hint="eastAsia" w:ascii="宋体"/>
                <w:kern w:val="0"/>
                <w:sz w:val="18"/>
                <w:szCs w:val="18"/>
              </w:rPr>
              <w:t>022Cr18Ni11</w:t>
            </w:r>
          </w:p>
        </w:tc>
        <w:tc>
          <w:tcPr>
            <w:tcW w:w="8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708"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≤0.75</w:t>
            </w:r>
          </w:p>
        </w:tc>
        <w:tc>
          <w:tcPr>
            <w:tcW w:w="70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≤2.00</w:t>
            </w:r>
          </w:p>
        </w:tc>
        <w:tc>
          <w:tcPr>
            <w:tcW w:w="64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62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≤0.020</w:t>
            </w:r>
          </w:p>
        </w:tc>
        <w:tc>
          <w:tcPr>
            <w:tcW w:w="742"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10.00~12.00</w:t>
            </w:r>
          </w:p>
        </w:tc>
        <w:tc>
          <w:tcPr>
            <w:tcW w:w="7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17.00~19.00</w:t>
            </w:r>
          </w:p>
        </w:tc>
        <w:tc>
          <w:tcPr>
            <w:tcW w:w="705"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c>
          <w:tcPr>
            <w:tcW w:w="72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≤0.10</w:t>
            </w:r>
          </w:p>
        </w:tc>
        <w:tc>
          <w:tcPr>
            <w:tcW w:w="147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r>
      <w:bookmarkEnd w:id="6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69" w:name="OLE_LINK28"/>
            <w:bookmarkStart w:id="70" w:name="OLE_LINK30" w:colFirst="2" w:colLast="12"/>
            <w:r>
              <w:rPr>
                <w:rFonts w:hint="eastAsia" w:ascii="宋体"/>
                <w:kern w:val="0"/>
                <w:sz w:val="18"/>
                <w:szCs w:val="18"/>
              </w:rPr>
              <w:t>022Cr17Ni13Mo2</w:t>
            </w:r>
            <w:bookmarkEnd w:id="69"/>
          </w:p>
        </w:tc>
        <w:tc>
          <w:tcPr>
            <w:tcW w:w="8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708"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71" w:name="OLE_LINK14"/>
            <w:r>
              <w:rPr>
                <w:rFonts w:hint="eastAsia" w:ascii="宋体"/>
                <w:kern w:val="0"/>
                <w:sz w:val="18"/>
                <w:szCs w:val="18"/>
              </w:rPr>
              <w:t>≤0.75</w:t>
            </w:r>
            <w:bookmarkEnd w:id="71"/>
          </w:p>
        </w:tc>
        <w:tc>
          <w:tcPr>
            <w:tcW w:w="70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≤2.00</w:t>
            </w:r>
          </w:p>
        </w:tc>
        <w:tc>
          <w:tcPr>
            <w:tcW w:w="64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62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≤0.020</w:t>
            </w:r>
          </w:p>
        </w:tc>
        <w:tc>
          <w:tcPr>
            <w:tcW w:w="742"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12.00~14.00</w:t>
            </w:r>
          </w:p>
        </w:tc>
        <w:tc>
          <w:tcPr>
            <w:tcW w:w="7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16.00~18.00</w:t>
            </w:r>
          </w:p>
        </w:tc>
        <w:tc>
          <w:tcPr>
            <w:tcW w:w="705"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2.00~3.00</w:t>
            </w:r>
          </w:p>
        </w:tc>
        <w:tc>
          <w:tcPr>
            <w:tcW w:w="72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≤0.10</w:t>
            </w:r>
          </w:p>
        </w:tc>
        <w:tc>
          <w:tcPr>
            <w:tcW w:w="147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r>
      <w:bookmarkEnd w:id="7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022Cr17Ni13Mo2N</w:t>
            </w:r>
          </w:p>
        </w:tc>
        <w:tc>
          <w:tcPr>
            <w:tcW w:w="8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bookmarkStart w:id="72" w:name="OLE_LINK12"/>
            <w:r>
              <w:rPr>
                <w:rFonts w:hint="eastAsia" w:ascii="宋体"/>
                <w:kern w:val="0"/>
                <w:sz w:val="18"/>
                <w:szCs w:val="18"/>
              </w:rPr>
              <w:t>≤0.03</w:t>
            </w:r>
            <w:bookmarkEnd w:id="72"/>
            <w:r>
              <w:rPr>
                <w:rFonts w:hint="eastAsia" w:ascii="宋体"/>
                <w:kern w:val="0"/>
                <w:sz w:val="18"/>
                <w:szCs w:val="18"/>
              </w:rPr>
              <w:t>0</w:t>
            </w:r>
          </w:p>
        </w:tc>
        <w:tc>
          <w:tcPr>
            <w:tcW w:w="708"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≤1.00</w:t>
            </w:r>
          </w:p>
        </w:tc>
        <w:tc>
          <w:tcPr>
            <w:tcW w:w="70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≤2.00</w:t>
            </w:r>
          </w:p>
        </w:tc>
        <w:tc>
          <w:tcPr>
            <w:tcW w:w="64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62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≤0.020</w:t>
            </w:r>
          </w:p>
        </w:tc>
        <w:tc>
          <w:tcPr>
            <w:tcW w:w="742"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12.00~14.00</w:t>
            </w:r>
          </w:p>
        </w:tc>
        <w:tc>
          <w:tcPr>
            <w:tcW w:w="7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16.00~18.00</w:t>
            </w:r>
          </w:p>
        </w:tc>
        <w:tc>
          <w:tcPr>
            <w:tcW w:w="705"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2.00~3.00</w:t>
            </w:r>
          </w:p>
        </w:tc>
        <w:tc>
          <w:tcPr>
            <w:tcW w:w="72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0.10~0.22</w:t>
            </w:r>
          </w:p>
        </w:tc>
        <w:tc>
          <w:tcPr>
            <w:tcW w:w="147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364"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05Cr22Ni14Mn5Mo2NbVN</w:t>
            </w:r>
          </w:p>
        </w:tc>
        <w:tc>
          <w:tcPr>
            <w:tcW w:w="8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≤0.06</w:t>
            </w:r>
          </w:p>
        </w:tc>
        <w:tc>
          <w:tcPr>
            <w:tcW w:w="708"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≤0.75</w:t>
            </w:r>
          </w:p>
        </w:tc>
        <w:tc>
          <w:tcPr>
            <w:tcW w:w="70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4.00~6.00</w:t>
            </w:r>
          </w:p>
        </w:tc>
        <w:tc>
          <w:tcPr>
            <w:tcW w:w="649"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≤0.040</w:t>
            </w:r>
          </w:p>
        </w:tc>
        <w:tc>
          <w:tcPr>
            <w:tcW w:w="621"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≤0.030</w:t>
            </w:r>
          </w:p>
        </w:tc>
        <w:tc>
          <w:tcPr>
            <w:tcW w:w="742"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13.00~15.00</w:t>
            </w:r>
          </w:p>
        </w:tc>
        <w:tc>
          <w:tcPr>
            <w:tcW w:w="75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20.00~23.00</w:t>
            </w:r>
          </w:p>
        </w:tc>
        <w:tc>
          <w:tcPr>
            <w:tcW w:w="705"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1.50~3.00</w:t>
            </w:r>
          </w:p>
        </w:tc>
        <w:tc>
          <w:tcPr>
            <w:tcW w:w="720" w:type="dxa"/>
            <w:vAlign w:val="center"/>
          </w:tcPr>
          <w:p>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0.20~0.40</w:t>
            </w:r>
          </w:p>
        </w:tc>
        <w:tc>
          <w:tcPr>
            <w:tcW w:w="1471" w:type="dxa"/>
            <w:vAlign w:val="center"/>
          </w:tcPr>
          <w:p>
            <w:pPr>
              <w:widowControl/>
              <w:tabs>
                <w:tab w:val="center" w:pos="4201"/>
                <w:tab w:val="right" w:leader="dot" w:pos="9298"/>
              </w:tabs>
              <w:autoSpaceDE w:val="0"/>
              <w:autoSpaceDN w:val="0"/>
              <w:adjustRightInd w:val="0"/>
              <w:snapToGrid w:val="0"/>
              <w:rPr>
                <w:rFonts w:ascii="宋体"/>
                <w:kern w:val="0"/>
                <w:sz w:val="18"/>
                <w:szCs w:val="18"/>
              </w:rPr>
            </w:pPr>
            <w:r>
              <w:rPr>
                <w:rFonts w:hint="eastAsia" w:ascii="宋体"/>
                <w:kern w:val="0"/>
                <w:sz w:val="18"/>
                <w:szCs w:val="18"/>
              </w:rPr>
              <w:t>Nb：0.1~0.30，</w:t>
            </w:r>
          </w:p>
          <w:p>
            <w:pPr>
              <w:widowControl/>
              <w:tabs>
                <w:tab w:val="center" w:pos="4201"/>
                <w:tab w:val="right" w:leader="dot" w:pos="9298"/>
              </w:tabs>
              <w:autoSpaceDE w:val="0"/>
              <w:autoSpaceDN w:val="0"/>
              <w:adjustRightInd w:val="0"/>
              <w:snapToGrid w:val="0"/>
              <w:rPr>
                <w:rFonts w:ascii="宋体"/>
                <w:kern w:val="0"/>
                <w:sz w:val="18"/>
                <w:szCs w:val="18"/>
              </w:rPr>
            </w:pPr>
            <w:r>
              <w:rPr>
                <w:rFonts w:hint="eastAsia" w:ascii="宋体"/>
                <w:kern w:val="0"/>
                <w:sz w:val="18"/>
                <w:szCs w:val="18"/>
              </w:rPr>
              <w:t>V：0.10~0.30</w:t>
            </w:r>
          </w:p>
        </w:tc>
      </w:tr>
      <w:bookmarkEnd w:id="52"/>
      <w:bookmarkEnd w:id="53"/>
      <w:bookmarkEnd w:id="54"/>
    </w:tbl>
    <w:p>
      <w:pPr>
        <w:pStyle w:val="47"/>
        <w:shd w:val="clear" w:color="auto" w:fill="FFFFFF" w:themeFill="background1"/>
        <w:spacing w:before="156" w:after="156"/>
        <w:ind w:left="0"/>
        <w:rPr>
          <w:rFonts w:ascii="Times New Roman"/>
        </w:rPr>
      </w:pPr>
      <w:r>
        <w:rPr>
          <w:rFonts w:ascii="Times New Roman"/>
        </w:rPr>
        <w:t>交货状态</w:t>
      </w:r>
    </w:p>
    <w:p>
      <w:pPr>
        <w:pStyle w:val="50"/>
        <w:shd w:val="clear" w:color="auto" w:fill="FFFFFF" w:themeFill="background1"/>
        <w:spacing w:before="156" w:after="156"/>
        <w:rPr>
          <w:rFonts w:ascii="Times New Roman" w:eastAsia="宋体"/>
        </w:rPr>
      </w:pPr>
      <w:bookmarkStart w:id="73" w:name="OLE_LINK72"/>
      <w:r>
        <w:rPr>
          <w:rFonts w:ascii="Times New Roman" w:eastAsia="宋体"/>
        </w:rPr>
        <w:t>钢板及钢带经</w:t>
      </w:r>
      <w:r>
        <w:rPr>
          <w:rFonts w:hint="eastAsia" w:ascii="Times New Roman" w:eastAsia="宋体"/>
        </w:rPr>
        <w:t>热轧或</w:t>
      </w:r>
      <w:r>
        <w:rPr>
          <w:rFonts w:ascii="Times New Roman" w:eastAsia="宋体"/>
        </w:rPr>
        <w:t>冷轧后，可经热处理及酸洗或类似处理后交货。当进行光亮热处理时，可省去酸洗等处理。</w:t>
      </w:r>
      <w:bookmarkEnd w:id="73"/>
      <w:r>
        <w:rPr>
          <w:rFonts w:ascii="Times New Roman" w:eastAsia="宋体"/>
        </w:rPr>
        <w:t>热处理制度参见附录B。</w:t>
      </w:r>
    </w:p>
    <w:p>
      <w:pPr>
        <w:pStyle w:val="50"/>
        <w:shd w:val="clear" w:color="auto" w:fill="FFFFFF" w:themeFill="background1"/>
        <w:spacing w:before="156" w:after="156"/>
        <w:rPr>
          <w:rFonts w:ascii="Times New Roman" w:eastAsia="宋体"/>
        </w:rPr>
      </w:pPr>
      <w:r>
        <w:rPr>
          <w:rFonts w:ascii="Times New Roman" w:eastAsia="宋体"/>
        </w:rPr>
        <w:t>必要时可进行矫直、平整或研磨。</w:t>
      </w:r>
    </w:p>
    <w:p>
      <w:pPr>
        <w:pStyle w:val="47"/>
        <w:shd w:val="clear" w:color="auto" w:fill="FFFFFF" w:themeFill="background1"/>
        <w:spacing w:before="156" w:after="156"/>
        <w:ind w:left="0"/>
        <w:rPr>
          <w:rFonts w:ascii="Times New Roman"/>
        </w:rPr>
      </w:pPr>
      <w:r>
        <w:rPr>
          <w:rFonts w:ascii="Times New Roman"/>
        </w:rPr>
        <w:t>力学性能</w:t>
      </w:r>
    </w:p>
    <w:p>
      <w:pPr>
        <w:pStyle w:val="50"/>
        <w:shd w:val="clear" w:color="auto" w:fill="FFFFFF" w:themeFill="background1"/>
        <w:spacing w:before="156" w:after="156"/>
        <w:rPr>
          <w:rFonts w:ascii="Times New Roman" w:eastAsia="宋体"/>
        </w:rPr>
      </w:pPr>
      <w:r>
        <w:rPr>
          <w:rFonts w:ascii="Times New Roman" w:eastAsia="宋体"/>
        </w:rPr>
        <w:t>钢板及钢带的力学性能应符合表3规定。</w:t>
      </w:r>
    </w:p>
    <w:p>
      <w:pPr>
        <w:pStyle w:val="50"/>
        <w:shd w:val="clear" w:color="auto" w:fill="FFFFFF" w:themeFill="background1"/>
        <w:spacing w:before="156" w:after="156"/>
        <w:rPr>
          <w:rFonts w:ascii="Times New Roman" w:eastAsia="宋体"/>
        </w:rPr>
      </w:pPr>
      <w:r>
        <w:rPr>
          <w:rFonts w:ascii="Times New Roman" w:eastAsia="宋体"/>
        </w:rPr>
        <w:t>对于几种硬度试验，可根据钢板的不同尺寸和状态选择其中一种方法试验。</w:t>
      </w:r>
    </w:p>
    <w:p>
      <w:pPr>
        <w:pStyle w:val="77"/>
        <w:numPr>
          <w:ilvl w:val="0"/>
          <w:numId w:val="0"/>
        </w:numPr>
        <w:shd w:val="clear" w:color="auto" w:fill="FFFFFF" w:themeFill="background1"/>
        <w:spacing w:before="156" w:after="156"/>
        <w:rPr>
          <w:rFonts w:ascii="Times New Roman"/>
        </w:rPr>
      </w:pPr>
      <w:r>
        <w:rPr>
          <w:rFonts w:ascii="Times New Roman"/>
        </w:rPr>
        <w:t>表3  力学性能</w:t>
      </w:r>
    </w:p>
    <w:tbl>
      <w:tblPr>
        <w:tblStyle w:val="149"/>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3"/>
        <w:gridCol w:w="1160"/>
        <w:gridCol w:w="1207"/>
        <w:gridCol w:w="1381"/>
        <w:gridCol w:w="859"/>
        <w:gridCol w:w="833"/>
        <w:gridCol w:w="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2383" w:type="dxa"/>
            <w:vMerge w:val="restart"/>
            <w:vAlign w:val="center"/>
          </w:tcPr>
          <w:p>
            <w:pPr>
              <w:widowControl/>
              <w:tabs>
                <w:tab w:val="center" w:pos="4201"/>
                <w:tab w:val="right" w:leader="dot" w:pos="9298"/>
              </w:tabs>
              <w:autoSpaceDE w:val="0"/>
              <w:autoSpaceDN w:val="0"/>
              <w:jc w:val="center"/>
              <w:rPr>
                <w:rFonts w:ascii="宋体"/>
                <w:kern w:val="0"/>
                <w:sz w:val="18"/>
                <w:szCs w:val="18"/>
              </w:rPr>
            </w:pPr>
            <w:bookmarkStart w:id="74" w:name="OLE_LINK71"/>
            <w:r>
              <w:rPr>
                <w:rFonts w:ascii="宋体"/>
                <w:kern w:val="0"/>
                <w:sz w:val="18"/>
                <w:szCs w:val="18"/>
              </w:rPr>
              <w:t>牌号</w:t>
            </w:r>
          </w:p>
        </w:tc>
        <w:tc>
          <w:tcPr>
            <w:tcW w:w="1160" w:type="dxa"/>
            <w:vMerge w:val="restart"/>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屈服强度</w:t>
            </w:r>
            <w:r>
              <w:rPr>
                <w:rFonts w:ascii="宋体"/>
                <w:i/>
                <w:iCs/>
                <w:kern w:val="0"/>
                <w:sz w:val="18"/>
                <w:szCs w:val="18"/>
                <w:lang w:eastAsia="en-US"/>
              </w:rPr>
              <w:t>R</w:t>
            </w:r>
            <w:r>
              <w:rPr>
                <w:rFonts w:ascii="宋体"/>
                <w:i/>
                <w:iCs/>
                <w:kern w:val="0"/>
                <w:sz w:val="18"/>
                <w:szCs w:val="18"/>
                <w:vertAlign w:val="subscript"/>
              </w:rPr>
              <w:t>p</w:t>
            </w:r>
            <w:r>
              <w:rPr>
                <w:rFonts w:ascii="宋体"/>
                <w:i/>
                <w:iCs/>
                <w:kern w:val="0"/>
                <w:sz w:val="18"/>
                <w:szCs w:val="18"/>
                <w:vertAlign w:val="subscript"/>
                <w:lang w:eastAsia="en-US"/>
              </w:rPr>
              <w:t>0.2</w:t>
            </w:r>
            <w:r>
              <w:rPr>
                <w:rFonts w:ascii="宋体"/>
                <w:i/>
                <w:iCs/>
                <w:kern w:val="0"/>
                <w:sz w:val="18"/>
                <w:szCs w:val="18"/>
                <w:lang w:eastAsia="en-US"/>
              </w:rPr>
              <w:t>/</w:t>
            </w:r>
            <w:r>
              <w:rPr>
                <w:rFonts w:ascii="宋体"/>
                <w:kern w:val="0"/>
                <w:sz w:val="18"/>
                <w:szCs w:val="18"/>
                <w:lang w:eastAsia="en-US"/>
              </w:rPr>
              <w:t>MPa</w:t>
            </w:r>
          </w:p>
        </w:tc>
        <w:tc>
          <w:tcPr>
            <w:tcW w:w="1207" w:type="dxa"/>
            <w:vMerge w:val="restart"/>
            <w:tcBorders>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抗拉强度</w:t>
            </w:r>
            <w:r>
              <w:rPr>
                <w:rFonts w:ascii="宋体"/>
                <w:i/>
                <w:iCs/>
                <w:kern w:val="0"/>
                <w:sz w:val="18"/>
                <w:szCs w:val="18"/>
                <w:lang w:eastAsia="en-US"/>
              </w:rPr>
              <w:t>R</w:t>
            </w:r>
            <w:r>
              <w:rPr>
                <w:rFonts w:ascii="宋体"/>
                <w:i/>
                <w:iCs/>
                <w:kern w:val="0"/>
                <w:sz w:val="18"/>
                <w:szCs w:val="18"/>
                <w:vertAlign w:val="subscript"/>
                <w:lang w:eastAsia="en-US"/>
              </w:rPr>
              <w:t>m</w:t>
            </w:r>
            <w:r>
              <w:rPr>
                <w:rFonts w:ascii="宋体"/>
                <w:kern w:val="0"/>
                <w:sz w:val="18"/>
                <w:szCs w:val="18"/>
                <w:lang w:eastAsia="en-US"/>
              </w:rPr>
              <w:t>/MPa</w:t>
            </w:r>
          </w:p>
        </w:tc>
        <w:tc>
          <w:tcPr>
            <w:tcW w:w="1381" w:type="dxa"/>
            <w:vMerge w:val="restart"/>
            <w:tcBorders>
              <w:left w:val="single" w:color="auto" w:sz="4" w:space="0"/>
              <w:right w:val="single" w:color="auto" w:sz="4" w:space="0"/>
            </w:tcBorders>
            <w:vAlign w:val="center"/>
          </w:tcPr>
          <w:p>
            <w:pPr>
              <w:shd w:val="clear" w:color="auto" w:fill="FFFFFF" w:themeFill="background1"/>
              <w:jc w:val="center"/>
              <w:rPr>
                <w:rFonts w:ascii="宋体"/>
                <w:sz w:val="18"/>
                <w:szCs w:val="18"/>
                <w:vertAlign w:val="superscript"/>
              </w:rPr>
            </w:pPr>
            <w:r>
              <w:rPr>
                <w:rFonts w:ascii="宋体"/>
                <w:sz w:val="18"/>
                <w:szCs w:val="18"/>
                <w:lang w:val="zh-TW" w:eastAsia="zh-TW"/>
              </w:rPr>
              <w:t>断后伸长率</w:t>
            </w:r>
            <w:r>
              <w:rPr>
                <w:rFonts w:ascii="宋体"/>
                <w:sz w:val="18"/>
                <w:szCs w:val="18"/>
                <w:vertAlign w:val="superscript"/>
              </w:rPr>
              <w:t>a</w:t>
            </w:r>
          </w:p>
          <w:p>
            <w:pPr>
              <w:widowControl/>
              <w:jc w:val="center"/>
              <w:rPr>
                <w:rFonts w:ascii="宋体"/>
                <w:i/>
                <w:iCs/>
                <w:sz w:val="18"/>
                <w:szCs w:val="18"/>
              </w:rPr>
            </w:pPr>
            <w:r>
              <w:rPr>
                <w:rFonts w:ascii="宋体"/>
                <w:sz w:val="18"/>
                <w:szCs w:val="18"/>
              </w:rPr>
              <w:t>A</w:t>
            </w:r>
            <w:r>
              <w:rPr>
                <w:rFonts w:ascii="宋体"/>
                <w:sz w:val="18"/>
                <w:szCs w:val="18"/>
                <w:vertAlign w:val="subscript"/>
              </w:rPr>
              <w:t>mm</w:t>
            </w:r>
            <w:r>
              <w:rPr>
                <w:rFonts w:ascii="宋体"/>
                <w:sz w:val="18"/>
                <w:szCs w:val="18"/>
              </w:rPr>
              <w:t>/%</w:t>
            </w:r>
          </w:p>
        </w:tc>
        <w:tc>
          <w:tcPr>
            <w:tcW w:w="2482" w:type="dxa"/>
            <w:gridSpan w:val="3"/>
            <w:tcBorders>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硬度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Merge w:val="continue"/>
            <w:vAlign w:val="center"/>
          </w:tcPr>
          <w:p>
            <w:pPr>
              <w:widowControl/>
              <w:tabs>
                <w:tab w:val="center" w:pos="4201"/>
                <w:tab w:val="right" w:leader="dot" w:pos="9298"/>
              </w:tabs>
              <w:autoSpaceDE w:val="0"/>
              <w:autoSpaceDN w:val="0"/>
              <w:jc w:val="center"/>
              <w:rPr>
                <w:rFonts w:ascii="宋体"/>
                <w:kern w:val="0"/>
                <w:sz w:val="18"/>
                <w:szCs w:val="18"/>
              </w:rPr>
            </w:pPr>
          </w:p>
        </w:tc>
        <w:tc>
          <w:tcPr>
            <w:tcW w:w="1160" w:type="dxa"/>
            <w:vMerge w:val="continue"/>
            <w:tcBorders>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p>
        </w:tc>
        <w:tc>
          <w:tcPr>
            <w:tcW w:w="1207" w:type="dxa"/>
            <w:vMerge w:val="continue"/>
            <w:tcBorders>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p>
        </w:tc>
        <w:tc>
          <w:tcPr>
            <w:tcW w:w="1381" w:type="dxa"/>
            <w:vMerge w:val="continue"/>
            <w:tcBorders>
              <w:left w:val="single" w:color="auto" w:sz="4" w:space="0"/>
              <w:right w:val="single" w:color="auto" w:sz="4" w:space="0"/>
            </w:tcBorders>
            <w:vAlign w:val="center"/>
          </w:tcPr>
          <w:p>
            <w:pPr>
              <w:jc w:val="center"/>
              <w:rPr>
                <w:rFonts w:ascii="宋体"/>
                <w:sz w:val="18"/>
                <w:szCs w:val="18"/>
                <w:lang w:val="zh-TW" w:eastAsia="zh-TW"/>
              </w:rPr>
            </w:pPr>
          </w:p>
        </w:tc>
        <w:tc>
          <w:tcPr>
            <w:tcW w:w="859" w:type="dxa"/>
            <w:tcBorders>
              <w:top w:val="single" w:color="auto" w:sz="4"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HBW</w:t>
            </w:r>
          </w:p>
        </w:tc>
        <w:tc>
          <w:tcPr>
            <w:tcW w:w="833" w:type="dxa"/>
            <w:tcBorders>
              <w:top w:val="single" w:color="auto" w:sz="4"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HRB</w:t>
            </w:r>
          </w:p>
        </w:tc>
        <w:tc>
          <w:tcPr>
            <w:tcW w:w="790" w:type="dxa"/>
            <w:tcBorders>
              <w:top w:val="single" w:color="auto" w:sz="4"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HV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Merge w:val="continue"/>
            <w:vAlign w:val="center"/>
          </w:tcPr>
          <w:p>
            <w:pPr>
              <w:widowControl/>
              <w:tabs>
                <w:tab w:val="center" w:pos="4201"/>
                <w:tab w:val="right" w:leader="dot" w:pos="9298"/>
              </w:tabs>
              <w:autoSpaceDE w:val="0"/>
              <w:autoSpaceDN w:val="0"/>
              <w:jc w:val="center"/>
              <w:rPr>
                <w:rFonts w:ascii="宋体"/>
                <w:kern w:val="0"/>
                <w:sz w:val="18"/>
                <w:szCs w:val="18"/>
              </w:rPr>
            </w:pPr>
          </w:p>
        </w:tc>
        <w:tc>
          <w:tcPr>
            <w:tcW w:w="3748" w:type="dxa"/>
            <w:gridSpan w:val="3"/>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不小于</w:t>
            </w:r>
          </w:p>
        </w:tc>
        <w:tc>
          <w:tcPr>
            <w:tcW w:w="2482" w:type="dxa"/>
            <w:gridSpan w:val="3"/>
            <w:tcBorders>
              <w:lef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不大于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Align w:val="center"/>
          </w:tcPr>
          <w:p>
            <w:pPr>
              <w:widowControl/>
              <w:tabs>
                <w:tab w:val="center" w:pos="4201"/>
                <w:tab w:val="right" w:leader="dot" w:pos="9298"/>
              </w:tabs>
              <w:autoSpaceDE w:val="0"/>
              <w:autoSpaceDN w:val="0"/>
              <w:jc w:val="center"/>
              <w:rPr>
                <w:rFonts w:ascii="宋体"/>
                <w:kern w:val="0"/>
                <w:sz w:val="18"/>
                <w:szCs w:val="18"/>
              </w:rPr>
            </w:pPr>
            <w:bookmarkStart w:id="75" w:name="OLE_LINK36" w:colFirst="2" w:colLast="7"/>
            <w:bookmarkStart w:id="76" w:name="OLE_LINK69" w:colFirst="0" w:colLast="0"/>
            <w:bookmarkStart w:id="77" w:name="OLE_LINK42" w:colFirst="1" w:colLast="1"/>
            <w:r>
              <w:rPr>
                <w:rFonts w:hint="eastAsia" w:ascii="宋体"/>
                <w:kern w:val="0"/>
                <w:sz w:val="18"/>
                <w:szCs w:val="18"/>
              </w:rPr>
              <w:t>10Cr18Ni12</w:t>
            </w:r>
          </w:p>
        </w:tc>
        <w:tc>
          <w:tcPr>
            <w:tcW w:w="116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175</w:t>
            </w:r>
          </w:p>
        </w:tc>
        <w:tc>
          <w:tcPr>
            <w:tcW w:w="1207"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480</w:t>
            </w:r>
          </w:p>
        </w:tc>
        <w:tc>
          <w:tcPr>
            <w:tcW w:w="1381" w:type="dxa"/>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c>
          <w:tcPr>
            <w:tcW w:w="859"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183</w:t>
            </w:r>
          </w:p>
        </w:tc>
        <w:tc>
          <w:tcPr>
            <w:tcW w:w="83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88</w:t>
            </w:r>
          </w:p>
        </w:tc>
        <w:tc>
          <w:tcPr>
            <w:tcW w:w="79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200</w:t>
            </w:r>
          </w:p>
        </w:tc>
      </w:tr>
      <w:bookmarkEnd w:id="7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06Cr18Ni12</w:t>
            </w:r>
          </w:p>
        </w:tc>
        <w:tc>
          <w:tcPr>
            <w:tcW w:w="116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175</w:t>
            </w:r>
          </w:p>
        </w:tc>
        <w:tc>
          <w:tcPr>
            <w:tcW w:w="1207"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480</w:t>
            </w:r>
          </w:p>
        </w:tc>
        <w:tc>
          <w:tcPr>
            <w:tcW w:w="1381" w:type="dxa"/>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c>
          <w:tcPr>
            <w:tcW w:w="859"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183</w:t>
            </w:r>
          </w:p>
        </w:tc>
        <w:tc>
          <w:tcPr>
            <w:tcW w:w="83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88</w:t>
            </w:r>
          </w:p>
        </w:tc>
        <w:tc>
          <w:tcPr>
            <w:tcW w:w="79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05Cr16Ni14</w:t>
            </w:r>
          </w:p>
        </w:tc>
        <w:tc>
          <w:tcPr>
            <w:tcW w:w="116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170</w:t>
            </w:r>
          </w:p>
        </w:tc>
        <w:tc>
          <w:tcPr>
            <w:tcW w:w="1207"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450</w:t>
            </w:r>
          </w:p>
        </w:tc>
        <w:tc>
          <w:tcPr>
            <w:tcW w:w="1381" w:type="dxa"/>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c>
          <w:tcPr>
            <w:tcW w:w="859"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183</w:t>
            </w:r>
          </w:p>
        </w:tc>
        <w:tc>
          <w:tcPr>
            <w:tcW w:w="83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88</w:t>
            </w:r>
          </w:p>
        </w:tc>
        <w:tc>
          <w:tcPr>
            <w:tcW w:w="79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06Cr25Ni20</w:t>
            </w:r>
          </w:p>
        </w:tc>
        <w:tc>
          <w:tcPr>
            <w:tcW w:w="116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205</w:t>
            </w:r>
          </w:p>
        </w:tc>
        <w:tc>
          <w:tcPr>
            <w:tcW w:w="1207"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515</w:t>
            </w:r>
          </w:p>
        </w:tc>
        <w:tc>
          <w:tcPr>
            <w:tcW w:w="1381" w:type="dxa"/>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c>
          <w:tcPr>
            <w:tcW w:w="859"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217</w:t>
            </w:r>
          </w:p>
        </w:tc>
        <w:tc>
          <w:tcPr>
            <w:tcW w:w="83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95</w:t>
            </w:r>
          </w:p>
        </w:tc>
        <w:tc>
          <w:tcPr>
            <w:tcW w:w="79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Align w:val="center"/>
          </w:tcPr>
          <w:p>
            <w:pPr>
              <w:widowControl/>
              <w:tabs>
                <w:tab w:val="center" w:pos="4201"/>
                <w:tab w:val="right" w:leader="dot" w:pos="9298"/>
              </w:tabs>
              <w:autoSpaceDE w:val="0"/>
              <w:autoSpaceDN w:val="0"/>
              <w:jc w:val="center"/>
              <w:rPr>
                <w:rFonts w:ascii="宋体"/>
                <w:kern w:val="0"/>
                <w:sz w:val="18"/>
                <w:szCs w:val="18"/>
              </w:rPr>
            </w:pPr>
            <w:bookmarkStart w:id="78" w:name="OLE_LINK33" w:colFirst="2" w:colLast="7"/>
            <w:r>
              <w:rPr>
                <w:rFonts w:hint="eastAsia" w:ascii="宋体"/>
                <w:kern w:val="0"/>
                <w:sz w:val="18"/>
                <w:szCs w:val="18"/>
              </w:rPr>
              <w:t>022Cr18Ni11</w:t>
            </w:r>
          </w:p>
        </w:tc>
        <w:tc>
          <w:tcPr>
            <w:tcW w:w="116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180</w:t>
            </w:r>
          </w:p>
        </w:tc>
        <w:tc>
          <w:tcPr>
            <w:tcW w:w="1207"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485</w:t>
            </w:r>
          </w:p>
        </w:tc>
        <w:tc>
          <w:tcPr>
            <w:tcW w:w="1381" w:type="dxa"/>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c>
          <w:tcPr>
            <w:tcW w:w="859"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201</w:t>
            </w:r>
          </w:p>
        </w:tc>
        <w:tc>
          <w:tcPr>
            <w:tcW w:w="83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92</w:t>
            </w:r>
          </w:p>
        </w:tc>
        <w:tc>
          <w:tcPr>
            <w:tcW w:w="79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210</w:t>
            </w:r>
          </w:p>
        </w:tc>
      </w:tr>
      <w:bookmarkEnd w:id="7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Align w:val="center"/>
          </w:tcPr>
          <w:p>
            <w:pPr>
              <w:widowControl/>
              <w:tabs>
                <w:tab w:val="center" w:pos="4201"/>
                <w:tab w:val="right" w:leader="dot" w:pos="9298"/>
              </w:tabs>
              <w:autoSpaceDE w:val="0"/>
              <w:autoSpaceDN w:val="0"/>
              <w:jc w:val="center"/>
              <w:rPr>
                <w:rFonts w:ascii="宋体"/>
                <w:kern w:val="0"/>
                <w:sz w:val="18"/>
                <w:szCs w:val="18"/>
              </w:rPr>
            </w:pPr>
            <w:bookmarkStart w:id="79" w:name="OLE_LINK34" w:colFirst="5" w:colLast="7"/>
            <w:r>
              <w:rPr>
                <w:rFonts w:hint="eastAsia" w:ascii="宋体"/>
                <w:kern w:val="0"/>
                <w:sz w:val="18"/>
                <w:szCs w:val="18"/>
              </w:rPr>
              <w:t>022Cr17Ni13Mo2</w:t>
            </w:r>
          </w:p>
        </w:tc>
        <w:tc>
          <w:tcPr>
            <w:tcW w:w="116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180</w:t>
            </w:r>
          </w:p>
        </w:tc>
        <w:tc>
          <w:tcPr>
            <w:tcW w:w="1207"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485</w:t>
            </w:r>
          </w:p>
        </w:tc>
        <w:tc>
          <w:tcPr>
            <w:tcW w:w="1381" w:type="dxa"/>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c>
          <w:tcPr>
            <w:tcW w:w="859"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217</w:t>
            </w:r>
          </w:p>
        </w:tc>
        <w:tc>
          <w:tcPr>
            <w:tcW w:w="83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95</w:t>
            </w:r>
          </w:p>
        </w:tc>
        <w:tc>
          <w:tcPr>
            <w:tcW w:w="79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220</w:t>
            </w:r>
          </w:p>
        </w:tc>
      </w:tr>
      <w:bookmarkEnd w:id="7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Align w:val="center"/>
          </w:tcPr>
          <w:p>
            <w:pPr>
              <w:widowControl/>
              <w:tabs>
                <w:tab w:val="center" w:pos="4201"/>
                <w:tab w:val="right" w:leader="dot" w:pos="9298"/>
              </w:tabs>
              <w:autoSpaceDE w:val="0"/>
              <w:autoSpaceDN w:val="0"/>
              <w:jc w:val="center"/>
              <w:rPr>
                <w:rFonts w:ascii="宋体"/>
                <w:kern w:val="0"/>
                <w:sz w:val="18"/>
                <w:szCs w:val="18"/>
              </w:rPr>
            </w:pPr>
            <w:bookmarkStart w:id="80" w:name="OLE_LINK35" w:colFirst="2" w:colLast="7"/>
            <w:r>
              <w:rPr>
                <w:rFonts w:hint="eastAsia" w:ascii="宋体"/>
                <w:kern w:val="0"/>
                <w:sz w:val="18"/>
                <w:szCs w:val="18"/>
              </w:rPr>
              <w:t>022Cr17Ni13Mo2N</w:t>
            </w:r>
          </w:p>
        </w:tc>
        <w:tc>
          <w:tcPr>
            <w:tcW w:w="116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205</w:t>
            </w:r>
          </w:p>
        </w:tc>
        <w:tc>
          <w:tcPr>
            <w:tcW w:w="1207"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515</w:t>
            </w:r>
          </w:p>
        </w:tc>
        <w:tc>
          <w:tcPr>
            <w:tcW w:w="1381" w:type="dxa"/>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c>
          <w:tcPr>
            <w:tcW w:w="859"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217</w:t>
            </w:r>
          </w:p>
        </w:tc>
        <w:tc>
          <w:tcPr>
            <w:tcW w:w="83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95</w:t>
            </w:r>
          </w:p>
        </w:tc>
        <w:tc>
          <w:tcPr>
            <w:tcW w:w="79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220</w:t>
            </w:r>
          </w:p>
        </w:tc>
      </w:tr>
      <w:bookmarkEnd w:id="76"/>
      <w:bookmarkEnd w:id="8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2383" w:type="dxa"/>
            <w:vAlign w:val="center"/>
          </w:tcPr>
          <w:p>
            <w:pPr>
              <w:widowControl/>
              <w:tabs>
                <w:tab w:val="center" w:pos="4201"/>
                <w:tab w:val="right" w:leader="dot" w:pos="9298"/>
              </w:tabs>
              <w:autoSpaceDE w:val="0"/>
              <w:autoSpaceDN w:val="0"/>
              <w:jc w:val="center"/>
              <w:rPr>
                <w:rFonts w:ascii="宋体"/>
                <w:kern w:val="0"/>
                <w:sz w:val="18"/>
                <w:szCs w:val="18"/>
              </w:rPr>
            </w:pPr>
            <w:bookmarkStart w:id="81" w:name="OLE_LINK70"/>
            <w:r>
              <w:rPr>
                <w:rFonts w:hint="eastAsia" w:ascii="宋体"/>
                <w:kern w:val="0"/>
                <w:sz w:val="18"/>
                <w:szCs w:val="18"/>
              </w:rPr>
              <w:t>05Cr22Ni14Mn5Mo2NbVN</w:t>
            </w:r>
            <w:bookmarkEnd w:id="81"/>
          </w:p>
        </w:tc>
        <w:tc>
          <w:tcPr>
            <w:tcW w:w="116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380</w:t>
            </w:r>
          </w:p>
        </w:tc>
        <w:tc>
          <w:tcPr>
            <w:tcW w:w="1207"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690</w:t>
            </w:r>
          </w:p>
        </w:tc>
        <w:tc>
          <w:tcPr>
            <w:tcW w:w="1381" w:type="dxa"/>
            <w:tcBorders>
              <w:right w:val="single" w:color="auto" w:sz="4"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35</w:t>
            </w:r>
          </w:p>
        </w:tc>
        <w:tc>
          <w:tcPr>
            <w:tcW w:w="859"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241</w:t>
            </w:r>
          </w:p>
        </w:tc>
        <w:tc>
          <w:tcPr>
            <w:tcW w:w="833"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100</w:t>
            </w:r>
          </w:p>
        </w:tc>
        <w:tc>
          <w:tcPr>
            <w:tcW w:w="790" w:type="dxa"/>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8613" w:type="dxa"/>
            <w:gridSpan w:val="7"/>
            <w:vAlign w:val="center"/>
          </w:tcPr>
          <w:p>
            <w:pPr>
              <w:widowControl/>
              <w:tabs>
                <w:tab w:val="center" w:pos="4201"/>
                <w:tab w:val="right" w:leader="dot" w:pos="9298"/>
              </w:tabs>
              <w:autoSpaceDE w:val="0"/>
              <w:autoSpaceDN w:val="0"/>
              <w:rPr>
                <w:rFonts w:ascii="宋体"/>
                <w:kern w:val="0"/>
                <w:sz w:val="18"/>
                <w:szCs w:val="18"/>
              </w:rPr>
            </w:pPr>
            <w:r>
              <w:rPr>
                <w:rFonts w:hint="eastAsia" w:ascii="宋体"/>
                <w:sz w:val="18"/>
                <w:szCs w:val="18"/>
                <w:vertAlign w:val="superscript"/>
              </w:rPr>
              <w:t>a</w:t>
            </w:r>
            <w:r>
              <w:rPr>
                <w:rFonts w:hint="eastAsia" w:ascii="宋体"/>
                <w:kern w:val="0"/>
                <w:sz w:val="18"/>
                <w:szCs w:val="18"/>
              </w:rPr>
              <w:t>厚度不大于3mm时使用A</w:t>
            </w:r>
            <w:r>
              <w:rPr>
                <w:rFonts w:hint="eastAsia" w:ascii="宋体"/>
                <w:sz w:val="18"/>
                <w:szCs w:val="18"/>
                <w:vertAlign w:val="subscript"/>
              </w:rPr>
              <w:t>50</w:t>
            </w:r>
            <w:r>
              <w:rPr>
                <w:rFonts w:ascii="宋体"/>
                <w:sz w:val="18"/>
                <w:szCs w:val="18"/>
                <w:vertAlign w:val="subscript"/>
              </w:rPr>
              <w:t>mm</w:t>
            </w:r>
            <w:r>
              <w:rPr>
                <w:rFonts w:hint="eastAsia" w:ascii="宋体"/>
                <w:kern w:val="0"/>
                <w:sz w:val="18"/>
                <w:szCs w:val="18"/>
              </w:rPr>
              <w:t>试样。</w:t>
            </w:r>
          </w:p>
        </w:tc>
      </w:tr>
      <w:bookmarkEnd w:id="74"/>
      <w:bookmarkEnd w:id="77"/>
    </w:tbl>
    <w:p>
      <w:pPr>
        <w:pStyle w:val="47"/>
        <w:spacing w:before="156" w:after="156"/>
        <w:ind w:left="0"/>
        <w:rPr>
          <w:rFonts w:ascii="Times New Roman"/>
        </w:rPr>
      </w:pPr>
      <w:bookmarkStart w:id="82" w:name="OLE_LINK67"/>
      <w:r>
        <w:rPr>
          <w:rFonts w:hint="eastAsia" w:ascii="Times New Roman"/>
        </w:rPr>
        <w:t>磁导率</w:t>
      </w:r>
    </w:p>
    <w:bookmarkEnd w:id="82"/>
    <w:p>
      <w:pPr>
        <w:pStyle w:val="22"/>
        <w:rPr>
          <w:rFonts w:ascii="Times New Roman"/>
        </w:rPr>
      </w:pPr>
      <w:bookmarkStart w:id="83" w:name="OLE_LINK1"/>
      <w:bookmarkStart w:id="84" w:name="OLE_LINK68"/>
      <w:r>
        <w:rPr>
          <w:rFonts w:ascii="Times New Roman"/>
        </w:rPr>
        <w:t>根据需方要求，经供需双方协商，并在合同中注明，</w:t>
      </w:r>
      <w:bookmarkStart w:id="85" w:name="OLE_LINK3"/>
      <w:r>
        <w:rPr>
          <w:rFonts w:ascii="Times New Roman"/>
        </w:rPr>
        <w:t>钢板</w:t>
      </w:r>
      <w:bookmarkEnd w:id="85"/>
      <w:r>
        <w:rPr>
          <w:rFonts w:ascii="Times New Roman"/>
        </w:rPr>
        <w:t>及钢带</w:t>
      </w:r>
      <w:bookmarkEnd w:id="83"/>
      <w:r>
        <w:rPr>
          <w:rFonts w:ascii="Times New Roman"/>
        </w:rPr>
        <w:t>可按</w:t>
      </w:r>
      <w:bookmarkStart w:id="86" w:name="OLE_LINK51"/>
      <w:r>
        <w:rPr>
          <w:rFonts w:hint="eastAsia" w:ascii="Times New Roman"/>
        </w:rPr>
        <w:t>GB/T 35690</w:t>
      </w:r>
      <w:bookmarkEnd w:id="86"/>
      <w:r>
        <w:rPr>
          <w:rFonts w:hint="eastAsia" w:ascii="Times New Roman"/>
        </w:rPr>
        <w:t>的方法测量相对磁导率，推荐采用GB/T 35690中附录C《采用磁通扰动法测量弱磁材料的相对磁导率》来测量相对磁导率μ，相对磁导率推荐要求μ＜1.05。</w:t>
      </w:r>
    </w:p>
    <w:bookmarkEnd w:id="84"/>
    <w:p>
      <w:pPr>
        <w:pStyle w:val="47"/>
        <w:shd w:val="clear" w:color="auto" w:fill="FFFFFF" w:themeFill="background1"/>
        <w:spacing w:before="156" w:after="156"/>
        <w:ind w:left="0"/>
        <w:rPr>
          <w:rFonts w:ascii="Times New Roman"/>
        </w:rPr>
      </w:pPr>
      <w:bookmarkStart w:id="87" w:name="_Hlk40211994"/>
      <w:r>
        <w:rPr>
          <w:rFonts w:ascii="Times New Roman"/>
        </w:rPr>
        <w:t>表面加工类型</w:t>
      </w:r>
    </w:p>
    <w:p>
      <w:pPr>
        <w:pStyle w:val="22"/>
        <w:shd w:val="clear" w:color="auto" w:fill="FFFFFF" w:themeFill="background1"/>
        <w:rPr>
          <w:rFonts w:ascii="Times New Roman"/>
        </w:rPr>
      </w:pPr>
      <w:r>
        <w:rPr>
          <w:rFonts w:ascii="Times New Roman"/>
        </w:rPr>
        <w:t>钢板及钢带的表面加工类型见表4。</w:t>
      </w:r>
    </w:p>
    <w:p>
      <w:pPr>
        <w:pStyle w:val="77"/>
        <w:numPr>
          <w:ilvl w:val="0"/>
          <w:numId w:val="0"/>
        </w:numPr>
        <w:shd w:val="clear" w:color="auto" w:fill="FFFFFF" w:themeFill="background1"/>
        <w:spacing w:before="156" w:after="156"/>
        <w:rPr>
          <w:rFonts w:ascii="Times New Roman"/>
        </w:rPr>
      </w:pPr>
      <w:r>
        <w:rPr>
          <w:rFonts w:ascii="Times New Roman"/>
        </w:rPr>
        <w:t>表4  表面加工类型</w:t>
      </w:r>
    </w:p>
    <w:bookmarkEnd w:id="87"/>
    <w:tbl>
      <w:tblPr>
        <w:tblStyle w:val="149"/>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89"/>
        <w:gridCol w:w="1871"/>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jc w:val="center"/>
              <w:rPr>
                <w:rFonts w:ascii="宋体" w:hAnsi="宋体" w:cs="宋体"/>
                <w:sz w:val="18"/>
                <w:szCs w:val="18"/>
              </w:rPr>
            </w:pPr>
            <w:bookmarkStart w:id="88" w:name="OLE_LINK66"/>
            <w:r>
              <w:rPr>
                <w:rFonts w:hint="eastAsia" w:ascii="宋体" w:hAnsi="宋体" w:cs="宋体"/>
                <w:sz w:val="18"/>
                <w:szCs w:val="18"/>
              </w:rPr>
              <w:t>简称</w:t>
            </w:r>
          </w:p>
        </w:tc>
        <w:tc>
          <w:tcPr>
            <w:tcW w:w="1489" w:type="dxa"/>
            <w:vAlign w:val="center"/>
          </w:tcPr>
          <w:p>
            <w:pPr>
              <w:jc w:val="center"/>
              <w:rPr>
                <w:rFonts w:ascii="宋体" w:hAnsi="宋体" w:cs="宋体"/>
                <w:sz w:val="18"/>
                <w:szCs w:val="18"/>
              </w:rPr>
            </w:pPr>
            <w:r>
              <w:rPr>
                <w:rFonts w:hint="eastAsia" w:ascii="宋体" w:hAnsi="宋体" w:cs="宋体"/>
                <w:sz w:val="18"/>
                <w:szCs w:val="18"/>
              </w:rPr>
              <w:t>加工类型</w:t>
            </w:r>
          </w:p>
        </w:tc>
        <w:tc>
          <w:tcPr>
            <w:tcW w:w="1871" w:type="dxa"/>
            <w:vAlign w:val="center"/>
          </w:tcPr>
          <w:p>
            <w:pPr>
              <w:jc w:val="center"/>
              <w:rPr>
                <w:rFonts w:ascii="宋体" w:hAnsi="宋体" w:cs="宋体"/>
                <w:sz w:val="18"/>
                <w:szCs w:val="18"/>
              </w:rPr>
            </w:pPr>
            <w:r>
              <w:rPr>
                <w:rFonts w:hint="eastAsia" w:ascii="宋体" w:hAnsi="宋体" w:cs="宋体"/>
                <w:sz w:val="18"/>
                <w:szCs w:val="18"/>
              </w:rPr>
              <w:t>表面状态</w:t>
            </w:r>
          </w:p>
        </w:tc>
        <w:tc>
          <w:tcPr>
            <w:tcW w:w="4146"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jc w:val="center"/>
              <w:rPr>
                <w:rFonts w:ascii="宋体" w:hAnsi="宋体" w:cs="宋体"/>
                <w:color w:val="000000"/>
                <w:sz w:val="18"/>
                <w:szCs w:val="18"/>
                <w:lang w:val="zh-TW" w:eastAsia="zh-TW" w:bidi="en-US"/>
              </w:rPr>
            </w:pPr>
            <w:r>
              <w:rPr>
                <w:rFonts w:hint="eastAsia" w:ascii="宋体" w:hAnsi="宋体" w:cs="宋体"/>
                <w:color w:val="000000"/>
                <w:sz w:val="18"/>
                <w:szCs w:val="18"/>
                <w:lang w:eastAsia="en-US" w:bidi="en-US"/>
              </w:rPr>
              <w:t>1U</w:t>
            </w:r>
          </w:p>
        </w:tc>
        <w:tc>
          <w:tcPr>
            <w:tcW w:w="1489" w:type="dxa"/>
            <w:vAlign w:val="center"/>
          </w:tcPr>
          <w:p>
            <w:pPr>
              <w:jc w:val="center"/>
              <w:rPr>
                <w:rFonts w:ascii="宋体" w:hAnsi="宋体" w:cs="宋体"/>
                <w:color w:val="000000"/>
                <w:sz w:val="18"/>
                <w:szCs w:val="18"/>
                <w:lang w:val="zh-TW" w:eastAsia="zh-TW" w:bidi="en-US"/>
              </w:rPr>
            </w:pPr>
            <w:r>
              <w:rPr>
                <w:rFonts w:hint="eastAsia" w:ascii="宋体" w:hAnsi="宋体" w:cs="宋体"/>
                <w:color w:val="000000"/>
                <w:sz w:val="18"/>
                <w:szCs w:val="18"/>
                <w:lang w:val="zh-TW" w:eastAsia="zh-TW" w:bidi="en-US"/>
              </w:rPr>
              <w:t>热轧、不热处理、不去氧化皮</w:t>
            </w:r>
          </w:p>
        </w:tc>
        <w:tc>
          <w:tcPr>
            <w:tcW w:w="1871" w:type="dxa"/>
            <w:vAlign w:val="center"/>
          </w:tcPr>
          <w:p>
            <w:pPr>
              <w:jc w:val="center"/>
              <w:rPr>
                <w:rFonts w:ascii="宋体" w:hAnsi="宋体" w:cs="宋体"/>
                <w:color w:val="000000"/>
                <w:sz w:val="18"/>
                <w:szCs w:val="18"/>
                <w:lang w:val="zh-TW" w:eastAsia="zh-TW" w:bidi="en-US"/>
              </w:rPr>
            </w:pPr>
            <w:r>
              <w:rPr>
                <w:rFonts w:hint="eastAsia" w:ascii="宋体" w:hAnsi="宋体" w:cs="宋体"/>
                <w:color w:val="000000"/>
                <w:sz w:val="18"/>
                <w:szCs w:val="18"/>
                <w:lang w:val="zh-TW" w:eastAsia="zh-TW" w:bidi="en-US"/>
              </w:rPr>
              <w:t>有轧制氧化皮</w:t>
            </w:r>
          </w:p>
        </w:tc>
        <w:tc>
          <w:tcPr>
            <w:tcW w:w="4146" w:type="dxa"/>
            <w:vAlign w:val="center"/>
          </w:tcPr>
          <w:p>
            <w:pPr>
              <w:jc w:val="left"/>
              <w:rPr>
                <w:rFonts w:ascii="宋体" w:hAnsi="宋体" w:cs="宋体"/>
                <w:color w:val="000000"/>
                <w:sz w:val="18"/>
                <w:szCs w:val="18"/>
                <w:lang w:val="zh-TW" w:eastAsia="zh-TW" w:bidi="en-US"/>
              </w:rPr>
            </w:pPr>
            <w:r>
              <w:rPr>
                <w:rFonts w:hint="eastAsia" w:ascii="宋体" w:hAnsi="宋体" w:cs="宋体"/>
                <w:color w:val="000000"/>
                <w:sz w:val="18"/>
                <w:szCs w:val="18"/>
                <w:lang w:val="zh-TW" w:eastAsia="zh-TW" w:bidi="en-US"/>
              </w:rPr>
              <w:t>用于进一步加工，例如再轧制钢带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pStyle w:val="151"/>
              <w:spacing w:after="0" w:line="240" w:lineRule="auto"/>
              <w:jc w:val="center"/>
              <w:rPr>
                <w:sz w:val="18"/>
                <w:szCs w:val="18"/>
              </w:rPr>
            </w:pPr>
            <w:r>
              <w:rPr>
                <w:rFonts w:hint="eastAsia"/>
                <w:color w:val="000000"/>
                <w:sz w:val="18"/>
                <w:szCs w:val="18"/>
                <w:lang w:eastAsia="en-US" w:bidi="en-US"/>
              </w:rPr>
              <w:t>1D</w:t>
            </w:r>
          </w:p>
        </w:tc>
        <w:tc>
          <w:tcPr>
            <w:tcW w:w="1489" w:type="dxa"/>
            <w:vAlign w:val="center"/>
          </w:tcPr>
          <w:p>
            <w:pPr>
              <w:pStyle w:val="151"/>
              <w:spacing w:after="0" w:line="240" w:lineRule="auto"/>
              <w:jc w:val="center"/>
              <w:rPr>
                <w:sz w:val="18"/>
                <w:szCs w:val="18"/>
              </w:rPr>
            </w:pPr>
            <w:r>
              <w:rPr>
                <w:color w:val="000000"/>
                <w:sz w:val="18"/>
                <w:szCs w:val="18"/>
                <w:lang w:val="zh-TW" w:eastAsia="zh-TW" w:bidi="zh-TW"/>
              </w:rPr>
              <w:t>热轧、热处理、酸洗</w:t>
            </w:r>
          </w:p>
        </w:tc>
        <w:tc>
          <w:tcPr>
            <w:tcW w:w="1871" w:type="dxa"/>
            <w:vAlign w:val="center"/>
          </w:tcPr>
          <w:p>
            <w:pPr>
              <w:pStyle w:val="151"/>
              <w:spacing w:after="0" w:line="240" w:lineRule="auto"/>
              <w:jc w:val="center"/>
              <w:rPr>
                <w:sz w:val="18"/>
                <w:szCs w:val="18"/>
              </w:rPr>
            </w:pPr>
            <w:r>
              <w:rPr>
                <w:color w:val="000000"/>
                <w:sz w:val="18"/>
                <w:szCs w:val="18"/>
                <w:lang w:val="zh-TW" w:eastAsia="zh-TW" w:bidi="zh-TW"/>
              </w:rPr>
              <w:t>无氧化皮</w:t>
            </w:r>
          </w:p>
        </w:tc>
        <w:tc>
          <w:tcPr>
            <w:tcW w:w="4146" w:type="dxa"/>
          </w:tcPr>
          <w:p>
            <w:pPr>
              <w:pStyle w:val="151"/>
              <w:spacing w:after="0" w:line="274" w:lineRule="exact"/>
              <w:jc w:val="left"/>
              <w:rPr>
                <w:sz w:val="18"/>
                <w:szCs w:val="18"/>
              </w:rPr>
            </w:pPr>
            <w:r>
              <w:rPr>
                <w:color w:val="000000"/>
                <w:sz w:val="18"/>
                <w:szCs w:val="18"/>
                <w:lang w:val="zh-TW" w:eastAsia="zh-TW" w:bidi="zh-TW"/>
              </w:rPr>
              <w:t>适用于确保良好耐腐蚀性能的大多数钢的标准。是进 一步加工产品常用的精加工。允许有研磨痕迹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jc w:val="center"/>
              <w:rPr>
                <w:rFonts w:ascii="宋体" w:hAnsi="宋体" w:cs="宋体"/>
                <w:color w:val="000000"/>
                <w:sz w:val="18"/>
                <w:szCs w:val="18"/>
                <w:lang w:val="zh-TW" w:eastAsia="zh-TW" w:bidi="en-US"/>
              </w:rPr>
            </w:pPr>
            <w:r>
              <w:rPr>
                <w:rFonts w:hint="eastAsia" w:ascii="宋体" w:hAnsi="宋体" w:cs="宋体"/>
                <w:color w:val="000000"/>
                <w:sz w:val="18"/>
                <w:szCs w:val="18"/>
                <w:lang w:val="zh-TW" w:eastAsia="zh-TW" w:bidi="en-US"/>
              </w:rPr>
              <w:t>2D</w:t>
            </w:r>
          </w:p>
        </w:tc>
        <w:tc>
          <w:tcPr>
            <w:tcW w:w="1489" w:type="dxa"/>
            <w:vAlign w:val="center"/>
          </w:tcPr>
          <w:p>
            <w:pPr>
              <w:jc w:val="center"/>
              <w:rPr>
                <w:rFonts w:ascii="宋体" w:hAnsi="宋体" w:cs="宋体"/>
                <w:color w:val="000000"/>
                <w:sz w:val="18"/>
                <w:szCs w:val="18"/>
                <w:lang w:val="zh-TW" w:eastAsia="zh-TW" w:bidi="zh-TW"/>
              </w:rPr>
            </w:pPr>
            <w:r>
              <w:rPr>
                <w:rFonts w:hint="eastAsia" w:ascii="宋体" w:hAnsi="宋体" w:cs="宋体"/>
                <w:color w:val="000000"/>
                <w:sz w:val="18"/>
                <w:szCs w:val="18"/>
                <w:lang w:val="zh-TW" w:eastAsia="zh-TW" w:bidi="zh-TW"/>
              </w:rPr>
              <w:t>冷轧、热处理、酸洗或除鳞</w:t>
            </w:r>
          </w:p>
        </w:tc>
        <w:tc>
          <w:tcPr>
            <w:tcW w:w="1871" w:type="dxa"/>
            <w:vAlign w:val="center"/>
          </w:tcPr>
          <w:p>
            <w:pPr>
              <w:jc w:val="center"/>
              <w:rPr>
                <w:rFonts w:ascii="宋体" w:hAnsi="宋体" w:cs="宋体"/>
                <w:color w:val="000000"/>
                <w:sz w:val="18"/>
                <w:szCs w:val="18"/>
                <w:lang w:val="zh-TW" w:eastAsia="zh-TW" w:bidi="zh-TW"/>
              </w:rPr>
            </w:pPr>
            <w:r>
              <w:rPr>
                <w:rFonts w:hint="eastAsia" w:ascii="宋体" w:hAnsi="宋体" w:cs="宋体"/>
                <w:color w:val="000000"/>
                <w:sz w:val="18"/>
                <w:szCs w:val="18"/>
                <w:lang w:val="zh-TW" w:eastAsia="zh-TW" w:bidi="zh-TW"/>
              </w:rPr>
              <w:t>表面均匀、呈亚光状</w:t>
            </w:r>
          </w:p>
        </w:tc>
        <w:tc>
          <w:tcPr>
            <w:tcW w:w="4146" w:type="dxa"/>
            <w:vAlign w:val="center"/>
          </w:tcPr>
          <w:p>
            <w:pPr>
              <w:jc w:val="left"/>
              <w:rPr>
                <w:rFonts w:ascii="宋体" w:hAnsi="宋体" w:cs="宋体"/>
                <w:color w:val="000000"/>
                <w:sz w:val="18"/>
                <w:szCs w:val="18"/>
                <w:lang w:val="zh-TW" w:eastAsia="zh-TW" w:bidi="zh-TW"/>
              </w:rPr>
            </w:pPr>
            <w:r>
              <w:rPr>
                <w:rFonts w:hint="eastAsia" w:ascii="宋体" w:hAnsi="宋体" w:cs="宋体"/>
                <w:color w:val="000000"/>
                <w:sz w:val="18"/>
                <w:szCs w:val="18"/>
                <w:lang w:val="zh-TW" w:eastAsia="zh-TW" w:bidi="zh-TW"/>
              </w:rPr>
              <w:t>冷轧后热处理、酸洗或除鳞。亚光表面经酸洗产生。可用毛面辊进行平整。毛面加工便于在深冲时将润滑剂保留在钢板表面。这种表面适用于加工深冲部件，但这些部件成型后还需进行抛光处理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jc w:val="center"/>
              <w:rPr>
                <w:rFonts w:ascii="宋体" w:hAnsi="宋体" w:cs="宋体"/>
                <w:color w:val="000000"/>
                <w:sz w:val="18"/>
                <w:szCs w:val="18"/>
                <w:lang w:val="zh-TW" w:eastAsia="zh-TW" w:bidi="en-US"/>
              </w:rPr>
            </w:pPr>
            <w:r>
              <w:rPr>
                <w:rFonts w:hint="eastAsia" w:ascii="宋体" w:hAnsi="宋体" w:cs="宋体"/>
                <w:color w:val="000000"/>
                <w:sz w:val="18"/>
                <w:szCs w:val="18"/>
                <w:lang w:val="zh-TW" w:eastAsia="zh-TW" w:bidi="en-US"/>
              </w:rPr>
              <w:t>2B</w:t>
            </w:r>
          </w:p>
        </w:tc>
        <w:tc>
          <w:tcPr>
            <w:tcW w:w="1489" w:type="dxa"/>
            <w:vAlign w:val="center"/>
          </w:tcPr>
          <w:p>
            <w:pPr>
              <w:jc w:val="center"/>
              <w:rPr>
                <w:rFonts w:ascii="宋体" w:hAnsi="宋体" w:cs="宋体"/>
                <w:color w:val="000000"/>
                <w:sz w:val="18"/>
                <w:szCs w:val="18"/>
                <w:lang w:val="zh-TW" w:eastAsia="zh-TW" w:bidi="zh-TW"/>
              </w:rPr>
            </w:pPr>
            <w:r>
              <w:rPr>
                <w:rFonts w:hint="eastAsia" w:ascii="宋体" w:hAnsi="宋体" w:cs="宋体"/>
                <w:color w:val="000000"/>
                <w:sz w:val="18"/>
                <w:szCs w:val="18"/>
                <w:lang w:val="zh-TW" w:eastAsia="zh-TW" w:bidi="zh-TW"/>
              </w:rPr>
              <w:t>冷轧、热处理、酸洗或除鳞、光亮加工</w:t>
            </w:r>
          </w:p>
        </w:tc>
        <w:tc>
          <w:tcPr>
            <w:tcW w:w="1871" w:type="dxa"/>
            <w:vAlign w:val="center"/>
          </w:tcPr>
          <w:p>
            <w:pPr>
              <w:jc w:val="center"/>
              <w:rPr>
                <w:rFonts w:ascii="宋体" w:hAnsi="宋体" w:cs="宋体"/>
                <w:color w:val="000000"/>
                <w:sz w:val="18"/>
                <w:szCs w:val="18"/>
                <w:lang w:val="zh-TW" w:eastAsia="zh-TW" w:bidi="zh-TW"/>
              </w:rPr>
            </w:pPr>
            <w:r>
              <w:rPr>
                <w:rFonts w:hint="eastAsia" w:ascii="宋体" w:hAnsi="宋体" w:cs="宋体"/>
                <w:color w:val="000000"/>
                <w:sz w:val="18"/>
                <w:szCs w:val="18"/>
                <w:lang w:val="zh-TW" w:eastAsia="zh-TW" w:bidi="zh-TW"/>
              </w:rPr>
              <w:t>较2D表面光滑平直</w:t>
            </w:r>
          </w:p>
        </w:tc>
        <w:tc>
          <w:tcPr>
            <w:tcW w:w="4146" w:type="dxa"/>
            <w:vAlign w:val="center"/>
          </w:tcPr>
          <w:p>
            <w:pPr>
              <w:jc w:val="left"/>
              <w:rPr>
                <w:rFonts w:ascii="宋体" w:hAnsi="宋体" w:cs="宋体"/>
                <w:color w:val="000000"/>
                <w:sz w:val="18"/>
                <w:szCs w:val="18"/>
                <w:lang w:val="zh-TW" w:eastAsia="zh-TW" w:bidi="zh-TW"/>
              </w:rPr>
            </w:pPr>
            <w:r>
              <w:rPr>
                <w:rFonts w:hint="eastAsia" w:ascii="宋体" w:hAnsi="宋体" w:cs="宋体"/>
                <w:color w:val="000000"/>
                <w:sz w:val="18"/>
                <w:szCs w:val="18"/>
                <w:lang w:val="zh-TW" w:eastAsia="zh-TW" w:bidi="zh-TW"/>
              </w:rPr>
              <w:t>在2D表面的基础上，对经热处理、除鳞后的钢板用抛光辊进行小压下量的平整。属最常用的表面加工。除极为复杂的深冲外，可用于任何用途。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1" w:type="dxa"/>
            <w:vAlign w:val="center"/>
          </w:tcPr>
          <w:p>
            <w:pPr>
              <w:jc w:val="center"/>
              <w:rPr>
                <w:rFonts w:ascii="宋体" w:hAnsi="宋体" w:cs="宋体"/>
                <w:color w:val="000000"/>
                <w:sz w:val="18"/>
                <w:szCs w:val="18"/>
                <w:lang w:val="zh-TW" w:eastAsia="zh-TW" w:bidi="en-US"/>
              </w:rPr>
            </w:pPr>
            <w:r>
              <w:rPr>
                <w:rFonts w:hint="eastAsia" w:ascii="宋体" w:hAnsi="宋体" w:cs="宋体"/>
                <w:color w:val="000000"/>
                <w:sz w:val="18"/>
                <w:szCs w:val="18"/>
                <w:lang w:val="zh-TW" w:eastAsia="zh-TW" w:bidi="en-US"/>
              </w:rPr>
              <w:t>BA</w:t>
            </w:r>
          </w:p>
        </w:tc>
        <w:tc>
          <w:tcPr>
            <w:tcW w:w="1489" w:type="dxa"/>
            <w:vAlign w:val="center"/>
          </w:tcPr>
          <w:p>
            <w:pPr>
              <w:jc w:val="center"/>
              <w:rPr>
                <w:rFonts w:ascii="宋体" w:hAnsi="宋体" w:cs="宋体"/>
                <w:color w:val="000000"/>
                <w:sz w:val="18"/>
                <w:szCs w:val="18"/>
                <w:lang w:val="zh-TW" w:eastAsia="zh-TW" w:bidi="zh-TW"/>
              </w:rPr>
            </w:pPr>
            <w:r>
              <w:rPr>
                <w:rFonts w:hint="eastAsia" w:ascii="宋体" w:hAnsi="宋体" w:cs="宋体"/>
                <w:color w:val="000000"/>
                <w:sz w:val="18"/>
                <w:szCs w:val="18"/>
                <w:lang w:val="zh-TW" w:eastAsia="zh-TW" w:bidi="zh-TW"/>
              </w:rPr>
              <w:t>冷轧、光亮退火</w:t>
            </w:r>
          </w:p>
        </w:tc>
        <w:tc>
          <w:tcPr>
            <w:tcW w:w="1871" w:type="dxa"/>
            <w:vAlign w:val="center"/>
          </w:tcPr>
          <w:p>
            <w:pPr>
              <w:jc w:val="center"/>
              <w:rPr>
                <w:rFonts w:ascii="宋体" w:hAnsi="宋体" w:cs="宋体"/>
                <w:color w:val="000000"/>
                <w:sz w:val="18"/>
                <w:szCs w:val="18"/>
                <w:lang w:val="zh-TW" w:eastAsia="zh-TW" w:bidi="zh-TW"/>
              </w:rPr>
            </w:pPr>
            <w:r>
              <w:rPr>
                <w:rFonts w:hint="eastAsia" w:ascii="宋体" w:hAnsi="宋体" w:cs="宋体"/>
                <w:color w:val="000000"/>
                <w:sz w:val="18"/>
                <w:szCs w:val="18"/>
                <w:lang w:val="zh-TW" w:eastAsia="zh-TW" w:bidi="zh-TW"/>
              </w:rPr>
              <w:t>平滑、光亮、反光</w:t>
            </w:r>
          </w:p>
        </w:tc>
        <w:tc>
          <w:tcPr>
            <w:tcW w:w="4146" w:type="dxa"/>
            <w:vAlign w:val="center"/>
          </w:tcPr>
          <w:p>
            <w:pPr>
              <w:jc w:val="left"/>
              <w:rPr>
                <w:rFonts w:ascii="宋体" w:hAnsi="宋体" w:cs="宋体"/>
                <w:color w:val="000000"/>
                <w:sz w:val="18"/>
                <w:szCs w:val="18"/>
                <w:lang w:val="zh-TW" w:eastAsia="zh-TW" w:bidi="zh-TW"/>
              </w:rPr>
            </w:pPr>
            <w:r>
              <w:rPr>
                <w:rFonts w:hint="eastAsia" w:ascii="宋体" w:hAnsi="宋体" w:cs="宋体"/>
                <w:color w:val="000000"/>
                <w:sz w:val="18"/>
                <w:szCs w:val="18"/>
                <w:lang w:val="zh-TW" w:eastAsia="zh-TW" w:bidi="zh-TW"/>
              </w:rPr>
              <w:t>冷轧后在可控气氛炉内进行光亮退火。通常采用干氢或干氢与干氮混合气氛，以防止退火过程中的氧化现象。也是后工序再加工常用的表面加工。</w:t>
            </w:r>
          </w:p>
        </w:tc>
      </w:tr>
      <w:bookmarkEnd w:id="88"/>
    </w:tbl>
    <w:p>
      <w:pPr>
        <w:pStyle w:val="47"/>
        <w:shd w:val="clear" w:color="auto" w:fill="FFFFFF" w:themeFill="background1"/>
        <w:spacing w:before="156" w:after="156"/>
        <w:ind w:left="0"/>
        <w:rPr>
          <w:rFonts w:ascii="Times New Roman"/>
        </w:rPr>
      </w:pPr>
      <w:r>
        <w:rPr>
          <w:rFonts w:ascii="Times New Roman"/>
        </w:rPr>
        <w:t>表面质量</w:t>
      </w:r>
    </w:p>
    <w:p>
      <w:pPr>
        <w:pStyle w:val="50"/>
        <w:shd w:val="clear" w:color="auto" w:fill="FFFFFF" w:themeFill="background1"/>
        <w:spacing w:before="156" w:after="156"/>
        <w:rPr>
          <w:rFonts w:ascii="Times New Roman" w:eastAsia="宋体"/>
        </w:rPr>
      </w:pPr>
      <w:bookmarkStart w:id="89" w:name="_Hlk6857923"/>
      <w:r>
        <w:rPr>
          <w:rFonts w:ascii="Times New Roman" w:eastAsia="宋体"/>
        </w:rPr>
        <w:t>钢板不允许有影响使用的缺陷。允许有个别深度小于厚度公差之半的轻微麻点、擦划伤、压痕、凹坑、辊印和色差等不影响使用的缺陷。允许局部修磨，但应保证钢板最小厚度。</w:t>
      </w:r>
    </w:p>
    <w:p>
      <w:pPr>
        <w:pStyle w:val="50"/>
        <w:shd w:val="clear" w:color="auto" w:fill="FFFFFF" w:themeFill="background1"/>
        <w:spacing w:before="156" w:after="156"/>
        <w:rPr>
          <w:rFonts w:ascii="Times New Roman" w:eastAsia="宋体"/>
        </w:rPr>
      </w:pPr>
      <w:r>
        <w:rPr>
          <w:rFonts w:ascii="Times New Roman" w:eastAsia="宋体"/>
        </w:rPr>
        <w:t>钢带不允许有影响使用的缺陷。允许有少量不正常的部分，对不经抛光的钢带，表面允许有个别深度小于厚度公差之半的轻微麻点、擦划伤、压痕、凹坑、辊印和色差。</w:t>
      </w:r>
    </w:p>
    <w:p>
      <w:pPr>
        <w:pStyle w:val="50"/>
        <w:shd w:val="clear" w:color="auto" w:fill="FFFFFF" w:themeFill="background1"/>
        <w:spacing w:before="156" w:after="156"/>
        <w:rPr>
          <w:rFonts w:ascii="Times New Roman" w:eastAsia="宋体"/>
        </w:rPr>
      </w:pPr>
      <w:r>
        <w:rPr>
          <w:rFonts w:ascii="Times New Roman" w:eastAsia="宋体"/>
        </w:rPr>
        <w:t>钢带边缘应平整。切边钢带边缘不允许有深度大于宽度公差之半的切割不齐和大于钢带厚度公差的毛刺</w:t>
      </w:r>
      <w:bookmarkEnd w:id="89"/>
      <w:r>
        <w:rPr>
          <w:rFonts w:ascii="Times New Roman" w:eastAsia="宋体"/>
        </w:rPr>
        <w:t>；不切边钢带不允许有大于宽度公差的裂边。</w:t>
      </w:r>
    </w:p>
    <w:p>
      <w:pPr>
        <w:pStyle w:val="47"/>
        <w:shd w:val="clear" w:color="auto" w:fill="FFFFFF" w:themeFill="background1"/>
        <w:spacing w:before="156" w:after="156"/>
        <w:ind w:left="0"/>
        <w:rPr>
          <w:rFonts w:ascii="Times New Roman"/>
        </w:rPr>
      </w:pPr>
      <w:r>
        <w:rPr>
          <w:rFonts w:ascii="Times New Roman"/>
        </w:rPr>
        <w:t>特殊要求</w:t>
      </w:r>
    </w:p>
    <w:p>
      <w:pPr>
        <w:shd w:val="clear" w:color="auto" w:fill="FFFFFF" w:themeFill="background1"/>
        <w:ind w:firstLine="420" w:firstLineChars="200"/>
      </w:pPr>
      <w:r>
        <w:t>根据需方要求，</w:t>
      </w:r>
      <w:bookmarkStart w:id="90" w:name="OLE_LINK85"/>
      <w:r>
        <w:t>经供需双方协商</w:t>
      </w:r>
      <w:bookmarkEnd w:id="90"/>
      <w:r>
        <w:t>，可对钢板及钢带提出非金属夹杂物</w:t>
      </w:r>
      <w:r>
        <w:rPr>
          <w:rFonts w:hint="eastAsia"/>
        </w:rPr>
        <w:t>、晶粒度</w:t>
      </w:r>
      <w:r>
        <w:t>等其他特殊要求。</w:t>
      </w:r>
    </w:p>
    <w:bookmarkEnd w:id="51"/>
    <w:p>
      <w:pPr>
        <w:pStyle w:val="45"/>
        <w:numPr>
          <w:ilvl w:val="0"/>
          <w:numId w:val="2"/>
        </w:numPr>
        <w:shd w:val="clear" w:color="auto" w:fill="FFFFFF" w:themeFill="background1"/>
        <w:spacing w:before="312" w:after="312"/>
        <w:rPr>
          <w:rFonts w:ascii="Times New Roman"/>
        </w:rPr>
      </w:pPr>
      <w:bookmarkStart w:id="91" w:name="_Toc5372"/>
      <w:r>
        <w:rPr>
          <w:rFonts w:ascii="Times New Roman"/>
        </w:rPr>
        <w:t>试验方法</w:t>
      </w:r>
      <w:bookmarkEnd w:id="91"/>
    </w:p>
    <w:p>
      <w:pPr>
        <w:pStyle w:val="47"/>
        <w:spacing w:before="156" w:after="156"/>
        <w:ind w:left="0"/>
        <w:rPr>
          <w:rFonts w:ascii="Times New Roman"/>
        </w:rPr>
      </w:pPr>
      <w:r>
        <w:rPr>
          <w:rFonts w:ascii="Times New Roman"/>
        </w:rPr>
        <w:t>化学成分试验方法</w:t>
      </w:r>
    </w:p>
    <w:p>
      <w:pPr>
        <w:shd w:val="clear" w:color="auto" w:fill="FFFFFF" w:themeFill="background1"/>
        <w:ind w:firstLine="420" w:firstLineChars="200"/>
        <w:rPr>
          <w:rFonts w:eastAsia="黑体"/>
          <w:kern w:val="0"/>
          <w:szCs w:val="21"/>
        </w:rPr>
      </w:pPr>
      <w:bookmarkStart w:id="92" w:name="OLE_LINK92"/>
      <w:bookmarkStart w:id="93" w:name="OLE_LINK65"/>
      <w:bookmarkStart w:id="94" w:name="_Hlk59177872"/>
      <w:r>
        <w:t>钢的化学成分试验方法按GB/T 11170</w:t>
      </w:r>
      <w:r>
        <w:rPr>
          <w:rFonts w:hint="eastAsia"/>
        </w:rPr>
        <w:t>、GB/T 20123、GB/T 2012</w:t>
      </w:r>
      <w:r>
        <w:rPr>
          <w:rFonts w:hint="eastAsia"/>
          <w:lang w:val="en-US" w:eastAsia="zh-CN"/>
        </w:rPr>
        <w:t>4</w:t>
      </w:r>
      <w:r>
        <w:t>或通用方法的规定进行，但仲裁时应按</w:t>
      </w:r>
      <w:bookmarkStart w:id="95" w:name="OLE_LINK55"/>
      <w:r>
        <w:t>GB/T 223.11、</w:t>
      </w:r>
      <w:r>
        <w:rPr>
          <w:rFonts w:hint="eastAsia"/>
        </w:rPr>
        <w:t>GB/T 223.13、</w:t>
      </w:r>
      <w:r>
        <w:t>GB/T 223.23、GB/T 223.28、GB/T 223.36</w:t>
      </w:r>
      <w:r>
        <w:rPr>
          <w:rFonts w:hint="eastAsia"/>
        </w:rPr>
        <w:t>、</w:t>
      </w:r>
      <w:r>
        <w:t>GB/T 223.40、</w:t>
      </w:r>
      <w:r>
        <w:rPr>
          <w:rFonts w:hint="eastAsia"/>
        </w:rPr>
        <w:t>GB/T 223.58、</w:t>
      </w:r>
      <w:r>
        <w:t>GB/T 223.</w:t>
      </w:r>
      <w:r>
        <w:rPr>
          <w:rFonts w:hint="eastAsia"/>
        </w:rPr>
        <w:t>59、GB/T 223.60</w:t>
      </w:r>
      <w:r>
        <w:t>、GB/T 223.</w:t>
      </w:r>
      <w:r>
        <w:rPr>
          <w:rFonts w:hint="eastAsia"/>
        </w:rPr>
        <w:t>68、</w:t>
      </w:r>
      <w:bookmarkStart w:id="96" w:name="OLE_LINK62"/>
      <w:r>
        <w:t>GB/T 223.</w:t>
      </w:r>
      <w:r>
        <w:rPr>
          <w:rFonts w:hint="eastAsia"/>
        </w:rPr>
        <w:t>69</w:t>
      </w:r>
      <w:bookmarkEnd w:id="95"/>
      <w:bookmarkEnd w:id="96"/>
      <w:r>
        <w:t>的规定执行。</w:t>
      </w:r>
      <w:bookmarkEnd w:id="92"/>
    </w:p>
    <w:bookmarkEnd w:id="93"/>
    <w:p>
      <w:pPr>
        <w:pStyle w:val="47"/>
        <w:shd w:val="clear" w:color="auto" w:fill="FFFFFF" w:themeFill="background1"/>
        <w:spacing w:before="156" w:after="156"/>
        <w:ind w:left="0"/>
        <w:rPr>
          <w:rFonts w:ascii="Times New Roman"/>
        </w:rPr>
      </w:pPr>
      <w:r>
        <w:rPr>
          <w:rFonts w:ascii="Times New Roman"/>
        </w:rPr>
        <w:t>其他检验项目</w:t>
      </w:r>
    </w:p>
    <w:bookmarkEnd w:id="94"/>
    <w:p>
      <w:pPr>
        <w:shd w:val="clear" w:color="auto" w:fill="FFFFFF" w:themeFill="background1"/>
        <w:ind w:firstLine="420" w:firstLineChars="200"/>
      </w:pPr>
      <w:r>
        <w:t>钢板及钢带的检验项目、取样方法及试验方法应符合表5的规定。</w:t>
      </w:r>
    </w:p>
    <w:p>
      <w:pPr>
        <w:pStyle w:val="77"/>
        <w:numPr>
          <w:ilvl w:val="0"/>
          <w:numId w:val="0"/>
        </w:numPr>
        <w:shd w:val="clear" w:color="auto" w:fill="FFFFFF" w:themeFill="background1"/>
        <w:spacing w:before="156" w:after="156"/>
        <w:rPr>
          <w:rFonts w:ascii="Times New Roman"/>
        </w:rPr>
      </w:pPr>
      <w:r>
        <w:rPr>
          <w:rFonts w:ascii="Times New Roman"/>
        </w:rPr>
        <w:t>表5  检验项目、取样数量、取样方法及试验方法</w:t>
      </w:r>
    </w:p>
    <w:tbl>
      <w:tblPr>
        <w:tblStyle w:val="31"/>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273"/>
        <w:gridCol w:w="1930"/>
        <w:gridCol w:w="2047"/>
        <w:gridCol w:w="2433"/>
        <w:tblGridChange w:id="0">
          <w:tblGrid>
            <w:gridCol w:w="663"/>
            <w:gridCol w:w="2273"/>
            <w:gridCol w:w="1590"/>
            <w:gridCol w:w="340"/>
            <w:gridCol w:w="2047"/>
            <w:gridCol w:w="2433"/>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8" w:space="0"/>
            </w:tcBorders>
            <w:vAlign w:val="center"/>
          </w:tcPr>
          <w:p>
            <w:pPr>
              <w:jc w:val="center"/>
              <w:rPr>
                <w:sz w:val="18"/>
                <w:szCs w:val="18"/>
              </w:rPr>
            </w:pPr>
            <w:bookmarkStart w:id="97" w:name="OLE_LINK64"/>
            <w:bookmarkStart w:id="98" w:name="_Hlk102125459"/>
            <w:r>
              <w:rPr>
                <w:sz w:val="18"/>
                <w:szCs w:val="18"/>
              </w:rPr>
              <w:t>序号</w:t>
            </w:r>
          </w:p>
        </w:tc>
        <w:tc>
          <w:tcPr>
            <w:tcW w:w="2273" w:type="dxa"/>
            <w:tcBorders>
              <w:top w:val="single" w:color="auto" w:sz="8" w:space="0"/>
              <w:bottom w:val="single" w:color="auto" w:sz="8" w:space="0"/>
            </w:tcBorders>
            <w:vAlign w:val="center"/>
          </w:tcPr>
          <w:p>
            <w:pPr>
              <w:jc w:val="center"/>
              <w:rPr>
                <w:sz w:val="18"/>
                <w:szCs w:val="18"/>
              </w:rPr>
            </w:pPr>
            <w:r>
              <w:rPr>
                <w:sz w:val="18"/>
                <w:szCs w:val="18"/>
              </w:rPr>
              <w:t>检验项目</w:t>
            </w:r>
          </w:p>
        </w:tc>
        <w:tc>
          <w:tcPr>
            <w:tcW w:w="1930" w:type="dxa"/>
            <w:tcBorders>
              <w:top w:val="single" w:color="auto" w:sz="8" w:space="0"/>
              <w:bottom w:val="single" w:color="auto" w:sz="8" w:space="0"/>
            </w:tcBorders>
            <w:vAlign w:val="center"/>
          </w:tcPr>
          <w:p>
            <w:pPr>
              <w:jc w:val="center"/>
              <w:rPr>
                <w:sz w:val="18"/>
                <w:szCs w:val="18"/>
              </w:rPr>
            </w:pPr>
            <w:r>
              <w:rPr>
                <w:sz w:val="18"/>
                <w:szCs w:val="18"/>
              </w:rPr>
              <w:t>取样数量</w:t>
            </w:r>
          </w:p>
        </w:tc>
        <w:tc>
          <w:tcPr>
            <w:tcW w:w="2047" w:type="dxa"/>
            <w:tcBorders>
              <w:top w:val="single" w:color="auto" w:sz="8" w:space="0"/>
              <w:bottom w:val="single" w:color="auto" w:sz="8" w:space="0"/>
            </w:tcBorders>
            <w:vAlign w:val="center"/>
          </w:tcPr>
          <w:p>
            <w:pPr>
              <w:jc w:val="center"/>
              <w:rPr>
                <w:rFonts w:hint="eastAsia" w:eastAsia="宋体"/>
                <w:sz w:val="18"/>
                <w:szCs w:val="18"/>
                <w:lang w:val="en-US" w:eastAsia="zh-CN"/>
              </w:rPr>
            </w:pPr>
            <w:r>
              <w:rPr>
                <w:sz w:val="18"/>
                <w:szCs w:val="18"/>
              </w:rPr>
              <w:t>取样方法</w:t>
            </w:r>
            <w:r>
              <w:rPr>
                <w:rFonts w:hint="eastAsia"/>
                <w:sz w:val="18"/>
                <w:szCs w:val="18"/>
                <w:lang w:val="en-US" w:eastAsia="zh-CN"/>
              </w:rPr>
              <w:t>及部位</w:t>
            </w:r>
          </w:p>
        </w:tc>
        <w:tc>
          <w:tcPr>
            <w:tcW w:w="2433" w:type="dxa"/>
            <w:tcBorders>
              <w:top w:val="single" w:color="auto" w:sz="8" w:space="0"/>
              <w:bottom w:val="single" w:color="auto" w:sz="8" w:space="0"/>
            </w:tcBorders>
            <w:vAlign w:val="center"/>
          </w:tcPr>
          <w:p>
            <w:pPr>
              <w:jc w:val="center"/>
              <w:rPr>
                <w:sz w:val="18"/>
                <w:szCs w:val="18"/>
              </w:rPr>
            </w:pPr>
            <w:r>
              <w:rPr>
                <w:sz w:val="18"/>
                <w:szCs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jc w:val="center"/>
              <w:rPr>
                <w:sz w:val="18"/>
                <w:szCs w:val="18"/>
              </w:rPr>
            </w:pPr>
            <w:r>
              <w:rPr>
                <w:sz w:val="18"/>
                <w:szCs w:val="18"/>
              </w:rPr>
              <w:t>1</w:t>
            </w:r>
          </w:p>
        </w:tc>
        <w:tc>
          <w:tcPr>
            <w:tcW w:w="2273" w:type="dxa"/>
            <w:vAlign w:val="center"/>
          </w:tcPr>
          <w:p>
            <w:pPr>
              <w:jc w:val="center"/>
              <w:rPr>
                <w:sz w:val="18"/>
                <w:szCs w:val="18"/>
              </w:rPr>
            </w:pPr>
            <w:r>
              <w:rPr>
                <w:sz w:val="18"/>
                <w:szCs w:val="18"/>
              </w:rPr>
              <w:t>化学成分</w:t>
            </w:r>
          </w:p>
        </w:tc>
        <w:tc>
          <w:tcPr>
            <w:tcW w:w="1930" w:type="dxa"/>
            <w:vAlign w:val="center"/>
          </w:tcPr>
          <w:p>
            <w:pPr>
              <w:jc w:val="center"/>
              <w:rPr>
                <w:sz w:val="18"/>
                <w:szCs w:val="18"/>
              </w:rPr>
            </w:pPr>
            <w:r>
              <w:rPr>
                <w:kern w:val="0"/>
                <w:sz w:val="18"/>
                <w:szCs w:val="18"/>
              </w:rPr>
              <w:t>1个/炉</w:t>
            </w:r>
          </w:p>
        </w:tc>
        <w:tc>
          <w:tcPr>
            <w:tcW w:w="2047" w:type="dxa"/>
            <w:vAlign w:val="center"/>
          </w:tcPr>
          <w:p>
            <w:pPr>
              <w:jc w:val="center"/>
              <w:rPr>
                <w:sz w:val="18"/>
                <w:szCs w:val="18"/>
              </w:rPr>
            </w:pPr>
            <w:bookmarkStart w:id="99" w:name="OLE_LINK83"/>
            <w:r>
              <w:rPr>
                <w:kern w:val="0"/>
                <w:sz w:val="18"/>
                <w:szCs w:val="18"/>
              </w:rPr>
              <w:t xml:space="preserve">GB/T </w:t>
            </w:r>
            <w:bookmarkStart w:id="100" w:name="OLE_LINK48"/>
            <w:r>
              <w:rPr>
                <w:kern w:val="0"/>
                <w:sz w:val="18"/>
                <w:szCs w:val="18"/>
              </w:rPr>
              <w:t>20066</w:t>
            </w:r>
            <w:bookmarkEnd w:id="99"/>
            <w:bookmarkEnd w:id="100"/>
          </w:p>
        </w:tc>
        <w:tc>
          <w:tcPr>
            <w:tcW w:w="2433" w:type="dxa"/>
            <w:vAlign w:val="center"/>
          </w:tcPr>
          <w:p>
            <w:pPr>
              <w:jc w:val="center"/>
              <w:rPr>
                <w:sz w:val="18"/>
                <w:szCs w:val="18"/>
              </w:rPr>
            </w:pPr>
            <w:r>
              <w:rPr>
                <w:kern w:val="0"/>
                <w:sz w:val="18"/>
                <w:szCs w:val="18"/>
              </w:rPr>
              <w:t>见8.1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jc w:val="center"/>
              <w:rPr>
                <w:sz w:val="18"/>
                <w:szCs w:val="18"/>
              </w:rPr>
            </w:pPr>
            <w:r>
              <w:rPr>
                <w:rFonts w:hint="eastAsia"/>
                <w:sz w:val="18"/>
                <w:szCs w:val="18"/>
              </w:rPr>
              <w:t>2</w:t>
            </w:r>
          </w:p>
        </w:tc>
        <w:tc>
          <w:tcPr>
            <w:tcW w:w="2273" w:type="dxa"/>
            <w:vAlign w:val="center"/>
          </w:tcPr>
          <w:p>
            <w:pPr>
              <w:jc w:val="center"/>
              <w:rPr>
                <w:sz w:val="18"/>
                <w:szCs w:val="18"/>
              </w:rPr>
            </w:pPr>
            <w:r>
              <w:rPr>
                <w:sz w:val="18"/>
                <w:szCs w:val="18"/>
              </w:rPr>
              <w:t>拉伸试验</w:t>
            </w:r>
          </w:p>
        </w:tc>
        <w:tc>
          <w:tcPr>
            <w:tcW w:w="1930" w:type="dxa"/>
          </w:tcPr>
          <w:p>
            <w:pPr>
              <w:jc w:val="center"/>
              <w:rPr>
                <w:kern w:val="0"/>
                <w:sz w:val="18"/>
                <w:szCs w:val="18"/>
              </w:rPr>
            </w:pPr>
            <w:r>
              <w:rPr>
                <w:sz w:val="18"/>
                <w:szCs w:val="18"/>
              </w:rPr>
              <w:t>2个/批</w:t>
            </w:r>
          </w:p>
        </w:tc>
        <w:tc>
          <w:tcPr>
            <w:tcW w:w="2047" w:type="dxa"/>
            <w:vAlign w:val="center"/>
          </w:tcPr>
          <w:p>
            <w:pPr>
              <w:jc w:val="center"/>
              <w:rPr>
                <w:kern w:val="0"/>
                <w:sz w:val="18"/>
                <w:szCs w:val="18"/>
              </w:rPr>
            </w:pPr>
            <w:r>
              <w:rPr>
                <w:kern w:val="0"/>
                <w:sz w:val="18"/>
                <w:szCs w:val="18"/>
              </w:rPr>
              <w:t>GB/T 2975</w:t>
            </w:r>
            <w:r>
              <w:rPr>
                <w:sz w:val="18"/>
                <w:szCs w:val="18"/>
              </w:rPr>
              <w:t xml:space="preserve"> </w:t>
            </w:r>
          </w:p>
        </w:tc>
        <w:tc>
          <w:tcPr>
            <w:tcW w:w="2433" w:type="dxa"/>
            <w:vAlign w:val="center"/>
          </w:tcPr>
          <w:p>
            <w:pPr>
              <w:jc w:val="center"/>
              <w:rPr>
                <w:kern w:val="0"/>
                <w:sz w:val="18"/>
                <w:szCs w:val="18"/>
              </w:rPr>
            </w:pPr>
            <w:r>
              <w:rPr>
                <w:kern w:val="0"/>
                <w:sz w:val="18"/>
                <w:szCs w:val="18"/>
              </w:rPr>
              <w:t>GB/T 228.1</w:t>
            </w:r>
            <w:r>
              <w:rPr>
                <w:rFonts w:hint="eastAsia"/>
                <w:kern w:val="0"/>
                <w:sz w:val="18"/>
                <w:szCs w:val="18"/>
              </w:rPr>
              <w:t>、YB/T 4334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sz w:val="18"/>
                <w:szCs w:val="18"/>
              </w:rPr>
            </w:pPr>
            <w:r>
              <w:rPr>
                <w:rFonts w:hint="eastAsia"/>
                <w:sz w:val="18"/>
                <w:szCs w:val="18"/>
              </w:rPr>
              <w:t>3</w:t>
            </w:r>
          </w:p>
        </w:tc>
        <w:tc>
          <w:tcPr>
            <w:tcW w:w="2273" w:type="dxa"/>
            <w:vAlign w:val="center"/>
          </w:tcPr>
          <w:p>
            <w:pPr>
              <w:jc w:val="center"/>
              <w:rPr>
                <w:sz w:val="18"/>
                <w:szCs w:val="18"/>
              </w:rPr>
            </w:pPr>
            <w:r>
              <w:rPr>
                <w:sz w:val="18"/>
                <w:szCs w:val="18"/>
              </w:rPr>
              <w:t>硬度</w:t>
            </w:r>
          </w:p>
        </w:tc>
        <w:tc>
          <w:tcPr>
            <w:tcW w:w="1930" w:type="dxa"/>
            <w:vAlign w:val="center"/>
          </w:tcPr>
          <w:p>
            <w:pPr>
              <w:jc w:val="center"/>
              <w:rPr>
                <w:sz w:val="18"/>
                <w:szCs w:val="18"/>
              </w:rPr>
            </w:pPr>
            <w:bookmarkStart w:id="101" w:name="OLE_LINK2"/>
            <w:r>
              <w:rPr>
                <w:sz w:val="18"/>
                <w:szCs w:val="18"/>
              </w:rPr>
              <w:t>1个/批</w:t>
            </w:r>
            <w:bookmarkEnd w:id="101"/>
          </w:p>
        </w:tc>
        <w:tc>
          <w:tcPr>
            <w:tcW w:w="2047" w:type="dxa"/>
            <w:vAlign w:val="center"/>
          </w:tcPr>
          <w:p>
            <w:pPr>
              <w:jc w:val="center"/>
              <w:rPr>
                <w:sz w:val="18"/>
                <w:szCs w:val="18"/>
              </w:rPr>
            </w:pPr>
            <w:r>
              <w:rPr>
                <w:sz w:val="18"/>
                <w:szCs w:val="18"/>
              </w:rPr>
              <w:t>GB/T 2975</w:t>
            </w:r>
          </w:p>
        </w:tc>
        <w:tc>
          <w:tcPr>
            <w:tcW w:w="2433" w:type="dxa"/>
            <w:vAlign w:val="center"/>
          </w:tcPr>
          <w:p>
            <w:pPr>
              <w:jc w:val="center"/>
              <w:rPr>
                <w:sz w:val="18"/>
                <w:szCs w:val="18"/>
              </w:rPr>
            </w:pPr>
            <w:r>
              <w:rPr>
                <w:sz w:val="18"/>
                <w:szCs w:val="18"/>
              </w:rPr>
              <w:t>GB/T 230.1、GB/T 231.1、GB/T 4340.1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rFonts w:hint="eastAsia" w:eastAsia="宋体"/>
                <w:sz w:val="18"/>
                <w:szCs w:val="18"/>
                <w:lang w:eastAsia="zh-CN"/>
              </w:rPr>
            </w:pPr>
            <w:r>
              <w:rPr>
                <w:rFonts w:hint="eastAsia"/>
                <w:sz w:val="18"/>
                <w:szCs w:val="18"/>
                <w:lang w:val="en-US" w:eastAsia="zh-CN"/>
              </w:rPr>
              <w:t>4</w:t>
            </w:r>
          </w:p>
        </w:tc>
        <w:tc>
          <w:tcPr>
            <w:tcW w:w="2273" w:type="dxa"/>
            <w:vAlign w:val="center"/>
          </w:tcPr>
          <w:p>
            <w:pPr>
              <w:jc w:val="center"/>
              <w:rPr>
                <w:sz w:val="18"/>
                <w:szCs w:val="18"/>
              </w:rPr>
            </w:pPr>
            <w:r>
              <w:rPr>
                <w:sz w:val="18"/>
                <w:szCs w:val="18"/>
              </w:rPr>
              <w:t>尺寸外形</w:t>
            </w:r>
          </w:p>
        </w:tc>
        <w:tc>
          <w:tcPr>
            <w:tcW w:w="1930" w:type="dxa"/>
            <w:vAlign w:val="center"/>
          </w:tcPr>
          <w:p>
            <w:pPr>
              <w:jc w:val="center"/>
              <w:rPr>
                <w:sz w:val="18"/>
                <w:szCs w:val="18"/>
              </w:rPr>
            </w:pPr>
            <w:r>
              <w:rPr>
                <w:kern w:val="0"/>
                <w:sz w:val="18"/>
                <w:szCs w:val="18"/>
              </w:rPr>
              <w:t>逐张或逐卷</w:t>
            </w:r>
          </w:p>
        </w:tc>
        <w:tc>
          <w:tcPr>
            <w:tcW w:w="2047" w:type="dxa"/>
            <w:vAlign w:val="center"/>
          </w:tcPr>
          <w:p>
            <w:pPr>
              <w:jc w:val="center"/>
              <w:rPr>
                <w:sz w:val="18"/>
                <w:szCs w:val="18"/>
              </w:rPr>
            </w:pPr>
            <w:r>
              <w:rPr>
                <w:kern w:val="0"/>
                <w:sz w:val="18"/>
                <w:szCs w:val="18"/>
              </w:rPr>
              <w:t>—</w:t>
            </w:r>
          </w:p>
        </w:tc>
        <w:tc>
          <w:tcPr>
            <w:tcW w:w="2433" w:type="dxa"/>
            <w:vAlign w:val="center"/>
          </w:tcPr>
          <w:p>
            <w:pPr>
              <w:jc w:val="center"/>
              <w:rPr>
                <w:sz w:val="18"/>
                <w:szCs w:val="18"/>
              </w:rPr>
            </w:pPr>
            <w:r>
              <w:rPr>
                <w:kern w:val="0"/>
                <w:sz w:val="18"/>
                <w:szCs w:val="18"/>
              </w:rPr>
              <w:t>适宜的量具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rFonts w:hint="eastAsia" w:eastAsia="宋体"/>
                <w:sz w:val="18"/>
                <w:szCs w:val="18"/>
                <w:lang w:eastAsia="zh-CN"/>
              </w:rPr>
            </w:pPr>
            <w:r>
              <w:rPr>
                <w:rFonts w:hint="eastAsia"/>
                <w:sz w:val="18"/>
                <w:szCs w:val="18"/>
                <w:lang w:val="en-US" w:eastAsia="zh-CN"/>
              </w:rPr>
              <w:t>5</w:t>
            </w:r>
          </w:p>
        </w:tc>
        <w:tc>
          <w:tcPr>
            <w:tcW w:w="2273" w:type="dxa"/>
            <w:vAlign w:val="center"/>
          </w:tcPr>
          <w:p>
            <w:pPr>
              <w:jc w:val="center"/>
              <w:rPr>
                <w:sz w:val="18"/>
                <w:szCs w:val="18"/>
              </w:rPr>
            </w:pPr>
            <w:r>
              <w:rPr>
                <w:spacing w:val="-2"/>
                <w:sz w:val="18"/>
                <w:szCs w:val="18"/>
              </w:rPr>
              <w:t>表面质量</w:t>
            </w:r>
          </w:p>
        </w:tc>
        <w:tc>
          <w:tcPr>
            <w:tcW w:w="1930" w:type="dxa"/>
            <w:vAlign w:val="center"/>
          </w:tcPr>
          <w:p>
            <w:pPr>
              <w:jc w:val="center"/>
              <w:rPr>
                <w:sz w:val="18"/>
                <w:szCs w:val="18"/>
              </w:rPr>
            </w:pPr>
            <w:r>
              <w:rPr>
                <w:kern w:val="0"/>
                <w:sz w:val="18"/>
                <w:szCs w:val="18"/>
              </w:rPr>
              <w:t>逐张或逐卷</w:t>
            </w:r>
          </w:p>
        </w:tc>
        <w:tc>
          <w:tcPr>
            <w:tcW w:w="2047" w:type="dxa"/>
            <w:vAlign w:val="center"/>
          </w:tcPr>
          <w:p>
            <w:pPr>
              <w:jc w:val="center"/>
              <w:rPr>
                <w:sz w:val="18"/>
                <w:szCs w:val="18"/>
              </w:rPr>
            </w:pPr>
            <w:r>
              <w:rPr>
                <w:kern w:val="0"/>
                <w:sz w:val="18"/>
                <w:szCs w:val="18"/>
              </w:rPr>
              <w:t>—</w:t>
            </w:r>
          </w:p>
        </w:tc>
        <w:tc>
          <w:tcPr>
            <w:tcW w:w="2433" w:type="dxa"/>
            <w:vAlign w:val="center"/>
          </w:tcPr>
          <w:p>
            <w:pPr>
              <w:jc w:val="center"/>
              <w:rPr>
                <w:sz w:val="18"/>
                <w:szCs w:val="18"/>
              </w:rPr>
            </w:pPr>
            <w:r>
              <w:rPr>
                <w:kern w:val="0"/>
                <w:sz w:val="18"/>
                <w:szCs w:val="18"/>
              </w:rPr>
              <w:t>目视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rFonts w:hint="eastAsia" w:eastAsia="宋体"/>
                <w:sz w:val="18"/>
                <w:szCs w:val="18"/>
                <w:lang w:val="en-US" w:eastAsia="zh-CN"/>
              </w:rPr>
            </w:pPr>
            <w:r>
              <w:rPr>
                <w:rFonts w:hint="eastAsia"/>
                <w:sz w:val="18"/>
                <w:szCs w:val="18"/>
                <w:lang w:val="en-US" w:eastAsia="zh-CN"/>
              </w:rPr>
              <w:t>6</w:t>
            </w:r>
          </w:p>
        </w:tc>
        <w:tc>
          <w:tcPr>
            <w:tcW w:w="2273" w:type="dxa"/>
            <w:vAlign w:val="center"/>
          </w:tcPr>
          <w:p>
            <w:pPr>
              <w:jc w:val="center"/>
              <w:rPr>
                <w:rFonts w:hint="eastAsia" w:eastAsia="宋体"/>
                <w:spacing w:val="-2"/>
                <w:sz w:val="18"/>
                <w:szCs w:val="18"/>
                <w:lang w:val="en-US" w:eastAsia="zh-CN"/>
              </w:rPr>
            </w:pPr>
            <w:r>
              <w:rPr>
                <w:rFonts w:hint="eastAsia"/>
                <w:sz w:val="18"/>
                <w:szCs w:val="18"/>
              </w:rPr>
              <w:t>磁导率</w:t>
            </w:r>
            <w:r>
              <w:rPr>
                <w:rFonts w:hint="eastAsia"/>
                <w:sz w:val="18"/>
                <w:szCs w:val="18"/>
                <w:vertAlign w:val="superscript"/>
                <w:lang w:val="en-US" w:eastAsia="zh-CN"/>
              </w:rPr>
              <w:t>a</w:t>
            </w:r>
          </w:p>
        </w:tc>
        <w:tc>
          <w:tcPr>
            <w:tcW w:w="1930" w:type="dxa"/>
            <w:vAlign w:val="center"/>
          </w:tcPr>
          <w:p>
            <w:pPr>
              <w:jc w:val="center"/>
              <w:rPr>
                <w:kern w:val="0"/>
                <w:sz w:val="18"/>
                <w:szCs w:val="18"/>
              </w:rPr>
            </w:pPr>
            <w:r>
              <w:rPr>
                <w:rFonts w:hint="eastAsia"/>
                <w:sz w:val="18"/>
                <w:szCs w:val="18"/>
              </w:rPr>
              <w:t>1个/批</w:t>
            </w:r>
            <w:r>
              <w:rPr>
                <w:rFonts w:hint="eastAsia"/>
                <w:sz w:val="18"/>
                <w:szCs w:val="18"/>
                <w:lang w:eastAsia="zh-CN"/>
              </w:rPr>
              <w:t>（</w:t>
            </w:r>
            <w:r>
              <w:rPr>
                <w:rFonts w:hint="eastAsia"/>
                <w:sz w:val="18"/>
                <w:szCs w:val="18"/>
                <w:lang w:val="en-US" w:eastAsia="zh-CN"/>
              </w:rPr>
              <w:t>合同需要时</w:t>
            </w:r>
            <w:r>
              <w:rPr>
                <w:rFonts w:hint="eastAsia"/>
                <w:sz w:val="18"/>
                <w:szCs w:val="18"/>
                <w:lang w:eastAsia="zh-CN"/>
              </w:rPr>
              <w:t>）</w:t>
            </w:r>
          </w:p>
        </w:tc>
        <w:tc>
          <w:tcPr>
            <w:tcW w:w="2047" w:type="dxa"/>
            <w:vAlign w:val="center"/>
          </w:tcPr>
          <w:p>
            <w:pPr>
              <w:jc w:val="center"/>
              <w:rPr>
                <w:kern w:val="0"/>
                <w:sz w:val="18"/>
                <w:szCs w:val="18"/>
              </w:rPr>
            </w:pPr>
            <w:r>
              <w:rPr>
                <w:rFonts w:hint="eastAsia"/>
                <w:sz w:val="18"/>
                <w:szCs w:val="18"/>
              </w:rPr>
              <w:t>GB/T 35690</w:t>
            </w:r>
          </w:p>
        </w:tc>
        <w:tc>
          <w:tcPr>
            <w:tcW w:w="2433" w:type="dxa"/>
            <w:vAlign w:val="center"/>
          </w:tcPr>
          <w:p>
            <w:pPr>
              <w:jc w:val="center"/>
              <w:rPr>
                <w:kern w:val="0"/>
                <w:sz w:val="18"/>
                <w:szCs w:val="18"/>
              </w:rPr>
            </w:pPr>
            <w:r>
              <w:rPr>
                <w:sz w:val="18"/>
                <w:szCs w:val="18"/>
              </w:rPr>
              <w:t>GB/T 35690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jc w:val="center"/>
              <w:rPr>
                <w:rFonts w:hint="eastAsia" w:eastAsia="宋体"/>
                <w:sz w:val="18"/>
                <w:szCs w:val="18"/>
                <w:lang w:val="en-US" w:eastAsia="zh-CN"/>
              </w:rPr>
            </w:pPr>
            <w:bookmarkStart w:id="102" w:name="OLE_LINK90" w:colFirst="1" w:colLast="4"/>
            <w:r>
              <w:rPr>
                <w:rFonts w:hint="eastAsia"/>
                <w:sz w:val="18"/>
                <w:szCs w:val="18"/>
                <w:lang w:val="en-US" w:eastAsia="zh-CN"/>
              </w:rPr>
              <w:t>7</w:t>
            </w:r>
          </w:p>
        </w:tc>
        <w:tc>
          <w:tcPr>
            <w:tcW w:w="2273" w:type="dxa"/>
            <w:vAlign w:val="center"/>
          </w:tcPr>
          <w:p>
            <w:pPr>
              <w:jc w:val="center"/>
              <w:rPr>
                <w:spacing w:val="-2"/>
                <w:sz w:val="18"/>
                <w:szCs w:val="18"/>
              </w:rPr>
            </w:pPr>
            <w:r>
              <w:rPr>
                <w:rFonts w:hint="eastAsia"/>
                <w:sz w:val="18"/>
                <w:szCs w:val="18"/>
              </w:rPr>
              <w:t>晶粒度</w:t>
            </w:r>
            <w:r>
              <w:rPr>
                <w:rFonts w:hint="eastAsia"/>
                <w:sz w:val="18"/>
                <w:szCs w:val="18"/>
                <w:vertAlign w:val="superscript"/>
                <w:lang w:val="en-US" w:eastAsia="zh-CN"/>
              </w:rPr>
              <w:t>a</w:t>
            </w:r>
          </w:p>
        </w:tc>
        <w:tc>
          <w:tcPr>
            <w:tcW w:w="1930" w:type="dxa"/>
            <w:vAlign w:val="center"/>
          </w:tcPr>
          <w:p>
            <w:pPr>
              <w:jc w:val="center"/>
              <w:rPr>
                <w:kern w:val="0"/>
                <w:sz w:val="18"/>
                <w:szCs w:val="18"/>
              </w:rPr>
            </w:pPr>
            <w:r>
              <w:rPr>
                <w:rFonts w:hint="eastAsia"/>
                <w:kern w:val="0"/>
                <w:sz w:val="18"/>
                <w:szCs w:val="18"/>
                <w:lang w:val="en-US" w:eastAsia="zh-CN"/>
              </w:rPr>
              <w:t>1个/批</w:t>
            </w:r>
            <w:r>
              <w:rPr>
                <w:rFonts w:hint="eastAsia"/>
                <w:sz w:val="18"/>
                <w:szCs w:val="18"/>
                <w:lang w:eastAsia="zh-CN"/>
              </w:rPr>
              <w:t>（</w:t>
            </w:r>
            <w:r>
              <w:rPr>
                <w:rFonts w:hint="eastAsia"/>
                <w:sz w:val="18"/>
                <w:szCs w:val="18"/>
                <w:lang w:val="en-US" w:eastAsia="zh-CN"/>
              </w:rPr>
              <w:t>合同需要时</w:t>
            </w:r>
            <w:r>
              <w:rPr>
                <w:rFonts w:hint="eastAsia"/>
                <w:sz w:val="18"/>
                <w:szCs w:val="18"/>
                <w:lang w:eastAsia="zh-CN"/>
              </w:rPr>
              <w:t>）</w:t>
            </w:r>
          </w:p>
        </w:tc>
        <w:tc>
          <w:tcPr>
            <w:tcW w:w="2047" w:type="dxa"/>
            <w:vAlign w:val="center"/>
          </w:tcPr>
          <w:p>
            <w:pPr>
              <w:jc w:val="center"/>
              <w:rPr>
                <w:kern w:val="0"/>
                <w:sz w:val="18"/>
                <w:szCs w:val="18"/>
              </w:rPr>
            </w:pPr>
            <w:r>
              <w:rPr>
                <w:rFonts w:hint="eastAsia"/>
                <w:kern w:val="0"/>
                <w:sz w:val="18"/>
                <w:szCs w:val="18"/>
                <w:lang w:val="en-US" w:eastAsia="zh-CN"/>
              </w:rPr>
              <w:t xml:space="preserve">宽度1/4处      </w:t>
            </w:r>
          </w:p>
        </w:tc>
        <w:tc>
          <w:tcPr>
            <w:tcW w:w="2433" w:type="dxa"/>
            <w:vAlign w:val="center"/>
          </w:tcPr>
          <w:p>
            <w:pPr>
              <w:jc w:val="center"/>
              <w:rPr>
                <w:kern w:val="0"/>
                <w:sz w:val="18"/>
                <w:szCs w:val="18"/>
              </w:rPr>
            </w:pPr>
            <w:r>
              <w:rPr>
                <w:rFonts w:hint="eastAsia"/>
                <w:kern w:val="0"/>
                <w:sz w:val="18"/>
                <w:szCs w:val="18"/>
              </w:rPr>
              <w:t>GB/T 6394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rFonts w:hint="eastAsia" w:eastAsia="宋体"/>
                <w:sz w:val="18"/>
                <w:szCs w:val="18"/>
                <w:lang w:val="en-US" w:eastAsia="zh-CN"/>
              </w:rPr>
            </w:pPr>
            <w:r>
              <w:rPr>
                <w:rFonts w:hint="eastAsia"/>
                <w:sz w:val="18"/>
                <w:szCs w:val="18"/>
                <w:lang w:val="en-US" w:eastAsia="zh-CN"/>
              </w:rPr>
              <w:t>8</w:t>
            </w:r>
          </w:p>
        </w:tc>
        <w:tc>
          <w:tcPr>
            <w:tcW w:w="2273" w:type="dxa"/>
            <w:vAlign w:val="center"/>
          </w:tcPr>
          <w:p>
            <w:pPr>
              <w:jc w:val="center"/>
              <w:rPr>
                <w:spacing w:val="-2"/>
                <w:sz w:val="18"/>
                <w:szCs w:val="18"/>
              </w:rPr>
            </w:pPr>
            <w:r>
              <w:rPr>
                <w:rFonts w:hint="eastAsia"/>
                <w:sz w:val="18"/>
                <w:szCs w:val="18"/>
              </w:rPr>
              <w:t>非金属夹杂物</w:t>
            </w:r>
            <w:r>
              <w:rPr>
                <w:rFonts w:hint="eastAsia"/>
                <w:sz w:val="18"/>
                <w:szCs w:val="18"/>
                <w:vertAlign w:val="superscript"/>
                <w:lang w:val="en-US" w:eastAsia="zh-CN"/>
              </w:rPr>
              <w:t>a</w:t>
            </w:r>
          </w:p>
        </w:tc>
        <w:tc>
          <w:tcPr>
            <w:tcW w:w="1930" w:type="dxa"/>
            <w:vAlign w:val="center"/>
          </w:tcPr>
          <w:p>
            <w:pPr>
              <w:jc w:val="center"/>
              <w:rPr>
                <w:kern w:val="0"/>
                <w:sz w:val="18"/>
                <w:szCs w:val="18"/>
              </w:rPr>
            </w:pPr>
            <w:r>
              <w:rPr>
                <w:rFonts w:hint="eastAsia"/>
                <w:kern w:val="0"/>
                <w:sz w:val="18"/>
                <w:szCs w:val="18"/>
                <w:lang w:val="en-US" w:eastAsia="zh-CN"/>
              </w:rPr>
              <w:t>1个/批</w:t>
            </w:r>
            <w:r>
              <w:rPr>
                <w:rFonts w:hint="eastAsia"/>
                <w:sz w:val="18"/>
                <w:szCs w:val="18"/>
                <w:lang w:eastAsia="zh-CN"/>
              </w:rPr>
              <w:t>（</w:t>
            </w:r>
            <w:r>
              <w:rPr>
                <w:rFonts w:hint="eastAsia"/>
                <w:sz w:val="18"/>
                <w:szCs w:val="18"/>
                <w:lang w:val="en-US" w:eastAsia="zh-CN"/>
              </w:rPr>
              <w:t>合同需要时</w:t>
            </w:r>
            <w:r>
              <w:rPr>
                <w:rFonts w:hint="eastAsia"/>
                <w:sz w:val="18"/>
                <w:szCs w:val="18"/>
                <w:lang w:eastAsia="zh-CN"/>
              </w:rPr>
              <w:t>）</w:t>
            </w:r>
          </w:p>
        </w:tc>
        <w:tc>
          <w:tcPr>
            <w:tcW w:w="2047" w:type="dxa"/>
            <w:vAlign w:val="center"/>
          </w:tcPr>
          <w:p>
            <w:pPr>
              <w:jc w:val="center"/>
              <w:rPr>
                <w:kern w:val="0"/>
                <w:sz w:val="18"/>
                <w:szCs w:val="18"/>
              </w:rPr>
            </w:pPr>
            <w:r>
              <w:rPr>
                <w:rFonts w:hint="eastAsia"/>
                <w:kern w:val="0"/>
                <w:sz w:val="18"/>
                <w:szCs w:val="18"/>
                <w:lang w:val="en-US" w:eastAsia="zh-CN"/>
              </w:rPr>
              <w:t>宽度1/4处</w:t>
            </w:r>
          </w:p>
        </w:tc>
        <w:tc>
          <w:tcPr>
            <w:tcW w:w="2433" w:type="dxa"/>
            <w:vAlign w:val="center"/>
          </w:tcPr>
          <w:p>
            <w:pPr>
              <w:jc w:val="center"/>
              <w:rPr>
                <w:kern w:val="0"/>
                <w:sz w:val="18"/>
                <w:szCs w:val="18"/>
              </w:rPr>
            </w:pPr>
            <w:r>
              <w:rPr>
                <w:rFonts w:hint="eastAsia"/>
                <w:kern w:val="0"/>
                <w:sz w:val="18"/>
                <w:szCs w:val="18"/>
              </w:rPr>
              <w:t>GB</w:t>
            </w:r>
            <w:r>
              <w:rPr>
                <w:rFonts w:hint="eastAsia"/>
                <w:kern w:val="0"/>
                <w:sz w:val="18"/>
                <w:szCs w:val="18"/>
                <w:lang w:val="en-US" w:eastAsia="zh-CN"/>
              </w:rPr>
              <w:t>/</w:t>
            </w:r>
            <w:r>
              <w:rPr>
                <w:rFonts w:hint="eastAsia"/>
                <w:kern w:val="0"/>
                <w:sz w:val="18"/>
                <w:szCs w:val="18"/>
              </w:rPr>
              <w:t>T 10561</w:t>
            </w:r>
          </w:p>
        </w:tc>
      </w:tr>
      <w:bookmarkEnd w:id="10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346" w:type="dxa"/>
            <w:gridSpan w:val="5"/>
            <w:vAlign w:val="center"/>
          </w:tcPr>
          <w:p>
            <w:pPr>
              <w:jc w:val="left"/>
              <w:rPr>
                <w:rFonts w:hint="eastAsia" w:eastAsia="宋体"/>
                <w:kern w:val="0"/>
                <w:sz w:val="18"/>
                <w:szCs w:val="18"/>
                <w:lang w:val="en-US" w:eastAsia="zh-CN"/>
              </w:rPr>
            </w:pPr>
            <w:bookmarkStart w:id="103" w:name="OLE_LINK91"/>
            <w:r>
              <w:rPr>
                <w:rFonts w:hint="eastAsia"/>
                <w:kern w:val="0"/>
                <w:sz w:val="18"/>
                <w:szCs w:val="18"/>
                <w:vertAlign w:val="superscript"/>
                <w:lang w:val="en-US" w:eastAsia="zh-CN"/>
              </w:rPr>
              <w:t>a</w:t>
            </w:r>
            <w:r>
              <w:rPr>
                <w:rFonts w:hint="eastAsia"/>
                <w:kern w:val="0"/>
                <w:sz w:val="18"/>
                <w:szCs w:val="18"/>
                <w:lang w:val="en-US" w:eastAsia="zh-CN"/>
              </w:rPr>
              <w:t>需方有要求时选做</w:t>
            </w:r>
            <w:bookmarkEnd w:id="103"/>
          </w:p>
        </w:tc>
      </w:tr>
      <w:bookmarkEnd w:id="97"/>
      <w:bookmarkEnd w:id="98"/>
    </w:tbl>
    <w:p>
      <w:pPr>
        <w:pStyle w:val="45"/>
        <w:numPr>
          <w:ilvl w:val="0"/>
          <w:numId w:val="2"/>
        </w:numPr>
        <w:shd w:val="clear" w:color="auto" w:fill="FFFFFF" w:themeFill="background1"/>
        <w:spacing w:before="312" w:after="312"/>
        <w:rPr>
          <w:rFonts w:ascii="Times New Roman"/>
        </w:rPr>
      </w:pPr>
      <w:bookmarkStart w:id="104" w:name="_Toc4588"/>
      <w:r>
        <w:rPr>
          <w:rFonts w:ascii="Times New Roman"/>
        </w:rPr>
        <w:t>检验规则</w:t>
      </w:r>
      <w:bookmarkEnd w:id="104"/>
    </w:p>
    <w:p>
      <w:pPr>
        <w:pStyle w:val="47"/>
        <w:shd w:val="clear" w:color="auto" w:fill="FFFFFF" w:themeFill="background1"/>
        <w:spacing w:before="156" w:after="156"/>
        <w:ind w:left="0"/>
        <w:rPr>
          <w:rFonts w:ascii="Times New Roman"/>
        </w:rPr>
      </w:pPr>
      <w:r>
        <w:rPr>
          <w:rFonts w:ascii="Times New Roman"/>
        </w:rPr>
        <w:t>检查和验收</w:t>
      </w:r>
    </w:p>
    <w:p>
      <w:pPr>
        <w:pStyle w:val="143"/>
        <w:shd w:val="clear" w:color="auto" w:fill="FFFFFF" w:themeFill="background1"/>
        <w:ind w:firstLine="373" w:firstLineChars="178"/>
        <w:rPr>
          <w:rFonts w:ascii="Times New Roman" w:hAnsi="Times New Roman"/>
        </w:rPr>
      </w:pPr>
      <w:r>
        <w:rPr>
          <w:rFonts w:ascii="Times New Roman" w:hAnsi="Times New Roman"/>
        </w:rPr>
        <w:t>钢板及钢带的检查和验收由供方质量检验部门进行。</w:t>
      </w:r>
    </w:p>
    <w:p>
      <w:pPr>
        <w:pStyle w:val="47"/>
        <w:shd w:val="clear" w:color="auto" w:fill="FFFFFF" w:themeFill="background1"/>
        <w:spacing w:before="156" w:after="156"/>
        <w:ind w:left="0"/>
        <w:rPr>
          <w:rFonts w:ascii="Times New Roman"/>
        </w:rPr>
      </w:pPr>
      <w:r>
        <w:rPr>
          <w:rFonts w:ascii="Times New Roman"/>
        </w:rPr>
        <w:t>组批规则</w:t>
      </w:r>
    </w:p>
    <w:p>
      <w:pPr>
        <w:pStyle w:val="143"/>
        <w:shd w:val="clear" w:color="auto" w:fill="FFFFFF" w:themeFill="background1"/>
        <w:ind w:firstLine="373" w:firstLineChars="178"/>
        <w:rPr>
          <w:rFonts w:ascii="Times New Roman" w:hAnsi="Times New Roman"/>
        </w:rPr>
      </w:pPr>
      <w:r>
        <w:rPr>
          <w:rFonts w:hint="eastAsia" w:ascii="Times New Roman"/>
        </w:rPr>
        <w:t>钢板和钢带应成批验收，每批由同一牌号、同一炉号、同一厚度、同一交货状态、同一热处理制度的钢板和钢带组成。</w:t>
      </w:r>
    </w:p>
    <w:p>
      <w:pPr>
        <w:pStyle w:val="47"/>
        <w:spacing w:before="156" w:after="156"/>
        <w:ind w:left="0"/>
        <w:rPr>
          <w:rFonts w:ascii="Times New Roman"/>
        </w:rPr>
      </w:pPr>
      <w:r>
        <w:rPr>
          <w:rFonts w:ascii="Times New Roman"/>
        </w:rPr>
        <w:t>取样数量</w:t>
      </w:r>
    </w:p>
    <w:p>
      <w:pPr>
        <w:pStyle w:val="22"/>
        <w:rPr>
          <w:rFonts w:ascii="Times New Roman" w:eastAsiaTheme="minorEastAsia"/>
          <w:szCs w:val="21"/>
        </w:rPr>
      </w:pPr>
      <w:r>
        <w:rPr>
          <w:rFonts w:ascii="Times New Roman"/>
        </w:rPr>
        <w:t>钢板及钢带</w:t>
      </w:r>
      <w:r>
        <w:rPr>
          <w:rFonts w:ascii="Times New Roman" w:eastAsiaTheme="minorEastAsia"/>
          <w:szCs w:val="21"/>
        </w:rPr>
        <w:t>的取样数量应符合表5的规定。</w:t>
      </w:r>
    </w:p>
    <w:p>
      <w:pPr>
        <w:pStyle w:val="47"/>
        <w:shd w:val="clear" w:color="auto" w:fill="FFFFFF" w:themeFill="background1"/>
        <w:spacing w:before="156" w:after="156"/>
        <w:ind w:left="0"/>
        <w:rPr>
          <w:rFonts w:ascii="Times New Roman"/>
        </w:rPr>
      </w:pPr>
      <w:r>
        <w:rPr>
          <w:rFonts w:ascii="Times New Roman"/>
        </w:rPr>
        <w:t>复验和判定规则</w:t>
      </w:r>
    </w:p>
    <w:p>
      <w:pPr>
        <w:pStyle w:val="143"/>
        <w:shd w:val="clear" w:color="auto" w:fill="FFFFFF" w:themeFill="background1"/>
        <w:ind w:firstLine="373" w:firstLineChars="178"/>
        <w:rPr>
          <w:rFonts w:ascii="Times New Roman" w:hAnsi="Times New Roman"/>
        </w:rPr>
      </w:pPr>
      <w:r>
        <w:rPr>
          <w:rFonts w:ascii="Times New Roman" w:hAnsi="Times New Roman"/>
        </w:rPr>
        <w:t>钢板及钢带的复验与判定应符合GB/T 17505的规定。</w:t>
      </w:r>
    </w:p>
    <w:p>
      <w:pPr>
        <w:pStyle w:val="47"/>
        <w:shd w:val="clear" w:color="auto" w:fill="FFFFFF" w:themeFill="background1"/>
        <w:spacing w:before="156" w:after="156"/>
        <w:ind w:left="0"/>
        <w:rPr>
          <w:rFonts w:ascii="Times New Roman"/>
        </w:rPr>
      </w:pPr>
      <w:r>
        <w:rPr>
          <w:rFonts w:ascii="Times New Roman"/>
        </w:rPr>
        <w:t>数值修约</w:t>
      </w:r>
    </w:p>
    <w:p>
      <w:pPr>
        <w:pStyle w:val="143"/>
        <w:shd w:val="clear" w:color="auto" w:fill="FFFFFF" w:themeFill="background1"/>
        <w:ind w:firstLine="373" w:firstLineChars="178"/>
        <w:rPr>
          <w:rFonts w:ascii="Times New Roman" w:hAnsi="Times New Roman"/>
        </w:rPr>
      </w:pPr>
      <w:r>
        <w:rPr>
          <w:rFonts w:ascii="Times New Roman" w:hAnsi="Times New Roman"/>
        </w:rPr>
        <w:t>数值判定采用修约值比较法进行修约，修约规则应符合GB/T 8170的规定。</w:t>
      </w:r>
    </w:p>
    <w:p>
      <w:pPr>
        <w:pStyle w:val="45"/>
        <w:numPr>
          <w:ilvl w:val="0"/>
          <w:numId w:val="2"/>
        </w:numPr>
        <w:shd w:val="clear" w:color="auto" w:fill="FFFFFF" w:themeFill="background1"/>
        <w:spacing w:before="312" w:after="312"/>
        <w:rPr>
          <w:rFonts w:ascii="Times New Roman"/>
        </w:rPr>
      </w:pPr>
      <w:bookmarkStart w:id="105" w:name="_Toc11556"/>
      <w:r>
        <w:rPr>
          <w:rFonts w:ascii="Times New Roman"/>
        </w:rPr>
        <w:t>包装、标志和质量证明书</w:t>
      </w:r>
      <w:bookmarkEnd w:id="105"/>
    </w:p>
    <w:p>
      <w:pPr>
        <w:pStyle w:val="143"/>
        <w:shd w:val="clear" w:color="auto" w:fill="FFFFFF" w:themeFill="background1"/>
        <w:ind w:firstLine="373" w:firstLineChars="178"/>
        <w:rPr>
          <w:rFonts w:ascii="Times New Roman" w:hAnsi="Times New Roman"/>
        </w:rPr>
      </w:pPr>
      <w:r>
        <w:rPr>
          <w:rFonts w:ascii="Times New Roman" w:hAnsi="Times New Roman"/>
        </w:rPr>
        <w:t>钢板及钢带的包装、标志和质量证明书应符合</w:t>
      </w:r>
      <w:bookmarkStart w:id="106" w:name="OLE_LINK5"/>
      <w:r>
        <w:rPr>
          <w:rFonts w:ascii="Times New Roman" w:hAnsi="Times New Roman"/>
        </w:rPr>
        <w:t>GB/T 247</w:t>
      </w:r>
      <w:bookmarkEnd w:id="106"/>
      <w:r>
        <w:rPr>
          <w:rFonts w:ascii="Times New Roman" w:hAnsi="Times New Roman"/>
        </w:rPr>
        <w:t>的规定。</w:t>
      </w:r>
    </w:p>
    <w:p>
      <w:pPr>
        <w:widowControl/>
        <w:jc w:val="left"/>
        <w:rPr>
          <w:rFonts w:eastAsia="黑体"/>
          <w:kern w:val="0"/>
          <w:szCs w:val="20"/>
        </w:rPr>
      </w:pPr>
      <w:r>
        <w:rPr>
          <w:rFonts w:eastAsia="黑体"/>
          <w:kern w:val="0"/>
          <w:szCs w:val="20"/>
        </w:rPr>
        <w:br w:type="page"/>
      </w:r>
    </w:p>
    <w:p>
      <w:pPr>
        <w:keepNext/>
        <w:widowControl/>
        <w:shd w:val="clear" w:color="auto" w:fill="FFFFFF"/>
        <w:tabs>
          <w:tab w:val="left" w:pos="360"/>
          <w:tab w:val="left" w:pos="6405"/>
        </w:tabs>
        <w:spacing w:before="640" w:after="280"/>
        <w:jc w:val="center"/>
        <w:outlineLvl w:val="0"/>
        <w:rPr>
          <w:rFonts w:eastAsia="黑体"/>
          <w:kern w:val="0"/>
          <w:szCs w:val="20"/>
        </w:rPr>
      </w:pPr>
      <w:r>
        <w:rPr>
          <w:rFonts w:eastAsia="黑体"/>
          <w:kern w:val="0"/>
          <w:szCs w:val="20"/>
        </w:rPr>
        <w:t>附录  A</w:t>
      </w:r>
      <w:r>
        <w:rPr>
          <w:rFonts w:eastAsia="黑体"/>
          <w:kern w:val="0"/>
          <w:szCs w:val="20"/>
        </w:rPr>
        <w:br w:type="textWrapping"/>
      </w:r>
      <w:r>
        <w:rPr>
          <w:rFonts w:eastAsia="黑体"/>
          <w:kern w:val="0"/>
          <w:szCs w:val="20"/>
        </w:rPr>
        <w:t>（资料性）</w:t>
      </w:r>
      <w:r>
        <w:rPr>
          <w:rFonts w:eastAsia="黑体"/>
          <w:kern w:val="0"/>
          <w:szCs w:val="20"/>
        </w:rPr>
        <w:br w:type="textWrapping"/>
      </w:r>
      <w:r>
        <w:rPr>
          <w:rFonts w:hint="eastAsia" w:eastAsia="黑体"/>
          <w:kern w:val="0"/>
          <w:szCs w:val="20"/>
        </w:rPr>
        <w:t>国内外近似牌号对照</w:t>
      </w:r>
    </w:p>
    <w:p>
      <w:pPr>
        <w:widowControl/>
        <w:spacing w:before="156" w:beforeLines="50" w:after="156" w:afterLines="50"/>
        <w:ind w:firstLine="420" w:firstLineChars="200"/>
        <w:rPr>
          <w:rFonts w:eastAsia="黑体"/>
          <w:kern w:val="0"/>
          <w:szCs w:val="20"/>
        </w:rPr>
      </w:pPr>
      <w:r>
        <w:rPr>
          <w:rFonts w:eastAsia="黑体"/>
          <w:kern w:val="0"/>
          <w:szCs w:val="20"/>
        </w:rPr>
        <w:t>A.1 国内外近似牌号对照</w:t>
      </w:r>
    </w:p>
    <w:p>
      <w:pPr>
        <w:pStyle w:val="22"/>
        <w:rPr>
          <w:rFonts w:ascii="Times New Roman" w:eastAsia="黑体"/>
        </w:rPr>
      </w:pPr>
      <w:r>
        <w:rPr>
          <w:rFonts w:ascii="Times New Roman" w:eastAsia="黑体"/>
        </w:rPr>
        <w:t>本文件牌号与</w:t>
      </w:r>
      <w:bookmarkStart w:id="107" w:name="OLE_LINK88"/>
      <w:r>
        <w:rPr>
          <w:rFonts w:ascii="Times New Roman" w:eastAsia="黑体"/>
        </w:rPr>
        <w:t>国外近似牌号</w:t>
      </w:r>
      <w:bookmarkEnd w:id="107"/>
      <w:r>
        <w:rPr>
          <w:rFonts w:ascii="Times New Roman" w:eastAsia="黑体"/>
        </w:rPr>
        <w:t>的对照参见表A.1。</w:t>
      </w:r>
    </w:p>
    <w:p>
      <w:pPr>
        <w:tabs>
          <w:tab w:val="left" w:pos="180"/>
        </w:tabs>
        <w:spacing w:before="156" w:beforeLines="50" w:after="156" w:afterLines="50"/>
        <w:jc w:val="center"/>
        <w:rPr>
          <w:szCs w:val="21"/>
        </w:rPr>
      </w:pPr>
      <w:r>
        <w:rPr>
          <w:rFonts w:eastAsia="黑体"/>
          <w:szCs w:val="21"/>
        </w:rPr>
        <w:t>表A.1本文件与其他文件的牌号对照</w:t>
      </w:r>
    </w:p>
    <w:tbl>
      <w:tblPr>
        <w:tblStyle w:val="31"/>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2327"/>
        <w:gridCol w:w="2310"/>
        <w:gridCol w:w="1883"/>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932" w:type="dxa"/>
            <w:vAlign w:val="center"/>
          </w:tcPr>
          <w:p>
            <w:pPr>
              <w:jc w:val="center"/>
              <w:rPr>
                <w:sz w:val="18"/>
                <w:szCs w:val="18"/>
              </w:rPr>
            </w:pPr>
            <w:r>
              <w:rPr>
                <w:sz w:val="18"/>
                <w:szCs w:val="18"/>
              </w:rPr>
              <w:t>序号</w:t>
            </w:r>
          </w:p>
        </w:tc>
        <w:tc>
          <w:tcPr>
            <w:tcW w:w="2327" w:type="dxa"/>
            <w:tcBorders>
              <w:right w:val="single" w:color="auto" w:sz="4" w:space="0"/>
            </w:tcBorders>
            <w:vAlign w:val="center"/>
          </w:tcPr>
          <w:p>
            <w:pPr>
              <w:jc w:val="center"/>
              <w:rPr>
                <w:sz w:val="18"/>
                <w:szCs w:val="18"/>
              </w:rPr>
            </w:pPr>
            <w:r>
              <w:rPr>
                <w:sz w:val="18"/>
                <w:szCs w:val="18"/>
              </w:rPr>
              <w:t>本文件</w:t>
            </w:r>
          </w:p>
        </w:tc>
        <w:tc>
          <w:tcPr>
            <w:tcW w:w="2310" w:type="dxa"/>
            <w:tcBorders>
              <w:left w:val="single" w:color="auto" w:sz="4" w:space="0"/>
            </w:tcBorders>
            <w:vAlign w:val="center"/>
          </w:tcPr>
          <w:p>
            <w:pPr>
              <w:jc w:val="center"/>
              <w:rPr>
                <w:sz w:val="18"/>
                <w:szCs w:val="18"/>
              </w:rPr>
            </w:pPr>
            <w:r>
              <w:rPr>
                <w:sz w:val="18"/>
                <w:szCs w:val="18"/>
              </w:rPr>
              <w:t>美国</w:t>
            </w:r>
            <w:r>
              <w:rPr>
                <w:rFonts w:hint="eastAsia"/>
                <w:sz w:val="18"/>
                <w:szCs w:val="18"/>
              </w:rPr>
              <w:t>文件</w:t>
            </w:r>
          </w:p>
        </w:tc>
        <w:tc>
          <w:tcPr>
            <w:tcW w:w="1883" w:type="dxa"/>
            <w:tcBorders>
              <w:right w:val="single" w:color="auto" w:sz="4" w:space="0"/>
            </w:tcBorders>
            <w:vAlign w:val="center"/>
          </w:tcPr>
          <w:p>
            <w:pPr>
              <w:jc w:val="center"/>
              <w:rPr>
                <w:sz w:val="18"/>
                <w:szCs w:val="18"/>
              </w:rPr>
            </w:pPr>
            <w:r>
              <w:rPr>
                <w:sz w:val="18"/>
                <w:szCs w:val="18"/>
              </w:rPr>
              <w:t>日本</w:t>
            </w:r>
            <w:r>
              <w:rPr>
                <w:rFonts w:hint="eastAsia"/>
                <w:sz w:val="18"/>
                <w:szCs w:val="18"/>
              </w:rPr>
              <w:t>文件</w:t>
            </w:r>
          </w:p>
        </w:tc>
        <w:tc>
          <w:tcPr>
            <w:tcW w:w="2118" w:type="dxa"/>
            <w:tcBorders>
              <w:right w:val="single" w:color="auto" w:sz="4" w:space="0"/>
            </w:tcBorders>
            <w:vAlign w:val="center"/>
          </w:tcPr>
          <w:p>
            <w:pPr>
              <w:jc w:val="center"/>
              <w:rPr>
                <w:sz w:val="18"/>
                <w:szCs w:val="18"/>
              </w:rPr>
            </w:pPr>
            <w:r>
              <w:rPr>
                <w:sz w:val="18"/>
                <w:szCs w:val="18"/>
              </w:rPr>
              <w:t>欧洲</w:t>
            </w:r>
            <w:r>
              <w:rPr>
                <w:rFonts w:hint="eastAsia"/>
                <w:sz w:val="18"/>
                <w:szCs w:val="18"/>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932" w:type="dxa"/>
            <w:vAlign w:val="center"/>
          </w:tcPr>
          <w:p>
            <w:pPr>
              <w:jc w:val="center"/>
              <w:rPr>
                <w:sz w:val="18"/>
                <w:szCs w:val="18"/>
              </w:rPr>
            </w:pPr>
            <w:bookmarkStart w:id="108" w:name="OLE_LINK44" w:colFirst="1" w:colLast="1"/>
            <w:r>
              <w:rPr>
                <w:sz w:val="18"/>
                <w:szCs w:val="18"/>
              </w:rPr>
              <w:t>1</w:t>
            </w:r>
          </w:p>
        </w:tc>
        <w:tc>
          <w:tcPr>
            <w:tcW w:w="2327" w:type="dxa"/>
            <w:tcBorders>
              <w:right w:val="single" w:color="auto" w:sz="4" w:space="0"/>
            </w:tcBorders>
            <w:vAlign w:val="center"/>
          </w:tcPr>
          <w:p>
            <w:pPr>
              <w:widowControl/>
              <w:tabs>
                <w:tab w:val="center" w:pos="4201"/>
                <w:tab w:val="right" w:leader="dot" w:pos="9298"/>
              </w:tabs>
              <w:autoSpaceDE w:val="0"/>
              <w:autoSpaceDN w:val="0"/>
              <w:jc w:val="center"/>
              <w:rPr>
                <w:sz w:val="18"/>
                <w:szCs w:val="18"/>
              </w:rPr>
            </w:pPr>
            <w:r>
              <w:rPr>
                <w:rFonts w:hint="eastAsia"/>
                <w:kern w:val="0"/>
                <w:sz w:val="18"/>
                <w:szCs w:val="18"/>
              </w:rPr>
              <w:t>10Cr18Ni12</w:t>
            </w:r>
          </w:p>
        </w:tc>
        <w:tc>
          <w:tcPr>
            <w:tcW w:w="2310" w:type="dxa"/>
            <w:tcBorders>
              <w:left w:val="single" w:color="auto" w:sz="4" w:space="0"/>
            </w:tcBorders>
            <w:vAlign w:val="center"/>
          </w:tcPr>
          <w:p>
            <w:pPr>
              <w:jc w:val="center"/>
              <w:rPr>
                <w:sz w:val="18"/>
                <w:szCs w:val="18"/>
              </w:rPr>
            </w:pPr>
            <w:r>
              <w:rPr>
                <w:rFonts w:hint="eastAsia"/>
                <w:sz w:val="18"/>
                <w:szCs w:val="18"/>
              </w:rPr>
              <w:t>305</w:t>
            </w:r>
          </w:p>
        </w:tc>
        <w:tc>
          <w:tcPr>
            <w:tcW w:w="1883" w:type="dxa"/>
            <w:tcBorders>
              <w:right w:val="single" w:color="auto" w:sz="4" w:space="0"/>
            </w:tcBorders>
            <w:vAlign w:val="center"/>
          </w:tcPr>
          <w:p>
            <w:pPr>
              <w:jc w:val="center"/>
              <w:rPr>
                <w:sz w:val="18"/>
                <w:szCs w:val="18"/>
              </w:rPr>
            </w:pPr>
            <w:r>
              <w:rPr>
                <w:rFonts w:hint="eastAsia"/>
                <w:sz w:val="18"/>
                <w:szCs w:val="18"/>
              </w:rPr>
              <w:t>SUS305</w:t>
            </w:r>
          </w:p>
        </w:tc>
        <w:tc>
          <w:tcPr>
            <w:tcW w:w="2118" w:type="dxa"/>
            <w:tcBorders>
              <w:right w:val="single" w:color="auto" w:sz="4" w:space="0"/>
            </w:tcBorders>
            <w:vAlign w:val="center"/>
          </w:tcPr>
          <w:p>
            <w:pPr>
              <w:jc w:val="center"/>
              <w:rPr>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sz w:val="18"/>
                <w:szCs w:val="18"/>
              </w:rPr>
            </w:pPr>
            <w:r>
              <w:rPr>
                <w:sz w:val="18"/>
                <w:szCs w:val="18"/>
              </w:rPr>
              <w:t>2</w:t>
            </w:r>
          </w:p>
        </w:tc>
        <w:tc>
          <w:tcPr>
            <w:tcW w:w="2327" w:type="dxa"/>
            <w:tcBorders>
              <w:right w:val="single" w:color="auto" w:sz="4" w:space="0"/>
            </w:tcBorders>
            <w:vAlign w:val="center"/>
          </w:tcPr>
          <w:p>
            <w:pPr>
              <w:widowControl/>
              <w:tabs>
                <w:tab w:val="center" w:pos="4201"/>
                <w:tab w:val="right" w:leader="dot" w:pos="9298"/>
              </w:tabs>
              <w:autoSpaceDE w:val="0"/>
              <w:autoSpaceDN w:val="0"/>
              <w:jc w:val="center"/>
              <w:rPr>
                <w:sz w:val="18"/>
                <w:szCs w:val="18"/>
              </w:rPr>
            </w:pPr>
            <w:r>
              <w:rPr>
                <w:rFonts w:hint="eastAsia"/>
                <w:kern w:val="0"/>
                <w:sz w:val="18"/>
                <w:szCs w:val="18"/>
              </w:rPr>
              <w:t>06Cr18Ni12</w:t>
            </w:r>
          </w:p>
        </w:tc>
        <w:tc>
          <w:tcPr>
            <w:tcW w:w="2310" w:type="dxa"/>
            <w:tcBorders>
              <w:left w:val="single" w:color="auto" w:sz="4" w:space="0"/>
            </w:tcBorders>
            <w:vAlign w:val="center"/>
          </w:tcPr>
          <w:p>
            <w:pPr>
              <w:jc w:val="center"/>
              <w:rPr>
                <w:sz w:val="18"/>
                <w:szCs w:val="18"/>
              </w:rPr>
            </w:pPr>
            <w:r>
              <w:rPr>
                <w:rFonts w:hint="eastAsia"/>
                <w:sz w:val="18"/>
                <w:szCs w:val="18"/>
              </w:rPr>
              <w:t>—</w:t>
            </w:r>
          </w:p>
        </w:tc>
        <w:tc>
          <w:tcPr>
            <w:tcW w:w="1883" w:type="dxa"/>
            <w:tcBorders>
              <w:right w:val="single" w:color="auto" w:sz="4" w:space="0"/>
            </w:tcBorders>
            <w:vAlign w:val="center"/>
          </w:tcPr>
          <w:p>
            <w:pPr>
              <w:jc w:val="center"/>
              <w:rPr>
                <w:sz w:val="18"/>
                <w:szCs w:val="18"/>
              </w:rPr>
            </w:pPr>
            <w:r>
              <w:rPr>
                <w:rFonts w:hint="eastAsia"/>
                <w:sz w:val="18"/>
                <w:szCs w:val="18"/>
              </w:rPr>
              <w:t>—</w:t>
            </w:r>
          </w:p>
        </w:tc>
        <w:tc>
          <w:tcPr>
            <w:tcW w:w="2118" w:type="dxa"/>
            <w:tcBorders>
              <w:right w:val="single" w:color="auto" w:sz="4" w:space="0"/>
            </w:tcBorders>
            <w:vAlign w:val="center"/>
          </w:tcPr>
          <w:p>
            <w:pPr>
              <w:jc w:val="center"/>
              <w:rPr>
                <w:sz w:val="18"/>
                <w:szCs w:val="18"/>
              </w:rPr>
            </w:pPr>
            <w:r>
              <w:rPr>
                <w:rFonts w:hint="eastAsia"/>
                <w:sz w:val="18"/>
                <w:szCs w:val="18"/>
              </w:rPr>
              <w:t>1.4303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sz w:val="18"/>
                <w:szCs w:val="18"/>
              </w:rPr>
            </w:pPr>
            <w:r>
              <w:rPr>
                <w:rFonts w:hint="eastAsia"/>
                <w:sz w:val="18"/>
                <w:szCs w:val="18"/>
              </w:rPr>
              <w:t>3</w:t>
            </w:r>
          </w:p>
        </w:tc>
        <w:tc>
          <w:tcPr>
            <w:tcW w:w="2327" w:type="dxa"/>
            <w:tcBorders>
              <w:righ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05Cr16Ni14</w:t>
            </w:r>
          </w:p>
        </w:tc>
        <w:tc>
          <w:tcPr>
            <w:tcW w:w="2310" w:type="dxa"/>
            <w:tcBorders>
              <w:left w:val="single" w:color="auto" w:sz="4" w:space="0"/>
            </w:tcBorders>
          </w:tcPr>
          <w:p>
            <w:pPr>
              <w:jc w:val="center"/>
              <w:rPr>
                <w:sz w:val="18"/>
                <w:szCs w:val="18"/>
              </w:rPr>
            </w:pPr>
            <w:r>
              <w:rPr>
                <w:rFonts w:hint="eastAsia"/>
                <w:sz w:val="18"/>
                <w:szCs w:val="18"/>
              </w:rPr>
              <w:t>—</w:t>
            </w:r>
          </w:p>
        </w:tc>
        <w:tc>
          <w:tcPr>
            <w:tcW w:w="1883" w:type="dxa"/>
            <w:tcBorders>
              <w:right w:val="single" w:color="auto" w:sz="4" w:space="0"/>
            </w:tcBorders>
          </w:tcPr>
          <w:p>
            <w:pPr>
              <w:jc w:val="center"/>
              <w:rPr>
                <w:sz w:val="18"/>
                <w:szCs w:val="18"/>
              </w:rPr>
            </w:pPr>
            <w:r>
              <w:rPr>
                <w:rFonts w:hint="eastAsia"/>
                <w:sz w:val="18"/>
                <w:szCs w:val="18"/>
              </w:rPr>
              <w:t>—</w:t>
            </w:r>
          </w:p>
        </w:tc>
        <w:tc>
          <w:tcPr>
            <w:tcW w:w="2118" w:type="dxa"/>
            <w:tcBorders>
              <w:right w:val="single" w:color="auto" w:sz="4" w:space="0"/>
            </w:tcBorders>
          </w:tcPr>
          <w:p>
            <w:pPr>
              <w:jc w:val="center"/>
              <w:rPr>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sz w:val="18"/>
                <w:szCs w:val="18"/>
              </w:rPr>
            </w:pPr>
            <w:r>
              <w:rPr>
                <w:rFonts w:hint="eastAsia"/>
                <w:sz w:val="18"/>
                <w:szCs w:val="18"/>
              </w:rPr>
              <w:t>4</w:t>
            </w:r>
          </w:p>
        </w:tc>
        <w:tc>
          <w:tcPr>
            <w:tcW w:w="2327" w:type="dxa"/>
            <w:tcBorders>
              <w:righ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06Cr25Ni20</w:t>
            </w:r>
          </w:p>
        </w:tc>
        <w:tc>
          <w:tcPr>
            <w:tcW w:w="2310" w:type="dxa"/>
            <w:tcBorders>
              <w:left w:val="single" w:color="auto" w:sz="4" w:space="0"/>
            </w:tcBorders>
            <w:vAlign w:val="center"/>
          </w:tcPr>
          <w:p>
            <w:pPr>
              <w:jc w:val="center"/>
              <w:rPr>
                <w:sz w:val="18"/>
                <w:szCs w:val="18"/>
              </w:rPr>
            </w:pPr>
            <w:r>
              <w:rPr>
                <w:rFonts w:hint="eastAsia"/>
                <w:sz w:val="18"/>
                <w:szCs w:val="18"/>
              </w:rPr>
              <w:t>310S</w:t>
            </w:r>
          </w:p>
        </w:tc>
        <w:tc>
          <w:tcPr>
            <w:tcW w:w="1883" w:type="dxa"/>
            <w:tcBorders>
              <w:right w:val="single" w:color="auto" w:sz="4" w:space="0"/>
            </w:tcBorders>
            <w:vAlign w:val="center"/>
          </w:tcPr>
          <w:p>
            <w:pPr>
              <w:jc w:val="center"/>
              <w:rPr>
                <w:sz w:val="18"/>
                <w:szCs w:val="18"/>
              </w:rPr>
            </w:pPr>
            <w:r>
              <w:rPr>
                <w:rFonts w:hint="eastAsia"/>
                <w:sz w:val="18"/>
                <w:szCs w:val="18"/>
              </w:rPr>
              <w:t>SUS310</w:t>
            </w:r>
          </w:p>
        </w:tc>
        <w:tc>
          <w:tcPr>
            <w:tcW w:w="2118" w:type="dxa"/>
            <w:tcBorders>
              <w:right w:val="single" w:color="auto" w:sz="4" w:space="0"/>
            </w:tcBorders>
            <w:vAlign w:val="center"/>
          </w:tcPr>
          <w:p>
            <w:pPr>
              <w:jc w:val="center"/>
              <w:rPr>
                <w:sz w:val="18"/>
                <w:szCs w:val="18"/>
              </w:rPr>
            </w:pPr>
            <w:r>
              <w:rPr>
                <w:rFonts w:hint="eastAsia"/>
                <w:sz w:val="18"/>
                <w:szCs w:val="18"/>
              </w:rPr>
              <w:t>1.4845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sz w:val="18"/>
                <w:szCs w:val="18"/>
              </w:rPr>
            </w:pPr>
            <w:r>
              <w:rPr>
                <w:rFonts w:hint="eastAsia"/>
                <w:sz w:val="18"/>
                <w:szCs w:val="18"/>
              </w:rPr>
              <w:t>5</w:t>
            </w:r>
          </w:p>
        </w:tc>
        <w:tc>
          <w:tcPr>
            <w:tcW w:w="2327" w:type="dxa"/>
            <w:tcBorders>
              <w:righ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022Cr18Ni11</w:t>
            </w:r>
          </w:p>
        </w:tc>
        <w:tc>
          <w:tcPr>
            <w:tcW w:w="2310" w:type="dxa"/>
            <w:tcBorders>
              <w:left w:val="single" w:color="auto" w:sz="4" w:space="0"/>
            </w:tcBorders>
            <w:vAlign w:val="center"/>
          </w:tcPr>
          <w:p>
            <w:pPr>
              <w:jc w:val="center"/>
              <w:rPr>
                <w:sz w:val="18"/>
                <w:szCs w:val="18"/>
              </w:rPr>
            </w:pPr>
            <w:r>
              <w:rPr>
                <w:rFonts w:hint="eastAsia"/>
                <w:sz w:val="18"/>
                <w:szCs w:val="18"/>
              </w:rPr>
              <w:t>304L</w:t>
            </w:r>
          </w:p>
        </w:tc>
        <w:tc>
          <w:tcPr>
            <w:tcW w:w="1883" w:type="dxa"/>
            <w:tcBorders>
              <w:right w:val="single" w:color="auto" w:sz="4" w:space="0"/>
            </w:tcBorders>
            <w:vAlign w:val="center"/>
          </w:tcPr>
          <w:p>
            <w:pPr>
              <w:jc w:val="center"/>
              <w:rPr>
                <w:sz w:val="18"/>
                <w:szCs w:val="18"/>
              </w:rPr>
            </w:pPr>
            <w:r>
              <w:rPr>
                <w:rFonts w:hint="eastAsia"/>
                <w:sz w:val="18"/>
                <w:szCs w:val="18"/>
              </w:rPr>
              <w:t>SUS304L</w:t>
            </w:r>
          </w:p>
        </w:tc>
        <w:tc>
          <w:tcPr>
            <w:tcW w:w="2118" w:type="dxa"/>
            <w:tcBorders>
              <w:right w:val="single" w:color="auto" w:sz="4" w:space="0"/>
            </w:tcBorders>
            <w:vAlign w:val="center"/>
          </w:tcPr>
          <w:p>
            <w:pPr>
              <w:jc w:val="center"/>
              <w:rPr>
                <w:sz w:val="18"/>
                <w:szCs w:val="18"/>
              </w:rPr>
            </w:pPr>
            <w:r>
              <w:rPr>
                <w:rFonts w:hint="eastAsia"/>
                <w:sz w:val="18"/>
                <w:szCs w:val="18"/>
              </w:rPr>
              <w:t>1.4307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sz w:val="18"/>
                <w:szCs w:val="18"/>
              </w:rPr>
            </w:pPr>
            <w:r>
              <w:rPr>
                <w:rFonts w:hint="eastAsia"/>
                <w:sz w:val="18"/>
                <w:szCs w:val="18"/>
              </w:rPr>
              <w:t>6</w:t>
            </w:r>
          </w:p>
        </w:tc>
        <w:tc>
          <w:tcPr>
            <w:tcW w:w="2327" w:type="dxa"/>
            <w:tcBorders>
              <w:righ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022Cr17Ni13Mo2</w:t>
            </w:r>
          </w:p>
        </w:tc>
        <w:tc>
          <w:tcPr>
            <w:tcW w:w="2310" w:type="dxa"/>
            <w:tcBorders>
              <w:left w:val="single" w:color="auto" w:sz="4" w:space="0"/>
            </w:tcBorders>
            <w:vAlign w:val="center"/>
          </w:tcPr>
          <w:p>
            <w:pPr>
              <w:jc w:val="center"/>
              <w:rPr>
                <w:sz w:val="18"/>
                <w:szCs w:val="18"/>
              </w:rPr>
            </w:pPr>
            <w:r>
              <w:rPr>
                <w:rFonts w:hint="eastAsia"/>
                <w:sz w:val="18"/>
                <w:szCs w:val="18"/>
              </w:rPr>
              <w:t>316L</w:t>
            </w:r>
          </w:p>
        </w:tc>
        <w:tc>
          <w:tcPr>
            <w:tcW w:w="1883" w:type="dxa"/>
            <w:tcBorders>
              <w:right w:val="single" w:color="auto" w:sz="4" w:space="0"/>
            </w:tcBorders>
            <w:vAlign w:val="center"/>
          </w:tcPr>
          <w:p>
            <w:pPr>
              <w:jc w:val="center"/>
              <w:rPr>
                <w:sz w:val="18"/>
                <w:szCs w:val="18"/>
              </w:rPr>
            </w:pPr>
            <w:r>
              <w:rPr>
                <w:rFonts w:hint="eastAsia"/>
                <w:sz w:val="18"/>
                <w:szCs w:val="18"/>
              </w:rPr>
              <w:t>SUS316 L</w:t>
            </w:r>
          </w:p>
        </w:tc>
        <w:tc>
          <w:tcPr>
            <w:tcW w:w="2118" w:type="dxa"/>
            <w:tcBorders>
              <w:right w:val="single" w:color="auto" w:sz="4" w:space="0"/>
            </w:tcBorders>
            <w:vAlign w:val="center"/>
          </w:tcPr>
          <w:p>
            <w:pPr>
              <w:jc w:val="center"/>
              <w:rPr>
                <w:sz w:val="18"/>
                <w:szCs w:val="18"/>
              </w:rPr>
            </w:pPr>
            <w:r>
              <w:rPr>
                <w:rFonts w:hint="eastAsia"/>
                <w:sz w:val="18"/>
                <w:szCs w:val="18"/>
              </w:rPr>
              <w:t>1.4404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sz w:val="18"/>
                <w:szCs w:val="18"/>
              </w:rPr>
            </w:pPr>
            <w:r>
              <w:rPr>
                <w:rFonts w:hint="eastAsia"/>
                <w:sz w:val="18"/>
                <w:szCs w:val="18"/>
              </w:rPr>
              <w:t>7</w:t>
            </w:r>
          </w:p>
        </w:tc>
        <w:tc>
          <w:tcPr>
            <w:tcW w:w="2327" w:type="dxa"/>
            <w:tcBorders>
              <w:righ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022Cr17Ni13Mo2N</w:t>
            </w:r>
          </w:p>
        </w:tc>
        <w:tc>
          <w:tcPr>
            <w:tcW w:w="2310" w:type="dxa"/>
            <w:tcBorders>
              <w:left w:val="single" w:color="auto" w:sz="4" w:space="0"/>
            </w:tcBorders>
            <w:vAlign w:val="center"/>
          </w:tcPr>
          <w:p>
            <w:pPr>
              <w:jc w:val="center"/>
              <w:rPr>
                <w:sz w:val="18"/>
                <w:szCs w:val="18"/>
              </w:rPr>
            </w:pPr>
            <w:r>
              <w:rPr>
                <w:rFonts w:hint="eastAsia"/>
                <w:sz w:val="18"/>
                <w:szCs w:val="18"/>
              </w:rPr>
              <w:t>316LN</w:t>
            </w:r>
          </w:p>
        </w:tc>
        <w:tc>
          <w:tcPr>
            <w:tcW w:w="1883" w:type="dxa"/>
            <w:tcBorders>
              <w:right w:val="single" w:color="auto" w:sz="4" w:space="0"/>
            </w:tcBorders>
            <w:vAlign w:val="center"/>
          </w:tcPr>
          <w:p>
            <w:pPr>
              <w:jc w:val="center"/>
              <w:rPr>
                <w:sz w:val="18"/>
                <w:szCs w:val="18"/>
              </w:rPr>
            </w:pPr>
            <w:r>
              <w:rPr>
                <w:rFonts w:hint="eastAsia"/>
                <w:sz w:val="18"/>
                <w:szCs w:val="18"/>
              </w:rPr>
              <w:t>SUS316LN</w:t>
            </w:r>
          </w:p>
        </w:tc>
        <w:tc>
          <w:tcPr>
            <w:tcW w:w="2118" w:type="dxa"/>
            <w:tcBorders>
              <w:right w:val="single" w:color="auto" w:sz="4" w:space="0"/>
            </w:tcBorders>
            <w:vAlign w:val="center"/>
          </w:tcPr>
          <w:p>
            <w:pPr>
              <w:jc w:val="center"/>
              <w:rPr>
                <w:sz w:val="18"/>
                <w:szCs w:val="18"/>
              </w:rPr>
            </w:pPr>
            <w:r>
              <w:rPr>
                <w:rFonts w:hint="eastAsia"/>
                <w:sz w:val="18"/>
                <w:szCs w:val="18"/>
              </w:rPr>
              <w:t>1.4406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932" w:type="dxa"/>
            <w:vAlign w:val="center"/>
          </w:tcPr>
          <w:p>
            <w:pPr>
              <w:jc w:val="center"/>
              <w:rPr>
                <w:sz w:val="18"/>
                <w:szCs w:val="18"/>
              </w:rPr>
            </w:pPr>
            <w:r>
              <w:rPr>
                <w:rFonts w:hint="eastAsia"/>
                <w:sz w:val="18"/>
                <w:szCs w:val="18"/>
              </w:rPr>
              <w:t>8</w:t>
            </w:r>
          </w:p>
        </w:tc>
        <w:tc>
          <w:tcPr>
            <w:tcW w:w="2327" w:type="dxa"/>
            <w:tcBorders>
              <w:righ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05Cr22Ni14Mn5Mo2NbVN</w:t>
            </w:r>
          </w:p>
        </w:tc>
        <w:tc>
          <w:tcPr>
            <w:tcW w:w="2310" w:type="dxa"/>
            <w:tcBorders>
              <w:left w:val="single" w:color="auto" w:sz="4" w:space="0"/>
            </w:tcBorders>
            <w:vAlign w:val="center"/>
          </w:tcPr>
          <w:p>
            <w:pPr>
              <w:jc w:val="center"/>
              <w:rPr>
                <w:sz w:val="18"/>
                <w:szCs w:val="18"/>
              </w:rPr>
            </w:pPr>
            <w:r>
              <w:rPr>
                <w:rFonts w:hint="eastAsia"/>
                <w:sz w:val="18"/>
                <w:szCs w:val="18"/>
              </w:rPr>
              <w:t>XM-19</w:t>
            </w:r>
          </w:p>
        </w:tc>
        <w:tc>
          <w:tcPr>
            <w:tcW w:w="1883" w:type="dxa"/>
            <w:tcBorders>
              <w:right w:val="single" w:color="auto" w:sz="4" w:space="0"/>
            </w:tcBorders>
          </w:tcPr>
          <w:p>
            <w:pPr>
              <w:jc w:val="center"/>
              <w:rPr>
                <w:sz w:val="18"/>
                <w:szCs w:val="18"/>
              </w:rPr>
            </w:pPr>
            <w:bookmarkStart w:id="109" w:name="OLE_LINK89"/>
            <w:r>
              <w:rPr>
                <w:rFonts w:hint="eastAsia"/>
                <w:sz w:val="18"/>
                <w:szCs w:val="18"/>
              </w:rPr>
              <w:t>—</w:t>
            </w:r>
            <w:bookmarkEnd w:id="109"/>
          </w:p>
        </w:tc>
        <w:tc>
          <w:tcPr>
            <w:tcW w:w="2118" w:type="dxa"/>
            <w:tcBorders>
              <w:right w:val="single" w:color="auto" w:sz="4" w:space="0"/>
            </w:tcBorders>
          </w:tcPr>
          <w:p>
            <w:pPr>
              <w:jc w:val="center"/>
              <w:rPr>
                <w:sz w:val="18"/>
                <w:szCs w:val="18"/>
              </w:rPr>
            </w:pPr>
            <w:r>
              <w:rPr>
                <w:rFonts w:hint="eastAsia"/>
                <w:sz w:val="18"/>
                <w:szCs w:val="18"/>
              </w:rPr>
              <w:t>—</w:t>
            </w:r>
          </w:p>
        </w:tc>
      </w:tr>
      <w:bookmarkEnd w:id="108"/>
    </w:tbl>
    <w:p/>
    <w:p>
      <w:pPr>
        <w:widowControl/>
        <w:jc w:val="left"/>
      </w:pPr>
      <w:r>
        <w:br w:type="page"/>
      </w:r>
    </w:p>
    <w:p>
      <w:pPr>
        <w:keepNext/>
        <w:widowControl/>
        <w:shd w:val="clear" w:color="auto" w:fill="FFFFFF"/>
        <w:tabs>
          <w:tab w:val="left" w:pos="360"/>
          <w:tab w:val="left" w:pos="6405"/>
        </w:tabs>
        <w:spacing w:before="640" w:after="280"/>
        <w:jc w:val="center"/>
        <w:outlineLvl w:val="0"/>
      </w:pPr>
      <w:bookmarkStart w:id="110" w:name="OLE_LINK50"/>
      <w:r>
        <w:rPr>
          <w:rFonts w:eastAsia="黑体"/>
          <w:kern w:val="0"/>
          <w:szCs w:val="20"/>
        </w:rPr>
        <w:t>附录  B</w:t>
      </w:r>
      <w:r>
        <w:rPr>
          <w:rFonts w:eastAsia="黑体"/>
          <w:kern w:val="0"/>
          <w:szCs w:val="20"/>
        </w:rPr>
        <w:br w:type="textWrapping"/>
      </w:r>
      <w:r>
        <w:rPr>
          <w:rFonts w:eastAsia="黑体"/>
          <w:kern w:val="0"/>
          <w:szCs w:val="20"/>
        </w:rPr>
        <w:t>（资料性）</w:t>
      </w:r>
      <w:r>
        <w:rPr>
          <w:rFonts w:eastAsia="黑体"/>
          <w:kern w:val="0"/>
          <w:szCs w:val="20"/>
        </w:rPr>
        <w:br w:type="textWrapping"/>
      </w:r>
      <w:r>
        <w:rPr>
          <w:rFonts w:eastAsia="黑体"/>
          <w:kern w:val="0"/>
          <w:szCs w:val="20"/>
        </w:rPr>
        <w:t>热处理制度</w:t>
      </w:r>
    </w:p>
    <w:bookmarkEnd w:id="110"/>
    <w:p>
      <w:pPr>
        <w:widowControl/>
        <w:spacing w:before="156" w:beforeLines="50" w:after="156" w:afterLines="50"/>
        <w:ind w:firstLine="420" w:firstLineChars="200"/>
        <w:rPr>
          <w:rFonts w:eastAsia="黑体"/>
          <w:kern w:val="0"/>
          <w:szCs w:val="20"/>
        </w:rPr>
      </w:pPr>
      <w:bookmarkStart w:id="111" w:name="OLE_LINK52"/>
      <w:r>
        <w:rPr>
          <w:rFonts w:eastAsia="黑体"/>
          <w:szCs w:val="21"/>
        </w:rPr>
        <w:t>B</w:t>
      </w:r>
      <w:r>
        <w:rPr>
          <w:rFonts w:eastAsia="黑体"/>
          <w:kern w:val="0"/>
          <w:szCs w:val="20"/>
        </w:rPr>
        <w:t xml:space="preserve">.1 </w:t>
      </w:r>
      <w:r>
        <w:rPr>
          <w:rFonts w:hint="eastAsia" w:eastAsia="黑体"/>
          <w:kern w:val="0"/>
          <w:szCs w:val="20"/>
        </w:rPr>
        <w:t>无磁不锈钢的热处理制度。</w:t>
      </w:r>
    </w:p>
    <w:bookmarkEnd w:id="111"/>
    <w:p>
      <w:pPr>
        <w:pStyle w:val="22"/>
        <w:rPr>
          <w:rFonts w:ascii="Times New Roman" w:eastAsia="黑体"/>
        </w:rPr>
      </w:pPr>
      <w:r>
        <w:rPr>
          <w:rFonts w:hint="eastAsia" w:ascii="Times New Roman" w:eastAsia="黑体"/>
        </w:rPr>
        <w:t>无磁不锈钢的热处理制度</w:t>
      </w:r>
      <w:r>
        <w:rPr>
          <w:rFonts w:ascii="Times New Roman" w:eastAsia="黑体"/>
        </w:rPr>
        <w:t>见表</w:t>
      </w:r>
      <w:r>
        <w:rPr>
          <w:rFonts w:ascii="Times New Roman" w:eastAsia="黑体"/>
          <w:szCs w:val="21"/>
        </w:rPr>
        <w:t>B</w:t>
      </w:r>
      <w:r>
        <w:rPr>
          <w:rFonts w:ascii="Times New Roman" w:eastAsia="黑体"/>
        </w:rPr>
        <w:t>.1。</w:t>
      </w:r>
    </w:p>
    <w:p>
      <w:pPr>
        <w:tabs>
          <w:tab w:val="left" w:pos="180"/>
        </w:tabs>
        <w:spacing w:before="156" w:beforeLines="50" w:after="156" w:afterLines="50"/>
        <w:jc w:val="center"/>
        <w:rPr>
          <w:szCs w:val="21"/>
        </w:rPr>
      </w:pPr>
      <w:r>
        <w:rPr>
          <w:rFonts w:eastAsia="黑体"/>
          <w:szCs w:val="21"/>
        </w:rPr>
        <w:t xml:space="preserve">表B.1 </w:t>
      </w:r>
      <w:r>
        <w:rPr>
          <w:rFonts w:hint="eastAsia" w:eastAsia="黑体"/>
          <w:szCs w:val="21"/>
        </w:rPr>
        <w:t>无磁</w:t>
      </w:r>
      <w:r>
        <w:rPr>
          <w:rFonts w:eastAsia="黑体"/>
          <w:szCs w:val="21"/>
        </w:rPr>
        <w:t>不锈钢的热处理制度</w:t>
      </w:r>
    </w:p>
    <w:tbl>
      <w:tblPr>
        <w:tblStyle w:val="31"/>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7"/>
        <w:gridCol w:w="2826"/>
        <w:gridCol w:w="5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147" w:type="dxa"/>
            <w:vAlign w:val="center"/>
          </w:tcPr>
          <w:p>
            <w:pPr>
              <w:jc w:val="center"/>
              <w:rPr>
                <w:sz w:val="18"/>
                <w:szCs w:val="18"/>
              </w:rPr>
            </w:pPr>
            <w:r>
              <w:rPr>
                <w:sz w:val="18"/>
                <w:szCs w:val="18"/>
              </w:rPr>
              <w:t>序号</w:t>
            </w:r>
          </w:p>
        </w:tc>
        <w:tc>
          <w:tcPr>
            <w:tcW w:w="2826" w:type="dxa"/>
            <w:tcBorders>
              <w:left w:val="single" w:color="auto" w:sz="4" w:space="0"/>
            </w:tcBorders>
            <w:vAlign w:val="center"/>
          </w:tcPr>
          <w:p>
            <w:pPr>
              <w:jc w:val="center"/>
              <w:rPr>
                <w:sz w:val="18"/>
                <w:szCs w:val="18"/>
              </w:rPr>
            </w:pPr>
            <w:r>
              <w:rPr>
                <w:sz w:val="18"/>
                <w:szCs w:val="18"/>
              </w:rPr>
              <w:t>牌号</w:t>
            </w:r>
          </w:p>
        </w:tc>
        <w:tc>
          <w:tcPr>
            <w:tcW w:w="5371" w:type="dxa"/>
            <w:vAlign w:val="center"/>
          </w:tcPr>
          <w:p>
            <w:pPr>
              <w:jc w:val="center"/>
              <w:rPr>
                <w:sz w:val="18"/>
                <w:szCs w:val="18"/>
              </w:rPr>
            </w:pPr>
            <w:r>
              <w:rPr>
                <w:sz w:val="18"/>
                <w:szCs w:val="18"/>
              </w:rPr>
              <w:t>热处理温度及冷却方式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147" w:type="dxa"/>
            <w:vAlign w:val="center"/>
          </w:tcPr>
          <w:p>
            <w:pPr>
              <w:jc w:val="center"/>
              <w:rPr>
                <w:sz w:val="18"/>
                <w:szCs w:val="18"/>
              </w:rPr>
            </w:pPr>
            <w:r>
              <w:rPr>
                <w:sz w:val="18"/>
                <w:szCs w:val="18"/>
              </w:rPr>
              <w:t>1</w:t>
            </w:r>
          </w:p>
        </w:tc>
        <w:tc>
          <w:tcPr>
            <w:tcW w:w="2826" w:type="dxa"/>
            <w:tcBorders>
              <w:left w:val="single" w:color="auto" w:sz="4" w:space="0"/>
            </w:tcBorders>
            <w:vAlign w:val="center"/>
          </w:tcPr>
          <w:p>
            <w:pPr>
              <w:widowControl/>
              <w:tabs>
                <w:tab w:val="center" w:pos="4201"/>
                <w:tab w:val="right" w:leader="dot" w:pos="9298"/>
              </w:tabs>
              <w:autoSpaceDE w:val="0"/>
              <w:autoSpaceDN w:val="0"/>
              <w:jc w:val="center"/>
              <w:rPr>
                <w:sz w:val="18"/>
                <w:szCs w:val="18"/>
              </w:rPr>
            </w:pPr>
            <w:r>
              <w:rPr>
                <w:rFonts w:hint="eastAsia"/>
                <w:kern w:val="0"/>
                <w:sz w:val="18"/>
                <w:szCs w:val="18"/>
              </w:rPr>
              <w:t>10Cr18Ni12</w:t>
            </w:r>
          </w:p>
        </w:tc>
        <w:tc>
          <w:tcPr>
            <w:tcW w:w="5371" w:type="dxa"/>
            <w:vAlign w:val="center"/>
          </w:tcPr>
          <w:p>
            <w:pPr>
              <w:jc w:val="center"/>
              <w:rPr>
                <w:sz w:val="18"/>
                <w:szCs w:val="18"/>
              </w:rPr>
            </w:pPr>
            <w:bookmarkStart w:id="112" w:name="OLE_LINK45"/>
            <w:r>
              <w:rPr>
                <w:rFonts w:hint="eastAsia"/>
                <w:sz w:val="18"/>
                <w:szCs w:val="18"/>
              </w:rPr>
              <w:t>≥1040℃水冷或其他方式快冷</w:t>
            </w:r>
            <w:bookmarkEnd w:id="1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147" w:type="dxa"/>
            <w:vAlign w:val="center"/>
          </w:tcPr>
          <w:p>
            <w:pPr>
              <w:jc w:val="center"/>
              <w:rPr>
                <w:sz w:val="18"/>
                <w:szCs w:val="18"/>
              </w:rPr>
            </w:pPr>
            <w:r>
              <w:rPr>
                <w:sz w:val="18"/>
                <w:szCs w:val="18"/>
              </w:rPr>
              <w:t>2</w:t>
            </w:r>
          </w:p>
        </w:tc>
        <w:tc>
          <w:tcPr>
            <w:tcW w:w="2826" w:type="dxa"/>
            <w:tcBorders>
              <w:left w:val="single" w:color="auto" w:sz="4" w:space="0"/>
            </w:tcBorders>
            <w:vAlign w:val="center"/>
          </w:tcPr>
          <w:p>
            <w:pPr>
              <w:widowControl/>
              <w:tabs>
                <w:tab w:val="center" w:pos="4201"/>
                <w:tab w:val="right" w:leader="dot" w:pos="9298"/>
              </w:tabs>
              <w:autoSpaceDE w:val="0"/>
              <w:autoSpaceDN w:val="0"/>
              <w:jc w:val="center"/>
              <w:rPr>
                <w:sz w:val="18"/>
                <w:szCs w:val="18"/>
              </w:rPr>
            </w:pPr>
            <w:r>
              <w:rPr>
                <w:rFonts w:hint="eastAsia"/>
                <w:kern w:val="0"/>
                <w:sz w:val="18"/>
                <w:szCs w:val="18"/>
              </w:rPr>
              <w:t>06Cr18Ni12</w:t>
            </w:r>
          </w:p>
        </w:tc>
        <w:tc>
          <w:tcPr>
            <w:tcW w:w="5371" w:type="dxa"/>
            <w:vAlign w:val="center"/>
          </w:tcPr>
          <w:p>
            <w:pPr>
              <w:jc w:val="center"/>
              <w:rPr>
                <w:sz w:val="18"/>
                <w:szCs w:val="18"/>
              </w:rPr>
            </w:pPr>
            <w:r>
              <w:rPr>
                <w:rFonts w:hint="eastAsia"/>
                <w:sz w:val="18"/>
                <w:szCs w:val="18"/>
              </w:rPr>
              <w:t>≥1040℃水冷或其他方式快冷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147" w:type="dxa"/>
            <w:vAlign w:val="center"/>
          </w:tcPr>
          <w:p>
            <w:pPr>
              <w:jc w:val="center"/>
              <w:rPr>
                <w:sz w:val="18"/>
                <w:szCs w:val="18"/>
              </w:rPr>
            </w:pPr>
            <w:r>
              <w:rPr>
                <w:sz w:val="18"/>
                <w:szCs w:val="18"/>
              </w:rPr>
              <w:t>3</w:t>
            </w:r>
          </w:p>
        </w:tc>
        <w:tc>
          <w:tcPr>
            <w:tcW w:w="2826" w:type="dxa"/>
            <w:tcBorders>
              <w:left w:val="single" w:color="auto" w:sz="4" w:space="0"/>
            </w:tcBorders>
            <w:vAlign w:val="center"/>
          </w:tcPr>
          <w:p>
            <w:pPr>
              <w:widowControl/>
              <w:tabs>
                <w:tab w:val="center" w:pos="4201"/>
                <w:tab w:val="right" w:leader="dot" w:pos="9298"/>
              </w:tabs>
              <w:autoSpaceDE w:val="0"/>
              <w:autoSpaceDN w:val="0"/>
              <w:jc w:val="center"/>
              <w:rPr>
                <w:sz w:val="18"/>
                <w:szCs w:val="18"/>
              </w:rPr>
            </w:pPr>
            <w:r>
              <w:rPr>
                <w:rFonts w:hint="eastAsia"/>
                <w:kern w:val="0"/>
                <w:sz w:val="18"/>
                <w:szCs w:val="18"/>
              </w:rPr>
              <w:t>05Cr16Ni14</w:t>
            </w:r>
          </w:p>
        </w:tc>
        <w:tc>
          <w:tcPr>
            <w:tcW w:w="5371" w:type="dxa"/>
            <w:vAlign w:val="center"/>
          </w:tcPr>
          <w:p>
            <w:pPr>
              <w:jc w:val="center"/>
              <w:rPr>
                <w:sz w:val="18"/>
                <w:szCs w:val="18"/>
              </w:rPr>
            </w:pPr>
            <w:r>
              <w:rPr>
                <w:rFonts w:hint="eastAsia"/>
                <w:sz w:val="18"/>
                <w:szCs w:val="18"/>
              </w:rPr>
              <w:t>≥1040℃水冷或其他方式快冷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147" w:type="dxa"/>
            <w:vAlign w:val="center"/>
          </w:tcPr>
          <w:p>
            <w:pPr>
              <w:jc w:val="center"/>
              <w:rPr>
                <w:sz w:val="18"/>
                <w:szCs w:val="18"/>
              </w:rPr>
            </w:pPr>
            <w:r>
              <w:rPr>
                <w:rFonts w:hint="eastAsia"/>
                <w:sz w:val="18"/>
                <w:szCs w:val="18"/>
              </w:rPr>
              <w:t>4</w:t>
            </w:r>
          </w:p>
        </w:tc>
        <w:tc>
          <w:tcPr>
            <w:tcW w:w="2826" w:type="dxa"/>
            <w:tcBorders>
              <w:lef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06Cr25Ni20</w:t>
            </w:r>
          </w:p>
        </w:tc>
        <w:tc>
          <w:tcPr>
            <w:tcW w:w="5371" w:type="dxa"/>
            <w:vAlign w:val="center"/>
          </w:tcPr>
          <w:p>
            <w:pPr>
              <w:jc w:val="center"/>
              <w:rPr>
                <w:sz w:val="18"/>
                <w:szCs w:val="18"/>
              </w:rPr>
            </w:pPr>
            <w:r>
              <w:rPr>
                <w:rFonts w:hint="eastAsia"/>
                <w:sz w:val="18"/>
                <w:szCs w:val="18"/>
              </w:rPr>
              <w:t>≥1040℃水冷或其他方式快冷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147" w:type="dxa"/>
            <w:vAlign w:val="center"/>
          </w:tcPr>
          <w:p>
            <w:pPr>
              <w:jc w:val="center"/>
              <w:rPr>
                <w:sz w:val="18"/>
                <w:szCs w:val="18"/>
              </w:rPr>
            </w:pPr>
            <w:r>
              <w:rPr>
                <w:rFonts w:hint="eastAsia"/>
                <w:sz w:val="18"/>
                <w:szCs w:val="18"/>
              </w:rPr>
              <w:t>5</w:t>
            </w:r>
          </w:p>
        </w:tc>
        <w:tc>
          <w:tcPr>
            <w:tcW w:w="2826" w:type="dxa"/>
            <w:tcBorders>
              <w:lef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022Cr18Ni11</w:t>
            </w:r>
          </w:p>
        </w:tc>
        <w:tc>
          <w:tcPr>
            <w:tcW w:w="5371" w:type="dxa"/>
            <w:vAlign w:val="center"/>
          </w:tcPr>
          <w:p>
            <w:pPr>
              <w:jc w:val="center"/>
              <w:rPr>
                <w:sz w:val="18"/>
                <w:szCs w:val="18"/>
              </w:rPr>
            </w:pPr>
            <w:r>
              <w:rPr>
                <w:rFonts w:hint="eastAsia"/>
                <w:sz w:val="18"/>
                <w:szCs w:val="18"/>
              </w:rPr>
              <w:t>≥1040℃水冷或其他方式快冷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147" w:type="dxa"/>
            <w:vAlign w:val="center"/>
          </w:tcPr>
          <w:p>
            <w:pPr>
              <w:jc w:val="center"/>
              <w:rPr>
                <w:sz w:val="18"/>
                <w:szCs w:val="18"/>
              </w:rPr>
            </w:pPr>
            <w:r>
              <w:rPr>
                <w:rFonts w:hint="eastAsia"/>
                <w:sz w:val="18"/>
                <w:szCs w:val="18"/>
              </w:rPr>
              <w:t>6</w:t>
            </w:r>
          </w:p>
        </w:tc>
        <w:tc>
          <w:tcPr>
            <w:tcW w:w="2826" w:type="dxa"/>
            <w:tcBorders>
              <w:lef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022Cr17Ni13Mo2</w:t>
            </w:r>
          </w:p>
        </w:tc>
        <w:tc>
          <w:tcPr>
            <w:tcW w:w="5371" w:type="dxa"/>
            <w:vAlign w:val="center"/>
          </w:tcPr>
          <w:p>
            <w:pPr>
              <w:jc w:val="center"/>
              <w:rPr>
                <w:sz w:val="18"/>
                <w:szCs w:val="18"/>
              </w:rPr>
            </w:pPr>
            <w:r>
              <w:rPr>
                <w:rFonts w:hint="eastAsia"/>
                <w:sz w:val="18"/>
                <w:szCs w:val="18"/>
              </w:rPr>
              <w:t>≥1040℃水冷或其他方式快冷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147" w:type="dxa"/>
            <w:vAlign w:val="center"/>
          </w:tcPr>
          <w:p>
            <w:pPr>
              <w:jc w:val="center"/>
              <w:rPr>
                <w:sz w:val="18"/>
                <w:szCs w:val="18"/>
              </w:rPr>
            </w:pPr>
            <w:r>
              <w:rPr>
                <w:rFonts w:hint="eastAsia"/>
                <w:sz w:val="18"/>
                <w:szCs w:val="18"/>
              </w:rPr>
              <w:t>7</w:t>
            </w:r>
          </w:p>
        </w:tc>
        <w:tc>
          <w:tcPr>
            <w:tcW w:w="2826" w:type="dxa"/>
            <w:tcBorders>
              <w:lef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022Cr17Ni13Mo2N</w:t>
            </w:r>
          </w:p>
        </w:tc>
        <w:tc>
          <w:tcPr>
            <w:tcW w:w="5371" w:type="dxa"/>
            <w:vAlign w:val="center"/>
          </w:tcPr>
          <w:p>
            <w:pPr>
              <w:jc w:val="center"/>
              <w:rPr>
                <w:sz w:val="18"/>
                <w:szCs w:val="18"/>
              </w:rPr>
            </w:pPr>
            <w:r>
              <w:rPr>
                <w:rFonts w:hint="eastAsia"/>
                <w:sz w:val="18"/>
                <w:szCs w:val="18"/>
              </w:rPr>
              <w:t>≥1040℃水冷或其他方式快冷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147" w:type="dxa"/>
            <w:vAlign w:val="center"/>
          </w:tcPr>
          <w:p>
            <w:pPr>
              <w:jc w:val="center"/>
              <w:rPr>
                <w:sz w:val="18"/>
                <w:szCs w:val="18"/>
              </w:rPr>
            </w:pPr>
            <w:r>
              <w:rPr>
                <w:rFonts w:hint="eastAsia"/>
                <w:sz w:val="18"/>
                <w:szCs w:val="18"/>
              </w:rPr>
              <w:t>8</w:t>
            </w:r>
          </w:p>
        </w:tc>
        <w:tc>
          <w:tcPr>
            <w:tcW w:w="2826" w:type="dxa"/>
            <w:tcBorders>
              <w:left w:val="single" w:color="auto" w:sz="4" w:space="0"/>
            </w:tcBorders>
            <w:vAlign w:val="center"/>
          </w:tcPr>
          <w:p>
            <w:pPr>
              <w:widowControl/>
              <w:tabs>
                <w:tab w:val="center" w:pos="4201"/>
                <w:tab w:val="right" w:leader="dot" w:pos="9298"/>
              </w:tabs>
              <w:autoSpaceDE w:val="0"/>
              <w:autoSpaceDN w:val="0"/>
              <w:jc w:val="center"/>
              <w:rPr>
                <w:sz w:val="18"/>
              </w:rPr>
            </w:pPr>
            <w:r>
              <w:rPr>
                <w:rFonts w:hint="eastAsia"/>
                <w:kern w:val="0"/>
                <w:sz w:val="18"/>
                <w:szCs w:val="18"/>
              </w:rPr>
              <w:t>05Cr22Ni14Mn5Mo2NbVN</w:t>
            </w:r>
          </w:p>
        </w:tc>
        <w:tc>
          <w:tcPr>
            <w:tcW w:w="5371" w:type="dxa"/>
            <w:vAlign w:val="center"/>
          </w:tcPr>
          <w:p>
            <w:pPr>
              <w:jc w:val="center"/>
              <w:rPr>
                <w:sz w:val="18"/>
                <w:szCs w:val="18"/>
              </w:rPr>
            </w:pPr>
            <w:r>
              <w:rPr>
                <w:rFonts w:hint="eastAsia"/>
                <w:sz w:val="18"/>
                <w:szCs w:val="18"/>
              </w:rPr>
              <w:t>≥1040℃水冷或其他方式快冷</w:t>
            </w:r>
          </w:p>
        </w:tc>
      </w:tr>
    </w:tbl>
    <w:p>
      <w:pPr>
        <w:widowControl/>
        <w:tabs>
          <w:tab w:val="center" w:pos="4201"/>
          <w:tab w:val="right" w:leader="dot" w:pos="9298"/>
        </w:tabs>
        <w:autoSpaceDE w:val="0"/>
        <w:autoSpaceDN w:val="0"/>
        <w:ind w:firstLine="420" w:firstLineChars="200"/>
        <w:rPr>
          <w:kern w:val="0"/>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r>
        <w:rPr>
          <w:rFonts w:ascii="Times New Roman" w:hAnsi="Times New Roman"/>
          <w:szCs w:val="20"/>
        </w:rP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594995</wp:posOffset>
                </wp:positionV>
                <wp:extent cx="1924050" cy="0"/>
                <wp:effectExtent l="0" t="0" r="19050"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62.75pt;margin-top:46.85pt;height:0pt;width:151.5pt;z-index:251659264;mso-width-relative:page;mso-height-relative:page;" filled="f" stroked="t" coordsize="21600,21600" o:gfxdata="UEsDBAoAAAAAAIdO4kAAAAAAAAAAAAAAAAAEAAAAZHJzL1BLAwQUAAAACACHTuJAmK6ridcAAAAJ&#10;AQAADwAAAGRycy9kb3ducmV2LnhtbE2PwU7DMAyG70i8Q2QkLogl7dSxdU0nhMSBI9skrlnjtYXG&#10;qZp0HXt6jDiMo39/+v252JxdJ044hNaThmSmQCBV3rZUa9jvXh+XIEI0ZE3nCTV8Y4BNeXtTmNz6&#10;id7xtI214BIKudHQxNjnUoaqQWfCzPdIvDv6wZnI41BLO5iJy10nU6UW0pmW+EJjenxpsPrajk4D&#10;hjFL1PPK1fu3y/TwkV4+p36n9f1dotYgIp7jFYZffVaHkp0OfiQbRKdhnmYZoxpW8ycQDCzSJQeH&#10;v0CWhfz/QfkD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rquJ1wAAAAk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r>
        <w:rPr>
          <w:rFonts w:hint="eastAsia" w:ascii="Times New Roman" w:hAnsi="Times New Roman"/>
          <w:szCs w:val="20"/>
        </w:rPr>
        <w:t>.</w:t>
      </w: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left="374" w:firstLine="0" w:firstLineChars="0"/>
        <w:rPr>
          <w:rFonts w:ascii="Times New Roman" w:hAnsi="Times New Roman"/>
          <w:szCs w:val="20"/>
        </w:rPr>
      </w:pPr>
    </w:p>
    <w:p>
      <w:pPr>
        <w:pStyle w:val="143"/>
        <w:shd w:val="clear" w:color="auto" w:fill="FFFFFF" w:themeFill="background1"/>
        <w:ind w:firstLine="0" w:firstLineChars="0"/>
        <w:rPr>
          <w:rFonts w:ascii="Times New Roman" w:hAnsi="Times New Roman"/>
          <w:szCs w:val="20"/>
        </w:rPr>
      </w:pP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6"/>
          <w:jc w:val="left"/>
        </w:pPr>
        <w:r>
          <w:fldChar w:fldCharType="begin"/>
        </w:r>
        <w:r>
          <w:instrText xml:space="preserve">PAGE   \* MERGEFORMAT</w:instrText>
        </w:r>
        <w:r>
          <w:fldChar w:fldCharType="separate"/>
        </w:r>
        <w:r>
          <w:rPr>
            <w:lang w:val="zh-CN"/>
          </w:rPr>
          <w:t>8</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097"/>
    <w:rsid w:val="00000244"/>
    <w:rsid w:val="000002DD"/>
    <w:rsid w:val="0000185F"/>
    <w:rsid w:val="00004368"/>
    <w:rsid w:val="0000586F"/>
    <w:rsid w:val="00005D79"/>
    <w:rsid w:val="00007340"/>
    <w:rsid w:val="0000777B"/>
    <w:rsid w:val="0001140E"/>
    <w:rsid w:val="00012E74"/>
    <w:rsid w:val="00013D86"/>
    <w:rsid w:val="00013E02"/>
    <w:rsid w:val="00016D4E"/>
    <w:rsid w:val="00017E7B"/>
    <w:rsid w:val="00020414"/>
    <w:rsid w:val="0002143C"/>
    <w:rsid w:val="00021EAC"/>
    <w:rsid w:val="00022016"/>
    <w:rsid w:val="000238EC"/>
    <w:rsid w:val="00025A65"/>
    <w:rsid w:val="000267B2"/>
    <w:rsid w:val="00026B62"/>
    <w:rsid w:val="00026C31"/>
    <w:rsid w:val="00027280"/>
    <w:rsid w:val="000306E3"/>
    <w:rsid w:val="000320A7"/>
    <w:rsid w:val="00035925"/>
    <w:rsid w:val="000366F4"/>
    <w:rsid w:val="00037DAC"/>
    <w:rsid w:val="00041127"/>
    <w:rsid w:val="00045C9B"/>
    <w:rsid w:val="000466F7"/>
    <w:rsid w:val="000467B3"/>
    <w:rsid w:val="000521F9"/>
    <w:rsid w:val="00055BAB"/>
    <w:rsid w:val="00061A0B"/>
    <w:rsid w:val="000639E9"/>
    <w:rsid w:val="00063E76"/>
    <w:rsid w:val="00067CDF"/>
    <w:rsid w:val="0007075F"/>
    <w:rsid w:val="00072C3E"/>
    <w:rsid w:val="00073209"/>
    <w:rsid w:val="00074FBE"/>
    <w:rsid w:val="000767AF"/>
    <w:rsid w:val="000772BB"/>
    <w:rsid w:val="00077E45"/>
    <w:rsid w:val="00080500"/>
    <w:rsid w:val="000818DD"/>
    <w:rsid w:val="00083A09"/>
    <w:rsid w:val="00085331"/>
    <w:rsid w:val="000858B3"/>
    <w:rsid w:val="000868E3"/>
    <w:rsid w:val="0009005E"/>
    <w:rsid w:val="000900F8"/>
    <w:rsid w:val="00090E08"/>
    <w:rsid w:val="00092857"/>
    <w:rsid w:val="00094BD2"/>
    <w:rsid w:val="00097C30"/>
    <w:rsid w:val="000A20A9"/>
    <w:rsid w:val="000A3AE3"/>
    <w:rsid w:val="000A48B1"/>
    <w:rsid w:val="000A5495"/>
    <w:rsid w:val="000A7100"/>
    <w:rsid w:val="000B3143"/>
    <w:rsid w:val="000C14ED"/>
    <w:rsid w:val="000C30C7"/>
    <w:rsid w:val="000C498B"/>
    <w:rsid w:val="000C6B05"/>
    <w:rsid w:val="000C6DD6"/>
    <w:rsid w:val="000C73D4"/>
    <w:rsid w:val="000D03F1"/>
    <w:rsid w:val="000D114F"/>
    <w:rsid w:val="000D12AE"/>
    <w:rsid w:val="000D3D4C"/>
    <w:rsid w:val="000D4406"/>
    <w:rsid w:val="000D44D7"/>
    <w:rsid w:val="000D4505"/>
    <w:rsid w:val="000D4F51"/>
    <w:rsid w:val="000D718B"/>
    <w:rsid w:val="000E0C46"/>
    <w:rsid w:val="000E0CDB"/>
    <w:rsid w:val="000E3EC7"/>
    <w:rsid w:val="000E3F8A"/>
    <w:rsid w:val="000F030C"/>
    <w:rsid w:val="000F04B4"/>
    <w:rsid w:val="000F129C"/>
    <w:rsid w:val="000F1C07"/>
    <w:rsid w:val="000F2971"/>
    <w:rsid w:val="001008BA"/>
    <w:rsid w:val="001056DE"/>
    <w:rsid w:val="0010658E"/>
    <w:rsid w:val="00111863"/>
    <w:rsid w:val="001124C0"/>
    <w:rsid w:val="00114230"/>
    <w:rsid w:val="0011711C"/>
    <w:rsid w:val="00121229"/>
    <w:rsid w:val="001249CF"/>
    <w:rsid w:val="00125108"/>
    <w:rsid w:val="00125D28"/>
    <w:rsid w:val="001278EF"/>
    <w:rsid w:val="0013175F"/>
    <w:rsid w:val="00134999"/>
    <w:rsid w:val="00140D6D"/>
    <w:rsid w:val="00143F81"/>
    <w:rsid w:val="001508E8"/>
    <w:rsid w:val="00150CB8"/>
    <w:rsid w:val="001512B4"/>
    <w:rsid w:val="00151F6D"/>
    <w:rsid w:val="00152179"/>
    <w:rsid w:val="00154746"/>
    <w:rsid w:val="00154A8E"/>
    <w:rsid w:val="00156D41"/>
    <w:rsid w:val="00160652"/>
    <w:rsid w:val="00161317"/>
    <w:rsid w:val="001620A5"/>
    <w:rsid w:val="00164E53"/>
    <w:rsid w:val="0016699D"/>
    <w:rsid w:val="001701E9"/>
    <w:rsid w:val="0017259F"/>
    <w:rsid w:val="00172A27"/>
    <w:rsid w:val="00174918"/>
    <w:rsid w:val="00174DFC"/>
    <w:rsid w:val="00175159"/>
    <w:rsid w:val="00176208"/>
    <w:rsid w:val="00176D95"/>
    <w:rsid w:val="0017711B"/>
    <w:rsid w:val="0018211B"/>
    <w:rsid w:val="00183176"/>
    <w:rsid w:val="001840D3"/>
    <w:rsid w:val="00187A9A"/>
    <w:rsid w:val="001900F8"/>
    <w:rsid w:val="0019112B"/>
    <w:rsid w:val="00191258"/>
    <w:rsid w:val="00192680"/>
    <w:rsid w:val="001926AA"/>
    <w:rsid w:val="00193037"/>
    <w:rsid w:val="00193A2C"/>
    <w:rsid w:val="00197D88"/>
    <w:rsid w:val="00197E8B"/>
    <w:rsid w:val="001A01D4"/>
    <w:rsid w:val="001A1214"/>
    <w:rsid w:val="001A288E"/>
    <w:rsid w:val="001A32EE"/>
    <w:rsid w:val="001A770A"/>
    <w:rsid w:val="001B5E5F"/>
    <w:rsid w:val="001B6DC2"/>
    <w:rsid w:val="001C149C"/>
    <w:rsid w:val="001C21AC"/>
    <w:rsid w:val="001C47BA"/>
    <w:rsid w:val="001C59EA"/>
    <w:rsid w:val="001D0924"/>
    <w:rsid w:val="001D2B11"/>
    <w:rsid w:val="001D406C"/>
    <w:rsid w:val="001D41EE"/>
    <w:rsid w:val="001D4EC2"/>
    <w:rsid w:val="001D7A94"/>
    <w:rsid w:val="001D7BBC"/>
    <w:rsid w:val="001E0380"/>
    <w:rsid w:val="001E13B1"/>
    <w:rsid w:val="001E3E63"/>
    <w:rsid w:val="001E55B7"/>
    <w:rsid w:val="001E69DB"/>
    <w:rsid w:val="001F0250"/>
    <w:rsid w:val="001F2835"/>
    <w:rsid w:val="001F3A19"/>
    <w:rsid w:val="001F70BE"/>
    <w:rsid w:val="002002E4"/>
    <w:rsid w:val="00204AFE"/>
    <w:rsid w:val="0020528D"/>
    <w:rsid w:val="00207941"/>
    <w:rsid w:val="002127FA"/>
    <w:rsid w:val="0022046A"/>
    <w:rsid w:val="0022089B"/>
    <w:rsid w:val="002242CD"/>
    <w:rsid w:val="00231142"/>
    <w:rsid w:val="00231970"/>
    <w:rsid w:val="00234467"/>
    <w:rsid w:val="00237D8D"/>
    <w:rsid w:val="00240622"/>
    <w:rsid w:val="00240FE6"/>
    <w:rsid w:val="00241DA2"/>
    <w:rsid w:val="00245B95"/>
    <w:rsid w:val="00247FEE"/>
    <w:rsid w:val="00250E7D"/>
    <w:rsid w:val="00253310"/>
    <w:rsid w:val="00254299"/>
    <w:rsid w:val="002549B0"/>
    <w:rsid w:val="002565D5"/>
    <w:rsid w:val="00257415"/>
    <w:rsid w:val="00257686"/>
    <w:rsid w:val="00257C39"/>
    <w:rsid w:val="002622C0"/>
    <w:rsid w:val="00262D2E"/>
    <w:rsid w:val="00264A47"/>
    <w:rsid w:val="00264F9B"/>
    <w:rsid w:val="00265199"/>
    <w:rsid w:val="002670D5"/>
    <w:rsid w:val="002723AF"/>
    <w:rsid w:val="00272D7C"/>
    <w:rsid w:val="002741BC"/>
    <w:rsid w:val="002759BB"/>
    <w:rsid w:val="00276B08"/>
    <w:rsid w:val="002778AE"/>
    <w:rsid w:val="0028022A"/>
    <w:rsid w:val="00281919"/>
    <w:rsid w:val="002824CB"/>
    <w:rsid w:val="002825C4"/>
    <w:rsid w:val="0028269A"/>
    <w:rsid w:val="00283590"/>
    <w:rsid w:val="0028512A"/>
    <w:rsid w:val="00286973"/>
    <w:rsid w:val="00286D3B"/>
    <w:rsid w:val="00287405"/>
    <w:rsid w:val="0029024B"/>
    <w:rsid w:val="002904AF"/>
    <w:rsid w:val="00291AF2"/>
    <w:rsid w:val="00293935"/>
    <w:rsid w:val="00294E70"/>
    <w:rsid w:val="002952CE"/>
    <w:rsid w:val="00296FB8"/>
    <w:rsid w:val="002A06B3"/>
    <w:rsid w:val="002A0ABD"/>
    <w:rsid w:val="002A159E"/>
    <w:rsid w:val="002A1924"/>
    <w:rsid w:val="002A7420"/>
    <w:rsid w:val="002B0F12"/>
    <w:rsid w:val="002B1308"/>
    <w:rsid w:val="002B4449"/>
    <w:rsid w:val="002B4554"/>
    <w:rsid w:val="002B4FE3"/>
    <w:rsid w:val="002C0BA9"/>
    <w:rsid w:val="002C2696"/>
    <w:rsid w:val="002C72D8"/>
    <w:rsid w:val="002C7E63"/>
    <w:rsid w:val="002D11FA"/>
    <w:rsid w:val="002D2152"/>
    <w:rsid w:val="002D545A"/>
    <w:rsid w:val="002E0B45"/>
    <w:rsid w:val="002E0DDF"/>
    <w:rsid w:val="002E2906"/>
    <w:rsid w:val="002E5635"/>
    <w:rsid w:val="002E615A"/>
    <w:rsid w:val="002E64C3"/>
    <w:rsid w:val="002E6A2C"/>
    <w:rsid w:val="002E728C"/>
    <w:rsid w:val="002F1D8C"/>
    <w:rsid w:val="002F21DA"/>
    <w:rsid w:val="002F31F1"/>
    <w:rsid w:val="002F3F0D"/>
    <w:rsid w:val="002F42E2"/>
    <w:rsid w:val="002F4512"/>
    <w:rsid w:val="002F57F3"/>
    <w:rsid w:val="002F6BC3"/>
    <w:rsid w:val="00301F39"/>
    <w:rsid w:val="0030226F"/>
    <w:rsid w:val="00305812"/>
    <w:rsid w:val="003073E0"/>
    <w:rsid w:val="00310478"/>
    <w:rsid w:val="00310E10"/>
    <w:rsid w:val="00317A37"/>
    <w:rsid w:val="0032071A"/>
    <w:rsid w:val="00325926"/>
    <w:rsid w:val="00327A8A"/>
    <w:rsid w:val="00336610"/>
    <w:rsid w:val="00343F73"/>
    <w:rsid w:val="00345060"/>
    <w:rsid w:val="00345433"/>
    <w:rsid w:val="00350BC9"/>
    <w:rsid w:val="00352375"/>
    <w:rsid w:val="00352D6D"/>
    <w:rsid w:val="0035323B"/>
    <w:rsid w:val="0035620D"/>
    <w:rsid w:val="00356876"/>
    <w:rsid w:val="003609D2"/>
    <w:rsid w:val="00360E16"/>
    <w:rsid w:val="00363F22"/>
    <w:rsid w:val="003650D5"/>
    <w:rsid w:val="003659A4"/>
    <w:rsid w:val="0036759A"/>
    <w:rsid w:val="0036763B"/>
    <w:rsid w:val="00371E7E"/>
    <w:rsid w:val="003732A9"/>
    <w:rsid w:val="0037473D"/>
    <w:rsid w:val="00375564"/>
    <w:rsid w:val="0037662F"/>
    <w:rsid w:val="003768C0"/>
    <w:rsid w:val="00382B24"/>
    <w:rsid w:val="00383191"/>
    <w:rsid w:val="003839CA"/>
    <w:rsid w:val="003852DB"/>
    <w:rsid w:val="00386DED"/>
    <w:rsid w:val="003912E7"/>
    <w:rsid w:val="0039140F"/>
    <w:rsid w:val="00393947"/>
    <w:rsid w:val="003A1F65"/>
    <w:rsid w:val="003A2275"/>
    <w:rsid w:val="003A3F2D"/>
    <w:rsid w:val="003A48CA"/>
    <w:rsid w:val="003A5141"/>
    <w:rsid w:val="003A6A4F"/>
    <w:rsid w:val="003A7088"/>
    <w:rsid w:val="003B00DF"/>
    <w:rsid w:val="003B1275"/>
    <w:rsid w:val="003B1778"/>
    <w:rsid w:val="003B1DA2"/>
    <w:rsid w:val="003B217D"/>
    <w:rsid w:val="003B7AC1"/>
    <w:rsid w:val="003C11CB"/>
    <w:rsid w:val="003C1707"/>
    <w:rsid w:val="003C5654"/>
    <w:rsid w:val="003C75F3"/>
    <w:rsid w:val="003C78A3"/>
    <w:rsid w:val="003D0023"/>
    <w:rsid w:val="003D0240"/>
    <w:rsid w:val="003D262A"/>
    <w:rsid w:val="003D52A2"/>
    <w:rsid w:val="003D721E"/>
    <w:rsid w:val="003E0318"/>
    <w:rsid w:val="003E0D6C"/>
    <w:rsid w:val="003E0DC1"/>
    <w:rsid w:val="003E180A"/>
    <w:rsid w:val="003E1867"/>
    <w:rsid w:val="003E5000"/>
    <w:rsid w:val="003E5729"/>
    <w:rsid w:val="003E5A57"/>
    <w:rsid w:val="003F4EE0"/>
    <w:rsid w:val="00400C28"/>
    <w:rsid w:val="00402153"/>
    <w:rsid w:val="00402FC1"/>
    <w:rsid w:val="00405236"/>
    <w:rsid w:val="004132A4"/>
    <w:rsid w:val="004134DD"/>
    <w:rsid w:val="004145B9"/>
    <w:rsid w:val="004166CD"/>
    <w:rsid w:val="0041793A"/>
    <w:rsid w:val="00423779"/>
    <w:rsid w:val="00423DBC"/>
    <w:rsid w:val="00425082"/>
    <w:rsid w:val="00430262"/>
    <w:rsid w:val="00431DEB"/>
    <w:rsid w:val="00433284"/>
    <w:rsid w:val="00435F53"/>
    <w:rsid w:val="00443F7B"/>
    <w:rsid w:val="00446B29"/>
    <w:rsid w:val="004509E6"/>
    <w:rsid w:val="00453015"/>
    <w:rsid w:val="00453F9A"/>
    <w:rsid w:val="00455F07"/>
    <w:rsid w:val="0045659F"/>
    <w:rsid w:val="00457C85"/>
    <w:rsid w:val="004636C5"/>
    <w:rsid w:val="00471E91"/>
    <w:rsid w:val="00472AF6"/>
    <w:rsid w:val="00472C6E"/>
    <w:rsid w:val="00474675"/>
    <w:rsid w:val="0047470C"/>
    <w:rsid w:val="0047745F"/>
    <w:rsid w:val="00482C8D"/>
    <w:rsid w:val="00485828"/>
    <w:rsid w:val="00490677"/>
    <w:rsid w:val="00490762"/>
    <w:rsid w:val="00490E6B"/>
    <w:rsid w:val="00492A67"/>
    <w:rsid w:val="00497A7C"/>
    <w:rsid w:val="004A029F"/>
    <w:rsid w:val="004A0900"/>
    <w:rsid w:val="004A0F5E"/>
    <w:rsid w:val="004A2EB0"/>
    <w:rsid w:val="004A35F9"/>
    <w:rsid w:val="004A6045"/>
    <w:rsid w:val="004B1107"/>
    <w:rsid w:val="004B1EA1"/>
    <w:rsid w:val="004B24C1"/>
    <w:rsid w:val="004B3527"/>
    <w:rsid w:val="004B4141"/>
    <w:rsid w:val="004B41A3"/>
    <w:rsid w:val="004B58CD"/>
    <w:rsid w:val="004B7A61"/>
    <w:rsid w:val="004B7C46"/>
    <w:rsid w:val="004C0DE4"/>
    <w:rsid w:val="004C15CE"/>
    <w:rsid w:val="004C292F"/>
    <w:rsid w:val="004C2E23"/>
    <w:rsid w:val="004C3DAE"/>
    <w:rsid w:val="004C41F9"/>
    <w:rsid w:val="004C52B4"/>
    <w:rsid w:val="004C6D21"/>
    <w:rsid w:val="004D07B7"/>
    <w:rsid w:val="004D197C"/>
    <w:rsid w:val="004D6168"/>
    <w:rsid w:val="004E0087"/>
    <w:rsid w:val="004E4034"/>
    <w:rsid w:val="004E504F"/>
    <w:rsid w:val="004E7695"/>
    <w:rsid w:val="004F10FB"/>
    <w:rsid w:val="004F11CA"/>
    <w:rsid w:val="005002CE"/>
    <w:rsid w:val="00500A34"/>
    <w:rsid w:val="00501D97"/>
    <w:rsid w:val="0050657D"/>
    <w:rsid w:val="00510280"/>
    <w:rsid w:val="005107C9"/>
    <w:rsid w:val="0051089F"/>
    <w:rsid w:val="005127F6"/>
    <w:rsid w:val="00513480"/>
    <w:rsid w:val="00513D73"/>
    <w:rsid w:val="00514A43"/>
    <w:rsid w:val="005174E5"/>
    <w:rsid w:val="00520AA4"/>
    <w:rsid w:val="00522393"/>
    <w:rsid w:val="00522620"/>
    <w:rsid w:val="00522F9A"/>
    <w:rsid w:val="005237FD"/>
    <w:rsid w:val="00525656"/>
    <w:rsid w:val="00534C02"/>
    <w:rsid w:val="00534D29"/>
    <w:rsid w:val="00534EC9"/>
    <w:rsid w:val="00535A30"/>
    <w:rsid w:val="005374CA"/>
    <w:rsid w:val="0054264B"/>
    <w:rsid w:val="00543786"/>
    <w:rsid w:val="00550AC2"/>
    <w:rsid w:val="005533D7"/>
    <w:rsid w:val="00555D5A"/>
    <w:rsid w:val="00560E0C"/>
    <w:rsid w:val="005650DE"/>
    <w:rsid w:val="00565E4A"/>
    <w:rsid w:val="005703DE"/>
    <w:rsid w:val="0057237E"/>
    <w:rsid w:val="00575169"/>
    <w:rsid w:val="00580B6B"/>
    <w:rsid w:val="005828EB"/>
    <w:rsid w:val="00582AD4"/>
    <w:rsid w:val="0058464E"/>
    <w:rsid w:val="00586AF1"/>
    <w:rsid w:val="00586BE0"/>
    <w:rsid w:val="00587FD0"/>
    <w:rsid w:val="00592C13"/>
    <w:rsid w:val="005A01CB"/>
    <w:rsid w:val="005A0F80"/>
    <w:rsid w:val="005A2C33"/>
    <w:rsid w:val="005A58FF"/>
    <w:rsid w:val="005A5BD3"/>
    <w:rsid w:val="005A5EAF"/>
    <w:rsid w:val="005A64C0"/>
    <w:rsid w:val="005A6808"/>
    <w:rsid w:val="005B1AD6"/>
    <w:rsid w:val="005B2219"/>
    <w:rsid w:val="005B3618"/>
    <w:rsid w:val="005B3747"/>
    <w:rsid w:val="005B3C11"/>
    <w:rsid w:val="005B3CB5"/>
    <w:rsid w:val="005B73B1"/>
    <w:rsid w:val="005C1190"/>
    <w:rsid w:val="005C1C28"/>
    <w:rsid w:val="005C26C4"/>
    <w:rsid w:val="005C3767"/>
    <w:rsid w:val="005C40BF"/>
    <w:rsid w:val="005C6DB5"/>
    <w:rsid w:val="005C7E1D"/>
    <w:rsid w:val="005D1283"/>
    <w:rsid w:val="005D347A"/>
    <w:rsid w:val="005D4E43"/>
    <w:rsid w:val="005E0135"/>
    <w:rsid w:val="005E19E7"/>
    <w:rsid w:val="005E219B"/>
    <w:rsid w:val="005E534D"/>
    <w:rsid w:val="005E6290"/>
    <w:rsid w:val="005E6661"/>
    <w:rsid w:val="005E71F4"/>
    <w:rsid w:val="005E7A66"/>
    <w:rsid w:val="005F0D0C"/>
    <w:rsid w:val="005F1913"/>
    <w:rsid w:val="005F2504"/>
    <w:rsid w:val="005F4DD2"/>
    <w:rsid w:val="005F7EFC"/>
    <w:rsid w:val="00603CAD"/>
    <w:rsid w:val="00605BC0"/>
    <w:rsid w:val="00606850"/>
    <w:rsid w:val="006123BE"/>
    <w:rsid w:val="006126AA"/>
    <w:rsid w:val="00614071"/>
    <w:rsid w:val="0061716C"/>
    <w:rsid w:val="006173E5"/>
    <w:rsid w:val="0062170B"/>
    <w:rsid w:val="006243A1"/>
    <w:rsid w:val="0062654B"/>
    <w:rsid w:val="006268F1"/>
    <w:rsid w:val="006274A6"/>
    <w:rsid w:val="00627580"/>
    <w:rsid w:val="0063111E"/>
    <w:rsid w:val="00632E56"/>
    <w:rsid w:val="00635CBA"/>
    <w:rsid w:val="00636B59"/>
    <w:rsid w:val="00637416"/>
    <w:rsid w:val="00640D79"/>
    <w:rsid w:val="00641C62"/>
    <w:rsid w:val="006423A6"/>
    <w:rsid w:val="0064338B"/>
    <w:rsid w:val="00646542"/>
    <w:rsid w:val="00646A44"/>
    <w:rsid w:val="00646A5E"/>
    <w:rsid w:val="00647889"/>
    <w:rsid w:val="006504F4"/>
    <w:rsid w:val="00651D37"/>
    <w:rsid w:val="00652A8E"/>
    <w:rsid w:val="00652A92"/>
    <w:rsid w:val="00653CBB"/>
    <w:rsid w:val="00654BC9"/>
    <w:rsid w:val="006552FD"/>
    <w:rsid w:val="006554A5"/>
    <w:rsid w:val="00656ECA"/>
    <w:rsid w:val="00662954"/>
    <w:rsid w:val="00663AF3"/>
    <w:rsid w:val="00666B6C"/>
    <w:rsid w:val="00674BBD"/>
    <w:rsid w:val="00676A78"/>
    <w:rsid w:val="00676D9C"/>
    <w:rsid w:val="00677A1E"/>
    <w:rsid w:val="00677FAA"/>
    <w:rsid w:val="006804AF"/>
    <w:rsid w:val="0068066C"/>
    <w:rsid w:val="00682682"/>
    <w:rsid w:val="00682702"/>
    <w:rsid w:val="00682A25"/>
    <w:rsid w:val="00684350"/>
    <w:rsid w:val="006862EB"/>
    <w:rsid w:val="006915B7"/>
    <w:rsid w:val="006916B9"/>
    <w:rsid w:val="00692368"/>
    <w:rsid w:val="00692DB1"/>
    <w:rsid w:val="00692EAF"/>
    <w:rsid w:val="006A2EBC"/>
    <w:rsid w:val="006A5EA0"/>
    <w:rsid w:val="006A61D0"/>
    <w:rsid w:val="006A783B"/>
    <w:rsid w:val="006A7AEB"/>
    <w:rsid w:val="006A7B33"/>
    <w:rsid w:val="006B0009"/>
    <w:rsid w:val="006B216C"/>
    <w:rsid w:val="006B3B7D"/>
    <w:rsid w:val="006B47BB"/>
    <w:rsid w:val="006B4972"/>
    <w:rsid w:val="006B4E13"/>
    <w:rsid w:val="006B66AC"/>
    <w:rsid w:val="006B75DD"/>
    <w:rsid w:val="006C3EC4"/>
    <w:rsid w:val="006C5EC8"/>
    <w:rsid w:val="006C67E0"/>
    <w:rsid w:val="006C7ABA"/>
    <w:rsid w:val="006D0D60"/>
    <w:rsid w:val="006D1122"/>
    <w:rsid w:val="006D3C00"/>
    <w:rsid w:val="006D62A5"/>
    <w:rsid w:val="006D6AC7"/>
    <w:rsid w:val="006E170A"/>
    <w:rsid w:val="006E3675"/>
    <w:rsid w:val="006E4A7F"/>
    <w:rsid w:val="006E5E69"/>
    <w:rsid w:val="006E78FA"/>
    <w:rsid w:val="006F0EAA"/>
    <w:rsid w:val="006F131E"/>
    <w:rsid w:val="006F13E9"/>
    <w:rsid w:val="006F2AB3"/>
    <w:rsid w:val="006F3A10"/>
    <w:rsid w:val="006F72B1"/>
    <w:rsid w:val="00702335"/>
    <w:rsid w:val="00704DF6"/>
    <w:rsid w:val="0070651C"/>
    <w:rsid w:val="00707D93"/>
    <w:rsid w:val="007100A7"/>
    <w:rsid w:val="00710179"/>
    <w:rsid w:val="0071145F"/>
    <w:rsid w:val="00711B5A"/>
    <w:rsid w:val="007132A3"/>
    <w:rsid w:val="0071458B"/>
    <w:rsid w:val="007158F0"/>
    <w:rsid w:val="00716421"/>
    <w:rsid w:val="00717651"/>
    <w:rsid w:val="00717E79"/>
    <w:rsid w:val="007210A4"/>
    <w:rsid w:val="00722BA5"/>
    <w:rsid w:val="00722D17"/>
    <w:rsid w:val="00724EFB"/>
    <w:rsid w:val="00732949"/>
    <w:rsid w:val="00733E7A"/>
    <w:rsid w:val="00735509"/>
    <w:rsid w:val="007419C3"/>
    <w:rsid w:val="00743B4A"/>
    <w:rsid w:val="00744823"/>
    <w:rsid w:val="00745647"/>
    <w:rsid w:val="007467A7"/>
    <w:rsid w:val="007469DD"/>
    <w:rsid w:val="00747275"/>
    <w:rsid w:val="0074741B"/>
    <w:rsid w:val="0074759E"/>
    <w:rsid w:val="007478EA"/>
    <w:rsid w:val="007537AB"/>
    <w:rsid w:val="00753E0E"/>
    <w:rsid w:val="0075415C"/>
    <w:rsid w:val="00763424"/>
    <w:rsid w:val="00763502"/>
    <w:rsid w:val="00765463"/>
    <w:rsid w:val="00765465"/>
    <w:rsid w:val="00767D83"/>
    <w:rsid w:val="00771B48"/>
    <w:rsid w:val="00773117"/>
    <w:rsid w:val="00774634"/>
    <w:rsid w:val="00774E9B"/>
    <w:rsid w:val="007760D4"/>
    <w:rsid w:val="007848C5"/>
    <w:rsid w:val="00784DB9"/>
    <w:rsid w:val="007913AB"/>
    <w:rsid w:val="007914F7"/>
    <w:rsid w:val="0079218C"/>
    <w:rsid w:val="00797015"/>
    <w:rsid w:val="007A5293"/>
    <w:rsid w:val="007B0C68"/>
    <w:rsid w:val="007B1625"/>
    <w:rsid w:val="007B1EEF"/>
    <w:rsid w:val="007B2AA6"/>
    <w:rsid w:val="007B61B5"/>
    <w:rsid w:val="007B6756"/>
    <w:rsid w:val="007B706E"/>
    <w:rsid w:val="007B71EB"/>
    <w:rsid w:val="007B7F4D"/>
    <w:rsid w:val="007C0A15"/>
    <w:rsid w:val="007C2D77"/>
    <w:rsid w:val="007C31CC"/>
    <w:rsid w:val="007C3F70"/>
    <w:rsid w:val="007C44C3"/>
    <w:rsid w:val="007C487E"/>
    <w:rsid w:val="007C6205"/>
    <w:rsid w:val="007C686A"/>
    <w:rsid w:val="007C728E"/>
    <w:rsid w:val="007D12D6"/>
    <w:rsid w:val="007D2C53"/>
    <w:rsid w:val="007D3D60"/>
    <w:rsid w:val="007D44C7"/>
    <w:rsid w:val="007D58A1"/>
    <w:rsid w:val="007E1980"/>
    <w:rsid w:val="007E4B76"/>
    <w:rsid w:val="007E4C8A"/>
    <w:rsid w:val="007E5EA8"/>
    <w:rsid w:val="007E7282"/>
    <w:rsid w:val="007F0949"/>
    <w:rsid w:val="007F0CF1"/>
    <w:rsid w:val="007F12A5"/>
    <w:rsid w:val="007F2D6D"/>
    <w:rsid w:val="007F3B0B"/>
    <w:rsid w:val="007F4CF1"/>
    <w:rsid w:val="007F758D"/>
    <w:rsid w:val="007F7D52"/>
    <w:rsid w:val="00802398"/>
    <w:rsid w:val="0080353D"/>
    <w:rsid w:val="00804FF2"/>
    <w:rsid w:val="008058B7"/>
    <w:rsid w:val="0080654C"/>
    <w:rsid w:val="008071C6"/>
    <w:rsid w:val="008109D6"/>
    <w:rsid w:val="00811750"/>
    <w:rsid w:val="00815237"/>
    <w:rsid w:val="00817A00"/>
    <w:rsid w:val="00820D23"/>
    <w:rsid w:val="00821C5F"/>
    <w:rsid w:val="0083084A"/>
    <w:rsid w:val="00831E65"/>
    <w:rsid w:val="00832776"/>
    <w:rsid w:val="00834B6C"/>
    <w:rsid w:val="00835DB3"/>
    <w:rsid w:val="0083617B"/>
    <w:rsid w:val="008371BD"/>
    <w:rsid w:val="008419C1"/>
    <w:rsid w:val="00843AA8"/>
    <w:rsid w:val="008504A8"/>
    <w:rsid w:val="0085282E"/>
    <w:rsid w:val="008533B6"/>
    <w:rsid w:val="00854B5F"/>
    <w:rsid w:val="00857A3C"/>
    <w:rsid w:val="00862151"/>
    <w:rsid w:val="00862A27"/>
    <w:rsid w:val="00862AB9"/>
    <w:rsid w:val="00864FB4"/>
    <w:rsid w:val="00867B33"/>
    <w:rsid w:val="0087198C"/>
    <w:rsid w:val="00872896"/>
    <w:rsid w:val="00872C1F"/>
    <w:rsid w:val="00873B42"/>
    <w:rsid w:val="008743BC"/>
    <w:rsid w:val="00874A40"/>
    <w:rsid w:val="00874B96"/>
    <w:rsid w:val="0087620B"/>
    <w:rsid w:val="00876EF1"/>
    <w:rsid w:val="008770F5"/>
    <w:rsid w:val="00877177"/>
    <w:rsid w:val="0087773E"/>
    <w:rsid w:val="00877BAD"/>
    <w:rsid w:val="00877FC8"/>
    <w:rsid w:val="00880089"/>
    <w:rsid w:val="00880B73"/>
    <w:rsid w:val="0088194D"/>
    <w:rsid w:val="008821DC"/>
    <w:rsid w:val="00882D2B"/>
    <w:rsid w:val="00885289"/>
    <w:rsid w:val="008856D8"/>
    <w:rsid w:val="00891B4C"/>
    <w:rsid w:val="00892E82"/>
    <w:rsid w:val="00894FC6"/>
    <w:rsid w:val="008A2635"/>
    <w:rsid w:val="008B5277"/>
    <w:rsid w:val="008C0D91"/>
    <w:rsid w:val="008C1B58"/>
    <w:rsid w:val="008C38FE"/>
    <w:rsid w:val="008C39AE"/>
    <w:rsid w:val="008C590D"/>
    <w:rsid w:val="008C786F"/>
    <w:rsid w:val="008D009D"/>
    <w:rsid w:val="008D250B"/>
    <w:rsid w:val="008D4EA9"/>
    <w:rsid w:val="008E031B"/>
    <w:rsid w:val="008E1B2C"/>
    <w:rsid w:val="008E2388"/>
    <w:rsid w:val="008E23E7"/>
    <w:rsid w:val="008E4014"/>
    <w:rsid w:val="008E4A5E"/>
    <w:rsid w:val="008E60E2"/>
    <w:rsid w:val="008E7029"/>
    <w:rsid w:val="008E7EF6"/>
    <w:rsid w:val="008F1F1C"/>
    <w:rsid w:val="008F1F98"/>
    <w:rsid w:val="008F476A"/>
    <w:rsid w:val="008F4FBD"/>
    <w:rsid w:val="008F5765"/>
    <w:rsid w:val="008F6758"/>
    <w:rsid w:val="008F723C"/>
    <w:rsid w:val="00900900"/>
    <w:rsid w:val="00902A08"/>
    <w:rsid w:val="00902C74"/>
    <w:rsid w:val="0090326F"/>
    <w:rsid w:val="009040DD"/>
    <w:rsid w:val="00905B47"/>
    <w:rsid w:val="00906F0A"/>
    <w:rsid w:val="0090711E"/>
    <w:rsid w:val="0091331C"/>
    <w:rsid w:val="009140F4"/>
    <w:rsid w:val="0091457E"/>
    <w:rsid w:val="00916945"/>
    <w:rsid w:val="009236CF"/>
    <w:rsid w:val="009240E8"/>
    <w:rsid w:val="00924BA0"/>
    <w:rsid w:val="009279DE"/>
    <w:rsid w:val="00930116"/>
    <w:rsid w:val="00930E0B"/>
    <w:rsid w:val="009326EC"/>
    <w:rsid w:val="00933DC7"/>
    <w:rsid w:val="00933FBB"/>
    <w:rsid w:val="00935676"/>
    <w:rsid w:val="009363F2"/>
    <w:rsid w:val="0093742D"/>
    <w:rsid w:val="009375C7"/>
    <w:rsid w:val="00940320"/>
    <w:rsid w:val="009406D8"/>
    <w:rsid w:val="00940FAC"/>
    <w:rsid w:val="00941421"/>
    <w:rsid w:val="0094212C"/>
    <w:rsid w:val="009421BE"/>
    <w:rsid w:val="00944733"/>
    <w:rsid w:val="00946042"/>
    <w:rsid w:val="009504BC"/>
    <w:rsid w:val="009507F6"/>
    <w:rsid w:val="00951D89"/>
    <w:rsid w:val="009520CA"/>
    <w:rsid w:val="00953278"/>
    <w:rsid w:val="009537C5"/>
    <w:rsid w:val="00954689"/>
    <w:rsid w:val="009556C8"/>
    <w:rsid w:val="009562D4"/>
    <w:rsid w:val="00956644"/>
    <w:rsid w:val="009602EB"/>
    <w:rsid w:val="009617C9"/>
    <w:rsid w:val="00961C93"/>
    <w:rsid w:val="0096245B"/>
    <w:rsid w:val="00963087"/>
    <w:rsid w:val="00963655"/>
    <w:rsid w:val="0096464F"/>
    <w:rsid w:val="00964793"/>
    <w:rsid w:val="00965324"/>
    <w:rsid w:val="0097091E"/>
    <w:rsid w:val="0097312C"/>
    <w:rsid w:val="00975596"/>
    <w:rsid w:val="009760D3"/>
    <w:rsid w:val="00977132"/>
    <w:rsid w:val="00980089"/>
    <w:rsid w:val="00981A4B"/>
    <w:rsid w:val="0098238C"/>
    <w:rsid w:val="00982501"/>
    <w:rsid w:val="00982A45"/>
    <w:rsid w:val="0098485C"/>
    <w:rsid w:val="00985D50"/>
    <w:rsid w:val="00987386"/>
    <w:rsid w:val="009877D3"/>
    <w:rsid w:val="00994AD9"/>
    <w:rsid w:val="00994E8F"/>
    <w:rsid w:val="009951DC"/>
    <w:rsid w:val="009959BB"/>
    <w:rsid w:val="00996669"/>
    <w:rsid w:val="00997158"/>
    <w:rsid w:val="009A01D6"/>
    <w:rsid w:val="009A3753"/>
    <w:rsid w:val="009A3A7C"/>
    <w:rsid w:val="009B1983"/>
    <w:rsid w:val="009B2ADB"/>
    <w:rsid w:val="009B2EE2"/>
    <w:rsid w:val="009B603A"/>
    <w:rsid w:val="009B656D"/>
    <w:rsid w:val="009B6E06"/>
    <w:rsid w:val="009C0F68"/>
    <w:rsid w:val="009C2D0E"/>
    <w:rsid w:val="009C3078"/>
    <w:rsid w:val="009C3DAC"/>
    <w:rsid w:val="009C42E0"/>
    <w:rsid w:val="009C4EEC"/>
    <w:rsid w:val="009C7DCB"/>
    <w:rsid w:val="009D0692"/>
    <w:rsid w:val="009D28B6"/>
    <w:rsid w:val="009D2B49"/>
    <w:rsid w:val="009D5362"/>
    <w:rsid w:val="009D7EF5"/>
    <w:rsid w:val="009E09B4"/>
    <w:rsid w:val="009E1415"/>
    <w:rsid w:val="009E3C8A"/>
    <w:rsid w:val="009E4174"/>
    <w:rsid w:val="009E4E89"/>
    <w:rsid w:val="009E4F0C"/>
    <w:rsid w:val="009E5238"/>
    <w:rsid w:val="009E53F2"/>
    <w:rsid w:val="009E5754"/>
    <w:rsid w:val="009E6116"/>
    <w:rsid w:val="009E6A1B"/>
    <w:rsid w:val="009F11B8"/>
    <w:rsid w:val="009F1B15"/>
    <w:rsid w:val="009F2170"/>
    <w:rsid w:val="009F4657"/>
    <w:rsid w:val="009F4C79"/>
    <w:rsid w:val="009F5087"/>
    <w:rsid w:val="009F51BD"/>
    <w:rsid w:val="009F6BD8"/>
    <w:rsid w:val="009F73D8"/>
    <w:rsid w:val="00A00B9D"/>
    <w:rsid w:val="00A0112A"/>
    <w:rsid w:val="00A02E43"/>
    <w:rsid w:val="00A065F9"/>
    <w:rsid w:val="00A07978"/>
    <w:rsid w:val="00A07A6F"/>
    <w:rsid w:val="00A07F34"/>
    <w:rsid w:val="00A142E2"/>
    <w:rsid w:val="00A15157"/>
    <w:rsid w:val="00A159CE"/>
    <w:rsid w:val="00A16C7F"/>
    <w:rsid w:val="00A22154"/>
    <w:rsid w:val="00A24393"/>
    <w:rsid w:val="00A25C38"/>
    <w:rsid w:val="00A26308"/>
    <w:rsid w:val="00A26A96"/>
    <w:rsid w:val="00A27B20"/>
    <w:rsid w:val="00A34775"/>
    <w:rsid w:val="00A34D69"/>
    <w:rsid w:val="00A368A7"/>
    <w:rsid w:val="00A36BBE"/>
    <w:rsid w:val="00A37B8D"/>
    <w:rsid w:val="00A41191"/>
    <w:rsid w:val="00A4307A"/>
    <w:rsid w:val="00A43097"/>
    <w:rsid w:val="00A43373"/>
    <w:rsid w:val="00A47CF8"/>
    <w:rsid w:val="00A47EBB"/>
    <w:rsid w:val="00A50675"/>
    <w:rsid w:val="00A51CDD"/>
    <w:rsid w:val="00A53523"/>
    <w:rsid w:val="00A577E8"/>
    <w:rsid w:val="00A57CC7"/>
    <w:rsid w:val="00A6107E"/>
    <w:rsid w:val="00A6394B"/>
    <w:rsid w:val="00A6730D"/>
    <w:rsid w:val="00A6746D"/>
    <w:rsid w:val="00A711A2"/>
    <w:rsid w:val="00A71625"/>
    <w:rsid w:val="00A71B9B"/>
    <w:rsid w:val="00A751C7"/>
    <w:rsid w:val="00A81005"/>
    <w:rsid w:val="00A828DE"/>
    <w:rsid w:val="00A828EA"/>
    <w:rsid w:val="00A87844"/>
    <w:rsid w:val="00A903C1"/>
    <w:rsid w:val="00A92ADF"/>
    <w:rsid w:val="00A948FE"/>
    <w:rsid w:val="00A94C41"/>
    <w:rsid w:val="00A9512D"/>
    <w:rsid w:val="00A971E6"/>
    <w:rsid w:val="00A97D1F"/>
    <w:rsid w:val="00AA038C"/>
    <w:rsid w:val="00AA1737"/>
    <w:rsid w:val="00AA7017"/>
    <w:rsid w:val="00AA7A09"/>
    <w:rsid w:val="00AA7AD2"/>
    <w:rsid w:val="00AB2D90"/>
    <w:rsid w:val="00AB3B50"/>
    <w:rsid w:val="00AB3C6A"/>
    <w:rsid w:val="00AB4DCE"/>
    <w:rsid w:val="00AC05B1"/>
    <w:rsid w:val="00AC6F5A"/>
    <w:rsid w:val="00AD2DFC"/>
    <w:rsid w:val="00AD356C"/>
    <w:rsid w:val="00AD3918"/>
    <w:rsid w:val="00AD6940"/>
    <w:rsid w:val="00AE2914"/>
    <w:rsid w:val="00AE42A9"/>
    <w:rsid w:val="00AE46ED"/>
    <w:rsid w:val="00AE6D15"/>
    <w:rsid w:val="00AE7BBA"/>
    <w:rsid w:val="00AF40A2"/>
    <w:rsid w:val="00AF4D12"/>
    <w:rsid w:val="00B013AA"/>
    <w:rsid w:val="00B01D5B"/>
    <w:rsid w:val="00B01FF6"/>
    <w:rsid w:val="00B033C3"/>
    <w:rsid w:val="00B0395F"/>
    <w:rsid w:val="00B04182"/>
    <w:rsid w:val="00B04856"/>
    <w:rsid w:val="00B0685E"/>
    <w:rsid w:val="00B07AE3"/>
    <w:rsid w:val="00B10F4F"/>
    <w:rsid w:val="00B11430"/>
    <w:rsid w:val="00B12D55"/>
    <w:rsid w:val="00B144AE"/>
    <w:rsid w:val="00B174A5"/>
    <w:rsid w:val="00B21C4D"/>
    <w:rsid w:val="00B25987"/>
    <w:rsid w:val="00B27575"/>
    <w:rsid w:val="00B31C7D"/>
    <w:rsid w:val="00B3352A"/>
    <w:rsid w:val="00B34238"/>
    <w:rsid w:val="00B34A96"/>
    <w:rsid w:val="00B353EB"/>
    <w:rsid w:val="00B41A1F"/>
    <w:rsid w:val="00B432A1"/>
    <w:rsid w:val="00B439C4"/>
    <w:rsid w:val="00B4535E"/>
    <w:rsid w:val="00B47449"/>
    <w:rsid w:val="00B50D6E"/>
    <w:rsid w:val="00B52A8C"/>
    <w:rsid w:val="00B53C7E"/>
    <w:rsid w:val="00B53E64"/>
    <w:rsid w:val="00B57C2D"/>
    <w:rsid w:val="00B60A4D"/>
    <w:rsid w:val="00B61939"/>
    <w:rsid w:val="00B6239F"/>
    <w:rsid w:val="00B636A8"/>
    <w:rsid w:val="00B65085"/>
    <w:rsid w:val="00B651BB"/>
    <w:rsid w:val="00B665C6"/>
    <w:rsid w:val="00B666F6"/>
    <w:rsid w:val="00B66FA5"/>
    <w:rsid w:val="00B679EE"/>
    <w:rsid w:val="00B74AFC"/>
    <w:rsid w:val="00B74EB5"/>
    <w:rsid w:val="00B75F6F"/>
    <w:rsid w:val="00B805AF"/>
    <w:rsid w:val="00B816F4"/>
    <w:rsid w:val="00B869EC"/>
    <w:rsid w:val="00B86D7D"/>
    <w:rsid w:val="00B9076F"/>
    <w:rsid w:val="00B9397A"/>
    <w:rsid w:val="00B942C0"/>
    <w:rsid w:val="00B95E90"/>
    <w:rsid w:val="00B9633D"/>
    <w:rsid w:val="00BA2046"/>
    <w:rsid w:val="00BA2EBE"/>
    <w:rsid w:val="00BA5F3B"/>
    <w:rsid w:val="00BA6E1A"/>
    <w:rsid w:val="00BA7456"/>
    <w:rsid w:val="00BA78BF"/>
    <w:rsid w:val="00BB0F28"/>
    <w:rsid w:val="00BB0F47"/>
    <w:rsid w:val="00BB1876"/>
    <w:rsid w:val="00BB41EA"/>
    <w:rsid w:val="00BB458A"/>
    <w:rsid w:val="00BB518B"/>
    <w:rsid w:val="00BB7407"/>
    <w:rsid w:val="00BC18E2"/>
    <w:rsid w:val="00BC5A69"/>
    <w:rsid w:val="00BD00D3"/>
    <w:rsid w:val="00BD1659"/>
    <w:rsid w:val="00BD2181"/>
    <w:rsid w:val="00BD23FC"/>
    <w:rsid w:val="00BD2DCA"/>
    <w:rsid w:val="00BD3AA9"/>
    <w:rsid w:val="00BD4A18"/>
    <w:rsid w:val="00BD631A"/>
    <w:rsid w:val="00BD6DB2"/>
    <w:rsid w:val="00BE042B"/>
    <w:rsid w:val="00BE11CF"/>
    <w:rsid w:val="00BE21AB"/>
    <w:rsid w:val="00BE2E40"/>
    <w:rsid w:val="00BE4E0E"/>
    <w:rsid w:val="00BE55CB"/>
    <w:rsid w:val="00BE6FD2"/>
    <w:rsid w:val="00BF356A"/>
    <w:rsid w:val="00BF471C"/>
    <w:rsid w:val="00BF5257"/>
    <w:rsid w:val="00BF617A"/>
    <w:rsid w:val="00BF7EE2"/>
    <w:rsid w:val="00C0216D"/>
    <w:rsid w:val="00C0379D"/>
    <w:rsid w:val="00C03931"/>
    <w:rsid w:val="00C04AA4"/>
    <w:rsid w:val="00C05FE3"/>
    <w:rsid w:val="00C11232"/>
    <w:rsid w:val="00C12E98"/>
    <w:rsid w:val="00C13D45"/>
    <w:rsid w:val="00C14080"/>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4095D"/>
    <w:rsid w:val="00C429FE"/>
    <w:rsid w:val="00C458E9"/>
    <w:rsid w:val="00C4778C"/>
    <w:rsid w:val="00C543C0"/>
    <w:rsid w:val="00C54EA9"/>
    <w:rsid w:val="00C55F2B"/>
    <w:rsid w:val="00C5655B"/>
    <w:rsid w:val="00C56DF0"/>
    <w:rsid w:val="00C601D2"/>
    <w:rsid w:val="00C60D4C"/>
    <w:rsid w:val="00C613DE"/>
    <w:rsid w:val="00C61CA0"/>
    <w:rsid w:val="00C61E58"/>
    <w:rsid w:val="00C636F9"/>
    <w:rsid w:val="00C64E94"/>
    <w:rsid w:val="00C657AB"/>
    <w:rsid w:val="00C65BCC"/>
    <w:rsid w:val="00C66970"/>
    <w:rsid w:val="00C7173E"/>
    <w:rsid w:val="00C73BC7"/>
    <w:rsid w:val="00C74BF3"/>
    <w:rsid w:val="00C778A9"/>
    <w:rsid w:val="00C77B57"/>
    <w:rsid w:val="00C77E82"/>
    <w:rsid w:val="00C77F9C"/>
    <w:rsid w:val="00C83834"/>
    <w:rsid w:val="00C84637"/>
    <w:rsid w:val="00C8585D"/>
    <w:rsid w:val="00C8691C"/>
    <w:rsid w:val="00C86A9E"/>
    <w:rsid w:val="00C905CD"/>
    <w:rsid w:val="00C90606"/>
    <w:rsid w:val="00C9115B"/>
    <w:rsid w:val="00C95B40"/>
    <w:rsid w:val="00C966B8"/>
    <w:rsid w:val="00CA0E56"/>
    <w:rsid w:val="00CA168A"/>
    <w:rsid w:val="00CA357E"/>
    <w:rsid w:val="00CA42E7"/>
    <w:rsid w:val="00CA44F9"/>
    <w:rsid w:val="00CA4895"/>
    <w:rsid w:val="00CA4A69"/>
    <w:rsid w:val="00CA62DB"/>
    <w:rsid w:val="00CA6B0E"/>
    <w:rsid w:val="00CB27AC"/>
    <w:rsid w:val="00CB2D67"/>
    <w:rsid w:val="00CB40FD"/>
    <w:rsid w:val="00CC2F81"/>
    <w:rsid w:val="00CC3E0C"/>
    <w:rsid w:val="00CC58D3"/>
    <w:rsid w:val="00CC5FA6"/>
    <w:rsid w:val="00CC784D"/>
    <w:rsid w:val="00CD2F47"/>
    <w:rsid w:val="00CD3B5B"/>
    <w:rsid w:val="00CD7599"/>
    <w:rsid w:val="00CE10DF"/>
    <w:rsid w:val="00CE2006"/>
    <w:rsid w:val="00CE38F6"/>
    <w:rsid w:val="00CE51F7"/>
    <w:rsid w:val="00CE5DA6"/>
    <w:rsid w:val="00CF15CF"/>
    <w:rsid w:val="00CF5A5F"/>
    <w:rsid w:val="00D01FCC"/>
    <w:rsid w:val="00D0337B"/>
    <w:rsid w:val="00D04F64"/>
    <w:rsid w:val="00D05B87"/>
    <w:rsid w:val="00D079B2"/>
    <w:rsid w:val="00D114E9"/>
    <w:rsid w:val="00D11A67"/>
    <w:rsid w:val="00D11FDA"/>
    <w:rsid w:val="00D12894"/>
    <w:rsid w:val="00D13AEE"/>
    <w:rsid w:val="00D15A4A"/>
    <w:rsid w:val="00D176CE"/>
    <w:rsid w:val="00D221F1"/>
    <w:rsid w:val="00D22635"/>
    <w:rsid w:val="00D2393C"/>
    <w:rsid w:val="00D242F8"/>
    <w:rsid w:val="00D25796"/>
    <w:rsid w:val="00D2764C"/>
    <w:rsid w:val="00D345E4"/>
    <w:rsid w:val="00D34E6B"/>
    <w:rsid w:val="00D35B2B"/>
    <w:rsid w:val="00D37A4C"/>
    <w:rsid w:val="00D414A3"/>
    <w:rsid w:val="00D41BB5"/>
    <w:rsid w:val="00D429C6"/>
    <w:rsid w:val="00D47748"/>
    <w:rsid w:val="00D50B10"/>
    <w:rsid w:val="00D54CC3"/>
    <w:rsid w:val="00D567B0"/>
    <w:rsid w:val="00D57A02"/>
    <w:rsid w:val="00D6041A"/>
    <w:rsid w:val="00D633EB"/>
    <w:rsid w:val="00D64E27"/>
    <w:rsid w:val="00D716A2"/>
    <w:rsid w:val="00D71C2B"/>
    <w:rsid w:val="00D72991"/>
    <w:rsid w:val="00D72B18"/>
    <w:rsid w:val="00D742DE"/>
    <w:rsid w:val="00D76DDA"/>
    <w:rsid w:val="00D77237"/>
    <w:rsid w:val="00D803DC"/>
    <w:rsid w:val="00D80659"/>
    <w:rsid w:val="00D82FF7"/>
    <w:rsid w:val="00D83842"/>
    <w:rsid w:val="00D842DC"/>
    <w:rsid w:val="00D847FE"/>
    <w:rsid w:val="00D85F8E"/>
    <w:rsid w:val="00D86EC2"/>
    <w:rsid w:val="00D9561C"/>
    <w:rsid w:val="00D964EA"/>
    <w:rsid w:val="00D966D0"/>
    <w:rsid w:val="00D97DB6"/>
    <w:rsid w:val="00DA0764"/>
    <w:rsid w:val="00DA0C59"/>
    <w:rsid w:val="00DA26E8"/>
    <w:rsid w:val="00DA3991"/>
    <w:rsid w:val="00DA43C3"/>
    <w:rsid w:val="00DB12DE"/>
    <w:rsid w:val="00DB47ED"/>
    <w:rsid w:val="00DB5F1D"/>
    <w:rsid w:val="00DB7566"/>
    <w:rsid w:val="00DB7E6C"/>
    <w:rsid w:val="00DC0BA0"/>
    <w:rsid w:val="00DC1267"/>
    <w:rsid w:val="00DC302E"/>
    <w:rsid w:val="00DC3B61"/>
    <w:rsid w:val="00DC57D0"/>
    <w:rsid w:val="00DC5AC3"/>
    <w:rsid w:val="00DC6D7E"/>
    <w:rsid w:val="00DD09D2"/>
    <w:rsid w:val="00DD2594"/>
    <w:rsid w:val="00DD3BF9"/>
    <w:rsid w:val="00DD5A29"/>
    <w:rsid w:val="00DD5D9D"/>
    <w:rsid w:val="00DE1E8C"/>
    <w:rsid w:val="00DE35CB"/>
    <w:rsid w:val="00DE53F8"/>
    <w:rsid w:val="00DE54C0"/>
    <w:rsid w:val="00DE7730"/>
    <w:rsid w:val="00DF21E9"/>
    <w:rsid w:val="00DF2B09"/>
    <w:rsid w:val="00DF3746"/>
    <w:rsid w:val="00DF3835"/>
    <w:rsid w:val="00DF45C6"/>
    <w:rsid w:val="00DF4689"/>
    <w:rsid w:val="00DF5466"/>
    <w:rsid w:val="00E00F14"/>
    <w:rsid w:val="00E014DB"/>
    <w:rsid w:val="00E01E2C"/>
    <w:rsid w:val="00E06386"/>
    <w:rsid w:val="00E06724"/>
    <w:rsid w:val="00E06A22"/>
    <w:rsid w:val="00E1006D"/>
    <w:rsid w:val="00E160D6"/>
    <w:rsid w:val="00E24EB4"/>
    <w:rsid w:val="00E31F03"/>
    <w:rsid w:val="00E320ED"/>
    <w:rsid w:val="00E32DF6"/>
    <w:rsid w:val="00E33AFB"/>
    <w:rsid w:val="00E34218"/>
    <w:rsid w:val="00E36B6A"/>
    <w:rsid w:val="00E427A5"/>
    <w:rsid w:val="00E42989"/>
    <w:rsid w:val="00E4556E"/>
    <w:rsid w:val="00E46282"/>
    <w:rsid w:val="00E47E10"/>
    <w:rsid w:val="00E50CAA"/>
    <w:rsid w:val="00E51468"/>
    <w:rsid w:val="00E5216E"/>
    <w:rsid w:val="00E53FAE"/>
    <w:rsid w:val="00E55461"/>
    <w:rsid w:val="00E57BBB"/>
    <w:rsid w:val="00E608D9"/>
    <w:rsid w:val="00E60B84"/>
    <w:rsid w:val="00E70631"/>
    <w:rsid w:val="00E72A9E"/>
    <w:rsid w:val="00E73226"/>
    <w:rsid w:val="00E74BE1"/>
    <w:rsid w:val="00E755AD"/>
    <w:rsid w:val="00E76C52"/>
    <w:rsid w:val="00E82344"/>
    <w:rsid w:val="00E8235E"/>
    <w:rsid w:val="00E84C82"/>
    <w:rsid w:val="00E84D64"/>
    <w:rsid w:val="00E85209"/>
    <w:rsid w:val="00E86AF7"/>
    <w:rsid w:val="00E87408"/>
    <w:rsid w:val="00E914C4"/>
    <w:rsid w:val="00E92EFF"/>
    <w:rsid w:val="00E934F5"/>
    <w:rsid w:val="00E96961"/>
    <w:rsid w:val="00EA0A5B"/>
    <w:rsid w:val="00EA0AAF"/>
    <w:rsid w:val="00EA0AF9"/>
    <w:rsid w:val="00EA27FE"/>
    <w:rsid w:val="00EA72EC"/>
    <w:rsid w:val="00EB04E1"/>
    <w:rsid w:val="00EB11CB"/>
    <w:rsid w:val="00EB275A"/>
    <w:rsid w:val="00EB3E99"/>
    <w:rsid w:val="00EB786A"/>
    <w:rsid w:val="00EC127B"/>
    <w:rsid w:val="00EC1578"/>
    <w:rsid w:val="00EC1C72"/>
    <w:rsid w:val="00EC2065"/>
    <w:rsid w:val="00EC2171"/>
    <w:rsid w:val="00EC2945"/>
    <w:rsid w:val="00EC3CC9"/>
    <w:rsid w:val="00EC4B64"/>
    <w:rsid w:val="00EC680A"/>
    <w:rsid w:val="00ED0130"/>
    <w:rsid w:val="00ED1196"/>
    <w:rsid w:val="00ED49EF"/>
    <w:rsid w:val="00ED7873"/>
    <w:rsid w:val="00ED7AEE"/>
    <w:rsid w:val="00EE1BF1"/>
    <w:rsid w:val="00EE205B"/>
    <w:rsid w:val="00EE2BED"/>
    <w:rsid w:val="00EE3414"/>
    <w:rsid w:val="00EE374B"/>
    <w:rsid w:val="00EE4805"/>
    <w:rsid w:val="00EE59FB"/>
    <w:rsid w:val="00EF10F8"/>
    <w:rsid w:val="00EF58BA"/>
    <w:rsid w:val="00EF7629"/>
    <w:rsid w:val="00F00544"/>
    <w:rsid w:val="00F01332"/>
    <w:rsid w:val="00F11BB5"/>
    <w:rsid w:val="00F1253D"/>
    <w:rsid w:val="00F12B27"/>
    <w:rsid w:val="00F1417B"/>
    <w:rsid w:val="00F159B5"/>
    <w:rsid w:val="00F1787C"/>
    <w:rsid w:val="00F210B2"/>
    <w:rsid w:val="00F233DC"/>
    <w:rsid w:val="00F26F10"/>
    <w:rsid w:val="00F3115B"/>
    <w:rsid w:val="00F3182B"/>
    <w:rsid w:val="00F32231"/>
    <w:rsid w:val="00F3390A"/>
    <w:rsid w:val="00F34B99"/>
    <w:rsid w:val="00F36B22"/>
    <w:rsid w:val="00F37A7F"/>
    <w:rsid w:val="00F420F2"/>
    <w:rsid w:val="00F44F85"/>
    <w:rsid w:val="00F510E6"/>
    <w:rsid w:val="00F52DAB"/>
    <w:rsid w:val="00F53443"/>
    <w:rsid w:val="00F54196"/>
    <w:rsid w:val="00F543F0"/>
    <w:rsid w:val="00F55827"/>
    <w:rsid w:val="00F575F3"/>
    <w:rsid w:val="00F61BC1"/>
    <w:rsid w:val="00F6373D"/>
    <w:rsid w:val="00F7074B"/>
    <w:rsid w:val="00F72314"/>
    <w:rsid w:val="00F7344C"/>
    <w:rsid w:val="00F737AD"/>
    <w:rsid w:val="00F75807"/>
    <w:rsid w:val="00F81158"/>
    <w:rsid w:val="00F81D29"/>
    <w:rsid w:val="00F81D61"/>
    <w:rsid w:val="00F81DC8"/>
    <w:rsid w:val="00F84C62"/>
    <w:rsid w:val="00F90061"/>
    <w:rsid w:val="00F91C4D"/>
    <w:rsid w:val="00F92E07"/>
    <w:rsid w:val="00F92FD9"/>
    <w:rsid w:val="00F96BC5"/>
    <w:rsid w:val="00F976AD"/>
    <w:rsid w:val="00FA1947"/>
    <w:rsid w:val="00FA1E3C"/>
    <w:rsid w:val="00FA2541"/>
    <w:rsid w:val="00FA3852"/>
    <w:rsid w:val="00FA42EF"/>
    <w:rsid w:val="00FA6470"/>
    <w:rsid w:val="00FA6684"/>
    <w:rsid w:val="00FA6B20"/>
    <w:rsid w:val="00FA705E"/>
    <w:rsid w:val="00FA731E"/>
    <w:rsid w:val="00FB0B66"/>
    <w:rsid w:val="00FB1366"/>
    <w:rsid w:val="00FB2B38"/>
    <w:rsid w:val="00FB3791"/>
    <w:rsid w:val="00FB3B07"/>
    <w:rsid w:val="00FB653E"/>
    <w:rsid w:val="00FC1ACF"/>
    <w:rsid w:val="00FC6358"/>
    <w:rsid w:val="00FC6C90"/>
    <w:rsid w:val="00FD04BB"/>
    <w:rsid w:val="00FD066A"/>
    <w:rsid w:val="00FD320D"/>
    <w:rsid w:val="00FD570D"/>
    <w:rsid w:val="00FD5FEE"/>
    <w:rsid w:val="00FE05C6"/>
    <w:rsid w:val="00FE1498"/>
    <w:rsid w:val="00FE23DE"/>
    <w:rsid w:val="00FE3369"/>
    <w:rsid w:val="00FE35E0"/>
    <w:rsid w:val="00FF7A29"/>
    <w:rsid w:val="01885B83"/>
    <w:rsid w:val="01F810B3"/>
    <w:rsid w:val="02202F02"/>
    <w:rsid w:val="04067026"/>
    <w:rsid w:val="04F12380"/>
    <w:rsid w:val="04F23185"/>
    <w:rsid w:val="0527467A"/>
    <w:rsid w:val="05A05E76"/>
    <w:rsid w:val="05F82B34"/>
    <w:rsid w:val="0676632A"/>
    <w:rsid w:val="078B6C35"/>
    <w:rsid w:val="07FA2DC9"/>
    <w:rsid w:val="08E039B6"/>
    <w:rsid w:val="09476A6F"/>
    <w:rsid w:val="097000D7"/>
    <w:rsid w:val="0A217E00"/>
    <w:rsid w:val="0A370A47"/>
    <w:rsid w:val="0A842761"/>
    <w:rsid w:val="0A894774"/>
    <w:rsid w:val="0C68411F"/>
    <w:rsid w:val="0D175C72"/>
    <w:rsid w:val="0D743B6D"/>
    <w:rsid w:val="0DD7773F"/>
    <w:rsid w:val="0E8D76BF"/>
    <w:rsid w:val="0E8E09A6"/>
    <w:rsid w:val="0F480A0A"/>
    <w:rsid w:val="104B7331"/>
    <w:rsid w:val="11F61E8D"/>
    <w:rsid w:val="128A1009"/>
    <w:rsid w:val="12EA3F01"/>
    <w:rsid w:val="153737B3"/>
    <w:rsid w:val="1A433DD1"/>
    <w:rsid w:val="1B6B71CC"/>
    <w:rsid w:val="1C0C01B8"/>
    <w:rsid w:val="1DAB73BA"/>
    <w:rsid w:val="1EB0038D"/>
    <w:rsid w:val="1EC53FDA"/>
    <w:rsid w:val="1F3E57F5"/>
    <w:rsid w:val="207B0E35"/>
    <w:rsid w:val="20F876E4"/>
    <w:rsid w:val="215C14F1"/>
    <w:rsid w:val="22766EDE"/>
    <w:rsid w:val="23424486"/>
    <w:rsid w:val="23D83C7F"/>
    <w:rsid w:val="24642242"/>
    <w:rsid w:val="2483647C"/>
    <w:rsid w:val="25BD6F76"/>
    <w:rsid w:val="262C7A43"/>
    <w:rsid w:val="26450B69"/>
    <w:rsid w:val="26C02058"/>
    <w:rsid w:val="290E021F"/>
    <w:rsid w:val="2C3A6BBF"/>
    <w:rsid w:val="2D6A42B0"/>
    <w:rsid w:val="2D755714"/>
    <w:rsid w:val="2E1C1A4E"/>
    <w:rsid w:val="32CA1313"/>
    <w:rsid w:val="334E1E91"/>
    <w:rsid w:val="34135C2A"/>
    <w:rsid w:val="34C6162E"/>
    <w:rsid w:val="381E00CC"/>
    <w:rsid w:val="383936EB"/>
    <w:rsid w:val="38433162"/>
    <w:rsid w:val="3901514F"/>
    <w:rsid w:val="3A934FCC"/>
    <w:rsid w:val="3AC74E7C"/>
    <w:rsid w:val="3B7D3888"/>
    <w:rsid w:val="3BFA0FF0"/>
    <w:rsid w:val="3C9413B6"/>
    <w:rsid w:val="40E55D45"/>
    <w:rsid w:val="42384FDA"/>
    <w:rsid w:val="427E6DEF"/>
    <w:rsid w:val="42BB5F0F"/>
    <w:rsid w:val="441370F2"/>
    <w:rsid w:val="45CE1953"/>
    <w:rsid w:val="46477637"/>
    <w:rsid w:val="47ED031D"/>
    <w:rsid w:val="49575173"/>
    <w:rsid w:val="49C23F29"/>
    <w:rsid w:val="4AF10356"/>
    <w:rsid w:val="4B693B72"/>
    <w:rsid w:val="4B704F1E"/>
    <w:rsid w:val="4CAE30F8"/>
    <w:rsid w:val="4D06079B"/>
    <w:rsid w:val="4DC024C2"/>
    <w:rsid w:val="513B53FC"/>
    <w:rsid w:val="51A17DF3"/>
    <w:rsid w:val="51C508AC"/>
    <w:rsid w:val="54902AAE"/>
    <w:rsid w:val="54915CC7"/>
    <w:rsid w:val="54E02A85"/>
    <w:rsid w:val="55416698"/>
    <w:rsid w:val="574F640A"/>
    <w:rsid w:val="58133F4A"/>
    <w:rsid w:val="59CC013B"/>
    <w:rsid w:val="59CE3178"/>
    <w:rsid w:val="5A600B5E"/>
    <w:rsid w:val="5AE12A2F"/>
    <w:rsid w:val="5C1B2E32"/>
    <w:rsid w:val="5C1F0D95"/>
    <w:rsid w:val="5CB9775A"/>
    <w:rsid w:val="5D040534"/>
    <w:rsid w:val="5EEB599F"/>
    <w:rsid w:val="5EFD2810"/>
    <w:rsid w:val="5F7B5377"/>
    <w:rsid w:val="5FA34F2C"/>
    <w:rsid w:val="61E601FA"/>
    <w:rsid w:val="62923037"/>
    <w:rsid w:val="63CD14E9"/>
    <w:rsid w:val="641207F6"/>
    <w:rsid w:val="6568477B"/>
    <w:rsid w:val="66B92F62"/>
    <w:rsid w:val="674B0307"/>
    <w:rsid w:val="677E597F"/>
    <w:rsid w:val="679A1E67"/>
    <w:rsid w:val="68D52A0C"/>
    <w:rsid w:val="68D80C3E"/>
    <w:rsid w:val="6B0575B8"/>
    <w:rsid w:val="6B1C30F9"/>
    <w:rsid w:val="6B6C5A46"/>
    <w:rsid w:val="6BA9694D"/>
    <w:rsid w:val="6DC06850"/>
    <w:rsid w:val="6E231DB6"/>
    <w:rsid w:val="6E8F7604"/>
    <w:rsid w:val="6E906FA7"/>
    <w:rsid w:val="6F9D1332"/>
    <w:rsid w:val="70432186"/>
    <w:rsid w:val="71721DBC"/>
    <w:rsid w:val="73DC5218"/>
    <w:rsid w:val="749608BF"/>
    <w:rsid w:val="74B950A5"/>
    <w:rsid w:val="74D22473"/>
    <w:rsid w:val="7505124C"/>
    <w:rsid w:val="75380BEE"/>
    <w:rsid w:val="799C7E72"/>
    <w:rsid w:val="79B03437"/>
    <w:rsid w:val="79F24B4B"/>
    <w:rsid w:val="79FD6F42"/>
    <w:rsid w:val="7AB0023F"/>
    <w:rsid w:val="7AF23C05"/>
    <w:rsid w:val="7B111E47"/>
    <w:rsid w:val="7C1468B3"/>
    <w:rsid w:val="7C1B3D9E"/>
    <w:rsid w:val="7CA04D81"/>
    <w:rsid w:val="7CA856D3"/>
    <w:rsid w:val="7DCC4769"/>
    <w:rsid w:val="7ED90700"/>
    <w:rsid w:val="7F122F5D"/>
    <w:rsid w:val="7FC22018"/>
    <w:rsid w:val="7FF5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99"/>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spacing w:before="440"/>
    </w:pPr>
    <w:rPr>
      <w:rFonts w:ascii="宋体" w:eastAsia="宋体"/>
    </w:rPr>
  </w:style>
  <w:style w:type="paragraph" w:customStyle="1" w:styleId="67">
    <w:name w:val="封面标准英文名称"/>
    <w:basedOn w:val="68"/>
    <w:qFormat/>
    <w:uiPriority w:val="0"/>
    <w:pPr>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y="4469"/>
    </w:pPr>
  </w:style>
  <w:style w:type="paragraph" w:customStyle="1" w:styleId="134">
    <w:name w:val="其他发布部门"/>
    <w:basedOn w:val="132"/>
    <w:qFormat/>
    <w:uiPriority w:val="0"/>
    <w:pPr>
      <w:framePr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style>
  <w:style w:type="paragraph" w:customStyle="1" w:styleId="141">
    <w:name w:val="封面标准英文名称2"/>
    <w:basedOn w:val="67"/>
    <w:qFormat/>
    <w:uiPriority w:val="0"/>
    <w:pPr>
      <w:framePr w:y="4469"/>
    </w:pPr>
  </w:style>
  <w:style w:type="paragraph" w:customStyle="1" w:styleId="142">
    <w:name w:val="封面标准文稿类别2"/>
    <w:basedOn w:val="115"/>
    <w:qFormat/>
    <w:uiPriority w:val="0"/>
    <w:pPr>
      <w:framePr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2"/>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1">
    <w:name w:val="Other|1"/>
    <w:basedOn w:val="1"/>
    <w:qFormat/>
    <w:uiPriority w:val="0"/>
    <w:pPr>
      <w:spacing w:after="80" w:line="336" w:lineRule="auto"/>
    </w:pPr>
    <w:rPr>
      <w:rFonts w:ascii="宋体" w:hAnsi="宋体" w:cs="宋体"/>
      <w:sz w:val="19"/>
      <w:szCs w:val="19"/>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48F91-D167-4C38-9F97-2D3F136E9E5E}">
  <ds:schemaRefs/>
</ds:datastoreItem>
</file>

<file path=docProps/app.xml><?xml version="1.0" encoding="utf-8"?>
<Properties xmlns="http://schemas.openxmlformats.org/officeDocument/2006/extended-properties" xmlns:vt="http://schemas.openxmlformats.org/officeDocument/2006/docPropsVTypes">
  <Template>Normal</Template>
  <Pages>13</Pages>
  <Words>908</Words>
  <Characters>5181</Characters>
  <Lines>43</Lines>
  <Paragraphs>12</Paragraphs>
  <TotalTime>3</TotalTime>
  <ScaleCrop>false</ScaleCrop>
  <LinksUpToDate>false</LinksUpToDate>
  <CharactersWithSpaces>6077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2022-06-17T05:51:00Z</dcterms:created>
  <dcterms:modified xsi:type="dcterms:W3CDTF">2023-11-24T14:53:48Z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A8ED62192F624681AB4A28776FED8857_13</vt:lpwstr>
  </property>
</Properties>
</file>