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XXXX—202</w:t>
      </w:r>
      <w:r>
        <w:rPr>
          <w:rFonts w:hint="eastAsia" w:ascii="Times New Roman" w:eastAsia="宋体"/>
        </w:rPr>
        <w:t>3</w:t>
      </w:r>
    </w:p>
    <w:p>
      <w:pPr>
        <w:pStyle w:val="147"/>
        <w:framePr w:wrap="around"/>
        <w:rPr>
          <w:rFonts w:ascii="Times New Roman" w:eastAsia="宋体"/>
        </w:rPr>
      </w:pPr>
    </w:p>
    <w:p>
      <w:pPr>
        <w:pStyle w:val="147"/>
        <w:framePr w:wrap="around"/>
        <w:rPr>
          <w:rFonts w:ascii="Times New Roman" w:eastAsia="宋体"/>
        </w:rPr>
      </w:pPr>
    </w:p>
    <w:p>
      <w:pPr>
        <w:pStyle w:val="70"/>
        <w:framePr w:wrap="around" w:x="1403" w:y="6137"/>
        <w:spacing w:line="600" w:lineRule="exact"/>
        <w:rPr>
          <w:b/>
          <w:bCs/>
          <w:color w:val="FF0000"/>
          <w:sz w:val="52"/>
          <w:szCs w:val="20"/>
        </w:rPr>
      </w:pPr>
      <w:bookmarkStart w:id="26" w:name="_GoBack"/>
      <w:bookmarkStart w:id="0" w:name="_Hlk132643988"/>
      <w:r>
        <w:rPr>
          <w:rFonts w:hint="eastAsia"/>
          <w:sz w:val="52"/>
          <w:szCs w:val="20"/>
        </w:rPr>
        <w:t>钢铁企业脱硫脱硝设施超低排放运行能源消耗限额</w:t>
      </w:r>
      <w:bookmarkEnd w:id="26"/>
    </w:p>
    <w:bookmarkEnd w:id="0"/>
    <w:p>
      <w:pPr>
        <w:pStyle w:val="70"/>
        <w:framePr w:wrap="around" w:x="1403" w:y="6137"/>
      </w:pPr>
      <w:r>
        <w:t>T</w:t>
      </w:r>
      <w:r>
        <w:rPr>
          <w:rFonts w:hint="eastAsia"/>
        </w:rPr>
        <w:t>he</w:t>
      </w:r>
      <w:r>
        <w:t xml:space="preserve"> stipulation of energy consumption for ultra-low emission operation of desulfurization and denitrification facilities in steel enterprises</w:t>
      </w:r>
    </w:p>
    <w:p>
      <w:pPr>
        <w:pStyle w:val="113"/>
        <w:framePr w:wrap="around" w:hAnchor="page" w:x="1574" w:y="14036"/>
        <w:rPr>
          <w:rFonts w:eastAsia="宋体"/>
        </w:rPr>
      </w:pPr>
      <w:r>
        <w:rPr>
          <w:rFonts w:eastAsia="宋体"/>
        </w:rPr>
        <w:t>20</w:t>
      </w:r>
      <w:bookmarkStart w:id="1" w:name="FM"/>
      <w:r>
        <w:rPr>
          <w:rFonts w:eastAsia="宋体"/>
        </w:rPr>
        <w:t>2</w:t>
      </w:r>
      <w:r>
        <w:rPr>
          <w:rFonts w:hint="eastAsia" w:eastAsia="宋体"/>
        </w:rPr>
        <w:t>3</w:t>
      </w:r>
      <w:r>
        <w:rPr>
          <w:rFonts w:eastAsia="宋体"/>
        </w:rPr>
        <w:t>-</w:t>
      </w:r>
      <w:bookmarkEnd w:id="1"/>
      <w:r>
        <w:rPr>
          <w:rFonts w:eastAsia="宋体"/>
        </w:rPr>
        <w:t>XX-XX发布</w:t>
      </w:r>
    </w:p>
    <w:p>
      <w:pPr>
        <w:pStyle w:val="92"/>
        <w:framePr w:w="3619" w:h="526" w:hRule="exact" w:wrap="around" w:hAnchor="page" w:x="7263" w:y="13976"/>
        <w:rPr>
          <w:rFonts w:eastAsia="宋体"/>
        </w:rPr>
      </w:pPr>
      <w:r>
        <w:rPr>
          <w:rFonts w:eastAsia="宋体"/>
        </w:rPr>
        <w:t>202</w:t>
      </w:r>
      <w:r>
        <w:rPr>
          <w:rFonts w:hint="eastAsia" w:eastAsia="宋体"/>
        </w:rPr>
        <w:t>3</w:t>
      </w:r>
      <w:r>
        <w:rPr>
          <w:rFonts w:eastAsia="宋体"/>
        </w:rPr>
        <w:t>-XX-XX实施</w:t>
      </w:r>
    </w:p>
    <w:p>
      <w:pPr>
        <w:pStyle w:val="105"/>
        <w:framePr w:wrap="around" w:x="2300" w:y="14629"/>
        <w:rPr>
          <w:rFonts w:ascii="Times New Roman"/>
        </w:rPr>
      </w:pPr>
      <w:r>
        <w:rPr>
          <w:rFonts w:ascii="Times New Roman"/>
          <w:sz w:val="36"/>
          <w:szCs w:val="36"/>
        </w:rPr>
        <w:t>中国</w:t>
      </w:r>
      <w:r>
        <w:rPr>
          <w:rFonts w:hint="eastAsia" w:ascii="Times New Roman"/>
          <w:sz w:val="36"/>
          <w:szCs w:val="36"/>
        </w:rPr>
        <w:t>特钢企业协会</w:t>
      </w:r>
      <w:r>
        <w:rPr>
          <w:rFonts w:ascii="Times New Roman"/>
          <w:sz w:val="36"/>
          <w:szCs w:val="36"/>
        </w:rPr>
        <w:t xml:space="preserve"> </w:t>
      </w:r>
      <w:r>
        <w:rPr>
          <w:rFonts w:ascii="Times New Roman"/>
        </w:rPr>
        <w:t>发布</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p>
    <w:p>
      <w:pPr>
        <w:pStyle w:val="22"/>
        <w:spacing w:line="340" w:lineRule="exact"/>
        <w:rPr>
          <w:rFonts w:ascii="Times New Roman"/>
        </w:rPr>
      </w:pPr>
      <w:r>
        <w:rPr>
          <w:rFonts w:ascii="Times New Roman"/>
        </w:rPr>
        <w:t xml:space="preserve">CCS </w:t>
      </w:r>
    </w:p>
    <w:p>
      <w:pPr>
        <w:pStyle w:val="22"/>
        <w:spacing w:line="340" w:lineRule="exact"/>
        <w:ind w:firstLine="0" w:firstLineChars="0"/>
        <w:jc w:val="center"/>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5634355</wp:posOffset>
                </wp:positionV>
                <wp:extent cx="5852795" cy="11430"/>
                <wp:effectExtent l="0" t="0" r="34290" b="26670"/>
                <wp:wrapNone/>
                <wp:docPr id="4" name="直接连接符 4"/>
                <wp:cNvGraphicFramePr/>
                <a:graphic xmlns:a="http://schemas.openxmlformats.org/drawingml/2006/main">
                  <a:graphicData uri="http://schemas.microsoft.com/office/word/2010/wordprocessingShape">
                    <wps:wsp>
                      <wps:cNvCnPr/>
                      <wps:spPr>
                        <a:xfrm>
                          <a:off x="0" y="0"/>
                          <a:ext cx="5852550" cy="11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5pt;margin-top:443.65pt;height:0.9pt;width:460.85pt;z-index:251660288;mso-width-relative:page;mso-height-relative:page;" filled="f" stroked="t" coordsize="21600,21600" o:gfxdata="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yCWzXAAAACgEAAA8AAAAAAAAAAQAgAAAAIgAAAGRycy9kb3ducmV2LnhtbFBLAQIU&#10;ABQAAAAIAIdO4kClT/WC9AEAANcDAAAOAAAAAAAAAAEAIAAAACYBAABkcnMvZTJvRG9jLnhtbFBL&#10;BQYAAAAABgAGAFkBAACMBQAAAAA=&#10;">
                <v:fill on="f" focussize="0,0"/>
                <v:stroke color="#000000 [3200]"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2" w:name="_Toc40475545"/>
      <w:bookmarkStart w:id="3" w:name="_Toc26452183"/>
      <w:bookmarkStart w:id="4" w:name="_Toc1337"/>
      <w:bookmarkStart w:id="5" w:name="_Toc534127476"/>
      <w:bookmarkStart w:id="6" w:name="_Toc40476791"/>
      <w:bookmarkStart w:id="7" w:name="_Toc951"/>
      <w:bookmarkStart w:id="8"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28"/>
        <w:jc w:val="center"/>
      </w:pPr>
      <w:bookmarkStart w:id="9" w:name="_Toc31132"/>
      <w:r>
        <w:rPr>
          <w:rFonts w:ascii="Times New Roman"/>
        </w:rPr>
        <w:t>目</w:t>
      </w:r>
      <w:bookmarkEnd w:id="2"/>
      <w:bookmarkEnd w:id="3"/>
      <w:bookmarkEnd w:id="4"/>
      <w:bookmarkEnd w:id="5"/>
      <w:bookmarkEnd w:id="6"/>
      <w:r>
        <w:rPr>
          <w:rFonts w:ascii="Times New Roman"/>
        </w:rPr>
        <w:t xml:space="preserve">  次</w:t>
      </w:r>
      <w:bookmarkEnd w:id="7"/>
      <w:bookmarkEnd w:id="9"/>
      <w:r>
        <w:rPr>
          <w:rFonts w:ascii="Times New Roman"/>
        </w:rPr>
        <w:fldChar w:fldCharType="begin"/>
      </w:r>
      <w:r>
        <w:rPr>
          <w:rFonts w:ascii="Times New Roman"/>
        </w:rPr>
        <w:instrText xml:space="preserve"> TOC \o "1-2" \h \z \u </w:instrText>
      </w:r>
      <w:r>
        <w:rPr>
          <w:rFonts w:ascii="Times New Roman"/>
        </w:rPr>
        <w:fldChar w:fldCharType="separate"/>
      </w:r>
    </w:p>
    <w:p>
      <w:pPr>
        <w:pStyle w:val="18"/>
        <w:spacing w:before="78" w:after="7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"_Toc133565743" </w:instrText>
      </w:r>
      <w:r>
        <w:rPr>
          <w:rFonts w:hint="default" w:ascii="Times New Roman" w:hAnsi="Times New Roman" w:cs="Times New Roman"/>
        </w:rPr>
        <w:fldChar w:fldCharType="separate"/>
      </w:r>
      <w:r>
        <w:rPr>
          <w:rStyle w:val="39"/>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_Toc133565743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spacing w:before="78" w:after="7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"_Toc133565745" </w:instrText>
      </w:r>
      <w:r>
        <w:rPr>
          <w:rFonts w:hint="default" w:ascii="Times New Roman" w:hAnsi="Times New Roman" w:cs="Times New Roman"/>
        </w:rPr>
        <w:fldChar w:fldCharType="separate"/>
      </w:r>
      <w:r>
        <w:rPr>
          <w:rStyle w:val="39"/>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_Toc133565745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"_Toc133565746" </w:instrText>
      </w:r>
      <w:r>
        <w:rPr>
          <w:rFonts w:hint="default" w:ascii="Times New Roman" w:hAnsi="Times New Roman" w:cs="Times New Roman"/>
        </w:rPr>
        <w:fldChar w:fldCharType="separate"/>
      </w:r>
      <w:r>
        <w:rPr>
          <w:rStyle w:val="39"/>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_Toc133565746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"_Toc133565747" </w:instrText>
      </w:r>
      <w:r>
        <w:rPr>
          <w:rFonts w:hint="default" w:ascii="Times New Roman" w:hAnsi="Times New Roman" w:cs="Times New Roman"/>
        </w:rPr>
        <w:fldChar w:fldCharType="separate"/>
      </w:r>
      <w:r>
        <w:rPr>
          <w:rStyle w:val="39"/>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_Toc133565747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"_Toc133565748" </w:instrText>
      </w:r>
      <w:r>
        <w:rPr>
          <w:rFonts w:hint="default" w:ascii="Times New Roman" w:hAnsi="Times New Roman" w:cs="Times New Roman"/>
        </w:rPr>
        <w:fldChar w:fldCharType="separate"/>
      </w:r>
      <w:r>
        <w:rPr>
          <w:rStyle w:val="39"/>
          <w:rFonts w:hint="default" w:ascii="Times New Roman" w:hAnsi="Times New Roman" w:cs="Times New Roman"/>
        </w:rPr>
        <w:t>4 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_Toc133565748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"_Toc133565749" </w:instrText>
      </w:r>
      <w:r>
        <w:rPr>
          <w:rFonts w:hint="default" w:ascii="Times New Roman" w:hAnsi="Times New Roman" w:cs="Times New Roman"/>
        </w:rPr>
        <w:fldChar w:fldCharType="separate"/>
      </w:r>
      <w:r>
        <w:rPr>
          <w:rStyle w:val="39"/>
          <w:rFonts w:hint="default" w:ascii="Times New Roman" w:hAnsi="Times New Roman" w:cs="Times New Roman"/>
        </w:rPr>
        <w:t>5 统计范围</w:t>
      </w:r>
      <w:r>
        <w:rPr>
          <w:rStyle w:val="39"/>
          <w:rFonts w:hint="eastAsia" w:ascii="Times New Roman" w:cs="Times New Roman"/>
          <w:lang w:val="en-US" w:eastAsia="zh-CN"/>
        </w:rPr>
        <w:t>和计算方法</w:t>
      </w:r>
      <w:r>
        <w:rPr>
          <w:rFonts w:hint="default" w:ascii="Times New Roman" w:hAnsi="Times New Roman" w:cs="Times New Roman"/>
        </w:rPr>
        <w:tab/>
      </w:r>
      <w:r>
        <w:rPr>
          <w:rFonts w:hint="eastAsia" w:ascii="Times New Roman" w:cs="Times New Roman"/>
          <w:lang w:val="en-US" w:eastAsia="zh-CN"/>
        </w:rPr>
        <w:t>6</w:t>
      </w:r>
      <w:r>
        <w:rPr>
          <w:rFonts w:hint="default" w:ascii="Times New Roman" w:hAnsi="Times New Roman" w:cs="Times New Roman"/>
        </w:rPr>
        <w:fldChar w:fldCharType="end"/>
      </w:r>
    </w:p>
    <w:p>
      <w:pPr>
        <w:pStyle w:val="28"/>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"_Toc133565750" </w:instrText>
      </w:r>
      <w:r>
        <w:rPr>
          <w:rFonts w:hint="default" w:ascii="Times New Roman" w:hAnsi="Times New Roman" w:cs="Times New Roman"/>
        </w:rPr>
        <w:fldChar w:fldCharType="separate"/>
      </w:r>
      <w:r>
        <w:rPr>
          <w:rStyle w:val="39"/>
          <w:rFonts w:hint="default" w:ascii="Times New Roman" w:hAnsi="Times New Roman" w:cs="Times New Roman"/>
        </w:rPr>
        <w:t xml:space="preserve">6 </w:t>
      </w:r>
      <w:r>
        <w:rPr>
          <w:rStyle w:val="39"/>
          <w:rFonts w:hint="eastAsia" w:ascii="Times New Roman" w:cs="Times New Roman"/>
          <w:lang w:val="en-US" w:eastAsia="zh-CN"/>
        </w:rPr>
        <w:t>节能措施</w:t>
      </w:r>
      <w:r>
        <w:rPr>
          <w:rFonts w:hint="default" w:ascii="Times New Roman" w:hAnsi="Times New Roman" w:cs="Times New Roman"/>
        </w:rPr>
        <w:tab/>
      </w:r>
      <w:r>
        <w:rPr>
          <w:rFonts w:hint="eastAsia" w:ascii="Times New Roman" w:cs="Times New Roman"/>
          <w:lang w:val="en-US" w:eastAsia="zh-CN"/>
        </w:rPr>
        <w:t>7</w:t>
      </w:r>
      <w:r>
        <w:rPr>
          <w:rFonts w:hint="default" w:ascii="Times New Roman" w:hAnsi="Times New Roman" w:cs="Times New Roman"/>
        </w:rPr>
        <w:fldChar w:fldCharType="end"/>
      </w:r>
    </w:p>
    <w:p>
      <w:pPr>
        <w:pStyle w:val="2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"_Toc133565751" </w:instrText>
      </w:r>
      <w:r>
        <w:rPr>
          <w:rFonts w:hint="default" w:ascii="Times New Roman" w:hAnsi="Times New Roman" w:cs="Times New Roman"/>
        </w:rPr>
        <w:fldChar w:fldCharType="separate"/>
      </w:r>
      <w:r>
        <w:rPr>
          <w:rFonts w:hint="eastAsia" w:ascii="Times New Roman" w:cs="Times New Roman"/>
          <w:lang w:val="en-US" w:eastAsia="zh-CN"/>
        </w:rPr>
        <w:t>附录A（资料性）</w:t>
      </w:r>
      <w:r>
        <w:rPr>
          <w:rStyle w:val="39"/>
          <w:rFonts w:hint="default" w:ascii="Times New Roman" w:hAnsi="Times New Roman" w:cs="Times New Roman"/>
        </w:rPr>
        <w:t>各种能源折标系数推荐值</w:t>
      </w:r>
      <w:r>
        <w:rPr>
          <w:rFonts w:hint="default" w:ascii="Times New Roman" w:hAnsi="Times New Roman" w:cs="Times New Roman"/>
        </w:rPr>
        <w:tab/>
      </w:r>
      <w:r>
        <w:rPr>
          <w:rFonts w:hint="eastAsia" w:ascii="Times New Roman" w:cs="Times New Roman"/>
          <w:lang w:val="en-US" w:eastAsia="zh-CN"/>
        </w:rPr>
        <w:t>8</w:t>
      </w:r>
      <w:r>
        <w:rPr>
          <w:rFonts w:hint="default" w:ascii="Times New Roman" w:hAnsi="Times New Roman" w:cs="Times New Roman"/>
        </w:rPr>
        <w:fldChar w:fldCharType="end"/>
      </w:r>
    </w:p>
    <w:p>
      <w:pPr>
        <w:rPr>
          <w:rFonts w:hint="default"/>
        </w:rPr>
      </w:pPr>
    </w:p>
    <w:p>
      <w:pPr>
        <w:pStyle w:val="106"/>
        <w:rPr>
          <w:rFonts w:ascii="Times New Roman"/>
        </w:rPr>
      </w:pPr>
      <w:r>
        <w:rPr>
          <w:rFonts w:ascii="Times New Roman"/>
        </w:rPr>
        <w:fldChar w:fldCharType="end"/>
      </w:r>
      <w:bookmarkStart w:id="10" w:name="_Toc133565743"/>
      <w:bookmarkStart w:id="11" w:name="_Toc31282"/>
      <w:r>
        <w:rPr>
          <w:rFonts w:ascii="Times New Roman"/>
        </w:rPr>
        <w:t>前  言</w:t>
      </w:r>
      <w:bookmarkEnd w:id="8"/>
      <w:bookmarkEnd w:id="10"/>
      <w:bookmarkEnd w:id="11"/>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ascii="Times New Roman"/>
        </w:rPr>
        <w:t>本文件由中国</w:t>
      </w:r>
      <w:r>
        <w:rPr>
          <w:rFonts w:hint="eastAsia" w:ascii="Times New Roman"/>
        </w:rPr>
        <w:t>特钢企业</w:t>
      </w:r>
      <w:r>
        <w:rPr>
          <w:rFonts w:ascii="Times New Roman"/>
        </w:rPr>
        <w:t>协会团体标准化工作委员会提出并归口。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bookmarkStart w:id="12" w:name="_Toc133565744"/>
      <w:r>
        <w:rPr>
          <w:rFonts w:hint="eastAsia" w:ascii="Times New Roman"/>
        </w:rPr>
        <w:t>钢铁企业脱硫脱硝设施超低排放运行能源消耗限额</w:t>
      </w:r>
      <w:bookmarkEnd w:id="12"/>
    </w:p>
    <w:p>
      <w:pPr>
        <w:pStyle w:val="52"/>
        <w:outlineLvl w:val="0"/>
        <w:rPr>
          <w:rFonts w:ascii="Times New Roman"/>
        </w:rPr>
      </w:pPr>
      <w:bookmarkStart w:id="13" w:name="_Toc133565745"/>
      <w:bookmarkStart w:id="14" w:name="_Toc520380391"/>
      <w:r>
        <w:rPr>
          <w:rFonts w:ascii="Times New Roman"/>
        </w:rPr>
        <w:t>范围</w:t>
      </w:r>
      <w:bookmarkEnd w:id="13"/>
      <w:bookmarkEnd w:id="14"/>
    </w:p>
    <w:p>
      <w:pPr>
        <w:pStyle w:val="22"/>
        <w:rPr>
          <w:rFonts w:ascii="Times New Roman"/>
        </w:rPr>
      </w:pPr>
      <w:bookmarkStart w:id="15" w:name="_Toc520380392"/>
      <w:r>
        <w:rPr>
          <w:rFonts w:hint="eastAsia" w:ascii="Times New Roman"/>
        </w:rPr>
        <w:t>本文件规定了钢铁企业脱硫脱硝设施超低排放运行能源消耗限额的技术要求、统计范围和计算方法、节能管理与措施。</w:t>
      </w:r>
    </w:p>
    <w:p>
      <w:pPr>
        <w:pStyle w:val="22"/>
        <w:rPr>
          <w:rFonts w:ascii="Times New Roman"/>
        </w:rPr>
      </w:pPr>
      <w:r>
        <w:rPr>
          <w:rFonts w:hint="eastAsia" w:ascii="Times New Roman"/>
        </w:rPr>
        <w:t>本文件适用于钢铁企业</w:t>
      </w:r>
      <w:bookmarkStart w:id="16" w:name="_Hlk133141259"/>
      <w:r>
        <w:rPr>
          <w:rFonts w:hint="eastAsia" w:ascii="Times New Roman"/>
        </w:rPr>
        <w:t>选择性催化还原法</w:t>
      </w:r>
      <w:bookmarkEnd w:id="16"/>
      <w:r>
        <w:rPr>
          <w:rFonts w:hint="eastAsia" w:ascii="Times New Roman"/>
        </w:rPr>
        <w:t>（S</w:t>
      </w:r>
      <w:r>
        <w:rPr>
          <w:rFonts w:ascii="Times New Roman"/>
        </w:rPr>
        <w:t>CR</w:t>
      </w:r>
      <w:r>
        <w:rPr>
          <w:rFonts w:hint="eastAsia" w:ascii="Times New Roman"/>
        </w:rPr>
        <w:t>）脱硝设施、活性焦/炭脱硝设施、石灰石-石膏法脱硫设施、循环流化床法脱硫设施、旋转喷雾干燥法脱硫设施、密相干塔法脱硫设施、钠基干法（SDS）脱硫设施超低排放运行能源消耗的统计计算、评价以及新建设备的能耗控制</w:t>
      </w:r>
      <w:r>
        <w:rPr>
          <w:rFonts w:ascii="Times New Roman"/>
        </w:rPr>
        <w:t>。</w:t>
      </w:r>
    </w:p>
    <w:p>
      <w:pPr>
        <w:pStyle w:val="52"/>
        <w:rPr>
          <w:rFonts w:ascii="Times New Roman"/>
        </w:rPr>
      </w:pPr>
      <w:bookmarkStart w:id="17" w:name="_Toc133565746"/>
      <w:r>
        <w:rPr>
          <w:rFonts w:ascii="Times New Roman"/>
        </w:rPr>
        <w:t>规范性引用文件</w:t>
      </w:r>
      <w:bookmarkEnd w:id="15"/>
      <w:bookmarkEnd w:id="17"/>
    </w:p>
    <w:p>
      <w:pPr>
        <w:pStyle w:val="22"/>
        <w:rPr>
          <w:rFonts w:ascii="Times New Roman"/>
        </w:rPr>
      </w:pPr>
      <w:bookmarkStart w:id="18"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ascii="Times New Roman"/>
        </w:rPr>
      </w:pPr>
      <w:r>
        <w:rPr>
          <w:rFonts w:ascii="Times New Roman"/>
        </w:rPr>
        <w:t xml:space="preserve">GB 17167  </w:t>
      </w:r>
      <w:r>
        <w:rPr>
          <w:rFonts w:hint="eastAsia" w:ascii="Times New Roman"/>
        </w:rPr>
        <w:t>用能单位能源计量器具配备和管理通则</w:t>
      </w:r>
    </w:p>
    <w:p>
      <w:pPr>
        <w:pStyle w:val="22"/>
        <w:rPr>
          <w:rFonts w:hint="eastAsia" w:ascii="Times New Roman"/>
        </w:rPr>
      </w:pPr>
      <w:r>
        <w:rPr>
          <w:rFonts w:hint="eastAsia" w:ascii="Times New Roman"/>
        </w:rPr>
        <w:t>H</w:t>
      </w:r>
      <w:r>
        <w:rPr>
          <w:rFonts w:ascii="Times New Roman"/>
        </w:rPr>
        <w:t>J 17</w:t>
      </w:r>
      <w:r>
        <w:rPr>
          <w:rFonts w:hint="eastAsia" w:ascii="Times New Roman"/>
          <w:lang w:val="en-US" w:eastAsia="zh-CN"/>
        </w:rPr>
        <w:t>8</w:t>
      </w:r>
      <w:r>
        <w:rPr>
          <w:rFonts w:ascii="Times New Roman"/>
        </w:rPr>
        <w:t xml:space="preserve">  </w:t>
      </w:r>
      <w:r>
        <w:rPr>
          <w:rFonts w:hint="eastAsia" w:ascii="Times New Roman"/>
        </w:rPr>
        <w:t>烟气循环流化床法烟气脱硫工程通用技术规范</w:t>
      </w:r>
    </w:p>
    <w:p>
      <w:pPr>
        <w:pStyle w:val="22"/>
        <w:rPr>
          <w:rFonts w:hint="eastAsia" w:ascii="Times New Roman"/>
        </w:rPr>
      </w:pPr>
      <w:r>
        <w:rPr>
          <w:rFonts w:hint="eastAsia" w:ascii="Times New Roman"/>
        </w:rPr>
        <w:t>H</w:t>
      </w:r>
      <w:r>
        <w:rPr>
          <w:rFonts w:ascii="Times New Roman"/>
        </w:rPr>
        <w:t xml:space="preserve">J 179  </w:t>
      </w:r>
      <w:r>
        <w:rPr>
          <w:rFonts w:hint="eastAsia" w:ascii="Times New Roman"/>
        </w:rPr>
        <w:t>石灰石/石灰-石膏湿法烟气脱硫工程通用技术规范</w:t>
      </w:r>
    </w:p>
    <w:bookmarkEnd w:id="18"/>
    <w:p>
      <w:pPr>
        <w:pStyle w:val="52"/>
        <w:rPr>
          <w:rFonts w:ascii="Times New Roman"/>
        </w:rPr>
      </w:pPr>
      <w:bookmarkStart w:id="19" w:name="_Toc133565747"/>
      <w:bookmarkStart w:id="20" w:name="_Toc520380395"/>
      <w:r>
        <w:rPr>
          <w:rFonts w:ascii="Times New Roman"/>
        </w:rPr>
        <w:t>术语和定义</w:t>
      </w:r>
      <w:bookmarkEnd w:id="19"/>
    </w:p>
    <w:bookmarkEnd w:id="20"/>
    <w:p>
      <w:pPr>
        <w:pStyle w:val="22"/>
        <w:rPr>
          <w:rFonts w:ascii="Times New Roman"/>
          <w:highlight w:val="none"/>
        </w:rPr>
      </w:pPr>
      <w:r>
        <w:rPr>
          <w:rFonts w:hint="eastAsia" w:ascii="Times New Roman"/>
          <w:highlight w:val="none"/>
          <w:lang w:val="en-US" w:eastAsia="zh-CN"/>
        </w:rPr>
        <w:t>本文件没有需要</w:t>
      </w:r>
      <w:r>
        <w:rPr>
          <w:rFonts w:hint="eastAsia" w:ascii="Times New Roman"/>
          <w:highlight w:val="none"/>
        </w:rPr>
        <w:t>界定的术语和定义。</w:t>
      </w:r>
    </w:p>
    <w:p>
      <w:pPr>
        <w:pStyle w:val="52"/>
        <w:rPr>
          <w:rFonts w:ascii="Times New Roman"/>
          <w:szCs w:val="22"/>
        </w:rPr>
      </w:pPr>
      <w:bookmarkStart w:id="21" w:name="_Toc133565748"/>
      <w:r>
        <w:rPr>
          <w:rFonts w:hint="eastAsia" w:ascii="Times New Roman"/>
          <w:szCs w:val="22"/>
        </w:rPr>
        <w:t>技术要求</w:t>
      </w:r>
      <w:bookmarkEnd w:id="21"/>
    </w:p>
    <w:p>
      <w:pPr>
        <w:pStyle w:val="54"/>
        <w:ind w:left="0"/>
        <w:rPr>
          <w:rFonts w:ascii="宋体" w:hAnsi="宋体" w:eastAsia="宋体"/>
        </w:rPr>
      </w:pPr>
      <w:r>
        <w:rPr>
          <w:rFonts w:hint="eastAsia" w:ascii="宋体" w:hAnsi="宋体" w:eastAsia="宋体"/>
        </w:rPr>
        <w:t>基本要求</w:t>
      </w:r>
    </w:p>
    <w:p>
      <w:pPr>
        <w:pStyle w:val="56"/>
        <w:spacing w:before="156" w:after="156"/>
        <w:ind w:left="0"/>
        <w:jc w:val="both"/>
        <w:rPr>
          <w:rFonts w:ascii="宋体" w:hAnsi="宋体" w:eastAsia="宋体"/>
        </w:rPr>
      </w:pPr>
      <w:r>
        <w:rPr>
          <w:rFonts w:hint="eastAsia" w:ascii="宋体" w:hAnsi="宋体" w:eastAsia="宋体"/>
        </w:rPr>
        <w:t>一般要求</w:t>
      </w:r>
    </w:p>
    <w:p>
      <w:pPr>
        <w:pStyle w:val="78"/>
        <w:bidi w:val="0"/>
        <w:ind w:left="0" w:leftChars="0" w:firstLineChars="0"/>
        <w:rPr>
          <w:rFonts w:hint="eastAsia"/>
        </w:rPr>
      </w:pPr>
      <w:r>
        <w:rPr>
          <w:rFonts w:hint="eastAsia" w:ascii="宋体" w:hAnsi="宋体" w:eastAsia="宋体" w:cs="Times New Roman"/>
          <w:sz w:val="21"/>
          <w:szCs w:val="21"/>
          <w:lang w:val="en-US" w:eastAsia="zh-CN" w:bidi="ar-SA"/>
        </w:rPr>
        <w:t>脱硫脱硝设施应与生产工艺设备同步运转，装置运行寿命、检修维护周期宜与主机一致。</w:t>
      </w:r>
    </w:p>
    <w:p>
      <w:pPr>
        <w:pStyle w:val="78"/>
        <w:bidi w:val="0"/>
        <w:ind w:left="0" w:leftChars="0" w:firstLine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脱硫脱硝设施不应设旁路。</w:t>
      </w:r>
    </w:p>
    <w:p>
      <w:pPr>
        <w:pStyle w:val="56"/>
        <w:spacing w:before="156" w:after="156"/>
        <w:ind w:left="0"/>
        <w:jc w:val="both"/>
        <w:rPr>
          <w:rFonts w:ascii="宋体" w:hAnsi="宋体" w:eastAsia="宋体"/>
        </w:rPr>
      </w:pPr>
      <w:r>
        <w:rPr>
          <w:rFonts w:hint="eastAsia" w:ascii="宋体" w:hAnsi="宋体" w:eastAsia="宋体"/>
        </w:rPr>
        <w:t>石灰石/石灰-石膏法脱硫</w:t>
      </w:r>
    </w:p>
    <w:p>
      <w:pPr>
        <w:pStyle w:val="78"/>
        <w:bidi w:val="0"/>
        <w:ind w:left="0" w:leftChars="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石灰石/石灰-石膏法脱硫设施建设应满足HJ 179的要求。</w:t>
      </w:r>
    </w:p>
    <w:p>
      <w:pPr>
        <w:pStyle w:val="78"/>
        <w:bidi w:val="0"/>
        <w:ind w:left="0" w:leftChars="0" w:firstLineChars="0"/>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石灰石/石灰-石膏法脱硫设施应满足</w:t>
      </w:r>
      <w:r>
        <w:rPr>
          <w:rFonts w:hint="eastAsia" w:ascii="Times New Roman" w:eastAsia="宋体" w:cs="Times New Roman"/>
          <w:sz w:val="21"/>
          <w:szCs w:val="21"/>
          <w:lang w:val="en-US" w:eastAsia="zh-CN" w:bidi="ar-SA"/>
        </w:rPr>
        <w:t>以下</w:t>
      </w:r>
      <w:r>
        <w:rPr>
          <w:rFonts w:hint="eastAsia" w:ascii="Times New Roman" w:hAnsi="Times New Roman" w:eastAsia="宋体" w:cs="Times New Roman"/>
          <w:sz w:val="21"/>
          <w:szCs w:val="21"/>
          <w:lang w:val="en-US" w:eastAsia="zh-CN" w:bidi="ar-SA"/>
        </w:rPr>
        <w:t>要求</w:t>
      </w:r>
      <w:r>
        <w:rPr>
          <w:rFonts w:hint="eastAsia" w:ascii="Times New Roman" w:eastAsia="宋体" w:cs="Times New Roman"/>
          <w:sz w:val="21"/>
          <w:szCs w:val="21"/>
          <w:lang w:val="en-US" w:eastAsia="zh-CN" w:bidi="ar-SA"/>
        </w:rPr>
        <w:t>：</w:t>
      </w:r>
    </w:p>
    <w:p>
      <w:pPr>
        <w:pStyle w:val="22"/>
        <w:rPr>
          <w:rFonts w:hint="default" w:ascii="Times New Roman" w:hAnsi="Times New Roman" w:cs="Times New Roman"/>
          <w:highlight w:val="none"/>
        </w:rPr>
      </w:pPr>
      <w:r>
        <w:rPr>
          <w:rFonts w:hint="default" w:ascii="Times New Roman" w:hAnsi="Times New Roman" w:cs="Times New Roman"/>
          <w:highlight w:val="none"/>
        </w:rPr>
        <w:t>a)</w:t>
      </w:r>
      <w:r>
        <w:rPr>
          <w:rFonts w:hint="default" w:ascii="Times New Roman" w:hAnsi="Times New Roman" w:cs="Times New Roman"/>
          <w:color w:val="000000"/>
          <w:szCs w:val="21"/>
          <w:highlight w:val="none"/>
        </w:rPr>
        <w:t>入口烟气SO</w:t>
      </w:r>
      <w:r>
        <w:rPr>
          <w:rFonts w:hint="default" w:ascii="Times New Roman" w:hAnsi="Times New Roman" w:cs="Times New Roman"/>
          <w:color w:val="000000"/>
          <w:sz w:val="14"/>
          <w:szCs w:val="14"/>
          <w:highlight w:val="none"/>
        </w:rPr>
        <w:t>2</w:t>
      </w:r>
      <w:r>
        <w:rPr>
          <w:rFonts w:hint="default" w:ascii="Times New Roman" w:hAnsi="Times New Roman" w:cs="Times New Roman"/>
          <w:color w:val="000000"/>
          <w:szCs w:val="21"/>
          <w:highlight w:val="none"/>
        </w:rPr>
        <w:t>浓度应不大于10000mg/m³；</w:t>
      </w:r>
    </w:p>
    <w:p>
      <w:pPr>
        <w:pStyle w:val="22"/>
        <w:rPr>
          <w:rFonts w:hint="default" w:ascii="Times New Roman" w:hAnsi="Times New Roman" w:cs="Times New Roman"/>
          <w:highlight w:val="none"/>
        </w:rPr>
      </w:pPr>
      <w:r>
        <w:rPr>
          <w:rFonts w:hint="default" w:ascii="Times New Roman" w:hAnsi="Times New Roman" w:cs="Times New Roman"/>
          <w:highlight w:val="none"/>
        </w:rPr>
        <w:t>b)钙硫摩尔比宜不大于1.03；</w:t>
      </w:r>
    </w:p>
    <w:p>
      <w:pPr>
        <w:pStyle w:val="22"/>
        <w:rPr>
          <w:rFonts w:hint="default" w:ascii="Times New Roman" w:hAnsi="Times New Roman" w:cs="Times New Roman"/>
          <w:highlight w:val="none"/>
        </w:rPr>
      </w:pPr>
      <w:r>
        <w:rPr>
          <w:rFonts w:hint="default" w:ascii="Times New Roman" w:hAnsi="Times New Roman" w:cs="Times New Roman"/>
          <w:highlight w:val="none"/>
        </w:rPr>
        <w:t>c)吸收塔内烟气空塔气速宜不大于3.8m/s；</w:t>
      </w:r>
    </w:p>
    <w:p>
      <w:pPr>
        <w:pStyle w:val="22"/>
        <w:rPr>
          <w:rFonts w:hint="default" w:ascii="Times New Roman" w:hAnsi="Times New Roman" w:cs="Times New Roman"/>
          <w:highlight w:val="none"/>
        </w:rPr>
      </w:pPr>
      <w:r>
        <w:rPr>
          <w:rFonts w:hint="default" w:ascii="Times New Roman" w:hAnsi="Times New Roman" w:cs="Times New Roman"/>
          <w:highlight w:val="none"/>
        </w:rPr>
        <w:t>d)入口烟气粉尘浓度宜不大于50mg/m</w:t>
      </w:r>
      <w:r>
        <w:rPr>
          <w:rFonts w:hint="default" w:ascii="Times New Roman" w:hAnsi="Times New Roman" w:cs="Times New Roman"/>
          <w:highlight w:val="none"/>
          <w:vertAlign w:val="superscript"/>
        </w:rPr>
        <w:t>3</w:t>
      </w:r>
      <w:r>
        <w:rPr>
          <w:rFonts w:hint="default" w:ascii="Times New Roman" w:hAnsi="Times New Roman" w:cs="Times New Roman"/>
          <w:highlight w:val="none"/>
        </w:rPr>
        <w:t>；</w:t>
      </w:r>
    </w:p>
    <w:p>
      <w:pPr>
        <w:pStyle w:val="22"/>
        <w:rPr>
          <w:rFonts w:hint="default" w:ascii="Times New Roman" w:hAnsi="Times New Roman" w:cs="Times New Roman"/>
          <w:color w:val="000000"/>
          <w:szCs w:val="21"/>
          <w:highlight w:val="none"/>
        </w:rPr>
      </w:pPr>
      <w:r>
        <w:rPr>
          <w:rFonts w:hint="default" w:ascii="Times New Roman" w:hAnsi="Times New Roman" w:cs="Times New Roman"/>
          <w:highlight w:val="none"/>
        </w:rPr>
        <w:t>e）采用石灰石作吸收剂时，石灰石中CaCO</w:t>
      </w:r>
      <w:r>
        <w:rPr>
          <w:rFonts w:hint="default" w:ascii="Times New Roman" w:hAnsi="Times New Roman" w:cs="Times New Roman"/>
          <w:highlight w:val="none"/>
          <w:vertAlign w:val="subscript"/>
        </w:rPr>
        <w:t>3</w:t>
      </w:r>
      <w:r>
        <w:rPr>
          <w:rFonts w:hint="default" w:ascii="Times New Roman" w:hAnsi="Times New Roman" w:cs="Times New Roman"/>
          <w:highlight w:val="none"/>
        </w:rPr>
        <w:t>含量应不小于90%，</w:t>
      </w:r>
      <w:r>
        <w:rPr>
          <w:rFonts w:hint="default" w:ascii="Times New Roman" w:hAnsi="Times New Roman" w:cs="Times New Roman"/>
          <w:color w:val="000000"/>
          <w:szCs w:val="21"/>
          <w:highlight w:val="none"/>
        </w:rPr>
        <w:t>浆液pH宜控制在5.2~5.8范围内；</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f)采用石灰作吸收剂时，石灰的CaO含量宜不小于80%，浆液pH宜控制在5.2~6.2范围内。</w:t>
      </w:r>
    </w:p>
    <w:p>
      <w:pPr>
        <w:pStyle w:val="56"/>
        <w:spacing w:before="156" w:after="156"/>
        <w:ind w:left="0"/>
        <w:jc w:val="both"/>
        <w:rPr>
          <w:rFonts w:hint="eastAsia" w:ascii="宋体" w:hAnsi="宋体" w:eastAsia="宋体"/>
        </w:rPr>
      </w:pPr>
      <w:r>
        <w:rPr>
          <w:rFonts w:hint="eastAsia" w:ascii="宋体" w:hAnsi="宋体" w:eastAsia="宋体"/>
          <w:lang w:val="en-US" w:eastAsia="zh-CN"/>
        </w:rPr>
        <w:t>循环流化床法脱硫</w:t>
      </w:r>
    </w:p>
    <w:p>
      <w:pPr>
        <w:pStyle w:val="78"/>
        <w:bidi w:val="0"/>
        <w:ind w:left="0" w:leftChars="0" w:firstLineChars="0"/>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循环流化床</w:t>
      </w:r>
      <w:r>
        <w:rPr>
          <w:rFonts w:hint="eastAsia" w:ascii="Times New Roman" w:eastAsia="宋体" w:cs="Times New Roman"/>
          <w:sz w:val="21"/>
          <w:szCs w:val="21"/>
          <w:lang w:val="en-US" w:eastAsia="zh-CN" w:bidi="ar-SA"/>
        </w:rPr>
        <w:t>法</w:t>
      </w:r>
      <w:r>
        <w:rPr>
          <w:rFonts w:hint="eastAsia" w:ascii="Times New Roman" w:hAnsi="Times New Roman" w:eastAsia="宋体" w:cs="Times New Roman"/>
          <w:sz w:val="21"/>
          <w:szCs w:val="21"/>
          <w:lang w:val="en-US" w:eastAsia="zh-CN" w:bidi="ar-SA"/>
        </w:rPr>
        <w:t>脱硫</w:t>
      </w:r>
      <w:r>
        <w:rPr>
          <w:rFonts w:hint="eastAsia" w:ascii="Times New Roman" w:eastAsia="宋体" w:cs="Times New Roman"/>
          <w:sz w:val="21"/>
          <w:szCs w:val="21"/>
          <w:lang w:val="en-US" w:eastAsia="zh-CN" w:bidi="ar-SA"/>
        </w:rPr>
        <w:t>设施</w:t>
      </w:r>
      <w:r>
        <w:rPr>
          <w:rFonts w:hint="default" w:ascii="Times New Roman" w:hAnsi="Times New Roman" w:eastAsia="宋体" w:cs="Times New Roman"/>
          <w:sz w:val="21"/>
          <w:szCs w:val="21"/>
          <w:lang w:val="en-US" w:eastAsia="zh-CN" w:bidi="ar-SA"/>
        </w:rPr>
        <w:t>建设应满足HJ 17</w:t>
      </w:r>
      <w:r>
        <w:rPr>
          <w:rFonts w:hint="eastAsia" w:ascii="Times New Roman" w:eastAsia="宋体" w:cs="Times New Roman"/>
          <w:sz w:val="21"/>
          <w:szCs w:val="21"/>
          <w:lang w:val="en-US" w:eastAsia="zh-CN" w:bidi="ar-SA"/>
        </w:rPr>
        <w:t>8</w:t>
      </w:r>
      <w:r>
        <w:rPr>
          <w:rFonts w:hint="default" w:ascii="Times New Roman" w:hAnsi="Times New Roman" w:eastAsia="宋体" w:cs="Times New Roman"/>
          <w:sz w:val="21"/>
          <w:szCs w:val="21"/>
          <w:lang w:val="en-US" w:eastAsia="zh-CN" w:bidi="ar-SA"/>
        </w:rPr>
        <w:t>的要求</w:t>
      </w:r>
      <w:r>
        <w:rPr>
          <w:rFonts w:hint="eastAsia" w:ascii="Times New Roman" w:eastAsia="宋体" w:cs="Times New Roman"/>
          <w:sz w:val="21"/>
          <w:szCs w:val="21"/>
          <w:lang w:val="en-US" w:eastAsia="zh-CN" w:bidi="ar-SA"/>
        </w:rPr>
        <w:t>。</w:t>
      </w:r>
    </w:p>
    <w:p>
      <w:pPr>
        <w:pStyle w:val="78"/>
        <w:bidi w:val="0"/>
        <w:ind w:left="0" w:leftChars="0" w:firstLineChars="0"/>
        <w:rPr>
          <w:rFonts w:hint="default"/>
          <w:lang w:val="en-US" w:eastAsia="zh-CN"/>
        </w:rPr>
      </w:pPr>
      <w:r>
        <w:rPr>
          <w:rFonts w:hint="eastAsia" w:ascii="Times New Roman" w:hAnsi="Times New Roman" w:eastAsia="宋体" w:cs="Times New Roman"/>
          <w:sz w:val="21"/>
          <w:szCs w:val="21"/>
          <w:lang w:val="en-US" w:eastAsia="zh-CN" w:bidi="ar-SA"/>
        </w:rPr>
        <w:t>石灰石/石灰-石膏法脱硫设施应满足</w:t>
      </w:r>
      <w:r>
        <w:rPr>
          <w:rFonts w:hint="eastAsia" w:ascii="Times New Roman" w:eastAsia="宋体" w:cs="Times New Roman"/>
          <w:sz w:val="21"/>
          <w:szCs w:val="21"/>
          <w:lang w:val="en-US" w:eastAsia="zh-CN" w:bidi="ar-SA"/>
        </w:rPr>
        <w:t>以下</w:t>
      </w:r>
      <w:r>
        <w:rPr>
          <w:rFonts w:hint="eastAsia" w:ascii="Times New Roman" w:hAnsi="Times New Roman" w:eastAsia="宋体" w:cs="Times New Roman"/>
          <w:sz w:val="21"/>
          <w:szCs w:val="21"/>
          <w:lang w:val="en-US" w:eastAsia="zh-CN" w:bidi="ar-SA"/>
        </w:rPr>
        <w:t>要求</w:t>
      </w:r>
      <w:r>
        <w:rPr>
          <w:rFonts w:hint="eastAsia" w:ascii="Times New Roman" w:eastAsia="宋体" w:cs="Times New Roman"/>
          <w:sz w:val="21"/>
          <w:szCs w:val="21"/>
          <w:lang w:val="en-US" w:eastAsia="zh-CN" w:bidi="ar-SA"/>
        </w:rPr>
        <w:t>：</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a)入口烟气SO</w:t>
      </w:r>
      <w:r>
        <w:rPr>
          <w:rFonts w:hint="default" w:ascii="Times New Roman" w:hAnsi="Times New Roman" w:cs="Times New Roman"/>
          <w:color w:val="000000"/>
          <w:szCs w:val="21"/>
          <w:highlight w:val="none"/>
          <w:vertAlign w:val="subscript"/>
        </w:rPr>
        <w:t>2</w:t>
      </w:r>
      <w:r>
        <w:rPr>
          <w:rFonts w:hint="default" w:ascii="Times New Roman" w:hAnsi="Times New Roman" w:cs="Times New Roman"/>
          <w:color w:val="000000"/>
          <w:szCs w:val="21"/>
          <w:highlight w:val="none"/>
        </w:rPr>
        <w:t>浓度应不大于4500mg/m³；</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b)吸收塔总压降（阻力）宜在1400Pa~2200Pa范围内，床层压降（阻力）宜在800Pa~1200Pa范围内；</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c)吸收塔出口烟温宜高于露点温度15℃以上</w:t>
      </w:r>
    </w:p>
    <w:p>
      <w:pPr>
        <w:pStyle w:val="22"/>
        <w:rPr>
          <w:rFonts w:hint="eastAsia"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rPr>
        <w:t>d)吸收塔内的烟气停留时间宜不小于5s</w:t>
      </w:r>
      <w:r>
        <w:rPr>
          <w:rFonts w:hint="eastAsia" w:ascii="Times New Roman" w:cs="Times New Roman"/>
          <w:color w:val="000000"/>
          <w:szCs w:val="21"/>
          <w:highlight w:val="none"/>
          <w:lang w:eastAsia="zh-CN"/>
        </w:rPr>
        <w:t>。</w:t>
      </w:r>
    </w:p>
    <w:p>
      <w:pPr>
        <w:pStyle w:val="56"/>
        <w:spacing w:before="156" w:after="156"/>
        <w:ind w:left="0"/>
        <w:jc w:val="both"/>
        <w:rPr>
          <w:rFonts w:hint="eastAsia" w:ascii="宋体" w:hAnsi="宋体" w:eastAsia="宋体"/>
          <w:lang w:val="en-US" w:eastAsia="zh-CN"/>
        </w:rPr>
      </w:pPr>
      <w:r>
        <w:rPr>
          <w:rFonts w:hint="eastAsia" w:ascii="宋体" w:hAnsi="宋体" w:eastAsia="宋体"/>
          <w:lang w:val="en-US" w:eastAsia="zh-CN"/>
        </w:rPr>
        <w:t>旋转喷雾干燥法脱硫</w:t>
      </w:r>
    </w:p>
    <w:p>
      <w:pPr>
        <w:pStyle w:val="22"/>
      </w:pPr>
      <w:r>
        <w:rPr>
          <w:rFonts w:hint="eastAsia" w:ascii="Times New Roman" w:hAnsi="Times New Roman" w:cs="Times New Roman"/>
          <w:color w:val="000000"/>
          <w:szCs w:val="21"/>
          <w:highlight w:val="none"/>
        </w:rPr>
        <w:t>旋转喷雾干燥法脱硫设备应满足以下要求：</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a)入口烟气SO</w:t>
      </w:r>
      <w:r>
        <w:rPr>
          <w:rFonts w:hint="default" w:ascii="Times New Roman" w:hAnsi="Times New Roman" w:cs="Times New Roman"/>
          <w:color w:val="000000"/>
          <w:szCs w:val="21"/>
          <w:highlight w:val="none"/>
          <w:vertAlign w:val="subscript"/>
        </w:rPr>
        <w:t>2</w:t>
      </w:r>
      <w:r>
        <w:rPr>
          <w:rFonts w:hint="default" w:ascii="Times New Roman" w:hAnsi="Times New Roman" w:cs="Times New Roman"/>
          <w:color w:val="000000"/>
          <w:szCs w:val="21"/>
          <w:highlight w:val="none"/>
        </w:rPr>
        <w:t>浓度应不大于2000mg/m</w:t>
      </w:r>
      <w:r>
        <w:rPr>
          <w:rFonts w:hint="eastAsia" w:ascii="Times New Roman" w:cs="Times New Roman"/>
          <w:color w:val="000000"/>
          <w:szCs w:val="21"/>
          <w:highlight w:val="none"/>
          <w:vertAlign w:val="superscript"/>
          <w:lang w:val="en-US" w:eastAsia="zh-CN"/>
        </w:rPr>
        <w:t>3</w:t>
      </w:r>
      <w:r>
        <w:rPr>
          <w:rFonts w:hint="default" w:ascii="Times New Roman" w:hAnsi="Times New Roman" w:cs="Times New Roman"/>
          <w:color w:val="000000"/>
          <w:szCs w:val="21"/>
          <w:highlight w:val="none"/>
        </w:rPr>
        <w:t>；</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b)吸收塔阻力宜不大于800Pa；</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c)吸收塔进口烟气温度宜大于80℃，出口烟气温度宜高于露点温度15℃以上；</w:t>
      </w:r>
    </w:p>
    <w:p>
      <w:pPr>
        <w:pStyle w:val="56"/>
        <w:spacing w:before="156" w:after="156"/>
        <w:ind w:left="0"/>
        <w:jc w:val="both"/>
        <w:rPr>
          <w:rFonts w:hint="eastAsia" w:ascii="宋体" w:hAnsi="宋体" w:eastAsia="宋体"/>
          <w:lang w:val="en-US" w:eastAsia="zh-CN"/>
        </w:rPr>
      </w:pPr>
      <w:r>
        <w:rPr>
          <w:rFonts w:hint="eastAsia" w:ascii="宋体" w:hAnsi="宋体" w:eastAsia="宋体"/>
          <w:lang w:val="en-US" w:eastAsia="zh-CN"/>
        </w:rPr>
        <w:t>密相干塔法脱硫</w:t>
      </w:r>
    </w:p>
    <w:p>
      <w:pPr>
        <w:pStyle w:val="22"/>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密相干塔法脱硫设备应满足以下要求：</w:t>
      </w:r>
    </w:p>
    <w:p>
      <w:pPr>
        <w:pStyle w:val="22"/>
        <w:rPr>
          <w:rFonts w:hint="default" w:ascii="Times New Roman" w:hAnsi="Times New Roman" w:cs="Times New Roman"/>
          <w:highlight w:val="none"/>
        </w:rPr>
      </w:pPr>
      <w:r>
        <w:rPr>
          <w:rFonts w:hint="default" w:ascii="Times New Roman" w:hAnsi="Times New Roman" w:cs="Times New Roman"/>
          <w:highlight w:val="none"/>
        </w:rPr>
        <w:t>a)入口烟气SO</w:t>
      </w:r>
      <w:r>
        <w:rPr>
          <w:rFonts w:hint="default" w:ascii="Times New Roman" w:hAnsi="Times New Roman" w:cs="Times New Roman"/>
          <w:highlight w:val="none"/>
          <w:vertAlign w:val="subscript"/>
        </w:rPr>
        <w:t>2</w:t>
      </w:r>
      <w:r>
        <w:rPr>
          <w:rFonts w:hint="default" w:ascii="Times New Roman" w:hAnsi="Times New Roman" w:cs="Times New Roman"/>
          <w:highlight w:val="none"/>
        </w:rPr>
        <w:t>浓度宜不大于2000mg/</w:t>
      </w:r>
      <w:r>
        <w:rPr>
          <w:rFonts w:hint="default" w:ascii="Times New Roman" w:hAnsi="Times New Roman" w:cs="Times New Roman"/>
          <w:color w:val="000000"/>
          <w:szCs w:val="21"/>
          <w:highlight w:val="none"/>
        </w:rPr>
        <w:t>m</w:t>
      </w:r>
      <w:r>
        <w:rPr>
          <w:rFonts w:hint="eastAsia" w:ascii="Times New Roman" w:cs="Times New Roman"/>
          <w:color w:val="000000"/>
          <w:szCs w:val="21"/>
          <w:highlight w:val="none"/>
          <w:vertAlign w:val="superscript"/>
          <w:lang w:val="en-US" w:eastAsia="zh-CN"/>
        </w:rPr>
        <w:t>3</w:t>
      </w:r>
      <w:r>
        <w:rPr>
          <w:rFonts w:hint="default" w:ascii="Times New Roman" w:hAnsi="Times New Roman" w:cs="Times New Roman"/>
          <w:highlight w:val="none"/>
        </w:rPr>
        <w:t>；</w:t>
      </w:r>
    </w:p>
    <w:p>
      <w:pPr>
        <w:pStyle w:val="22"/>
        <w:rPr>
          <w:rFonts w:hint="default" w:ascii="Times New Roman" w:hAnsi="Times New Roman" w:cs="Times New Roman"/>
          <w:highlight w:val="none"/>
        </w:rPr>
      </w:pPr>
      <w:r>
        <w:rPr>
          <w:rFonts w:hint="default" w:ascii="Times New Roman" w:hAnsi="Times New Roman" w:cs="Times New Roman"/>
          <w:highlight w:val="none"/>
        </w:rPr>
        <w:t>b)脱硫塔入口烟气温度温度宜不大于160℃，出口温度宜高于露点温度15℃以上；</w:t>
      </w:r>
    </w:p>
    <w:p>
      <w:pPr>
        <w:pStyle w:val="22"/>
        <w:rPr>
          <w:rFonts w:hint="default" w:ascii="Times New Roman" w:hAnsi="Times New Roman" w:cs="Times New Roman"/>
          <w:highlight w:val="none"/>
        </w:rPr>
      </w:pPr>
      <w:r>
        <w:rPr>
          <w:rFonts w:hint="default" w:ascii="Times New Roman" w:hAnsi="Times New Roman" w:cs="Times New Roman"/>
          <w:highlight w:val="none"/>
        </w:rPr>
        <w:t>c)脱硫塔阻力宜不大于600Pa，脱硫系统总压力损失宜不大于3000Pa。</w:t>
      </w:r>
    </w:p>
    <w:p>
      <w:pPr>
        <w:pStyle w:val="56"/>
        <w:spacing w:before="156" w:after="156"/>
        <w:ind w:left="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SDS脱硫</w:t>
      </w:r>
    </w:p>
    <w:p>
      <w:pPr>
        <w:pStyle w:val="22"/>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SDS脱硫设备应满足以下要求：</w:t>
      </w:r>
    </w:p>
    <w:p>
      <w:pPr>
        <w:pStyle w:val="22"/>
        <w:rPr>
          <w:rFonts w:hint="default" w:ascii="Times New Roman" w:hAnsi="Times New Roman" w:cs="Times New Roman"/>
          <w:highlight w:val="none"/>
        </w:rPr>
      </w:pPr>
      <w:r>
        <w:rPr>
          <w:rFonts w:hint="default" w:ascii="Times New Roman" w:hAnsi="Times New Roman" w:cs="Times New Roman"/>
          <w:highlight w:val="none"/>
        </w:rPr>
        <w:t>a)入口烟气SO</w:t>
      </w:r>
      <w:r>
        <w:rPr>
          <w:rFonts w:hint="default" w:ascii="Times New Roman" w:hAnsi="Times New Roman" w:cs="Times New Roman"/>
          <w:highlight w:val="none"/>
          <w:vertAlign w:val="subscript"/>
        </w:rPr>
        <w:t>2</w:t>
      </w:r>
      <w:r>
        <w:rPr>
          <w:rFonts w:hint="default" w:ascii="Times New Roman" w:hAnsi="Times New Roman" w:cs="Times New Roman"/>
          <w:highlight w:val="none"/>
        </w:rPr>
        <w:t>浓度应不大于1500mg/</w:t>
      </w:r>
      <w:r>
        <w:rPr>
          <w:rFonts w:hint="default" w:ascii="Times New Roman" w:hAnsi="Times New Roman" w:cs="Times New Roman"/>
          <w:color w:val="000000"/>
          <w:szCs w:val="21"/>
          <w:highlight w:val="none"/>
        </w:rPr>
        <w:t>m</w:t>
      </w:r>
      <w:r>
        <w:rPr>
          <w:rFonts w:hint="eastAsia" w:ascii="Times New Roman" w:cs="Times New Roman"/>
          <w:color w:val="000000"/>
          <w:szCs w:val="21"/>
          <w:highlight w:val="none"/>
          <w:vertAlign w:val="superscript"/>
          <w:lang w:val="en-US" w:eastAsia="zh-CN"/>
        </w:rPr>
        <w:t>3</w:t>
      </w:r>
      <w:r>
        <w:rPr>
          <w:rFonts w:hint="default" w:ascii="Times New Roman" w:hAnsi="Times New Roman" w:cs="Times New Roman"/>
          <w:highlight w:val="none"/>
        </w:rPr>
        <w:t>；</w:t>
      </w:r>
    </w:p>
    <w:p>
      <w:pPr>
        <w:pStyle w:val="22"/>
        <w:rPr>
          <w:rFonts w:hint="default" w:ascii="Times New Roman" w:hAnsi="Times New Roman" w:cs="Times New Roman"/>
          <w:highlight w:val="none"/>
        </w:rPr>
      </w:pPr>
      <w:r>
        <w:rPr>
          <w:rFonts w:hint="default" w:ascii="Times New Roman" w:hAnsi="Times New Roman" w:cs="Times New Roman"/>
          <w:highlight w:val="none"/>
        </w:rPr>
        <w:t>b)运行温度宜不小于140℃，宜不高于170℃；</w:t>
      </w:r>
    </w:p>
    <w:p>
      <w:pPr>
        <w:pStyle w:val="22"/>
        <w:rPr>
          <w:rFonts w:hint="default" w:ascii="Times New Roman" w:hAnsi="Times New Roman" w:cs="Times New Roman"/>
          <w:highlight w:val="none"/>
        </w:rPr>
      </w:pPr>
      <w:r>
        <w:rPr>
          <w:rFonts w:hint="default" w:ascii="Times New Roman" w:hAnsi="Times New Roman" w:cs="Times New Roman"/>
          <w:highlight w:val="none"/>
        </w:rPr>
        <w:t>c)脱硫剂在烟道或反应器的反应时间宜不小于2s。</w:t>
      </w:r>
    </w:p>
    <w:p>
      <w:pPr>
        <w:pStyle w:val="56"/>
        <w:spacing w:before="156" w:after="156"/>
        <w:ind w:left="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w:t>
      </w:r>
      <w:r>
        <w:rPr>
          <w:rFonts w:hint="default" w:ascii="Times New Roman" w:hAnsi="Times New Roman" w:eastAsia="宋体" w:cs="Times New Roman"/>
          <w:lang w:val="en-US" w:eastAsia="zh-CN"/>
        </w:rPr>
        <w:t>CR</w:t>
      </w:r>
      <w:r>
        <w:rPr>
          <w:rFonts w:hint="eastAsia" w:ascii="Times New Roman" w:hAnsi="Times New Roman" w:eastAsia="宋体" w:cs="Times New Roman"/>
          <w:lang w:val="en-US" w:eastAsia="zh-CN"/>
        </w:rPr>
        <w:t>脱硝</w:t>
      </w:r>
    </w:p>
    <w:p>
      <w:pPr>
        <w:pStyle w:val="22"/>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SCR脱硝设备应满足以下要求：</w:t>
      </w:r>
    </w:p>
    <w:p>
      <w:pPr>
        <w:pStyle w:val="22"/>
        <w:rPr>
          <w:rFonts w:hint="default" w:ascii="Times New Roman" w:hAnsi="Times New Roman" w:cs="Times New Roman"/>
          <w:highlight w:val="none"/>
        </w:rPr>
      </w:pPr>
      <w:r>
        <w:rPr>
          <w:rFonts w:hint="default" w:ascii="Times New Roman" w:hAnsi="Times New Roman" w:cs="Times New Roman"/>
          <w:highlight w:val="none"/>
        </w:rPr>
        <w:t>a)氨氮摩尔比应小于1；</w:t>
      </w:r>
    </w:p>
    <w:p>
      <w:pPr>
        <w:pStyle w:val="22"/>
        <w:rPr>
          <w:rFonts w:hint="default" w:ascii="Times New Roman" w:hAnsi="Times New Roman" w:cs="Times New Roman"/>
          <w:highlight w:val="none"/>
        </w:rPr>
      </w:pPr>
      <w:r>
        <w:rPr>
          <w:rFonts w:hint="default" w:ascii="Times New Roman" w:hAnsi="Times New Roman" w:cs="Times New Roman"/>
          <w:highlight w:val="none"/>
        </w:rPr>
        <w:t>b)催化剂层数应不少于2层；</w:t>
      </w:r>
    </w:p>
    <w:p>
      <w:pPr>
        <w:pStyle w:val="22"/>
        <w:rPr>
          <w:rFonts w:hint="default" w:ascii="Times New Roman" w:hAnsi="Times New Roman" w:cs="Times New Roman"/>
          <w:highlight w:val="none"/>
        </w:rPr>
      </w:pPr>
      <w:r>
        <w:rPr>
          <w:rFonts w:hint="default" w:ascii="Times New Roman" w:hAnsi="Times New Roman" w:cs="Times New Roman"/>
          <w:highlight w:val="none"/>
        </w:rPr>
        <w:t>c)催化剂与含NO</w:t>
      </w:r>
      <w:r>
        <w:rPr>
          <w:rFonts w:hint="default" w:ascii="Times New Roman" w:hAnsi="Times New Roman" w:cs="Times New Roman"/>
          <w:highlight w:val="none"/>
          <w:lang w:val="en-US" w:eastAsia="zh-CN"/>
        </w:rPr>
        <w:t>x</w:t>
      </w:r>
      <w:r>
        <w:rPr>
          <w:rFonts w:hint="default" w:ascii="Times New Roman" w:hAnsi="Times New Roman" w:cs="Times New Roman"/>
          <w:highlight w:val="none"/>
        </w:rPr>
        <w:t>烟气的接触时间宜不小于1s；</w:t>
      </w:r>
    </w:p>
    <w:p>
      <w:pPr>
        <w:pStyle w:val="22"/>
        <w:rPr>
          <w:rFonts w:hint="default" w:ascii="Times New Roman" w:hAnsi="Times New Roman" w:cs="Times New Roman"/>
          <w:highlight w:val="none"/>
        </w:rPr>
      </w:pPr>
      <w:r>
        <w:rPr>
          <w:rFonts w:hint="default" w:ascii="Times New Roman" w:hAnsi="Times New Roman" w:cs="Times New Roman"/>
          <w:highlight w:val="none"/>
        </w:rPr>
        <w:t>d)</w:t>
      </w:r>
      <w:r>
        <w:rPr>
          <w:rFonts w:hint="default" w:ascii="Times New Roman" w:hAnsi="Times New Roman" w:cs="Times New Roman"/>
          <w:color w:val="000000"/>
          <w:szCs w:val="21"/>
          <w:highlight w:val="none"/>
        </w:rPr>
        <w:t>氨逃逸浓度</w:t>
      </w:r>
      <w:r>
        <w:rPr>
          <w:rFonts w:hint="default" w:ascii="Times New Roman" w:hAnsi="Times New Roman" w:cs="Times New Roman"/>
          <w:highlight w:val="none"/>
        </w:rPr>
        <w:t>≤</w:t>
      </w:r>
      <w:r>
        <w:rPr>
          <w:rFonts w:hint="default" w:ascii="Times New Roman" w:hAnsi="Times New Roman" w:cs="Times New Roman"/>
          <w:color w:val="000000"/>
          <w:szCs w:val="21"/>
          <w:highlight w:val="none"/>
        </w:rPr>
        <w:t>2.5mg/m</w:t>
      </w:r>
      <w:r>
        <w:rPr>
          <w:rFonts w:hint="eastAsia" w:ascii="Times New Roman" w:cs="Times New Roman"/>
          <w:color w:val="000000"/>
          <w:szCs w:val="21"/>
          <w:highlight w:val="none"/>
          <w:vertAlign w:val="superscript"/>
          <w:lang w:val="en-US" w:eastAsia="zh-CN"/>
        </w:rPr>
        <w:t>3</w:t>
      </w:r>
      <w:r>
        <w:rPr>
          <w:rFonts w:hint="default" w:ascii="Times New Roman" w:hAnsi="Times New Roman" w:cs="Times New Roman"/>
          <w:color w:val="000000"/>
          <w:szCs w:val="21"/>
          <w:highlight w:val="none"/>
        </w:rPr>
        <w:t>；</w:t>
      </w:r>
    </w:p>
    <w:p>
      <w:pPr>
        <w:pStyle w:val="56"/>
        <w:spacing w:before="156" w:after="156"/>
        <w:ind w:left="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活性焦</w:t>
      </w:r>
      <w:r>
        <w:rPr>
          <w:rFonts w:hint="eastAsia" w:ascii="Times New Roman" w:eastAsia="宋体" w:cs="Times New Roman"/>
          <w:lang w:val="en-US" w:eastAsia="zh-CN"/>
        </w:rPr>
        <w:t>/</w:t>
      </w:r>
      <w:r>
        <w:rPr>
          <w:rFonts w:hint="eastAsia" w:ascii="Times New Roman" w:hAnsi="Times New Roman" w:eastAsia="宋体" w:cs="Times New Roman"/>
          <w:lang w:val="en-US" w:eastAsia="zh-CN"/>
        </w:rPr>
        <w:t>炭法脱硝</w:t>
      </w:r>
    </w:p>
    <w:p>
      <w:pPr>
        <w:pStyle w:val="22"/>
      </w:pPr>
      <w:r>
        <w:rPr>
          <w:rFonts w:hint="eastAsia" w:ascii="Times New Roman" w:hAnsi="Times New Roman" w:cs="Times New Roman"/>
          <w:color w:val="000000"/>
          <w:szCs w:val="21"/>
          <w:highlight w:val="none"/>
          <w:lang w:val="en-US" w:eastAsia="zh-CN"/>
        </w:rPr>
        <w:t>活性焦</w:t>
      </w:r>
      <w:r>
        <w:rPr>
          <w:rFonts w:hint="eastAsia" w:ascii="Times New Roman" w:cs="Times New Roman"/>
          <w:color w:val="000000"/>
          <w:szCs w:val="21"/>
          <w:highlight w:val="none"/>
          <w:lang w:val="en-US" w:eastAsia="zh-CN"/>
        </w:rPr>
        <w:t>/</w:t>
      </w:r>
      <w:r>
        <w:rPr>
          <w:rFonts w:hint="eastAsia" w:ascii="Times New Roman" w:hAnsi="Times New Roman" w:cs="Times New Roman"/>
          <w:color w:val="000000"/>
          <w:szCs w:val="21"/>
          <w:highlight w:val="none"/>
          <w:lang w:val="en-US" w:eastAsia="zh-CN"/>
        </w:rPr>
        <w:t>炭法脱硝设备应满足以下要求：</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a)入口烟气中NO</w:t>
      </w:r>
      <w:r>
        <w:rPr>
          <w:rFonts w:hint="eastAsia" w:ascii="Times New Roman" w:cs="Times New Roman"/>
          <w:color w:val="000000"/>
          <w:szCs w:val="21"/>
          <w:highlight w:val="none"/>
          <w:lang w:val="en-US" w:eastAsia="zh-CN"/>
        </w:rPr>
        <w:t>x</w:t>
      </w:r>
      <w:r>
        <w:rPr>
          <w:rFonts w:hint="default" w:ascii="Times New Roman" w:hAnsi="Times New Roman" w:cs="Times New Roman"/>
          <w:color w:val="000000"/>
          <w:szCs w:val="21"/>
          <w:highlight w:val="none"/>
        </w:rPr>
        <w:t>应低于350mg/m³；</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b)烟气在吸附塔内的停留时间应不小于7</w:t>
      </w:r>
      <w:r>
        <w:rPr>
          <w:rFonts w:hint="eastAsia" w:ascii="Times New Roman" w:cs="Times New Roman"/>
          <w:color w:val="000000"/>
          <w:szCs w:val="21"/>
          <w:highlight w:val="none"/>
          <w:lang w:val="en-US" w:eastAsia="zh-CN"/>
        </w:rPr>
        <w:t>.5</w:t>
      </w:r>
      <w:r>
        <w:rPr>
          <w:rFonts w:hint="default" w:ascii="Times New Roman" w:hAnsi="Times New Roman" w:cs="Times New Roman"/>
          <w:color w:val="000000"/>
          <w:szCs w:val="21"/>
          <w:highlight w:val="none"/>
        </w:rPr>
        <w:t>s；</w:t>
      </w:r>
    </w:p>
    <w:p>
      <w:pPr>
        <w:pStyle w:val="2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c)氨逃逸浓度</w:t>
      </w:r>
      <w:r>
        <w:rPr>
          <w:rFonts w:hint="default" w:ascii="Times New Roman" w:hAnsi="Times New Roman" w:cs="Times New Roman"/>
          <w:highlight w:val="none"/>
        </w:rPr>
        <w:t>≤</w:t>
      </w:r>
      <w:r>
        <w:rPr>
          <w:rFonts w:hint="default" w:ascii="Times New Roman" w:hAnsi="Times New Roman" w:cs="Times New Roman"/>
          <w:color w:val="000000"/>
          <w:szCs w:val="21"/>
          <w:highlight w:val="none"/>
        </w:rPr>
        <w:t>2.5mg/m</w:t>
      </w:r>
      <w:r>
        <w:rPr>
          <w:rFonts w:hint="eastAsia" w:ascii="Times New Roman" w:cs="Times New Roman"/>
          <w:color w:val="000000"/>
          <w:szCs w:val="21"/>
          <w:highlight w:val="none"/>
          <w:vertAlign w:val="superscript"/>
          <w:lang w:val="en-US" w:eastAsia="zh-CN"/>
        </w:rPr>
        <w:t>3</w:t>
      </w:r>
      <w:r>
        <w:rPr>
          <w:rFonts w:hint="default" w:ascii="Times New Roman" w:hAnsi="Times New Roman" w:cs="Times New Roman"/>
          <w:color w:val="000000"/>
          <w:szCs w:val="21"/>
          <w:highlight w:val="none"/>
        </w:rPr>
        <w:t>；</w:t>
      </w:r>
    </w:p>
    <w:p>
      <w:pPr>
        <w:pStyle w:val="54"/>
        <w:ind w:left="0"/>
        <w:rPr>
          <w:rFonts w:ascii="宋体" w:hAnsi="宋体" w:eastAsia="宋体"/>
        </w:rPr>
      </w:pPr>
      <w:r>
        <w:rPr>
          <w:rFonts w:ascii="宋体" w:hAnsi="宋体" w:eastAsia="宋体"/>
        </w:rPr>
        <w:t>脱硫脱硝设施超低排放指标要求</w:t>
      </w:r>
    </w:p>
    <w:p>
      <w:pPr>
        <w:pStyle w:val="22"/>
        <w:rPr>
          <w:rFonts w:ascii="Times New Roman"/>
        </w:rPr>
      </w:pPr>
      <w:r>
        <w:rPr>
          <w:rFonts w:ascii="Times New Roman"/>
        </w:rPr>
        <w:t>脱硫脱硝设施处理后烟气中二氧化硫及氮氧化物排放指标应符合表1规定。</w:t>
      </w:r>
    </w:p>
    <w:p>
      <w:pPr>
        <w:pStyle w:val="22"/>
        <w:spacing w:before="156" w:beforeLines="50" w:after="156" w:afterLines="50"/>
        <w:jc w:val="center"/>
        <w:rPr>
          <w:rFonts w:ascii="Times New Roman" w:eastAsia="黑体"/>
        </w:rPr>
      </w:pPr>
      <w:r>
        <w:rPr>
          <w:rFonts w:ascii="Times New Roman" w:eastAsia="黑体"/>
        </w:rPr>
        <w:t>表1  钢铁企业脱硫脱硝设施超低排放指标限值</w:t>
      </w:r>
    </w:p>
    <w:p>
      <w:pPr>
        <w:pStyle w:val="22"/>
        <w:jc w:val="right"/>
        <w:rPr>
          <w:rFonts w:ascii="Times New Roman"/>
        </w:rPr>
      </w:pPr>
      <w:r>
        <w:rPr>
          <w:rFonts w:ascii="Times New Roman"/>
        </w:rPr>
        <w:t>单位：毫克/立方米</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2835"/>
        <w:gridCol w:w="1984"/>
        <w:gridCol w:w="1560"/>
        <w:gridCol w:w="1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trPr>
        <w:tc>
          <w:tcPr>
            <w:tcW w:w="1526" w:type="dxa"/>
            <w:vMerge w:val="restart"/>
            <w:vAlign w:val="center"/>
          </w:tcPr>
          <w:p>
            <w:pPr>
              <w:pStyle w:val="116"/>
              <w:numPr>
                <w:ilvl w:val="0"/>
                <w:numId w:val="0"/>
              </w:numPr>
              <w:jc w:val="center"/>
              <w:rPr>
                <w:rFonts w:ascii="Times New Roman"/>
                <w:b/>
                <w:bCs/>
                <w:sz w:val="18"/>
                <w:szCs w:val="18"/>
              </w:rPr>
            </w:pPr>
            <w:r>
              <w:rPr>
                <w:rFonts w:ascii="Times New Roman"/>
                <w:b/>
                <w:bCs/>
                <w:sz w:val="18"/>
                <w:szCs w:val="18"/>
              </w:rPr>
              <w:t>生产工序</w:t>
            </w:r>
          </w:p>
        </w:tc>
        <w:tc>
          <w:tcPr>
            <w:tcW w:w="2835" w:type="dxa"/>
            <w:vMerge w:val="restart"/>
            <w:vAlign w:val="center"/>
          </w:tcPr>
          <w:p>
            <w:pPr>
              <w:pStyle w:val="116"/>
              <w:numPr>
                <w:ilvl w:val="0"/>
                <w:numId w:val="0"/>
              </w:numPr>
              <w:jc w:val="center"/>
              <w:rPr>
                <w:rFonts w:ascii="Times New Roman"/>
                <w:b/>
                <w:bCs/>
                <w:sz w:val="18"/>
                <w:szCs w:val="18"/>
              </w:rPr>
            </w:pPr>
            <w:r>
              <w:rPr>
                <w:rFonts w:ascii="Times New Roman"/>
                <w:b/>
                <w:bCs/>
                <w:sz w:val="18"/>
                <w:szCs w:val="18"/>
              </w:rPr>
              <w:t>生产设施</w:t>
            </w:r>
          </w:p>
        </w:tc>
        <w:tc>
          <w:tcPr>
            <w:tcW w:w="1984" w:type="dxa"/>
            <w:vMerge w:val="restart"/>
            <w:vAlign w:val="center"/>
          </w:tcPr>
          <w:p>
            <w:pPr>
              <w:pStyle w:val="116"/>
              <w:numPr>
                <w:ilvl w:val="0"/>
                <w:numId w:val="0"/>
              </w:numPr>
              <w:jc w:val="center"/>
              <w:rPr>
                <w:rFonts w:ascii="Times New Roman"/>
                <w:b/>
                <w:bCs/>
                <w:sz w:val="18"/>
                <w:szCs w:val="18"/>
              </w:rPr>
            </w:pPr>
            <w:r>
              <w:rPr>
                <w:rFonts w:ascii="Times New Roman"/>
                <w:b/>
                <w:bCs/>
                <w:sz w:val="18"/>
                <w:szCs w:val="18"/>
              </w:rPr>
              <w:t>基准含氧量（%）</w:t>
            </w:r>
          </w:p>
        </w:tc>
        <w:tc>
          <w:tcPr>
            <w:tcW w:w="3217" w:type="dxa"/>
            <w:gridSpan w:val="2"/>
            <w:vAlign w:val="center"/>
          </w:tcPr>
          <w:p>
            <w:pPr>
              <w:pStyle w:val="116"/>
              <w:numPr>
                <w:ilvl w:val="0"/>
                <w:numId w:val="0"/>
              </w:numPr>
              <w:jc w:val="center"/>
              <w:rPr>
                <w:rFonts w:ascii="Times New Roman"/>
                <w:b/>
                <w:bCs/>
                <w:sz w:val="18"/>
                <w:szCs w:val="18"/>
              </w:rPr>
            </w:pPr>
            <w:r>
              <w:rPr>
                <w:rFonts w:ascii="Times New Roman"/>
                <w:b/>
                <w:bCs/>
                <w:sz w:val="18"/>
                <w:szCs w:val="18"/>
              </w:rPr>
              <w:t>污染物项目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trPr>
        <w:tc>
          <w:tcPr>
            <w:tcW w:w="1526" w:type="dxa"/>
            <w:vMerge w:val="continue"/>
            <w:vAlign w:val="center"/>
          </w:tcPr>
          <w:p>
            <w:pPr>
              <w:pStyle w:val="116"/>
              <w:numPr>
                <w:ilvl w:val="0"/>
                <w:numId w:val="0"/>
              </w:numPr>
              <w:jc w:val="center"/>
              <w:rPr>
                <w:rFonts w:ascii="Times New Roman"/>
                <w:b/>
                <w:bCs/>
                <w:sz w:val="18"/>
                <w:szCs w:val="18"/>
              </w:rPr>
            </w:pPr>
          </w:p>
        </w:tc>
        <w:tc>
          <w:tcPr>
            <w:tcW w:w="2835" w:type="dxa"/>
            <w:vMerge w:val="continue"/>
            <w:vAlign w:val="center"/>
          </w:tcPr>
          <w:p>
            <w:pPr>
              <w:pStyle w:val="116"/>
              <w:numPr>
                <w:ilvl w:val="0"/>
                <w:numId w:val="0"/>
              </w:numPr>
              <w:jc w:val="center"/>
              <w:rPr>
                <w:rFonts w:ascii="Times New Roman"/>
                <w:b/>
                <w:bCs/>
                <w:sz w:val="18"/>
                <w:szCs w:val="18"/>
              </w:rPr>
            </w:pPr>
          </w:p>
        </w:tc>
        <w:tc>
          <w:tcPr>
            <w:tcW w:w="1984" w:type="dxa"/>
            <w:vMerge w:val="continue"/>
            <w:vAlign w:val="center"/>
          </w:tcPr>
          <w:p>
            <w:pPr>
              <w:pStyle w:val="116"/>
              <w:numPr>
                <w:ilvl w:val="0"/>
                <w:numId w:val="0"/>
              </w:numPr>
              <w:jc w:val="center"/>
              <w:rPr>
                <w:rFonts w:ascii="Times New Roman"/>
                <w:b/>
                <w:bCs/>
                <w:sz w:val="18"/>
                <w:szCs w:val="18"/>
              </w:rPr>
            </w:pPr>
          </w:p>
        </w:tc>
        <w:tc>
          <w:tcPr>
            <w:tcW w:w="1560" w:type="dxa"/>
            <w:vAlign w:val="center"/>
          </w:tcPr>
          <w:p>
            <w:pPr>
              <w:pStyle w:val="116"/>
              <w:numPr>
                <w:ilvl w:val="0"/>
                <w:numId w:val="0"/>
              </w:numPr>
              <w:jc w:val="center"/>
              <w:rPr>
                <w:rFonts w:ascii="Times New Roman"/>
                <w:b/>
                <w:bCs/>
                <w:sz w:val="18"/>
                <w:szCs w:val="18"/>
              </w:rPr>
            </w:pPr>
            <w:r>
              <w:rPr>
                <w:rFonts w:ascii="Times New Roman"/>
                <w:b/>
                <w:bCs/>
                <w:sz w:val="18"/>
                <w:szCs w:val="18"/>
              </w:rPr>
              <w:t>二氧化硫</w:t>
            </w:r>
          </w:p>
        </w:tc>
        <w:tc>
          <w:tcPr>
            <w:tcW w:w="1657" w:type="dxa"/>
            <w:vAlign w:val="center"/>
          </w:tcPr>
          <w:p>
            <w:pPr>
              <w:pStyle w:val="116"/>
              <w:numPr>
                <w:ilvl w:val="0"/>
                <w:numId w:val="0"/>
              </w:numPr>
              <w:jc w:val="center"/>
              <w:rPr>
                <w:rFonts w:ascii="Times New Roman"/>
                <w:b/>
                <w:bCs/>
                <w:sz w:val="18"/>
                <w:szCs w:val="18"/>
              </w:rPr>
            </w:pPr>
            <w:r>
              <w:rPr>
                <w:rFonts w:ascii="Times New Roman"/>
                <w:b/>
                <w:bCs/>
                <w:sz w:val="18"/>
                <w:szCs w:val="18"/>
              </w:rPr>
              <w:t>氮氧化物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526" w:type="dxa"/>
            <w:vMerge w:val="restart"/>
            <w:vAlign w:val="center"/>
          </w:tcPr>
          <w:p>
            <w:pPr>
              <w:pStyle w:val="116"/>
              <w:numPr>
                <w:ilvl w:val="0"/>
                <w:numId w:val="0"/>
              </w:numPr>
              <w:jc w:val="center"/>
              <w:rPr>
                <w:rFonts w:ascii="Times New Roman"/>
                <w:sz w:val="18"/>
                <w:szCs w:val="18"/>
              </w:rPr>
            </w:pPr>
            <w:r>
              <w:rPr>
                <w:rFonts w:ascii="Times New Roman"/>
                <w:sz w:val="18"/>
                <w:szCs w:val="18"/>
              </w:rPr>
              <w:t>烧结（球团）</w:t>
            </w:r>
          </w:p>
        </w:tc>
        <w:tc>
          <w:tcPr>
            <w:tcW w:w="2835" w:type="dxa"/>
            <w:vAlign w:val="center"/>
          </w:tcPr>
          <w:p>
            <w:pPr>
              <w:pStyle w:val="116"/>
              <w:numPr>
                <w:ilvl w:val="0"/>
                <w:numId w:val="0"/>
              </w:numPr>
              <w:jc w:val="center"/>
              <w:rPr>
                <w:rFonts w:ascii="Times New Roman"/>
                <w:sz w:val="18"/>
                <w:szCs w:val="18"/>
              </w:rPr>
            </w:pPr>
            <w:r>
              <w:rPr>
                <w:rFonts w:ascii="Times New Roman"/>
                <w:sz w:val="18"/>
                <w:szCs w:val="18"/>
              </w:rPr>
              <w:t>烧结机机头</w:t>
            </w:r>
          </w:p>
        </w:tc>
        <w:tc>
          <w:tcPr>
            <w:tcW w:w="1984" w:type="dxa"/>
            <w:vMerge w:val="restart"/>
            <w:vAlign w:val="center"/>
          </w:tcPr>
          <w:p>
            <w:pPr>
              <w:pStyle w:val="116"/>
              <w:numPr>
                <w:ilvl w:val="0"/>
                <w:numId w:val="0"/>
              </w:numPr>
              <w:jc w:val="center"/>
              <w:rPr>
                <w:rFonts w:ascii="Times New Roman"/>
                <w:sz w:val="18"/>
                <w:szCs w:val="18"/>
              </w:rPr>
            </w:pPr>
            <w:r>
              <w:rPr>
                <w:rFonts w:ascii="Times New Roman"/>
                <w:sz w:val="18"/>
                <w:szCs w:val="18"/>
              </w:rPr>
              <w:t>16</w:t>
            </w:r>
          </w:p>
        </w:tc>
        <w:tc>
          <w:tcPr>
            <w:tcW w:w="1560" w:type="dxa"/>
            <w:vMerge w:val="restart"/>
            <w:vAlign w:val="center"/>
          </w:tcPr>
          <w:p>
            <w:pPr>
              <w:pStyle w:val="116"/>
              <w:numPr>
                <w:ilvl w:val="0"/>
                <w:numId w:val="0"/>
              </w:numPr>
              <w:jc w:val="center"/>
              <w:rPr>
                <w:rFonts w:ascii="Times New Roman"/>
                <w:sz w:val="18"/>
                <w:szCs w:val="18"/>
              </w:rPr>
            </w:pPr>
            <w:r>
              <w:rPr>
                <w:rFonts w:ascii="Times New Roman"/>
                <w:sz w:val="18"/>
                <w:szCs w:val="18"/>
              </w:rPr>
              <w:t>35</w:t>
            </w:r>
          </w:p>
        </w:tc>
        <w:tc>
          <w:tcPr>
            <w:tcW w:w="1657" w:type="dxa"/>
            <w:vMerge w:val="restart"/>
            <w:vAlign w:val="center"/>
          </w:tcPr>
          <w:p>
            <w:pPr>
              <w:pStyle w:val="116"/>
              <w:numPr>
                <w:ilvl w:val="0"/>
                <w:numId w:val="0"/>
              </w:numPr>
              <w:jc w:val="center"/>
              <w:rPr>
                <w:rFonts w:ascii="Times New Roman"/>
                <w:sz w:val="18"/>
                <w:szCs w:val="18"/>
              </w:rPr>
            </w:pP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sz w:val="18"/>
                <w:szCs w:val="18"/>
              </w:rPr>
            </w:pPr>
            <w:r>
              <w:rPr>
                <w:rFonts w:ascii="Times New Roman"/>
                <w:sz w:val="18"/>
                <w:szCs w:val="18"/>
              </w:rPr>
              <w:t>球团竖炉</w:t>
            </w:r>
          </w:p>
        </w:tc>
        <w:tc>
          <w:tcPr>
            <w:tcW w:w="1984" w:type="dxa"/>
            <w:vMerge w:val="continue"/>
            <w:vAlign w:val="center"/>
          </w:tcPr>
          <w:p>
            <w:pPr>
              <w:pStyle w:val="116"/>
              <w:numPr>
                <w:ilvl w:val="0"/>
                <w:numId w:val="0"/>
              </w:numPr>
              <w:jc w:val="center"/>
              <w:rPr>
                <w:rFonts w:ascii="Times New Roman"/>
                <w:sz w:val="18"/>
                <w:szCs w:val="18"/>
              </w:rPr>
            </w:pPr>
          </w:p>
        </w:tc>
        <w:tc>
          <w:tcPr>
            <w:tcW w:w="1560" w:type="dxa"/>
            <w:vMerge w:val="continue"/>
            <w:vAlign w:val="center"/>
          </w:tcPr>
          <w:p>
            <w:pPr>
              <w:pStyle w:val="116"/>
              <w:numPr>
                <w:ilvl w:val="0"/>
                <w:numId w:val="0"/>
              </w:numPr>
              <w:jc w:val="center"/>
              <w:rPr>
                <w:rFonts w:ascii="Times New Roman"/>
                <w:sz w:val="18"/>
                <w:szCs w:val="18"/>
              </w:rPr>
            </w:pPr>
          </w:p>
        </w:tc>
        <w:tc>
          <w:tcPr>
            <w:tcW w:w="165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sz w:val="18"/>
                <w:szCs w:val="18"/>
              </w:rPr>
              <w:t>链篦机回转窑</w:t>
            </w:r>
          </w:p>
        </w:tc>
        <w:tc>
          <w:tcPr>
            <w:tcW w:w="1984" w:type="dxa"/>
            <w:vMerge w:val="restart"/>
            <w:vAlign w:val="center"/>
          </w:tcPr>
          <w:p>
            <w:pPr>
              <w:pStyle w:val="116"/>
              <w:numPr>
                <w:ilvl w:val="0"/>
                <w:numId w:val="0"/>
              </w:numPr>
              <w:jc w:val="center"/>
              <w:rPr>
                <w:rFonts w:ascii="Times New Roman"/>
                <w:sz w:val="18"/>
                <w:szCs w:val="18"/>
              </w:rPr>
            </w:pPr>
            <w:r>
              <w:rPr>
                <w:rFonts w:ascii="Times New Roman"/>
                <w:sz w:val="18"/>
                <w:szCs w:val="18"/>
              </w:rPr>
              <w:t>18</w:t>
            </w:r>
          </w:p>
        </w:tc>
        <w:tc>
          <w:tcPr>
            <w:tcW w:w="1560" w:type="dxa"/>
            <w:vMerge w:val="continue"/>
            <w:vAlign w:val="center"/>
          </w:tcPr>
          <w:p>
            <w:pPr>
              <w:pStyle w:val="116"/>
              <w:numPr>
                <w:ilvl w:val="0"/>
                <w:numId w:val="0"/>
              </w:numPr>
              <w:jc w:val="center"/>
              <w:rPr>
                <w:rFonts w:ascii="Times New Roman"/>
                <w:sz w:val="18"/>
                <w:szCs w:val="18"/>
              </w:rPr>
            </w:pPr>
          </w:p>
        </w:tc>
        <w:tc>
          <w:tcPr>
            <w:tcW w:w="165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sz w:val="18"/>
                <w:szCs w:val="18"/>
              </w:rPr>
              <w:t>带式球团焙烧机</w:t>
            </w:r>
          </w:p>
        </w:tc>
        <w:tc>
          <w:tcPr>
            <w:tcW w:w="1984" w:type="dxa"/>
            <w:vMerge w:val="continue"/>
            <w:vAlign w:val="center"/>
          </w:tcPr>
          <w:p>
            <w:pPr>
              <w:pStyle w:val="116"/>
              <w:numPr>
                <w:ilvl w:val="0"/>
                <w:numId w:val="0"/>
              </w:numPr>
              <w:jc w:val="center"/>
              <w:rPr>
                <w:rFonts w:ascii="Times New Roman"/>
                <w:sz w:val="18"/>
                <w:szCs w:val="18"/>
              </w:rPr>
            </w:pPr>
          </w:p>
        </w:tc>
        <w:tc>
          <w:tcPr>
            <w:tcW w:w="1560" w:type="dxa"/>
            <w:vMerge w:val="continue"/>
            <w:vAlign w:val="center"/>
          </w:tcPr>
          <w:p>
            <w:pPr>
              <w:pStyle w:val="116"/>
              <w:numPr>
                <w:ilvl w:val="0"/>
                <w:numId w:val="0"/>
              </w:numPr>
              <w:jc w:val="center"/>
              <w:rPr>
                <w:rFonts w:ascii="Times New Roman"/>
                <w:sz w:val="18"/>
                <w:szCs w:val="18"/>
              </w:rPr>
            </w:pPr>
          </w:p>
        </w:tc>
        <w:tc>
          <w:tcPr>
            <w:tcW w:w="165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 w:hRule="atLeast"/>
        </w:trPr>
        <w:tc>
          <w:tcPr>
            <w:tcW w:w="1526" w:type="dxa"/>
            <w:vMerge w:val="restart"/>
            <w:vAlign w:val="center"/>
          </w:tcPr>
          <w:p>
            <w:pPr>
              <w:pStyle w:val="116"/>
              <w:numPr>
                <w:ilvl w:val="0"/>
                <w:numId w:val="0"/>
              </w:numPr>
              <w:jc w:val="center"/>
              <w:rPr>
                <w:rFonts w:ascii="Times New Roman"/>
                <w:sz w:val="18"/>
                <w:szCs w:val="18"/>
              </w:rPr>
            </w:pPr>
            <w:r>
              <w:rPr>
                <w:rFonts w:ascii="Times New Roman"/>
                <w:sz w:val="18"/>
                <w:szCs w:val="18"/>
              </w:rPr>
              <w:t>炼焦</w:t>
            </w: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焦炉烟囱</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8</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30</w:t>
            </w:r>
          </w:p>
        </w:tc>
        <w:tc>
          <w:tcPr>
            <w:tcW w:w="1657" w:type="dxa"/>
            <w:vAlign w:val="center"/>
          </w:tcPr>
          <w:p>
            <w:pPr>
              <w:pStyle w:val="116"/>
              <w:numPr>
                <w:ilvl w:val="0"/>
                <w:numId w:val="0"/>
              </w:numPr>
              <w:jc w:val="center"/>
              <w:rPr>
                <w:rFonts w:ascii="Times New Roman"/>
                <w:sz w:val="18"/>
                <w:szCs w:val="18"/>
              </w:rPr>
            </w:pPr>
            <w:r>
              <w:rPr>
                <w:rFonts w:hint="eastAsia" w:ascii="Times New Roman"/>
                <w:sz w:val="18"/>
                <w:szCs w:val="18"/>
                <w:lang w:val="en-US" w:eastAsia="zh-CN"/>
              </w:rPr>
              <w:t>1</w:t>
            </w: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干法熄焦</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50</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Align w:val="center"/>
          </w:tcPr>
          <w:p>
            <w:pPr>
              <w:pStyle w:val="116"/>
              <w:numPr>
                <w:ilvl w:val="0"/>
                <w:numId w:val="0"/>
              </w:numPr>
              <w:jc w:val="center"/>
              <w:rPr>
                <w:rFonts w:ascii="Times New Roman"/>
                <w:sz w:val="18"/>
                <w:szCs w:val="18"/>
              </w:rPr>
            </w:pPr>
            <w:r>
              <w:rPr>
                <w:rFonts w:ascii="Times New Roman"/>
                <w:sz w:val="18"/>
                <w:szCs w:val="18"/>
              </w:rPr>
              <w:t>炼铁</w:t>
            </w: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热风炉</w:t>
            </w:r>
          </w:p>
        </w:tc>
        <w:tc>
          <w:tcPr>
            <w:tcW w:w="1984" w:type="dxa"/>
            <w:vAlign w:val="center"/>
          </w:tcPr>
          <w:p>
            <w:pPr>
              <w:pStyle w:val="116"/>
              <w:numPr>
                <w:ilvl w:val="0"/>
                <w:numId w:val="0"/>
              </w:numPr>
              <w:jc w:val="center"/>
              <w:rPr>
                <w:rFonts w:ascii="Times New Roman"/>
                <w:sz w:val="18"/>
                <w:szCs w:val="18"/>
              </w:rPr>
            </w:pP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50</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Align w:val="center"/>
          </w:tcPr>
          <w:p>
            <w:pPr>
              <w:pStyle w:val="116"/>
              <w:numPr>
                <w:ilvl w:val="0"/>
                <w:numId w:val="0"/>
              </w:numPr>
              <w:jc w:val="center"/>
              <w:rPr>
                <w:rFonts w:ascii="Times New Roman"/>
                <w:sz w:val="18"/>
                <w:szCs w:val="18"/>
              </w:rPr>
            </w:pPr>
            <w:r>
              <w:rPr>
                <w:rFonts w:ascii="Times New Roman"/>
                <w:sz w:val="18"/>
                <w:szCs w:val="18"/>
              </w:rPr>
              <w:t>轧钢</w:t>
            </w: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热处理炉</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8</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50</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restart"/>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燃气锅炉</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3</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35</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燃煤锅炉</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6</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35</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燃气轮机组</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15</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35</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526" w:type="dxa"/>
            <w:vMerge w:val="continue"/>
            <w:vAlign w:val="center"/>
          </w:tcPr>
          <w:p>
            <w:pPr>
              <w:pStyle w:val="116"/>
              <w:numPr>
                <w:ilvl w:val="0"/>
                <w:numId w:val="0"/>
              </w:numPr>
              <w:jc w:val="center"/>
              <w:rPr>
                <w:rFonts w:ascii="Times New Roman"/>
                <w:sz w:val="18"/>
                <w:szCs w:val="18"/>
              </w:rPr>
            </w:pPr>
          </w:p>
        </w:tc>
        <w:tc>
          <w:tcPr>
            <w:tcW w:w="283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燃油锅炉</w:t>
            </w:r>
          </w:p>
        </w:tc>
        <w:tc>
          <w:tcPr>
            <w:tcW w:w="1984" w:type="dxa"/>
            <w:vAlign w:val="center"/>
          </w:tcPr>
          <w:p>
            <w:pPr>
              <w:pStyle w:val="116"/>
              <w:numPr>
                <w:ilvl w:val="0"/>
                <w:numId w:val="0"/>
              </w:numPr>
              <w:jc w:val="center"/>
              <w:rPr>
                <w:rFonts w:ascii="Times New Roman"/>
                <w:sz w:val="18"/>
                <w:szCs w:val="18"/>
              </w:rPr>
            </w:pPr>
            <w:r>
              <w:rPr>
                <w:rFonts w:ascii="Times New Roman"/>
                <w:sz w:val="18"/>
                <w:szCs w:val="18"/>
              </w:rPr>
              <w:t>3</w:t>
            </w:r>
          </w:p>
        </w:tc>
        <w:tc>
          <w:tcPr>
            <w:tcW w:w="1560" w:type="dxa"/>
            <w:vAlign w:val="center"/>
          </w:tcPr>
          <w:p>
            <w:pPr>
              <w:pStyle w:val="116"/>
              <w:numPr>
                <w:ilvl w:val="0"/>
                <w:numId w:val="0"/>
              </w:numPr>
              <w:jc w:val="center"/>
              <w:rPr>
                <w:rFonts w:ascii="Times New Roman"/>
                <w:sz w:val="18"/>
                <w:szCs w:val="18"/>
              </w:rPr>
            </w:pPr>
            <w:r>
              <w:rPr>
                <w:rFonts w:ascii="Times New Roman"/>
                <w:sz w:val="18"/>
                <w:szCs w:val="18"/>
              </w:rPr>
              <w:t>35</w:t>
            </w:r>
          </w:p>
        </w:tc>
        <w:tc>
          <w:tcPr>
            <w:tcW w:w="1657" w:type="dxa"/>
            <w:vAlign w:val="center"/>
          </w:tcPr>
          <w:p>
            <w:pPr>
              <w:pStyle w:val="116"/>
              <w:numPr>
                <w:ilvl w:val="0"/>
                <w:numId w:val="0"/>
              </w:numPr>
              <w:jc w:val="center"/>
              <w:rPr>
                <w:rFonts w:ascii="Times New Roman"/>
                <w:sz w:val="18"/>
                <w:szCs w:val="18"/>
              </w:rPr>
            </w:pPr>
            <w:r>
              <w:rPr>
                <w:rFonts w:ascii="Times New Roman"/>
                <w:sz w:val="18"/>
                <w:szCs w:val="18"/>
              </w:rPr>
              <w:t>50</w:t>
            </w:r>
          </w:p>
        </w:tc>
      </w:tr>
    </w:tbl>
    <w:p>
      <w:pPr>
        <w:pStyle w:val="54"/>
        <w:ind w:left="0"/>
        <w:rPr>
          <w:rFonts w:ascii="宋体" w:hAnsi="宋体" w:eastAsia="宋体"/>
        </w:rPr>
      </w:pPr>
      <w:r>
        <w:rPr>
          <w:rFonts w:ascii="宋体" w:hAnsi="宋体" w:eastAsia="宋体"/>
        </w:rPr>
        <w:t>现有脱硫、脱硝设施超低排放运行能耗限定值</w:t>
      </w:r>
    </w:p>
    <w:p>
      <w:pPr>
        <w:pStyle w:val="22"/>
        <w:rPr>
          <w:rFonts w:ascii="Times New Roman"/>
        </w:rPr>
      </w:pPr>
      <w:bookmarkStart w:id="22" w:name="_Hlk134622561"/>
      <w:r>
        <w:rPr>
          <w:rFonts w:ascii="Times New Roman"/>
        </w:rPr>
        <w:t>钢铁企业现有脱硫设施能耗限定值应符合表2规定</w:t>
      </w:r>
      <w:bookmarkEnd w:id="22"/>
      <w:r>
        <w:rPr>
          <w:rFonts w:ascii="Times New Roman"/>
        </w:rPr>
        <w:t>，钢铁企业现有脱硝设施能耗限定值应符合表3规定。</w:t>
      </w:r>
    </w:p>
    <w:p>
      <w:pPr>
        <w:pStyle w:val="22"/>
        <w:spacing w:before="156" w:beforeLines="50" w:after="156" w:afterLines="50"/>
        <w:jc w:val="center"/>
        <w:rPr>
          <w:rFonts w:ascii="Times New Roman" w:eastAsia="黑体"/>
        </w:rPr>
      </w:pPr>
      <w:r>
        <w:rPr>
          <w:rFonts w:ascii="Times New Roman" w:eastAsia="黑体"/>
        </w:rPr>
        <w:t>表2  钢铁企业脱硫设施超低排放运行能耗限定值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744"/>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rFonts w:ascii="Times New Roman"/>
                <w:b/>
                <w:bCs/>
                <w:sz w:val="18"/>
                <w:szCs w:val="18"/>
              </w:rPr>
            </w:pPr>
            <w:r>
              <w:rPr>
                <w:rFonts w:ascii="Times New Roman"/>
                <w:b/>
                <w:bCs/>
                <w:sz w:val="18"/>
                <w:szCs w:val="18"/>
              </w:rPr>
              <w:t>脱硫设施类型</w:t>
            </w:r>
          </w:p>
        </w:tc>
        <w:tc>
          <w:tcPr>
            <w:tcW w:w="4744" w:type="dxa"/>
            <w:vAlign w:val="center"/>
          </w:tcPr>
          <w:p>
            <w:pPr>
              <w:pStyle w:val="116"/>
              <w:numPr>
                <w:ilvl w:val="0"/>
                <w:numId w:val="0"/>
              </w:numPr>
              <w:jc w:val="center"/>
              <w:rPr>
                <w:rFonts w:ascii="Times New Roman"/>
                <w:b/>
                <w:bCs/>
                <w:sz w:val="18"/>
                <w:szCs w:val="18"/>
              </w:rPr>
            </w:pPr>
            <w:r>
              <w:rPr>
                <w:rFonts w:ascii="Times New Roman"/>
                <w:b/>
                <w:bCs/>
                <w:sz w:val="18"/>
                <w:szCs w:val="18"/>
              </w:rPr>
              <w:t>生产设施</w:t>
            </w:r>
          </w:p>
        </w:tc>
        <w:tc>
          <w:tcPr>
            <w:tcW w:w="2226"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rFonts w:ascii="Times New Roman"/>
                <w:b/>
                <w:bCs/>
                <w:sz w:val="18"/>
                <w:szCs w:val="18"/>
              </w:rPr>
            </w:pPr>
            <w:r>
              <w:rPr>
                <w:rFonts w:ascii="Times New Roman"/>
                <w:b/>
                <w:bCs/>
                <w:sz w:val="18"/>
                <w:szCs w:val="18"/>
              </w:rPr>
              <w:t>kgce/tSO</w:t>
            </w:r>
            <w:r>
              <w:rPr>
                <w:rFonts w:ascii="Times New Roman"/>
                <w:b/>
                <w:bCs/>
                <w:sz w:val="18"/>
                <w:szCs w:val="18"/>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石灰石-石膏法脱硫设施</w:t>
            </w: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烧结机机头、球团竖炉、链篦机回转窑、带式球团焙烧机</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焦炉烟囱</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干法熄焦、热风炉、热处理炉</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循环流化床法脱硫设施</w:t>
            </w: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烧结机机头、球团竖炉、链篦机回转窑、带式球团焙烧机</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焦炉烟囱</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干法熄焦、热风炉、热处理炉</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旋转喷雾干燥法脱硫设施</w:t>
            </w: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烧结机机头、球团竖炉、链篦机回转窑、带式球团焙烧机</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焦炉烟囱</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干法熄焦、热风炉、热处理炉</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密相干塔法脱硫设施</w:t>
            </w: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烧结机机头、球团竖炉、链篦机回转窑、带式球团焙烧机</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焦炉烟囱</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干法熄焦、热风炉、热处理炉</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SDS法脱硫设施</w:t>
            </w: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焦炉烟囱</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干法熄焦、热风炉、热处理炉</w:t>
            </w:r>
          </w:p>
        </w:tc>
        <w:tc>
          <w:tcPr>
            <w:tcW w:w="2226"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2226" w:type="dxa"/>
            <w:vAlign w:val="center"/>
          </w:tcPr>
          <w:p>
            <w:pPr>
              <w:pStyle w:val="116"/>
              <w:numPr>
                <w:ilvl w:val="0"/>
                <w:numId w:val="0"/>
              </w:numPr>
              <w:jc w:val="center"/>
              <w:rPr>
                <w:rFonts w:ascii="Times New Roman"/>
                <w:sz w:val="18"/>
                <w:szCs w:val="18"/>
              </w:rPr>
            </w:pPr>
          </w:p>
        </w:tc>
      </w:tr>
    </w:tbl>
    <w:p>
      <w:pPr>
        <w:pStyle w:val="22"/>
        <w:spacing w:before="156" w:beforeLines="50" w:after="156" w:afterLines="50"/>
        <w:jc w:val="center"/>
        <w:rPr>
          <w:rFonts w:ascii="Times New Roman" w:eastAsia="黑体"/>
        </w:rPr>
      </w:pPr>
      <w:r>
        <w:rPr>
          <w:rFonts w:ascii="Times New Roman" w:eastAsia="黑体"/>
        </w:rPr>
        <w:t>表3  钢铁企业脱硝设施超低排放运行能耗限定值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744"/>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rFonts w:ascii="Times New Roman"/>
                <w:b/>
                <w:bCs/>
                <w:sz w:val="18"/>
                <w:szCs w:val="18"/>
              </w:rPr>
            </w:pPr>
            <w:r>
              <w:rPr>
                <w:rFonts w:ascii="Times New Roman"/>
                <w:b/>
                <w:bCs/>
                <w:sz w:val="18"/>
                <w:szCs w:val="18"/>
              </w:rPr>
              <w:t>脱硫设施类型</w:t>
            </w:r>
          </w:p>
        </w:tc>
        <w:tc>
          <w:tcPr>
            <w:tcW w:w="4744" w:type="dxa"/>
            <w:vAlign w:val="center"/>
          </w:tcPr>
          <w:p>
            <w:pPr>
              <w:pStyle w:val="116"/>
              <w:numPr>
                <w:ilvl w:val="0"/>
                <w:numId w:val="0"/>
              </w:numPr>
              <w:jc w:val="center"/>
              <w:rPr>
                <w:rFonts w:ascii="Times New Roman"/>
                <w:b/>
                <w:bCs/>
                <w:sz w:val="18"/>
                <w:szCs w:val="18"/>
              </w:rPr>
            </w:pPr>
            <w:r>
              <w:rPr>
                <w:rFonts w:ascii="Times New Roman"/>
                <w:b/>
                <w:bCs/>
                <w:sz w:val="18"/>
                <w:szCs w:val="18"/>
              </w:rPr>
              <w:t>生产设施</w:t>
            </w:r>
          </w:p>
        </w:tc>
        <w:tc>
          <w:tcPr>
            <w:tcW w:w="2226"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rFonts w:ascii="Times New Roman"/>
                <w:b/>
                <w:bCs/>
                <w:sz w:val="18"/>
                <w:szCs w:val="18"/>
              </w:rPr>
            </w:pPr>
            <w:r>
              <w:rPr>
                <w:rFonts w:ascii="Times New Roman"/>
                <w:b/>
                <w:bCs/>
                <w:sz w:val="18"/>
                <w:szCs w:val="18"/>
              </w:rPr>
              <w:t>kgce/tNOx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SCR脱硝</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活性焦/炭脱硝</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bl>
    <w:p>
      <w:pPr>
        <w:pStyle w:val="54"/>
        <w:ind w:left="0"/>
        <w:rPr>
          <w:rFonts w:ascii="宋体" w:hAnsi="宋体" w:eastAsia="宋体"/>
        </w:rPr>
      </w:pPr>
      <w:r>
        <w:rPr>
          <w:rFonts w:hint="eastAsia" w:ascii="宋体" w:hAnsi="宋体" w:eastAsia="宋体"/>
        </w:rPr>
        <w:t>新建和改扩建脱硫、脱硝设施超低排放运行能耗准入值</w:t>
      </w:r>
    </w:p>
    <w:p>
      <w:pPr>
        <w:pStyle w:val="22"/>
        <w:rPr>
          <w:rFonts w:ascii="Times New Roman"/>
        </w:rPr>
      </w:pPr>
      <w:r>
        <w:rPr>
          <w:rFonts w:ascii="Times New Roman"/>
        </w:rPr>
        <w:t>钢铁企业</w:t>
      </w:r>
      <w:r>
        <w:rPr>
          <w:rFonts w:hint="eastAsia" w:ascii="Times New Roman"/>
        </w:rPr>
        <w:t>新建和改扩建</w:t>
      </w:r>
      <w:r>
        <w:rPr>
          <w:rFonts w:ascii="Times New Roman"/>
        </w:rPr>
        <w:t>脱硫设施</w:t>
      </w:r>
      <w:r>
        <w:rPr>
          <w:rFonts w:hint="eastAsia" w:ascii="Times New Roman"/>
        </w:rPr>
        <w:t>能耗准入值</w:t>
      </w:r>
      <w:r>
        <w:rPr>
          <w:rFonts w:ascii="Times New Roman"/>
        </w:rPr>
        <w:t>应符合表4规定，钢铁企业</w:t>
      </w:r>
      <w:r>
        <w:rPr>
          <w:rFonts w:hint="eastAsia" w:ascii="Times New Roman"/>
        </w:rPr>
        <w:t>新建和改扩建</w:t>
      </w:r>
      <w:r>
        <w:rPr>
          <w:rFonts w:ascii="Times New Roman"/>
        </w:rPr>
        <w:t>脱</w:t>
      </w:r>
      <w:r>
        <w:rPr>
          <w:rFonts w:hint="eastAsia" w:ascii="Times New Roman"/>
        </w:rPr>
        <w:t>硝</w:t>
      </w:r>
      <w:r>
        <w:rPr>
          <w:rFonts w:ascii="Times New Roman"/>
        </w:rPr>
        <w:t>设施能耗</w:t>
      </w:r>
      <w:r>
        <w:rPr>
          <w:rFonts w:hint="eastAsia" w:ascii="Times New Roman"/>
        </w:rPr>
        <w:t>准入</w:t>
      </w:r>
      <w:r>
        <w:rPr>
          <w:rFonts w:ascii="Times New Roman"/>
        </w:rPr>
        <w:t>值应符合表5规定。</w:t>
      </w:r>
    </w:p>
    <w:p>
      <w:pPr>
        <w:pStyle w:val="22"/>
        <w:spacing w:before="156" w:beforeLines="50" w:after="156" w:afterLines="50"/>
        <w:jc w:val="center"/>
        <w:rPr>
          <w:rFonts w:ascii="Times New Roman" w:eastAsia="黑体"/>
        </w:rPr>
      </w:pPr>
      <w:r>
        <w:rPr>
          <w:rFonts w:ascii="Times New Roman" w:eastAsia="黑体"/>
        </w:rPr>
        <w:t xml:space="preserve">表4  </w:t>
      </w:r>
      <w:r>
        <w:rPr>
          <w:rFonts w:hint="eastAsia" w:ascii="Times New Roman" w:eastAsia="黑体"/>
        </w:rPr>
        <w:t>钢铁企业</w:t>
      </w:r>
      <w:r>
        <w:rPr>
          <w:rFonts w:ascii="Times New Roman" w:eastAsia="黑体"/>
        </w:rPr>
        <w:t>脱硫设施超低排放运行能</w:t>
      </w:r>
      <w:r>
        <w:rPr>
          <w:rFonts w:hint="eastAsia" w:ascii="Times New Roman" w:eastAsia="黑体"/>
        </w:rPr>
        <w:t>耗准入值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744"/>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b/>
                <w:bCs/>
                <w:sz w:val="18"/>
                <w:szCs w:val="18"/>
              </w:rPr>
            </w:pPr>
            <w:r>
              <w:rPr>
                <w:rFonts w:hint="eastAsia"/>
                <w:b/>
                <w:bCs/>
                <w:sz w:val="18"/>
                <w:szCs w:val="18"/>
              </w:rPr>
              <w:t>脱硫设施类型</w:t>
            </w:r>
          </w:p>
        </w:tc>
        <w:tc>
          <w:tcPr>
            <w:tcW w:w="4744" w:type="dxa"/>
            <w:vAlign w:val="center"/>
          </w:tcPr>
          <w:p>
            <w:pPr>
              <w:pStyle w:val="116"/>
              <w:numPr>
                <w:ilvl w:val="0"/>
                <w:numId w:val="0"/>
              </w:numPr>
              <w:jc w:val="center"/>
              <w:rPr>
                <w:b/>
                <w:bCs/>
                <w:sz w:val="18"/>
                <w:szCs w:val="18"/>
              </w:rPr>
            </w:pPr>
            <w:r>
              <w:rPr>
                <w:rFonts w:hint="eastAsia"/>
                <w:b/>
                <w:bCs/>
                <w:sz w:val="18"/>
                <w:szCs w:val="18"/>
              </w:rPr>
              <w:t>生产设施</w:t>
            </w:r>
          </w:p>
        </w:tc>
        <w:tc>
          <w:tcPr>
            <w:tcW w:w="2226"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b/>
                <w:bCs/>
                <w:sz w:val="18"/>
                <w:szCs w:val="18"/>
              </w:rPr>
            </w:pPr>
            <w:r>
              <w:rPr>
                <w:rFonts w:ascii="Times New Roman"/>
                <w:b/>
                <w:bCs/>
                <w:sz w:val="18"/>
                <w:szCs w:val="18"/>
              </w:rPr>
              <w:t>kgce/tSO</w:t>
            </w:r>
            <w:r>
              <w:rPr>
                <w:rFonts w:ascii="Times New Roman"/>
                <w:b/>
                <w:bCs/>
                <w:sz w:val="18"/>
                <w:szCs w:val="18"/>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sz w:val="18"/>
                <w:szCs w:val="18"/>
              </w:rPr>
            </w:pPr>
            <w:r>
              <w:rPr>
                <w:rFonts w:hint="eastAsia"/>
                <w:sz w:val="18"/>
                <w:szCs w:val="18"/>
              </w:rPr>
              <w:t>石灰石-石膏法脱硫设施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循环流化床法脱硫设施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旋转喷雾干燥法脱硫设施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密相干塔法脱硫设施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SDS法脱硫设施</w:t>
            </w: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bl>
    <w:p>
      <w:pPr>
        <w:pStyle w:val="22"/>
        <w:spacing w:before="156" w:beforeLines="50" w:after="156" w:afterLines="50"/>
        <w:jc w:val="center"/>
        <w:rPr>
          <w:rFonts w:ascii="Times New Roman" w:eastAsia="黑体"/>
        </w:rPr>
      </w:pPr>
      <w:r>
        <w:rPr>
          <w:rFonts w:ascii="Times New Roman" w:eastAsia="黑体"/>
        </w:rPr>
        <w:t xml:space="preserve">表5  </w:t>
      </w:r>
      <w:r>
        <w:rPr>
          <w:rFonts w:hint="eastAsia" w:ascii="Times New Roman" w:eastAsia="黑体"/>
        </w:rPr>
        <w:t>钢铁企业</w:t>
      </w:r>
      <w:r>
        <w:rPr>
          <w:rFonts w:ascii="Times New Roman" w:eastAsia="黑体"/>
        </w:rPr>
        <w:t>脱</w:t>
      </w:r>
      <w:r>
        <w:rPr>
          <w:rFonts w:hint="eastAsia" w:ascii="Times New Roman" w:eastAsia="黑体"/>
        </w:rPr>
        <w:t>硝</w:t>
      </w:r>
      <w:r>
        <w:rPr>
          <w:rFonts w:ascii="Times New Roman" w:eastAsia="黑体"/>
        </w:rPr>
        <w:t>设施超低排放运行能</w:t>
      </w:r>
      <w:r>
        <w:rPr>
          <w:rFonts w:hint="eastAsia" w:ascii="Times New Roman" w:eastAsia="黑体"/>
        </w:rPr>
        <w:t>耗准入值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744"/>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b/>
                <w:bCs/>
                <w:sz w:val="18"/>
                <w:szCs w:val="18"/>
              </w:rPr>
            </w:pPr>
            <w:r>
              <w:rPr>
                <w:rFonts w:hint="eastAsia"/>
                <w:b/>
                <w:bCs/>
                <w:sz w:val="18"/>
                <w:szCs w:val="18"/>
              </w:rPr>
              <w:t>脱硫设施类型</w:t>
            </w:r>
          </w:p>
        </w:tc>
        <w:tc>
          <w:tcPr>
            <w:tcW w:w="4744" w:type="dxa"/>
            <w:vAlign w:val="center"/>
          </w:tcPr>
          <w:p>
            <w:pPr>
              <w:pStyle w:val="116"/>
              <w:numPr>
                <w:ilvl w:val="0"/>
                <w:numId w:val="0"/>
              </w:numPr>
              <w:jc w:val="center"/>
              <w:rPr>
                <w:b/>
                <w:bCs/>
                <w:sz w:val="18"/>
                <w:szCs w:val="18"/>
              </w:rPr>
            </w:pPr>
            <w:r>
              <w:rPr>
                <w:rFonts w:hint="eastAsia"/>
                <w:b/>
                <w:bCs/>
                <w:sz w:val="18"/>
                <w:szCs w:val="18"/>
              </w:rPr>
              <w:t>生产设施</w:t>
            </w:r>
          </w:p>
        </w:tc>
        <w:tc>
          <w:tcPr>
            <w:tcW w:w="2226"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运行能耗</w:t>
            </w:r>
          </w:p>
          <w:p>
            <w:pPr>
              <w:pStyle w:val="116"/>
              <w:numPr>
                <w:ilvl w:val="0"/>
                <w:numId w:val="0"/>
              </w:numPr>
              <w:jc w:val="center"/>
              <w:rPr>
                <w:b/>
                <w:bCs/>
                <w:sz w:val="18"/>
                <w:szCs w:val="18"/>
              </w:rPr>
            </w:pPr>
            <w:r>
              <w:rPr>
                <w:rFonts w:hint="eastAsia" w:ascii="Times New Roman"/>
                <w:b/>
                <w:bCs/>
                <w:sz w:val="18"/>
                <w:szCs w:val="18"/>
              </w:rPr>
              <w:t>kgce/t</w:t>
            </w:r>
            <w:r>
              <w:rPr>
                <w:rFonts w:ascii="Times New Roman"/>
                <w:b/>
                <w:bCs/>
                <w:sz w:val="18"/>
                <w:szCs w:val="18"/>
              </w:rPr>
              <w:t>NO</w:t>
            </w:r>
            <w:r>
              <w:rPr>
                <w:rFonts w:hint="eastAsia" w:ascii="Times New Roman"/>
                <w:b/>
                <w:bCs/>
                <w:sz w:val="18"/>
                <w:szCs w:val="18"/>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SCR脱硝</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活性焦/炭脱硝</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bl>
    <w:p>
      <w:pPr>
        <w:pStyle w:val="54"/>
        <w:ind w:left="0"/>
        <w:rPr>
          <w:rFonts w:ascii="宋体" w:hAnsi="宋体" w:eastAsia="宋体"/>
        </w:rPr>
      </w:pPr>
      <w:r>
        <w:rPr>
          <w:rFonts w:hint="eastAsia" w:ascii="宋体" w:hAnsi="宋体" w:eastAsia="宋体"/>
        </w:rPr>
        <w:t>脱硫、脱硝设施超低排放运行能耗先进值</w:t>
      </w:r>
    </w:p>
    <w:p>
      <w:pPr>
        <w:pStyle w:val="22"/>
        <w:rPr>
          <w:rFonts w:ascii="Times New Roman"/>
        </w:rPr>
      </w:pPr>
      <w:r>
        <w:rPr>
          <w:rFonts w:ascii="Times New Roman"/>
        </w:rPr>
        <w:t>钢铁企业脱硫设施</w:t>
      </w:r>
      <w:r>
        <w:rPr>
          <w:rFonts w:hint="eastAsia" w:ascii="Times New Roman"/>
        </w:rPr>
        <w:t>能耗先进值</w:t>
      </w:r>
      <w:r>
        <w:rPr>
          <w:rFonts w:ascii="Times New Roman"/>
        </w:rPr>
        <w:t>应符合表6规定，钢铁企业脱</w:t>
      </w:r>
      <w:r>
        <w:rPr>
          <w:rFonts w:hint="eastAsia" w:ascii="Times New Roman"/>
        </w:rPr>
        <w:t>硝</w:t>
      </w:r>
      <w:r>
        <w:rPr>
          <w:rFonts w:ascii="Times New Roman"/>
        </w:rPr>
        <w:t>设施</w:t>
      </w:r>
      <w:r>
        <w:rPr>
          <w:rFonts w:hint="eastAsia" w:ascii="Times New Roman"/>
        </w:rPr>
        <w:t>能耗先进值</w:t>
      </w:r>
      <w:r>
        <w:rPr>
          <w:rFonts w:ascii="Times New Roman"/>
        </w:rPr>
        <w:t>应符合表7规定。</w:t>
      </w:r>
    </w:p>
    <w:p>
      <w:pPr>
        <w:pStyle w:val="22"/>
        <w:spacing w:before="156" w:beforeLines="50" w:after="156" w:afterLines="50"/>
        <w:jc w:val="center"/>
        <w:rPr>
          <w:rFonts w:ascii="Times New Roman" w:eastAsia="黑体"/>
        </w:rPr>
      </w:pPr>
      <w:r>
        <w:rPr>
          <w:rFonts w:ascii="Times New Roman" w:eastAsia="黑体"/>
        </w:rPr>
        <w:t xml:space="preserve">表6  </w:t>
      </w:r>
      <w:r>
        <w:rPr>
          <w:rFonts w:hint="eastAsia" w:ascii="Times New Roman" w:eastAsia="黑体"/>
        </w:rPr>
        <w:t>钢铁企业</w:t>
      </w:r>
      <w:r>
        <w:rPr>
          <w:rFonts w:ascii="Times New Roman" w:eastAsia="黑体"/>
        </w:rPr>
        <w:t>脱硫设施超低排放运行能</w:t>
      </w:r>
      <w:r>
        <w:rPr>
          <w:rFonts w:hint="eastAsia" w:ascii="Times New Roman" w:eastAsia="黑体"/>
        </w:rPr>
        <w:t>耗先进值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744"/>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b/>
                <w:bCs/>
                <w:sz w:val="18"/>
                <w:szCs w:val="18"/>
              </w:rPr>
            </w:pPr>
            <w:r>
              <w:rPr>
                <w:rFonts w:hint="eastAsia"/>
                <w:b/>
                <w:bCs/>
                <w:sz w:val="18"/>
                <w:szCs w:val="18"/>
              </w:rPr>
              <w:t>脱硫设施类型</w:t>
            </w:r>
          </w:p>
        </w:tc>
        <w:tc>
          <w:tcPr>
            <w:tcW w:w="4744" w:type="dxa"/>
            <w:vAlign w:val="center"/>
          </w:tcPr>
          <w:p>
            <w:pPr>
              <w:pStyle w:val="116"/>
              <w:numPr>
                <w:ilvl w:val="0"/>
                <w:numId w:val="0"/>
              </w:numPr>
              <w:jc w:val="center"/>
              <w:rPr>
                <w:b/>
                <w:bCs/>
                <w:sz w:val="18"/>
                <w:szCs w:val="18"/>
              </w:rPr>
            </w:pPr>
            <w:r>
              <w:rPr>
                <w:rFonts w:hint="eastAsia"/>
                <w:b/>
                <w:bCs/>
                <w:sz w:val="18"/>
                <w:szCs w:val="18"/>
              </w:rPr>
              <w:t>生产设施</w:t>
            </w:r>
          </w:p>
        </w:tc>
        <w:tc>
          <w:tcPr>
            <w:tcW w:w="2226"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b/>
                <w:bCs/>
                <w:sz w:val="18"/>
                <w:szCs w:val="18"/>
              </w:rPr>
            </w:pPr>
            <w:r>
              <w:rPr>
                <w:rFonts w:ascii="Times New Roman"/>
                <w:b/>
                <w:bCs/>
                <w:sz w:val="18"/>
                <w:szCs w:val="18"/>
              </w:rPr>
              <w:t>kgce/tSO</w:t>
            </w:r>
            <w:r>
              <w:rPr>
                <w:rFonts w:ascii="Times New Roman"/>
                <w:b/>
                <w:bCs/>
                <w:sz w:val="18"/>
                <w:szCs w:val="18"/>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sz w:val="18"/>
                <w:szCs w:val="18"/>
              </w:rPr>
            </w:pPr>
            <w:r>
              <w:rPr>
                <w:rFonts w:hint="eastAsia"/>
                <w:sz w:val="18"/>
                <w:szCs w:val="18"/>
              </w:rPr>
              <w:t>石灰石-石膏法脱硫设施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循环流化床法脱硫设施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旋转喷雾干燥法脱硫设施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密相干塔法脱硫设施</w:t>
            </w:r>
          </w:p>
        </w:tc>
        <w:tc>
          <w:tcPr>
            <w:tcW w:w="4744"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rFonts w:ascii="Times New Roman"/>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SDS法脱硫设施</w:t>
            </w:r>
          </w:p>
        </w:tc>
        <w:tc>
          <w:tcPr>
            <w:tcW w:w="4744" w:type="dxa"/>
            <w:vAlign w:val="center"/>
          </w:tcPr>
          <w:p>
            <w:pPr>
              <w:pStyle w:val="116"/>
              <w:numPr>
                <w:ilvl w:val="0"/>
                <w:numId w:val="0"/>
              </w:numPr>
              <w:jc w:val="center"/>
              <w:rPr>
                <w:sz w:val="18"/>
                <w:szCs w:val="18"/>
              </w:rPr>
            </w:pPr>
            <w:r>
              <w:rPr>
                <w:rFonts w:hint="eastAsia"/>
                <w:sz w:val="18"/>
                <w:szCs w:val="18"/>
              </w:rPr>
              <w:t>焦炉烟囱</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干法熄焦、热风炉、热处理炉</w:t>
            </w:r>
          </w:p>
        </w:tc>
        <w:tc>
          <w:tcPr>
            <w:tcW w:w="2226"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tcPr>
          <w:p>
            <w:pPr>
              <w:pStyle w:val="116"/>
              <w:numPr>
                <w:ilvl w:val="0"/>
                <w:numId w:val="0"/>
              </w:numPr>
              <w:jc w:val="center"/>
              <w:rPr>
                <w:sz w:val="18"/>
                <w:szCs w:val="18"/>
              </w:rPr>
            </w:pPr>
          </w:p>
        </w:tc>
        <w:tc>
          <w:tcPr>
            <w:tcW w:w="4744" w:type="dxa"/>
            <w:vAlign w:val="center"/>
          </w:tcPr>
          <w:p>
            <w:pPr>
              <w:pStyle w:val="116"/>
              <w:numPr>
                <w:ilvl w:val="0"/>
                <w:numId w:val="0"/>
              </w:numPr>
              <w:jc w:val="center"/>
              <w:rPr>
                <w:sz w:val="18"/>
                <w:szCs w:val="18"/>
              </w:rPr>
            </w:pPr>
            <w:r>
              <w:rPr>
                <w:rFonts w:hint="eastAsia"/>
                <w:sz w:val="18"/>
                <w:szCs w:val="18"/>
              </w:rPr>
              <w:t>自备电厂</w:t>
            </w:r>
          </w:p>
        </w:tc>
        <w:tc>
          <w:tcPr>
            <w:tcW w:w="2226" w:type="dxa"/>
            <w:vAlign w:val="center"/>
          </w:tcPr>
          <w:p>
            <w:pPr>
              <w:pStyle w:val="116"/>
              <w:numPr>
                <w:ilvl w:val="0"/>
                <w:numId w:val="0"/>
              </w:numPr>
              <w:jc w:val="center"/>
              <w:rPr>
                <w:sz w:val="18"/>
                <w:szCs w:val="18"/>
              </w:rPr>
            </w:pPr>
          </w:p>
        </w:tc>
      </w:tr>
    </w:tbl>
    <w:p>
      <w:pPr>
        <w:pStyle w:val="22"/>
        <w:spacing w:before="156" w:beforeLines="50" w:after="156" w:afterLines="50"/>
        <w:jc w:val="center"/>
        <w:rPr>
          <w:rFonts w:ascii="Times New Roman" w:eastAsia="黑体"/>
        </w:rPr>
      </w:pPr>
      <w:r>
        <w:rPr>
          <w:rFonts w:ascii="Times New Roman" w:eastAsia="黑体"/>
        </w:rPr>
        <w:t xml:space="preserve">表7  </w:t>
      </w:r>
      <w:r>
        <w:rPr>
          <w:rFonts w:hint="eastAsia" w:ascii="Times New Roman" w:eastAsia="黑体"/>
        </w:rPr>
        <w:t>钢铁企业</w:t>
      </w:r>
      <w:r>
        <w:rPr>
          <w:rFonts w:ascii="Times New Roman" w:eastAsia="黑体"/>
        </w:rPr>
        <w:t>脱</w:t>
      </w:r>
      <w:r>
        <w:rPr>
          <w:rFonts w:hint="eastAsia" w:ascii="Times New Roman" w:eastAsia="黑体"/>
        </w:rPr>
        <w:t>硝</w:t>
      </w:r>
      <w:r>
        <w:rPr>
          <w:rFonts w:ascii="Times New Roman" w:eastAsia="黑体"/>
        </w:rPr>
        <w:t>设施超低排放运行能</w:t>
      </w:r>
      <w:r>
        <w:rPr>
          <w:rFonts w:hint="eastAsia" w:ascii="Times New Roman" w:eastAsia="黑体"/>
        </w:rPr>
        <w:t>耗先进值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4"/>
        <w:gridCol w:w="4590"/>
        <w:gridCol w:w="2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2594" w:type="dxa"/>
            <w:vAlign w:val="center"/>
          </w:tcPr>
          <w:p>
            <w:pPr>
              <w:pStyle w:val="116"/>
              <w:numPr>
                <w:ilvl w:val="0"/>
                <w:numId w:val="0"/>
              </w:numPr>
              <w:jc w:val="center"/>
              <w:rPr>
                <w:b/>
                <w:bCs/>
                <w:sz w:val="18"/>
                <w:szCs w:val="18"/>
              </w:rPr>
            </w:pPr>
            <w:r>
              <w:rPr>
                <w:rFonts w:hint="eastAsia"/>
                <w:b/>
                <w:bCs/>
                <w:sz w:val="18"/>
                <w:szCs w:val="18"/>
              </w:rPr>
              <w:t>脱硫设施类型</w:t>
            </w:r>
          </w:p>
        </w:tc>
        <w:tc>
          <w:tcPr>
            <w:tcW w:w="4590" w:type="dxa"/>
            <w:vAlign w:val="center"/>
          </w:tcPr>
          <w:p>
            <w:pPr>
              <w:pStyle w:val="116"/>
              <w:numPr>
                <w:ilvl w:val="0"/>
                <w:numId w:val="0"/>
              </w:numPr>
              <w:jc w:val="center"/>
              <w:rPr>
                <w:b/>
                <w:bCs/>
                <w:sz w:val="18"/>
                <w:szCs w:val="18"/>
              </w:rPr>
            </w:pPr>
            <w:r>
              <w:rPr>
                <w:rFonts w:hint="eastAsia"/>
                <w:b/>
                <w:bCs/>
                <w:sz w:val="18"/>
                <w:szCs w:val="18"/>
              </w:rPr>
              <w:t>生产设施</w:t>
            </w:r>
          </w:p>
        </w:tc>
        <w:tc>
          <w:tcPr>
            <w:tcW w:w="2380"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b/>
                <w:bCs/>
                <w:sz w:val="18"/>
                <w:szCs w:val="18"/>
              </w:rPr>
            </w:pPr>
            <w:r>
              <w:rPr>
                <w:rFonts w:ascii="Times New Roman"/>
                <w:b/>
                <w:bCs/>
                <w:sz w:val="18"/>
                <w:szCs w:val="18"/>
              </w:rPr>
              <w:t>kgce/tNOx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2594" w:type="dxa"/>
            <w:vMerge w:val="restart"/>
            <w:vAlign w:val="center"/>
          </w:tcPr>
          <w:p>
            <w:pPr>
              <w:pStyle w:val="116"/>
              <w:numPr>
                <w:ilvl w:val="0"/>
                <w:numId w:val="0"/>
              </w:numPr>
              <w:jc w:val="center"/>
              <w:rPr>
                <w:rFonts w:ascii="Times New Roman"/>
                <w:sz w:val="18"/>
                <w:szCs w:val="18"/>
              </w:rPr>
            </w:pPr>
            <w:r>
              <w:rPr>
                <w:rFonts w:ascii="Times New Roman"/>
                <w:sz w:val="18"/>
                <w:szCs w:val="18"/>
              </w:rPr>
              <w:t>SCR脱硝</w:t>
            </w:r>
          </w:p>
        </w:tc>
        <w:tc>
          <w:tcPr>
            <w:tcW w:w="4590"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焦炉烟囱</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热风炉、热处理炉</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自备电厂</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restart"/>
            <w:vAlign w:val="center"/>
          </w:tcPr>
          <w:p>
            <w:pPr>
              <w:pStyle w:val="116"/>
              <w:numPr>
                <w:ilvl w:val="0"/>
                <w:numId w:val="0"/>
              </w:numPr>
              <w:jc w:val="center"/>
              <w:rPr>
                <w:sz w:val="18"/>
                <w:szCs w:val="18"/>
              </w:rPr>
            </w:pPr>
            <w:r>
              <w:rPr>
                <w:rFonts w:hint="eastAsia"/>
                <w:sz w:val="18"/>
                <w:szCs w:val="18"/>
              </w:rPr>
              <w:t>活性焦/炭脱硝</w:t>
            </w:r>
          </w:p>
        </w:tc>
        <w:tc>
          <w:tcPr>
            <w:tcW w:w="4590" w:type="dxa"/>
            <w:vAlign w:val="center"/>
          </w:tcPr>
          <w:p>
            <w:pPr>
              <w:pStyle w:val="116"/>
              <w:numPr>
                <w:ilvl w:val="0"/>
                <w:numId w:val="0"/>
              </w:numPr>
              <w:jc w:val="center"/>
              <w:rPr>
                <w:sz w:val="18"/>
                <w:szCs w:val="18"/>
              </w:rPr>
            </w:pPr>
            <w:r>
              <w:rPr>
                <w:rFonts w:hint="eastAsia"/>
                <w:sz w:val="18"/>
                <w:szCs w:val="18"/>
              </w:rPr>
              <w:t>烧结机机头、球团竖炉、链篦机回转窑、带式球团焙烧机</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焦炉烟囱</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热风炉、热处理炉</w:t>
            </w:r>
          </w:p>
        </w:tc>
        <w:tc>
          <w:tcPr>
            <w:tcW w:w="2380" w:type="dxa"/>
            <w:vAlign w:val="center"/>
          </w:tcPr>
          <w:p>
            <w:pPr>
              <w:pStyle w:val="116"/>
              <w:numPr>
                <w:ilvl w:val="0"/>
                <w:numId w:val="0"/>
              </w:num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594" w:type="dxa"/>
            <w:vMerge w:val="continue"/>
            <w:vAlign w:val="center"/>
          </w:tcPr>
          <w:p>
            <w:pPr>
              <w:pStyle w:val="116"/>
              <w:numPr>
                <w:ilvl w:val="0"/>
                <w:numId w:val="0"/>
              </w:numPr>
              <w:jc w:val="center"/>
              <w:rPr>
                <w:sz w:val="18"/>
                <w:szCs w:val="18"/>
              </w:rPr>
            </w:pPr>
          </w:p>
        </w:tc>
        <w:tc>
          <w:tcPr>
            <w:tcW w:w="4590" w:type="dxa"/>
            <w:vAlign w:val="center"/>
          </w:tcPr>
          <w:p>
            <w:pPr>
              <w:pStyle w:val="116"/>
              <w:numPr>
                <w:ilvl w:val="0"/>
                <w:numId w:val="0"/>
              </w:numPr>
              <w:jc w:val="center"/>
              <w:rPr>
                <w:sz w:val="18"/>
                <w:szCs w:val="18"/>
              </w:rPr>
            </w:pPr>
            <w:r>
              <w:rPr>
                <w:rFonts w:hint="eastAsia"/>
                <w:sz w:val="18"/>
                <w:szCs w:val="18"/>
              </w:rPr>
              <w:t>自备电厂</w:t>
            </w:r>
          </w:p>
        </w:tc>
        <w:tc>
          <w:tcPr>
            <w:tcW w:w="2380" w:type="dxa"/>
            <w:vAlign w:val="center"/>
          </w:tcPr>
          <w:p>
            <w:pPr>
              <w:pStyle w:val="116"/>
              <w:numPr>
                <w:ilvl w:val="0"/>
                <w:numId w:val="0"/>
              </w:numPr>
              <w:jc w:val="center"/>
              <w:rPr>
                <w:sz w:val="18"/>
                <w:szCs w:val="18"/>
              </w:rPr>
            </w:pPr>
          </w:p>
        </w:tc>
      </w:tr>
    </w:tbl>
    <w:p>
      <w:pPr>
        <w:pStyle w:val="52"/>
        <w:rPr>
          <w:rFonts w:ascii="Times New Roman"/>
          <w:szCs w:val="22"/>
        </w:rPr>
      </w:pPr>
      <w:bookmarkStart w:id="23" w:name="_Toc133565749"/>
      <w:r>
        <w:rPr>
          <w:rFonts w:hint="eastAsia" w:ascii="Times New Roman"/>
          <w:szCs w:val="22"/>
        </w:rPr>
        <w:t>统计范围</w:t>
      </w:r>
      <w:bookmarkEnd w:id="23"/>
      <w:r>
        <w:rPr>
          <w:rFonts w:hint="eastAsia" w:ascii="Times New Roman"/>
          <w:szCs w:val="22"/>
        </w:rPr>
        <w:t>和计算方法</w:t>
      </w:r>
    </w:p>
    <w:p>
      <w:pPr>
        <w:pStyle w:val="54"/>
        <w:ind w:left="0"/>
        <w:rPr>
          <w:rFonts w:ascii="Times New Roman"/>
          <w:szCs w:val="22"/>
        </w:rPr>
      </w:pPr>
      <w:r>
        <w:rPr>
          <w:rFonts w:hint="eastAsia" w:ascii="宋体" w:hAnsi="宋体" w:eastAsia="宋体"/>
        </w:rPr>
        <w:t>统计范围及能源折算系数取值原则</w:t>
      </w:r>
    </w:p>
    <w:p>
      <w:pPr>
        <w:pStyle w:val="56"/>
        <w:spacing w:before="156" w:after="156"/>
        <w:ind w:left="0"/>
        <w:rPr>
          <w:rFonts w:ascii="宋体" w:hAnsi="宋体" w:eastAsia="宋体"/>
        </w:rPr>
      </w:pPr>
      <w:r>
        <w:rPr>
          <w:rFonts w:hint="eastAsia" w:ascii="宋体" w:hAnsi="宋体" w:eastAsia="宋体"/>
        </w:rPr>
        <w:t>统计范围</w:t>
      </w:r>
    </w:p>
    <w:p>
      <w:pPr>
        <w:pStyle w:val="22"/>
        <w:rPr>
          <w:rFonts w:hint="eastAsia" w:ascii="Times New Roman"/>
        </w:rPr>
      </w:pPr>
      <w:r>
        <w:rPr>
          <w:rFonts w:hint="eastAsia" w:ascii="Times New Roman"/>
        </w:rPr>
        <w:t>脱硫设施能源消耗统计边界包括烟气系统、脱硫塔系统、脱硫剂供应与回收系统以及辅助系统。其中石灰石/石灰-石膏法还应包含脱硫废水处理系统。</w:t>
      </w:r>
    </w:p>
    <w:p>
      <w:pPr>
        <w:pStyle w:val="22"/>
        <w:rPr>
          <w:rFonts w:hint="eastAsia"/>
        </w:rPr>
      </w:pPr>
      <w:r>
        <w:rPr>
          <w:rFonts w:hint="eastAsia"/>
        </w:rPr>
        <w:t>脱硝设施能源消耗统计边界包括烟气系统、脱硝塔系统</w:t>
      </w:r>
      <w:r>
        <w:rPr>
          <w:rFonts w:hint="eastAsia" w:ascii="Times New Roman"/>
        </w:rPr>
        <w:t>以及辅助系统。活性焦/炭工艺还应包含活性焦/炭再生系统及制酸系统。</w:t>
      </w:r>
    </w:p>
    <w:p>
      <w:pPr>
        <w:pStyle w:val="56"/>
        <w:spacing w:before="156" w:after="156"/>
        <w:ind w:left="0"/>
        <w:rPr>
          <w:rFonts w:ascii="宋体" w:hAnsi="宋体" w:eastAsia="宋体"/>
        </w:rPr>
      </w:pPr>
      <w:r>
        <w:rPr>
          <w:rFonts w:hint="eastAsia" w:ascii="宋体" w:hAnsi="宋体" w:eastAsia="宋体"/>
        </w:rPr>
        <w:t>能源折算系数取值原则</w:t>
      </w:r>
    </w:p>
    <w:p>
      <w:pPr>
        <w:pStyle w:val="22"/>
        <w:rPr>
          <w:rFonts w:hint="eastAsia" w:ascii="Times New Roman"/>
        </w:rPr>
      </w:pPr>
      <w:r>
        <w:rPr>
          <w:rFonts w:hint="eastAsia" w:ascii="Times New Roman"/>
        </w:rPr>
        <w:t>能源折算系数应以企业在统计期内实测的各种能源的热值为基准，转换为标准单位（k</w:t>
      </w:r>
      <w:r>
        <w:rPr>
          <w:rFonts w:ascii="Times New Roman"/>
        </w:rPr>
        <w:t>J</w:t>
      </w:r>
      <w:r>
        <w:rPr>
          <w:rFonts w:hint="eastAsia" w:ascii="Times New Roman"/>
        </w:rPr>
        <w:t>或kgce，其中1kgce=</w:t>
      </w:r>
      <w:r>
        <w:rPr>
          <w:rFonts w:ascii="Times New Roman"/>
        </w:rPr>
        <w:t>7000</w:t>
      </w:r>
      <w:r>
        <w:rPr>
          <w:rFonts w:hint="eastAsia" w:ascii="Times New Roman"/>
        </w:rPr>
        <w:t>kcal=</w:t>
      </w:r>
      <w:r>
        <w:rPr>
          <w:rFonts w:ascii="Times New Roman"/>
        </w:rPr>
        <w:t>29307.6</w:t>
      </w:r>
      <w:r>
        <w:rPr>
          <w:rFonts w:hint="eastAsia" w:ascii="Times New Roman"/>
        </w:rPr>
        <w:t>k</w:t>
      </w:r>
      <w:r>
        <w:rPr>
          <w:rFonts w:ascii="Times New Roman"/>
        </w:rPr>
        <w:t>J</w:t>
      </w:r>
      <w:r>
        <w:rPr>
          <w:rFonts w:hint="eastAsia" w:ascii="Times New Roman"/>
        </w:rPr>
        <w:t>）。未实测的和没有实测条件的，参见附录A中提供的各种能源折算系数推荐值。</w:t>
      </w:r>
    </w:p>
    <w:p>
      <w:pPr>
        <w:pStyle w:val="54"/>
        <w:ind w:left="0"/>
        <w:rPr>
          <w:rFonts w:ascii="宋体" w:hAnsi="宋体" w:eastAsia="宋体"/>
        </w:rPr>
      </w:pPr>
      <w:bookmarkStart w:id="24" w:name="_Toc133565750"/>
      <w:r>
        <w:rPr>
          <w:rFonts w:hint="eastAsia" w:ascii="宋体" w:hAnsi="宋体" w:eastAsia="宋体"/>
        </w:rPr>
        <w:t>计算方法</w:t>
      </w:r>
      <w:bookmarkEnd w:id="24"/>
    </w:p>
    <w:p>
      <w:pPr>
        <w:pStyle w:val="56"/>
        <w:spacing w:before="156" w:after="156"/>
        <w:ind w:left="0"/>
        <w:rPr>
          <w:rFonts w:hint="eastAsia" w:ascii="宋体" w:hAnsi="宋体" w:eastAsia="宋体"/>
        </w:rPr>
      </w:pPr>
      <w:r>
        <w:rPr>
          <w:rFonts w:hint="eastAsia" w:ascii="宋体" w:hAnsi="宋体" w:eastAsia="宋体"/>
        </w:rPr>
        <w:t>脱硫设施超低排放运行能耗计算方法</w:t>
      </w:r>
    </w:p>
    <w:p>
      <w:pPr>
        <w:pStyle w:val="22"/>
        <w:rPr>
          <w:rFonts w:ascii="Times New Roman"/>
        </w:rPr>
      </w:pPr>
      <w:r>
        <w:rPr>
          <w:rFonts w:hint="eastAsia" w:ascii="Times New Roman"/>
        </w:rPr>
        <w:t>脱硫设施超低排放运行能耗为在满足超低排放限值条件下，每脱除单位S</w:t>
      </w:r>
      <w:r>
        <w:rPr>
          <w:rFonts w:ascii="Times New Roman"/>
        </w:rPr>
        <w:t>O</w:t>
      </w:r>
      <w:r>
        <w:rPr>
          <w:rFonts w:ascii="Times New Roman"/>
          <w:vertAlign w:val="subscript"/>
        </w:rPr>
        <w:t>2</w:t>
      </w:r>
      <w:r>
        <w:rPr>
          <w:rFonts w:hint="eastAsia" w:ascii="Times New Roman"/>
        </w:rPr>
        <w:t>的电耗、蒸汽消耗以及系统外引入压缩空气消耗等能源介质折算为标准煤之和，按式（1）计算。</w:t>
      </w:r>
    </w:p>
    <w:p>
      <w:pPr>
        <w:pStyle w:val="22"/>
        <w:jc w:val="righ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硫</m:t>
            </m:r>
            <m:ctrlPr>
              <w:rPr>
                <w:rFonts w:ascii="Cambria Math" w:hAnsi="Cambria Math"/>
                <w:i/>
              </w:rPr>
            </m:ctrlPr>
          </m:sub>
        </m:sSub>
        <m:r>
          <m:rPr/>
          <w:rPr>
            <w:rFonts w:ascii="Cambria Math" w:hAnsi="Cambria Math"/>
          </w:rPr>
          <m:t>=</m:t>
        </m:r>
        <m:r>
          <m:rPr/>
          <w:rPr>
            <w:rFonts w:hint="eastAsia" w:ascii="Cambria Math" w:hAnsi="Cambria Math"/>
          </w:rPr>
          <m:t>（</m:t>
        </m:r>
        <m:nary>
          <m:naryPr>
            <m:chr m:val="∑"/>
            <m:limLoc m:val="undOvr"/>
            <m:ctrlPr>
              <w:rPr>
                <w:rFonts w:ascii="Cambria Math" w:hAnsi="Cambria Math"/>
                <w:i/>
              </w:rPr>
            </m:ctrlPr>
          </m:naryPr>
          <m:sub>
            <m:r>
              <m:rPr/>
              <w:rPr>
                <w:rFonts w:hint="eastAsia" w:ascii="Cambria Math" w:hAnsi="Cambria Math"/>
              </w:rPr>
              <m:t>i=</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i/>
              </w:rPr>
            </m:ctrlPr>
          </m:e>
        </m:nary>
        <m:r>
          <m:rPr/>
          <w:rPr>
            <w:rFonts w:hint="eastAsia" w:ascii="Cambria Math" w:hAnsi="Cambria Math"/>
          </w:rPr>
          <m:t>）</m:t>
        </m:r>
        <m:r>
          <m:rPr/>
          <w:rPr>
            <w:rFonts w:ascii="Cambria Math" w:hAnsi="Cambria Math"/>
          </w:rPr>
          <m:t>/S</m:t>
        </m:r>
      </m:oMath>
      <w:r>
        <w:rPr>
          <w:rFonts w:ascii="Times New Roman"/>
        </w:rPr>
        <w:t>…………………………………………</w:t>
      </w:r>
      <w:r>
        <w:rPr>
          <w:rFonts w:hint="eastAsia"/>
        </w:rPr>
        <w:t>（1）</w:t>
      </w:r>
    </w:p>
    <w:p>
      <w:pPr>
        <w:pStyle w:val="22"/>
        <w:rPr>
          <w:rFonts w:ascii="Times New Roman"/>
        </w:rPr>
      </w:pPr>
      <w:r>
        <w:rPr>
          <w:rFonts w:hint="eastAsia" w:ascii="Times New Roman"/>
        </w:rPr>
        <w:t>式中：</w:t>
      </w:r>
    </w:p>
    <w:p>
      <w:pPr>
        <w:pStyle w:val="22"/>
        <w:rPr>
          <w:rFonts w:ascii="Times New Roman"/>
          <w:highlight w:val="yellow"/>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硫</m:t>
            </m:r>
            <m:ctrlPr>
              <w:rPr>
                <w:rFonts w:ascii="Cambria Math" w:hAnsi="Cambria Math"/>
                <w:i/>
              </w:rPr>
            </m:ctrlPr>
          </m:sub>
        </m:sSub>
      </m:oMath>
      <w:r>
        <w:rPr>
          <w:rFonts w:hint="eastAsia" w:ascii="Times New Roman"/>
        </w:rPr>
        <w:t>——统计期内脱硫设施超低排放运行吨二氧化硫能源消耗量，单位为千克标准煤每吨二氧化硫(kgce/t</w:t>
      </w:r>
      <w:r>
        <w:rPr>
          <w:rFonts w:ascii="Times New Roman"/>
        </w:rPr>
        <w:t>SO</w:t>
      </w:r>
      <w:r>
        <w:rPr>
          <w:rFonts w:ascii="Times New Roman"/>
          <w:vertAlign w:val="subscript"/>
        </w:rPr>
        <w:t>2</w:t>
      </w:r>
      <w:r>
        <w:rPr>
          <w:rFonts w:hint="eastAsia" w:ascii="Times New Roman"/>
        </w:rPr>
        <w:t>)；</w:t>
      </w:r>
    </w:p>
    <w:p>
      <w:pPr>
        <w:pStyle w:val="22"/>
        <w:rPr>
          <w:rFonts w:hint="eastAsia" w:asci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ascii="Times New Roman"/>
        </w:rPr>
        <w:t>——统计期内第i种能源介质折标准煤量，单位为千克标准煤</w:t>
      </w:r>
      <w:r>
        <w:rPr>
          <w:rFonts w:ascii="Times New Roman"/>
        </w:rPr>
        <w:t>(kgce</w:t>
      </w:r>
      <w:r>
        <w:rPr>
          <w:rFonts w:hint="eastAsia" w:ascii="Times New Roman"/>
        </w:rPr>
        <w:t>)；</w:t>
      </w:r>
    </w:p>
    <w:p>
      <w:pPr>
        <w:pStyle w:val="22"/>
        <w:rPr>
          <w:rFonts w:ascii="Times New Roman"/>
        </w:rPr>
      </w:pPr>
      <w:r>
        <w:rPr>
          <w:rFonts w:ascii="Times New Roman"/>
        </w:rPr>
        <w:t>S</w:t>
      </w:r>
      <w:r>
        <w:rPr>
          <w:rFonts w:hint="eastAsia" w:ascii="Times New Roman"/>
        </w:rPr>
        <w:t>——统计期内脱硫设施运行S</w:t>
      </w:r>
      <w:r>
        <w:rPr>
          <w:rFonts w:ascii="Times New Roman"/>
        </w:rPr>
        <w:t>O</w:t>
      </w:r>
      <w:r>
        <w:rPr>
          <w:rFonts w:ascii="Times New Roman"/>
          <w:vertAlign w:val="subscript"/>
        </w:rPr>
        <w:t>2</w:t>
      </w:r>
      <w:r>
        <w:rPr>
          <w:rFonts w:hint="eastAsia" w:ascii="Times New Roman"/>
        </w:rPr>
        <w:t>处理量，单位为吨二氧化硫(t</w:t>
      </w:r>
      <w:r>
        <w:rPr>
          <w:rFonts w:ascii="Times New Roman"/>
        </w:rPr>
        <w:t>SO</w:t>
      </w:r>
      <w:r>
        <w:rPr>
          <w:rFonts w:ascii="Times New Roman"/>
          <w:vertAlign w:val="subscript"/>
        </w:rPr>
        <w:t>2</w:t>
      </w:r>
      <w:r>
        <w:rPr>
          <w:rFonts w:hint="eastAsia" w:ascii="Times New Roman"/>
        </w:rPr>
        <w:t>)。</w:t>
      </w:r>
    </w:p>
    <w:p>
      <w:pPr>
        <w:pStyle w:val="56"/>
        <w:spacing w:before="156" w:after="156"/>
        <w:ind w:left="0"/>
        <w:rPr>
          <w:rFonts w:hint="eastAsia" w:ascii="宋体" w:hAnsi="宋体" w:eastAsia="宋体"/>
        </w:rPr>
      </w:pPr>
      <w:r>
        <w:rPr>
          <w:rFonts w:hint="eastAsia" w:ascii="宋体" w:hAnsi="宋体" w:eastAsia="宋体"/>
        </w:rPr>
        <w:t>脱硝设施超低排放运行能耗计算方法</w:t>
      </w:r>
    </w:p>
    <w:p>
      <w:pPr>
        <w:pStyle w:val="22"/>
        <w:rPr>
          <w:rFonts w:ascii="Times New Roman"/>
        </w:rPr>
      </w:pPr>
      <w:r>
        <w:rPr>
          <w:rFonts w:hint="eastAsia" w:ascii="Times New Roman"/>
        </w:rPr>
        <w:t>脱硝设施超低排放运行能耗为在满足超低排放限值条件下，每脱除单位N</w:t>
      </w:r>
      <w:r>
        <w:rPr>
          <w:rFonts w:ascii="Times New Roman"/>
        </w:rPr>
        <w:t>O</w:t>
      </w:r>
      <w:r>
        <w:rPr>
          <w:rFonts w:hint="eastAsia" w:ascii="Times New Roman"/>
        </w:rPr>
        <w:t>x的电耗、蒸汽消耗以及系统外引入压缩空气消耗等能源介质折算为标准煤之和，按式（</w:t>
      </w:r>
      <w:r>
        <w:rPr>
          <w:rFonts w:ascii="Times New Roman"/>
        </w:rPr>
        <w:t>2</w:t>
      </w:r>
      <w:r>
        <w:rPr>
          <w:rFonts w:hint="eastAsia" w:ascii="Times New Roman"/>
        </w:rPr>
        <w:t>）计算。</w:t>
      </w:r>
    </w:p>
    <w:p>
      <w:pPr>
        <w:pStyle w:val="22"/>
        <w:jc w:val="righ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硝</m:t>
            </m:r>
            <m:ctrlPr>
              <w:rPr>
                <w:rFonts w:ascii="Cambria Math" w:hAnsi="Cambria Math"/>
                <w:i/>
              </w:rPr>
            </m:ctrlPr>
          </m:sub>
        </m:sSub>
        <m:r>
          <m:rPr/>
          <w:rPr>
            <w:rFonts w:ascii="Cambria Math" w:hAnsi="Cambria Math"/>
          </w:rPr>
          <m:t>=</m:t>
        </m:r>
        <m:r>
          <m:rPr/>
          <w:rPr>
            <w:rFonts w:hint="eastAsia" w:ascii="Cambria Math" w:hAnsi="Cambria Math"/>
          </w:rPr>
          <m:t>（</m:t>
        </m:r>
        <m:nary>
          <m:naryPr>
            <m:chr m:val="∑"/>
            <m:limLoc m:val="undOvr"/>
            <m:ctrlPr>
              <w:rPr>
                <w:rFonts w:ascii="Cambria Math" w:hAnsi="Cambria Math"/>
                <w:i/>
              </w:rPr>
            </m:ctrlPr>
          </m:naryPr>
          <m:sub>
            <m:r>
              <m:rPr/>
              <w:rPr>
                <w:rFonts w:hint="eastAsia" w:ascii="Cambria Math" w:hAnsi="Cambria Math"/>
              </w:rPr>
              <m:t>j=</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j</m:t>
                </m:r>
                <m:ctrlPr>
                  <w:rPr>
                    <w:rFonts w:ascii="Cambria Math" w:hAnsi="Cambria Math"/>
                    <w:i/>
                  </w:rPr>
                </m:ctrlPr>
              </m:sub>
            </m:sSub>
            <m:ctrlPr>
              <w:rPr>
                <w:rFonts w:ascii="Cambria Math" w:hAnsi="Cambria Math"/>
                <w:i/>
              </w:rPr>
            </m:ctrlPr>
          </m:e>
        </m:nary>
        <m:r>
          <m:rPr/>
          <w:rPr>
            <w:rFonts w:hint="eastAsia" w:ascii="Cambria Math" w:hAnsi="Cambria Math"/>
          </w:rPr>
          <m:t>）</m:t>
        </m:r>
        <m:r>
          <m:rPr/>
          <w:rPr>
            <w:rFonts w:ascii="Cambria Math" w:hAnsi="Cambria Math"/>
          </w:rPr>
          <m:t>/N</m:t>
        </m:r>
      </m:oMath>
      <w:r>
        <w:rPr>
          <w:rFonts w:ascii="Times New Roman"/>
        </w:rPr>
        <w:t>…………………………………………</w:t>
      </w:r>
      <w:r>
        <w:rPr>
          <w:rFonts w:hint="eastAsia"/>
        </w:rPr>
        <w:t>（</w:t>
      </w:r>
      <w:r>
        <w:t>2</w:t>
      </w:r>
      <w:r>
        <w:rPr>
          <w:rFonts w:hint="eastAsia"/>
        </w:rPr>
        <w:t>）</w:t>
      </w:r>
    </w:p>
    <w:p>
      <w:pPr>
        <w:pStyle w:val="22"/>
        <w:rPr>
          <w:rFonts w:ascii="Times New Roman"/>
        </w:rPr>
      </w:pPr>
      <w:r>
        <w:rPr>
          <w:rFonts w:hint="eastAsia" w:ascii="Times New Roman"/>
        </w:rPr>
        <w:t>式中：</w:t>
      </w:r>
    </w:p>
    <w:p>
      <w:pPr>
        <w:pStyle w:val="22"/>
        <w:rPr>
          <w:rFonts w:ascii="Times New Roman"/>
          <w:highlight w:val="yellow"/>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硝</m:t>
            </m:r>
            <m:ctrlPr>
              <w:rPr>
                <w:rFonts w:ascii="Cambria Math" w:hAnsi="Cambria Math"/>
                <w:i/>
              </w:rPr>
            </m:ctrlPr>
          </m:sub>
        </m:sSub>
      </m:oMath>
      <w:r>
        <w:rPr>
          <w:rFonts w:hint="eastAsia" w:ascii="Times New Roman"/>
        </w:rPr>
        <w:t>——统计期内脱硝设施超低排放运行吨氮氧化物能源消耗量，单位为千克标准煤每吨氮氧化物(kgce/t</w:t>
      </w:r>
      <w:r>
        <w:rPr>
          <w:rFonts w:ascii="Times New Roman"/>
        </w:rPr>
        <w:t>NO</w:t>
      </w:r>
      <w:r>
        <w:rPr>
          <w:rFonts w:hint="eastAsia" w:ascii="Times New Roman"/>
          <w:vertAlign w:val="subscript"/>
        </w:rPr>
        <w:t>x</w:t>
      </w:r>
      <w:r>
        <w:rPr>
          <w:rFonts w:hint="eastAsia" w:ascii="Times New Roman"/>
        </w:rPr>
        <w:t>)；</w:t>
      </w:r>
    </w:p>
    <w:p>
      <w:pPr>
        <w:pStyle w:val="22"/>
        <w:rPr>
          <w:rFonts w:hint="eastAsia" w:asci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hint="eastAsia" w:ascii="Times New Roman"/>
        </w:rPr>
        <w:t>——统计期内第j种能源介质折标准煤量，单位为千克标准煤</w:t>
      </w:r>
      <w:r>
        <w:rPr>
          <w:rFonts w:ascii="Times New Roman"/>
        </w:rPr>
        <w:t>(kgce</w:t>
      </w:r>
      <w:r>
        <w:rPr>
          <w:rFonts w:hint="eastAsia" w:ascii="Times New Roman"/>
        </w:rPr>
        <w:t>)；</w:t>
      </w:r>
    </w:p>
    <w:p>
      <w:pPr>
        <w:pStyle w:val="22"/>
        <w:rPr>
          <w:rFonts w:ascii="Times New Roman"/>
        </w:rPr>
      </w:pPr>
      <w:r>
        <w:rPr>
          <w:rFonts w:ascii="Times New Roman"/>
        </w:rPr>
        <w:t>N</w:t>
      </w:r>
      <w:r>
        <w:rPr>
          <w:rFonts w:hint="eastAsia" w:ascii="Times New Roman"/>
        </w:rPr>
        <w:t>——统计期内脱硝设施运行</w:t>
      </w:r>
      <w:r>
        <w:rPr>
          <w:rFonts w:ascii="Times New Roman"/>
        </w:rPr>
        <w:t>NO</w:t>
      </w:r>
      <w:r>
        <w:rPr>
          <w:rFonts w:hint="eastAsia" w:ascii="Times New Roman"/>
        </w:rPr>
        <w:t>x处理量，单位为吨氮氧化物(t</w:t>
      </w:r>
      <w:r>
        <w:rPr>
          <w:rFonts w:ascii="Times New Roman"/>
        </w:rPr>
        <w:t>NO</w:t>
      </w:r>
      <w:r>
        <w:rPr>
          <w:rFonts w:hint="eastAsia" w:ascii="Times New Roman"/>
        </w:rPr>
        <w:t>x)。</w:t>
      </w:r>
    </w:p>
    <w:p>
      <w:pPr>
        <w:pStyle w:val="52"/>
        <w:rPr>
          <w:rFonts w:ascii="Times New Roman"/>
          <w:szCs w:val="22"/>
        </w:rPr>
      </w:pPr>
      <w:bookmarkStart w:id="25" w:name="_Toc133565751"/>
      <w:r>
        <w:rPr>
          <w:rFonts w:hint="eastAsia" w:ascii="Times New Roman"/>
          <w:szCs w:val="22"/>
        </w:rPr>
        <w:t>节能措施</w:t>
      </w:r>
      <w:bookmarkEnd w:id="25"/>
    </w:p>
    <w:p>
      <w:pPr>
        <w:pStyle w:val="54"/>
        <w:ind w:left="0"/>
        <w:rPr>
          <w:rFonts w:ascii="Times New Roman"/>
          <w:szCs w:val="22"/>
        </w:rPr>
      </w:pPr>
      <w:r>
        <w:rPr>
          <w:rFonts w:hint="eastAsia" w:ascii="Times New Roman"/>
          <w:szCs w:val="22"/>
        </w:rPr>
        <w:t>节能管理措施</w:t>
      </w:r>
    </w:p>
    <w:p>
      <w:pPr>
        <w:pStyle w:val="56"/>
        <w:spacing w:before="156" w:after="156"/>
        <w:ind w:left="0"/>
        <w:rPr>
          <w:rFonts w:ascii="Times New Roman" w:eastAsia="宋体"/>
        </w:rPr>
      </w:pPr>
      <w:r>
        <w:rPr>
          <w:rFonts w:ascii="Times New Roman" w:eastAsia="宋体"/>
        </w:rPr>
        <w:t>企业应根据GB 17167</w:t>
      </w:r>
      <w:r>
        <w:rPr>
          <w:rFonts w:hint="eastAsia" w:ascii="Times New Roman" w:eastAsia="宋体"/>
        </w:rPr>
        <w:t>的要求</w:t>
      </w:r>
      <w:r>
        <w:rPr>
          <w:rFonts w:ascii="Times New Roman" w:eastAsia="宋体"/>
        </w:rPr>
        <w:t>配备能源计量器具</w:t>
      </w:r>
      <w:r>
        <w:rPr>
          <w:rFonts w:hint="eastAsia" w:ascii="Times New Roman" w:eastAsia="宋体"/>
        </w:rPr>
        <w:t>，并建立能源计量管理制度。</w:t>
      </w:r>
    </w:p>
    <w:p>
      <w:pPr>
        <w:pStyle w:val="56"/>
        <w:spacing w:before="156" w:after="156"/>
        <w:ind w:left="0"/>
        <w:rPr>
          <w:rFonts w:ascii="Times New Roman" w:eastAsia="宋体"/>
        </w:rPr>
      </w:pPr>
      <w:r>
        <w:rPr>
          <w:rFonts w:ascii="Times New Roman" w:eastAsia="宋体"/>
        </w:rPr>
        <w:t>企业应建立、健全</w:t>
      </w:r>
      <w:r>
        <w:rPr>
          <w:rFonts w:hint="eastAsia" w:ascii="Times New Roman" w:eastAsia="宋体"/>
        </w:rPr>
        <w:t>脱硫脱硝设施用能统计制度，建立用能台账。</w:t>
      </w:r>
    </w:p>
    <w:p>
      <w:pPr>
        <w:pStyle w:val="54"/>
        <w:ind w:left="0"/>
        <w:rPr>
          <w:rFonts w:ascii="Times New Roman"/>
          <w:szCs w:val="22"/>
        </w:rPr>
      </w:pPr>
      <w:r>
        <w:rPr>
          <w:rFonts w:hint="eastAsia" w:ascii="Times New Roman"/>
          <w:szCs w:val="22"/>
        </w:rPr>
        <w:t>节能技术措施</w:t>
      </w:r>
    </w:p>
    <w:p>
      <w:pPr>
        <w:pStyle w:val="56"/>
        <w:spacing w:before="156" w:after="156"/>
        <w:ind w:left="0"/>
        <w:rPr>
          <w:rFonts w:ascii="Times New Roman" w:eastAsia="宋体"/>
        </w:rPr>
      </w:pPr>
      <w:r>
        <w:rPr>
          <w:rFonts w:hint="eastAsia" w:ascii="Times New Roman" w:eastAsia="宋体"/>
        </w:rPr>
        <w:t>S</w:t>
      </w:r>
      <w:r>
        <w:rPr>
          <w:rFonts w:ascii="Times New Roman" w:eastAsia="宋体"/>
        </w:rPr>
        <w:t>CR</w:t>
      </w:r>
      <w:r>
        <w:rPr>
          <w:rFonts w:hint="eastAsia" w:ascii="Times New Roman" w:eastAsia="宋体"/>
        </w:rPr>
        <w:t>脱硝宜选用中低温或低温脱硝催化剂，降低反映温度，减少能源消耗</w:t>
      </w:r>
      <w:r>
        <w:rPr>
          <w:rFonts w:ascii="Times New Roman" w:eastAsia="宋体"/>
        </w:rPr>
        <w:t>。</w:t>
      </w:r>
    </w:p>
    <w:p>
      <w:pPr>
        <w:pStyle w:val="56"/>
        <w:spacing w:before="156" w:after="156"/>
        <w:ind w:left="0"/>
        <w:rPr>
          <w:rFonts w:hint="eastAsia" w:ascii="Times New Roman" w:eastAsia="宋体"/>
        </w:rPr>
      </w:pPr>
      <w:r>
        <w:rPr>
          <w:rFonts w:hint="eastAsia" w:ascii="Times New Roman" w:eastAsia="宋体"/>
        </w:rPr>
        <w:t>S</w:t>
      </w:r>
      <w:r>
        <w:rPr>
          <w:rFonts w:ascii="Times New Roman" w:eastAsia="宋体"/>
        </w:rPr>
        <w:t>CR</w:t>
      </w:r>
      <w:r>
        <w:rPr>
          <w:rFonts w:hint="eastAsia" w:ascii="Times New Roman" w:eastAsia="宋体"/>
        </w:rPr>
        <w:t>宜增加C</w:t>
      </w:r>
      <w:r>
        <w:rPr>
          <w:rFonts w:ascii="Times New Roman" w:eastAsia="宋体"/>
        </w:rPr>
        <w:t>O</w:t>
      </w:r>
      <w:r>
        <w:rPr>
          <w:rFonts w:hint="eastAsia" w:ascii="Times New Roman" w:eastAsia="宋体"/>
        </w:rPr>
        <w:t>治理催化剂层。</w:t>
      </w:r>
    </w:p>
    <w:p>
      <w:pPr>
        <w:pStyle w:val="56"/>
        <w:spacing w:before="156" w:after="156"/>
        <w:ind w:left="0"/>
        <w:rPr>
          <w:rFonts w:ascii="Times New Roman" w:eastAsia="宋体"/>
        </w:rPr>
      </w:pPr>
      <w:r>
        <w:rPr>
          <w:rFonts w:hint="eastAsia" w:ascii="Times New Roman" w:eastAsia="宋体"/>
        </w:rPr>
        <w:t>公辅设施</w:t>
      </w:r>
      <w:r>
        <w:rPr>
          <w:rFonts w:ascii="Times New Roman" w:eastAsia="宋体"/>
        </w:rPr>
        <w:t>宜采用变频控制、电机系统节能控制等节能技术，以达到设备的经济运行状态。</w:t>
      </w:r>
    </w:p>
    <w:p>
      <w:pPr>
        <w:pStyle w:val="54"/>
        <w:ind w:left="0"/>
        <w:rPr>
          <w:rFonts w:ascii="Times New Roman"/>
          <w:szCs w:val="22"/>
        </w:rPr>
      </w:pPr>
      <w:r>
        <w:rPr>
          <w:rFonts w:hint="eastAsia" w:ascii="Times New Roman"/>
          <w:szCs w:val="22"/>
        </w:rPr>
        <w:t>结构节能措施</w:t>
      </w:r>
    </w:p>
    <w:p>
      <w:pPr>
        <w:pStyle w:val="22"/>
        <w:rPr>
          <w:rFonts w:hint="eastAsia"/>
        </w:rPr>
      </w:pPr>
      <w:r>
        <w:rPr>
          <w:rFonts w:hint="eastAsia"/>
        </w:rPr>
        <w:t>调整优化流程结构，采用先脱硝后脱硫工艺路线。</w:t>
      </w:r>
    </w:p>
    <w:p>
      <w:pPr>
        <w:widowControl/>
        <w:jc w:val="left"/>
        <w:rPr>
          <w:kern w:val="0"/>
          <w:szCs w:val="20"/>
          <w:highlight w:val="yellow"/>
        </w:rPr>
      </w:pPr>
    </w:p>
    <w:p>
      <w:pPr>
        <w:widowControl/>
        <w:jc w:val="left"/>
        <w:rPr>
          <w:kern w:val="0"/>
          <w:szCs w:val="20"/>
          <w:highlight w:val="yellow"/>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w:t>
      </w:r>
      <w:r>
        <w:rPr>
          <w:rFonts w:hint="eastAsia" w:eastAsia="黑体"/>
          <w:kern w:val="0"/>
          <w:sz w:val="21"/>
          <w:szCs w:val="20"/>
          <w:lang w:bidi="ar"/>
        </w:rPr>
        <w:t>资料</w:t>
      </w:r>
      <w:r>
        <w:rPr>
          <w:rFonts w:eastAsia="黑体"/>
          <w:kern w:val="0"/>
          <w:sz w:val="21"/>
          <w:szCs w:val="20"/>
          <w:lang w:bidi="ar"/>
        </w:rPr>
        <w:t>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各种能源折标系数推荐值</w:t>
      </w:r>
    </w:p>
    <w:p>
      <w:pPr>
        <w:pStyle w:val="30"/>
        <w:widowControl/>
        <w:numPr>
          <w:ilvl w:val="0"/>
          <w:numId w:val="18"/>
        </w:numPr>
        <w:spacing w:before="312" w:beforeLines="100" w:after="312" w:afterLines="100"/>
        <w:outlineLvl w:val="1"/>
        <w:rPr>
          <w:rFonts w:eastAsia="黑体"/>
          <w:sz w:val="21"/>
          <w:szCs w:val="21"/>
        </w:rPr>
      </w:pPr>
      <w:r>
        <w:rPr>
          <w:rFonts w:hint="eastAsia" w:eastAsia="黑体"/>
          <w:sz w:val="21"/>
          <w:szCs w:val="21"/>
        </w:rPr>
        <w:t>各种能源折标系数推荐值</w:t>
      </w:r>
    </w:p>
    <w:p>
      <w:pPr>
        <w:pStyle w:val="30"/>
        <w:widowControl/>
        <w:tabs>
          <w:tab w:val="center" w:pos="4201"/>
          <w:tab w:val="right" w:leader="dot" w:pos="9298"/>
        </w:tabs>
        <w:autoSpaceDE w:val="0"/>
        <w:autoSpaceDN w:val="0"/>
        <w:ind w:firstLine="420" w:firstLineChars="200"/>
      </w:pPr>
      <w:r>
        <w:rPr>
          <w:rFonts w:hint="eastAsia"/>
          <w:sz w:val="21"/>
        </w:rPr>
        <w:t>各种能源折标系数推荐值见表A</w:t>
      </w:r>
      <w:r>
        <w:rPr>
          <w:sz w:val="21"/>
        </w:rPr>
        <w:t>.1</w:t>
      </w:r>
      <w:r>
        <w:rPr>
          <w:lang w:bidi="ar"/>
        </w:rPr>
        <w:t>。</w:t>
      </w:r>
    </w:p>
    <w:p>
      <w:pPr>
        <w:pStyle w:val="22"/>
        <w:spacing w:before="156" w:beforeLines="50" w:after="156" w:afterLines="50"/>
        <w:jc w:val="center"/>
        <w:rPr>
          <w:rFonts w:ascii="Times New Roman" w:eastAsia="黑体"/>
        </w:rPr>
      </w:pPr>
      <w:r>
        <w:rPr>
          <w:rFonts w:hint="eastAsia" w:ascii="Times New Roman" w:eastAsia="黑体"/>
        </w:rPr>
        <w:t>表A</w:t>
      </w:r>
      <w:r>
        <w:rPr>
          <w:rFonts w:ascii="Times New Roman" w:eastAsia="黑体"/>
        </w:rPr>
        <w:t xml:space="preserve">.1  </w:t>
      </w:r>
      <w:r>
        <w:rPr>
          <w:rFonts w:hint="eastAsia" w:ascii="Times New Roman" w:eastAsia="黑体"/>
        </w:rPr>
        <w:t>各种能源折标系数推荐值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4"/>
        <w:gridCol w:w="3115"/>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hint="eastAsia"/>
                <w:b/>
                <w:bCs/>
                <w:sz w:val="18"/>
                <w:szCs w:val="18"/>
              </w:rPr>
            </w:pPr>
            <w:r>
              <w:rPr>
                <w:rFonts w:hint="eastAsia"/>
                <w:b/>
                <w:bCs/>
                <w:sz w:val="18"/>
                <w:szCs w:val="18"/>
              </w:rPr>
              <w:t>能源名称</w:t>
            </w:r>
          </w:p>
        </w:tc>
        <w:tc>
          <w:tcPr>
            <w:tcW w:w="3115" w:type="dxa"/>
          </w:tcPr>
          <w:p>
            <w:pPr>
              <w:pStyle w:val="116"/>
              <w:numPr>
                <w:ilvl w:val="0"/>
                <w:numId w:val="0"/>
              </w:numPr>
              <w:jc w:val="center"/>
              <w:rPr>
                <w:rFonts w:hint="eastAsia"/>
                <w:b/>
                <w:bCs/>
                <w:sz w:val="18"/>
                <w:szCs w:val="18"/>
              </w:rPr>
            </w:pPr>
            <w:r>
              <w:rPr>
                <w:rFonts w:hint="eastAsia"/>
                <w:b/>
                <w:bCs/>
                <w:sz w:val="18"/>
                <w:szCs w:val="18"/>
              </w:rPr>
              <w:t>国际单位制下的折算系数</w:t>
            </w:r>
          </w:p>
        </w:tc>
        <w:tc>
          <w:tcPr>
            <w:tcW w:w="3115" w:type="dxa"/>
          </w:tcPr>
          <w:p>
            <w:pPr>
              <w:pStyle w:val="116"/>
              <w:numPr>
                <w:ilvl w:val="0"/>
                <w:numId w:val="0"/>
              </w:numPr>
              <w:jc w:val="center"/>
              <w:rPr>
                <w:rFonts w:hint="eastAsia"/>
                <w:b/>
                <w:bCs/>
                <w:sz w:val="18"/>
                <w:szCs w:val="18"/>
              </w:rPr>
            </w:pPr>
            <w:r>
              <w:rPr>
                <w:rFonts w:hint="eastAsia"/>
                <w:b/>
                <w:bCs/>
                <w:sz w:val="18"/>
                <w:szCs w:val="18"/>
              </w:rPr>
              <w:t>折标准煤系数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ascii="Times New Roman"/>
                <w:sz w:val="18"/>
                <w:szCs w:val="18"/>
              </w:rPr>
            </w:pPr>
            <w:r>
              <w:rPr>
                <w:rFonts w:ascii="Times New Roman"/>
                <w:sz w:val="18"/>
                <w:szCs w:val="18"/>
              </w:rPr>
              <w:t>电力（当量）</w:t>
            </w:r>
          </w:p>
        </w:tc>
        <w:tc>
          <w:tcPr>
            <w:tcW w:w="3115" w:type="dxa"/>
          </w:tcPr>
          <w:p>
            <w:pPr>
              <w:pStyle w:val="116"/>
              <w:numPr>
                <w:ilvl w:val="0"/>
                <w:numId w:val="0"/>
              </w:numPr>
              <w:jc w:val="center"/>
              <w:rPr>
                <w:rFonts w:ascii="Times New Roman"/>
                <w:sz w:val="18"/>
                <w:szCs w:val="18"/>
              </w:rPr>
            </w:pPr>
            <w:r>
              <w:rPr>
                <w:rFonts w:ascii="Times New Roman"/>
                <w:sz w:val="18"/>
                <w:szCs w:val="18"/>
              </w:rPr>
              <w:t>3602 kJ/（kW∙h）</w:t>
            </w:r>
          </w:p>
        </w:tc>
        <w:tc>
          <w:tcPr>
            <w:tcW w:w="3115" w:type="dxa"/>
          </w:tcPr>
          <w:p>
            <w:pPr>
              <w:pStyle w:val="116"/>
              <w:numPr>
                <w:ilvl w:val="0"/>
                <w:numId w:val="0"/>
              </w:numPr>
              <w:jc w:val="center"/>
              <w:rPr>
                <w:rFonts w:ascii="Times New Roman"/>
                <w:sz w:val="18"/>
                <w:szCs w:val="18"/>
              </w:rPr>
            </w:pPr>
            <w:r>
              <w:rPr>
                <w:rFonts w:ascii="Times New Roman"/>
                <w:sz w:val="18"/>
                <w:szCs w:val="18"/>
              </w:rPr>
              <w:t>0.1229 kgce/（kW∙h）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hint="eastAsia" w:ascii="Times New Roman"/>
                <w:sz w:val="18"/>
                <w:szCs w:val="18"/>
              </w:rPr>
            </w:pPr>
            <w:r>
              <w:rPr>
                <w:rFonts w:hint="eastAsia" w:ascii="Times New Roman"/>
                <w:sz w:val="18"/>
                <w:szCs w:val="18"/>
              </w:rPr>
              <w:t>蒸汽（中压）</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3</w:t>
            </w:r>
            <w:r>
              <w:rPr>
                <w:rFonts w:ascii="Times New Roman"/>
                <w:sz w:val="18"/>
                <w:szCs w:val="18"/>
              </w:rPr>
              <w:t>042 kJ/</w:t>
            </w:r>
            <w:r>
              <w:rPr>
                <w:rFonts w:hint="eastAsia" w:ascii="Times New Roman"/>
                <w:sz w:val="18"/>
                <w:szCs w:val="18"/>
              </w:rPr>
              <w:t>kg</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0</w:t>
            </w:r>
            <w:r>
              <w:rPr>
                <w:rFonts w:ascii="Times New Roman"/>
                <w:sz w:val="18"/>
                <w:szCs w:val="18"/>
              </w:rPr>
              <w:t>.1038 kgce/</w:t>
            </w:r>
            <w:r>
              <w:rPr>
                <w:rFonts w:hint="eastAsia" w:ascii="Times New Roman"/>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hint="eastAsia" w:ascii="Times New Roman"/>
                <w:sz w:val="18"/>
                <w:szCs w:val="18"/>
              </w:rPr>
            </w:pPr>
            <w:r>
              <w:rPr>
                <w:rFonts w:hint="eastAsia" w:ascii="Times New Roman"/>
                <w:sz w:val="18"/>
                <w:szCs w:val="18"/>
              </w:rPr>
              <w:t>蒸汽（低压）</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2</w:t>
            </w:r>
            <w:r>
              <w:rPr>
                <w:rFonts w:ascii="Times New Roman"/>
                <w:sz w:val="18"/>
                <w:szCs w:val="18"/>
              </w:rPr>
              <w:t>866 kJ/</w:t>
            </w:r>
            <w:r>
              <w:rPr>
                <w:rFonts w:hint="eastAsia" w:ascii="Times New Roman"/>
                <w:sz w:val="18"/>
                <w:szCs w:val="18"/>
              </w:rPr>
              <w:t>kg</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0</w:t>
            </w:r>
            <w:r>
              <w:rPr>
                <w:rFonts w:ascii="Times New Roman"/>
                <w:sz w:val="18"/>
                <w:szCs w:val="18"/>
              </w:rPr>
              <w:t>.0978 kgce/</w:t>
            </w:r>
            <w:r>
              <w:rPr>
                <w:rFonts w:hint="eastAsia" w:ascii="Times New Roman"/>
                <w:sz w:val="18"/>
                <w:szCs w:val="18"/>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hint="eastAsia" w:ascii="Times New Roman"/>
                <w:sz w:val="18"/>
                <w:szCs w:val="18"/>
              </w:rPr>
            </w:pPr>
            <w:r>
              <w:rPr>
                <w:rFonts w:hint="eastAsia" w:ascii="Times New Roman"/>
                <w:sz w:val="18"/>
                <w:szCs w:val="18"/>
              </w:rPr>
              <w:t>压缩空气</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4</w:t>
            </w:r>
            <w:r>
              <w:rPr>
                <w:rFonts w:ascii="Times New Roman"/>
                <w:sz w:val="18"/>
                <w:szCs w:val="18"/>
              </w:rPr>
              <w:t>45 kJ/</w:t>
            </w:r>
            <w:r>
              <w:rPr>
                <w:rFonts w:hint="eastAsia" w:ascii="Times New Roman"/>
                <w:sz w:val="18"/>
                <w:szCs w:val="18"/>
              </w:rPr>
              <w:t>m</w:t>
            </w:r>
            <w:r>
              <w:rPr>
                <w:rFonts w:ascii="Times New Roman"/>
                <w:sz w:val="18"/>
                <w:szCs w:val="18"/>
                <w:vertAlign w:val="superscript"/>
              </w:rPr>
              <w:t>3</w:t>
            </w:r>
          </w:p>
        </w:tc>
        <w:tc>
          <w:tcPr>
            <w:tcW w:w="3115" w:type="dxa"/>
          </w:tcPr>
          <w:p>
            <w:pPr>
              <w:pStyle w:val="116"/>
              <w:numPr>
                <w:ilvl w:val="0"/>
                <w:numId w:val="0"/>
              </w:numPr>
              <w:jc w:val="center"/>
              <w:rPr>
                <w:rFonts w:hint="eastAsia" w:ascii="Times New Roman"/>
                <w:sz w:val="18"/>
                <w:szCs w:val="18"/>
              </w:rPr>
            </w:pPr>
            <w:r>
              <w:rPr>
                <w:rFonts w:hint="eastAsia" w:ascii="Times New Roman"/>
                <w:sz w:val="18"/>
                <w:szCs w:val="18"/>
              </w:rPr>
              <w:t>0</w:t>
            </w:r>
            <w:r>
              <w:rPr>
                <w:rFonts w:ascii="Times New Roman"/>
                <w:sz w:val="18"/>
                <w:szCs w:val="18"/>
              </w:rPr>
              <w:t>.0152 kgce/</w:t>
            </w:r>
            <w:r>
              <w:rPr>
                <w:rFonts w:hint="eastAsia" w:ascii="Times New Roman"/>
                <w:sz w:val="18"/>
                <w:szCs w:val="18"/>
              </w:rPr>
              <w:t>m</w:t>
            </w:r>
            <w:r>
              <w:rPr>
                <w:rFonts w:ascii="Times New Roman"/>
                <w:sz w:val="18"/>
                <w:szCs w:val="18"/>
                <w:vertAlign w:val="superscript"/>
              </w:rPr>
              <w:t>3</w:t>
            </w:r>
          </w:p>
        </w:tc>
      </w:tr>
    </w:tbl>
    <w:p>
      <w:pPr>
        <w:widowControl/>
        <w:jc w:val="left"/>
        <w:rPr>
          <w:kern w:val="0"/>
          <w:szCs w:val="20"/>
          <w:highlight w:val="yellow"/>
        </w:rPr>
      </w:pPr>
    </w:p>
    <w:p>
      <w:pPr>
        <w:widowControl/>
        <w:jc w:val="left"/>
        <w:rPr>
          <w:kern w:val="0"/>
          <w:szCs w:val="20"/>
          <w:highlight w:val="yellow"/>
        </w:rPr>
      </w:pPr>
    </w:p>
    <w:p>
      <w:pPr>
        <w:widowControl/>
        <w:jc w:val="left"/>
        <w:rPr>
          <w:kern w:val="0"/>
          <w:szCs w:val="20"/>
          <w:highlight w:val="yellow"/>
        </w:rPr>
      </w:pPr>
    </w:p>
    <w:p>
      <w:pPr>
        <w:widowControl/>
        <w:jc w:val="left"/>
        <w:rPr>
          <w:kern w:val="0"/>
          <w:szCs w:val="20"/>
          <w:highlight w:val="yellow"/>
        </w:rPr>
      </w:pPr>
      <w:r>
        <w:rPr>
          <w:kern w:val="0"/>
          <w:szCs w:val="20"/>
          <w:highlight w:val="yellow"/>
        </w:rPr>
        <mc:AlternateContent>
          <mc:Choice Requires="wps">
            <w:drawing>
              <wp:anchor distT="0" distB="0" distL="114300" distR="114300" simplePos="0" relativeHeight="251661312"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1312;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p>
      <w:pPr>
        <w:widowControl/>
        <w:jc w:val="left"/>
        <w:rPr>
          <w:rFonts w:hint="eastAsia"/>
          <w:kern w:val="0"/>
          <w:szCs w:val="20"/>
          <w:highlight w:val="yellow"/>
        </w:rPr>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rFonts w:ascii="Times New Roman"/>
        <w:color w:val="000000"/>
      </w:rPr>
    </w:pPr>
    <w:r>
      <w:rPr>
        <w:rFonts w:ascii="Times New Roman"/>
      </w:rPr>
      <w:t>T/SSEA XXXX-</w:t>
    </w:r>
    <w:r>
      <w:rPr>
        <w:rFonts w:ascii="Times New Roman"/>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3"/>
      <w:suff w:val="nothing"/>
      <w:lvlText w:val="%1   "/>
      <w:lvlJc w:val="left"/>
      <w:pPr>
        <w:ind w:left="1032" w:hanging="181"/>
      </w:pPr>
      <w:rPr>
        <w:rFonts w:hint="eastAsia" w:ascii="宋体" w:eastAsia="宋体"/>
        <w:b w:val="0"/>
        <w:i w:val="0"/>
        <w:sz w:val="18"/>
        <w:vertAlign w:val="superscript"/>
      </w:rPr>
    </w:lvl>
    <w:lvl w:ilvl="1" w:tentative="0">
      <w:start w:val="1"/>
      <w:numFmt w:val="lowerLetter"/>
      <w:lvlText w:val="%2"/>
      <w:lvlJc w:val="left"/>
      <w:pPr>
        <w:tabs>
          <w:tab w:val="left" w:pos="545"/>
        </w:tabs>
        <w:ind w:left="851" w:hanging="363"/>
      </w:pPr>
      <w:rPr>
        <w:rFonts w:hint="eastAsia"/>
      </w:rPr>
    </w:lvl>
    <w:lvl w:ilvl="2" w:tentative="0">
      <w:start w:val="1"/>
      <w:numFmt w:val="lowerRoman"/>
      <w:lvlText w:val="%3."/>
      <w:lvlJc w:val="right"/>
      <w:pPr>
        <w:tabs>
          <w:tab w:val="left" w:pos="545"/>
        </w:tabs>
        <w:ind w:left="851" w:hanging="363"/>
      </w:pPr>
      <w:rPr>
        <w:rFonts w:hint="eastAsia"/>
      </w:rPr>
    </w:lvl>
    <w:lvl w:ilvl="3" w:tentative="0">
      <w:start w:val="1"/>
      <w:numFmt w:val="decimal"/>
      <w:lvlText w:val="%4."/>
      <w:lvlJc w:val="left"/>
      <w:pPr>
        <w:tabs>
          <w:tab w:val="left" w:pos="545"/>
        </w:tabs>
        <w:ind w:left="851" w:hanging="363"/>
      </w:pPr>
      <w:rPr>
        <w:rFonts w:hint="eastAsia"/>
      </w:rPr>
    </w:lvl>
    <w:lvl w:ilvl="4" w:tentative="0">
      <w:start w:val="1"/>
      <w:numFmt w:val="lowerLetter"/>
      <w:lvlText w:val="%5)"/>
      <w:lvlJc w:val="left"/>
      <w:pPr>
        <w:tabs>
          <w:tab w:val="left" w:pos="545"/>
        </w:tabs>
        <w:ind w:left="851" w:hanging="363"/>
      </w:pPr>
      <w:rPr>
        <w:rFonts w:hint="eastAsia"/>
      </w:rPr>
    </w:lvl>
    <w:lvl w:ilvl="5" w:tentative="0">
      <w:start w:val="1"/>
      <w:numFmt w:val="lowerRoman"/>
      <w:lvlText w:val="%6."/>
      <w:lvlJc w:val="right"/>
      <w:pPr>
        <w:tabs>
          <w:tab w:val="left" w:pos="545"/>
        </w:tabs>
        <w:ind w:left="851" w:hanging="363"/>
      </w:pPr>
      <w:rPr>
        <w:rFonts w:hint="eastAsia"/>
      </w:rPr>
    </w:lvl>
    <w:lvl w:ilvl="6" w:tentative="0">
      <w:start w:val="1"/>
      <w:numFmt w:val="decimal"/>
      <w:lvlText w:val="%7."/>
      <w:lvlJc w:val="left"/>
      <w:pPr>
        <w:tabs>
          <w:tab w:val="left" w:pos="545"/>
        </w:tabs>
        <w:ind w:left="851" w:hanging="363"/>
      </w:pPr>
      <w:rPr>
        <w:rFonts w:hint="eastAsia"/>
      </w:rPr>
    </w:lvl>
    <w:lvl w:ilvl="7" w:tentative="0">
      <w:start w:val="1"/>
      <w:numFmt w:val="lowerLetter"/>
      <w:lvlText w:val="%8)"/>
      <w:lvlJc w:val="left"/>
      <w:pPr>
        <w:tabs>
          <w:tab w:val="left" w:pos="545"/>
        </w:tabs>
        <w:ind w:left="851" w:hanging="363"/>
      </w:pPr>
      <w:rPr>
        <w:rFonts w:hint="eastAsia"/>
      </w:rPr>
    </w:lvl>
    <w:lvl w:ilvl="8" w:tentative="0">
      <w:start w:val="1"/>
      <w:numFmt w:val="lowerRoman"/>
      <w:lvlText w:val="%9."/>
      <w:lvlJc w:val="right"/>
      <w:pPr>
        <w:tabs>
          <w:tab w:val="left" w:pos="545"/>
        </w:tabs>
        <w:ind w:left="851" w:hanging="363"/>
      </w:pPr>
      <w:rPr>
        <w:rFonts w:hint="eastAsia"/>
      </w:rPr>
    </w:lvl>
  </w:abstractNum>
  <w:abstractNum w:abstractNumId="4">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cs="Times New Roman"/>
      </w:rPr>
    </w:lvl>
    <w:lvl w:ilvl="2" w:tentative="0">
      <w:start w:val="1"/>
      <w:numFmt w:val="decimal"/>
      <w:pStyle w:val="56"/>
      <w:suff w:val="nothing"/>
      <w:lvlText w:val="%1.%2.%3　"/>
      <w:lvlJc w:val="left"/>
      <w:pPr>
        <w:ind w:left="1701"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1706"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142" w:firstLine="0"/>
      </w:pPr>
      <w:rPr>
        <w:rFonts w:hint="eastAsia" w:ascii="黑体" w:hAnsi="Times New Roman" w:eastAsia="黑体"/>
        <w:b w:val="0"/>
        <w:i w:val="0"/>
        <w:sz w:val="21"/>
      </w:rPr>
    </w:lvl>
    <w:lvl w:ilvl="5" w:tentative="0">
      <w:start w:val="1"/>
      <w:numFmt w:val="decimal"/>
      <w:pStyle w:val="104"/>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209"/>
        </w:tabs>
        <w:ind w:left="3827" w:hanging="1418"/>
      </w:pPr>
      <w:rPr>
        <w:rFonts w:hint="eastAsia"/>
      </w:rPr>
    </w:lvl>
    <w:lvl w:ilvl="8" w:tentative="0">
      <w:start w:val="1"/>
      <w:numFmt w:val="decimal"/>
      <w:lvlText w:val="%1.%2.%3.%4.%5.%6.%7.%8.%9"/>
      <w:lvlJc w:val="left"/>
      <w:pPr>
        <w:tabs>
          <w:tab w:val="left" w:pos="4635"/>
        </w:tabs>
        <w:ind w:left="4535" w:hanging="1700"/>
      </w:pPr>
      <w:rPr>
        <w:rFonts w:hint="eastAsia"/>
      </w:rPr>
    </w:lvl>
  </w:abstractNum>
  <w:abstractNum w:abstractNumId="6">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8"/>
  </w:num>
  <w:num w:numId="2">
    <w:abstractNumId w:val="3"/>
  </w:num>
  <w:num w:numId="3">
    <w:abstractNumId w:val="5"/>
  </w:num>
  <w:num w:numId="4">
    <w:abstractNumId w:val="1"/>
  </w:num>
  <w:num w:numId="5">
    <w:abstractNumId w:val="7"/>
  </w:num>
  <w:num w:numId="6">
    <w:abstractNumId w:val="12"/>
  </w:num>
  <w:num w:numId="7">
    <w:abstractNumId w:val="14"/>
  </w:num>
  <w:num w:numId="8">
    <w:abstractNumId w:val="10"/>
  </w:num>
  <w:num w:numId="9">
    <w:abstractNumId w:val="11"/>
  </w:num>
  <w:num w:numId="10">
    <w:abstractNumId w:val="9"/>
  </w:num>
  <w:num w:numId="11">
    <w:abstractNumId w:val="13"/>
  </w:num>
  <w:num w:numId="12">
    <w:abstractNumId w:val="16"/>
  </w:num>
  <w:num w:numId="13">
    <w:abstractNumId w:val="15"/>
  </w:num>
  <w:num w:numId="14">
    <w:abstractNumId w:val="6"/>
  </w:num>
  <w:num w:numId="15">
    <w:abstractNumId w:val="2"/>
  </w:num>
  <w:num w:numId="16">
    <w:abstractNumId w:val="4"/>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NDczZWM3YmYxYTZhYTZhNTQxN2U1MmY2ODQyMTMifQ=="/>
  </w:docVars>
  <w:rsids>
    <w:rsidRoot w:val="00172A27"/>
    <w:rsid w:val="00000244"/>
    <w:rsid w:val="0000185F"/>
    <w:rsid w:val="0000586F"/>
    <w:rsid w:val="00005D79"/>
    <w:rsid w:val="00007340"/>
    <w:rsid w:val="00013D86"/>
    <w:rsid w:val="00013E02"/>
    <w:rsid w:val="00014ED3"/>
    <w:rsid w:val="00016F30"/>
    <w:rsid w:val="0002143C"/>
    <w:rsid w:val="00022016"/>
    <w:rsid w:val="0002241A"/>
    <w:rsid w:val="000230F0"/>
    <w:rsid w:val="00025A65"/>
    <w:rsid w:val="00026977"/>
    <w:rsid w:val="00026C31"/>
    <w:rsid w:val="00027280"/>
    <w:rsid w:val="000306E3"/>
    <w:rsid w:val="000320A7"/>
    <w:rsid w:val="0003560A"/>
    <w:rsid w:val="00035925"/>
    <w:rsid w:val="000366F4"/>
    <w:rsid w:val="00037DAC"/>
    <w:rsid w:val="00041127"/>
    <w:rsid w:val="00045C9B"/>
    <w:rsid w:val="000466F7"/>
    <w:rsid w:val="000639E9"/>
    <w:rsid w:val="00063E76"/>
    <w:rsid w:val="0006738B"/>
    <w:rsid w:val="00067CDF"/>
    <w:rsid w:val="00074B69"/>
    <w:rsid w:val="00074FBE"/>
    <w:rsid w:val="000772BB"/>
    <w:rsid w:val="000772DD"/>
    <w:rsid w:val="000822C7"/>
    <w:rsid w:val="00083A09"/>
    <w:rsid w:val="00087B52"/>
    <w:rsid w:val="0009005E"/>
    <w:rsid w:val="00090E08"/>
    <w:rsid w:val="00092857"/>
    <w:rsid w:val="000A20A9"/>
    <w:rsid w:val="000A48B1"/>
    <w:rsid w:val="000A5495"/>
    <w:rsid w:val="000B2011"/>
    <w:rsid w:val="000B2923"/>
    <w:rsid w:val="000B3143"/>
    <w:rsid w:val="000B6872"/>
    <w:rsid w:val="000C30C7"/>
    <w:rsid w:val="000C6B05"/>
    <w:rsid w:val="000C6DD6"/>
    <w:rsid w:val="000C73D4"/>
    <w:rsid w:val="000D3D4C"/>
    <w:rsid w:val="000D4406"/>
    <w:rsid w:val="000D4505"/>
    <w:rsid w:val="000D4F51"/>
    <w:rsid w:val="000D610F"/>
    <w:rsid w:val="000D6E7C"/>
    <w:rsid w:val="000D718B"/>
    <w:rsid w:val="000E0C46"/>
    <w:rsid w:val="000E30A6"/>
    <w:rsid w:val="000E3EC7"/>
    <w:rsid w:val="000E6242"/>
    <w:rsid w:val="000F030C"/>
    <w:rsid w:val="000F04B4"/>
    <w:rsid w:val="000F129C"/>
    <w:rsid w:val="000F6957"/>
    <w:rsid w:val="000F6F0C"/>
    <w:rsid w:val="001056DE"/>
    <w:rsid w:val="00105C52"/>
    <w:rsid w:val="00107091"/>
    <w:rsid w:val="00107602"/>
    <w:rsid w:val="00111863"/>
    <w:rsid w:val="001124C0"/>
    <w:rsid w:val="00125647"/>
    <w:rsid w:val="001278EF"/>
    <w:rsid w:val="0013175F"/>
    <w:rsid w:val="00140CE2"/>
    <w:rsid w:val="001512B4"/>
    <w:rsid w:val="00152179"/>
    <w:rsid w:val="00156D41"/>
    <w:rsid w:val="0016056B"/>
    <w:rsid w:val="001620A5"/>
    <w:rsid w:val="00164BEC"/>
    <w:rsid w:val="00164E53"/>
    <w:rsid w:val="0016699D"/>
    <w:rsid w:val="00167AD7"/>
    <w:rsid w:val="001701E9"/>
    <w:rsid w:val="00170F6D"/>
    <w:rsid w:val="0017259F"/>
    <w:rsid w:val="00172A27"/>
    <w:rsid w:val="00175159"/>
    <w:rsid w:val="00176208"/>
    <w:rsid w:val="0018211B"/>
    <w:rsid w:val="00182D67"/>
    <w:rsid w:val="001830E2"/>
    <w:rsid w:val="001840D3"/>
    <w:rsid w:val="00187A9A"/>
    <w:rsid w:val="001900F8"/>
    <w:rsid w:val="00191258"/>
    <w:rsid w:val="00192680"/>
    <w:rsid w:val="00193037"/>
    <w:rsid w:val="00193A2C"/>
    <w:rsid w:val="001A01D4"/>
    <w:rsid w:val="001A0932"/>
    <w:rsid w:val="001A25CD"/>
    <w:rsid w:val="001A288E"/>
    <w:rsid w:val="001A32EE"/>
    <w:rsid w:val="001B6DC2"/>
    <w:rsid w:val="001C039C"/>
    <w:rsid w:val="001C05F1"/>
    <w:rsid w:val="001C149C"/>
    <w:rsid w:val="001C21AC"/>
    <w:rsid w:val="001C47BA"/>
    <w:rsid w:val="001C59EA"/>
    <w:rsid w:val="001D406C"/>
    <w:rsid w:val="001D41EE"/>
    <w:rsid w:val="001E0380"/>
    <w:rsid w:val="001E13B1"/>
    <w:rsid w:val="001E4931"/>
    <w:rsid w:val="001E55B7"/>
    <w:rsid w:val="001E69DB"/>
    <w:rsid w:val="001F22E7"/>
    <w:rsid w:val="001F3A19"/>
    <w:rsid w:val="0020415E"/>
    <w:rsid w:val="00210BFB"/>
    <w:rsid w:val="0022046A"/>
    <w:rsid w:val="002243B9"/>
    <w:rsid w:val="00231142"/>
    <w:rsid w:val="00231970"/>
    <w:rsid w:val="002332A1"/>
    <w:rsid w:val="0023428E"/>
    <w:rsid w:val="00234467"/>
    <w:rsid w:val="00237D8D"/>
    <w:rsid w:val="00240FE6"/>
    <w:rsid w:val="00241DA2"/>
    <w:rsid w:val="00243ED3"/>
    <w:rsid w:val="00245B95"/>
    <w:rsid w:val="00247FEE"/>
    <w:rsid w:val="00250E7D"/>
    <w:rsid w:val="002565D5"/>
    <w:rsid w:val="00257C39"/>
    <w:rsid w:val="002622C0"/>
    <w:rsid w:val="00262D2E"/>
    <w:rsid w:val="00264ABF"/>
    <w:rsid w:val="002665C3"/>
    <w:rsid w:val="00267641"/>
    <w:rsid w:val="00276B08"/>
    <w:rsid w:val="002778AE"/>
    <w:rsid w:val="002807AB"/>
    <w:rsid w:val="0028130E"/>
    <w:rsid w:val="00281919"/>
    <w:rsid w:val="002824CB"/>
    <w:rsid w:val="0028269A"/>
    <w:rsid w:val="00283590"/>
    <w:rsid w:val="002836E6"/>
    <w:rsid w:val="00286973"/>
    <w:rsid w:val="00287216"/>
    <w:rsid w:val="002904AF"/>
    <w:rsid w:val="00290F60"/>
    <w:rsid w:val="00293C23"/>
    <w:rsid w:val="00294E70"/>
    <w:rsid w:val="00295B84"/>
    <w:rsid w:val="00296FB8"/>
    <w:rsid w:val="002A06B3"/>
    <w:rsid w:val="002A1924"/>
    <w:rsid w:val="002A7420"/>
    <w:rsid w:val="002B0CEE"/>
    <w:rsid w:val="002B0F12"/>
    <w:rsid w:val="002B1308"/>
    <w:rsid w:val="002B4554"/>
    <w:rsid w:val="002C2696"/>
    <w:rsid w:val="002C42FF"/>
    <w:rsid w:val="002C72D8"/>
    <w:rsid w:val="002D11FA"/>
    <w:rsid w:val="002E0DDF"/>
    <w:rsid w:val="002E2906"/>
    <w:rsid w:val="002E5635"/>
    <w:rsid w:val="002E64C3"/>
    <w:rsid w:val="002E6A2C"/>
    <w:rsid w:val="002F1D8C"/>
    <w:rsid w:val="002F21DA"/>
    <w:rsid w:val="002F3F0D"/>
    <w:rsid w:val="002F42E2"/>
    <w:rsid w:val="002F57F3"/>
    <w:rsid w:val="002F5C1B"/>
    <w:rsid w:val="003015F6"/>
    <w:rsid w:val="00301F39"/>
    <w:rsid w:val="00301F9F"/>
    <w:rsid w:val="00305812"/>
    <w:rsid w:val="003073E0"/>
    <w:rsid w:val="00310478"/>
    <w:rsid w:val="00317A37"/>
    <w:rsid w:val="0032071A"/>
    <w:rsid w:val="00320D3D"/>
    <w:rsid w:val="003213CB"/>
    <w:rsid w:val="00325926"/>
    <w:rsid w:val="00327A8A"/>
    <w:rsid w:val="00336610"/>
    <w:rsid w:val="00343F73"/>
    <w:rsid w:val="00345060"/>
    <w:rsid w:val="00350323"/>
    <w:rsid w:val="00350BC9"/>
    <w:rsid w:val="0035323B"/>
    <w:rsid w:val="00353C53"/>
    <w:rsid w:val="00355CB5"/>
    <w:rsid w:val="00356876"/>
    <w:rsid w:val="003609D2"/>
    <w:rsid w:val="00363F22"/>
    <w:rsid w:val="003650D5"/>
    <w:rsid w:val="003659A4"/>
    <w:rsid w:val="00366467"/>
    <w:rsid w:val="00370570"/>
    <w:rsid w:val="0037473D"/>
    <w:rsid w:val="00375564"/>
    <w:rsid w:val="00375DBE"/>
    <w:rsid w:val="0037662F"/>
    <w:rsid w:val="003768C0"/>
    <w:rsid w:val="003779C2"/>
    <w:rsid w:val="00377A9C"/>
    <w:rsid w:val="00383191"/>
    <w:rsid w:val="00385125"/>
    <w:rsid w:val="003852DB"/>
    <w:rsid w:val="00386DED"/>
    <w:rsid w:val="00390FE1"/>
    <w:rsid w:val="003912E7"/>
    <w:rsid w:val="0039140F"/>
    <w:rsid w:val="00393947"/>
    <w:rsid w:val="003A1F65"/>
    <w:rsid w:val="003A2275"/>
    <w:rsid w:val="003A48CA"/>
    <w:rsid w:val="003A6A4F"/>
    <w:rsid w:val="003A7088"/>
    <w:rsid w:val="003B00DF"/>
    <w:rsid w:val="003B1275"/>
    <w:rsid w:val="003B1778"/>
    <w:rsid w:val="003B4E62"/>
    <w:rsid w:val="003C11CB"/>
    <w:rsid w:val="003C75F3"/>
    <w:rsid w:val="003C78A3"/>
    <w:rsid w:val="003D3D76"/>
    <w:rsid w:val="003D5161"/>
    <w:rsid w:val="003D721E"/>
    <w:rsid w:val="003E0D6C"/>
    <w:rsid w:val="003E1867"/>
    <w:rsid w:val="003E38EB"/>
    <w:rsid w:val="003E4DAE"/>
    <w:rsid w:val="003E5729"/>
    <w:rsid w:val="003E5A57"/>
    <w:rsid w:val="003F4EE0"/>
    <w:rsid w:val="004009E5"/>
    <w:rsid w:val="00400C28"/>
    <w:rsid w:val="00402153"/>
    <w:rsid w:val="00402FC1"/>
    <w:rsid w:val="004134DD"/>
    <w:rsid w:val="00415CE8"/>
    <w:rsid w:val="004166CD"/>
    <w:rsid w:val="0041793A"/>
    <w:rsid w:val="00423779"/>
    <w:rsid w:val="004239C2"/>
    <w:rsid w:val="00423DBC"/>
    <w:rsid w:val="00424D2A"/>
    <w:rsid w:val="00425082"/>
    <w:rsid w:val="00431DEB"/>
    <w:rsid w:val="00433A5C"/>
    <w:rsid w:val="004344A6"/>
    <w:rsid w:val="00444ABC"/>
    <w:rsid w:val="00446B29"/>
    <w:rsid w:val="00453F9A"/>
    <w:rsid w:val="0045659F"/>
    <w:rsid w:val="00462311"/>
    <w:rsid w:val="004678FA"/>
    <w:rsid w:val="00467E26"/>
    <w:rsid w:val="00471E91"/>
    <w:rsid w:val="00472AF6"/>
    <w:rsid w:val="00472C6E"/>
    <w:rsid w:val="004739BC"/>
    <w:rsid w:val="00474675"/>
    <w:rsid w:val="0047470C"/>
    <w:rsid w:val="004851C9"/>
    <w:rsid w:val="00485828"/>
    <w:rsid w:val="004A029F"/>
    <w:rsid w:val="004A0900"/>
    <w:rsid w:val="004A3380"/>
    <w:rsid w:val="004A35F9"/>
    <w:rsid w:val="004B24C1"/>
    <w:rsid w:val="004B2F2F"/>
    <w:rsid w:val="004B3527"/>
    <w:rsid w:val="004B536C"/>
    <w:rsid w:val="004B7A61"/>
    <w:rsid w:val="004C0DE4"/>
    <w:rsid w:val="004C292F"/>
    <w:rsid w:val="004C52B4"/>
    <w:rsid w:val="004D0316"/>
    <w:rsid w:val="004D197C"/>
    <w:rsid w:val="004E32EA"/>
    <w:rsid w:val="004E3FD1"/>
    <w:rsid w:val="004E4034"/>
    <w:rsid w:val="004E7695"/>
    <w:rsid w:val="004F10FB"/>
    <w:rsid w:val="004F11CA"/>
    <w:rsid w:val="004F3DE1"/>
    <w:rsid w:val="004F6E84"/>
    <w:rsid w:val="00502194"/>
    <w:rsid w:val="005040B4"/>
    <w:rsid w:val="00510280"/>
    <w:rsid w:val="005107C9"/>
    <w:rsid w:val="00512425"/>
    <w:rsid w:val="00513D73"/>
    <w:rsid w:val="00514A43"/>
    <w:rsid w:val="005174E5"/>
    <w:rsid w:val="00522393"/>
    <w:rsid w:val="0052251C"/>
    <w:rsid w:val="00522620"/>
    <w:rsid w:val="00524F1A"/>
    <w:rsid w:val="00525656"/>
    <w:rsid w:val="005266BB"/>
    <w:rsid w:val="005317FE"/>
    <w:rsid w:val="00534C02"/>
    <w:rsid w:val="00534D29"/>
    <w:rsid w:val="00534EC9"/>
    <w:rsid w:val="0053668C"/>
    <w:rsid w:val="0054108C"/>
    <w:rsid w:val="0054264B"/>
    <w:rsid w:val="00543786"/>
    <w:rsid w:val="00545E5F"/>
    <w:rsid w:val="00550AC2"/>
    <w:rsid w:val="005521BC"/>
    <w:rsid w:val="005533D7"/>
    <w:rsid w:val="005539AE"/>
    <w:rsid w:val="00557F34"/>
    <w:rsid w:val="00563AD6"/>
    <w:rsid w:val="00565643"/>
    <w:rsid w:val="00565692"/>
    <w:rsid w:val="005703DE"/>
    <w:rsid w:val="00575169"/>
    <w:rsid w:val="00582554"/>
    <w:rsid w:val="005828EB"/>
    <w:rsid w:val="0058464E"/>
    <w:rsid w:val="00587FD0"/>
    <w:rsid w:val="00592C13"/>
    <w:rsid w:val="0059333D"/>
    <w:rsid w:val="00594AEB"/>
    <w:rsid w:val="00597CC3"/>
    <w:rsid w:val="005A01CB"/>
    <w:rsid w:val="005A58FF"/>
    <w:rsid w:val="005A5EAF"/>
    <w:rsid w:val="005A64C0"/>
    <w:rsid w:val="005B12B4"/>
    <w:rsid w:val="005B3C11"/>
    <w:rsid w:val="005B3CB5"/>
    <w:rsid w:val="005B6E15"/>
    <w:rsid w:val="005B73B1"/>
    <w:rsid w:val="005C1190"/>
    <w:rsid w:val="005C1C28"/>
    <w:rsid w:val="005C40BF"/>
    <w:rsid w:val="005C6978"/>
    <w:rsid w:val="005C6DB5"/>
    <w:rsid w:val="005C7E1D"/>
    <w:rsid w:val="005D347A"/>
    <w:rsid w:val="005D4E43"/>
    <w:rsid w:val="005D5266"/>
    <w:rsid w:val="005D7425"/>
    <w:rsid w:val="005E0135"/>
    <w:rsid w:val="005E19E7"/>
    <w:rsid w:val="005E25EE"/>
    <w:rsid w:val="005E4180"/>
    <w:rsid w:val="005E6105"/>
    <w:rsid w:val="005E6661"/>
    <w:rsid w:val="005E71F4"/>
    <w:rsid w:val="005F0BE9"/>
    <w:rsid w:val="005F1913"/>
    <w:rsid w:val="005F2504"/>
    <w:rsid w:val="005F350E"/>
    <w:rsid w:val="005F7EFC"/>
    <w:rsid w:val="00603CAD"/>
    <w:rsid w:val="00604D26"/>
    <w:rsid w:val="0061716C"/>
    <w:rsid w:val="006243A1"/>
    <w:rsid w:val="0062500E"/>
    <w:rsid w:val="0063099E"/>
    <w:rsid w:val="0063111E"/>
    <w:rsid w:val="00632E56"/>
    <w:rsid w:val="00634774"/>
    <w:rsid w:val="00635CBA"/>
    <w:rsid w:val="00641A9B"/>
    <w:rsid w:val="00641C62"/>
    <w:rsid w:val="006423A6"/>
    <w:rsid w:val="0064338B"/>
    <w:rsid w:val="00646542"/>
    <w:rsid w:val="00646A44"/>
    <w:rsid w:val="00646A5E"/>
    <w:rsid w:val="006471BF"/>
    <w:rsid w:val="006504F4"/>
    <w:rsid w:val="00650ABF"/>
    <w:rsid w:val="0065170E"/>
    <w:rsid w:val="00651A94"/>
    <w:rsid w:val="00651D37"/>
    <w:rsid w:val="00652A8E"/>
    <w:rsid w:val="00654BC9"/>
    <w:rsid w:val="006552FD"/>
    <w:rsid w:val="006554A5"/>
    <w:rsid w:val="006607D4"/>
    <w:rsid w:val="00662723"/>
    <w:rsid w:val="00663AF3"/>
    <w:rsid w:val="00666B6C"/>
    <w:rsid w:val="00676D9C"/>
    <w:rsid w:val="0067773B"/>
    <w:rsid w:val="00682682"/>
    <w:rsid w:val="00682702"/>
    <w:rsid w:val="0068531A"/>
    <w:rsid w:val="006862EB"/>
    <w:rsid w:val="00692368"/>
    <w:rsid w:val="00692D89"/>
    <w:rsid w:val="006A2EBC"/>
    <w:rsid w:val="006A5EA0"/>
    <w:rsid w:val="006A70C5"/>
    <w:rsid w:val="006A783B"/>
    <w:rsid w:val="006A7AEB"/>
    <w:rsid w:val="006A7B33"/>
    <w:rsid w:val="006B0009"/>
    <w:rsid w:val="006B4E13"/>
    <w:rsid w:val="006B75DD"/>
    <w:rsid w:val="006B761B"/>
    <w:rsid w:val="006C3EC4"/>
    <w:rsid w:val="006C4C67"/>
    <w:rsid w:val="006C558C"/>
    <w:rsid w:val="006C5EC8"/>
    <w:rsid w:val="006C67E0"/>
    <w:rsid w:val="006C7ABA"/>
    <w:rsid w:val="006D08F4"/>
    <w:rsid w:val="006D0D60"/>
    <w:rsid w:val="006D1122"/>
    <w:rsid w:val="006D3C00"/>
    <w:rsid w:val="006D4D2E"/>
    <w:rsid w:val="006D4D40"/>
    <w:rsid w:val="006E3675"/>
    <w:rsid w:val="006E4A7F"/>
    <w:rsid w:val="006E5E69"/>
    <w:rsid w:val="006E6D6C"/>
    <w:rsid w:val="006E7A32"/>
    <w:rsid w:val="006E7B67"/>
    <w:rsid w:val="006F2AB3"/>
    <w:rsid w:val="00702335"/>
    <w:rsid w:val="00704DF6"/>
    <w:rsid w:val="00706363"/>
    <w:rsid w:val="0070651C"/>
    <w:rsid w:val="00707D93"/>
    <w:rsid w:val="00711B5A"/>
    <w:rsid w:val="00712575"/>
    <w:rsid w:val="007132A3"/>
    <w:rsid w:val="00713BF8"/>
    <w:rsid w:val="00716421"/>
    <w:rsid w:val="00717651"/>
    <w:rsid w:val="00724EFB"/>
    <w:rsid w:val="007261EF"/>
    <w:rsid w:val="00727F16"/>
    <w:rsid w:val="00732949"/>
    <w:rsid w:val="00737931"/>
    <w:rsid w:val="007410DC"/>
    <w:rsid w:val="007419C3"/>
    <w:rsid w:val="00742652"/>
    <w:rsid w:val="00743318"/>
    <w:rsid w:val="00743B4A"/>
    <w:rsid w:val="007467A7"/>
    <w:rsid w:val="007469DD"/>
    <w:rsid w:val="00747275"/>
    <w:rsid w:val="0074741B"/>
    <w:rsid w:val="0074759E"/>
    <w:rsid w:val="007478EA"/>
    <w:rsid w:val="00750DC8"/>
    <w:rsid w:val="00753E0E"/>
    <w:rsid w:val="0075415C"/>
    <w:rsid w:val="00754F6E"/>
    <w:rsid w:val="00757CA6"/>
    <w:rsid w:val="00762C3C"/>
    <w:rsid w:val="00763502"/>
    <w:rsid w:val="00764C9D"/>
    <w:rsid w:val="00765463"/>
    <w:rsid w:val="00767D83"/>
    <w:rsid w:val="00774E9B"/>
    <w:rsid w:val="00776E00"/>
    <w:rsid w:val="00777400"/>
    <w:rsid w:val="007848C5"/>
    <w:rsid w:val="00784DB9"/>
    <w:rsid w:val="007913AB"/>
    <w:rsid w:val="007914F7"/>
    <w:rsid w:val="007930AA"/>
    <w:rsid w:val="00793762"/>
    <w:rsid w:val="00794ABB"/>
    <w:rsid w:val="00797015"/>
    <w:rsid w:val="0079710D"/>
    <w:rsid w:val="007A33F9"/>
    <w:rsid w:val="007B0C68"/>
    <w:rsid w:val="007B1625"/>
    <w:rsid w:val="007B2862"/>
    <w:rsid w:val="007B2AA6"/>
    <w:rsid w:val="007B53D7"/>
    <w:rsid w:val="007B6530"/>
    <w:rsid w:val="007B706E"/>
    <w:rsid w:val="007B71EB"/>
    <w:rsid w:val="007B7F4D"/>
    <w:rsid w:val="007C31CC"/>
    <w:rsid w:val="007C6205"/>
    <w:rsid w:val="007C686A"/>
    <w:rsid w:val="007C728E"/>
    <w:rsid w:val="007D1EED"/>
    <w:rsid w:val="007D2C53"/>
    <w:rsid w:val="007D3D60"/>
    <w:rsid w:val="007E1980"/>
    <w:rsid w:val="007E4B76"/>
    <w:rsid w:val="007E4C8A"/>
    <w:rsid w:val="007E5EA8"/>
    <w:rsid w:val="007F0996"/>
    <w:rsid w:val="007F0CF1"/>
    <w:rsid w:val="007F12A5"/>
    <w:rsid w:val="007F1F9E"/>
    <w:rsid w:val="007F2E82"/>
    <w:rsid w:val="007F3B0B"/>
    <w:rsid w:val="007F4CF1"/>
    <w:rsid w:val="007F713F"/>
    <w:rsid w:val="007F758D"/>
    <w:rsid w:val="007F7D52"/>
    <w:rsid w:val="0080654C"/>
    <w:rsid w:val="008071C6"/>
    <w:rsid w:val="00810475"/>
    <w:rsid w:val="00811E5C"/>
    <w:rsid w:val="00814A81"/>
    <w:rsid w:val="00815237"/>
    <w:rsid w:val="00815F90"/>
    <w:rsid w:val="00817A00"/>
    <w:rsid w:val="00821C5F"/>
    <w:rsid w:val="00827BF7"/>
    <w:rsid w:val="00832E41"/>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2C2"/>
    <w:rsid w:val="0087773E"/>
    <w:rsid w:val="00877910"/>
    <w:rsid w:val="00882D2B"/>
    <w:rsid w:val="008856D8"/>
    <w:rsid w:val="00892E82"/>
    <w:rsid w:val="008949A7"/>
    <w:rsid w:val="008B442D"/>
    <w:rsid w:val="008C0D91"/>
    <w:rsid w:val="008C1B58"/>
    <w:rsid w:val="008C262F"/>
    <w:rsid w:val="008C39AE"/>
    <w:rsid w:val="008C590D"/>
    <w:rsid w:val="008C5F12"/>
    <w:rsid w:val="008D009D"/>
    <w:rsid w:val="008D250B"/>
    <w:rsid w:val="008D4EA9"/>
    <w:rsid w:val="008D5C33"/>
    <w:rsid w:val="008D7B45"/>
    <w:rsid w:val="008E031B"/>
    <w:rsid w:val="008E1B17"/>
    <w:rsid w:val="008E2388"/>
    <w:rsid w:val="008E4014"/>
    <w:rsid w:val="008E464D"/>
    <w:rsid w:val="008E60E2"/>
    <w:rsid w:val="008E6259"/>
    <w:rsid w:val="008E7029"/>
    <w:rsid w:val="008E7EF6"/>
    <w:rsid w:val="008F1F98"/>
    <w:rsid w:val="008F5765"/>
    <w:rsid w:val="008F6758"/>
    <w:rsid w:val="00902A08"/>
    <w:rsid w:val="0090326F"/>
    <w:rsid w:val="009040DD"/>
    <w:rsid w:val="00905B47"/>
    <w:rsid w:val="0091318B"/>
    <w:rsid w:val="0091331C"/>
    <w:rsid w:val="0091457E"/>
    <w:rsid w:val="00917DEE"/>
    <w:rsid w:val="009236CF"/>
    <w:rsid w:val="009240E8"/>
    <w:rsid w:val="00924BEA"/>
    <w:rsid w:val="00926601"/>
    <w:rsid w:val="009279DE"/>
    <w:rsid w:val="00930116"/>
    <w:rsid w:val="00935838"/>
    <w:rsid w:val="00936007"/>
    <w:rsid w:val="009363F2"/>
    <w:rsid w:val="0093742D"/>
    <w:rsid w:val="00940FAC"/>
    <w:rsid w:val="0094212C"/>
    <w:rsid w:val="009421BE"/>
    <w:rsid w:val="00946042"/>
    <w:rsid w:val="009504BC"/>
    <w:rsid w:val="009507F6"/>
    <w:rsid w:val="00950899"/>
    <w:rsid w:val="00951612"/>
    <w:rsid w:val="00951D89"/>
    <w:rsid w:val="009520CA"/>
    <w:rsid w:val="0095445B"/>
    <w:rsid w:val="00954689"/>
    <w:rsid w:val="009562D4"/>
    <w:rsid w:val="0095636A"/>
    <w:rsid w:val="009602EB"/>
    <w:rsid w:val="00960922"/>
    <w:rsid w:val="009617C9"/>
    <w:rsid w:val="00961C93"/>
    <w:rsid w:val="00963087"/>
    <w:rsid w:val="00965324"/>
    <w:rsid w:val="0097091E"/>
    <w:rsid w:val="0097312C"/>
    <w:rsid w:val="009760D3"/>
    <w:rsid w:val="00977132"/>
    <w:rsid w:val="00980089"/>
    <w:rsid w:val="00981A4B"/>
    <w:rsid w:val="00982501"/>
    <w:rsid w:val="00983ACE"/>
    <w:rsid w:val="00987386"/>
    <w:rsid w:val="009877D3"/>
    <w:rsid w:val="00994408"/>
    <w:rsid w:val="00994E8F"/>
    <w:rsid w:val="009951DC"/>
    <w:rsid w:val="009959BB"/>
    <w:rsid w:val="00996669"/>
    <w:rsid w:val="00997158"/>
    <w:rsid w:val="009A3A7C"/>
    <w:rsid w:val="009A65E2"/>
    <w:rsid w:val="009A6DC9"/>
    <w:rsid w:val="009A7F6F"/>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6964"/>
    <w:rsid w:val="00A07F34"/>
    <w:rsid w:val="00A15157"/>
    <w:rsid w:val="00A20C5E"/>
    <w:rsid w:val="00A22154"/>
    <w:rsid w:val="00A24393"/>
    <w:rsid w:val="00A25C38"/>
    <w:rsid w:val="00A26308"/>
    <w:rsid w:val="00A26A96"/>
    <w:rsid w:val="00A27215"/>
    <w:rsid w:val="00A27B20"/>
    <w:rsid w:val="00A31334"/>
    <w:rsid w:val="00A34D69"/>
    <w:rsid w:val="00A36BBE"/>
    <w:rsid w:val="00A41191"/>
    <w:rsid w:val="00A4307A"/>
    <w:rsid w:val="00A43097"/>
    <w:rsid w:val="00A47EBB"/>
    <w:rsid w:val="00A50675"/>
    <w:rsid w:val="00A51CDD"/>
    <w:rsid w:val="00A54252"/>
    <w:rsid w:val="00A54277"/>
    <w:rsid w:val="00A60937"/>
    <w:rsid w:val="00A6107E"/>
    <w:rsid w:val="00A6394B"/>
    <w:rsid w:val="00A64C69"/>
    <w:rsid w:val="00A6503B"/>
    <w:rsid w:val="00A67126"/>
    <w:rsid w:val="00A671A9"/>
    <w:rsid w:val="00A6730D"/>
    <w:rsid w:val="00A6746D"/>
    <w:rsid w:val="00A710F6"/>
    <w:rsid w:val="00A71625"/>
    <w:rsid w:val="00A71B9B"/>
    <w:rsid w:val="00A751C7"/>
    <w:rsid w:val="00A828DE"/>
    <w:rsid w:val="00A8492D"/>
    <w:rsid w:val="00A84D14"/>
    <w:rsid w:val="00A87844"/>
    <w:rsid w:val="00A9269C"/>
    <w:rsid w:val="00A92ADF"/>
    <w:rsid w:val="00A94C41"/>
    <w:rsid w:val="00A979EF"/>
    <w:rsid w:val="00AA038C"/>
    <w:rsid w:val="00AA1737"/>
    <w:rsid w:val="00AA7A09"/>
    <w:rsid w:val="00AB2D90"/>
    <w:rsid w:val="00AB3B50"/>
    <w:rsid w:val="00AB3C6A"/>
    <w:rsid w:val="00AB6384"/>
    <w:rsid w:val="00AC05B1"/>
    <w:rsid w:val="00AC6F5A"/>
    <w:rsid w:val="00AD1C43"/>
    <w:rsid w:val="00AD356C"/>
    <w:rsid w:val="00AD6C43"/>
    <w:rsid w:val="00AE1F57"/>
    <w:rsid w:val="00AE2914"/>
    <w:rsid w:val="00AE42A9"/>
    <w:rsid w:val="00AE6D15"/>
    <w:rsid w:val="00AE7BBA"/>
    <w:rsid w:val="00AF4D12"/>
    <w:rsid w:val="00AF534A"/>
    <w:rsid w:val="00AF5F62"/>
    <w:rsid w:val="00B01D5B"/>
    <w:rsid w:val="00B01FF6"/>
    <w:rsid w:val="00B04182"/>
    <w:rsid w:val="00B05210"/>
    <w:rsid w:val="00B07AE3"/>
    <w:rsid w:val="00B11430"/>
    <w:rsid w:val="00B157F4"/>
    <w:rsid w:val="00B261AA"/>
    <w:rsid w:val="00B3352A"/>
    <w:rsid w:val="00B34238"/>
    <w:rsid w:val="00B34A96"/>
    <w:rsid w:val="00B353EB"/>
    <w:rsid w:val="00B36260"/>
    <w:rsid w:val="00B40CC6"/>
    <w:rsid w:val="00B439C4"/>
    <w:rsid w:val="00B43E20"/>
    <w:rsid w:val="00B440D6"/>
    <w:rsid w:val="00B4535E"/>
    <w:rsid w:val="00B50D6E"/>
    <w:rsid w:val="00B5197C"/>
    <w:rsid w:val="00B52A8C"/>
    <w:rsid w:val="00B53EA5"/>
    <w:rsid w:val="00B6239F"/>
    <w:rsid w:val="00B62B02"/>
    <w:rsid w:val="00B636A8"/>
    <w:rsid w:val="00B651BB"/>
    <w:rsid w:val="00B665C6"/>
    <w:rsid w:val="00B679EE"/>
    <w:rsid w:val="00B73B18"/>
    <w:rsid w:val="00B74EB5"/>
    <w:rsid w:val="00B77D43"/>
    <w:rsid w:val="00B805AF"/>
    <w:rsid w:val="00B83911"/>
    <w:rsid w:val="00B869E5"/>
    <w:rsid w:val="00B869EC"/>
    <w:rsid w:val="00B86D7D"/>
    <w:rsid w:val="00B9076F"/>
    <w:rsid w:val="00B9397A"/>
    <w:rsid w:val="00B95E90"/>
    <w:rsid w:val="00B9633D"/>
    <w:rsid w:val="00BA2EBE"/>
    <w:rsid w:val="00BA78BF"/>
    <w:rsid w:val="00BB0F28"/>
    <w:rsid w:val="00BB0F47"/>
    <w:rsid w:val="00BB41EA"/>
    <w:rsid w:val="00BB458A"/>
    <w:rsid w:val="00BC18E2"/>
    <w:rsid w:val="00BC2C4F"/>
    <w:rsid w:val="00BC4B4B"/>
    <w:rsid w:val="00BD00D3"/>
    <w:rsid w:val="00BD1659"/>
    <w:rsid w:val="00BD3AA9"/>
    <w:rsid w:val="00BD4A18"/>
    <w:rsid w:val="00BD6DB2"/>
    <w:rsid w:val="00BE042B"/>
    <w:rsid w:val="00BE11CF"/>
    <w:rsid w:val="00BE21AB"/>
    <w:rsid w:val="00BE2247"/>
    <w:rsid w:val="00BE2E40"/>
    <w:rsid w:val="00BE42F2"/>
    <w:rsid w:val="00BE4E0E"/>
    <w:rsid w:val="00BE55CB"/>
    <w:rsid w:val="00BF101B"/>
    <w:rsid w:val="00BF2716"/>
    <w:rsid w:val="00BF356A"/>
    <w:rsid w:val="00BF617A"/>
    <w:rsid w:val="00C0216D"/>
    <w:rsid w:val="00C02A73"/>
    <w:rsid w:val="00C033A6"/>
    <w:rsid w:val="00C0379D"/>
    <w:rsid w:val="00C03931"/>
    <w:rsid w:val="00C05FE3"/>
    <w:rsid w:val="00C13D45"/>
    <w:rsid w:val="00C14EB3"/>
    <w:rsid w:val="00C16220"/>
    <w:rsid w:val="00C174F4"/>
    <w:rsid w:val="00C2136D"/>
    <w:rsid w:val="00C214EE"/>
    <w:rsid w:val="00C21AC9"/>
    <w:rsid w:val="00C2314B"/>
    <w:rsid w:val="00C233BE"/>
    <w:rsid w:val="00C241DB"/>
    <w:rsid w:val="00C24971"/>
    <w:rsid w:val="00C26BE5"/>
    <w:rsid w:val="00C26E4D"/>
    <w:rsid w:val="00C27909"/>
    <w:rsid w:val="00C27AFF"/>
    <w:rsid w:val="00C27B03"/>
    <w:rsid w:val="00C3025F"/>
    <w:rsid w:val="00C30509"/>
    <w:rsid w:val="00C314E1"/>
    <w:rsid w:val="00C31A79"/>
    <w:rsid w:val="00C32DD9"/>
    <w:rsid w:val="00C34397"/>
    <w:rsid w:val="00C34D73"/>
    <w:rsid w:val="00C35530"/>
    <w:rsid w:val="00C4095D"/>
    <w:rsid w:val="00C43DCA"/>
    <w:rsid w:val="00C446D1"/>
    <w:rsid w:val="00C458E9"/>
    <w:rsid w:val="00C45A5A"/>
    <w:rsid w:val="00C50805"/>
    <w:rsid w:val="00C50BA5"/>
    <w:rsid w:val="00C543C0"/>
    <w:rsid w:val="00C55F2B"/>
    <w:rsid w:val="00C56DF0"/>
    <w:rsid w:val="00C601D2"/>
    <w:rsid w:val="00C613DE"/>
    <w:rsid w:val="00C61CA0"/>
    <w:rsid w:val="00C63485"/>
    <w:rsid w:val="00C636F9"/>
    <w:rsid w:val="00C657AB"/>
    <w:rsid w:val="00C65BCC"/>
    <w:rsid w:val="00C66970"/>
    <w:rsid w:val="00C67EE6"/>
    <w:rsid w:val="00C73600"/>
    <w:rsid w:val="00C73BC7"/>
    <w:rsid w:val="00C7740A"/>
    <w:rsid w:val="00C778A9"/>
    <w:rsid w:val="00C8585D"/>
    <w:rsid w:val="00C8691C"/>
    <w:rsid w:val="00C86A9E"/>
    <w:rsid w:val="00C90606"/>
    <w:rsid w:val="00C95B40"/>
    <w:rsid w:val="00C9746F"/>
    <w:rsid w:val="00CA168A"/>
    <w:rsid w:val="00CA357E"/>
    <w:rsid w:val="00CA3A08"/>
    <w:rsid w:val="00CA4088"/>
    <w:rsid w:val="00CA44F9"/>
    <w:rsid w:val="00CA4A69"/>
    <w:rsid w:val="00CB2D67"/>
    <w:rsid w:val="00CB3A01"/>
    <w:rsid w:val="00CC3E0C"/>
    <w:rsid w:val="00CC58D3"/>
    <w:rsid w:val="00CC784D"/>
    <w:rsid w:val="00CC7E72"/>
    <w:rsid w:val="00CD08A9"/>
    <w:rsid w:val="00CD10D1"/>
    <w:rsid w:val="00CD2F47"/>
    <w:rsid w:val="00CE2006"/>
    <w:rsid w:val="00CE4132"/>
    <w:rsid w:val="00CE51F5"/>
    <w:rsid w:val="00CE51F7"/>
    <w:rsid w:val="00CF15CF"/>
    <w:rsid w:val="00D0337B"/>
    <w:rsid w:val="00D0412E"/>
    <w:rsid w:val="00D04F64"/>
    <w:rsid w:val="00D05B87"/>
    <w:rsid w:val="00D079B2"/>
    <w:rsid w:val="00D114E9"/>
    <w:rsid w:val="00D11A67"/>
    <w:rsid w:val="00D11FDA"/>
    <w:rsid w:val="00D12894"/>
    <w:rsid w:val="00D2393C"/>
    <w:rsid w:val="00D242F8"/>
    <w:rsid w:val="00D25665"/>
    <w:rsid w:val="00D37A4C"/>
    <w:rsid w:val="00D40E02"/>
    <w:rsid w:val="00D41BB5"/>
    <w:rsid w:val="00D429C6"/>
    <w:rsid w:val="00D45385"/>
    <w:rsid w:val="00D45825"/>
    <w:rsid w:val="00D4755A"/>
    <w:rsid w:val="00D47748"/>
    <w:rsid w:val="00D538D9"/>
    <w:rsid w:val="00D54CC3"/>
    <w:rsid w:val="00D5578C"/>
    <w:rsid w:val="00D567B0"/>
    <w:rsid w:val="00D6041A"/>
    <w:rsid w:val="00D63394"/>
    <w:rsid w:val="00D633EB"/>
    <w:rsid w:val="00D67BD9"/>
    <w:rsid w:val="00D71050"/>
    <w:rsid w:val="00D71C2B"/>
    <w:rsid w:val="00D71F8A"/>
    <w:rsid w:val="00D72771"/>
    <w:rsid w:val="00D72991"/>
    <w:rsid w:val="00D827AB"/>
    <w:rsid w:val="00D82FF7"/>
    <w:rsid w:val="00D83842"/>
    <w:rsid w:val="00D847FE"/>
    <w:rsid w:val="00D85F8E"/>
    <w:rsid w:val="00D86EC2"/>
    <w:rsid w:val="00D9561C"/>
    <w:rsid w:val="00D964EA"/>
    <w:rsid w:val="00D966D0"/>
    <w:rsid w:val="00DA0C59"/>
    <w:rsid w:val="00DA1DF7"/>
    <w:rsid w:val="00DA1E1B"/>
    <w:rsid w:val="00DA3991"/>
    <w:rsid w:val="00DA3A00"/>
    <w:rsid w:val="00DB0960"/>
    <w:rsid w:val="00DB0BA9"/>
    <w:rsid w:val="00DB1642"/>
    <w:rsid w:val="00DB5F1D"/>
    <w:rsid w:val="00DB6993"/>
    <w:rsid w:val="00DB7566"/>
    <w:rsid w:val="00DB7E6C"/>
    <w:rsid w:val="00DC1267"/>
    <w:rsid w:val="00DC3B61"/>
    <w:rsid w:val="00DC5AF2"/>
    <w:rsid w:val="00DC5C76"/>
    <w:rsid w:val="00DC6475"/>
    <w:rsid w:val="00DC68C1"/>
    <w:rsid w:val="00DD5A29"/>
    <w:rsid w:val="00DD5D9D"/>
    <w:rsid w:val="00DD62AF"/>
    <w:rsid w:val="00DE1E8C"/>
    <w:rsid w:val="00DE35CB"/>
    <w:rsid w:val="00DE3CC6"/>
    <w:rsid w:val="00DE3E01"/>
    <w:rsid w:val="00DE54C0"/>
    <w:rsid w:val="00DE62EC"/>
    <w:rsid w:val="00DE74BF"/>
    <w:rsid w:val="00DF21E9"/>
    <w:rsid w:val="00DF3835"/>
    <w:rsid w:val="00DF4689"/>
    <w:rsid w:val="00DF7839"/>
    <w:rsid w:val="00E00F14"/>
    <w:rsid w:val="00E014DB"/>
    <w:rsid w:val="00E01E2C"/>
    <w:rsid w:val="00E06386"/>
    <w:rsid w:val="00E06724"/>
    <w:rsid w:val="00E1121D"/>
    <w:rsid w:val="00E13AFD"/>
    <w:rsid w:val="00E24EB4"/>
    <w:rsid w:val="00E320ED"/>
    <w:rsid w:val="00E32B5C"/>
    <w:rsid w:val="00E32DF6"/>
    <w:rsid w:val="00E33AFB"/>
    <w:rsid w:val="00E34218"/>
    <w:rsid w:val="00E36B6A"/>
    <w:rsid w:val="00E46282"/>
    <w:rsid w:val="00E47E10"/>
    <w:rsid w:val="00E51468"/>
    <w:rsid w:val="00E51C6C"/>
    <w:rsid w:val="00E5216E"/>
    <w:rsid w:val="00E57BBB"/>
    <w:rsid w:val="00E608D9"/>
    <w:rsid w:val="00E60B84"/>
    <w:rsid w:val="00E70631"/>
    <w:rsid w:val="00E724B3"/>
    <w:rsid w:val="00E72A9E"/>
    <w:rsid w:val="00E76C52"/>
    <w:rsid w:val="00E81430"/>
    <w:rsid w:val="00E82344"/>
    <w:rsid w:val="00E83583"/>
    <w:rsid w:val="00E84C82"/>
    <w:rsid w:val="00E84D64"/>
    <w:rsid w:val="00E8527F"/>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4B26"/>
    <w:rsid w:val="00EE580F"/>
    <w:rsid w:val="00EE59FB"/>
    <w:rsid w:val="00EF10F8"/>
    <w:rsid w:val="00EF3D77"/>
    <w:rsid w:val="00EF58BA"/>
    <w:rsid w:val="00EF7629"/>
    <w:rsid w:val="00F01332"/>
    <w:rsid w:val="00F04C3F"/>
    <w:rsid w:val="00F102A0"/>
    <w:rsid w:val="00F11BB5"/>
    <w:rsid w:val="00F1417B"/>
    <w:rsid w:val="00F14AF0"/>
    <w:rsid w:val="00F15EF3"/>
    <w:rsid w:val="00F1787C"/>
    <w:rsid w:val="00F26104"/>
    <w:rsid w:val="00F27FF2"/>
    <w:rsid w:val="00F34B99"/>
    <w:rsid w:val="00F34C14"/>
    <w:rsid w:val="00F368AE"/>
    <w:rsid w:val="00F37A7F"/>
    <w:rsid w:val="00F43145"/>
    <w:rsid w:val="00F510E6"/>
    <w:rsid w:val="00F52DAB"/>
    <w:rsid w:val="00F543F0"/>
    <w:rsid w:val="00F61E60"/>
    <w:rsid w:val="00F621B2"/>
    <w:rsid w:val="00F6373D"/>
    <w:rsid w:val="00F72314"/>
    <w:rsid w:val="00F737AD"/>
    <w:rsid w:val="00F81158"/>
    <w:rsid w:val="00F81D29"/>
    <w:rsid w:val="00F81D61"/>
    <w:rsid w:val="00F81DC8"/>
    <w:rsid w:val="00F84BAA"/>
    <w:rsid w:val="00F90061"/>
    <w:rsid w:val="00F91C4D"/>
    <w:rsid w:val="00F92FD9"/>
    <w:rsid w:val="00F976AD"/>
    <w:rsid w:val="00FA2541"/>
    <w:rsid w:val="00FA42EF"/>
    <w:rsid w:val="00FA6470"/>
    <w:rsid w:val="00FA6684"/>
    <w:rsid w:val="00FA705E"/>
    <w:rsid w:val="00FA725A"/>
    <w:rsid w:val="00FA731E"/>
    <w:rsid w:val="00FA7782"/>
    <w:rsid w:val="00FB0B66"/>
    <w:rsid w:val="00FB2B38"/>
    <w:rsid w:val="00FB3791"/>
    <w:rsid w:val="00FC0296"/>
    <w:rsid w:val="00FC6358"/>
    <w:rsid w:val="00FC6C90"/>
    <w:rsid w:val="00FD01F4"/>
    <w:rsid w:val="00FD04BB"/>
    <w:rsid w:val="00FD083F"/>
    <w:rsid w:val="00FD320D"/>
    <w:rsid w:val="00FD36ED"/>
    <w:rsid w:val="00FD570D"/>
    <w:rsid w:val="00FD5950"/>
    <w:rsid w:val="00FE23DE"/>
    <w:rsid w:val="00FE77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92315C"/>
    <w:rsid w:val="0FCF7D15"/>
    <w:rsid w:val="114805EC"/>
    <w:rsid w:val="12463E5D"/>
    <w:rsid w:val="124C4D8A"/>
    <w:rsid w:val="128A1009"/>
    <w:rsid w:val="129A6EDF"/>
    <w:rsid w:val="14B52807"/>
    <w:rsid w:val="14EA2A7E"/>
    <w:rsid w:val="16F879DC"/>
    <w:rsid w:val="17176377"/>
    <w:rsid w:val="180B12B5"/>
    <w:rsid w:val="19382624"/>
    <w:rsid w:val="19A5475F"/>
    <w:rsid w:val="1AAE65BB"/>
    <w:rsid w:val="1B56145F"/>
    <w:rsid w:val="1D781DF9"/>
    <w:rsid w:val="1F3E57F5"/>
    <w:rsid w:val="20236CFE"/>
    <w:rsid w:val="202E6203"/>
    <w:rsid w:val="208F11E7"/>
    <w:rsid w:val="213D046E"/>
    <w:rsid w:val="215C14F1"/>
    <w:rsid w:val="23671F2C"/>
    <w:rsid w:val="23CA246C"/>
    <w:rsid w:val="24642242"/>
    <w:rsid w:val="24767468"/>
    <w:rsid w:val="26615569"/>
    <w:rsid w:val="26834513"/>
    <w:rsid w:val="274A5AC6"/>
    <w:rsid w:val="28752F46"/>
    <w:rsid w:val="2B8B7DC3"/>
    <w:rsid w:val="2BD650E5"/>
    <w:rsid w:val="2BFB34FF"/>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077B0C"/>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53B7BE4"/>
    <w:rsid w:val="56963C59"/>
    <w:rsid w:val="56D94B3D"/>
    <w:rsid w:val="56EC44FF"/>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295A0C"/>
    <w:rsid w:val="645D5F22"/>
    <w:rsid w:val="651340F7"/>
    <w:rsid w:val="6568477B"/>
    <w:rsid w:val="66E7353A"/>
    <w:rsid w:val="674B0307"/>
    <w:rsid w:val="67C972D1"/>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1352E3"/>
    <w:rsid w:val="71657824"/>
    <w:rsid w:val="716E3847"/>
    <w:rsid w:val="716F1097"/>
    <w:rsid w:val="72B868C0"/>
    <w:rsid w:val="73325C18"/>
    <w:rsid w:val="767B1592"/>
    <w:rsid w:val="770807A4"/>
    <w:rsid w:val="77460C2F"/>
    <w:rsid w:val="77CA3CE3"/>
    <w:rsid w:val="77E61714"/>
    <w:rsid w:val="77EB02B8"/>
    <w:rsid w:val="7904183A"/>
    <w:rsid w:val="79C17923"/>
    <w:rsid w:val="7A0525D6"/>
    <w:rsid w:val="7BF108E0"/>
    <w:rsid w:val="7C3920E8"/>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正文2"/>
    <w:qFormat/>
    <w:uiPriority w:val="0"/>
    <w:pPr>
      <w:jc w:val="both"/>
    </w:pPr>
    <w:rPr>
      <w:rFonts w:ascii="Calibri" w:hAnsi="Calibri" w:eastAsia="宋体" w:cs="Calibri"/>
      <w:kern w:val="2"/>
      <w:sz w:val="21"/>
      <w:szCs w:val="21"/>
      <w:lang w:val="en-US" w:eastAsia="zh-CN" w:bidi="ar-SA"/>
    </w:rPr>
  </w:style>
  <w:style w:type="paragraph" w:customStyle="1" w:styleId="159">
    <w:name w:val="Other|1"/>
    <w:basedOn w:val="1"/>
    <w:qFormat/>
    <w:uiPriority w:val="0"/>
    <w:pPr>
      <w:spacing w:after="120" w:line="372" w:lineRule="auto"/>
      <w:ind w:firstLine="400"/>
      <w:jc w:val="left"/>
    </w:pPr>
    <w:rPr>
      <w:rFonts w:ascii="宋体" w:hAnsi="宋体" w:cs="宋体"/>
      <w:color w:val="000000"/>
      <w:kern w:val="0"/>
      <w:sz w:val="18"/>
      <w:szCs w:val="18"/>
    </w:rPr>
  </w:style>
  <w:style w:type="character" w:styleId="160">
    <w:name w:val="Placeholder Text"/>
    <w:basedOn w:val="35"/>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2970B-6EFE-4533-B799-F568DFB5367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4181</Words>
  <Characters>4841</Characters>
  <Lines>43</Lines>
  <Paragraphs>12</Paragraphs>
  <TotalTime>3</TotalTime>
  <ScaleCrop>false</ScaleCrop>
  <LinksUpToDate>false</LinksUpToDate>
  <CharactersWithSpaces>4921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2023-05-10T09:32:00Z</dcterms:created>
  <cp:lastPrinted>2021-11-10T08:05:00Z</cp:lastPrinted>
  <dcterms:modified xsi:type="dcterms:W3CDTF">2023-11-01T00:44:48Z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404A0905B92740C1BFF2FF47D3198130_13</vt:lpwstr>
  </property>
</Properties>
</file>