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framePr w:wrap="around"/>
        <w:spacing w:line="240" w:lineRule="atLeast"/>
        <w:ind w:left="1134" w:right="1692"/>
        <w:rPr>
          <w:rFonts w:ascii="Times New Roman"/>
        </w:rPr>
      </w:pPr>
      <w:r>
        <w:rPr>
          <w:rFonts w:ascii="Times New Roman"/>
        </w:rPr>
        <w:t>团体标准</w:t>
      </w:r>
    </w:p>
    <w:p>
      <w:pPr>
        <w:pStyle w:val="147"/>
        <w:framePr w:wrap="around"/>
        <w:pBdr>
          <w:bottom w:val="single" w:color="auto" w:sz="4" w:space="1"/>
        </w:pBdr>
        <w:wordWrap w:val="0"/>
        <w:rPr>
          <w:rFonts w:ascii="Times New Roman" w:eastAsia="宋体"/>
        </w:rPr>
      </w:pPr>
      <w:r>
        <w:rPr>
          <w:rFonts w:ascii="Times New Roman" w:eastAsia="宋体"/>
        </w:rPr>
        <w:t>T/SSEA XXXX—202</w:t>
      </w:r>
      <w:r>
        <w:rPr>
          <w:rFonts w:hint="eastAsia" w:ascii="Times New Roman" w:eastAsia="宋体"/>
        </w:rPr>
        <w:t>3</w:t>
      </w:r>
    </w:p>
    <w:p>
      <w:pPr>
        <w:pStyle w:val="147"/>
        <w:framePr w:wrap="around"/>
        <w:rPr>
          <w:rFonts w:ascii="Times New Roman" w:eastAsia="宋体"/>
        </w:rPr>
      </w:pPr>
    </w:p>
    <w:p>
      <w:pPr>
        <w:pStyle w:val="147"/>
        <w:framePr w:wrap="around"/>
        <w:rPr>
          <w:rFonts w:ascii="Times New Roman" w:eastAsia="宋体"/>
        </w:rPr>
      </w:pPr>
    </w:p>
    <w:p>
      <w:pPr>
        <w:pStyle w:val="70"/>
        <w:framePr w:wrap="around" w:x="1403" w:y="6137"/>
        <w:spacing w:line="600" w:lineRule="exact"/>
        <w:rPr>
          <w:sz w:val="52"/>
          <w:szCs w:val="20"/>
        </w:rPr>
      </w:pPr>
      <w:bookmarkStart w:id="0" w:name="_Hlk132643988"/>
      <w:r>
        <w:rPr>
          <w:rFonts w:hint="eastAsia"/>
          <w:sz w:val="52"/>
          <w:szCs w:val="20"/>
        </w:rPr>
        <w:t>钢铁企业除尘设施超低排放运行能源消耗限额</w:t>
      </w:r>
    </w:p>
    <w:bookmarkEnd w:id="0"/>
    <w:p>
      <w:pPr>
        <w:pStyle w:val="70"/>
        <w:framePr w:wrap="around" w:x="1403" w:y="6137"/>
      </w:pPr>
      <w:r>
        <w:t>T</w:t>
      </w:r>
      <w:r>
        <w:rPr>
          <w:rFonts w:hint="eastAsia"/>
        </w:rPr>
        <w:t>he</w:t>
      </w:r>
      <w:r>
        <w:t xml:space="preserve"> stipulation of energy consumption for ultra-low emission operation of dust removal facilities in steel enterprises</w:t>
      </w:r>
    </w:p>
    <w:p>
      <w:pPr>
        <w:pStyle w:val="113"/>
        <w:framePr w:wrap="around" w:hAnchor="page" w:x="1191" w:y="14037"/>
        <w:rPr>
          <w:rFonts w:eastAsia="宋体"/>
        </w:rPr>
      </w:pPr>
      <w:r>
        <w:rPr>
          <w:rFonts w:eastAsia="宋体"/>
        </w:rPr>
        <w:t>20</w:t>
      </w:r>
      <w:bookmarkStart w:id="1" w:name="FM"/>
      <w:r>
        <w:rPr>
          <w:rFonts w:eastAsia="宋体"/>
        </w:rPr>
        <w:t>2</w:t>
      </w:r>
      <w:r>
        <w:rPr>
          <w:rFonts w:hint="eastAsia" w:eastAsia="宋体"/>
        </w:rPr>
        <w:t>3</w:t>
      </w:r>
      <w:r>
        <w:rPr>
          <w:rFonts w:eastAsia="宋体"/>
        </w:rPr>
        <w:t>-</w:t>
      </w:r>
      <w:bookmarkEnd w:id="1"/>
      <w:r>
        <w:rPr>
          <w:rFonts w:eastAsia="宋体"/>
        </w:rPr>
        <w:t>XX-XX发布</w:t>
      </w:r>
      <w:r>
        <w:rPr>
          <w:rFonts w:eastAsia="宋体"/>
        </w:rPr>
        <mc:AlternateContent>
          <mc:Choice Requires="wps">
            <w:drawing>
              <wp:anchor distT="0" distB="0" distL="114300" distR="114300" simplePos="0" relativeHeight="251660288" behindDoc="0" locked="1" layoutInCell="1" allowOverlap="1">
                <wp:simplePos x="0" y="0"/>
                <wp:positionH relativeFrom="column">
                  <wp:posOffset>885190</wp:posOffset>
                </wp:positionH>
                <wp:positionV relativeFrom="page">
                  <wp:posOffset>9230360</wp:posOffset>
                </wp:positionV>
                <wp:extent cx="6350000" cy="6350"/>
                <wp:effectExtent l="0" t="0" r="31750" b="3175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350000" cy="6350"/>
                        </a:xfrm>
                        <a:prstGeom prst="line">
                          <a:avLst/>
                        </a:prstGeom>
                        <a:noFill/>
                        <a:ln w="9525">
                          <a:solidFill>
                            <a:srgbClr val="000000"/>
                          </a:solidFill>
                          <a:round/>
                        </a:ln>
                        <a:effectLst/>
                      </wps:spPr>
                      <wps:bodyPr/>
                    </wps:wsp>
                  </a:graphicData>
                </a:graphic>
              </wp:anchor>
            </w:drawing>
          </mc:Choice>
          <mc:Fallback>
            <w:pict>
              <v:line id="Line 8" o:spid="_x0000_s1026" o:spt="20" style="position:absolute;left:0pt;margin-left:69.7pt;margin-top:726.8pt;height:0.5pt;width:500pt;mso-position-vertical-relative:page;z-index:251660288;mso-width-relative:page;mso-height-relative:page;" filled="f" stroked="t" coordsize="21600,21600" o:gfxdata="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xfPntgAAAAOAQAADwAAAAAAAAABACAAAAAiAAAA&#10;ZHJzL2Rvd25yZXYueG1sUEsBAhQAFAAAAAgAh07iQG+Ch7XOAQAAsAMAAA4AAAAAAAAAAQAgAAAA&#10;JwEAAGRycy9lMm9Eb2MueG1sUEsFBgAAAAAGAAYAWQEAAGcFAAAAAA==&#10;">
                <v:fill on="f" focussize="0,0"/>
                <v:stroke color="#000000" joinstyle="round"/>
                <v:imagedata o:title=""/>
                <o:lock v:ext="edit" aspectratio="f"/>
                <w10:anchorlock/>
              </v:line>
            </w:pict>
          </mc:Fallback>
        </mc:AlternateContent>
      </w:r>
    </w:p>
    <w:p>
      <w:pPr>
        <w:pStyle w:val="92"/>
        <w:framePr w:h="526" w:hRule="exact" w:wrap="around" w:hAnchor="page" w:x="7263" w:y="13976"/>
        <w:rPr>
          <w:rFonts w:eastAsia="宋体"/>
        </w:rPr>
      </w:pPr>
      <w:r>
        <w:rPr>
          <w:rFonts w:eastAsia="宋体"/>
        </w:rPr>
        <w:t>202</w:t>
      </w:r>
      <w:r>
        <w:rPr>
          <w:rFonts w:hint="eastAsia" w:eastAsia="宋体"/>
        </w:rPr>
        <w:t>3</w:t>
      </w:r>
      <w:r>
        <w:rPr>
          <w:rFonts w:eastAsia="宋体"/>
        </w:rPr>
        <w:t>-XX-XX实施</w:t>
      </w:r>
    </w:p>
    <w:p>
      <w:pPr>
        <w:pStyle w:val="105"/>
        <w:framePr w:wrap="around" w:x="2300" w:y="14629"/>
        <w:rPr>
          <w:rFonts w:ascii="Times New Roman"/>
        </w:rPr>
      </w:pPr>
      <w:r>
        <w:rPr>
          <w:rFonts w:ascii="Times New Roman"/>
          <w:sz w:val="36"/>
          <w:szCs w:val="36"/>
        </w:rPr>
        <w:t>中国</w:t>
      </w:r>
      <w:r>
        <w:rPr>
          <w:rFonts w:hint="eastAsia" w:ascii="Times New Roman"/>
          <w:sz w:val="36"/>
          <w:szCs w:val="36"/>
        </w:rPr>
        <w:t>特钢企业协会</w:t>
      </w:r>
      <w:r>
        <w:rPr>
          <w:rFonts w:ascii="Times New Roman"/>
          <w:sz w:val="36"/>
          <w:szCs w:val="36"/>
        </w:rPr>
        <w:t xml:space="preserve"> </w:t>
      </w:r>
      <w:r>
        <w:rPr>
          <w:rFonts w:ascii="Times New Roman"/>
        </w:rPr>
        <w:t>发布</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w:t>
      </w:r>
    </w:p>
    <w:p>
      <w:pPr>
        <w:pStyle w:val="22"/>
        <w:spacing w:line="340" w:lineRule="exact"/>
        <w:rPr>
          <w:rFonts w:ascii="Times New Roman"/>
        </w:rPr>
      </w:pPr>
      <w:r>
        <w:rPr>
          <w:rFonts w:ascii="Times New Roman"/>
        </w:rPr>
        <w:t xml:space="preserve">CCS </w:t>
      </w:r>
    </w:p>
    <w:p>
      <w:pPr>
        <w:pStyle w:val="22"/>
        <w:spacing w:line="340" w:lineRule="exact"/>
        <w:ind w:firstLine="0" w:firstLineChars="0"/>
        <w:jc w:val="center"/>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p>
    <w:p>
      <w:pPr>
        <w:jc w:val="center"/>
        <w:rPr>
          <w:b/>
          <w:sz w:val="32"/>
        </w:rPr>
        <w:sectPr>
          <w:headerReference r:id="rId3" w:type="default"/>
          <w:pgSz w:w="11906" w:h="16838"/>
          <w:pgMar w:top="1134" w:right="1134" w:bottom="1134" w:left="1418" w:header="851" w:footer="992" w:gutter="0"/>
          <w:pgNumType w:start="0"/>
          <w:cols w:space="720" w:num="1"/>
          <w:docGrid w:type="lines" w:linePitch="312" w:charSpace="0"/>
        </w:sectPr>
      </w:pPr>
    </w:p>
    <w:p>
      <w:pPr>
        <w:pStyle w:val="90"/>
        <w:rPr>
          <w:rFonts w:ascii="Times New Roman"/>
        </w:rPr>
      </w:pPr>
      <w:bookmarkStart w:id="2" w:name="_Toc1337"/>
      <w:bookmarkStart w:id="3" w:name="_Toc26452183"/>
      <w:bookmarkStart w:id="4" w:name="_Toc40475545"/>
      <w:bookmarkStart w:id="5" w:name="_Toc534127476"/>
      <w:bookmarkStart w:id="6" w:name="_Toc40476791"/>
      <w:bookmarkStart w:id="7" w:name="_Toc951"/>
      <w:bookmarkStart w:id="8" w:name="_Toc520380389"/>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pPr>
        <w:pStyle w:val="22"/>
        <w:rPr>
          <w:rFonts w:ascii="Times New Roman"/>
        </w:rPr>
      </w:pPr>
    </w:p>
    <w:p>
      <w:r>
        <w:drawing>
          <wp:inline distT="0" distB="0" distL="114300" distR="114300">
            <wp:extent cx="808355" cy="768350"/>
            <wp:effectExtent l="0" t="0" r="10795" b="1270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28"/>
        <w:jc w:val="center"/>
        <w:rPr>
          <w:rStyle w:val="39"/>
          <w:rFonts w:ascii="Times New Roman"/>
        </w:rPr>
      </w:pPr>
      <w:bookmarkStart w:id="9" w:name="_Toc132719795"/>
      <w:bookmarkStart w:id="10" w:name="_Toc31132"/>
      <w:r>
        <w:rPr>
          <w:rFonts w:ascii="Times New Roman"/>
        </w:rPr>
        <w:t>目</w:t>
      </w:r>
      <w:bookmarkEnd w:id="2"/>
      <w:bookmarkEnd w:id="3"/>
      <w:bookmarkEnd w:id="4"/>
      <w:bookmarkEnd w:id="5"/>
      <w:bookmarkEnd w:id="6"/>
      <w:r>
        <w:rPr>
          <w:rFonts w:ascii="Times New Roman"/>
        </w:rPr>
        <w:t xml:space="preserve">  次</w:t>
      </w:r>
      <w:bookmarkEnd w:id="7"/>
      <w:bookmarkEnd w:id="9"/>
      <w:bookmarkEnd w:id="10"/>
      <w:r>
        <w:rPr>
          <w:rFonts w:ascii="Times New Roman"/>
        </w:rPr>
        <w:fldChar w:fldCharType="begin"/>
      </w:r>
      <w:r>
        <w:rPr>
          <w:rFonts w:ascii="Times New Roman"/>
        </w:rPr>
        <w:instrText xml:space="preserve"> TOC \o "1-2" \h \z \u </w:instrText>
      </w:r>
      <w:r>
        <w:rPr>
          <w:rFonts w:ascii="Times New Roman"/>
        </w:rPr>
        <w:fldChar w:fldCharType="separate"/>
      </w:r>
    </w:p>
    <w:p>
      <w:pPr>
        <w:pStyle w:val="28"/>
        <w:jc w:val="center"/>
        <w:rPr>
          <w:rStyle w:val="39"/>
          <w:rFonts w:ascii="Times New Roman"/>
        </w:rPr>
      </w:pPr>
      <w:r>
        <w:fldChar w:fldCharType="begin"/>
      </w:r>
      <w:r>
        <w:instrText xml:space="preserve"> HYPERLINK \l "_Toc132719796" </w:instrText>
      </w:r>
      <w:r>
        <w:fldChar w:fldCharType="separate"/>
      </w:r>
      <w:r>
        <w:rPr>
          <w:rStyle w:val="39"/>
          <w:rFonts w:ascii="Times New Roman"/>
        </w:rPr>
        <w:t>前  言</w:t>
      </w:r>
      <w:r>
        <w:rPr>
          <w:rStyle w:val="39"/>
          <w:rFonts w:ascii="Times New Roman"/>
        </w:rPr>
        <w:tab/>
      </w:r>
      <w:r>
        <w:rPr>
          <w:rStyle w:val="39"/>
          <w:rFonts w:ascii="Times New Roman"/>
        </w:rPr>
        <w:fldChar w:fldCharType="begin"/>
      </w:r>
      <w:r>
        <w:rPr>
          <w:rStyle w:val="39"/>
          <w:rFonts w:ascii="Times New Roman"/>
        </w:rPr>
        <w:instrText xml:space="preserve"> PAGEREF _Toc132719796 \h </w:instrText>
      </w:r>
      <w:r>
        <w:rPr>
          <w:rStyle w:val="39"/>
          <w:rFonts w:ascii="Times New Roman"/>
        </w:rPr>
        <w:fldChar w:fldCharType="separate"/>
      </w:r>
      <w:r>
        <w:rPr>
          <w:rStyle w:val="39"/>
          <w:rFonts w:ascii="Times New Roman"/>
        </w:rPr>
        <w:t>II</w:t>
      </w:r>
      <w:r>
        <w:rPr>
          <w:rStyle w:val="39"/>
          <w:rFonts w:ascii="Times New Roman"/>
        </w:rPr>
        <w:fldChar w:fldCharType="end"/>
      </w:r>
      <w:r>
        <w:rPr>
          <w:rStyle w:val="39"/>
          <w:rFonts w:ascii="Times New Roman"/>
        </w:rPr>
        <w:fldChar w:fldCharType="end"/>
      </w:r>
    </w:p>
    <w:p>
      <w:pPr>
        <w:pStyle w:val="28"/>
        <w:jc w:val="center"/>
        <w:rPr>
          <w:rStyle w:val="39"/>
          <w:rFonts w:ascii="Times New Roman"/>
        </w:rPr>
      </w:pPr>
      <w:r>
        <w:fldChar w:fldCharType="begin"/>
      </w:r>
      <w:r>
        <w:instrText xml:space="preserve"> HYPERLINK \l "_Toc132719798" </w:instrText>
      </w:r>
      <w:r>
        <w:fldChar w:fldCharType="separate"/>
      </w:r>
      <w:r>
        <w:rPr>
          <w:rStyle w:val="39"/>
          <w:rFonts w:ascii="Times New Roman"/>
        </w:rPr>
        <w:t>1 范围</w:t>
      </w:r>
      <w:r>
        <w:rPr>
          <w:rStyle w:val="39"/>
          <w:rFonts w:ascii="Times New Roman"/>
        </w:rPr>
        <w:tab/>
      </w:r>
      <w:r>
        <w:rPr>
          <w:rStyle w:val="39"/>
          <w:rFonts w:ascii="Times New Roman"/>
        </w:rPr>
        <w:fldChar w:fldCharType="begin"/>
      </w:r>
      <w:r>
        <w:rPr>
          <w:rStyle w:val="39"/>
          <w:rFonts w:ascii="Times New Roman"/>
        </w:rPr>
        <w:instrText xml:space="preserve"> PAGEREF _Toc132719798 \h </w:instrText>
      </w:r>
      <w:r>
        <w:rPr>
          <w:rStyle w:val="39"/>
          <w:rFonts w:ascii="Times New Roman"/>
        </w:rPr>
        <w:fldChar w:fldCharType="separate"/>
      </w:r>
      <w:r>
        <w:rPr>
          <w:rStyle w:val="39"/>
          <w:rFonts w:ascii="Times New Roman"/>
        </w:rPr>
        <w:t>1</w:t>
      </w:r>
      <w:r>
        <w:rPr>
          <w:rStyle w:val="39"/>
          <w:rFonts w:ascii="Times New Roman"/>
        </w:rPr>
        <w:fldChar w:fldCharType="end"/>
      </w:r>
      <w:r>
        <w:rPr>
          <w:rStyle w:val="39"/>
          <w:rFonts w:ascii="Times New Roman"/>
        </w:rPr>
        <w:fldChar w:fldCharType="end"/>
      </w:r>
    </w:p>
    <w:p>
      <w:pPr>
        <w:pStyle w:val="28"/>
        <w:jc w:val="center"/>
        <w:rPr>
          <w:rStyle w:val="39"/>
          <w:rFonts w:ascii="Times New Roman"/>
        </w:rPr>
      </w:pPr>
      <w:r>
        <w:fldChar w:fldCharType="begin"/>
      </w:r>
      <w:r>
        <w:instrText xml:space="preserve"> HYPERLINK \l "_Toc132719799" </w:instrText>
      </w:r>
      <w:r>
        <w:fldChar w:fldCharType="separate"/>
      </w:r>
      <w:r>
        <w:rPr>
          <w:rStyle w:val="39"/>
          <w:rFonts w:ascii="Times New Roman"/>
        </w:rPr>
        <w:t>2 规范性引用文件</w:t>
      </w:r>
      <w:r>
        <w:rPr>
          <w:rStyle w:val="39"/>
          <w:rFonts w:ascii="Times New Roman"/>
        </w:rPr>
        <w:tab/>
      </w:r>
      <w:r>
        <w:rPr>
          <w:rStyle w:val="39"/>
          <w:rFonts w:ascii="Times New Roman"/>
        </w:rPr>
        <w:fldChar w:fldCharType="begin"/>
      </w:r>
      <w:r>
        <w:rPr>
          <w:rStyle w:val="39"/>
          <w:rFonts w:ascii="Times New Roman"/>
        </w:rPr>
        <w:instrText xml:space="preserve"> PAGEREF _Toc132719799 \h </w:instrText>
      </w:r>
      <w:r>
        <w:rPr>
          <w:rStyle w:val="39"/>
          <w:rFonts w:ascii="Times New Roman"/>
        </w:rPr>
        <w:fldChar w:fldCharType="separate"/>
      </w:r>
      <w:r>
        <w:rPr>
          <w:rStyle w:val="39"/>
          <w:rFonts w:ascii="Times New Roman"/>
        </w:rPr>
        <w:t>1</w:t>
      </w:r>
      <w:r>
        <w:rPr>
          <w:rStyle w:val="39"/>
          <w:rFonts w:ascii="Times New Roman"/>
        </w:rPr>
        <w:fldChar w:fldCharType="end"/>
      </w:r>
      <w:r>
        <w:rPr>
          <w:rStyle w:val="39"/>
          <w:rFonts w:ascii="Times New Roman"/>
        </w:rPr>
        <w:fldChar w:fldCharType="end"/>
      </w:r>
    </w:p>
    <w:p>
      <w:pPr>
        <w:pStyle w:val="28"/>
        <w:jc w:val="center"/>
        <w:rPr>
          <w:rStyle w:val="39"/>
          <w:rFonts w:ascii="Times New Roman"/>
        </w:rPr>
      </w:pPr>
      <w:r>
        <w:fldChar w:fldCharType="begin"/>
      </w:r>
      <w:r>
        <w:instrText xml:space="preserve"> HYPERLINK \l "_Toc132719800" </w:instrText>
      </w:r>
      <w:r>
        <w:fldChar w:fldCharType="separate"/>
      </w:r>
      <w:r>
        <w:rPr>
          <w:rStyle w:val="39"/>
          <w:rFonts w:ascii="Times New Roman"/>
        </w:rPr>
        <w:t>3 术语和定义</w:t>
      </w:r>
      <w:r>
        <w:rPr>
          <w:rStyle w:val="39"/>
          <w:rFonts w:ascii="Times New Roman"/>
        </w:rPr>
        <w:tab/>
      </w:r>
      <w:r>
        <w:rPr>
          <w:rStyle w:val="39"/>
          <w:rFonts w:ascii="Times New Roman"/>
        </w:rPr>
        <w:fldChar w:fldCharType="begin"/>
      </w:r>
      <w:r>
        <w:rPr>
          <w:rStyle w:val="39"/>
          <w:rFonts w:ascii="Times New Roman"/>
        </w:rPr>
        <w:instrText xml:space="preserve"> PAGEREF _Toc132719800 \h </w:instrText>
      </w:r>
      <w:r>
        <w:rPr>
          <w:rStyle w:val="39"/>
          <w:rFonts w:ascii="Times New Roman"/>
        </w:rPr>
        <w:fldChar w:fldCharType="separate"/>
      </w:r>
      <w:r>
        <w:rPr>
          <w:rStyle w:val="39"/>
          <w:rFonts w:ascii="Times New Roman"/>
        </w:rPr>
        <w:t>1</w:t>
      </w:r>
      <w:r>
        <w:rPr>
          <w:rStyle w:val="39"/>
          <w:rFonts w:ascii="Times New Roman"/>
        </w:rPr>
        <w:fldChar w:fldCharType="end"/>
      </w:r>
      <w:r>
        <w:rPr>
          <w:rStyle w:val="39"/>
          <w:rFonts w:ascii="Times New Roman"/>
        </w:rPr>
        <w:fldChar w:fldCharType="end"/>
      </w:r>
    </w:p>
    <w:p>
      <w:pPr>
        <w:pStyle w:val="28"/>
        <w:jc w:val="center"/>
        <w:rPr>
          <w:rStyle w:val="39"/>
          <w:rFonts w:ascii="Times New Roman"/>
        </w:rPr>
      </w:pPr>
      <w:r>
        <w:fldChar w:fldCharType="begin"/>
      </w:r>
      <w:r>
        <w:instrText xml:space="preserve"> HYPERLINK \l "_Toc132719801" </w:instrText>
      </w:r>
      <w:r>
        <w:fldChar w:fldCharType="separate"/>
      </w:r>
      <w:r>
        <w:rPr>
          <w:rStyle w:val="39"/>
          <w:rFonts w:ascii="Times New Roman"/>
        </w:rPr>
        <w:t>4 技术要求</w:t>
      </w:r>
      <w:r>
        <w:rPr>
          <w:rStyle w:val="39"/>
          <w:rFonts w:ascii="Times New Roman"/>
        </w:rPr>
        <w:tab/>
      </w:r>
      <w:r>
        <w:rPr>
          <w:rStyle w:val="39"/>
          <w:rFonts w:ascii="Times New Roman"/>
        </w:rPr>
        <w:fldChar w:fldCharType="begin"/>
      </w:r>
      <w:r>
        <w:rPr>
          <w:rStyle w:val="39"/>
          <w:rFonts w:ascii="Times New Roman"/>
        </w:rPr>
        <w:instrText xml:space="preserve"> PAGEREF _Toc132719801 \h </w:instrText>
      </w:r>
      <w:r>
        <w:rPr>
          <w:rStyle w:val="39"/>
          <w:rFonts w:ascii="Times New Roman"/>
        </w:rPr>
        <w:fldChar w:fldCharType="separate"/>
      </w:r>
      <w:r>
        <w:rPr>
          <w:rStyle w:val="39"/>
          <w:rFonts w:ascii="Times New Roman"/>
        </w:rPr>
        <w:t>1</w:t>
      </w:r>
      <w:r>
        <w:rPr>
          <w:rStyle w:val="39"/>
          <w:rFonts w:ascii="Times New Roman"/>
        </w:rPr>
        <w:fldChar w:fldCharType="end"/>
      </w:r>
      <w:r>
        <w:rPr>
          <w:rStyle w:val="39"/>
          <w:rFonts w:ascii="Times New Roman"/>
        </w:rPr>
        <w:fldChar w:fldCharType="end"/>
      </w:r>
    </w:p>
    <w:p>
      <w:pPr>
        <w:pStyle w:val="28"/>
        <w:jc w:val="center"/>
        <w:rPr>
          <w:rStyle w:val="39"/>
          <w:rFonts w:ascii="Times New Roman"/>
        </w:rPr>
      </w:pPr>
      <w:r>
        <w:fldChar w:fldCharType="begin"/>
      </w:r>
      <w:r>
        <w:instrText xml:space="preserve"> HYPERLINK \l "_Toc132719802" </w:instrText>
      </w:r>
      <w:r>
        <w:fldChar w:fldCharType="separate"/>
      </w:r>
      <w:r>
        <w:rPr>
          <w:rStyle w:val="39"/>
          <w:rFonts w:ascii="Times New Roman"/>
        </w:rPr>
        <w:t xml:space="preserve">5 </w:t>
      </w:r>
      <w:r>
        <w:rPr>
          <w:rStyle w:val="39"/>
          <w:rFonts w:hint="eastAsia" w:ascii="Times New Roman"/>
        </w:rPr>
        <w:t>统计范围和计算方法</w:t>
      </w:r>
      <w:r>
        <w:rPr>
          <w:rStyle w:val="39"/>
          <w:rFonts w:ascii="Times New Roman"/>
        </w:rPr>
        <w:tab/>
      </w:r>
      <w:r>
        <w:rPr>
          <w:rStyle w:val="39"/>
          <w:rFonts w:hint="eastAsia" w:ascii="Times New Roman"/>
        </w:rPr>
        <w:t>3</w:t>
      </w:r>
      <w:r>
        <w:rPr>
          <w:rStyle w:val="39"/>
          <w:rFonts w:hint="eastAsia" w:ascii="Times New Roman"/>
        </w:rPr>
        <w:fldChar w:fldCharType="end"/>
      </w:r>
    </w:p>
    <w:p>
      <w:pPr>
        <w:pStyle w:val="28"/>
        <w:jc w:val="center"/>
        <w:rPr>
          <w:rStyle w:val="39"/>
          <w:rFonts w:ascii="Times New Roman"/>
        </w:rPr>
      </w:pPr>
      <w:r>
        <w:fldChar w:fldCharType="begin"/>
      </w:r>
      <w:r>
        <w:instrText xml:space="preserve"> HYPERLINK \l "_Toc132719803" </w:instrText>
      </w:r>
      <w:r>
        <w:fldChar w:fldCharType="separate"/>
      </w:r>
      <w:r>
        <w:rPr>
          <w:rStyle w:val="39"/>
          <w:rFonts w:ascii="Times New Roman"/>
        </w:rPr>
        <w:t>6 节能措施</w:t>
      </w:r>
      <w:r>
        <w:rPr>
          <w:rStyle w:val="39"/>
          <w:rFonts w:ascii="Times New Roman"/>
        </w:rPr>
        <w:tab/>
      </w:r>
      <w:r>
        <w:rPr>
          <w:rStyle w:val="39"/>
          <w:rFonts w:ascii="Times New Roman"/>
        </w:rPr>
        <w:fldChar w:fldCharType="begin"/>
      </w:r>
      <w:r>
        <w:rPr>
          <w:rStyle w:val="39"/>
          <w:rFonts w:ascii="Times New Roman"/>
        </w:rPr>
        <w:instrText xml:space="preserve"> PAGEREF _Toc132719803 \h </w:instrText>
      </w:r>
      <w:r>
        <w:rPr>
          <w:rStyle w:val="39"/>
          <w:rFonts w:ascii="Times New Roman"/>
        </w:rPr>
        <w:fldChar w:fldCharType="separate"/>
      </w:r>
      <w:r>
        <w:rPr>
          <w:rStyle w:val="39"/>
          <w:rFonts w:ascii="Times New Roman"/>
        </w:rPr>
        <w:t>4</w:t>
      </w:r>
      <w:r>
        <w:rPr>
          <w:rStyle w:val="39"/>
          <w:rFonts w:ascii="Times New Roman"/>
        </w:rPr>
        <w:fldChar w:fldCharType="end"/>
      </w:r>
      <w:r>
        <w:rPr>
          <w:rStyle w:val="39"/>
          <w:rFonts w:ascii="Times New Roman"/>
        </w:rPr>
        <w:fldChar w:fldCharType="end"/>
      </w:r>
    </w:p>
    <w:p>
      <w:pPr>
        <w:pStyle w:val="28"/>
        <w:jc w:val="center"/>
        <w:rPr>
          <w:rStyle w:val="39"/>
          <w:rFonts w:ascii="Times New Roman"/>
        </w:rPr>
      </w:pPr>
      <w:r>
        <w:fldChar w:fldCharType="begin"/>
      </w:r>
      <w:r>
        <w:instrText xml:space="preserve"> HYPERLINK \l "_Toc132719805" </w:instrText>
      </w:r>
      <w:r>
        <w:fldChar w:fldCharType="separate"/>
      </w:r>
      <w:r>
        <w:rPr>
          <w:rStyle w:val="39"/>
          <w:rFonts w:hint="eastAsia" w:ascii="Times New Roman"/>
        </w:rPr>
        <w:t>附录</w:t>
      </w:r>
      <w:r>
        <w:rPr>
          <w:rStyle w:val="39"/>
          <w:rFonts w:ascii="Times New Roman"/>
        </w:rPr>
        <w:t xml:space="preserve">A </w:t>
      </w:r>
      <w:r>
        <w:rPr>
          <w:rStyle w:val="39"/>
          <w:rFonts w:hint="eastAsia" w:ascii="Times New Roman"/>
        </w:rPr>
        <w:t>（资料性）能源折标系数推荐值</w:t>
      </w:r>
      <w:r>
        <w:rPr>
          <w:rStyle w:val="39"/>
          <w:rFonts w:ascii="Times New Roman"/>
        </w:rPr>
        <w:tab/>
      </w:r>
      <w:r>
        <w:rPr>
          <w:rStyle w:val="39"/>
          <w:rFonts w:ascii="Times New Roman"/>
        </w:rPr>
        <w:fldChar w:fldCharType="begin"/>
      </w:r>
      <w:r>
        <w:rPr>
          <w:rStyle w:val="39"/>
          <w:rFonts w:ascii="Times New Roman"/>
        </w:rPr>
        <w:instrText xml:space="preserve"> PAGEREF _Toc132719805 \h </w:instrText>
      </w:r>
      <w:r>
        <w:rPr>
          <w:rStyle w:val="39"/>
          <w:rFonts w:ascii="Times New Roman"/>
        </w:rPr>
        <w:fldChar w:fldCharType="separate"/>
      </w:r>
      <w:r>
        <w:rPr>
          <w:rStyle w:val="39"/>
          <w:rFonts w:ascii="Times New Roman"/>
        </w:rPr>
        <w:t>5</w:t>
      </w:r>
      <w:r>
        <w:rPr>
          <w:rStyle w:val="39"/>
          <w:rFonts w:ascii="Times New Roman"/>
        </w:rPr>
        <w:fldChar w:fldCharType="end"/>
      </w:r>
      <w:r>
        <w:rPr>
          <w:rStyle w:val="39"/>
          <w:rFonts w:ascii="Times New Roman"/>
        </w:rPr>
        <w:fldChar w:fldCharType="end"/>
      </w:r>
    </w:p>
    <w:p>
      <w:pPr>
        <w:pStyle w:val="106"/>
        <w:rPr>
          <w:rFonts w:ascii="Times New Roman"/>
        </w:rPr>
      </w:pPr>
      <w:r>
        <w:rPr>
          <w:rFonts w:ascii="Times New Roman"/>
        </w:rPr>
        <w:fldChar w:fldCharType="end"/>
      </w:r>
      <w:bookmarkStart w:id="11" w:name="_Toc31282"/>
      <w:bookmarkStart w:id="12" w:name="_Toc132719796"/>
      <w:r>
        <w:rPr>
          <w:rFonts w:ascii="Times New Roman"/>
        </w:rPr>
        <w:t>前  言</w:t>
      </w:r>
      <w:bookmarkEnd w:id="8"/>
      <w:bookmarkEnd w:id="11"/>
      <w:bookmarkEnd w:id="12"/>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pStyle w:val="22"/>
        <w:rPr>
          <w:rFonts w:ascii="Times New Roman"/>
        </w:rPr>
      </w:pPr>
      <w:r>
        <w:rPr>
          <w:rFonts w:ascii="Times New Roman"/>
        </w:rPr>
        <w:t>本文件由中国</w:t>
      </w:r>
      <w:r>
        <w:rPr>
          <w:rFonts w:hint="eastAsia" w:ascii="Times New Roman"/>
        </w:rPr>
        <w:t>特钢企业</w:t>
      </w:r>
      <w:r>
        <w:rPr>
          <w:rFonts w:ascii="Times New Roman"/>
        </w:rPr>
        <w:t>协会团体标准化工作委员会提出并归口。</w:t>
      </w:r>
    </w:p>
    <w:p>
      <w:pPr>
        <w:pStyle w:val="22"/>
        <w:rPr>
          <w:rFonts w:ascii="Times New Roman"/>
        </w:rPr>
      </w:pPr>
      <w:r>
        <w:rPr>
          <w:rFonts w:ascii="Times New Roman"/>
        </w:rPr>
        <w:t>本文件起草单位：</w:t>
      </w:r>
    </w:p>
    <w:p>
      <w:pPr>
        <w:pStyle w:val="22"/>
        <w:rPr>
          <w:rFonts w:ascii="Times New Roman"/>
        </w:rPr>
      </w:pPr>
      <w:r>
        <w:rPr>
          <w:rFonts w:ascii="Times New Roman"/>
        </w:rPr>
        <w:t>本文件主要起草人：</w:t>
      </w:r>
    </w:p>
    <w:p>
      <w:pPr>
        <w:pStyle w:val="22"/>
        <w:rPr>
          <w:rFonts w:ascii="Times New Roman"/>
        </w:rPr>
      </w:pPr>
      <w:r>
        <w:rPr>
          <w:rFonts w:hint="eastAsia" w:ascii="Times New Roman"/>
        </w:rPr>
        <w:t>本文件为首次发布。</w:t>
      </w:r>
    </w:p>
    <w:p>
      <w:pPr>
        <w:ind w:firstLine="420" w:firstLineChars="200"/>
      </w:pPr>
    </w:p>
    <w:p>
      <w:pPr>
        <w:pStyle w:val="106"/>
        <w:spacing w:after="624" w:afterLines="200"/>
        <w:rPr>
          <w:rFonts w:ascii="Times New Roman"/>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p>
    <w:p>
      <w:pPr>
        <w:pStyle w:val="106"/>
        <w:spacing w:after="624" w:afterLines="200"/>
        <w:rPr>
          <w:rFonts w:ascii="Times New Roman"/>
        </w:rPr>
      </w:pPr>
      <w:bookmarkStart w:id="13" w:name="_Toc132719797"/>
      <w:r>
        <w:rPr>
          <w:rFonts w:hint="eastAsia" w:ascii="Times New Roman"/>
        </w:rPr>
        <w:t>钢铁企业除尘设施超低排放运行能源消耗限额</w:t>
      </w:r>
      <w:bookmarkEnd w:id="13"/>
    </w:p>
    <w:p>
      <w:pPr>
        <w:pStyle w:val="52"/>
        <w:outlineLvl w:val="0"/>
        <w:rPr>
          <w:rFonts w:ascii="Times New Roman"/>
        </w:rPr>
      </w:pPr>
      <w:bookmarkStart w:id="14" w:name="_Toc520380391"/>
      <w:bookmarkStart w:id="15" w:name="_Toc132719798"/>
      <w:r>
        <w:rPr>
          <w:rFonts w:ascii="Times New Roman"/>
        </w:rPr>
        <w:t>范围</w:t>
      </w:r>
      <w:bookmarkEnd w:id="14"/>
      <w:bookmarkEnd w:id="15"/>
    </w:p>
    <w:p>
      <w:pPr>
        <w:pStyle w:val="22"/>
        <w:rPr>
          <w:rFonts w:ascii="Times New Roman"/>
        </w:rPr>
      </w:pPr>
      <w:bookmarkStart w:id="16" w:name="_Toc520380392"/>
      <w:r>
        <w:rPr>
          <w:rFonts w:hint="eastAsia" w:ascii="Times New Roman"/>
        </w:rPr>
        <w:t>本文件规定了钢铁企业除尘设施超低排放运行能源消耗限额的技术要求、统计范围和计算方法、节能管理与措施。</w:t>
      </w:r>
    </w:p>
    <w:p>
      <w:pPr>
        <w:pStyle w:val="22"/>
        <w:rPr>
          <w:rFonts w:ascii="Times New Roman"/>
        </w:rPr>
      </w:pPr>
      <w:r>
        <w:rPr>
          <w:rFonts w:hint="eastAsia" w:ascii="Times New Roman"/>
        </w:rPr>
        <w:t>本文件适用于钢铁企业袋式除尘器、折叠滤筒除尘器、静电除尘器、湿式电除尘器、电袋复合除尘器、湿式除尘器超低排放运行能源消耗的统计计算、评价以及新建设备的能耗控制</w:t>
      </w:r>
      <w:r>
        <w:rPr>
          <w:rFonts w:ascii="Times New Roman"/>
        </w:rPr>
        <w:t>。</w:t>
      </w:r>
    </w:p>
    <w:p>
      <w:pPr>
        <w:pStyle w:val="52"/>
        <w:rPr>
          <w:rFonts w:ascii="Times New Roman"/>
        </w:rPr>
      </w:pPr>
      <w:bookmarkStart w:id="17" w:name="_Toc132719799"/>
      <w:r>
        <w:rPr>
          <w:rFonts w:ascii="Times New Roman"/>
        </w:rPr>
        <w:t>规范性引用文件</w:t>
      </w:r>
      <w:bookmarkEnd w:id="16"/>
      <w:bookmarkEnd w:id="17"/>
    </w:p>
    <w:p>
      <w:pPr>
        <w:pStyle w:val="22"/>
        <w:rPr>
          <w:rFonts w:ascii="Times New Roman"/>
        </w:rPr>
      </w:pPr>
      <w:bookmarkStart w:id="18" w:name="_Toc52038039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rFonts w:ascii="Times New Roman"/>
        </w:rPr>
      </w:pPr>
      <w:r>
        <w:rPr>
          <w:rFonts w:hint="eastAsia" w:ascii="Times New Roman"/>
        </w:rPr>
        <w:t>本文件没有规范性引用文件。</w:t>
      </w:r>
    </w:p>
    <w:bookmarkEnd w:id="18"/>
    <w:p>
      <w:pPr>
        <w:pStyle w:val="52"/>
        <w:rPr>
          <w:rFonts w:ascii="Times New Roman"/>
        </w:rPr>
      </w:pPr>
      <w:bookmarkStart w:id="19" w:name="_Toc132719800"/>
      <w:bookmarkStart w:id="20" w:name="_Toc520380395"/>
      <w:r>
        <w:rPr>
          <w:rFonts w:ascii="Times New Roman"/>
        </w:rPr>
        <w:t>术语和定义</w:t>
      </w:r>
      <w:bookmarkEnd w:id="19"/>
    </w:p>
    <w:bookmarkEnd w:id="20"/>
    <w:p>
      <w:pPr>
        <w:pStyle w:val="22"/>
        <w:rPr>
          <w:rFonts w:ascii="Times New Roman"/>
        </w:rPr>
      </w:pPr>
      <w:r>
        <w:rPr>
          <w:rFonts w:hint="eastAsia" w:ascii="Times New Roman"/>
        </w:rPr>
        <w:t>本文件没有需要界定的术语和定义。</w:t>
      </w:r>
    </w:p>
    <w:p>
      <w:pPr>
        <w:pStyle w:val="52"/>
        <w:rPr>
          <w:rFonts w:ascii="Times New Roman"/>
        </w:rPr>
      </w:pPr>
      <w:bookmarkStart w:id="21" w:name="_Toc132719801"/>
      <w:r>
        <w:rPr>
          <w:rFonts w:hint="eastAsia" w:ascii="Times New Roman"/>
        </w:rPr>
        <w:t>技术要求</w:t>
      </w:r>
      <w:bookmarkEnd w:id="21"/>
    </w:p>
    <w:p>
      <w:pPr>
        <w:pStyle w:val="54"/>
        <w:ind w:left="0"/>
        <w:rPr>
          <w:rFonts w:ascii="Times New Roman" w:eastAsia="宋体"/>
          <w:szCs w:val="20"/>
        </w:rPr>
      </w:pPr>
      <w:r>
        <w:rPr>
          <w:rFonts w:hint="eastAsia" w:ascii="Times New Roman" w:eastAsia="宋体"/>
          <w:szCs w:val="20"/>
        </w:rPr>
        <w:t>基本要求</w:t>
      </w:r>
    </w:p>
    <w:p>
      <w:pPr>
        <w:pStyle w:val="56"/>
        <w:spacing w:before="156" w:after="156"/>
        <w:ind w:left="0"/>
        <w:rPr>
          <w:rFonts w:ascii="Times New Roman" w:eastAsia="宋体"/>
        </w:rPr>
      </w:pPr>
      <w:r>
        <w:rPr>
          <w:rFonts w:ascii="Times New Roman" w:eastAsia="宋体"/>
        </w:rPr>
        <w:t>烧结机头（球团焙烧）烟气进入脱硫设施前宜配置不少于四电场的配备高频电源或脉冲电源的电除尘器，电场风速宜小于0.75m/s、比集尘面积不宜低于115m</w:t>
      </w:r>
      <w:r>
        <w:rPr>
          <w:rFonts w:ascii="Times New Roman" w:eastAsia="宋体"/>
          <w:vertAlign w:val="superscript"/>
        </w:rPr>
        <w:t>2</w:t>
      </w:r>
      <w:r>
        <w:rPr>
          <w:rFonts w:ascii="Times New Roman" w:eastAsia="宋体"/>
        </w:rPr>
        <w:t>/m</w:t>
      </w:r>
      <w:r>
        <w:rPr>
          <w:rFonts w:ascii="Times New Roman" w:eastAsia="宋体"/>
          <w:vertAlign w:val="superscript"/>
        </w:rPr>
        <w:t>3</w:t>
      </w:r>
      <w:r>
        <w:rPr>
          <w:rFonts w:ascii="Times New Roman" w:eastAsia="宋体"/>
        </w:rPr>
        <w:t>/s。</w:t>
      </w:r>
    </w:p>
    <w:p>
      <w:pPr>
        <w:pStyle w:val="56"/>
        <w:spacing w:before="156" w:after="156"/>
        <w:ind w:left="0"/>
        <w:rPr>
          <w:rFonts w:ascii="Times New Roman" w:eastAsia="宋体"/>
        </w:rPr>
      </w:pPr>
      <w:r>
        <w:rPr>
          <w:rFonts w:ascii="Times New Roman" w:eastAsia="宋体"/>
        </w:rPr>
        <w:t>湿法脱硫设施需配备湿式电除尘器；半干法脱硫设施需配备高效袋式除尘器；活性炭脱硫脱硝设施后如颗粒物不能满足要求的，需配备高效袋式除尘器。</w:t>
      </w:r>
    </w:p>
    <w:p>
      <w:pPr>
        <w:pStyle w:val="56"/>
        <w:spacing w:before="156" w:after="156"/>
        <w:ind w:left="0"/>
        <w:rPr>
          <w:rFonts w:ascii="Times New Roman" w:eastAsia="宋体"/>
        </w:rPr>
      </w:pPr>
      <w:r>
        <w:rPr>
          <w:rFonts w:hint="eastAsia" w:ascii="Times New Roman" w:eastAsia="宋体"/>
        </w:rPr>
        <w:t>袋式除尘器</w:t>
      </w:r>
    </w:p>
    <w:p>
      <w:pPr>
        <w:pStyle w:val="22"/>
        <w:rPr>
          <w:rFonts w:ascii="Times New Roman"/>
        </w:rPr>
      </w:pPr>
      <w:r>
        <w:rPr>
          <w:rFonts w:hint="eastAsia" w:ascii="Times New Roman"/>
        </w:rPr>
        <w:t>袋式除尘器应符合以下要求：</w:t>
      </w:r>
    </w:p>
    <w:p>
      <w:pPr>
        <w:pStyle w:val="22"/>
        <w:rPr>
          <w:rFonts w:ascii="Times New Roman"/>
        </w:rPr>
      </w:pPr>
      <w:r>
        <w:rPr>
          <w:rFonts w:hint="eastAsia" w:ascii="Times New Roman"/>
        </w:rPr>
        <w:t>a）进口温度应不超过滤袋允许使用温度，且宜高于露点温度15℃以上；</w:t>
      </w:r>
    </w:p>
    <w:p>
      <w:pPr>
        <w:pStyle w:val="22"/>
        <w:rPr>
          <w:rFonts w:ascii="Times New Roman"/>
        </w:rPr>
      </w:pPr>
      <w:r>
        <w:rPr>
          <w:rFonts w:hint="eastAsia" w:ascii="Times New Roman"/>
        </w:rPr>
        <w:t>b）过滤风速宜不大于0.8 m/min，相应除尘器阻力宜在500Pa~2000Pa范围内，对于干法、半干法等脱硫后除尘，过滤风速宜不大于0.65 m/min，相应除尘器阻力宜在1200Pa~2000Pa范围内；</w:t>
      </w:r>
    </w:p>
    <w:p>
      <w:pPr>
        <w:pStyle w:val="22"/>
        <w:rPr>
          <w:rFonts w:ascii="Times New Roman"/>
        </w:rPr>
      </w:pPr>
      <w:r>
        <w:rPr>
          <w:rFonts w:hint="eastAsia" w:ascii="Times New Roman"/>
        </w:rPr>
        <w:t>c）漏风率应不大于3%，宜不大于1.5%。</w:t>
      </w:r>
    </w:p>
    <w:p>
      <w:pPr>
        <w:pStyle w:val="56"/>
        <w:spacing w:before="156" w:after="156"/>
        <w:ind w:left="0"/>
        <w:rPr>
          <w:rFonts w:ascii="Times New Roman" w:eastAsia="宋体"/>
        </w:rPr>
      </w:pPr>
      <w:r>
        <w:rPr>
          <w:rFonts w:hint="eastAsia" w:ascii="Times New Roman" w:eastAsia="宋体"/>
        </w:rPr>
        <w:t>折叠滤筒除尘器</w:t>
      </w:r>
    </w:p>
    <w:p>
      <w:pPr>
        <w:pStyle w:val="22"/>
        <w:rPr>
          <w:rFonts w:ascii="Times New Roman"/>
        </w:rPr>
      </w:pPr>
      <w:r>
        <w:rPr>
          <w:rFonts w:hint="eastAsia" w:ascii="Times New Roman"/>
        </w:rPr>
        <w:t>折叠滤筒除尘器应符合以下要求：</w:t>
      </w:r>
    </w:p>
    <w:p>
      <w:pPr>
        <w:pStyle w:val="22"/>
        <w:numPr>
          <w:ilvl w:val="0"/>
          <w:numId w:val="18"/>
        </w:numPr>
        <w:rPr>
          <w:rFonts w:ascii="Times New Roman"/>
        </w:rPr>
      </w:pPr>
      <w:r>
        <w:rPr>
          <w:rFonts w:hint="eastAsia" w:ascii="Times New Roman"/>
        </w:rPr>
        <w:t>全过滤风速小于0.7m/min；</w:t>
      </w:r>
    </w:p>
    <w:p>
      <w:pPr>
        <w:pStyle w:val="22"/>
        <w:numPr>
          <w:ilvl w:val="0"/>
          <w:numId w:val="18"/>
        </w:numPr>
        <w:rPr>
          <w:rFonts w:ascii="Times New Roman"/>
        </w:rPr>
      </w:pPr>
      <w:r>
        <w:rPr>
          <w:rFonts w:hint="eastAsia" w:ascii="Times New Roman"/>
        </w:rPr>
        <w:t>绑带间距差异宜小于0.5mm；</w:t>
      </w:r>
    </w:p>
    <w:p>
      <w:pPr>
        <w:pStyle w:val="22"/>
        <w:numPr>
          <w:ilvl w:val="0"/>
          <w:numId w:val="18"/>
        </w:numPr>
        <w:rPr>
          <w:rFonts w:ascii="Times New Roman"/>
        </w:rPr>
      </w:pPr>
      <w:r>
        <w:rPr>
          <w:rFonts w:hint="eastAsia" w:ascii="Times New Roman"/>
        </w:rPr>
        <w:t>根据入口粉尘浓度以及粉尘特性，滤筒折数宜小于46；</w:t>
      </w:r>
    </w:p>
    <w:p>
      <w:pPr>
        <w:pStyle w:val="22"/>
        <w:numPr>
          <w:ilvl w:val="0"/>
          <w:numId w:val="18"/>
        </w:numPr>
        <w:rPr>
          <w:rFonts w:ascii="Times New Roman"/>
        </w:rPr>
      </w:pPr>
      <w:r>
        <w:rPr>
          <w:rFonts w:hint="eastAsia" w:ascii="Times New Roman"/>
        </w:rPr>
        <w:t>除尘器进口应设置气流分布均流装置。</w:t>
      </w:r>
    </w:p>
    <w:p>
      <w:pPr>
        <w:pStyle w:val="56"/>
        <w:spacing w:before="156" w:after="156"/>
        <w:ind w:left="0"/>
        <w:rPr>
          <w:rFonts w:ascii="Times New Roman" w:eastAsia="宋体"/>
        </w:rPr>
      </w:pPr>
      <w:r>
        <w:rPr>
          <w:rFonts w:hint="eastAsia" w:ascii="Times New Roman" w:eastAsia="宋体"/>
        </w:rPr>
        <w:t>静电除尘器</w:t>
      </w:r>
    </w:p>
    <w:p>
      <w:pPr>
        <w:pStyle w:val="22"/>
        <w:rPr>
          <w:rFonts w:ascii="Times New Roman"/>
        </w:rPr>
      </w:pPr>
      <w:r>
        <w:rPr>
          <w:rFonts w:hint="eastAsia" w:ascii="Times New Roman"/>
        </w:rPr>
        <w:t>静电除尘器应符合以下要求：</w:t>
      </w:r>
    </w:p>
    <w:p>
      <w:pPr>
        <w:pStyle w:val="22"/>
        <w:rPr>
          <w:rFonts w:ascii="Times New Roman"/>
        </w:rPr>
      </w:pPr>
      <w:r>
        <w:rPr>
          <w:rFonts w:hint="eastAsia" w:ascii="Times New Roman"/>
        </w:rPr>
        <w:t>a）同极间距宜在250 mm~600mm范围内；</w:t>
      </w:r>
    </w:p>
    <w:p>
      <w:pPr>
        <w:pStyle w:val="22"/>
        <w:rPr>
          <w:rFonts w:ascii="Times New Roman"/>
        </w:rPr>
      </w:pPr>
      <w:r>
        <w:rPr>
          <w:rFonts w:hint="eastAsia" w:ascii="Times New Roman"/>
        </w:rPr>
        <w:t>b）本体压力降（除尘器阻力）应不大于300Pa，宜不大于200Pa；</w:t>
      </w:r>
    </w:p>
    <w:p>
      <w:pPr>
        <w:pStyle w:val="22"/>
        <w:rPr>
          <w:rFonts w:ascii="Times New Roman"/>
        </w:rPr>
      </w:pPr>
      <w:r>
        <w:rPr>
          <w:rFonts w:hint="eastAsia" w:ascii="Times New Roman"/>
        </w:rPr>
        <w:t>c）漏风率应不大于3%，宜不大于1.5%。</w:t>
      </w:r>
    </w:p>
    <w:p>
      <w:pPr>
        <w:pStyle w:val="56"/>
        <w:spacing w:before="156" w:after="156"/>
        <w:ind w:left="0"/>
        <w:rPr>
          <w:rFonts w:ascii="Times New Roman" w:eastAsia="宋体"/>
        </w:rPr>
      </w:pPr>
      <w:r>
        <w:rPr>
          <w:rFonts w:hint="eastAsia" w:ascii="Times New Roman" w:eastAsia="宋体"/>
        </w:rPr>
        <w:t>湿式电除尘器</w:t>
      </w:r>
    </w:p>
    <w:p>
      <w:pPr>
        <w:pStyle w:val="22"/>
        <w:rPr>
          <w:rFonts w:ascii="Times New Roman"/>
        </w:rPr>
      </w:pPr>
      <w:r>
        <w:rPr>
          <w:rFonts w:hint="eastAsia" w:ascii="Times New Roman"/>
        </w:rPr>
        <w:t>湿式电除尘系统系统应符合以下要求：</w:t>
      </w:r>
    </w:p>
    <w:p>
      <w:pPr>
        <w:pStyle w:val="22"/>
        <w:numPr>
          <w:ilvl w:val="0"/>
          <w:numId w:val="19"/>
        </w:numPr>
        <w:rPr>
          <w:rFonts w:ascii="Times New Roman"/>
        </w:rPr>
      </w:pPr>
      <w:r>
        <w:rPr>
          <w:rFonts w:hint="eastAsia" w:ascii="Times New Roman"/>
        </w:rPr>
        <w:t>蜂窝式湿式电除尘器进口温度控制在</w:t>
      </w:r>
      <w:r>
        <w:rPr>
          <w:rFonts w:ascii="Times New Roman"/>
        </w:rPr>
        <w:t>0℃~90℃</w:t>
      </w:r>
      <w:r>
        <w:rPr>
          <w:rFonts w:hint="eastAsia" w:ascii="Times New Roman"/>
        </w:rPr>
        <w:t>范围内，板式湿式电除尘器进口温度控制在</w:t>
      </w:r>
      <w:r>
        <w:rPr>
          <w:rFonts w:ascii="Times New Roman"/>
        </w:rPr>
        <w:t>0℃~100℃</w:t>
      </w:r>
      <w:r>
        <w:rPr>
          <w:rFonts w:hint="eastAsia" w:ascii="Times New Roman"/>
        </w:rPr>
        <w:t>范围内；</w:t>
      </w:r>
    </w:p>
    <w:p>
      <w:pPr>
        <w:pStyle w:val="22"/>
        <w:numPr>
          <w:ilvl w:val="0"/>
          <w:numId w:val="19"/>
        </w:numPr>
        <w:rPr>
          <w:rFonts w:ascii="Times New Roman"/>
        </w:rPr>
      </w:pPr>
      <w:r>
        <w:rPr>
          <w:rFonts w:hint="eastAsia" w:ascii="Times New Roman"/>
        </w:rPr>
        <w:t>同极间距宜在</w:t>
      </w:r>
      <w:r>
        <w:rPr>
          <w:rFonts w:ascii="Times New Roman"/>
        </w:rPr>
        <w:t>250mm~400mm</w:t>
      </w:r>
      <w:r>
        <w:rPr>
          <w:rFonts w:hint="eastAsia" w:ascii="Times New Roman"/>
        </w:rPr>
        <w:t>范围内；</w:t>
      </w:r>
    </w:p>
    <w:p>
      <w:pPr>
        <w:pStyle w:val="22"/>
        <w:numPr>
          <w:ilvl w:val="0"/>
          <w:numId w:val="19"/>
        </w:numPr>
        <w:rPr>
          <w:rFonts w:ascii="Times New Roman"/>
        </w:rPr>
      </w:pPr>
      <w:r>
        <w:rPr>
          <w:rFonts w:hint="eastAsia" w:ascii="Times New Roman"/>
        </w:rPr>
        <w:t>蜂窝式湿式电除尘器烟气流速宜不大于</w:t>
      </w:r>
      <w:r>
        <w:rPr>
          <w:rFonts w:ascii="Times New Roman"/>
        </w:rPr>
        <w:t>3.0m/s</w:t>
      </w:r>
      <w:r>
        <w:rPr>
          <w:rFonts w:hint="eastAsia" w:ascii="Times New Roman"/>
        </w:rPr>
        <w:t>、相应本体压力降（除尘器阻力）宜不大于</w:t>
      </w:r>
      <w:r>
        <w:rPr>
          <w:rFonts w:ascii="Times New Roman"/>
        </w:rPr>
        <w:t>300Pa</w:t>
      </w:r>
      <w:r>
        <w:rPr>
          <w:rFonts w:hint="eastAsia" w:ascii="Times New Roman"/>
        </w:rPr>
        <w:t>（不含除雾装置），蜂窝式板式电除尘器烟气流速宜不大于</w:t>
      </w:r>
      <w:r>
        <w:rPr>
          <w:rFonts w:ascii="Times New Roman"/>
        </w:rPr>
        <w:t>3.5m/s</w:t>
      </w:r>
      <w:r>
        <w:rPr>
          <w:rFonts w:hint="eastAsia" w:ascii="Times New Roman"/>
        </w:rPr>
        <w:t>、相应本体压力降（除尘器阻力）宜不大于</w:t>
      </w:r>
      <w:r>
        <w:rPr>
          <w:rFonts w:ascii="Times New Roman"/>
        </w:rPr>
        <w:t>250Pa</w:t>
      </w:r>
      <w:r>
        <w:rPr>
          <w:rFonts w:hint="eastAsia" w:ascii="Times New Roman"/>
        </w:rPr>
        <w:t>（不含除雾装置），单级除雾装置压力降宜不小于</w:t>
      </w:r>
      <w:r>
        <w:rPr>
          <w:rFonts w:ascii="Times New Roman"/>
        </w:rPr>
        <w:t>150Pa</w:t>
      </w:r>
      <w:r>
        <w:rPr>
          <w:rFonts w:hint="eastAsia" w:ascii="Times New Roman"/>
        </w:rPr>
        <w:t>；</w:t>
      </w:r>
    </w:p>
    <w:p>
      <w:pPr>
        <w:pStyle w:val="22"/>
        <w:numPr>
          <w:ilvl w:val="0"/>
          <w:numId w:val="19"/>
        </w:numPr>
        <w:rPr>
          <w:rFonts w:ascii="Times New Roman"/>
        </w:rPr>
      </w:pPr>
      <w:r>
        <w:rPr>
          <w:rFonts w:hint="eastAsia" w:ascii="Times New Roman"/>
        </w:rPr>
        <w:t>漏风率≤</w:t>
      </w:r>
      <w:r>
        <w:rPr>
          <w:rFonts w:ascii="Times New Roman"/>
        </w:rPr>
        <w:t>2%</w:t>
      </w:r>
      <w:r>
        <w:rPr>
          <w:rFonts w:hint="eastAsia" w:ascii="Times New Roman"/>
        </w:rPr>
        <w:t>。</w:t>
      </w:r>
    </w:p>
    <w:p>
      <w:pPr>
        <w:pStyle w:val="56"/>
        <w:spacing w:before="156" w:after="156"/>
        <w:ind w:left="0"/>
        <w:rPr>
          <w:rFonts w:ascii="Times New Roman" w:eastAsia="宋体"/>
        </w:rPr>
      </w:pPr>
      <w:r>
        <w:rPr>
          <w:rFonts w:hint="eastAsia" w:ascii="Times New Roman" w:eastAsia="宋体"/>
        </w:rPr>
        <w:t>电袋复合除尘器</w:t>
      </w:r>
    </w:p>
    <w:p>
      <w:pPr>
        <w:pStyle w:val="22"/>
        <w:rPr>
          <w:rFonts w:ascii="Times New Roman"/>
        </w:rPr>
      </w:pPr>
      <w:r>
        <w:rPr>
          <w:rFonts w:hint="eastAsia" w:ascii="Times New Roman"/>
        </w:rPr>
        <w:t>电袋复合除尘系统应符合以下要求：</w:t>
      </w:r>
    </w:p>
    <w:p>
      <w:pPr>
        <w:pStyle w:val="22"/>
        <w:numPr>
          <w:ilvl w:val="0"/>
          <w:numId w:val="20"/>
        </w:numPr>
        <w:rPr>
          <w:rFonts w:ascii="Times New Roman"/>
        </w:rPr>
      </w:pPr>
      <w:r>
        <w:rPr>
          <w:rFonts w:hint="eastAsia" w:ascii="Times New Roman"/>
        </w:rPr>
        <w:t>进口温度应不超过滤袋允许使用温度；</w:t>
      </w:r>
    </w:p>
    <w:p>
      <w:pPr>
        <w:pStyle w:val="22"/>
        <w:numPr>
          <w:ilvl w:val="0"/>
          <w:numId w:val="20"/>
        </w:numPr>
        <w:rPr>
          <w:rFonts w:ascii="Times New Roman"/>
        </w:rPr>
      </w:pPr>
      <w:r>
        <w:rPr>
          <w:rFonts w:hint="eastAsia" w:ascii="Times New Roman"/>
        </w:rPr>
        <w:t>同极距宜在400mm~500mm范围内；</w:t>
      </w:r>
    </w:p>
    <w:p>
      <w:pPr>
        <w:pStyle w:val="22"/>
        <w:numPr>
          <w:ilvl w:val="0"/>
          <w:numId w:val="20"/>
        </w:numPr>
        <w:rPr>
          <w:rFonts w:ascii="Times New Roman"/>
        </w:rPr>
      </w:pPr>
      <w:r>
        <w:rPr>
          <w:rFonts w:hint="eastAsia" w:ascii="Times New Roman"/>
        </w:rPr>
        <w:t>过滤风速宜不大于1.0 m/min（其中对于干法、半干法等脱硫后除尘，过滤风速宜不大于0.75m/min），相应除尘器阻力宜不大于</w:t>
      </w:r>
      <w:r>
        <w:rPr>
          <w:rFonts w:ascii="Times New Roman"/>
        </w:rPr>
        <w:t>1100Pa</w:t>
      </w:r>
      <w:r>
        <w:rPr>
          <w:rFonts w:hint="eastAsia" w:ascii="Times New Roman"/>
        </w:rPr>
        <w:t>；</w:t>
      </w:r>
    </w:p>
    <w:p>
      <w:pPr>
        <w:pStyle w:val="22"/>
        <w:numPr>
          <w:ilvl w:val="0"/>
          <w:numId w:val="20"/>
        </w:numPr>
        <w:rPr>
          <w:rFonts w:ascii="Times New Roman"/>
        </w:rPr>
      </w:pPr>
      <w:r>
        <w:rPr>
          <w:rFonts w:hint="eastAsia" w:ascii="Times New Roman"/>
        </w:rPr>
        <w:t>漏风率应不大于</w:t>
      </w:r>
      <w:r>
        <w:rPr>
          <w:rFonts w:ascii="Times New Roman"/>
        </w:rPr>
        <w:t>3%</w:t>
      </w:r>
      <w:r>
        <w:rPr>
          <w:rFonts w:hint="eastAsia" w:ascii="Times New Roman"/>
        </w:rPr>
        <w:t>，宜不大于</w:t>
      </w:r>
      <w:r>
        <w:rPr>
          <w:rFonts w:ascii="Times New Roman"/>
        </w:rPr>
        <w:t>1.5%</w:t>
      </w:r>
      <w:r>
        <w:rPr>
          <w:rFonts w:hint="eastAsia" w:ascii="Times New Roman"/>
        </w:rPr>
        <w:t>。</w:t>
      </w:r>
    </w:p>
    <w:p>
      <w:pPr>
        <w:pStyle w:val="54"/>
        <w:ind w:left="0"/>
        <w:rPr>
          <w:rFonts w:ascii="Times New Roman"/>
          <w:szCs w:val="22"/>
        </w:rPr>
      </w:pPr>
      <w:r>
        <w:rPr>
          <w:rFonts w:hint="eastAsia" w:ascii="Times New Roman" w:eastAsia="宋体"/>
          <w:szCs w:val="20"/>
        </w:rPr>
        <w:t>除尘设施超低排放指标要求</w:t>
      </w:r>
    </w:p>
    <w:p>
      <w:pPr>
        <w:pStyle w:val="22"/>
        <w:rPr>
          <w:rFonts w:ascii="Times New Roman"/>
        </w:rPr>
      </w:pPr>
      <w:r>
        <w:rPr>
          <w:rFonts w:hint="eastAsia" w:ascii="Times New Roman"/>
        </w:rPr>
        <w:t>除尘</w:t>
      </w:r>
      <w:r>
        <w:rPr>
          <w:rFonts w:ascii="Times New Roman"/>
        </w:rPr>
        <w:t>设施处理后烟气中</w:t>
      </w:r>
      <w:r>
        <w:rPr>
          <w:rFonts w:hint="eastAsia" w:ascii="Times New Roman"/>
        </w:rPr>
        <w:t>颗粒物</w:t>
      </w:r>
      <w:r>
        <w:rPr>
          <w:rFonts w:ascii="Times New Roman"/>
        </w:rPr>
        <w:t>排放指标应符合表1规定。</w:t>
      </w:r>
    </w:p>
    <w:p>
      <w:pPr>
        <w:pStyle w:val="22"/>
        <w:spacing w:before="156" w:beforeLines="50" w:after="156" w:afterLines="50"/>
        <w:jc w:val="center"/>
        <w:rPr>
          <w:rFonts w:ascii="Times New Roman" w:eastAsia="黑体"/>
        </w:rPr>
      </w:pPr>
      <w:r>
        <w:rPr>
          <w:rFonts w:ascii="Times New Roman" w:eastAsia="黑体"/>
        </w:rPr>
        <w:t>表1  钢铁企业</w:t>
      </w:r>
      <w:r>
        <w:rPr>
          <w:rFonts w:hint="eastAsia" w:ascii="Times New Roman" w:eastAsia="黑体"/>
        </w:rPr>
        <w:t>除尘</w:t>
      </w:r>
      <w:r>
        <w:rPr>
          <w:rFonts w:ascii="Times New Roman" w:eastAsia="黑体"/>
        </w:rPr>
        <w:t>设施超低排放指标限值</w:t>
      </w:r>
    </w:p>
    <w:p>
      <w:pPr>
        <w:pStyle w:val="22"/>
        <w:jc w:val="right"/>
        <w:rPr>
          <w:rFonts w:ascii="Times New Roman"/>
        </w:rPr>
      </w:pPr>
      <w:r>
        <w:rPr>
          <w:rFonts w:ascii="Times New Roman"/>
        </w:rPr>
        <w:t>单位：毫克/立方米</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8"/>
        <w:gridCol w:w="3285"/>
        <w:gridCol w:w="2298"/>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1768" w:type="dxa"/>
            <w:vMerge w:val="restart"/>
            <w:vAlign w:val="center"/>
          </w:tcPr>
          <w:p>
            <w:pPr>
              <w:pStyle w:val="116"/>
              <w:numPr>
                <w:ilvl w:val="0"/>
                <w:numId w:val="0"/>
              </w:numPr>
              <w:jc w:val="center"/>
              <w:rPr>
                <w:rFonts w:ascii="Times New Roman"/>
                <w:b/>
                <w:bCs/>
                <w:sz w:val="18"/>
                <w:szCs w:val="18"/>
              </w:rPr>
            </w:pPr>
            <w:r>
              <w:rPr>
                <w:rFonts w:ascii="Times New Roman"/>
                <w:b/>
                <w:bCs/>
                <w:sz w:val="18"/>
                <w:szCs w:val="18"/>
              </w:rPr>
              <w:t>生产工序</w:t>
            </w:r>
          </w:p>
        </w:tc>
        <w:tc>
          <w:tcPr>
            <w:tcW w:w="3285" w:type="dxa"/>
            <w:vAlign w:val="center"/>
          </w:tcPr>
          <w:p>
            <w:pPr>
              <w:pStyle w:val="116"/>
              <w:numPr>
                <w:ilvl w:val="0"/>
                <w:numId w:val="0"/>
              </w:numPr>
              <w:jc w:val="center"/>
              <w:rPr>
                <w:rFonts w:ascii="Times New Roman"/>
                <w:b/>
                <w:bCs/>
                <w:sz w:val="18"/>
                <w:szCs w:val="18"/>
              </w:rPr>
            </w:pPr>
            <w:r>
              <w:rPr>
                <w:rFonts w:ascii="Times New Roman"/>
                <w:b/>
                <w:bCs/>
                <w:sz w:val="18"/>
                <w:szCs w:val="18"/>
              </w:rPr>
              <w:t>生产设施</w:t>
            </w:r>
          </w:p>
        </w:tc>
        <w:tc>
          <w:tcPr>
            <w:tcW w:w="2298" w:type="dxa"/>
            <w:vMerge w:val="restart"/>
            <w:vAlign w:val="center"/>
          </w:tcPr>
          <w:p>
            <w:pPr>
              <w:pStyle w:val="116"/>
              <w:numPr>
                <w:ilvl w:val="0"/>
                <w:numId w:val="0"/>
              </w:numPr>
              <w:jc w:val="center"/>
              <w:rPr>
                <w:rFonts w:ascii="Times New Roman"/>
                <w:b/>
                <w:bCs/>
                <w:sz w:val="18"/>
                <w:szCs w:val="18"/>
              </w:rPr>
            </w:pPr>
            <w:r>
              <w:rPr>
                <w:rFonts w:ascii="Times New Roman"/>
                <w:b/>
                <w:bCs/>
                <w:sz w:val="18"/>
                <w:szCs w:val="18"/>
              </w:rPr>
              <w:t>基准含氧量（%）</w:t>
            </w:r>
          </w:p>
        </w:tc>
        <w:tc>
          <w:tcPr>
            <w:tcW w:w="1807" w:type="dxa"/>
            <w:vMerge w:val="restart"/>
            <w:vAlign w:val="center"/>
          </w:tcPr>
          <w:p>
            <w:pPr>
              <w:pStyle w:val="116"/>
              <w:numPr>
                <w:ilvl w:val="0"/>
                <w:numId w:val="0"/>
              </w:numPr>
              <w:jc w:val="center"/>
              <w:rPr>
                <w:rFonts w:ascii="Times New Roman"/>
                <w:b/>
                <w:bCs/>
                <w:sz w:val="18"/>
                <w:szCs w:val="18"/>
              </w:rPr>
            </w:pPr>
            <w:r>
              <w:rPr>
                <w:rFonts w:hint="eastAsia" w:ascii="Times New Roman"/>
                <w:b/>
                <w:bCs/>
                <w:sz w:val="18"/>
                <w:szCs w:val="18"/>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768" w:type="dxa"/>
            <w:vMerge w:val="restart"/>
            <w:vAlign w:val="center"/>
          </w:tcPr>
          <w:p>
            <w:pPr>
              <w:pStyle w:val="116"/>
              <w:numPr>
                <w:ilvl w:val="0"/>
                <w:numId w:val="0"/>
              </w:numPr>
              <w:jc w:val="center"/>
              <w:rPr>
                <w:rFonts w:ascii="Times New Roman"/>
                <w:sz w:val="18"/>
                <w:szCs w:val="18"/>
              </w:rPr>
            </w:pPr>
            <w:r>
              <w:rPr>
                <w:rFonts w:ascii="Times New Roman"/>
                <w:sz w:val="18"/>
                <w:szCs w:val="18"/>
              </w:rPr>
              <w:t>烧结（球团）</w:t>
            </w:r>
          </w:p>
        </w:tc>
        <w:tc>
          <w:tcPr>
            <w:tcW w:w="3285" w:type="dxa"/>
            <w:vAlign w:val="center"/>
          </w:tcPr>
          <w:p>
            <w:pPr>
              <w:pStyle w:val="116"/>
              <w:numPr>
                <w:ilvl w:val="0"/>
                <w:numId w:val="0"/>
              </w:numPr>
              <w:jc w:val="center"/>
              <w:rPr>
                <w:rFonts w:ascii="Times New Roman"/>
                <w:sz w:val="18"/>
                <w:szCs w:val="18"/>
              </w:rPr>
            </w:pPr>
            <w:r>
              <w:rPr>
                <w:rFonts w:ascii="Times New Roman"/>
                <w:sz w:val="18"/>
                <w:szCs w:val="18"/>
              </w:rPr>
              <w:t>烧结机机头</w:t>
            </w:r>
          </w:p>
        </w:tc>
        <w:tc>
          <w:tcPr>
            <w:tcW w:w="2298" w:type="dxa"/>
            <w:vMerge w:val="restart"/>
            <w:vAlign w:val="center"/>
          </w:tcPr>
          <w:p>
            <w:pPr>
              <w:pStyle w:val="116"/>
              <w:numPr>
                <w:ilvl w:val="0"/>
                <w:numId w:val="0"/>
              </w:numPr>
              <w:jc w:val="center"/>
              <w:rPr>
                <w:rFonts w:ascii="Times New Roman"/>
                <w:sz w:val="18"/>
                <w:szCs w:val="18"/>
              </w:rPr>
            </w:pPr>
            <w:r>
              <w:rPr>
                <w:rFonts w:ascii="Times New Roman"/>
                <w:sz w:val="18"/>
                <w:szCs w:val="18"/>
              </w:rPr>
              <w:t>16</w:t>
            </w:r>
          </w:p>
        </w:tc>
        <w:tc>
          <w:tcPr>
            <w:tcW w:w="1807" w:type="dxa"/>
            <w:vMerge w:val="restart"/>
            <w:vAlign w:val="center"/>
          </w:tcPr>
          <w:p>
            <w:pPr>
              <w:pStyle w:val="116"/>
              <w:numPr>
                <w:ilvl w:val="0"/>
                <w:numId w:val="0"/>
              </w:numPr>
              <w:jc w:val="center"/>
              <w:rPr>
                <w:rFonts w:ascii="Times New Roman"/>
                <w:sz w:val="18"/>
                <w:szCs w:val="18"/>
              </w:rPr>
            </w:pPr>
            <w:r>
              <w:rPr>
                <w:rFonts w:hint="eastAsia" w:ascii="Times New Roman"/>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768" w:type="dxa"/>
            <w:vMerge w:val="continue"/>
            <w:vAlign w:val="center"/>
          </w:tcPr>
          <w:p>
            <w:pPr>
              <w:pStyle w:val="116"/>
              <w:numPr>
                <w:ilvl w:val="0"/>
                <w:numId w:val="0"/>
              </w:numPr>
              <w:jc w:val="center"/>
              <w:rPr>
                <w:rFonts w:ascii="Times New Roman"/>
                <w:sz w:val="18"/>
                <w:szCs w:val="18"/>
              </w:rPr>
            </w:pPr>
          </w:p>
        </w:tc>
        <w:tc>
          <w:tcPr>
            <w:tcW w:w="3285" w:type="dxa"/>
            <w:vAlign w:val="center"/>
          </w:tcPr>
          <w:p>
            <w:pPr>
              <w:pStyle w:val="116"/>
              <w:numPr>
                <w:ilvl w:val="0"/>
                <w:numId w:val="0"/>
              </w:numPr>
              <w:jc w:val="center"/>
              <w:rPr>
                <w:rFonts w:ascii="Times New Roman"/>
                <w:sz w:val="18"/>
                <w:szCs w:val="18"/>
              </w:rPr>
            </w:pPr>
            <w:r>
              <w:rPr>
                <w:rFonts w:ascii="Times New Roman"/>
                <w:sz w:val="18"/>
                <w:szCs w:val="18"/>
              </w:rPr>
              <w:t>球团竖炉</w:t>
            </w:r>
          </w:p>
        </w:tc>
        <w:tc>
          <w:tcPr>
            <w:tcW w:w="2298" w:type="dxa"/>
            <w:vMerge w:val="continue"/>
            <w:vAlign w:val="center"/>
          </w:tcPr>
          <w:p>
            <w:pPr>
              <w:pStyle w:val="116"/>
              <w:numPr>
                <w:ilvl w:val="0"/>
                <w:numId w:val="0"/>
              </w:numPr>
              <w:jc w:val="center"/>
              <w:rPr>
                <w:rFonts w:ascii="Times New Roman"/>
                <w:sz w:val="18"/>
                <w:szCs w:val="18"/>
              </w:rPr>
            </w:pPr>
          </w:p>
        </w:tc>
        <w:tc>
          <w:tcPr>
            <w:tcW w:w="1807" w:type="dxa"/>
            <w:vMerge w:val="continue"/>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768" w:type="dxa"/>
            <w:vMerge w:val="continue"/>
            <w:vAlign w:val="center"/>
          </w:tcPr>
          <w:p>
            <w:pPr>
              <w:pStyle w:val="116"/>
              <w:numPr>
                <w:ilvl w:val="0"/>
                <w:numId w:val="0"/>
              </w:numPr>
              <w:jc w:val="center"/>
              <w:rPr>
                <w:rFonts w:ascii="Times New Roman"/>
                <w:sz w:val="18"/>
                <w:szCs w:val="18"/>
              </w:rPr>
            </w:pPr>
          </w:p>
        </w:tc>
        <w:tc>
          <w:tcPr>
            <w:tcW w:w="3285" w:type="dxa"/>
            <w:vAlign w:val="center"/>
          </w:tcPr>
          <w:p>
            <w:pPr>
              <w:pStyle w:val="116"/>
              <w:numPr>
                <w:ilvl w:val="0"/>
                <w:numId w:val="0"/>
              </w:numPr>
              <w:jc w:val="center"/>
              <w:rPr>
                <w:rFonts w:ascii="Times New Roman"/>
                <w:color w:val="000000"/>
                <w:sz w:val="18"/>
                <w:szCs w:val="18"/>
              </w:rPr>
            </w:pPr>
            <w:r>
              <w:rPr>
                <w:rFonts w:ascii="Times New Roman"/>
                <w:sz w:val="18"/>
                <w:szCs w:val="18"/>
              </w:rPr>
              <w:t>链篦机回转窑</w:t>
            </w:r>
          </w:p>
        </w:tc>
        <w:tc>
          <w:tcPr>
            <w:tcW w:w="2298" w:type="dxa"/>
            <w:vMerge w:val="restart"/>
            <w:vAlign w:val="center"/>
          </w:tcPr>
          <w:p>
            <w:pPr>
              <w:pStyle w:val="116"/>
              <w:numPr>
                <w:ilvl w:val="0"/>
                <w:numId w:val="0"/>
              </w:numPr>
              <w:jc w:val="center"/>
              <w:rPr>
                <w:rFonts w:ascii="Times New Roman"/>
                <w:sz w:val="18"/>
                <w:szCs w:val="18"/>
              </w:rPr>
            </w:pPr>
            <w:r>
              <w:rPr>
                <w:rFonts w:ascii="Times New Roman"/>
                <w:sz w:val="18"/>
                <w:szCs w:val="18"/>
              </w:rPr>
              <w:t>18</w:t>
            </w:r>
          </w:p>
        </w:tc>
        <w:tc>
          <w:tcPr>
            <w:tcW w:w="1807" w:type="dxa"/>
            <w:vMerge w:val="continue"/>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768" w:type="dxa"/>
            <w:vMerge w:val="continue"/>
            <w:vAlign w:val="center"/>
          </w:tcPr>
          <w:p>
            <w:pPr>
              <w:pStyle w:val="116"/>
              <w:numPr>
                <w:ilvl w:val="0"/>
                <w:numId w:val="0"/>
              </w:numPr>
              <w:jc w:val="center"/>
              <w:rPr>
                <w:rFonts w:ascii="Times New Roman"/>
                <w:sz w:val="18"/>
                <w:szCs w:val="18"/>
              </w:rPr>
            </w:pPr>
          </w:p>
        </w:tc>
        <w:tc>
          <w:tcPr>
            <w:tcW w:w="3285" w:type="dxa"/>
            <w:vAlign w:val="center"/>
          </w:tcPr>
          <w:p>
            <w:pPr>
              <w:pStyle w:val="116"/>
              <w:numPr>
                <w:ilvl w:val="0"/>
                <w:numId w:val="0"/>
              </w:numPr>
              <w:jc w:val="center"/>
              <w:rPr>
                <w:rFonts w:ascii="Times New Roman"/>
                <w:color w:val="000000"/>
                <w:sz w:val="18"/>
                <w:szCs w:val="18"/>
              </w:rPr>
            </w:pPr>
            <w:r>
              <w:rPr>
                <w:rFonts w:ascii="Times New Roman"/>
                <w:sz w:val="18"/>
                <w:szCs w:val="18"/>
              </w:rPr>
              <w:t>带式球团焙烧机</w:t>
            </w:r>
          </w:p>
        </w:tc>
        <w:tc>
          <w:tcPr>
            <w:tcW w:w="2298" w:type="dxa"/>
            <w:vMerge w:val="continue"/>
            <w:vAlign w:val="center"/>
          </w:tcPr>
          <w:p>
            <w:pPr>
              <w:pStyle w:val="116"/>
              <w:numPr>
                <w:ilvl w:val="0"/>
                <w:numId w:val="0"/>
              </w:numPr>
              <w:jc w:val="center"/>
              <w:rPr>
                <w:rFonts w:ascii="Times New Roman"/>
                <w:sz w:val="18"/>
                <w:szCs w:val="18"/>
              </w:rPr>
            </w:pPr>
          </w:p>
        </w:tc>
        <w:tc>
          <w:tcPr>
            <w:tcW w:w="1807" w:type="dxa"/>
            <w:vMerge w:val="continue"/>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hRule="atLeast"/>
        </w:trPr>
        <w:tc>
          <w:tcPr>
            <w:tcW w:w="1768" w:type="dxa"/>
            <w:vAlign w:val="center"/>
          </w:tcPr>
          <w:p>
            <w:pPr>
              <w:pStyle w:val="116"/>
              <w:numPr>
                <w:ilvl w:val="0"/>
                <w:numId w:val="0"/>
              </w:numPr>
              <w:jc w:val="center"/>
              <w:rPr>
                <w:rFonts w:ascii="Times New Roman"/>
                <w:sz w:val="18"/>
                <w:szCs w:val="18"/>
              </w:rPr>
            </w:pPr>
            <w:r>
              <w:rPr>
                <w:rFonts w:ascii="Times New Roman"/>
                <w:sz w:val="18"/>
                <w:szCs w:val="18"/>
              </w:rPr>
              <w:t>炼焦</w:t>
            </w:r>
          </w:p>
        </w:tc>
        <w:tc>
          <w:tcPr>
            <w:tcW w:w="328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焦炉烟囱</w:t>
            </w:r>
          </w:p>
        </w:tc>
        <w:tc>
          <w:tcPr>
            <w:tcW w:w="2298" w:type="dxa"/>
            <w:vAlign w:val="center"/>
          </w:tcPr>
          <w:p>
            <w:pPr>
              <w:pStyle w:val="116"/>
              <w:numPr>
                <w:ilvl w:val="0"/>
                <w:numId w:val="0"/>
              </w:numPr>
              <w:jc w:val="center"/>
              <w:rPr>
                <w:rFonts w:ascii="Times New Roman"/>
                <w:sz w:val="18"/>
                <w:szCs w:val="18"/>
              </w:rPr>
            </w:pPr>
            <w:r>
              <w:rPr>
                <w:rFonts w:ascii="Times New Roman"/>
                <w:sz w:val="18"/>
                <w:szCs w:val="18"/>
              </w:rPr>
              <w:t>8</w:t>
            </w:r>
          </w:p>
        </w:tc>
        <w:tc>
          <w:tcPr>
            <w:tcW w:w="1807" w:type="dxa"/>
            <w:vMerge w:val="continue"/>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hRule="atLeast"/>
        </w:trPr>
        <w:tc>
          <w:tcPr>
            <w:tcW w:w="1768" w:type="dxa"/>
            <w:vAlign w:val="center"/>
          </w:tcPr>
          <w:p>
            <w:pPr>
              <w:pStyle w:val="116"/>
              <w:numPr>
                <w:ilvl w:val="0"/>
                <w:numId w:val="0"/>
              </w:numPr>
              <w:jc w:val="center"/>
              <w:rPr>
                <w:rFonts w:ascii="Times New Roman"/>
                <w:sz w:val="18"/>
                <w:szCs w:val="18"/>
              </w:rPr>
            </w:pPr>
            <w:r>
              <w:rPr>
                <w:rFonts w:ascii="Times New Roman"/>
                <w:sz w:val="18"/>
                <w:szCs w:val="18"/>
              </w:rPr>
              <w:t>轧钢</w:t>
            </w:r>
          </w:p>
        </w:tc>
        <w:tc>
          <w:tcPr>
            <w:tcW w:w="328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热处理炉</w:t>
            </w:r>
          </w:p>
        </w:tc>
        <w:tc>
          <w:tcPr>
            <w:tcW w:w="2298" w:type="dxa"/>
            <w:vAlign w:val="center"/>
          </w:tcPr>
          <w:p>
            <w:pPr>
              <w:pStyle w:val="116"/>
              <w:numPr>
                <w:ilvl w:val="0"/>
                <w:numId w:val="0"/>
              </w:numPr>
              <w:jc w:val="center"/>
              <w:rPr>
                <w:rFonts w:ascii="Times New Roman"/>
                <w:sz w:val="18"/>
                <w:szCs w:val="18"/>
              </w:rPr>
            </w:pPr>
            <w:r>
              <w:rPr>
                <w:rFonts w:ascii="Times New Roman"/>
                <w:sz w:val="18"/>
                <w:szCs w:val="18"/>
              </w:rPr>
              <w:t>8</w:t>
            </w:r>
          </w:p>
        </w:tc>
        <w:tc>
          <w:tcPr>
            <w:tcW w:w="1807" w:type="dxa"/>
            <w:vMerge w:val="continue"/>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768" w:type="dxa"/>
            <w:vMerge w:val="restart"/>
            <w:vAlign w:val="center"/>
          </w:tcPr>
          <w:p>
            <w:pPr>
              <w:pStyle w:val="116"/>
              <w:numPr>
                <w:ilvl w:val="0"/>
                <w:numId w:val="0"/>
              </w:numPr>
              <w:jc w:val="center"/>
              <w:rPr>
                <w:rFonts w:ascii="Times New Roman"/>
                <w:sz w:val="18"/>
                <w:szCs w:val="18"/>
              </w:rPr>
            </w:pPr>
            <w:r>
              <w:rPr>
                <w:rFonts w:ascii="Times New Roman"/>
                <w:sz w:val="18"/>
                <w:szCs w:val="18"/>
              </w:rPr>
              <w:t>自备电厂</w:t>
            </w:r>
          </w:p>
        </w:tc>
        <w:tc>
          <w:tcPr>
            <w:tcW w:w="328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燃煤锅炉</w:t>
            </w:r>
          </w:p>
        </w:tc>
        <w:tc>
          <w:tcPr>
            <w:tcW w:w="2298" w:type="dxa"/>
            <w:vAlign w:val="center"/>
          </w:tcPr>
          <w:p>
            <w:pPr>
              <w:pStyle w:val="116"/>
              <w:numPr>
                <w:ilvl w:val="0"/>
                <w:numId w:val="0"/>
              </w:numPr>
              <w:jc w:val="center"/>
              <w:rPr>
                <w:rFonts w:ascii="Times New Roman"/>
                <w:sz w:val="18"/>
                <w:szCs w:val="18"/>
              </w:rPr>
            </w:pPr>
            <w:r>
              <w:rPr>
                <w:rFonts w:ascii="Times New Roman"/>
                <w:sz w:val="18"/>
                <w:szCs w:val="18"/>
              </w:rPr>
              <w:t>6</w:t>
            </w:r>
          </w:p>
        </w:tc>
        <w:tc>
          <w:tcPr>
            <w:tcW w:w="1807" w:type="dxa"/>
            <w:vMerge w:val="continue"/>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768" w:type="dxa"/>
            <w:vMerge w:val="continue"/>
            <w:vAlign w:val="center"/>
          </w:tcPr>
          <w:p>
            <w:pPr>
              <w:pStyle w:val="116"/>
              <w:numPr>
                <w:ilvl w:val="0"/>
                <w:numId w:val="0"/>
              </w:numPr>
              <w:jc w:val="center"/>
              <w:rPr>
                <w:rFonts w:ascii="Times New Roman"/>
                <w:sz w:val="18"/>
                <w:szCs w:val="18"/>
              </w:rPr>
            </w:pPr>
          </w:p>
        </w:tc>
        <w:tc>
          <w:tcPr>
            <w:tcW w:w="328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燃油锅炉</w:t>
            </w:r>
          </w:p>
        </w:tc>
        <w:tc>
          <w:tcPr>
            <w:tcW w:w="2298" w:type="dxa"/>
            <w:vAlign w:val="center"/>
          </w:tcPr>
          <w:p>
            <w:pPr>
              <w:pStyle w:val="116"/>
              <w:numPr>
                <w:ilvl w:val="0"/>
                <w:numId w:val="0"/>
              </w:numPr>
              <w:jc w:val="center"/>
              <w:rPr>
                <w:rFonts w:ascii="Times New Roman"/>
                <w:sz w:val="18"/>
                <w:szCs w:val="18"/>
              </w:rPr>
            </w:pPr>
            <w:r>
              <w:rPr>
                <w:rFonts w:ascii="Times New Roman"/>
                <w:sz w:val="18"/>
                <w:szCs w:val="18"/>
              </w:rPr>
              <w:t>3</w:t>
            </w:r>
          </w:p>
        </w:tc>
        <w:tc>
          <w:tcPr>
            <w:tcW w:w="1807" w:type="dxa"/>
            <w:vMerge w:val="continue"/>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768" w:type="dxa"/>
            <w:vMerge w:val="continue"/>
            <w:vAlign w:val="center"/>
          </w:tcPr>
          <w:p>
            <w:pPr>
              <w:pStyle w:val="116"/>
              <w:numPr>
                <w:ilvl w:val="0"/>
                <w:numId w:val="0"/>
              </w:numPr>
              <w:jc w:val="center"/>
              <w:rPr>
                <w:rFonts w:ascii="Times New Roman"/>
                <w:sz w:val="18"/>
                <w:szCs w:val="18"/>
              </w:rPr>
            </w:pPr>
          </w:p>
        </w:tc>
        <w:tc>
          <w:tcPr>
            <w:tcW w:w="328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燃气锅炉</w:t>
            </w:r>
          </w:p>
        </w:tc>
        <w:tc>
          <w:tcPr>
            <w:tcW w:w="2298" w:type="dxa"/>
            <w:vAlign w:val="center"/>
          </w:tcPr>
          <w:p>
            <w:pPr>
              <w:pStyle w:val="116"/>
              <w:numPr>
                <w:ilvl w:val="0"/>
                <w:numId w:val="0"/>
              </w:numPr>
              <w:jc w:val="center"/>
              <w:rPr>
                <w:rFonts w:ascii="Times New Roman"/>
                <w:sz w:val="18"/>
                <w:szCs w:val="18"/>
              </w:rPr>
            </w:pPr>
            <w:r>
              <w:rPr>
                <w:rFonts w:ascii="Times New Roman"/>
                <w:sz w:val="18"/>
                <w:szCs w:val="18"/>
              </w:rPr>
              <w:t>3</w:t>
            </w:r>
          </w:p>
        </w:tc>
        <w:tc>
          <w:tcPr>
            <w:tcW w:w="1807" w:type="dxa"/>
            <w:vMerge w:val="restart"/>
            <w:vAlign w:val="center"/>
          </w:tcPr>
          <w:p>
            <w:pPr>
              <w:pStyle w:val="116"/>
              <w:numPr>
                <w:ilvl w:val="0"/>
                <w:numId w:val="0"/>
              </w:numPr>
              <w:jc w:val="center"/>
              <w:rPr>
                <w:rFonts w:ascii="Times New Roman"/>
                <w:sz w:val="18"/>
                <w:szCs w:val="18"/>
              </w:rPr>
            </w:pPr>
            <w:r>
              <w:rPr>
                <w:rFonts w:hint="eastAsia" w:ascii="Times New Roman"/>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768" w:type="dxa"/>
            <w:vMerge w:val="continue"/>
            <w:vAlign w:val="center"/>
          </w:tcPr>
          <w:p>
            <w:pPr>
              <w:pStyle w:val="116"/>
              <w:numPr>
                <w:ilvl w:val="0"/>
                <w:numId w:val="0"/>
              </w:numPr>
              <w:jc w:val="center"/>
              <w:rPr>
                <w:rFonts w:ascii="Times New Roman"/>
                <w:sz w:val="18"/>
                <w:szCs w:val="18"/>
              </w:rPr>
            </w:pPr>
          </w:p>
        </w:tc>
        <w:tc>
          <w:tcPr>
            <w:tcW w:w="3285" w:type="dxa"/>
            <w:vAlign w:val="center"/>
          </w:tcPr>
          <w:p>
            <w:pPr>
              <w:pStyle w:val="116"/>
              <w:numPr>
                <w:ilvl w:val="0"/>
                <w:numId w:val="0"/>
              </w:numPr>
              <w:jc w:val="center"/>
              <w:rPr>
                <w:rFonts w:ascii="Times New Roman"/>
                <w:color w:val="000000"/>
                <w:sz w:val="18"/>
                <w:szCs w:val="18"/>
              </w:rPr>
            </w:pPr>
            <w:r>
              <w:rPr>
                <w:rFonts w:ascii="Times New Roman"/>
                <w:color w:val="000000"/>
                <w:sz w:val="18"/>
                <w:szCs w:val="18"/>
              </w:rPr>
              <w:t>燃气轮机组</w:t>
            </w:r>
          </w:p>
        </w:tc>
        <w:tc>
          <w:tcPr>
            <w:tcW w:w="2298" w:type="dxa"/>
            <w:vAlign w:val="center"/>
          </w:tcPr>
          <w:p>
            <w:pPr>
              <w:pStyle w:val="116"/>
              <w:numPr>
                <w:ilvl w:val="0"/>
                <w:numId w:val="0"/>
              </w:numPr>
              <w:jc w:val="center"/>
              <w:rPr>
                <w:rFonts w:ascii="Times New Roman"/>
                <w:sz w:val="18"/>
                <w:szCs w:val="18"/>
              </w:rPr>
            </w:pPr>
            <w:r>
              <w:rPr>
                <w:rFonts w:ascii="Times New Roman"/>
                <w:sz w:val="18"/>
                <w:szCs w:val="18"/>
              </w:rPr>
              <w:t>15</w:t>
            </w:r>
          </w:p>
        </w:tc>
        <w:tc>
          <w:tcPr>
            <w:tcW w:w="1807" w:type="dxa"/>
            <w:vMerge w:val="continue"/>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hRule="atLeast"/>
        </w:trPr>
        <w:tc>
          <w:tcPr>
            <w:tcW w:w="5053" w:type="dxa"/>
            <w:gridSpan w:val="2"/>
            <w:vAlign w:val="center"/>
          </w:tcPr>
          <w:p>
            <w:pPr>
              <w:pStyle w:val="116"/>
              <w:numPr>
                <w:ilvl w:val="0"/>
                <w:numId w:val="0"/>
              </w:numPr>
              <w:jc w:val="center"/>
              <w:rPr>
                <w:rFonts w:ascii="Times New Roman"/>
                <w:color w:val="000000"/>
                <w:sz w:val="18"/>
                <w:szCs w:val="18"/>
              </w:rPr>
            </w:pPr>
            <w:r>
              <w:rPr>
                <w:rFonts w:hint="eastAsia" w:ascii="Times New Roman"/>
                <w:color w:val="000000"/>
                <w:sz w:val="18"/>
                <w:szCs w:val="18"/>
              </w:rPr>
              <w:t>其他生产设施</w:t>
            </w:r>
          </w:p>
        </w:tc>
        <w:tc>
          <w:tcPr>
            <w:tcW w:w="2298" w:type="dxa"/>
            <w:vAlign w:val="center"/>
          </w:tcPr>
          <w:p>
            <w:pPr>
              <w:pStyle w:val="116"/>
              <w:numPr>
                <w:ilvl w:val="0"/>
                <w:numId w:val="0"/>
              </w:numPr>
              <w:jc w:val="center"/>
              <w:rPr>
                <w:rFonts w:ascii="Times New Roman"/>
                <w:sz w:val="18"/>
                <w:szCs w:val="18"/>
              </w:rPr>
            </w:pPr>
            <w:r>
              <w:rPr>
                <w:rFonts w:hint="eastAsia" w:ascii="Times New Roman"/>
                <w:sz w:val="18"/>
                <w:szCs w:val="18"/>
              </w:rPr>
              <w:t>-</w:t>
            </w:r>
          </w:p>
        </w:tc>
        <w:tc>
          <w:tcPr>
            <w:tcW w:w="1807" w:type="dxa"/>
            <w:vAlign w:val="center"/>
          </w:tcPr>
          <w:p>
            <w:pPr>
              <w:pStyle w:val="116"/>
              <w:numPr>
                <w:ilvl w:val="0"/>
                <w:numId w:val="0"/>
              </w:numPr>
              <w:jc w:val="center"/>
              <w:rPr>
                <w:rFonts w:ascii="Times New Roman"/>
                <w:sz w:val="18"/>
                <w:szCs w:val="18"/>
              </w:rPr>
            </w:pPr>
            <w:r>
              <w:rPr>
                <w:rFonts w:hint="eastAsia" w:ascii="Times New Roman"/>
                <w:sz w:val="18"/>
                <w:szCs w:val="18"/>
              </w:rPr>
              <w:t>10</w:t>
            </w:r>
          </w:p>
        </w:tc>
      </w:tr>
    </w:tbl>
    <w:p>
      <w:pPr>
        <w:pStyle w:val="54"/>
        <w:ind w:left="0"/>
        <w:rPr>
          <w:rFonts w:ascii="Times New Roman" w:eastAsia="宋体"/>
          <w:szCs w:val="20"/>
        </w:rPr>
      </w:pPr>
      <w:r>
        <w:rPr>
          <w:rFonts w:hint="eastAsia" w:ascii="Times New Roman" w:eastAsia="宋体"/>
          <w:szCs w:val="20"/>
        </w:rPr>
        <w:t>现有除尘设施超低排放运行能耗限定值</w:t>
      </w:r>
    </w:p>
    <w:p>
      <w:pPr>
        <w:pStyle w:val="22"/>
        <w:rPr>
          <w:rFonts w:ascii="Times New Roman"/>
        </w:rPr>
      </w:pPr>
      <w:bookmarkStart w:id="22" w:name="_Hlk134622561"/>
      <w:r>
        <w:rPr>
          <w:rFonts w:ascii="Times New Roman"/>
        </w:rPr>
        <w:t>钢铁企业现有</w:t>
      </w:r>
      <w:r>
        <w:rPr>
          <w:rFonts w:hint="eastAsia" w:ascii="Times New Roman"/>
        </w:rPr>
        <w:t>除尘</w:t>
      </w:r>
      <w:r>
        <w:rPr>
          <w:rFonts w:ascii="Times New Roman"/>
        </w:rPr>
        <w:t>设施能耗限定值应符合表2规定</w:t>
      </w:r>
      <w:bookmarkEnd w:id="22"/>
      <w:r>
        <w:rPr>
          <w:rFonts w:hint="eastAsia" w:ascii="Times New Roman"/>
        </w:rPr>
        <w:t>。</w:t>
      </w:r>
    </w:p>
    <w:p>
      <w:pPr>
        <w:pStyle w:val="22"/>
        <w:spacing w:before="156" w:beforeLines="50" w:after="156" w:afterLines="50"/>
        <w:jc w:val="center"/>
        <w:rPr>
          <w:rFonts w:ascii="Times New Roman" w:eastAsia="黑体"/>
        </w:rPr>
      </w:pPr>
      <w:r>
        <w:rPr>
          <w:rFonts w:ascii="Times New Roman" w:eastAsia="黑体"/>
        </w:rPr>
        <w:t>表2  钢铁企业</w:t>
      </w:r>
      <w:r>
        <w:rPr>
          <w:rFonts w:hint="eastAsia" w:ascii="Times New Roman" w:eastAsia="黑体"/>
        </w:rPr>
        <w:t>除尘</w:t>
      </w:r>
      <w:r>
        <w:rPr>
          <w:rFonts w:ascii="Times New Roman" w:eastAsia="黑体"/>
        </w:rPr>
        <w:t>设施超低排放运行能耗限定值</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3"/>
        <w:gridCol w:w="2388"/>
        <w:gridCol w:w="2388"/>
        <w:gridCol w:w="2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2403" w:type="dxa"/>
            <w:vAlign w:val="center"/>
          </w:tcPr>
          <w:p>
            <w:pPr>
              <w:pStyle w:val="116"/>
              <w:numPr>
                <w:ilvl w:val="0"/>
                <w:numId w:val="0"/>
              </w:numPr>
              <w:jc w:val="center"/>
              <w:rPr>
                <w:rFonts w:ascii="Times New Roman"/>
                <w:b/>
                <w:bCs/>
                <w:sz w:val="18"/>
                <w:szCs w:val="18"/>
              </w:rPr>
            </w:pPr>
            <w:r>
              <w:rPr>
                <w:rFonts w:hint="eastAsia" w:ascii="Times New Roman"/>
                <w:b/>
                <w:bCs/>
                <w:sz w:val="18"/>
                <w:szCs w:val="18"/>
              </w:rPr>
              <w:t>除尘设施类型</w:t>
            </w:r>
          </w:p>
        </w:tc>
        <w:tc>
          <w:tcPr>
            <w:tcW w:w="2388" w:type="dxa"/>
            <w:vAlign w:val="center"/>
          </w:tcPr>
          <w:p>
            <w:pPr>
              <w:pStyle w:val="116"/>
              <w:numPr>
                <w:ilvl w:val="0"/>
                <w:numId w:val="0"/>
              </w:numPr>
              <w:jc w:val="center"/>
              <w:rPr>
                <w:rFonts w:ascii="Times New Roman"/>
                <w:b/>
                <w:bCs/>
                <w:sz w:val="18"/>
                <w:szCs w:val="18"/>
              </w:rPr>
            </w:pPr>
            <w:r>
              <w:rPr>
                <w:rFonts w:hint="eastAsia" w:ascii="Times New Roman"/>
                <w:b/>
                <w:bCs/>
                <w:sz w:val="18"/>
                <w:szCs w:val="18"/>
              </w:rPr>
              <w:t>机组等级</w:t>
            </w:r>
          </w:p>
          <w:p>
            <w:pPr>
              <w:pStyle w:val="116"/>
              <w:numPr>
                <w:ilvl w:val="0"/>
                <w:numId w:val="0"/>
              </w:numPr>
              <w:jc w:val="center"/>
              <w:rPr>
                <w:rFonts w:ascii="Times New Roman"/>
                <w:b/>
                <w:bCs/>
                <w:sz w:val="18"/>
                <w:szCs w:val="18"/>
              </w:rPr>
            </w:pPr>
            <w:r>
              <w:rPr>
                <w:rFonts w:hint="eastAsia" w:ascii="Times New Roman"/>
                <w:b/>
                <w:bCs/>
                <w:sz w:val="18"/>
                <w:szCs w:val="18"/>
              </w:rPr>
              <w:t>MW</w:t>
            </w:r>
          </w:p>
        </w:tc>
        <w:tc>
          <w:tcPr>
            <w:tcW w:w="2388" w:type="dxa"/>
            <w:vAlign w:val="center"/>
          </w:tcPr>
          <w:p>
            <w:pPr>
              <w:pStyle w:val="116"/>
              <w:numPr>
                <w:ilvl w:val="0"/>
                <w:numId w:val="0"/>
              </w:numPr>
              <w:jc w:val="center"/>
              <w:rPr>
                <w:rFonts w:ascii="Times New Roman"/>
                <w:b/>
                <w:bCs/>
                <w:sz w:val="18"/>
                <w:szCs w:val="18"/>
              </w:rPr>
            </w:pPr>
            <w:r>
              <w:rPr>
                <w:rFonts w:hint="eastAsia" w:ascii="Times New Roman"/>
                <w:b/>
                <w:bCs/>
                <w:sz w:val="18"/>
                <w:szCs w:val="18"/>
              </w:rPr>
              <w:t>入口含尘浓度</w:t>
            </w:r>
          </w:p>
          <w:p>
            <w:pPr>
              <w:pStyle w:val="116"/>
              <w:numPr>
                <w:ilvl w:val="0"/>
                <w:numId w:val="0"/>
              </w:numPr>
              <w:jc w:val="center"/>
              <w:rPr>
                <w:rFonts w:ascii="Times New Roman"/>
                <w:b/>
                <w:bCs/>
                <w:sz w:val="18"/>
                <w:szCs w:val="18"/>
              </w:rPr>
            </w:pPr>
            <w:r>
              <w:rPr>
                <w:rFonts w:hint="eastAsia" w:ascii="Times New Roman"/>
                <w:b/>
                <w:bCs/>
                <w:sz w:val="18"/>
                <w:szCs w:val="18"/>
              </w:rPr>
              <w:t>mg/m</w:t>
            </w:r>
            <w:r>
              <w:rPr>
                <w:rFonts w:hint="eastAsia" w:ascii="Times New Roman"/>
                <w:b/>
                <w:bCs/>
                <w:sz w:val="18"/>
                <w:szCs w:val="18"/>
                <w:vertAlign w:val="superscript"/>
              </w:rPr>
              <w:t>3</w:t>
            </w:r>
          </w:p>
        </w:tc>
        <w:tc>
          <w:tcPr>
            <w:tcW w:w="2388" w:type="dxa"/>
            <w:vAlign w:val="center"/>
          </w:tcPr>
          <w:p>
            <w:pPr>
              <w:pStyle w:val="116"/>
              <w:numPr>
                <w:ilvl w:val="0"/>
                <w:numId w:val="0"/>
              </w:numPr>
              <w:jc w:val="center"/>
              <w:rPr>
                <w:rFonts w:ascii="Times New Roman"/>
                <w:b/>
                <w:bCs/>
                <w:sz w:val="18"/>
                <w:szCs w:val="18"/>
              </w:rPr>
            </w:pPr>
            <w:r>
              <w:rPr>
                <w:rFonts w:ascii="Times New Roman"/>
                <w:b/>
                <w:bCs/>
                <w:sz w:val="18"/>
                <w:szCs w:val="18"/>
              </w:rPr>
              <w:t>运行能耗</w:t>
            </w:r>
          </w:p>
          <w:p>
            <w:pPr>
              <w:pStyle w:val="116"/>
              <w:numPr>
                <w:ilvl w:val="0"/>
                <w:numId w:val="0"/>
              </w:numPr>
              <w:jc w:val="center"/>
              <w:rPr>
                <w:rFonts w:ascii="Times New Roman"/>
                <w:b/>
                <w:bCs/>
                <w:sz w:val="18"/>
                <w:szCs w:val="18"/>
              </w:rPr>
            </w:pPr>
            <w:r>
              <w:rPr>
                <w:rFonts w:ascii="Times New Roman"/>
                <w:b/>
                <w:bCs/>
                <w:sz w:val="18"/>
                <w:szCs w:val="18"/>
              </w:rPr>
              <w:t>kgce/t</w:t>
            </w:r>
            <w:r>
              <w:rPr>
                <w:rFonts w:hint="eastAsia" w:ascii="Times New Roman"/>
                <w:b/>
                <w:bCs/>
                <w:sz w:val="18"/>
                <w:szCs w:val="18"/>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袋式除尘器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折叠滤筒除尘器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静电除尘器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湿式电除尘器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电袋复合除尘器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湿式除尘器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bl>
    <w:p>
      <w:pPr>
        <w:pStyle w:val="54"/>
        <w:ind w:left="0"/>
        <w:rPr>
          <w:rFonts w:ascii="Times New Roman" w:eastAsia="宋体"/>
          <w:szCs w:val="20"/>
        </w:rPr>
      </w:pPr>
      <w:r>
        <w:rPr>
          <w:rFonts w:hint="eastAsia" w:ascii="Times New Roman" w:eastAsia="宋体"/>
          <w:szCs w:val="20"/>
        </w:rPr>
        <w:t>新建和改扩建除尘设施超低排放运行能耗准入值</w:t>
      </w:r>
    </w:p>
    <w:p>
      <w:pPr>
        <w:pStyle w:val="22"/>
        <w:rPr>
          <w:rFonts w:ascii="Times New Roman"/>
        </w:rPr>
      </w:pPr>
      <w:r>
        <w:rPr>
          <w:rFonts w:ascii="Times New Roman"/>
        </w:rPr>
        <w:t>钢铁企业</w:t>
      </w:r>
      <w:r>
        <w:rPr>
          <w:rFonts w:hint="eastAsia" w:ascii="Times New Roman"/>
        </w:rPr>
        <w:t>新建和改扩建除尘</w:t>
      </w:r>
      <w:r>
        <w:rPr>
          <w:rFonts w:ascii="Times New Roman"/>
        </w:rPr>
        <w:t>设施</w:t>
      </w:r>
      <w:r>
        <w:rPr>
          <w:rFonts w:hint="eastAsia" w:ascii="Times New Roman"/>
        </w:rPr>
        <w:t>能耗准入值</w:t>
      </w:r>
      <w:r>
        <w:rPr>
          <w:rFonts w:ascii="Times New Roman"/>
        </w:rPr>
        <w:t>应符合表</w:t>
      </w:r>
      <w:r>
        <w:rPr>
          <w:rFonts w:hint="eastAsia" w:ascii="Times New Roman"/>
        </w:rPr>
        <w:t>3</w:t>
      </w:r>
      <w:r>
        <w:rPr>
          <w:rFonts w:ascii="Times New Roman"/>
        </w:rPr>
        <w:t>规定</w:t>
      </w:r>
      <w:r>
        <w:rPr>
          <w:rFonts w:hint="eastAsia" w:ascii="Times New Roman"/>
        </w:rPr>
        <w:t>。</w:t>
      </w:r>
    </w:p>
    <w:p>
      <w:pPr>
        <w:pStyle w:val="22"/>
        <w:spacing w:before="156" w:beforeLines="50" w:after="156" w:afterLines="50"/>
        <w:jc w:val="center"/>
        <w:rPr>
          <w:rFonts w:ascii="Times New Roman" w:eastAsia="黑体"/>
        </w:rPr>
      </w:pPr>
      <w:r>
        <w:rPr>
          <w:rFonts w:ascii="Times New Roman" w:eastAsia="黑体"/>
        </w:rPr>
        <w:t>表</w:t>
      </w:r>
      <w:r>
        <w:rPr>
          <w:rFonts w:hint="eastAsia" w:ascii="Times New Roman" w:eastAsia="黑体"/>
        </w:rPr>
        <w:t>3</w:t>
      </w:r>
      <w:r>
        <w:rPr>
          <w:rFonts w:ascii="Times New Roman" w:eastAsia="黑体"/>
        </w:rPr>
        <w:t xml:space="preserve">  </w:t>
      </w:r>
      <w:r>
        <w:rPr>
          <w:rFonts w:hint="eastAsia" w:ascii="Times New Roman" w:eastAsia="黑体"/>
        </w:rPr>
        <w:t>钢铁企业除尘</w:t>
      </w:r>
      <w:r>
        <w:rPr>
          <w:rFonts w:ascii="Times New Roman" w:eastAsia="黑体"/>
        </w:rPr>
        <w:t>设施超低排放运行能</w:t>
      </w:r>
      <w:r>
        <w:rPr>
          <w:rFonts w:hint="eastAsia" w:ascii="Times New Roman" w:eastAsia="黑体"/>
        </w:rPr>
        <w:t>耗准入值</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3"/>
        <w:gridCol w:w="2388"/>
        <w:gridCol w:w="2388"/>
        <w:gridCol w:w="2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2403" w:type="dxa"/>
            <w:vAlign w:val="center"/>
          </w:tcPr>
          <w:p>
            <w:pPr>
              <w:pStyle w:val="116"/>
              <w:numPr>
                <w:ilvl w:val="0"/>
                <w:numId w:val="0"/>
              </w:numPr>
              <w:jc w:val="center"/>
              <w:rPr>
                <w:rFonts w:ascii="Times New Roman"/>
                <w:b/>
                <w:bCs/>
                <w:sz w:val="18"/>
                <w:szCs w:val="18"/>
              </w:rPr>
            </w:pPr>
            <w:r>
              <w:rPr>
                <w:rFonts w:hint="eastAsia" w:ascii="Times New Roman"/>
                <w:b/>
                <w:bCs/>
                <w:sz w:val="18"/>
                <w:szCs w:val="18"/>
              </w:rPr>
              <w:t>除尘设施类型</w:t>
            </w:r>
          </w:p>
        </w:tc>
        <w:tc>
          <w:tcPr>
            <w:tcW w:w="2388" w:type="dxa"/>
            <w:vAlign w:val="center"/>
          </w:tcPr>
          <w:p>
            <w:pPr>
              <w:pStyle w:val="116"/>
              <w:numPr>
                <w:ilvl w:val="0"/>
                <w:numId w:val="0"/>
              </w:numPr>
              <w:jc w:val="center"/>
              <w:rPr>
                <w:rFonts w:ascii="Times New Roman"/>
                <w:b/>
                <w:bCs/>
                <w:sz w:val="18"/>
                <w:szCs w:val="18"/>
              </w:rPr>
            </w:pPr>
            <w:r>
              <w:rPr>
                <w:rFonts w:hint="eastAsia" w:ascii="Times New Roman"/>
                <w:b/>
                <w:bCs/>
                <w:sz w:val="18"/>
                <w:szCs w:val="18"/>
              </w:rPr>
              <w:t>机组等级</w:t>
            </w:r>
          </w:p>
          <w:p>
            <w:pPr>
              <w:pStyle w:val="116"/>
              <w:numPr>
                <w:ilvl w:val="0"/>
                <w:numId w:val="0"/>
              </w:numPr>
              <w:jc w:val="center"/>
              <w:rPr>
                <w:rFonts w:ascii="Times New Roman"/>
                <w:b/>
                <w:bCs/>
                <w:sz w:val="18"/>
                <w:szCs w:val="18"/>
              </w:rPr>
            </w:pPr>
            <w:r>
              <w:rPr>
                <w:rFonts w:hint="eastAsia" w:ascii="Times New Roman"/>
                <w:b/>
                <w:bCs/>
                <w:sz w:val="18"/>
                <w:szCs w:val="18"/>
              </w:rPr>
              <w:t>MW</w:t>
            </w:r>
          </w:p>
        </w:tc>
        <w:tc>
          <w:tcPr>
            <w:tcW w:w="2388" w:type="dxa"/>
            <w:vAlign w:val="center"/>
          </w:tcPr>
          <w:p>
            <w:pPr>
              <w:pStyle w:val="116"/>
              <w:numPr>
                <w:ilvl w:val="0"/>
                <w:numId w:val="0"/>
              </w:numPr>
              <w:jc w:val="center"/>
              <w:rPr>
                <w:rFonts w:ascii="Times New Roman"/>
                <w:b/>
                <w:bCs/>
                <w:sz w:val="18"/>
                <w:szCs w:val="18"/>
              </w:rPr>
            </w:pPr>
            <w:r>
              <w:rPr>
                <w:rFonts w:hint="eastAsia" w:ascii="Times New Roman"/>
                <w:b/>
                <w:bCs/>
                <w:sz w:val="18"/>
                <w:szCs w:val="18"/>
              </w:rPr>
              <w:t>入口含尘浓度</w:t>
            </w:r>
          </w:p>
          <w:p>
            <w:pPr>
              <w:pStyle w:val="116"/>
              <w:numPr>
                <w:ilvl w:val="0"/>
                <w:numId w:val="0"/>
              </w:numPr>
              <w:jc w:val="center"/>
              <w:rPr>
                <w:rFonts w:ascii="Times New Roman"/>
                <w:b/>
                <w:bCs/>
                <w:sz w:val="18"/>
                <w:szCs w:val="18"/>
              </w:rPr>
            </w:pPr>
            <w:r>
              <w:rPr>
                <w:rFonts w:hint="eastAsia" w:ascii="Times New Roman"/>
                <w:b/>
                <w:bCs/>
                <w:sz w:val="18"/>
                <w:szCs w:val="18"/>
              </w:rPr>
              <w:t>mg/m</w:t>
            </w:r>
            <w:r>
              <w:rPr>
                <w:rFonts w:hint="eastAsia" w:ascii="Times New Roman"/>
                <w:b/>
                <w:bCs/>
                <w:sz w:val="18"/>
                <w:szCs w:val="18"/>
                <w:vertAlign w:val="superscript"/>
              </w:rPr>
              <w:t>3</w:t>
            </w:r>
          </w:p>
        </w:tc>
        <w:tc>
          <w:tcPr>
            <w:tcW w:w="2388" w:type="dxa"/>
            <w:vAlign w:val="center"/>
          </w:tcPr>
          <w:p>
            <w:pPr>
              <w:pStyle w:val="116"/>
              <w:numPr>
                <w:ilvl w:val="0"/>
                <w:numId w:val="0"/>
              </w:numPr>
              <w:jc w:val="center"/>
              <w:rPr>
                <w:rFonts w:ascii="Times New Roman"/>
                <w:b/>
                <w:bCs/>
                <w:sz w:val="18"/>
                <w:szCs w:val="18"/>
              </w:rPr>
            </w:pPr>
            <w:r>
              <w:rPr>
                <w:rFonts w:ascii="Times New Roman"/>
                <w:b/>
                <w:bCs/>
                <w:sz w:val="18"/>
                <w:szCs w:val="18"/>
              </w:rPr>
              <w:t>运行能耗</w:t>
            </w:r>
          </w:p>
          <w:p>
            <w:pPr>
              <w:pStyle w:val="116"/>
              <w:numPr>
                <w:ilvl w:val="0"/>
                <w:numId w:val="0"/>
              </w:numPr>
              <w:jc w:val="center"/>
              <w:rPr>
                <w:rFonts w:ascii="Times New Roman"/>
                <w:b/>
                <w:bCs/>
                <w:sz w:val="18"/>
                <w:szCs w:val="18"/>
              </w:rPr>
            </w:pPr>
            <w:r>
              <w:rPr>
                <w:rFonts w:ascii="Times New Roman"/>
                <w:b/>
                <w:bCs/>
                <w:sz w:val="18"/>
                <w:szCs w:val="18"/>
              </w:rPr>
              <w:t>kgce/t</w:t>
            </w:r>
            <w:r>
              <w:rPr>
                <w:rFonts w:hint="eastAsia" w:ascii="Times New Roman"/>
                <w:b/>
                <w:bCs/>
                <w:sz w:val="18"/>
                <w:szCs w:val="18"/>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袋式除尘器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折叠滤筒除尘器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静电除尘器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湿式电除尘器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电袋复合除尘器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湿式除尘器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bl>
    <w:p>
      <w:pPr>
        <w:pStyle w:val="54"/>
        <w:ind w:left="0"/>
        <w:rPr>
          <w:rFonts w:ascii="Times New Roman" w:eastAsia="宋体"/>
          <w:szCs w:val="20"/>
        </w:rPr>
      </w:pPr>
      <w:r>
        <w:rPr>
          <w:rFonts w:hint="eastAsia" w:ascii="Times New Roman" w:eastAsia="宋体"/>
          <w:szCs w:val="20"/>
        </w:rPr>
        <w:t>除尘设施超低排放运行能耗先进值</w:t>
      </w:r>
    </w:p>
    <w:p>
      <w:pPr>
        <w:pStyle w:val="22"/>
        <w:rPr>
          <w:rFonts w:ascii="Times New Roman"/>
        </w:rPr>
      </w:pPr>
      <w:r>
        <w:rPr>
          <w:rFonts w:ascii="Times New Roman"/>
        </w:rPr>
        <w:t>钢铁企业</w:t>
      </w:r>
      <w:r>
        <w:rPr>
          <w:rFonts w:hint="eastAsia" w:ascii="Times New Roman"/>
        </w:rPr>
        <w:t>除尘</w:t>
      </w:r>
      <w:r>
        <w:rPr>
          <w:rFonts w:ascii="Times New Roman"/>
        </w:rPr>
        <w:t>设施</w:t>
      </w:r>
      <w:r>
        <w:rPr>
          <w:rFonts w:hint="eastAsia" w:ascii="Times New Roman"/>
        </w:rPr>
        <w:t>能耗先进值</w:t>
      </w:r>
      <w:r>
        <w:rPr>
          <w:rFonts w:ascii="Times New Roman"/>
        </w:rPr>
        <w:t>应符合表</w:t>
      </w:r>
      <w:r>
        <w:rPr>
          <w:rFonts w:hint="eastAsia" w:ascii="Times New Roman"/>
        </w:rPr>
        <w:t>4</w:t>
      </w:r>
      <w:r>
        <w:rPr>
          <w:rFonts w:ascii="Times New Roman"/>
        </w:rPr>
        <w:t>规定。</w:t>
      </w:r>
    </w:p>
    <w:p>
      <w:pPr>
        <w:pStyle w:val="22"/>
        <w:spacing w:before="156" w:beforeLines="50" w:after="156" w:afterLines="50"/>
        <w:jc w:val="center"/>
        <w:rPr>
          <w:rFonts w:ascii="Times New Roman" w:eastAsia="黑体"/>
        </w:rPr>
      </w:pPr>
      <w:r>
        <w:rPr>
          <w:rFonts w:ascii="Times New Roman" w:eastAsia="黑体"/>
        </w:rPr>
        <w:t>表</w:t>
      </w:r>
      <w:r>
        <w:rPr>
          <w:rFonts w:hint="eastAsia" w:ascii="Times New Roman" w:eastAsia="黑体"/>
        </w:rPr>
        <w:t>4</w:t>
      </w:r>
      <w:r>
        <w:rPr>
          <w:rFonts w:ascii="Times New Roman" w:eastAsia="黑体"/>
        </w:rPr>
        <w:t xml:space="preserve">  </w:t>
      </w:r>
      <w:r>
        <w:rPr>
          <w:rFonts w:hint="eastAsia" w:ascii="Times New Roman" w:eastAsia="黑体"/>
        </w:rPr>
        <w:t>钢铁企业除尘</w:t>
      </w:r>
      <w:r>
        <w:rPr>
          <w:rFonts w:ascii="Times New Roman" w:eastAsia="黑体"/>
        </w:rPr>
        <w:t>设施超低排放运行能</w:t>
      </w:r>
      <w:r>
        <w:rPr>
          <w:rFonts w:hint="eastAsia" w:ascii="Times New Roman" w:eastAsia="黑体"/>
        </w:rPr>
        <w:t>耗先进值</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3"/>
        <w:gridCol w:w="2388"/>
        <w:gridCol w:w="2388"/>
        <w:gridCol w:w="2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2403" w:type="dxa"/>
            <w:vAlign w:val="center"/>
          </w:tcPr>
          <w:p>
            <w:pPr>
              <w:pStyle w:val="116"/>
              <w:numPr>
                <w:ilvl w:val="0"/>
                <w:numId w:val="0"/>
              </w:numPr>
              <w:jc w:val="center"/>
              <w:rPr>
                <w:rFonts w:ascii="Times New Roman"/>
                <w:b/>
                <w:bCs/>
                <w:sz w:val="18"/>
                <w:szCs w:val="18"/>
              </w:rPr>
            </w:pPr>
            <w:r>
              <w:rPr>
                <w:rFonts w:hint="eastAsia" w:ascii="Times New Roman"/>
                <w:b/>
                <w:bCs/>
                <w:sz w:val="18"/>
                <w:szCs w:val="18"/>
              </w:rPr>
              <w:t>除尘设施类型</w:t>
            </w:r>
          </w:p>
        </w:tc>
        <w:tc>
          <w:tcPr>
            <w:tcW w:w="2388" w:type="dxa"/>
            <w:vAlign w:val="center"/>
          </w:tcPr>
          <w:p>
            <w:pPr>
              <w:pStyle w:val="116"/>
              <w:numPr>
                <w:ilvl w:val="0"/>
                <w:numId w:val="0"/>
              </w:numPr>
              <w:jc w:val="center"/>
              <w:rPr>
                <w:rFonts w:ascii="Times New Roman"/>
                <w:b/>
                <w:bCs/>
                <w:sz w:val="18"/>
                <w:szCs w:val="18"/>
              </w:rPr>
            </w:pPr>
            <w:r>
              <w:rPr>
                <w:rFonts w:hint="eastAsia" w:ascii="Times New Roman"/>
                <w:b/>
                <w:bCs/>
                <w:sz w:val="18"/>
                <w:szCs w:val="18"/>
              </w:rPr>
              <w:t>机组等级</w:t>
            </w:r>
          </w:p>
          <w:p>
            <w:pPr>
              <w:pStyle w:val="116"/>
              <w:numPr>
                <w:ilvl w:val="0"/>
                <w:numId w:val="0"/>
              </w:numPr>
              <w:jc w:val="center"/>
              <w:rPr>
                <w:rFonts w:ascii="Times New Roman"/>
                <w:b/>
                <w:bCs/>
                <w:sz w:val="18"/>
                <w:szCs w:val="18"/>
              </w:rPr>
            </w:pPr>
            <w:r>
              <w:rPr>
                <w:rFonts w:hint="eastAsia" w:ascii="Times New Roman"/>
                <w:b/>
                <w:bCs/>
                <w:sz w:val="18"/>
                <w:szCs w:val="18"/>
              </w:rPr>
              <w:t>MW</w:t>
            </w:r>
          </w:p>
        </w:tc>
        <w:tc>
          <w:tcPr>
            <w:tcW w:w="2388" w:type="dxa"/>
            <w:vAlign w:val="center"/>
          </w:tcPr>
          <w:p>
            <w:pPr>
              <w:pStyle w:val="116"/>
              <w:numPr>
                <w:ilvl w:val="0"/>
                <w:numId w:val="0"/>
              </w:numPr>
              <w:jc w:val="center"/>
              <w:rPr>
                <w:rFonts w:ascii="Times New Roman"/>
                <w:b/>
                <w:bCs/>
                <w:sz w:val="18"/>
                <w:szCs w:val="18"/>
              </w:rPr>
            </w:pPr>
            <w:r>
              <w:rPr>
                <w:rFonts w:hint="eastAsia" w:ascii="Times New Roman"/>
                <w:b/>
                <w:bCs/>
                <w:sz w:val="18"/>
                <w:szCs w:val="18"/>
              </w:rPr>
              <w:t>入口含尘浓度</w:t>
            </w:r>
          </w:p>
          <w:p>
            <w:pPr>
              <w:pStyle w:val="116"/>
              <w:numPr>
                <w:ilvl w:val="0"/>
                <w:numId w:val="0"/>
              </w:numPr>
              <w:jc w:val="center"/>
              <w:rPr>
                <w:rFonts w:ascii="Times New Roman"/>
                <w:b/>
                <w:bCs/>
                <w:sz w:val="18"/>
                <w:szCs w:val="18"/>
              </w:rPr>
            </w:pPr>
            <w:r>
              <w:rPr>
                <w:rFonts w:hint="eastAsia" w:ascii="Times New Roman"/>
                <w:b/>
                <w:bCs/>
                <w:sz w:val="18"/>
                <w:szCs w:val="18"/>
              </w:rPr>
              <w:t>mg/m</w:t>
            </w:r>
            <w:r>
              <w:rPr>
                <w:rFonts w:hint="eastAsia" w:ascii="Times New Roman"/>
                <w:b/>
                <w:bCs/>
                <w:sz w:val="18"/>
                <w:szCs w:val="18"/>
                <w:vertAlign w:val="superscript"/>
              </w:rPr>
              <w:t>3</w:t>
            </w:r>
          </w:p>
        </w:tc>
        <w:tc>
          <w:tcPr>
            <w:tcW w:w="2388" w:type="dxa"/>
            <w:vAlign w:val="center"/>
          </w:tcPr>
          <w:p>
            <w:pPr>
              <w:pStyle w:val="116"/>
              <w:numPr>
                <w:ilvl w:val="0"/>
                <w:numId w:val="0"/>
              </w:numPr>
              <w:jc w:val="center"/>
              <w:rPr>
                <w:rFonts w:ascii="Times New Roman"/>
                <w:b/>
                <w:bCs/>
                <w:sz w:val="18"/>
                <w:szCs w:val="18"/>
              </w:rPr>
            </w:pPr>
            <w:r>
              <w:rPr>
                <w:rFonts w:ascii="Times New Roman"/>
                <w:b/>
                <w:bCs/>
                <w:sz w:val="18"/>
                <w:szCs w:val="18"/>
              </w:rPr>
              <w:t>运行能耗</w:t>
            </w:r>
          </w:p>
          <w:p>
            <w:pPr>
              <w:pStyle w:val="116"/>
              <w:numPr>
                <w:ilvl w:val="0"/>
                <w:numId w:val="0"/>
              </w:numPr>
              <w:jc w:val="center"/>
              <w:rPr>
                <w:rFonts w:ascii="Times New Roman"/>
                <w:b/>
                <w:bCs/>
                <w:sz w:val="18"/>
                <w:szCs w:val="18"/>
              </w:rPr>
            </w:pPr>
            <w:r>
              <w:rPr>
                <w:rFonts w:ascii="Times New Roman"/>
                <w:b/>
                <w:bCs/>
                <w:sz w:val="18"/>
                <w:szCs w:val="18"/>
              </w:rPr>
              <w:t>kgce/t</w:t>
            </w:r>
            <w:r>
              <w:rPr>
                <w:rFonts w:hint="eastAsia" w:ascii="Times New Roman"/>
                <w:b/>
                <w:bCs/>
                <w:sz w:val="18"/>
                <w:szCs w:val="18"/>
              </w:rPr>
              <w:t>颗粒物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袋式除尘器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折叠滤筒除尘器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静电除尘器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湿式电除尘器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电袋复合除尘器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2403" w:type="dxa"/>
            <w:vAlign w:val="center"/>
          </w:tcPr>
          <w:p>
            <w:pPr>
              <w:pStyle w:val="116"/>
              <w:numPr>
                <w:ilvl w:val="0"/>
                <w:numId w:val="0"/>
              </w:numPr>
              <w:jc w:val="center"/>
              <w:rPr>
                <w:rFonts w:ascii="Times New Roman"/>
                <w:sz w:val="18"/>
                <w:szCs w:val="18"/>
              </w:rPr>
            </w:pPr>
            <w:r>
              <w:rPr>
                <w:rFonts w:hint="eastAsia" w:ascii="Times New Roman"/>
                <w:sz w:val="18"/>
                <w:szCs w:val="18"/>
              </w:rPr>
              <w:t>湿式除尘器</w:t>
            </w: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c>
          <w:tcPr>
            <w:tcW w:w="2388" w:type="dxa"/>
            <w:vAlign w:val="center"/>
          </w:tcPr>
          <w:p>
            <w:pPr>
              <w:pStyle w:val="116"/>
              <w:numPr>
                <w:ilvl w:val="0"/>
                <w:numId w:val="0"/>
              </w:numPr>
              <w:jc w:val="center"/>
              <w:rPr>
                <w:rFonts w:ascii="Times New Roman"/>
                <w:sz w:val="18"/>
                <w:szCs w:val="18"/>
              </w:rPr>
            </w:pPr>
          </w:p>
        </w:tc>
      </w:tr>
    </w:tbl>
    <w:p>
      <w:pPr>
        <w:pStyle w:val="52"/>
        <w:ind w:left="-142"/>
        <w:rPr>
          <w:rFonts w:ascii="Times New Roman"/>
          <w:szCs w:val="22"/>
        </w:rPr>
      </w:pPr>
      <w:r>
        <w:rPr>
          <w:rFonts w:hint="eastAsia" w:ascii="Times New Roman"/>
          <w:szCs w:val="22"/>
        </w:rPr>
        <w:t>统计范围和计算方法</w:t>
      </w:r>
    </w:p>
    <w:p>
      <w:pPr>
        <w:pStyle w:val="54"/>
        <w:ind w:left="0"/>
        <w:rPr>
          <w:rFonts w:ascii="Times New Roman" w:eastAsia="宋体"/>
          <w:szCs w:val="20"/>
        </w:rPr>
      </w:pPr>
      <w:r>
        <w:rPr>
          <w:rFonts w:hint="eastAsia" w:ascii="Times New Roman" w:eastAsia="宋体"/>
          <w:szCs w:val="20"/>
        </w:rPr>
        <w:t>统计范围及能源折算系数取值原则</w:t>
      </w:r>
    </w:p>
    <w:p>
      <w:pPr>
        <w:pStyle w:val="56"/>
        <w:spacing w:before="156" w:after="156"/>
        <w:ind w:left="0"/>
        <w:rPr>
          <w:rFonts w:ascii="宋体" w:hAnsi="宋体" w:eastAsia="宋体" w:cs="宋体"/>
        </w:rPr>
      </w:pPr>
      <w:r>
        <w:rPr>
          <w:rFonts w:hint="eastAsia" w:ascii="宋体" w:hAnsi="宋体" w:eastAsia="宋体" w:cs="宋体"/>
        </w:rPr>
        <w:t>统计范围</w:t>
      </w:r>
    </w:p>
    <w:p>
      <w:pPr>
        <w:pStyle w:val="22"/>
      </w:pPr>
      <w:r>
        <w:rPr>
          <w:rFonts w:hint="eastAsia"/>
        </w:rPr>
        <w:t>除尘设施能源消耗统计边界包括除尘器本体设施及电机、风机等公辅设施。</w:t>
      </w:r>
    </w:p>
    <w:p>
      <w:pPr>
        <w:pStyle w:val="56"/>
        <w:spacing w:before="156" w:after="156"/>
        <w:ind w:left="0"/>
        <w:rPr>
          <w:rFonts w:ascii="宋体" w:hAnsi="宋体" w:eastAsia="宋体" w:cs="宋体"/>
        </w:rPr>
      </w:pPr>
      <w:r>
        <w:rPr>
          <w:rFonts w:hint="eastAsia" w:ascii="宋体" w:hAnsi="宋体" w:eastAsia="宋体" w:cs="宋体"/>
        </w:rPr>
        <w:t>能源折算系数取值原则</w:t>
      </w:r>
    </w:p>
    <w:p>
      <w:pPr>
        <w:pStyle w:val="22"/>
        <w:rPr>
          <w:rFonts w:ascii="Times New Roman"/>
        </w:rPr>
      </w:pPr>
      <w:r>
        <w:rPr>
          <w:rFonts w:hint="eastAsia" w:ascii="Times New Roman"/>
        </w:rPr>
        <w:t>统计报告期内用于除尘设施超低排放运行的实际消耗能源，只包括电力作为耗能工质消耗的能源，参见附录A中提供的能源折算系数推荐值。</w:t>
      </w:r>
    </w:p>
    <w:p>
      <w:pPr>
        <w:pStyle w:val="54"/>
        <w:ind w:left="0"/>
        <w:rPr>
          <w:rFonts w:ascii="Times New Roman" w:eastAsia="宋体"/>
          <w:szCs w:val="20"/>
        </w:rPr>
      </w:pPr>
      <w:r>
        <w:rPr>
          <w:rFonts w:hint="eastAsia" w:ascii="Times New Roman" w:eastAsia="宋体"/>
          <w:szCs w:val="20"/>
        </w:rPr>
        <w:t>计算方法</w:t>
      </w:r>
    </w:p>
    <w:p>
      <w:pPr>
        <w:pStyle w:val="22"/>
        <w:rPr>
          <w:rFonts w:ascii="Times New Roman"/>
        </w:rPr>
      </w:pPr>
      <w:r>
        <w:rPr>
          <w:rFonts w:hint="eastAsia" w:ascii="Times New Roman"/>
        </w:rPr>
        <w:t>除尘设施超低排放运行能耗为在满足超低排放限值条件下，每脱除单位颗粒物的电耗折算为标准煤，按式（1）计算。</w:t>
      </w:r>
    </w:p>
    <w:p>
      <w:pPr>
        <w:pStyle w:val="22"/>
        <w:jc w:val="right"/>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尘</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电</m:t>
            </m:r>
            <m:ctrlPr>
              <w:rPr>
                <w:rFonts w:ascii="Cambria Math" w:hAnsi="Cambria Math"/>
                <w:i/>
              </w:rPr>
            </m:ctrlPr>
          </m:sub>
        </m:sSub>
        <m:r>
          <m:rPr/>
          <w:rPr>
            <w:rFonts w:ascii="Cambria Math" w:hAnsi="Cambria Math"/>
          </w:rPr>
          <m:t>/C</m:t>
        </m:r>
      </m:oMath>
      <w:r>
        <w:rPr>
          <w:rFonts w:ascii="Times New Roman"/>
        </w:rPr>
        <w:t>…………………………………………</w:t>
      </w:r>
      <w:r>
        <w:rPr>
          <w:rFonts w:hint="eastAsia"/>
        </w:rPr>
        <w:t>（1）</w:t>
      </w:r>
    </w:p>
    <w:p>
      <w:pPr>
        <w:pStyle w:val="22"/>
        <w:rPr>
          <w:rFonts w:ascii="Times New Roman"/>
        </w:rPr>
      </w:pPr>
      <w:r>
        <w:rPr>
          <w:rFonts w:hint="eastAsia" w:ascii="Times New Roman"/>
        </w:rPr>
        <w:t>式中：</w:t>
      </w:r>
    </w:p>
    <w:p>
      <w:pPr>
        <w:pStyle w:val="22"/>
        <w:rPr>
          <w:rFonts w:ascii="Times New Roman"/>
          <w:highlight w:val="yellow"/>
        </w:rPr>
      </w:pPr>
      <w:r>
        <w:rPr>
          <w:rFonts w:hint="eastAsia" w:ascii="Times New Roman"/>
        </w:rPr>
        <w:t>E</w:t>
      </w:r>
      <w:r>
        <w:rPr>
          <w:rFonts w:hint="eastAsia" w:ascii="Times New Roman"/>
          <w:vertAlign w:val="subscript"/>
        </w:rPr>
        <w:t>尘</w:t>
      </w:r>
      <w:r>
        <w:rPr>
          <w:rFonts w:hint="eastAsia" w:ascii="Times New Roman"/>
        </w:rPr>
        <w:t>——统计期内除尘设施超低排放运行去除吨颗粒物能源消耗量，单位为千克标准煤每吨颗粒物(kgce/t颗)；</w:t>
      </w:r>
    </w:p>
    <w:p>
      <w:pPr>
        <w:pStyle w:val="22"/>
        <w:rPr>
          <w:rFonts w:ascii="Times New Roman"/>
        </w:rPr>
      </w:pPr>
      <w:r>
        <w:rPr>
          <w:rFonts w:hint="eastAsia" w:ascii="Times New Roman"/>
        </w:rPr>
        <w:t>E</w:t>
      </w:r>
      <w:r>
        <w:rPr>
          <w:rFonts w:hint="eastAsia" w:ascii="Times New Roman"/>
          <w:vertAlign w:val="subscript"/>
        </w:rPr>
        <w:t>电</w:t>
      </w:r>
      <w:r>
        <w:rPr>
          <w:rFonts w:hint="eastAsia" w:ascii="Times New Roman"/>
        </w:rPr>
        <w:t>——统计期内电力消耗折标准煤量，单位为千克标准煤</w:t>
      </w:r>
      <w:r>
        <w:rPr>
          <w:rFonts w:ascii="Times New Roman"/>
        </w:rPr>
        <w:t>(kgce</w:t>
      </w:r>
      <w:r>
        <w:rPr>
          <w:rFonts w:hint="eastAsia" w:ascii="Times New Roman"/>
        </w:rPr>
        <w:t>)；</w:t>
      </w:r>
    </w:p>
    <w:p>
      <w:pPr>
        <w:pStyle w:val="22"/>
        <w:rPr>
          <w:rFonts w:ascii="Times New Roman"/>
        </w:rPr>
      </w:pPr>
      <w:r>
        <w:rPr>
          <w:rFonts w:hint="eastAsia" w:ascii="Times New Roman"/>
        </w:rPr>
        <w:t>C——统计期内除尘设施运行颗粒物处理量，单位为吨颗粒物(t颗)。</w:t>
      </w:r>
    </w:p>
    <w:p>
      <w:pPr>
        <w:pStyle w:val="52"/>
        <w:ind w:left="-142"/>
        <w:rPr>
          <w:rFonts w:ascii="Times New Roman"/>
          <w:szCs w:val="22"/>
        </w:rPr>
      </w:pPr>
      <w:bookmarkStart w:id="23" w:name="_Toc132719803"/>
      <w:bookmarkStart w:id="24" w:name="_GoBack"/>
      <w:r>
        <w:rPr>
          <w:rFonts w:hint="eastAsia" w:ascii="Times New Roman"/>
          <w:szCs w:val="22"/>
        </w:rPr>
        <w:t>节能措施</w:t>
      </w:r>
      <w:bookmarkEnd w:id="24"/>
      <w:bookmarkEnd w:id="23"/>
    </w:p>
    <w:p>
      <w:pPr>
        <w:pStyle w:val="54"/>
        <w:ind w:left="0"/>
        <w:rPr>
          <w:rFonts w:ascii="Times New Roman" w:eastAsia="宋体"/>
          <w:szCs w:val="20"/>
        </w:rPr>
      </w:pPr>
      <w:r>
        <w:rPr>
          <w:rFonts w:hint="eastAsia" w:ascii="Times New Roman" w:eastAsia="宋体"/>
          <w:szCs w:val="20"/>
        </w:rPr>
        <w:t>节能管理措施</w:t>
      </w:r>
    </w:p>
    <w:p>
      <w:pPr>
        <w:pStyle w:val="56"/>
        <w:spacing w:before="156" w:after="156"/>
        <w:ind w:left="0"/>
        <w:rPr>
          <w:rFonts w:ascii="Times New Roman" w:eastAsia="宋体"/>
        </w:rPr>
      </w:pPr>
      <w:r>
        <w:rPr>
          <w:rFonts w:ascii="Times New Roman" w:eastAsia="宋体"/>
        </w:rPr>
        <w:t>企业应根据GB 17167</w:t>
      </w:r>
      <w:r>
        <w:rPr>
          <w:rFonts w:hint="eastAsia" w:ascii="Times New Roman" w:eastAsia="宋体"/>
        </w:rPr>
        <w:t>的要求</w:t>
      </w:r>
      <w:r>
        <w:rPr>
          <w:rFonts w:ascii="Times New Roman" w:eastAsia="宋体"/>
        </w:rPr>
        <w:t>配备能源计量器具</w:t>
      </w:r>
      <w:r>
        <w:rPr>
          <w:rFonts w:hint="eastAsia" w:ascii="Times New Roman" w:eastAsia="宋体"/>
        </w:rPr>
        <w:t>，并建立能源计量管理制度。</w:t>
      </w:r>
    </w:p>
    <w:p>
      <w:pPr>
        <w:pStyle w:val="56"/>
        <w:spacing w:before="156" w:after="156"/>
        <w:ind w:left="0"/>
        <w:rPr>
          <w:rFonts w:ascii="Times New Roman" w:eastAsia="宋体"/>
        </w:rPr>
      </w:pPr>
      <w:r>
        <w:rPr>
          <w:rFonts w:ascii="Times New Roman" w:eastAsia="宋体"/>
        </w:rPr>
        <w:t>企业应建立、健全</w:t>
      </w:r>
      <w:r>
        <w:rPr>
          <w:rFonts w:hint="eastAsia" w:ascii="Times New Roman" w:eastAsia="宋体"/>
          <w:lang w:val="en-US" w:eastAsia="zh-CN"/>
        </w:rPr>
        <w:t>除尘</w:t>
      </w:r>
      <w:r>
        <w:rPr>
          <w:rFonts w:hint="eastAsia" w:ascii="Times New Roman" w:eastAsia="宋体"/>
        </w:rPr>
        <w:t>设施用能统计制度，建立用能台账。</w:t>
      </w:r>
    </w:p>
    <w:p>
      <w:pPr>
        <w:pStyle w:val="54"/>
        <w:ind w:left="0"/>
        <w:rPr>
          <w:rFonts w:ascii="Times New Roman" w:eastAsia="宋体"/>
          <w:szCs w:val="20"/>
        </w:rPr>
      </w:pPr>
      <w:r>
        <w:rPr>
          <w:rFonts w:hint="eastAsia" w:ascii="Times New Roman" w:eastAsia="宋体"/>
          <w:szCs w:val="20"/>
        </w:rPr>
        <w:t>节能技术措施</w:t>
      </w:r>
    </w:p>
    <w:p>
      <w:pPr>
        <w:pStyle w:val="56"/>
        <w:numPr>
          <w:ilvl w:val="2"/>
          <w:numId w:val="0"/>
        </w:numPr>
        <w:spacing w:before="156" w:after="156"/>
        <w:ind w:firstLine="420" w:firstLineChars="200"/>
        <w:rPr>
          <w:rFonts w:ascii="Times New Roman" w:eastAsia="宋体"/>
        </w:rPr>
      </w:pPr>
      <w:r>
        <w:rPr>
          <w:rFonts w:hint="eastAsia" w:ascii="Times New Roman" w:eastAsia="宋体"/>
          <w:lang w:val="en-US" w:eastAsia="zh-CN"/>
        </w:rPr>
        <w:t>除尘</w:t>
      </w:r>
      <w:r>
        <w:rPr>
          <w:rFonts w:hint="eastAsia" w:ascii="Times New Roman" w:eastAsia="宋体"/>
        </w:rPr>
        <w:t>设施</w:t>
      </w:r>
      <w:r>
        <w:rPr>
          <w:rFonts w:ascii="Times New Roman" w:eastAsia="宋体"/>
        </w:rPr>
        <w:t>宜采用变频控制、电机系统节能控制等节能技术，以达到设备的经济运行状态。</w:t>
      </w:r>
    </w:p>
    <w:p>
      <w:pPr>
        <w:pStyle w:val="22"/>
        <w:rPr>
          <w:rFonts w:ascii="Times New Roman"/>
        </w:rPr>
      </w:pPr>
    </w:p>
    <w:p>
      <w:pPr>
        <w:pStyle w:val="30"/>
        <w:widowControl/>
        <w:tabs>
          <w:tab w:val="center" w:pos="4201"/>
          <w:tab w:val="right" w:leader="dot" w:pos="9298"/>
        </w:tabs>
        <w:autoSpaceDE w:val="0"/>
        <w:autoSpaceDN w:val="0"/>
        <w:ind w:firstLine="420" w:firstLineChars="200"/>
        <w:rPr>
          <w:rFonts w:eastAsia="黑体"/>
          <w:kern w:val="0"/>
          <w:sz w:val="21"/>
          <w:szCs w:val="20"/>
          <w:lang w:bidi="ar"/>
        </w:rPr>
      </w:pPr>
    </w:p>
    <w:p>
      <w:pPr>
        <w:pStyle w:val="30"/>
        <w:widowControl/>
        <w:tabs>
          <w:tab w:val="center" w:pos="4201"/>
          <w:tab w:val="right" w:leader="dot" w:pos="9298"/>
        </w:tabs>
        <w:autoSpaceDE w:val="0"/>
        <w:autoSpaceDN w:val="0"/>
        <w:ind w:firstLine="420" w:firstLineChars="200"/>
        <w:jc w:val="center"/>
        <w:rPr>
          <w:rFonts w:eastAsia="黑体"/>
          <w:kern w:val="0"/>
          <w:sz w:val="21"/>
          <w:szCs w:val="20"/>
          <w:highlight w:val="yellow"/>
          <w:lang w:bidi="ar"/>
        </w:rPr>
        <w:sectPr>
          <w:footerReference r:id="rId8" w:type="default"/>
          <w:pgSz w:w="11906" w:h="16838"/>
          <w:pgMar w:top="567" w:right="1134" w:bottom="1134" w:left="1418" w:header="1418" w:footer="1134" w:gutter="0"/>
          <w:pgNumType w:start="1"/>
          <w:cols w:space="720" w:num="1"/>
          <w:formProt w:val="0"/>
          <w:docGrid w:type="lines" w:linePitch="312" w:charSpace="0"/>
        </w:sectPr>
      </w:pP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附 录 A</w:t>
      </w:r>
    </w:p>
    <w:p>
      <w:pPr>
        <w:pStyle w:val="30"/>
        <w:widowControl/>
        <w:tabs>
          <w:tab w:val="center" w:pos="4201"/>
          <w:tab w:val="right" w:leader="dot" w:pos="9298"/>
        </w:tabs>
        <w:autoSpaceDE w:val="0"/>
        <w:autoSpaceDN w:val="0"/>
        <w:ind w:firstLine="420" w:firstLineChars="200"/>
        <w:jc w:val="center"/>
        <w:rPr>
          <w:rFonts w:eastAsia="黑体"/>
          <w:kern w:val="0"/>
          <w:sz w:val="21"/>
          <w:szCs w:val="20"/>
          <w:lang w:bidi="ar"/>
        </w:rPr>
      </w:pPr>
      <w:r>
        <w:rPr>
          <w:rFonts w:eastAsia="黑体"/>
          <w:kern w:val="0"/>
          <w:sz w:val="21"/>
          <w:szCs w:val="20"/>
          <w:lang w:bidi="ar"/>
        </w:rPr>
        <w:t>（</w:t>
      </w:r>
      <w:r>
        <w:rPr>
          <w:rFonts w:hint="eastAsia" w:eastAsia="黑体"/>
          <w:kern w:val="0"/>
          <w:sz w:val="21"/>
          <w:szCs w:val="20"/>
          <w:lang w:bidi="ar"/>
        </w:rPr>
        <w:t>资料</w:t>
      </w:r>
      <w:r>
        <w:rPr>
          <w:rFonts w:eastAsia="黑体"/>
          <w:kern w:val="0"/>
          <w:sz w:val="21"/>
          <w:szCs w:val="20"/>
          <w:lang w:bidi="ar"/>
        </w:rPr>
        <w:t>性）</w:t>
      </w:r>
    </w:p>
    <w:p>
      <w:pPr>
        <w:pStyle w:val="30"/>
        <w:widowControl/>
        <w:tabs>
          <w:tab w:val="center" w:pos="4201"/>
          <w:tab w:val="right" w:leader="dot" w:pos="9298"/>
        </w:tabs>
        <w:autoSpaceDE w:val="0"/>
        <w:autoSpaceDN w:val="0"/>
        <w:ind w:firstLine="420" w:firstLineChars="200"/>
        <w:jc w:val="center"/>
      </w:pPr>
      <w:r>
        <w:rPr>
          <w:rFonts w:hint="eastAsia" w:eastAsia="黑体"/>
          <w:kern w:val="0"/>
          <w:sz w:val="21"/>
          <w:szCs w:val="20"/>
          <w:lang w:bidi="ar"/>
        </w:rPr>
        <w:t>能源折标系数推荐值</w:t>
      </w:r>
    </w:p>
    <w:p>
      <w:pPr>
        <w:pStyle w:val="30"/>
        <w:widowControl/>
        <w:numPr>
          <w:ilvl w:val="0"/>
          <w:numId w:val="21"/>
        </w:numPr>
        <w:spacing w:before="312" w:beforeLines="100" w:after="312" w:afterLines="100"/>
        <w:outlineLvl w:val="1"/>
        <w:rPr>
          <w:rFonts w:eastAsia="黑体"/>
          <w:sz w:val="21"/>
          <w:szCs w:val="21"/>
        </w:rPr>
      </w:pPr>
      <w:r>
        <w:rPr>
          <w:rFonts w:hint="eastAsia" w:eastAsia="黑体"/>
          <w:sz w:val="21"/>
          <w:szCs w:val="21"/>
        </w:rPr>
        <w:t>能源折标系数推荐值</w:t>
      </w:r>
    </w:p>
    <w:p>
      <w:pPr>
        <w:pStyle w:val="30"/>
        <w:widowControl/>
        <w:tabs>
          <w:tab w:val="center" w:pos="4201"/>
          <w:tab w:val="right" w:leader="dot" w:pos="9298"/>
        </w:tabs>
        <w:autoSpaceDE w:val="0"/>
        <w:autoSpaceDN w:val="0"/>
        <w:ind w:firstLine="420" w:firstLineChars="200"/>
      </w:pPr>
      <w:r>
        <w:rPr>
          <w:rFonts w:hint="eastAsia"/>
          <w:sz w:val="21"/>
        </w:rPr>
        <w:t>能源折标系数推荐值见表A</w:t>
      </w:r>
      <w:r>
        <w:rPr>
          <w:sz w:val="21"/>
        </w:rPr>
        <w:t>.1</w:t>
      </w:r>
      <w:r>
        <w:rPr>
          <w:lang w:bidi="ar"/>
        </w:rPr>
        <w:t>。</w:t>
      </w:r>
    </w:p>
    <w:p>
      <w:pPr>
        <w:pStyle w:val="22"/>
        <w:spacing w:before="156" w:beforeLines="50" w:after="156" w:afterLines="50"/>
        <w:jc w:val="center"/>
        <w:rPr>
          <w:rFonts w:ascii="Times New Roman" w:eastAsia="黑体"/>
        </w:rPr>
      </w:pPr>
      <w:r>
        <w:rPr>
          <w:rFonts w:hint="eastAsia" w:ascii="Times New Roman" w:eastAsia="黑体"/>
        </w:rPr>
        <w:t>表A</w:t>
      </w:r>
      <w:r>
        <w:rPr>
          <w:rFonts w:ascii="Times New Roman" w:eastAsia="黑体"/>
        </w:rPr>
        <w:t xml:space="preserve">.1  </w:t>
      </w:r>
      <w:r>
        <w:rPr>
          <w:rFonts w:hint="eastAsia" w:ascii="Times New Roman" w:eastAsia="黑体"/>
        </w:rPr>
        <w:t>能源折标系数推荐值</w:t>
      </w:r>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14"/>
        <w:gridCol w:w="3115"/>
        <w:gridCol w:w="3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pPr>
              <w:pStyle w:val="116"/>
              <w:numPr>
                <w:ilvl w:val="0"/>
                <w:numId w:val="0"/>
              </w:numPr>
              <w:jc w:val="center"/>
              <w:rPr>
                <w:b/>
                <w:bCs/>
                <w:sz w:val="18"/>
                <w:szCs w:val="18"/>
              </w:rPr>
            </w:pPr>
            <w:r>
              <w:rPr>
                <w:rFonts w:hint="eastAsia"/>
                <w:b/>
                <w:bCs/>
                <w:sz w:val="18"/>
                <w:szCs w:val="18"/>
              </w:rPr>
              <w:t>能源名称</w:t>
            </w:r>
          </w:p>
        </w:tc>
        <w:tc>
          <w:tcPr>
            <w:tcW w:w="3115" w:type="dxa"/>
          </w:tcPr>
          <w:p>
            <w:pPr>
              <w:pStyle w:val="116"/>
              <w:numPr>
                <w:ilvl w:val="0"/>
                <w:numId w:val="0"/>
              </w:numPr>
              <w:jc w:val="center"/>
              <w:rPr>
                <w:b/>
                <w:bCs/>
                <w:sz w:val="18"/>
                <w:szCs w:val="18"/>
              </w:rPr>
            </w:pPr>
            <w:r>
              <w:rPr>
                <w:rFonts w:hint="eastAsia"/>
                <w:b/>
                <w:bCs/>
                <w:sz w:val="18"/>
                <w:szCs w:val="18"/>
              </w:rPr>
              <w:t>国际单位制下的折算系数</w:t>
            </w:r>
          </w:p>
        </w:tc>
        <w:tc>
          <w:tcPr>
            <w:tcW w:w="3115" w:type="dxa"/>
          </w:tcPr>
          <w:p>
            <w:pPr>
              <w:pStyle w:val="116"/>
              <w:numPr>
                <w:ilvl w:val="0"/>
                <w:numId w:val="0"/>
              </w:numPr>
              <w:jc w:val="center"/>
              <w:rPr>
                <w:b/>
                <w:bCs/>
                <w:sz w:val="18"/>
                <w:szCs w:val="18"/>
              </w:rPr>
            </w:pPr>
            <w:r>
              <w:rPr>
                <w:rFonts w:hint="eastAsia"/>
                <w:b/>
                <w:bCs/>
                <w:sz w:val="18"/>
                <w:szCs w:val="18"/>
              </w:rPr>
              <w:t>折标准煤系数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4" w:type="dxa"/>
          </w:tcPr>
          <w:p>
            <w:pPr>
              <w:pStyle w:val="116"/>
              <w:numPr>
                <w:ilvl w:val="0"/>
                <w:numId w:val="0"/>
              </w:numPr>
              <w:jc w:val="center"/>
              <w:rPr>
                <w:rFonts w:ascii="Times New Roman"/>
                <w:sz w:val="18"/>
                <w:szCs w:val="18"/>
              </w:rPr>
            </w:pPr>
            <w:r>
              <w:rPr>
                <w:rFonts w:ascii="Times New Roman"/>
                <w:sz w:val="18"/>
                <w:szCs w:val="18"/>
              </w:rPr>
              <w:t>电力（当量）</w:t>
            </w:r>
          </w:p>
        </w:tc>
        <w:tc>
          <w:tcPr>
            <w:tcW w:w="3115" w:type="dxa"/>
          </w:tcPr>
          <w:p>
            <w:pPr>
              <w:pStyle w:val="116"/>
              <w:numPr>
                <w:ilvl w:val="0"/>
                <w:numId w:val="0"/>
              </w:numPr>
              <w:jc w:val="center"/>
              <w:rPr>
                <w:rFonts w:ascii="Times New Roman"/>
                <w:sz w:val="18"/>
                <w:szCs w:val="18"/>
              </w:rPr>
            </w:pPr>
            <w:r>
              <w:rPr>
                <w:rFonts w:ascii="Times New Roman"/>
                <w:sz w:val="18"/>
                <w:szCs w:val="18"/>
              </w:rPr>
              <w:t>3602 kJ/（kW∙h）</w:t>
            </w:r>
          </w:p>
        </w:tc>
        <w:tc>
          <w:tcPr>
            <w:tcW w:w="3115" w:type="dxa"/>
          </w:tcPr>
          <w:p>
            <w:pPr>
              <w:pStyle w:val="116"/>
              <w:numPr>
                <w:ilvl w:val="0"/>
                <w:numId w:val="0"/>
              </w:numPr>
              <w:jc w:val="center"/>
              <w:rPr>
                <w:rFonts w:ascii="Times New Roman"/>
                <w:sz w:val="18"/>
                <w:szCs w:val="18"/>
              </w:rPr>
            </w:pPr>
            <w:r>
              <w:rPr>
                <w:rFonts w:ascii="Times New Roman"/>
                <w:sz w:val="18"/>
                <w:szCs w:val="18"/>
              </w:rPr>
              <w:t>0.1229 kgce/（kW∙h）</w:t>
            </w:r>
          </w:p>
        </w:tc>
      </w:tr>
    </w:tbl>
    <w:p>
      <w:pPr>
        <w:widowControl/>
        <w:jc w:val="left"/>
        <w:rPr>
          <w:kern w:val="0"/>
          <w:szCs w:val="20"/>
          <w:highlight w:val="yellow"/>
        </w:rPr>
      </w:pPr>
    </w:p>
    <w:p>
      <w:pPr>
        <w:widowControl/>
        <w:jc w:val="left"/>
        <w:rPr>
          <w:kern w:val="0"/>
          <w:szCs w:val="20"/>
          <w:highlight w:val="yellow"/>
        </w:rPr>
      </w:pPr>
    </w:p>
    <w:p>
      <w:pPr>
        <w:widowControl/>
        <w:jc w:val="left"/>
        <w:rPr>
          <w:kern w:val="0"/>
          <w:szCs w:val="20"/>
          <w:highlight w:val="yellow"/>
        </w:rPr>
      </w:pPr>
    </w:p>
    <w:p>
      <w:pPr>
        <w:widowControl/>
        <w:jc w:val="left"/>
        <w:rPr>
          <w:kern w:val="0"/>
          <w:szCs w:val="20"/>
          <w:highlight w:val="yellow"/>
        </w:rPr>
      </w:pPr>
    </w:p>
    <w:p>
      <w:pPr>
        <w:widowControl/>
        <w:jc w:val="left"/>
        <w:rPr>
          <w:kern w:val="0"/>
          <w:szCs w:val="20"/>
          <w:highlight w:val="yellow"/>
        </w:rPr>
      </w:pPr>
      <w:r>
        <w:rPr>
          <w:kern w:val="0"/>
          <w:szCs w:val="20"/>
          <w:highlight w:val="yellow"/>
        </w:rPr>
        <mc:AlternateContent>
          <mc:Choice Requires="wps">
            <w:drawing>
              <wp:anchor distT="0" distB="0" distL="114300" distR="114300" simplePos="0" relativeHeight="251659264" behindDoc="0" locked="0" layoutInCell="1" allowOverlap="1">
                <wp:simplePos x="0" y="0"/>
                <wp:positionH relativeFrom="column">
                  <wp:posOffset>2164080</wp:posOffset>
                </wp:positionH>
                <wp:positionV relativeFrom="paragraph">
                  <wp:posOffset>198755</wp:posOffset>
                </wp:positionV>
                <wp:extent cx="1924050" cy="0"/>
                <wp:effectExtent l="0" t="0" r="0" b="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70.4pt;margin-top:15.65pt;height:0pt;width:151.5pt;z-index:251659264;mso-width-relative:page;mso-height-relative:page;" filled="f" stroked="t" coordsize="21600,21600" o:gfxdata="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zhT7XAAAACQEAAA8AAAAAAAAA&#10;AQAgAAAAIgAAAGRycy9kb3ducmV2LnhtbFBLAQIUABQAAAAIAIdO4kCzia/82QEAAMADAAAOAAAA&#10;AAAAAAEAIAAAACYBAABkcnMvZTJvRG9jLnhtbFBLBQYAAAAABgAGAFkBAABxBQAAAAA=&#10;">
                <v:fill on="f" focussize="0,0"/>
                <v:stroke color="#000000" joinstyle="round"/>
                <v:imagedata o:title=""/>
                <o:lock v:ext="edit" aspectratio="f"/>
              </v:shape>
            </w:pict>
          </mc:Fallback>
        </mc:AlternateConten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MqFsEBAACN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EXMqFsEBAACNAwAADgAAAAAAAAABACAAAAAeAQAAZHJzL2Uyb0RvYy54bWxQSwUG&#10;AAAAAAYABgBZAQAAUQU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spacing w:before="120" w:after="120"/>
      <w:rPr>
        <w:color w:val="000000"/>
      </w:rPr>
    </w:pPr>
    <w:r>
      <w:t>T/SSEA XXXX-</w:t>
    </w:r>
    <w:r>
      <w:rPr>
        <w:rFonts w:hint="eastAsia"/>
        <w:color w:val="000000"/>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7C4DA"/>
    <w:multiLevelType w:val="singleLevel"/>
    <w:tmpl w:val="BA97C4DA"/>
    <w:lvl w:ilvl="0" w:tentative="0">
      <w:start w:val="1"/>
      <w:numFmt w:val="lowerLetter"/>
      <w:suff w:val="nothing"/>
      <w:lvlText w:val="%1）"/>
      <w:lvlJc w:val="left"/>
    </w:lvl>
  </w:abstractNum>
  <w:abstractNum w:abstractNumId="1">
    <w:nsid w:val="079102AD"/>
    <w:multiLevelType w:val="multilevel"/>
    <w:tmpl w:val="079102AD"/>
    <w:lvl w:ilvl="0" w:tentative="0">
      <w:start w:val="1"/>
      <w:numFmt w:val="decimal"/>
      <w:pStyle w:val="14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43"/>
      <w:suff w:val="nothing"/>
      <w:lvlText w:val="%1   "/>
      <w:lvlJc w:val="left"/>
      <w:pPr>
        <w:ind w:left="1032" w:hanging="181"/>
      </w:pPr>
      <w:rPr>
        <w:rFonts w:hint="eastAsia" w:ascii="宋体" w:eastAsia="宋体"/>
        <w:b w:val="0"/>
        <w:i w:val="0"/>
        <w:sz w:val="18"/>
        <w:vertAlign w:val="superscript"/>
      </w:rPr>
    </w:lvl>
    <w:lvl w:ilvl="1" w:tentative="0">
      <w:start w:val="1"/>
      <w:numFmt w:val="lowerLetter"/>
      <w:lvlText w:val="%2"/>
      <w:lvlJc w:val="left"/>
      <w:pPr>
        <w:tabs>
          <w:tab w:val="left" w:pos="545"/>
        </w:tabs>
        <w:ind w:left="851" w:hanging="363"/>
      </w:pPr>
      <w:rPr>
        <w:rFonts w:hint="eastAsia"/>
      </w:rPr>
    </w:lvl>
    <w:lvl w:ilvl="2" w:tentative="0">
      <w:start w:val="1"/>
      <w:numFmt w:val="lowerRoman"/>
      <w:lvlText w:val="%3."/>
      <w:lvlJc w:val="right"/>
      <w:pPr>
        <w:tabs>
          <w:tab w:val="left" w:pos="545"/>
        </w:tabs>
        <w:ind w:left="851" w:hanging="363"/>
      </w:pPr>
      <w:rPr>
        <w:rFonts w:hint="eastAsia"/>
      </w:rPr>
    </w:lvl>
    <w:lvl w:ilvl="3" w:tentative="0">
      <w:start w:val="1"/>
      <w:numFmt w:val="decimal"/>
      <w:lvlText w:val="%4."/>
      <w:lvlJc w:val="left"/>
      <w:pPr>
        <w:tabs>
          <w:tab w:val="left" w:pos="545"/>
        </w:tabs>
        <w:ind w:left="851" w:hanging="363"/>
      </w:pPr>
      <w:rPr>
        <w:rFonts w:hint="eastAsia"/>
      </w:rPr>
    </w:lvl>
    <w:lvl w:ilvl="4" w:tentative="0">
      <w:start w:val="1"/>
      <w:numFmt w:val="lowerLetter"/>
      <w:lvlText w:val="%5)"/>
      <w:lvlJc w:val="left"/>
      <w:pPr>
        <w:tabs>
          <w:tab w:val="left" w:pos="545"/>
        </w:tabs>
        <w:ind w:left="851" w:hanging="363"/>
      </w:pPr>
      <w:rPr>
        <w:rFonts w:hint="eastAsia"/>
      </w:rPr>
    </w:lvl>
    <w:lvl w:ilvl="5" w:tentative="0">
      <w:start w:val="1"/>
      <w:numFmt w:val="lowerRoman"/>
      <w:lvlText w:val="%6."/>
      <w:lvlJc w:val="right"/>
      <w:pPr>
        <w:tabs>
          <w:tab w:val="left" w:pos="545"/>
        </w:tabs>
        <w:ind w:left="851" w:hanging="363"/>
      </w:pPr>
      <w:rPr>
        <w:rFonts w:hint="eastAsia"/>
      </w:rPr>
    </w:lvl>
    <w:lvl w:ilvl="6" w:tentative="0">
      <w:start w:val="1"/>
      <w:numFmt w:val="decimal"/>
      <w:lvlText w:val="%7."/>
      <w:lvlJc w:val="left"/>
      <w:pPr>
        <w:tabs>
          <w:tab w:val="left" w:pos="545"/>
        </w:tabs>
        <w:ind w:left="851" w:hanging="363"/>
      </w:pPr>
      <w:rPr>
        <w:rFonts w:hint="eastAsia"/>
      </w:rPr>
    </w:lvl>
    <w:lvl w:ilvl="7" w:tentative="0">
      <w:start w:val="1"/>
      <w:numFmt w:val="lowerLetter"/>
      <w:lvlText w:val="%8)"/>
      <w:lvlJc w:val="left"/>
      <w:pPr>
        <w:tabs>
          <w:tab w:val="left" w:pos="545"/>
        </w:tabs>
        <w:ind w:left="851" w:hanging="363"/>
      </w:pPr>
      <w:rPr>
        <w:rFonts w:hint="eastAsia"/>
      </w:rPr>
    </w:lvl>
    <w:lvl w:ilvl="8" w:tentative="0">
      <w:start w:val="1"/>
      <w:numFmt w:val="lowerRoman"/>
      <w:lvlText w:val="%9."/>
      <w:lvlJc w:val="right"/>
      <w:pPr>
        <w:tabs>
          <w:tab w:val="left" w:pos="545"/>
        </w:tabs>
        <w:ind w:left="851" w:hanging="363"/>
      </w:pPr>
      <w:rPr>
        <w:rFonts w:hint="eastAsia"/>
      </w:rPr>
    </w:lvl>
  </w:abstractNum>
  <w:abstractNum w:abstractNumId="5">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5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4"/>
      <w:suff w:val="nothing"/>
      <w:lvlText w:val="%1.%2　"/>
      <w:lvlJc w:val="left"/>
      <w:pPr>
        <w:ind w:left="142" w:firstLine="0"/>
      </w:pPr>
    </w:lvl>
    <w:lvl w:ilvl="2" w:tentative="0">
      <w:start w:val="1"/>
      <w:numFmt w:val="decimal"/>
      <w:pStyle w:val="56"/>
      <w:suff w:val="nothing"/>
      <w:lvlText w:val="%1.%2.%3　"/>
      <w:lvlJc w:val="left"/>
      <w:pPr>
        <w:ind w:left="2415" w:firstLine="0"/>
      </w:pPr>
      <w:rPr>
        <w:rFonts w:hint="default" w:ascii="Times New Roman" w:hAnsi="Times New Roman" w:eastAsia="黑体" w:cs="Times New Roman"/>
        <w:b w:val="0"/>
        <w:i w:val="0"/>
        <w:sz w:val="21"/>
        <w:highlight w:val="none"/>
      </w:rPr>
    </w:lvl>
    <w:lvl w:ilvl="3" w:tentative="0">
      <w:start w:val="1"/>
      <w:numFmt w:val="decimal"/>
      <w:pStyle w:val="78"/>
      <w:suff w:val="nothing"/>
      <w:lvlText w:val="%1.%2.%3.%4　"/>
      <w:lvlJc w:val="left"/>
      <w:pPr>
        <w:ind w:left="9214" w:firstLine="0"/>
      </w:pPr>
      <w:rPr>
        <w:rFonts w:hint="default" w:ascii="Times New Roman" w:hAnsi="Times New Roman" w:eastAsia="黑体" w:cs="Times New Roman"/>
        <w:b w:val="0"/>
        <w:i w:val="0"/>
        <w:sz w:val="21"/>
      </w:rPr>
    </w:lvl>
    <w:lvl w:ilvl="4" w:tentative="0">
      <w:start w:val="1"/>
      <w:numFmt w:val="decimal"/>
      <w:pStyle w:val="79"/>
      <w:suff w:val="nothing"/>
      <w:lvlText w:val="%1.%2.%3.%4.%5　"/>
      <w:lvlJc w:val="left"/>
      <w:pPr>
        <w:ind w:left="-142" w:firstLine="0"/>
      </w:pPr>
      <w:rPr>
        <w:rFonts w:hint="eastAsia" w:ascii="黑体" w:hAnsi="Times New Roman" w:eastAsia="黑体"/>
        <w:b w:val="0"/>
        <w:i w:val="0"/>
        <w:sz w:val="21"/>
      </w:rPr>
    </w:lvl>
    <w:lvl w:ilvl="5" w:tentative="0">
      <w:start w:val="1"/>
      <w:numFmt w:val="decimal"/>
      <w:pStyle w:val="104"/>
      <w:suff w:val="nothing"/>
      <w:lvlText w:val="%1.%2.%3.%4.%5.%6　"/>
      <w:lvlJc w:val="left"/>
      <w:pPr>
        <w:ind w:left="-142" w:firstLine="0"/>
      </w:pPr>
      <w:rPr>
        <w:rFonts w:hint="eastAsia" w:ascii="黑体" w:hAnsi="Times New Roman" w:eastAsia="黑体"/>
        <w:b w:val="0"/>
        <w:i w:val="0"/>
        <w:sz w:val="21"/>
      </w:rPr>
    </w:lvl>
    <w:lvl w:ilvl="6" w:tentative="0">
      <w:start w:val="1"/>
      <w:numFmt w:val="decimal"/>
      <w:suff w:val="nothing"/>
      <w:lvlText w:val="%1%2.%3.%4.%5.%6.%7　"/>
      <w:lvlJc w:val="left"/>
      <w:pPr>
        <w:ind w:left="-142"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827" w:hanging="1418"/>
      </w:pPr>
      <w:rPr>
        <w:rFonts w:hint="eastAsia"/>
      </w:rPr>
    </w:lvl>
    <w:lvl w:ilvl="8" w:tentative="0">
      <w:start w:val="1"/>
      <w:numFmt w:val="decimal"/>
      <w:lvlText w:val="%1.%2.%3.%4.%5.%6.%7.%8.%9"/>
      <w:lvlJc w:val="left"/>
      <w:pPr>
        <w:tabs>
          <w:tab w:val="left" w:pos="4777"/>
        </w:tabs>
        <w:ind w:left="4535" w:hanging="1700"/>
      </w:pPr>
      <w:rPr>
        <w:rFonts w:hint="eastAsia"/>
      </w:rPr>
    </w:lvl>
  </w:abstractNum>
  <w:abstractNum w:abstractNumId="7">
    <w:nsid w:val="254503DA"/>
    <w:multiLevelType w:val="singleLevel"/>
    <w:tmpl w:val="254503DA"/>
    <w:lvl w:ilvl="0" w:tentative="0">
      <w:start w:val="1"/>
      <w:numFmt w:val="lowerLetter"/>
      <w:suff w:val="nothing"/>
      <w:lvlText w:val="%1）"/>
      <w:lvlJc w:val="left"/>
    </w:lvl>
  </w:abstractNum>
  <w:abstractNum w:abstractNumId="8">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117"/>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3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9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72"/>
      <w:lvlText w:val="%1"/>
      <w:lvlJc w:val="left"/>
      <w:pPr>
        <w:tabs>
          <w:tab w:val="left" w:pos="0"/>
        </w:tabs>
        <w:ind w:left="0" w:hanging="425"/>
      </w:pPr>
      <w:rPr>
        <w:rFonts w:hint="eastAsia"/>
      </w:rPr>
    </w:lvl>
    <w:lvl w:ilvl="1" w:tentative="0">
      <w:start w:val="1"/>
      <w:numFmt w:val="decimal"/>
      <w:pStyle w:val="9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77"/>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5"/>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b w:val="0"/>
        <w:i w:val="0"/>
        <w:sz w:val="21"/>
      </w:rPr>
    </w:lvl>
    <w:lvl w:ilvl="1" w:tentative="0">
      <w:start w:val="1"/>
      <w:numFmt w:val="decimal"/>
      <w:pStyle w:val="14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11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69A452A"/>
    <w:multiLevelType w:val="singleLevel"/>
    <w:tmpl w:val="769A452A"/>
    <w:lvl w:ilvl="0" w:tentative="0">
      <w:start w:val="1"/>
      <w:numFmt w:val="lowerLetter"/>
      <w:suff w:val="nothing"/>
      <w:lvlText w:val="%1）"/>
      <w:lvlJc w:val="left"/>
    </w:lvl>
  </w:abstractNum>
  <w:abstractNum w:abstractNumId="20">
    <w:nsid w:val="7F392BF0"/>
    <w:multiLevelType w:val="multilevel"/>
    <w:tmpl w:val="7F392BF0"/>
    <w:lvl w:ilvl="0" w:tentative="0">
      <w:start w:val="1"/>
      <w:numFmt w:val="decimal"/>
      <w:suff w:val="nothing"/>
      <w:lvlText w:val="A.%1　"/>
      <w:lvlJc w:val="left"/>
      <w:pPr>
        <w:tabs>
          <w:tab w:val="left" w:pos="0"/>
        </w:tabs>
        <w:ind w:left="0" w:firstLine="0"/>
      </w:pPr>
      <w:rPr>
        <w:rFonts w:hint="default" w:ascii="Times New Roman" w:hAnsi="Times New Roman" w:eastAsia="宋体" w:cs="Times New Roman"/>
        <w:b w:val="0"/>
        <w:i w:val="0"/>
        <w:sz w:val="21"/>
        <w:szCs w:val="21"/>
      </w:rPr>
    </w:lvl>
    <w:lvl w:ilvl="1" w:tentative="0">
      <w:start w:val="1"/>
      <w:numFmt w:val="decimal"/>
      <w:suff w:val="nothing"/>
      <w:lvlText w:val="A.%1.%2　"/>
      <w:lvlJc w:val="left"/>
      <w:pPr>
        <w:ind w:left="142" w:firstLine="0"/>
      </w:pPr>
      <w:rPr>
        <w:rFonts w:hint="default" w:ascii="宋体" w:hAnsi="宋体" w:eastAsia="宋体" w:cs="宋体"/>
        <w:b w:val="0"/>
        <w:bCs w:val="0"/>
        <w:i w:val="0"/>
        <w:iCs w:val="0"/>
        <w:caps w:val="0"/>
        <w:spacing w:val="0"/>
        <w:sz w:val="21"/>
        <w:szCs w:val="21"/>
      </w:rPr>
    </w:lvl>
    <w:lvl w:ilvl="2" w:tentative="0">
      <w:start w:val="1"/>
      <w:numFmt w:val="decimal"/>
      <w:suff w:val="nothing"/>
      <w:lvlText w:val="A.%1.%2.%3　"/>
      <w:lvlJc w:val="left"/>
      <w:pPr>
        <w:ind w:left="-420" w:firstLine="0"/>
      </w:pPr>
      <w:rPr>
        <w:rFonts w:hint="default" w:ascii="宋体" w:hAnsi="宋体" w:eastAsia="宋体" w:cs="宋体"/>
        <w:b w:val="0"/>
        <w:i w:val="0"/>
        <w:sz w:val="21"/>
        <w:szCs w:val="21"/>
      </w:rPr>
    </w:lvl>
    <w:lvl w:ilvl="3" w:tentative="0">
      <w:start w:val="1"/>
      <w:numFmt w:val="decimal"/>
      <w:suff w:val="nothing"/>
      <w:lvlText w:val="A.%1.%2.%3.%4　"/>
      <w:lvlJc w:val="left"/>
      <w:pPr>
        <w:ind w:left="0" w:firstLine="0"/>
      </w:pPr>
      <w:rPr>
        <w:rFonts w:hint="default" w:ascii="宋体" w:hAnsi="宋体" w:eastAsia="宋体" w:cs="宋体"/>
        <w:b w:val="0"/>
        <w:i w:val="0"/>
        <w:sz w:val="21"/>
        <w:szCs w:val="21"/>
      </w:rPr>
    </w:lvl>
    <w:lvl w:ilvl="4" w:tentative="0">
      <w:start w:val="1"/>
      <w:numFmt w:val="decimal"/>
      <w:suff w:val="nothing"/>
      <w:lvlText w:val="A.%1.%2.%3.%4.%5　"/>
      <w:lvlJc w:val="left"/>
      <w:pPr>
        <w:ind w:left="0" w:firstLine="0"/>
      </w:pPr>
      <w:rPr>
        <w:rFonts w:hint="default" w:ascii="宋体" w:hAnsi="宋体" w:eastAsia="宋体" w:cs="宋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szCs w:val="21"/>
      </w:rPr>
    </w:lvl>
    <w:lvl w:ilvl="6" w:tentative="0">
      <w:start w:val="1"/>
      <w:numFmt w:val="decimal"/>
      <w:suff w:val="nothing"/>
      <w:lvlText w:val="%1%2.%3.%4.%5.%6.%7　"/>
      <w:lvlJc w:val="left"/>
      <w:pPr>
        <w:ind w:left="0" w:firstLine="0"/>
      </w:pPr>
      <w:rPr>
        <w:rFonts w:hint="default" w:ascii="宋体" w:hAnsi="宋体" w:eastAsia="宋体" w:cs="宋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cs="宋体"/>
      </w:rPr>
    </w:lvl>
    <w:lvl w:ilvl="8" w:tentative="0">
      <w:start w:val="1"/>
      <w:numFmt w:val="decimal"/>
      <w:lvlText w:val="%1.%2.%3.%4.%5.%6.%7.%8.%9"/>
      <w:lvlJc w:val="left"/>
      <w:pPr>
        <w:tabs>
          <w:tab w:val="left" w:pos="4777"/>
        </w:tabs>
        <w:ind w:left="4677" w:hanging="1700"/>
      </w:pPr>
      <w:rPr>
        <w:rFonts w:hint="eastAsia" w:ascii="宋体" w:hAnsi="宋体" w:eastAsia="宋体" w:cs="宋体"/>
      </w:rPr>
    </w:lvl>
  </w:abstractNum>
  <w:num w:numId="1">
    <w:abstractNumId w:val="10"/>
  </w:num>
  <w:num w:numId="2">
    <w:abstractNumId w:val="4"/>
  </w:num>
  <w:num w:numId="3">
    <w:abstractNumId w:val="6"/>
  </w:num>
  <w:num w:numId="4">
    <w:abstractNumId w:val="2"/>
  </w:num>
  <w:num w:numId="5">
    <w:abstractNumId w:val="9"/>
  </w:num>
  <w:num w:numId="6">
    <w:abstractNumId w:val="14"/>
  </w:num>
  <w:num w:numId="7">
    <w:abstractNumId w:val="16"/>
  </w:num>
  <w:num w:numId="8">
    <w:abstractNumId w:val="12"/>
  </w:num>
  <w:num w:numId="9">
    <w:abstractNumId w:val="13"/>
  </w:num>
  <w:num w:numId="10">
    <w:abstractNumId w:val="11"/>
  </w:num>
  <w:num w:numId="11">
    <w:abstractNumId w:val="15"/>
  </w:num>
  <w:num w:numId="12">
    <w:abstractNumId w:val="18"/>
  </w:num>
  <w:num w:numId="13">
    <w:abstractNumId w:val="17"/>
  </w:num>
  <w:num w:numId="14">
    <w:abstractNumId w:val="8"/>
  </w:num>
  <w:num w:numId="15">
    <w:abstractNumId w:val="3"/>
  </w:num>
  <w:num w:numId="16">
    <w:abstractNumId w:val="5"/>
  </w:num>
  <w:num w:numId="17">
    <w:abstractNumId w:val="1"/>
  </w:num>
  <w:num w:numId="18">
    <w:abstractNumId w:val="19"/>
  </w:num>
  <w:num w:numId="19">
    <w:abstractNumId w:val="0"/>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ZWU2ZmQzMTQzOGI5YWRkZjI1NjkxYTMwMWY0M2QifQ=="/>
  </w:docVars>
  <w:rsids>
    <w:rsidRoot w:val="00172A27"/>
    <w:rsid w:val="00000244"/>
    <w:rsid w:val="0000185F"/>
    <w:rsid w:val="0000586F"/>
    <w:rsid w:val="00005D79"/>
    <w:rsid w:val="00007340"/>
    <w:rsid w:val="0001314C"/>
    <w:rsid w:val="00013D86"/>
    <w:rsid w:val="00013E02"/>
    <w:rsid w:val="0002143C"/>
    <w:rsid w:val="00022016"/>
    <w:rsid w:val="00025A65"/>
    <w:rsid w:val="00026977"/>
    <w:rsid w:val="00026C31"/>
    <w:rsid w:val="00027280"/>
    <w:rsid w:val="000306E3"/>
    <w:rsid w:val="000320A7"/>
    <w:rsid w:val="0003560A"/>
    <w:rsid w:val="00035925"/>
    <w:rsid w:val="000366F4"/>
    <w:rsid w:val="00037DAC"/>
    <w:rsid w:val="00041127"/>
    <w:rsid w:val="00045C9B"/>
    <w:rsid w:val="000466F7"/>
    <w:rsid w:val="000639E9"/>
    <w:rsid w:val="00063E76"/>
    <w:rsid w:val="0006738B"/>
    <w:rsid w:val="00067CDF"/>
    <w:rsid w:val="00074B69"/>
    <w:rsid w:val="00074FBE"/>
    <w:rsid w:val="000772BB"/>
    <w:rsid w:val="000822C7"/>
    <w:rsid w:val="00083A09"/>
    <w:rsid w:val="00087B52"/>
    <w:rsid w:val="0009005E"/>
    <w:rsid w:val="00090E08"/>
    <w:rsid w:val="00092857"/>
    <w:rsid w:val="000A20A9"/>
    <w:rsid w:val="000A48B1"/>
    <w:rsid w:val="000A5495"/>
    <w:rsid w:val="000B3143"/>
    <w:rsid w:val="000B6872"/>
    <w:rsid w:val="000C30C7"/>
    <w:rsid w:val="000C6B05"/>
    <w:rsid w:val="000C6DD6"/>
    <w:rsid w:val="000C73D4"/>
    <w:rsid w:val="000D3D4C"/>
    <w:rsid w:val="000D4406"/>
    <w:rsid w:val="000D4505"/>
    <w:rsid w:val="000D4F51"/>
    <w:rsid w:val="000D718B"/>
    <w:rsid w:val="000E0C46"/>
    <w:rsid w:val="000E3EC7"/>
    <w:rsid w:val="000E6242"/>
    <w:rsid w:val="000F030C"/>
    <w:rsid w:val="000F04B4"/>
    <w:rsid w:val="000F129C"/>
    <w:rsid w:val="000F6957"/>
    <w:rsid w:val="001056DE"/>
    <w:rsid w:val="00105C52"/>
    <w:rsid w:val="00107091"/>
    <w:rsid w:val="00107602"/>
    <w:rsid w:val="00111863"/>
    <w:rsid w:val="001124C0"/>
    <w:rsid w:val="00125647"/>
    <w:rsid w:val="001278EF"/>
    <w:rsid w:val="0013175F"/>
    <w:rsid w:val="001512B4"/>
    <w:rsid w:val="00152179"/>
    <w:rsid w:val="00156D41"/>
    <w:rsid w:val="0016056B"/>
    <w:rsid w:val="001620A5"/>
    <w:rsid w:val="00164E53"/>
    <w:rsid w:val="0016699D"/>
    <w:rsid w:val="001701E9"/>
    <w:rsid w:val="00170F6D"/>
    <w:rsid w:val="0017259F"/>
    <w:rsid w:val="00172A27"/>
    <w:rsid w:val="00175159"/>
    <w:rsid w:val="00176208"/>
    <w:rsid w:val="00176C1D"/>
    <w:rsid w:val="0018211B"/>
    <w:rsid w:val="00182D67"/>
    <w:rsid w:val="001830E2"/>
    <w:rsid w:val="001840D3"/>
    <w:rsid w:val="00187A9A"/>
    <w:rsid w:val="001900F8"/>
    <w:rsid w:val="00191258"/>
    <w:rsid w:val="00192680"/>
    <w:rsid w:val="00193037"/>
    <w:rsid w:val="00193A2C"/>
    <w:rsid w:val="001A01D4"/>
    <w:rsid w:val="001A0932"/>
    <w:rsid w:val="001A25CD"/>
    <w:rsid w:val="001A288E"/>
    <w:rsid w:val="001A32EE"/>
    <w:rsid w:val="001B6DC2"/>
    <w:rsid w:val="001C039C"/>
    <w:rsid w:val="001C05F1"/>
    <w:rsid w:val="001C149C"/>
    <w:rsid w:val="001C21AC"/>
    <w:rsid w:val="001C47BA"/>
    <w:rsid w:val="001C59EA"/>
    <w:rsid w:val="001D406C"/>
    <w:rsid w:val="001D41EE"/>
    <w:rsid w:val="001E0380"/>
    <w:rsid w:val="001E13B1"/>
    <w:rsid w:val="001E4931"/>
    <w:rsid w:val="001E55B7"/>
    <w:rsid w:val="001E69DB"/>
    <w:rsid w:val="001F22E7"/>
    <w:rsid w:val="001F3A19"/>
    <w:rsid w:val="002000F3"/>
    <w:rsid w:val="00210BFB"/>
    <w:rsid w:val="0022046A"/>
    <w:rsid w:val="002243B9"/>
    <w:rsid w:val="00231142"/>
    <w:rsid w:val="00231970"/>
    <w:rsid w:val="002332A1"/>
    <w:rsid w:val="0023428E"/>
    <w:rsid w:val="00234467"/>
    <w:rsid w:val="00237D8D"/>
    <w:rsid w:val="00240FE6"/>
    <w:rsid w:val="00241DA2"/>
    <w:rsid w:val="00245B95"/>
    <w:rsid w:val="00247FEE"/>
    <w:rsid w:val="00250E7D"/>
    <w:rsid w:val="002565D5"/>
    <w:rsid w:val="00257C39"/>
    <w:rsid w:val="002622C0"/>
    <w:rsid w:val="00262D2E"/>
    <w:rsid w:val="002665C3"/>
    <w:rsid w:val="00276B08"/>
    <w:rsid w:val="002778AE"/>
    <w:rsid w:val="002807AB"/>
    <w:rsid w:val="00281919"/>
    <w:rsid w:val="002824CB"/>
    <w:rsid w:val="0028269A"/>
    <w:rsid w:val="00283590"/>
    <w:rsid w:val="00286973"/>
    <w:rsid w:val="00287216"/>
    <w:rsid w:val="002904AF"/>
    <w:rsid w:val="00290F60"/>
    <w:rsid w:val="00293C23"/>
    <w:rsid w:val="00294E70"/>
    <w:rsid w:val="00295B84"/>
    <w:rsid w:val="00296FB8"/>
    <w:rsid w:val="002A06B3"/>
    <w:rsid w:val="002A1924"/>
    <w:rsid w:val="002A7420"/>
    <w:rsid w:val="002B0F12"/>
    <w:rsid w:val="002B1308"/>
    <w:rsid w:val="002B4554"/>
    <w:rsid w:val="002C2696"/>
    <w:rsid w:val="002C42FF"/>
    <w:rsid w:val="002C72D8"/>
    <w:rsid w:val="002D11FA"/>
    <w:rsid w:val="002E0DDF"/>
    <w:rsid w:val="002E2906"/>
    <w:rsid w:val="002E5635"/>
    <w:rsid w:val="002E64C3"/>
    <w:rsid w:val="002E6A2C"/>
    <w:rsid w:val="002F1D8C"/>
    <w:rsid w:val="002F21DA"/>
    <w:rsid w:val="002F3F0D"/>
    <w:rsid w:val="002F42E2"/>
    <w:rsid w:val="002F57F3"/>
    <w:rsid w:val="002F5C1B"/>
    <w:rsid w:val="00301F39"/>
    <w:rsid w:val="00301F9F"/>
    <w:rsid w:val="00305812"/>
    <w:rsid w:val="003073E0"/>
    <w:rsid w:val="00310478"/>
    <w:rsid w:val="00317A37"/>
    <w:rsid w:val="0032071A"/>
    <w:rsid w:val="00325926"/>
    <w:rsid w:val="00327A8A"/>
    <w:rsid w:val="00336610"/>
    <w:rsid w:val="00343F73"/>
    <w:rsid w:val="00345060"/>
    <w:rsid w:val="00350323"/>
    <w:rsid w:val="00350BC9"/>
    <w:rsid w:val="0035323B"/>
    <w:rsid w:val="00355CB5"/>
    <w:rsid w:val="00356876"/>
    <w:rsid w:val="00357B66"/>
    <w:rsid w:val="003609D2"/>
    <w:rsid w:val="00363F22"/>
    <w:rsid w:val="003650D5"/>
    <w:rsid w:val="003659A4"/>
    <w:rsid w:val="00366467"/>
    <w:rsid w:val="00370570"/>
    <w:rsid w:val="0037473D"/>
    <w:rsid w:val="00375564"/>
    <w:rsid w:val="0037662F"/>
    <w:rsid w:val="003768C0"/>
    <w:rsid w:val="00383191"/>
    <w:rsid w:val="003852DB"/>
    <w:rsid w:val="00386DED"/>
    <w:rsid w:val="003912E7"/>
    <w:rsid w:val="0039140F"/>
    <w:rsid w:val="00393947"/>
    <w:rsid w:val="003A1F65"/>
    <w:rsid w:val="003A2275"/>
    <w:rsid w:val="003A48CA"/>
    <w:rsid w:val="003A6A4F"/>
    <w:rsid w:val="003A7088"/>
    <w:rsid w:val="003B00DF"/>
    <w:rsid w:val="003B1275"/>
    <w:rsid w:val="003B1778"/>
    <w:rsid w:val="003B4E62"/>
    <w:rsid w:val="003C11CB"/>
    <w:rsid w:val="003C75F3"/>
    <w:rsid w:val="003C78A3"/>
    <w:rsid w:val="003D3D76"/>
    <w:rsid w:val="003D721E"/>
    <w:rsid w:val="003E0D6C"/>
    <w:rsid w:val="003E1867"/>
    <w:rsid w:val="003E38EB"/>
    <w:rsid w:val="003E4DAE"/>
    <w:rsid w:val="003E5729"/>
    <w:rsid w:val="003E5A57"/>
    <w:rsid w:val="003F4EE0"/>
    <w:rsid w:val="004009E5"/>
    <w:rsid w:val="00400C28"/>
    <w:rsid w:val="00402153"/>
    <w:rsid w:val="00402FC1"/>
    <w:rsid w:val="004134DD"/>
    <w:rsid w:val="00415CE8"/>
    <w:rsid w:val="004166CD"/>
    <w:rsid w:val="0041793A"/>
    <w:rsid w:val="00423779"/>
    <w:rsid w:val="004239C2"/>
    <w:rsid w:val="00423DBC"/>
    <w:rsid w:val="00425082"/>
    <w:rsid w:val="00431DEB"/>
    <w:rsid w:val="004344A6"/>
    <w:rsid w:val="00444ABC"/>
    <w:rsid w:val="00446B29"/>
    <w:rsid w:val="00453F9A"/>
    <w:rsid w:val="0045659F"/>
    <w:rsid w:val="00462311"/>
    <w:rsid w:val="004678FA"/>
    <w:rsid w:val="00467E26"/>
    <w:rsid w:val="00471E91"/>
    <w:rsid w:val="00472AF6"/>
    <w:rsid w:val="00472C6E"/>
    <w:rsid w:val="00474675"/>
    <w:rsid w:val="0047470C"/>
    <w:rsid w:val="004851C9"/>
    <w:rsid w:val="00485828"/>
    <w:rsid w:val="004A029F"/>
    <w:rsid w:val="004A0900"/>
    <w:rsid w:val="004A3380"/>
    <w:rsid w:val="004A35F9"/>
    <w:rsid w:val="004B24C1"/>
    <w:rsid w:val="004B2F2F"/>
    <w:rsid w:val="004B3527"/>
    <w:rsid w:val="004B7A61"/>
    <w:rsid w:val="004C0DE4"/>
    <w:rsid w:val="004C292F"/>
    <w:rsid w:val="004C52B4"/>
    <w:rsid w:val="004D0316"/>
    <w:rsid w:val="004D197C"/>
    <w:rsid w:val="004E3FD1"/>
    <w:rsid w:val="004E4034"/>
    <w:rsid w:val="004E7695"/>
    <w:rsid w:val="004F10FB"/>
    <w:rsid w:val="004F11CA"/>
    <w:rsid w:val="004F3DE1"/>
    <w:rsid w:val="004F6E84"/>
    <w:rsid w:val="005040B4"/>
    <w:rsid w:val="00510280"/>
    <w:rsid w:val="005107C9"/>
    <w:rsid w:val="00512425"/>
    <w:rsid w:val="00513D73"/>
    <w:rsid w:val="00514A43"/>
    <w:rsid w:val="005174E5"/>
    <w:rsid w:val="00522393"/>
    <w:rsid w:val="0052251C"/>
    <w:rsid w:val="00522620"/>
    <w:rsid w:val="00525656"/>
    <w:rsid w:val="005266BB"/>
    <w:rsid w:val="00534C02"/>
    <w:rsid w:val="00534D29"/>
    <w:rsid w:val="00534EC9"/>
    <w:rsid w:val="0053668C"/>
    <w:rsid w:val="0054264B"/>
    <w:rsid w:val="00543786"/>
    <w:rsid w:val="00545E5F"/>
    <w:rsid w:val="00550AC2"/>
    <w:rsid w:val="005521BC"/>
    <w:rsid w:val="005533D7"/>
    <w:rsid w:val="005539AE"/>
    <w:rsid w:val="00557F34"/>
    <w:rsid w:val="00563AD6"/>
    <w:rsid w:val="00565692"/>
    <w:rsid w:val="005703DE"/>
    <w:rsid w:val="00575169"/>
    <w:rsid w:val="005828EB"/>
    <w:rsid w:val="0058464E"/>
    <w:rsid w:val="00587FD0"/>
    <w:rsid w:val="00592C13"/>
    <w:rsid w:val="0059333D"/>
    <w:rsid w:val="00594AEB"/>
    <w:rsid w:val="005A01CB"/>
    <w:rsid w:val="005A58FF"/>
    <w:rsid w:val="005A5EAF"/>
    <w:rsid w:val="005A64C0"/>
    <w:rsid w:val="005B12B4"/>
    <w:rsid w:val="005B3C11"/>
    <w:rsid w:val="005B3CB5"/>
    <w:rsid w:val="005B6E15"/>
    <w:rsid w:val="005B73B1"/>
    <w:rsid w:val="005C1190"/>
    <w:rsid w:val="005C1C28"/>
    <w:rsid w:val="005C40BF"/>
    <w:rsid w:val="005C6DB5"/>
    <w:rsid w:val="005C7E1D"/>
    <w:rsid w:val="005D347A"/>
    <w:rsid w:val="005D4E43"/>
    <w:rsid w:val="005D7425"/>
    <w:rsid w:val="005E0135"/>
    <w:rsid w:val="005E19E7"/>
    <w:rsid w:val="005E25EE"/>
    <w:rsid w:val="005E6105"/>
    <w:rsid w:val="005E6661"/>
    <w:rsid w:val="005E71F4"/>
    <w:rsid w:val="005F0BE9"/>
    <w:rsid w:val="005F1913"/>
    <w:rsid w:val="005F2504"/>
    <w:rsid w:val="005F350E"/>
    <w:rsid w:val="005F7EFC"/>
    <w:rsid w:val="00603CAD"/>
    <w:rsid w:val="00604D26"/>
    <w:rsid w:val="0061716C"/>
    <w:rsid w:val="006243A1"/>
    <w:rsid w:val="0062500E"/>
    <w:rsid w:val="0063099E"/>
    <w:rsid w:val="0063111E"/>
    <w:rsid w:val="00632E56"/>
    <w:rsid w:val="00635CBA"/>
    <w:rsid w:val="00641A9B"/>
    <w:rsid w:val="00641C62"/>
    <w:rsid w:val="006423A6"/>
    <w:rsid w:val="0064338B"/>
    <w:rsid w:val="00646542"/>
    <w:rsid w:val="00646A44"/>
    <w:rsid w:val="00646A5E"/>
    <w:rsid w:val="006471BF"/>
    <w:rsid w:val="006504F4"/>
    <w:rsid w:val="00650ABF"/>
    <w:rsid w:val="00651D37"/>
    <w:rsid w:val="00652A8E"/>
    <w:rsid w:val="00654BC9"/>
    <w:rsid w:val="006552FD"/>
    <w:rsid w:val="006554A5"/>
    <w:rsid w:val="00662723"/>
    <w:rsid w:val="00663AF3"/>
    <w:rsid w:val="00666B6C"/>
    <w:rsid w:val="00676D9C"/>
    <w:rsid w:val="0067773B"/>
    <w:rsid w:val="00682682"/>
    <w:rsid w:val="00682702"/>
    <w:rsid w:val="0068531A"/>
    <w:rsid w:val="006862EB"/>
    <w:rsid w:val="00692368"/>
    <w:rsid w:val="00692D89"/>
    <w:rsid w:val="006A2EBC"/>
    <w:rsid w:val="006A5EA0"/>
    <w:rsid w:val="006A70C5"/>
    <w:rsid w:val="006A783B"/>
    <w:rsid w:val="006A7AEB"/>
    <w:rsid w:val="006A7B33"/>
    <w:rsid w:val="006B0009"/>
    <w:rsid w:val="006B4E13"/>
    <w:rsid w:val="006B75DD"/>
    <w:rsid w:val="006C3EC4"/>
    <w:rsid w:val="006C4C67"/>
    <w:rsid w:val="006C558C"/>
    <w:rsid w:val="006C5EC8"/>
    <w:rsid w:val="006C67E0"/>
    <w:rsid w:val="006C7ABA"/>
    <w:rsid w:val="006D08F4"/>
    <w:rsid w:val="006D0D60"/>
    <w:rsid w:val="006D1122"/>
    <w:rsid w:val="006D3C00"/>
    <w:rsid w:val="006D4D2E"/>
    <w:rsid w:val="006D4D40"/>
    <w:rsid w:val="006E3675"/>
    <w:rsid w:val="006E4A7F"/>
    <w:rsid w:val="006E5E69"/>
    <w:rsid w:val="006E7B67"/>
    <w:rsid w:val="006F2AB3"/>
    <w:rsid w:val="00702335"/>
    <w:rsid w:val="00704DF6"/>
    <w:rsid w:val="0070651C"/>
    <w:rsid w:val="00707D93"/>
    <w:rsid w:val="00711B5A"/>
    <w:rsid w:val="00712575"/>
    <w:rsid w:val="007132A3"/>
    <w:rsid w:val="00713BF8"/>
    <w:rsid w:val="00716421"/>
    <w:rsid w:val="00717651"/>
    <w:rsid w:val="00724EFB"/>
    <w:rsid w:val="007261EF"/>
    <w:rsid w:val="00727F16"/>
    <w:rsid w:val="00732949"/>
    <w:rsid w:val="007410DC"/>
    <w:rsid w:val="007419C3"/>
    <w:rsid w:val="00743B4A"/>
    <w:rsid w:val="007467A7"/>
    <w:rsid w:val="007469DD"/>
    <w:rsid w:val="00747275"/>
    <w:rsid w:val="0074741B"/>
    <w:rsid w:val="0074759E"/>
    <w:rsid w:val="007478EA"/>
    <w:rsid w:val="00750DC8"/>
    <w:rsid w:val="00753E0E"/>
    <w:rsid w:val="0075415C"/>
    <w:rsid w:val="00763502"/>
    <w:rsid w:val="00764C9D"/>
    <w:rsid w:val="00765463"/>
    <w:rsid w:val="00767D83"/>
    <w:rsid w:val="00774E9B"/>
    <w:rsid w:val="00776E00"/>
    <w:rsid w:val="00777400"/>
    <w:rsid w:val="007848C5"/>
    <w:rsid w:val="00784DB9"/>
    <w:rsid w:val="007913AB"/>
    <w:rsid w:val="007914F7"/>
    <w:rsid w:val="007930AA"/>
    <w:rsid w:val="00794ABB"/>
    <w:rsid w:val="00797015"/>
    <w:rsid w:val="0079710D"/>
    <w:rsid w:val="007A33F9"/>
    <w:rsid w:val="007B0C68"/>
    <w:rsid w:val="007B1625"/>
    <w:rsid w:val="007B2AA6"/>
    <w:rsid w:val="007B53D7"/>
    <w:rsid w:val="007B6530"/>
    <w:rsid w:val="007B706E"/>
    <w:rsid w:val="007B71EB"/>
    <w:rsid w:val="007B7F4D"/>
    <w:rsid w:val="007C31CC"/>
    <w:rsid w:val="007C6205"/>
    <w:rsid w:val="007C686A"/>
    <w:rsid w:val="007C728E"/>
    <w:rsid w:val="007D2C53"/>
    <w:rsid w:val="007D3D60"/>
    <w:rsid w:val="007E1980"/>
    <w:rsid w:val="007E4B76"/>
    <w:rsid w:val="007E4C8A"/>
    <w:rsid w:val="007E5EA8"/>
    <w:rsid w:val="007F0CF1"/>
    <w:rsid w:val="007F12A5"/>
    <w:rsid w:val="007F2E82"/>
    <w:rsid w:val="007F3B0B"/>
    <w:rsid w:val="007F4CF1"/>
    <w:rsid w:val="007F758D"/>
    <w:rsid w:val="007F7D52"/>
    <w:rsid w:val="0080654C"/>
    <w:rsid w:val="008071C6"/>
    <w:rsid w:val="00810475"/>
    <w:rsid w:val="00811E5C"/>
    <w:rsid w:val="00814A81"/>
    <w:rsid w:val="00815237"/>
    <w:rsid w:val="00815F90"/>
    <w:rsid w:val="00817A00"/>
    <w:rsid w:val="00821C5F"/>
    <w:rsid w:val="00827BF7"/>
    <w:rsid w:val="0083410A"/>
    <w:rsid w:val="008346A9"/>
    <w:rsid w:val="00835742"/>
    <w:rsid w:val="00835DB3"/>
    <w:rsid w:val="0083617B"/>
    <w:rsid w:val="008371BD"/>
    <w:rsid w:val="008504A8"/>
    <w:rsid w:val="0085282E"/>
    <w:rsid w:val="008533B6"/>
    <w:rsid w:val="00862151"/>
    <w:rsid w:val="00864FB4"/>
    <w:rsid w:val="0087198C"/>
    <w:rsid w:val="00872C1F"/>
    <w:rsid w:val="00873B42"/>
    <w:rsid w:val="00874A40"/>
    <w:rsid w:val="00875A74"/>
    <w:rsid w:val="008770F5"/>
    <w:rsid w:val="00877177"/>
    <w:rsid w:val="008772C2"/>
    <w:rsid w:val="0087773E"/>
    <w:rsid w:val="00877910"/>
    <w:rsid w:val="00882D2B"/>
    <w:rsid w:val="008856D8"/>
    <w:rsid w:val="00892E82"/>
    <w:rsid w:val="008949A7"/>
    <w:rsid w:val="008B442D"/>
    <w:rsid w:val="008C0D91"/>
    <w:rsid w:val="008C1B58"/>
    <w:rsid w:val="008C39AE"/>
    <w:rsid w:val="008C590D"/>
    <w:rsid w:val="008C5F12"/>
    <w:rsid w:val="008D009D"/>
    <w:rsid w:val="008D250B"/>
    <w:rsid w:val="008D4EA9"/>
    <w:rsid w:val="008D5C33"/>
    <w:rsid w:val="008D7B45"/>
    <w:rsid w:val="008E031B"/>
    <w:rsid w:val="008E2388"/>
    <w:rsid w:val="008E4014"/>
    <w:rsid w:val="008E464D"/>
    <w:rsid w:val="008E60E2"/>
    <w:rsid w:val="008E6259"/>
    <w:rsid w:val="008E7029"/>
    <w:rsid w:val="008E7EF6"/>
    <w:rsid w:val="008F1F98"/>
    <w:rsid w:val="008F5765"/>
    <w:rsid w:val="008F6758"/>
    <w:rsid w:val="00902A08"/>
    <w:rsid w:val="0090326F"/>
    <w:rsid w:val="009040DD"/>
    <w:rsid w:val="00905B47"/>
    <w:rsid w:val="0091331C"/>
    <w:rsid w:val="0091457E"/>
    <w:rsid w:val="00917DEE"/>
    <w:rsid w:val="009236CF"/>
    <w:rsid w:val="009240E8"/>
    <w:rsid w:val="00924BEA"/>
    <w:rsid w:val="009279DE"/>
    <w:rsid w:val="00930116"/>
    <w:rsid w:val="00936007"/>
    <w:rsid w:val="009363F2"/>
    <w:rsid w:val="0093742D"/>
    <w:rsid w:val="00940FAC"/>
    <w:rsid w:val="0094212C"/>
    <w:rsid w:val="009421BE"/>
    <w:rsid w:val="00946042"/>
    <w:rsid w:val="009504BC"/>
    <w:rsid w:val="009507F6"/>
    <w:rsid w:val="00950899"/>
    <w:rsid w:val="00951612"/>
    <w:rsid w:val="00951D89"/>
    <w:rsid w:val="009520CA"/>
    <w:rsid w:val="0095445B"/>
    <w:rsid w:val="00954689"/>
    <w:rsid w:val="009562D4"/>
    <w:rsid w:val="0095636A"/>
    <w:rsid w:val="009602EB"/>
    <w:rsid w:val="00960922"/>
    <w:rsid w:val="009617C9"/>
    <w:rsid w:val="00961C93"/>
    <w:rsid w:val="00963087"/>
    <w:rsid w:val="00965324"/>
    <w:rsid w:val="0097091E"/>
    <w:rsid w:val="0097312C"/>
    <w:rsid w:val="009760D3"/>
    <w:rsid w:val="00977132"/>
    <w:rsid w:val="00980089"/>
    <w:rsid w:val="00981A4B"/>
    <w:rsid w:val="00982501"/>
    <w:rsid w:val="00983ACE"/>
    <w:rsid w:val="00987386"/>
    <w:rsid w:val="009877D3"/>
    <w:rsid w:val="00994408"/>
    <w:rsid w:val="00994E8F"/>
    <w:rsid w:val="009951DC"/>
    <w:rsid w:val="009959BB"/>
    <w:rsid w:val="00996669"/>
    <w:rsid w:val="00997158"/>
    <w:rsid w:val="009A3A7C"/>
    <w:rsid w:val="009A65E2"/>
    <w:rsid w:val="009A6DC9"/>
    <w:rsid w:val="009A7F6F"/>
    <w:rsid w:val="009B2ADB"/>
    <w:rsid w:val="009B603A"/>
    <w:rsid w:val="009B7BD0"/>
    <w:rsid w:val="009C0F68"/>
    <w:rsid w:val="009C15E2"/>
    <w:rsid w:val="009C2D0E"/>
    <w:rsid w:val="009C3DAC"/>
    <w:rsid w:val="009C42E0"/>
    <w:rsid w:val="009C4EEC"/>
    <w:rsid w:val="009C7DCB"/>
    <w:rsid w:val="009D28B6"/>
    <w:rsid w:val="009D2B49"/>
    <w:rsid w:val="009D5362"/>
    <w:rsid w:val="009E09B4"/>
    <w:rsid w:val="009E1415"/>
    <w:rsid w:val="009E5754"/>
    <w:rsid w:val="009E6116"/>
    <w:rsid w:val="009F11B8"/>
    <w:rsid w:val="009F1B15"/>
    <w:rsid w:val="009F73D8"/>
    <w:rsid w:val="00A0112A"/>
    <w:rsid w:val="00A02E43"/>
    <w:rsid w:val="00A065F9"/>
    <w:rsid w:val="00A06964"/>
    <w:rsid w:val="00A07F34"/>
    <w:rsid w:val="00A15157"/>
    <w:rsid w:val="00A20C5E"/>
    <w:rsid w:val="00A22154"/>
    <w:rsid w:val="00A24393"/>
    <w:rsid w:val="00A25C38"/>
    <w:rsid w:val="00A26308"/>
    <w:rsid w:val="00A26A96"/>
    <w:rsid w:val="00A27215"/>
    <w:rsid w:val="00A27B20"/>
    <w:rsid w:val="00A34D69"/>
    <w:rsid w:val="00A36BBE"/>
    <w:rsid w:val="00A41191"/>
    <w:rsid w:val="00A4307A"/>
    <w:rsid w:val="00A43097"/>
    <w:rsid w:val="00A47EBB"/>
    <w:rsid w:val="00A50675"/>
    <w:rsid w:val="00A51CDD"/>
    <w:rsid w:val="00A54252"/>
    <w:rsid w:val="00A6107E"/>
    <w:rsid w:val="00A6394B"/>
    <w:rsid w:val="00A671A9"/>
    <w:rsid w:val="00A6730D"/>
    <w:rsid w:val="00A6746D"/>
    <w:rsid w:val="00A71625"/>
    <w:rsid w:val="00A71B9B"/>
    <w:rsid w:val="00A751C7"/>
    <w:rsid w:val="00A828DE"/>
    <w:rsid w:val="00A8492D"/>
    <w:rsid w:val="00A87844"/>
    <w:rsid w:val="00A9269C"/>
    <w:rsid w:val="00A92ADF"/>
    <w:rsid w:val="00A94C41"/>
    <w:rsid w:val="00AA038C"/>
    <w:rsid w:val="00AA1737"/>
    <w:rsid w:val="00AA7A09"/>
    <w:rsid w:val="00AB2D90"/>
    <w:rsid w:val="00AB3B50"/>
    <w:rsid w:val="00AB3C6A"/>
    <w:rsid w:val="00AB6384"/>
    <w:rsid w:val="00AC05B1"/>
    <w:rsid w:val="00AC6F5A"/>
    <w:rsid w:val="00AD1C43"/>
    <w:rsid w:val="00AD356C"/>
    <w:rsid w:val="00AD6C43"/>
    <w:rsid w:val="00AE2914"/>
    <w:rsid w:val="00AE42A9"/>
    <w:rsid w:val="00AE6D15"/>
    <w:rsid w:val="00AE7BBA"/>
    <w:rsid w:val="00AF4D12"/>
    <w:rsid w:val="00AF5F62"/>
    <w:rsid w:val="00B01D5B"/>
    <w:rsid w:val="00B01FF6"/>
    <w:rsid w:val="00B04182"/>
    <w:rsid w:val="00B07AE3"/>
    <w:rsid w:val="00B11430"/>
    <w:rsid w:val="00B157F4"/>
    <w:rsid w:val="00B261AA"/>
    <w:rsid w:val="00B3352A"/>
    <w:rsid w:val="00B34238"/>
    <w:rsid w:val="00B34A96"/>
    <w:rsid w:val="00B353EB"/>
    <w:rsid w:val="00B36260"/>
    <w:rsid w:val="00B40CC6"/>
    <w:rsid w:val="00B439C4"/>
    <w:rsid w:val="00B43E20"/>
    <w:rsid w:val="00B440D6"/>
    <w:rsid w:val="00B4535E"/>
    <w:rsid w:val="00B50D6E"/>
    <w:rsid w:val="00B5197C"/>
    <w:rsid w:val="00B52A8C"/>
    <w:rsid w:val="00B53EA5"/>
    <w:rsid w:val="00B56FA6"/>
    <w:rsid w:val="00B6239F"/>
    <w:rsid w:val="00B62B02"/>
    <w:rsid w:val="00B636A8"/>
    <w:rsid w:val="00B651BB"/>
    <w:rsid w:val="00B665C6"/>
    <w:rsid w:val="00B679EE"/>
    <w:rsid w:val="00B73B18"/>
    <w:rsid w:val="00B74EB5"/>
    <w:rsid w:val="00B805AF"/>
    <w:rsid w:val="00B869E5"/>
    <w:rsid w:val="00B869EC"/>
    <w:rsid w:val="00B86D7D"/>
    <w:rsid w:val="00B9076F"/>
    <w:rsid w:val="00B9397A"/>
    <w:rsid w:val="00B95E90"/>
    <w:rsid w:val="00B9633D"/>
    <w:rsid w:val="00BA2EBE"/>
    <w:rsid w:val="00BA78BF"/>
    <w:rsid w:val="00BB0F28"/>
    <w:rsid w:val="00BB0F47"/>
    <w:rsid w:val="00BB41EA"/>
    <w:rsid w:val="00BB458A"/>
    <w:rsid w:val="00BC18E2"/>
    <w:rsid w:val="00BC2C4F"/>
    <w:rsid w:val="00BC4B4B"/>
    <w:rsid w:val="00BD00D3"/>
    <w:rsid w:val="00BD1659"/>
    <w:rsid w:val="00BD3AA9"/>
    <w:rsid w:val="00BD4A18"/>
    <w:rsid w:val="00BD6DB2"/>
    <w:rsid w:val="00BE042B"/>
    <w:rsid w:val="00BE11CF"/>
    <w:rsid w:val="00BE21AB"/>
    <w:rsid w:val="00BE2247"/>
    <w:rsid w:val="00BE2E40"/>
    <w:rsid w:val="00BE4E0E"/>
    <w:rsid w:val="00BE55CB"/>
    <w:rsid w:val="00BF101B"/>
    <w:rsid w:val="00BF2716"/>
    <w:rsid w:val="00BF356A"/>
    <w:rsid w:val="00BF617A"/>
    <w:rsid w:val="00C0216D"/>
    <w:rsid w:val="00C02A73"/>
    <w:rsid w:val="00C033A6"/>
    <w:rsid w:val="00C0379D"/>
    <w:rsid w:val="00C03931"/>
    <w:rsid w:val="00C05FE3"/>
    <w:rsid w:val="00C13D45"/>
    <w:rsid w:val="00C16220"/>
    <w:rsid w:val="00C174F4"/>
    <w:rsid w:val="00C2136D"/>
    <w:rsid w:val="00C214EE"/>
    <w:rsid w:val="00C21AC9"/>
    <w:rsid w:val="00C2314B"/>
    <w:rsid w:val="00C233BE"/>
    <w:rsid w:val="00C24971"/>
    <w:rsid w:val="00C26BE5"/>
    <w:rsid w:val="00C26E4D"/>
    <w:rsid w:val="00C27909"/>
    <w:rsid w:val="00C27AFF"/>
    <w:rsid w:val="00C27B03"/>
    <w:rsid w:val="00C3025F"/>
    <w:rsid w:val="00C30509"/>
    <w:rsid w:val="00C314E1"/>
    <w:rsid w:val="00C31A79"/>
    <w:rsid w:val="00C32DD9"/>
    <w:rsid w:val="00C34397"/>
    <w:rsid w:val="00C34D73"/>
    <w:rsid w:val="00C35530"/>
    <w:rsid w:val="00C4095D"/>
    <w:rsid w:val="00C43DCA"/>
    <w:rsid w:val="00C446D1"/>
    <w:rsid w:val="00C458E9"/>
    <w:rsid w:val="00C45A5A"/>
    <w:rsid w:val="00C50805"/>
    <w:rsid w:val="00C50BA5"/>
    <w:rsid w:val="00C543C0"/>
    <w:rsid w:val="00C55F2B"/>
    <w:rsid w:val="00C56DF0"/>
    <w:rsid w:val="00C601D2"/>
    <w:rsid w:val="00C613DE"/>
    <w:rsid w:val="00C61CA0"/>
    <w:rsid w:val="00C63485"/>
    <w:rsid w:val="00C636F9"/>
    <w:rsid w:val="00C657AB"/>
    <w:rsid w:val="00C65BCC"/>
    <w:rsid w:val="00C66970"/>
    <w:rsid w:val="00C67EE6"/>
    <w:rsid w:val="00C73BC7"/>
    <w:rsid w:val="00C7740A"/>
    <w:rsid w:val="00C778A9"/>
    <w:rsid w:val="00C8585D"/>
    <w:rsid w:val="00C8691C"/>
    <w:rsid w:val="00C86A9E"/>
    <w:rsid w:val="00C90606"/>
    <w:rsid w:val="00C95B40"/>
    <w:rsid w:val="00CA168A"/>
    <w:rsid w:val="00CA357E"/>
    <w:rsid w:val="00CA4088"/>
    <w:rsid w:val="00CA44F9"/>
    <w:rsid w:val="00CA4A69"/>
    <w:rsid w:val="00CB2D67"/>
    <w:rsid w:val="00CB3A01"/>
    <w:rsid w:val="00CC3E0C"/>
    <w:rsid w:val="00CC58D3"/>
    <w:rsid w:val="00CC784D"/>
    <w:rsid w:val="00CC7E72"/>
    <w:rsid w:val="00CD08A9"/>
    <w:rsid w:val="00CD10D1"/>
    <w:rsid w:val="00CD2F47"/>
    <w:rsid w:val="00CE2006"/>
    <w:rsid w:val="00CE51F5"/>
    <w:rsid w:val="00CE51F7"/>
    <w:rsid w:val="00CF15CF"/>
    <w:rsid w:val="00D0337B"/>
    <w:rsid w:val="00D0412E"/>
    <w:rsid w:val="00D04F64"/>
    <w:rsid w:val="00D05B87"/>
    <w:rsid w:val="00D079B2"/>
    <w:rsid w:val="00D114E9"/>
    <w:rsid w:val="00D11A67"/>
    <w:rsid w:val="00D11FDA"/>
    <w:rsid w:val="00D12894"/>
    <w:rsid w:val="00D2393C"/>
    <w:rsid w:val="00D242F8"/>
    <w:rsid w:val="00D25665"/>
    <w:rsid w:val="00D37A4C"/>
    <w:rsid w:val="00D40E02"/>
    <w:rsid w:val="00D41BB5"/>
    <w:rsid w:val="00D429C6"/>
    <w:rsid w:val="00D45385"/>
    <w:rsid w:val="00D45825"/>
    <w:rsid w:val="00D47748"/>
    <w:rsid w:val="00D54CC3"/>
    <w:rsid w:val="00D567B0"/>
    <w:rsid w:val="00D6041A"/>
    <w:rsid w:val="00D63394"/>
    <w:rsid w:val="00D633EB"/>
    <w:rsid w:val="00D71C2B"/>
    <w:rsid w:val="00D72771"/>
    <w:rsid w:val="00D72991"/>
    <w:rsid w:val="00D827AB"/>
    <w:rsid w:val="00D82FF7"/>
    <w:rsid w:val="00D83842"/>
    <w:rsid w:val="00D847FE"/>
    <w:rsid w:val="00D85F8E"/>
    <w:rsid w:val="00D86EC2"/>
    <w:rsid w:val="00D9561C"/>
    <w:rsid w:val="00D964EA"/>
    <w:rsid w:val="00D966D0"/>
    <w:rsid w:val="00DA0C59"/>
    <w:rsid w:val="00DA1E1B"/>
    <w:rsid w:val="00DA3991"/>
    <w:rsid w:val="00DA3A00"/>
    <w:rsid w:val="00DB1642"/>
    <w:rsid w:val="00DB5F1D"/>
    <w:rsid w:val="00DB6993"/>
    <w:rsid w:val="00DB7566"/>
    <w:rsid w:val="00DB7E6C"/>
    <w:rsid w:val="00DC1267"/>
    <w:rsid w:val="00DC3B61"/>
    <w:rsid w:val="00DC5AF2"/>
    <w:rsid w:val="00DC6475"/>
    <w:rsid w:val="00DC68C1"/>
    <w:rsid w:val="00DD5A29"/>
    <w:rsid w:val="00DD5D9D"/>
    <w:rsid w:val="00DD62AF"/>
    <w:rsid w:val="00DE1E8C"/>
    <w:rsid w:val="00DE35CB"/>
    <w:rsid w:val="00DE3CC6"/>
    <w:rsid w:val="00DE3E01"/>
    <w:rsid w:val="00DE54C0"/>
    <w:rsid w:val="00DE62EC"/>
    <w:rsid w:val="00DF21E9"/>
    <w:rsid w:val="00DF3835"/>
    <w:rsid w:val="00DF4689"/>
    <w:rsid w:val="00DF7839"/>
    <w:rsid w:val="00E00F14"/>
    <w:rsid w:val="00E014DB"/>
    <w:rsid w:val="00E01E2C"/>
    <w:rsid w:val="00E06386"/>
    <w:rsid w:val="00E06724"/>
    <w:rsid w:val="00E06AF6"/>
    <w:rsid w:val="00E1121D"/>
    <w:rsid w:val="00E13AFD"/>
    <w:rsid w:val="00E24EB4"/>
    <w:rsid w:val="00E320ED"/>
    <w:rsid w:val="00E32B5C"/>
    <w:rsid w:val="00E32DF6"/>
    <w:rsid w:val="00E33AFB"/>
    <w:rsid w:val="00E34218"/>
    <w:rsid w:val="00E36B6A"/>
    <w:rsid w:val="00E46282"/>
    <w:rsid w:val="00E47E10"/>
    <w:rsid w:val="00E51468"/>
    <w:rsid w:val="00E51C6C"/>
    <w:rsid w:val="00E5216E"/>
    <w:rsid w:val="00E57BBB"/>
    <w:rsid w:val="00E608D9"/>
    <w:rsid w:val="00E60B84"/>
    <w:rsid w:val="00E70631"/>
    <w:rsid w:val="00E724B3"/>
    <w:rsid w:val="00E72A9E"/>
    <w:rsid w:val="00E76C52"/>
    <w:rsid w:val="00E82344"/>
    <w:rsid w:val="00E84C82"/>
    <w:rsid w:val="00E84D64"/>
    <w:rsid w:val="00E87408"/>
    <w:rsid w:val="00E914C4"/>
    <w:rsid w:val="00E934F5"/>
    <w:rsid w:val="00E96961"/>
    <w:rsid w:val="00EA72EC"/>
    <w:rsid w:val="00EB04E1"/>
    <w:rsid w:val="00EB11CB"/>
    <w:rsid w:val="00EB275A"/>
    <w:rsid w:val="00EB786A"/>
    <w:rsid w:val="00EC1578"/>
    <w:rsid w:val="00EC1C72"/>
    <w:rsid w:val="00EC2945"/>
    <w:rsid w:val="00EC3CC9"/>
    <w:rsid w:val="00EC680A"/>
    <w:rsid w:val="00ED1196"/>
    <w:rsid w:val="00ED4DD7"/>
    <w:rsid w:val="00ED7AEE"/>
    <w:rsid w:val="00EE1BF1"/>
    <w:rsid w:val="00EE205B"/>
    <w:rsid w:val="00EE2BED"/>
    <w:rsid w:val="00EE3414"/>
    <w:rsid w:val="00EE374B"/>
    <w:rsid w:val="00EE4B26"/>
    <w:rsid w:val="00EE59FB"/>
    <w:rsid w:val="00EF10F8"/>
    <w:rsid w:val="00EF3D77"/>
    <w:rsid w:val="00EF58BA"/>
    <w:rsid w:val="00EF7629"/>
    <w:rsid w:val="00F01332"/>
    <w:rsid w:val="00F04C3F"/>
    <w:rsid w:val="00F11BB5"/>
    <w:rsid w:val="00F1417B"/>
    <w:rsid w:val="00F14AF0"/>
    <w:rsid w:val="00F1787C"/>
    <w:rsid w:val="00F26104"/>
    <w:rsid w:val="00F27FF2"/>
    <w:rsid w:val="00F34B99"/>
    <w:rsid w:val="00F368AE"/>
    <w:rsid w:val="00F37A7F"/>
    <w:rsid w:val="00F43145"/>
    <w:rsid w:val="00F510E6"/>
    <w:rsid w:val="00F52DAB"/>
    <w:rsid w:val="00F543F0"/>
    <w:rsid w:val="00F6373D"/>
    <w:rsid w:val="00F72314"/>
    <w:rsid w:val="00F737AD"/>
    <w:rsid w:val="00F81158"/>
    <w:rsid w:val="00F81D29"/>
    <w:rsid w:val="00F81D61"/>
    <w:rsid w:val="00F81DC8"/>
    <w:rsid w:val="00F90061"/>
    <w:rsid w:val="00F91B78"/>
    <w:rsid w:val="00F91C4D"/>
    <w:rsid w:val="00F92FD9"/>
    <w:rsid w:val="00F976AD"/>
    <w:rsid w:val="00FA2541"/>
    <w:rsid w:val="00FA42EF"/>
    <w:rsid w:val="00FA6470"/>
    <w:rsid w:val="00FA6684"/>
    <w:rsid w:val="00FA705E"/>
    <w:rsid w:val="00FA725A"/>
    <w:rsid w:val="00FA731E"/>
    <w:rsid w:val="00FB0B66"/>
    <w:rsid w:val="00FB2B38"/>
    <w:rsid w:val="00FB3791"/>
    <w:rsid w:val="00FC0296"/>
    <w:rsid w:val="00FC6358"/>
    <w:rsid w:val="00FC6C90"/>
    <w:rsid w:val="00FD04BB"/>
    <w:rsid w:val="00FD083F"/>
    <w:rsid w:val="00FD320D"/>
    <w:rsid w:val="00FD570D"/>
    <w:rsid w:val="00FD5950"/>
    <w:rsid w:val="00FE23DE"/>
    <w:rsid w:val="00FE773B"/>
    <w:rsid w:val="03563CE3"/>
    <w:rsid w:val="04AF42EF"/>
    <w:rsid w:val="05C14567"/>
    <w:rsid w:val="05FF07B5"/>
    <w:rsid w:val="08E55DE7"/>
    <w:rsid w:val="09045F63"/>
    <w:rsid w:val="0A842761"/>
    <w:rsid w:val="0B7274F3"/>
    <w:rsid w:val="0BAC32E0"/>
    <w:rsid w:val="0C68411F"/>
    <w:rsid w:val="0C6C6950"/>
    <w:rsid w:val="0DD7773F"/>
    <w:rsid w:val="0E8D76BF"/>
    <w:rsid w:val="0F073C55"/>
    <w:rsid w:val="0F0C7D92"/>
    <w:rsid w:val="0F532FDE"/>
    <w:rsid w:val="0F6945CC"/>
    <w:rsid w:val="0FCF7D15"/>
    <w:rsid w:val="114805EC"/>
    <w:rsid w:val="12463E5D"/>
    <w:rsid w:val="128A1009"/>
    <w:rsid w:val="129A6EDF"/>
    <w:rsid w:val="14B52807"/>
    <w:rsid w:val="14EA2A7E"/>
    <w:rsid w:val="17176377"/>
    <w:rsid w:val="180B12B5"/>
    <w:rsid w:val="19382624"/>
    <w:rsid w:val="19A5475F"/>
    <w:rsid w:val="1AAE65BB"/>
    <w:rsid w:val="1B56145F"/>
    <w:rsid w:val="1D781DF9"/>
    <w:rsid w:val="1F3E57F5"/>
    <w:rsid w:val="20236CFE"/>
    <w:rsid w:val="202E6203"/>
    <w:rsid w:val="208F11E7"/>
    <w:rsid w:val="213D046E"/>
    <w:rsid w:val="215C14F1"/>
    <w:rsid w:val="23671F2C"/>
    <w:rsid w:val="23CA246C"/>
    <w:rsid w:val="24642242"/>
    <w:rsid w:val="24767468"/>
    <w:rsid w:val="26615569"/>
    <w:rsid w:val="26834513"/>
    <w:rsid w:val="274A5AC6"/>
    <w:rsid w:val="285F4B0C"/>
    <w:rsid w:val="28752F46"/>
    <w:rsid w:val="2B8B7DC3"/>
    <w:rsid w:val="2BD650E5"/>
    <w:rsid w:val="2BE55328"/>
    <w:rsid w:val="2BFB34FF"/>
    <w:rsid w:val="2C2D37D2"/>
    <w:rsid w:val="2D1F1D65"/>
    <w:rsid w:val="2DAC5F75"/>
    <w:rsid w:val="2E1C1A4E"/>
    <w:rsid w:val="2E5D1AEE"/>
    <w:rsid w:val="2F062103"/>
    <w:rsid w:val="301C5852"/>
    <w:rsid w:val="30457428"/>
    <w:rsid w:val="321A12C0"/>
    <w:rsid w:val="324B7B8D"/>
    <w:rsid w:val="3410010D"/>
    <w:rsid w:val="34851BA6"/>
    <w:rsid w:val="35155A35"/>
    <w:rsid w:val="3597263D"/>
    <w:rsid w:val="35DB4005"/>
    <w:rsid w:val="369260AD"/>
    <w:rsid w:val="38055726"/>
    <w:rsid w:val="38675EDD"/>
    <w:rsid w:val="3871021D"/>
    <w:rsid w:val="38BA5276"/>
    <w:rsid w:val="38D26EC8"/>
    <w:rsid w:val="39CC502E"/>
    <w:rsid w:val="39DC01DA"/>
    <w:rsid w:val="3A2C035C"/>
    <w:rsid w:val="3A7466AB"/>
    <w:rsid w:val="3A8D375B"/>
    <w:rsid w:val="3AB00829"/>
    <w:rsid w:val="3C6F43DB"/>
    <w:rsid w:val="3DDE678C"/>
    <w:rsid w:val="3E4A00F3"/>
    <w:rsid w:val="3E517F07"/>
    <w:rsid w:val="3F2C098B"/>
    <w:rsid w:val="40077B0C"/>
    <w:rsid w:val="40321118"/>
    <w:rsid w:val="40540B76"/>
    <w:rsid w:val="40EE303B"/>
    <w:rsid w:val="41695BCD"/>
    <w:rsid w:val="41B778CF"/>
    <w:rsid w:val="4383564A"/>
    <w:rsid w:val="451C3C40"/>
    <w:rsid w:val="45B03890"/>
    <w:rsid w:val="45C00343"/>
    <w:rsid w:val="469C2D08"/>
    <w:rsid w:val="47932DEB"/>
    <w:rsid w:val="479D0403"/>
    <w:rsid w:val="47F46BC7"/>
    <w:rsid w:val="489B5047"/>
    <w:rsid w:val="48DD765B"/>
    <w:rsid w:val="494914DD"/>
    <w:rsid w:val="49FA4C9F"/>
    <w:rsid w:val="4BE148C2"/>
    <w:rsid w:val="4DA353B5"/>
    <w:rsid w:val="4DC024C2"/>
    <w:rsid w:val="4F98252E"/>
    <w:rsid w:val="4FAA26A3"/>
    <w:rsid w:val="4FFE506F"/>
    <w:rsid w:val="512C1180"/>
    <w:rsid w:val="51616AE5"/>
    <w:rsid w:val="51A45239"/>
    <w:rsid w:val="51B63A66"/>
    <w:rsid w:val="51C508AC"/>
    <w:rsid w:val="51D33F98"/>
    <w:rsid w:val="53962C9E"/>
    <w:rsid w:val="54677F4B"/>
    <w:rsid w:val="54AB45BB"/>
    <w:rsid w:val="54FC279E"/>
    <w:rsid w:val="56963C59"/>
    <w:rsid w:val="56D94B3D"/>
    <w:rsid w:val="56EC44FF"/>
    <w:rsid w:val="58094B8B"/>
    <w:rsid w:val="587614A3"/>
    <w:rsid w:val="58777528"/>
    <w:rsid w:val="595C5808"/>
    <w:rsid w:val="5AE12A2F"/>
    <w:rsid w:val="5B47245F"/>
    <w:rsid w:val="5C227DDB"/>
    <w:rsid w:val="5C366724"/>
    <w:rsid w:val="5C7A3515"/>
    <w:rsid w:val="5D1438A3"/>
    <w:rsid w:val="5E2B2A21"/>
    <w:rsid w:val="5E3C3679"/>
    <w:rsid w:val="5E6B18C8"/>
    <w:rsid w:val="5F47332B"/>
    <w:rsid w:val="5F7B5377"/>
    <w:rsid w:val="616151C6"/>
    <w:rsid w:val="616803F8"/>
    <w:rsid w:val="622E7C4D"/>
    <w:rsid w:val="62301BA8"/>
    <w:rsid w:val="624B4DA8"/>
    <w:rsid w:val="627B408D"/>
    <w:rsid w:val="645D5F22"/>
    <w:rsid w:val="64A54544"/>
    <w:rsid w:val="651340F7"/>
    <w:rsid w:val="6568477B"/>
    <w:rsid w:val="664A062A"/>
    <w:rsid w:val="66E7353A"/>
    <w:rsid w:val="674B0307"/>
    <w:rsid w:val="67C972D1"/>
    <w:rsid w:val="684D3A5E"/>
    <w:rsid w:val="68BF20CA"/>
    <w:rsid w:val="68D52A0C"/>
    <w:rsid w:val="6948200E"/>
    <w:rsid w:val="6A5C1C31"/>
    <w:rsid w:val="6AFD18D3"/>
    <w:rsid w:val="6B037447"/>
    <w:rsid w:val="6B204668"/>
    <w:rsid w:val="6C790ECB"/>
    <w:rsid w:val="6CD43640"/>
    <w:rsid w:val="6CFD7976"/>
    <w:rsid w:val="6D147FF8"/>
    <w:rsid w:val="6D530E82"/>
    <w:rsid w:val="6D874C56"/>
    <w:rsid w:val="6E166FE8"/>
    <w:rsid w:val="6E453FEE"/>
    <w:rsid w:val="6E906FA7"/>
    <w:rsid w:val="6ED47C90"/>
    <w:rsid w:val="6F9A64A0"/>
    <w:rsid w:val="70034993"/>
    <w:rsid w:val="70E439A9"/>
    <w:rsid w:val="711352E3"/>
    <w:rsid w:val="71237A52"/>
    <w:rsid w:val="71657824"/>
    <w:rsid w:val="716E3847"/>
    <w:rsid w:val="716F1097"/>
    <w:rsid w:val="72B868C0"/>
    <w:rsid w:val="73325C18"/>
    <w:rsid w:val="767B1592"/>
    <w:rsid w:val="770807A4"/>
    <w:rsid w:val="77CA3CE3"/>
    <w:rsid w:val="77E61714"/>
    <w:rsid w:val="77EB02B8"/>
    <w:rsid w:val="7904183A"/>
    <w:rsid w:val="79C17923"/>
    <w:rsid w:val="7A0525D6"/>
    <w:rsid w:val="7BF108E0"/>
    <w:rsid w:val="7E777FCA"/>
    <w:rsid w:val="7F122F5D"/>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2"/>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43"/>
    <w:qFormat/>
    <w:uiPriority w:val="0"/>
    <w:rPr>
      <w:sz w:val="18"/>
      <w:szCs w:val="18"/>
    </w:rPr>
  </w:style>
  <w:style w:type="paragraph" w:styleId="16">
    <w:name w:val="footer"/>
    <w:basedOn w:val="1"/>
    <w:link w:val="44"/>
    <w:qFormat/>
    <w:uiPriority w:val="99"/>
    <w:pPr>
      <w:snapToGrid w:val="0"/>
      <w:ind w:right="210" w:rightChars="100"/>
      <w:jc w:val="right"/>
    </w:pPr>
    <w:rPr>
      <w:sz w:val="18"/>
      <w:szCs w:val="18"/>
    </w:rPr>
  </w:style>
  <w:style w:type="paragraph" w:styleId="17">
    <w:name w:val="header"/>
    <w:basedOn w:val="1"/>
    <w:link w:val="45"/>
    <w:qFormat/>
    <w:uiPriority w:val="99"/>
    <w:pPr>
      <w:snapToGrid w:val="0"/>
      <w:jc w:val="left"/>
    </w:pPr>
    <w:rPr>
      <w:sz w:val="18"/>
      <w:szCs w:val="18"/>
    </w:rPr>
  </w:style>
  <w:style w:type="paragraph" w:styleId="18">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Body Text Indent 3"/>
    <w:basedOn w:val="1"/>
    <w:qFormat/>
    <w:uiPriority w:val="99"/>
    <w:pPr>
      <w:spacing w:after="120"/>
      <w:ind w:left="420" w:leftChars="200"/>
    </w:pPr>
    <w:rPr>
      <w:sz w:val="16"/>
      <w:szCs w:val="16"/>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39"/>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99"/>
    <w:rPr>
      <w:sz w:val="24"/>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7"/>
    <w:qFormat/>
    <w:uiPriority w:val="0"/>
    <w:rPr>
      <w:b/>
      <w:bCs/>
    </w:rPr>
  </w:style>
  <w:style w:type="table" w:styleId="34">
    <w:name w:val="Table Grid"/>
    <w:basedOn w:val="33"/>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批注文字 字符"/>
    <w:link w:val="7"/>
    <w:qFormat/>
    <w:uiPriority w:val="0"/>
    <w:rPr>
      <w:kern w:val="2"/>
      <w:sz w:val="21"/>
      <w:szCs w:val="24"/>
    </w:rPr>
  </w:style>
  <w:style w:type="character" w:customStyle="1" w:styleId="43">
    <w:name w:val="批注框文本 字符"/>
    <w:link w:val="15"/>
    <w:qFormat/>
    <w:uiPriority w:val="0"/>
    <w:rPr>
      <w:kern w:val="2"/>
      <w:sz w:val="18"/>
      <w:szCs w:val="18"/>
    </w:rPr>
  </w:style>
  <w:style w:type="character" w:customStyle="1" w:styleId="44">
    <w:name w:val="页脚 字符"/>
    <w:link w:val="16"/>
    <w:qFormat/>
    <w:locked/>
    <w:uiPriority w:val="99"/>
    <w:rPr>
      <w:kern w:val="2"/>
      <w:sz w:val="18"/>
      <w:szCs w:val="18"/>
    </w:rPr>
  </w:style>
  <w:style w:type="character" w:customStyle="1" w:styleId="45">
    <w:name w:val="页眉 字符"/>
    <w:link w:val="17"/>
    <w:qFormat/>
    <w:locked/>
    <w:uiPriority w:val="99"/>
    <w:rPr>
      <w:kern w:val="2"/>
      <w:sz w:val="18"/>
      <w:szCs w:val="18"/>
    </w:rPr>
  </w:style>
  <w:style w:type="character" w:customStyle="1" w:styleId="46">
    <w:name w:val="段 Char"/>
    <w:link w:val="22"/>
    <w:qFormat/>
    <w:uiPriority w:val="0"/>
    <w:rPr>
      <w:rFonts w:ascii="宋体"/>
      <w:sz w:val="21"/>
      <w:lang w:val="en-US" w:eastAsia="zh-CN" w:bidi="ar-SA"/>
    </w:rPr>
  </w:style>
  <w:style w:type="character" w:customStyle="1" w:styleId="47">
    <w:name w:val="批注主题 字符"/>
    <w:link w:val="32"/>
    <w:qFormat/>
    <w:uiPriority w:val="0"/>
    <w:rPr>
      <w:b/>
      <w:bCs/>
      <w:kern w:val="2"/>
      <w:sz w:val="21"/>
      <w:szCs w:val="24"/>
    </w:rPr>
  </w:style>
  <w:style w:type="character" w:customStyle="1" w:styleId="48">
    <w:name w:val="发布"/>
    <w:qFormat/>
    <w:uiPriority w:val="0"/>
    <w:rPr>
      <w:rFonts w:ascii="黑体" w:eastAsia="黑体"/>
      <w:spacing w:val="85"/>
      <w:w w:val="100"/>
      <w:position w:val="3"/>
      <w:sz w:val="28"/>
      <w:szCs w:val="28"/>
    </w:rPr>
  </w:style>
  <w:style w:type="character" w:customStyle="1" w:styleId="49">
    <w:name w:val="附录公式 Char"/>
    <w:link w:val="50"/>
    <w:qFormat/>
    <w:uiPriority w:val="0"/>
    <w:rPr>
      <w:lang w:val="en-US" w:eastAsia="zh-CN" w:bidi="ar-SA"/>
    </w:rPr>
  </w:style>
  <w:style w:type="paragraph" w:customStyle="1" w:styleId="50">
    <w:name w:val="附录公式"/>
    <w:basedOn w:val="22"/>
    <w:next w:val="22"/>
    <w:link w:val="49"/>
    <w:qFormat/>
    <w:uiPriority w:val="0"/>
    <w:rPr>
      <w:rFonts w:ascii="Times New Roman"/>
      <w:sz w:val="20"/>
    </w:rPr>
  </w:style>
  <w:style w:type="character" w:customStyle="1" w:styleId="51">
    <w:name w:val="章标题 Char"/>
    <w:link w:val="52"/>
    <w:qFormat/>
    <w:locked/>
    <w:uiPriority w:val="0"/>
    <w:rPr>
      <w:rFonts w:ascii="黑体" w:eastAsia="黑体"/>
      <w:sz w:val="21"/>
      <w:lang w:val="en-US" w:eastAsia="zh-CN" w:bidi="ar-SA"/>
    </w:rPr>
  </w:style>
  <w:style w:type="paragraph" w:customStyle="1" w:styleId="52">
    <w:name w:val="章标题"/>
    <w:next w:val="22"/>
    <w:link w:val="51"/>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3">
    <w:name w:val="一级条标题 Char"/>
    <w:link w:val="54"/>
    <w:qFormat/>
    <w:locked/>
    <w:uiPriority w:val="0"/>
    <w:rPr>
      <w:rFonts w:ascii="黑体" w:eastAsia="黑体"/>
      <w:sz w:val="21"/>
      <w:szCs w:val="21"/>
      <w:lang w:val="en-US" w:eastAsia="zh-CN" w:bidi="ar-SA"/>
    </w:rPr>
  </w:style>
  <w:style w:type="paragraph" w:customStyle="1" w:styleId="54">
    <w:name w:val="一级条标题"/>
    <w:next w:val="22"/>
    <w:link w:val="5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5">
    <w:name w:val="二级条标题 Char"/>
    <w:link w:val="56"/>
    <w:qFormat/>
    <w:locked/>
    <w:uiPriority w:val="0"/>
    <w:rPr>
      <w:rFonts w:ascii="黑体" w:eastAsia="黑体"/>
      <w:sz w:val="21"/>
      <w:szCs w:val="21"/>
    </w:rPr>
  </w:style>
  <w:style w:type="paragraph" w:customStyle="1" w:styleId="56">
    <w:name w:val="二级条标题"/>
    <w:basedOn w:val="54"/>
    <w:next w:val="22"/>
    <w:link w:val="55"/>
    <w:qFormat/>
    <w:uiPriority w:val="0"/>
    <w:pPr>
      <w:numPr>
        <w:ilvl w:val="2"/>
      </w:numPr>
      <w:spacing w:before="50" w:after="50"/>
      <w:outlineLvl w:val="3"/>
    </w:p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22"/>
    <w:link w:val="57"/>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二级无 Char"/>
    <w:link w:val="60"/>
    <w:qFormat/>
    <w:locked/>
    <w:uiPriority w:val="0"/>
    <w:rPr>
      <w:rFonts w:ascii="宋体"/>
      <w:sz w:val="21"/>
      <w:szCs w:val="21"/>
    </w:rPr>
  </w:style>
  <w:style w:type="paragraph" w:customStyle="1" w:styleId="60">
    <w:name w:val="二级无"/>
    <w:basedOn w:val="56"/>
    <w:link w:val="59"/>
    <w:qFormat/>
    <w:uiPriority w:val="0"/>
    <w:pPr>
      <w:spacing w:before="0" w:beforeLines="0" w:after="0" w:afterLines="0"/>
    </w:pPr>
    <w:rPr>
      <w:rFonts w:ascii="宋体" w:eastAsia="宋体"/>
    </w:rPr>
  </w:style>
  <w:style w:type="paragraph" w:customStyle="1" w:styleId="61">
    <w:name w:val="列项◆（三级）"/>
    <w:basedOn w:val="1"/>
    <w:qFormat/>
    <w:uiPriority w:val="0"/>
    <w:pPr>
      <w:numPr>
        <w:ilvl w:val="2"/>
        <w:numId w:val="5"/>
      </w:numPr>
    </w:pPr>
    <w:rPr>
      <w:rFonts w:ascii="宋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条文脚注"/>
    <w:basedOn w:val="23"/>
    <w:qFormat/>
    <w:uiPriority w:val="0"/>
    <w:pPr>
      <w:numPr>
        <w:numId w:val="0"/>
      </w:numPr>
      <w:jc w:val="both"/>
    </w:pPr>
  </w:style>
  <w:style w:type="paragraph" w:customStyle="1" w:styleId="6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封面标准文稿类别"/>
    <w:basedOn w:val="69"/>
    <w:qFormat/>
    <w:uiPriority w:val="0"/>
    <w:pPr>
      <w:framePr w:wrap="around"/>
      <w:spacing w:after="160" w:line="240" w:lineRule="auto"/>
    </w:pPr>
    <w:rPr>
      <w:sz w:val="24"/>
    </w:rPr>
  </w:style>
  <w:style w:type="paragraph" w:customStyle="1" w:styleId="69">
    <w:name w:val="封面一致性程度标识"/>
    <w:basedOn w:val="70"/>
    <w:qFormat/>
    <w:uiPriority w:val="99"/>
    <w:pPr>
      <w:framePr w:wrap="around"/>
      <w:spacing w:before="440"/>
    </w:pPr>
    <w:rPr>
      <w:rFonts w:ascii="宋体" w:eastAsia="宋体"/>
    </w:rPr>
  </w:style>
  <w:style w:type="paragraph" w:customStyle="1" w:styleId="70">
    <w:name w:val="封面标准英文名称"/>
    <w:basedOn w:val="71"/>
    <w:qFormat/>
    <w:uiPriority w:val="0"/>
    <w:pPr>
      <w:framePr w:wrap="around"/>
      <w:spacing w:before="370" w:line="400" w:lineRule="exact"/>
    </w:pPr>
    <w:rPr>
      <w:rFonts w:ascii="Times New Roman"/>
      <w:sz w:val="28"/>
      <w:szCs w:val="28"/>
    </w:rPr>
  </w:style>
  <w:style w:type="paragraph" w:customStyle="1" w:styleId="7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附录表标号"/>
    <w:basedOn w:val="1"/>
    <w:next w:val="22"/>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
    <w:basedOn w:val="75"/>
    <w:qFormat/>
    <w:uiPriority w:val="0"/>
    <w:pPr>
      <w:tabs>
        <w:tab w:val="left" w:pos="360"/>
      </w:tabs>
      <w:spacing w:before="0" w:beforeLines="0" w:after="0" w:afterLines="0"/>
    </w:pPr>
    <w:rPr>
      <w:rFonts w:ascii="宋体" w:eastAsia="宋体"/>
      <w:szCs w:val="21"/>
    </w:rPr>
  </w:style>
  <w:style w:type="paragraph" w:customStyle="1" w:styleId="75">
    <w:name w:val="附录四级条标题"/>
    <w:basedOn w:val="76"/>
    <w:next w:val="22"/>
    <w:qFormat/>
    <w:uiPriority w:val="0"/>
    <w:pPr>
      <w:numPr>
        <w:ilvl w:val="5"/>
      </w:numPr>
      <w:tabs>
        <w:tab w:val="left" w:pos="360"/>
      </w:tabs>
      <w:outlineLvl w:val="5"/>
    </w:pPr>
  </w:style>
  <w:style w:type="paragraph" w:customStyle="1" w:styleId="76">
    <w:name w:val="附录三级条标题"/>
    <w:basedOn w:val="77"/>
    <w:next w:val="22"/>
    <w:qFormat/>
    <w:uiPriority w:val="0"/>
    <w:pPr>
      <w:numPr>
        <w:ilvl w:val="4"/>
      </w:numPr>
      <w:tabs>
        <w:tab w:val="left" w:pos="360"/>
      </w:tabs>
      <w:outlineLvl w:val="4"/>
    </w:pPr>
  </w:style>
  <w:style w:type="paragraph" w:customStyle="1" w:styleId="77">
    <w:name w:val="附录二级条标题"/>
    <w:basedOn w:val="1"/>
    <w:next w:val="22"/>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8">
    <w:name w:val="三级条标题"/>
    <w:basedOn w:val="56"/>
    <w:next w:val="22"/>
    <w:qFormat/>
    <w:uiPriority w:val="0"/>
    <w:pPr>
      <w:numPr>
        <w:ilvl w:val="3"/>
      </w:numPr>
      <w:outlineLvl w:val="4"/>
    </w:pPr>
  </w:style>
  <w:style w:type="paragraph" w:customStyle="1" w:styleId="79">
    <w:name w:val="四级条标题"/>
    <w:basedOn w:val="78"/>
    <w:next w:val="22"/>
    <w:qFormat/>
    <w:uiPriority w:val="0"/>
    <w:pPr>
      <w:numPr>
        <w:ilvl w:val="4"/>
      </w:numPr>
      <w:outlineLvl w:val="5"/>
    </w:pPr>
  </w:style>
  <w:style w:type="paragraph" w:customStyle="1" w:styleId="80">
    <w:name w:val="示例×："/>
    <w:basedOn w:val="52"/>
    <w:qFormat/>
    <w:uiPriority w:val="0"/>
    <w:pPr>
      <w:numPr>
        <w:numId w:val="8"/>
      </w:numPr>
      <w:spacing w:before="0" w:beforeLines="0" w:after="0" w:afterLines="0"/>
      <w:outlineLvl w:val="9"/>
    </w:pPr>
    <w:rPr>
      <w:rFonts w:ascii="宋体" w:eastAsia="宋体"/>
      <w:sz w:val="18"/>
      <w:szCs w:val="18"/>
    </w:rPr>
  </w:style>
  <w:style w:type="paragraph" w:customStyle="1" w:styleId="81">
    <w:name w:val="其他标准标志"/>
    <w:basedOn w:val="82"/>
    <w:qFormat/>
    <w:uiPriority w:val="0"/>
    <w:pPr>
      <w:framePr w:w="6101" w:wrap="around"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附录标识"/>
    <w:basedOn w:val="1"/>
    <w:next w:val="22"/>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标准文稿编辑信息2"/>
    <w:basedOn w:val="87"/>
    <w:qFormat/>
    <w:uiPriority w:val="0"/>
    <w:pPr>
      <w:framePr w:wrap="around" w:y="4469"/>
    </w:pPr>
  </w:style>
  <w:style w:type="paragraph" w:customStyle="1" w:styleId="87">
    <w:name w:val="封面标准文稿编辑信息"/>
    <w:basedOn w:val="68"/>
    <w:qFormat/>
    <w:uiPriority w:val="0"/>
    <w:pPr>
      <w:framePr w:wrap="around"/>
      <w:spacing w:before="180" w:line="180" w:lineRule="exact"/>
    </w:pPr>
    <w:rPr>
      <w:sz w:val="21"/>
    </w:rPr>
  </w:style>
  <w:style w:type="paragraph" w:customStyle="1" w:styleId="88">
    <w:name w:val="封面标准英文名称2"/>
    <w:basedOn w:val="70"/>
    <w:qFormat/>
    <w:uiPriority w:val="0"/>
    <w:pPr>
      <w:framePr w:wrap="around" w:y="4469"/>
    </w:pPr>
  </w:style>
  <w:style w:type="paragraph" w:customStyle="1" w:styleId="89">
    <w:name w:val="封面一致性程度标识2"/>
    <w:basedOn w:val="69"/>
    <w:qFormat/>
    <w:uiPriority w:val="0"/>
    <w:pPr>
      <w:framePr w:wrap="around" w:y="4469"/>
    </w:pPr>
  </w:style>
  <w:style w:type="paragraph" w:customStyle="1" w:styleId="9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1">
    <w:name w:val="正文图标题"/>
    <w:next w:val="22"/>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其他实施日期"/>
    <w:basedOn w:val="93"/>
    <w:qFormat/>
    <w:uiPriority w:val="99"/>
    <w:pPr>
      <w:framePr w:wrap="around"/>
    </w:pPr>
  </w:style>
  <w:style w:type="paragraph" w:customStyle="1" w:styleId="93">
    <w:name w:val="实施日期"/>
    <w:basedOn w:val="66"/>
    <w:qFormat/>
    <w:uiPriority w:val="0"/>
    <w:pPr>
      <w:framePr w:wrap="around" w:vAnchor="page" w:hAnchor="text"/>
      <w:jc w:val="right"/>
    </w:pPr>
  </w:style>
  <w:style w:type="paragraph" w:customStyle="1" w:styleId="94">
    <w:name w:val="附录表标题"/>
    <w:basedOn w:val="1"/>
    <w:next w:val="22"/>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8">
    <w:name w:val="示例后文字"/>
    <w:basedOn w:val="22"/>
    <w:next w:val="22"/>
    <w:qFormat/>
    <w:uiPriority w:val="0"/>
    <w:pPr>
      <w:ind w:firstLine="360"/>
    </w:pPr>
    <w:rPr>
      <w:sz w:val="18"/>
    </w:rPr>
  </w:style>
  <w:style w:type="paragraph" w:customStyle="1" w:styleId="9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0">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1">
    <w:name w:val="附录五级条标题"/>
    <w:basedOn w:val="75"/>
    <w:next w:val="22"/>
    <w:qFormat/>
    <w:uiPriority w:val="0"/>
    <w:pPr>
      <w:numPr>
        <w:ilvl w:val="6"/>
      </w:numPr>
      <w:outlineLvl w:val="6"/>
    </w:pPr>
  </w:style>
  <w:style w:type="paragraph" w:customStyle="1" w:styleId="10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3">
    <w:name w:val="附录三级无"/>
    <w:basedOn w:val="76"/>
    <w:qFormat/>
    <w:uiPriority w:val="0"/>
    <w:pPr>
      <w:tabs>
        <w:tab w:val="clear" w:pos="360"/>
      </w:tabs>
      <w:spacing w:before="0" w:beforeLines="0" w:after="0" w:afterLines="0"/>
    </w:pPr>
    <w:rPr>
      <w:rFonts w:ascii="宋体" w:eastAsia="宋体"/>
      <w:szCs w:val="21"/>
    </w:rPr>
  </w:style>
  <w:style w:type="paragraph" w:customStyle="1" w:styleId="104">
    <w:name w:val="五级条标题"/>
    <w:basedOn w:val="79"/>
    <w:next w:val="22"/>
    <w:qFormat/>
    <w:uiPriority w:val="0"/>
    <w:pPr>
      <w:numPr>
        <w:ilvl w:val="5"/>
      </w:numPr>
      <w:outlineLvl w:val="6"/>
    </w:pPr>
  </w:style>
  <w:style w:type="paragraph" w:customStyle="1" w:styleId="105">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6">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7">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8">
    <w:name w:val="正文表标题"/>
    <w:next w:val="22"/>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其他发布部门"/>
    <w:basedOn w:val="105"/>
    <w:qFormat/>
    <w:uiPriority w:val="0"/>
    <w:pPr>
      <w:framePr w:wrap="around" w:y="15310"/>
      <w:spacing w:line="0" w:lineRule="atLeast"/>
    </w:pPr>
    <w:rPr>
      <w:rFonts w:ascii="黑体" w:eastAsia="黑体"/>
      <w:b w:val="0"/>
    </w:rPr>
  </w:style>
  <w:style w:type="paragraph" w:styleId="111">
    <w:name w:val="List Paragraph"/>
    <w:basedOn w:val="1"/>
    <w:qFormat/>
    <w:uiPriority w:val="34"/>
    <w:pPr>
      <w:ind w:firstLine="420" w:firstLineChars="200"/>
    </w:pPr>
    <w:rPr>
      <w:rFonts w:ascii="Calibri" w:hAnsi="Calibri"/>
      <w:szCs w:val="22"/>
    </w:rPr>
  </w:style>
  <w:style w:type="paragraph" w:customStyle="1" w:styleId="112">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3">
    <w:name w:val="其他发布日期"/>
    <w:basedOn w:val="66"/>
    <w:qFormat/>
    <w:uiPriority w:val="99"/>
    <w:pPr>
      <w:framePr w:wrap="around" w:vAnchor="page" w:hAnchor="text" w:x="1419"/>
    </w:p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一级无"/>
    <w:basedOn w:val="54"/>
    <w:qFormat/>
    <w:uiPriority w:val="0"/>
    <w:pPr>
      <w:spacing w:before="0" w:beforeLines="0" w:after="0" w:afterLines="0"/>
    </w:pPr>
    <w:rPr>
      <w:rFonts w:ascii="宋体" w:eastAsia="宋体"/>
    </w:rPr>
  </w:style>
  <w:style w:type="paragraph" w:customStyle="1" w:styleId="116">
    <w:name w:val="三级无"/>
    <w:basedOn w:val="78"/>
    <w:qFormat/>
    <w:uiPriority w:val="0"/>
    <w:pPr>
      <w:spacing w:before="0" w:beforeLines="0" w:after="0" w:afterLines="0"/>
    </w:pPr>
    <w:rPr>
      <w:rFonts w:ascii="宋体" w:eastAsia="宋体"/>
    </w:rPr>
  </w:style>
  <w:style w:type="paragraph" w:customStyle="1" w:styleId="117">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8">
    <w:name w:val="注："/>
    <w:next w:val="22"/>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19">
    <w:name w:val="封面标准文稿类别2"/>
    <w:basedOn w:val="68"/>
    <w:qFormat/>
    <w:uiPriority w:val="0"/>
    <w:pPr>
      <w:framePr w:wrap="around" w:y="4469"/>
    </w:pPr>
  </w:style>
  <w:style w:type="paragraph" w:customStyle="1" w:styleId="120">
    <w:name w:val="五级无"/>
    <w:basedOn w:val="104"/>
    <w:qFormat/>
    <w:uiPriority w:val="0"/>
    <w:pPr>
      <w:spacing w:before="0" w:beforeLines="0" w:after="0" w:afterLines="0"/>
    </w:pPr>
    <w:rPr>
      <w:rFonts w:ascii="宋体" w:eastAsia="宋体"/>
    </w:rPr>
  </w:style>
  <w:style w:type="paragraph" w:customStyle="1" w:styleId="12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2">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附录章标题"/>
    <w:next w:val="22"/>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封面标准名称2"/>
    <w:basedOn w:val="71"/>
    <w:qFormat/>
    <w:uiPriority w:val="0"/>
    <w:pPr>
      <w:framePr w:wrap="around" w:y="4469"/>
      <w:spacing w:before="630" w:beforeLines="630"/>
    </w:pPr>
  </w:style>
  <w:style w:type="paragraph" w:customStyle="1" w:styleId="12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7">
    <w:name w:val="四级无"/>
    <w:basedOn w:val="79"/>
    <w:qFormat/>
    <w:uiPriority w:val="0"/>
    <w:pPr>
      <w:spacing w:before="0" w:beforeLines="0" w:after="0" w:afterLines="0"/>
    </w:pPr>
    <w:rPr>
      <w:rFonts w:ascii="宋体" w:eastAsia="宋体"/>
    </w:rPr>
  </w:style>
  <w:style w:type="paragraph" w:customStyle="1" w:styleId="1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9">
    <w:name w:val="附录一级条标题"/>
    <w:basedOn w:val="124"/>
    <w:next w:val="22"/>
    <w:qFormat/>
    <w:uiPriority w:val="0"/>
    <w:pPr>
      <w:numPr>
        <w:ilvl w:val="2"/>
      </w:numPr>
      <w:autoSpaceDN w:val="0"/>
      <w:spacing w:before="50" w:beforeLines="50" w:after="50" w:afterLines="50"/>
      <w:outlineLvl w:val="2"/>
    </w:pPr>
  </w:style>
  <w:style w:type="paragraph" w:customStyle="1" w:styleId="130">
    <w:name w:val="附录标题"/>
    <w:basedOn w:val="22"/>
    <w:next w:val="22"/>
    <w:qFormat/>
    <w:uiPriority w:val="0"/>
    <w:pPr>
      <w:ind w:firstLine="0" w:firstLineChars="0"/>
      <w:jc w:val="center"/>
    </w:pPr>
    <w:rPr>
      <w:rFonts w:ascii="黑体" w:eastAsia="黑体"/>
    </w:rPr>
  </w:style>
  <w:style w:type="paragraph" w:customStyle="1" w:styleId="131">
    <w:name w:val="标准书眉_偶数页"/>
    <w:basedOn w:val="62"/>
    <w:next w:val="1"/>
    <w:qFormat/>
    <w:uiPriority w:val="0"/>
    <w:pPr>
      <w:jc w:val="left"/>
    </w:pPr>
  </w:style>
  <w:style w:type="paragraph" w:customStyle="1" w:styleId="13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3">
    <w:name w:val="注：（正文）"/>
    <w:basedOn w:val="118"/>
    <w:next w:val="22"/>
    <w:qFormat/>
    <w:uiPriority w:val="0"/>
  </w:style>
  <w:style w:type="paragraph" w:customStyle="1" w:styleId="134">
    <w:name w:val="附录图标题"/>
    <w:basedOn w:val="1"/>
    <w:next w:val="22"/>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5">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6">
    <w:name w:val="示例"/>
    <w:next w:val="9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7">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8">
    <w:name w:val="封面正文"/>
    <w:qFormat/>
    <w:uiPriority w:val="0"/>
    <w:pPr>
      <w:jc w:val="both"/>
    </w:pPr>
    <w:rPr>
      <w:rFonts w:ascii="Times New Roman" w:hAnsi="Times New Roman" w:eastAsia="宋体" w:cs="Times New Roman"/>
      <w:lang w:val="en-US" w:eastAsia="zh-CN" w:bidi="ar-SA"/>
    </w:rPr>
  </w:style>
  <w:style w:type="paragraph" w:customStyle="1" w:styleId="139">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40">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1">
    <w:name w:val="附录五级无"/>
    <w:basedOn w:val="101"/>
    <w:qFormat/>
    <w:uiPriority w:val="0"/>
    <w:pPr>
      <w:tabs>
        <w:tab w:val="clear" w:pos="360"/>
      </w:tabs>
      <w:spacing w:before="0" w:beforeLines="0" w:after="0" w:afterLines="0"/>
    </w:pPr>
    <w:rPr>
      <w:rFonts w:ascii="宋体" w:eastAsia="宋体"/>
      <w:szCs w:val="21"/>
    </w:rPr>
  </w:style>
  <w:style w:type="paragraph" w:customStyle="1" w:styleId="142">
    <w:name w:val="Char Char Char Char"/>
    <w:basedOn w:val="1"/>
    <w:qFormat/>
    <w:uiPriority w:val="0"/>
    <w:pPr>
      <w:adjustRightInd w:val="0"/>
      <w:spacing w:line="360" w:lineRule="auto"/>
    </w:pPr>
    <w:rPr>
      <w:kern w:val="0"/>
      <w:sz w:val="24"/>
      <w:szCs w:val="20"/>
    </w:rPr>
  </w:style>
  <w:style w:type="paragraph" w:customStyle="1" w:styleId="143">
    <w:name w:val="图表脚注说明"/>
    <w:basedOn w:val="1"/>
    <w:qFormat/>
    <w:uiPriority w:val="0"/>
    <w:pPr>
      <w:numPr>
        <w:ilvl w:val="0"/>
        <w:numId w:val="2"/>
      </w:numPr>
    </w:pPr>
    <w:rPr>
      <w:rFonts w:ascii="宋体"/>
      <w:sz w:val="18"/>
      <w:szCs w:val="18"/>
    </w:rPr>
  </w:style>
  <w:style w:type="paragraph" w:customStyle="1" w:styleId="144">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5">
    <w:name w:val="图标脚注说明"/>
    <w:basedOn w:val="22"/>
    <w:qFormat/>
    <w:uiPriority w:val="0"/>
    <w:pPr>
      <w:ind w:left="840" w:hanging="420" w:firstLineChars="0"/>
    </w:pPr>
    <w:rPr>
      <w:sz w:val="18"/>
      <w:szCs w:val="18"/>
    </w:rPr>
  </w:style>
  <w:style w:type="paragraph" w:customStyle="1" w:styleId="146">
    <w:name w:val="附录二级无"/>
    <w:basedOn w:val="77"/>
    <w:qFormat/>
    <w:uiPriority w:val="0"/>
    <w:pPr>
      <w:tabs>
        <w:tab w:val="clear" w:pos="360"/>
      </w:tabs>
      <w:spacing w:before="0" w:beforeLines="0" w:after="0" w:afterLines="0"/>
    </w:pPr>
    <w:rPr>
      <w:rFonts w:ascii="宋体" w:eastAsia="宋体"/>
      <w:szCs w:val="21"/>
    </w:rPr>
  </w:style>
  <w:style w:type="paragraph" w:customStyle="1" w:styleId="14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8">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9">
    <w:name w:val="正文公式编号制表符"/>
    <w:basedOn w:val="22"/>
    <w:next w:val="22"/>
    <w:qFormat/>
    <w:uiPriority w:val="0"/>
    <w:pPr>
      <w:ind w:firstLine="0" w:firstLineChars="0"/>
    </w:pPr>
  </w:style>
  <w:style w:type="character" w:customStyle="1" w:styleId="150">
    <w:name w:val="font41"/>
    <w:qFormat/>
    <w:uiPriority w:val="0"/>
    <w:rPr>
      <w:rFonts w:hint="eastAsia" w:ascii="黑体" w:hAnsi="宋体" w:eastAsia="黑体" w:cs="黑体"/>
      <w:b/>
      <w:bCs/>
      <w:color w:val="000000"/>
      <w:sz w:val="24"/>
      <w:szCs w:val="24"/>
      <w:u w:val="none"/>
    </w:rPr>
  </w:style>
  <w:style w:type="character" w:customStyle="1" w:styleId="151">
    <w:name w:val="font31"/>
    <w:qFormat/>
    <w:uiPriority w:val="0"/>
    <w:rPr>
      <w:rFonts w:hint="eastAsia" w:ascii="黑体" w:hAnsi="宋体" w:eastAsia="黑体" w:cs="黑体"/>
      <w:color w:val="000000"/>
      <w:sz w:val="22"/>
      <w:szCs w:val="22"/>
      <w:u w:val="none"/>
    </w:rPr>
  </w:style>
  <w:style w:type="character" w:customStyle="1" w:styleId="152">
    <w:name w:val="font01"/>
    <w:qFormat/>
    <w:uiPriority w:val="0"/>
    <w:rPr>
      <w:rFonts w:hint="eastAsia" w:ascii="宋体" w:hAnsi="宋体" w:eastAsia="宋体" w:cs="宋体"/>
      <w:color w:val="000000"/>
      <w:sz w:val="22"/>
      <w:szCs w:val="22"/>
      <w:u w:val="none"/>
    </w:rPr>
  </w:style>
  <w:style w:type="paragraph" w:customStyle="1" w:styleId="1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54">
    <w:name w:val="_Style 153"/>
    <w:unhideWhenUsed/>
    <w:qFormat/>
    <w:uiPriority w:val="99"/>
    <w:rPr>
      <w:rFonts w:ascii="Times New Roman" w:hAnsi="Times New Roman" w:eastAsia="宋体" w:cs="Times New Roman"/>
      <w:kern w:val="2"/>
      <w:sz w:val="21"/>
      <w:szCs w:val="24"/>
      <w:lang w:val="en-US" w:eastAsia="zh-CN" w:bidi="ar-SA"/>
    </w:rPr>
  </w:style>
  <w:style w:type="character" w:customStyle="1" w:styleId="155">
    <w:name w:val="fontstyle01"/>
    <w:qFormat/>
    <w:uiPriority w:val="0"/>
    <w:rPr>
      <w:rFonts w:hint="eastAsia" w:ascii="宋体" w:hAnsi="宋体" w:eastAsia="宋体"/>
      <w:color w:val="000000"/>
      <w:sz w:val="22"/>
      <w:szCs w:val="22"/>
    </w:rPr>
  </w:style>
  <w:style w:type="character" w:customStyle="1" w:styleId="156">
    <w:name w:val="fontstyle21"/>
    <w:qFormat/>
    <w:uiPriority w:val="0"/>
    <w:rPr>
      <w:rFonts w:hint="eastAsia" w:ascii="黑体" w:hAnsi="黑体" w:eastAsia="黑体"/>
      <w:color w:val="000000"/>
      <w:sz w:val="22"/>
      <w:szCs w:val="22"/>
    </w:rPr>
  </w:style>
  <w:style w:type="paragraph" w:customStyle="1" w:styleId="157">
    <w:name w:val="msolistparagraph"/>
    <w:basedOn w:val="1"/>
    <w:qFormat/>
    <w:uiPriority w:val="0"/>
    <w:pPr>
      <w:ind w:firstLine="420" w:firstLineChars="200"/>
    </w:pPr>
  </w:style>
  <w:style w:type="paragraph" w:customStyle="1" w:styleId="158">
    <w:name w:val="正文2"/>
    <w:qFormat/>
    <w:uiPriority w:val="0"/>
    <w:pPr>
      <w:jc w:val="both"/>
    </w:pPr>
    <w:rPr>
      <w:rFonts w:ascii="Calibri" w:hAnsi="Calibri" w:eastAsia="宋体" w:cs="Calibri"/>
      <w:kern w:val="2"/>
      <w:sz w:val="21"/>
      <w:szCs w:val="21"/>
      <w:lang w:val="en-US" w:eastAsia="zh-CN" w:bidi="ar-SA"/>
    </w:rPr>
  </w:style>
  <w:style w:type="paragraph" w:customStyle="1" w:styleId="159">
    <w:name w:val="Other|1"/>
    <w:basedOn w:val="1"/>
    <w:qFormat/>
    <w:uiPriority w:val="0"/>
    <w:pPr>
      <w:spacing w:after="120" w:line="372" w:lineRule="auto"/>
      <w:ind w:firstLine="400"/>
      <w:jc w:val="left"/>
    </w:pPr>
    <w:rPr>
      <w:rFonts w:ascii="宋体" w:hAnsi="宋体" w:cs="宋体"/>
      <w:color w:val="000000"/>
      <w:kern w:val="0"/>
      <w:sz w:val="18"/>
      <w:szCs w:val="18"/>
    </w:rPr>
  </w:style>
  <w:style w:type="character" w:styleId="160">
    <w:name w:val="Placeholder Text"/>
    <w:basedOn w:val="35"/>
    <w:semiHidden/>
    <w:qFormat/>
    <w:uiPriority w:val="99"/>
    <w:rPr>
      <w:color w:val="808080"/>
    </w:rPr>
  </w:style>
  <w:style w:type="character" w:customStyle="1" w:styleId="161">
    <w:name w:val="fontstyle11"/>
    <w:basedOn w:val="35"/>
    <w:qFormat/>
    <w:uiPriority w:val="0"/>
    <w:rPr>
      <w:rFonts w:hint="default" w:ascii="Times New Roman" w:hAnsi="Times New Roman" w:cs="Times New Roman"/>
      <w:color w:val="000000"/>
      <w:sz w:val="22"/>
      <w:szCs w:val="22"/>
    </w:rPr>
  </w:style>
  <w:style w:type="character" w:customStyle="1" w:styleId="162">
    <w:name w:val="fontstyle31"/>
    <w:basedOn w:val="35"/>
    <w:qFormat/>
    <w:uiPriority w:val="0"/>
    <w:rPr>
      <w:rFonts w:ascii="TimesNewRomanPSMT" w:hAnsi="TimesNewRomanPSMT" w:eastAsia="TimesNewRomanPSMT" w:cs="TimesNewRomanPSMT"/>
      <w:color w:val="00000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2970B-6EFE-4533-B799-F568DFB53676}">
  <ds:schemaRefs/>
</ds:datastoreItem>
</file>

<file path=docProps/app.xml><?xml version="1.0" encoding="utf-8"?>
<Properties xmlns="http://schemas.openxmlformats.org/officeDocument/2006/extended-properties" xmlns:vt="http://schemas.openxmlformats.org/officeDocument/2006/docPropsVTypes">
  <Template>Normal</Template>
  <Pages>9</Pages>
  <Words>2434</Words>
  <Characters>2824</Characters>
  <Lines>26</Lines>
  <Paragraphs>7</Paragraphs>
  <TotalTime>735</TotalTime>
  <ScaleCrop>false</ScaleCrop>
  <LinksUpToDate>false</LinksUpToDate>
  <CharactersWithSpaces>2885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2022-01-16T13:11:00Z</dcterms:created>
  <cp:lastPrinted>2021-11-10T08:05:00Z</cp:lastPrinted>
  <dcterms:modified xsi:type="dcterms:W3CDTF">2023-11-01T00:43:51Z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1B2AC173E72B4358A06FAB0B807AED50_13</vt:lpwstr>
  </property>
</Properties>
</file>