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round" w:vAnchor="margin" w:hAnchor="margin" w:y="1"/>
        <w:widowControl w:val="0"/>
        <w:spacing w:line="240" w:lineRule="auto"/>
        <w:ind w:firstLine="0" w:firstLineChars="0"/>
        <w:textAlignment w:val="center"/>
        <w:rPr>
          <w:rFonts w:hint="eastAsia" w:ascii="黑体" w:hAnsi="Times New Roman" w:eastAsia="黑体" w:cs="Times New Roman"/>
          <w:color w:val="auto"/>
          <w:sz w:val="21"/>
          <w:szCs w:val="21"/>
          <w:highlight w:val="none"/>
          <w:lang w:val="en-US" w:eastAsia="zh-CN" w:bidi="ar-SA"/>
        </w:rPr>
      </w:pPr>
      <w:r>
        <w:rPr>
          <w:rFonts w:hint="eastAsia" w:ascii="黑体" w:hAnsi="Times New Roman" w:eastAsia="黑体" w:cs="Times New Roman"/>
          <w:color w:val="auto"/>
          <w:sz w:val="21"/>
          <w:szCs w:val="21"/>
          <w:highlight w:val="none"/>
          <w:lang w:val="en-US" w:eastAsia="zh-CN" w:bidi="ar-SA"/>
        </w:rPr>
        <w:t>ICS 13.020.01</w:t>
      </w:r>
    </w:p>
    <w:p>
      <w:pPr>
        <w:framePr w:wrap="around" w:vAnchor="margin" w:hAnchor="margin" w:y="1"/>
        <w:widowControl w:val="0"/>
        <w:spacing w:line="240" w:lineRule="auto"/>
        <w:ind w:firstLine="0" w:firstLineChars="0"/>
        <w:textAlignment w:val="center"/>
        <w:rPr>
          <w:rFonts w:hint="default" w:ascii="黑体" w:hAnsi="Times New Roman" w:eastAsia="黑体" w:cs="Times New Roman"/>
          <w:color w:val="auto"/>
          <w:sz w:val="21"/>
          <w:szCs w:val="21"/>
          <w:highlight w:val="none"/>
          <w:lang w:val="en-US" w:eastAsia="zh-CN" w:bidi="ar-SA"/>
        </w:rPr>
      </w:pPr>
      <w:r>
        <w:rPr>
          <w:rFonts w:hint="eastAsia" w:ascii="黑体" w:hAnsi="Times New Roman" w:eastAsia="黑体" w:cs="Times New Roman"/>
          <w:color w:val="auto"/>
          <w:sz w:val="21"/>
          <w:szCs w:val="21"/>
          <w:highlight w:val="none"/>
          <w:lang w:val="en-US" w:eastAsia="zh-CN" w:bidi="ar-SA"/>
        </w:rPr>
        <w:t xml:space="preserve">CCS Z 00 </w:t>
      </w:r>
    </w:p>
    <w:p>
      <w:pPr>
        <w:spacing w:line="240" w:lineRule="auto"/>
        <w:rPr>
          <w:rFonts w:ascii="Times New Roman" w:hAnsi="Times New Roman" w:eastAsia="黑体"/>
          <w:color w:val="auto"/>
          <w:szCs w:val="21"/>
          <w:highlight w:val="none"/>
        </w:rPr>
      </w:pPr>
    </w:p>
    <w:p>
      <w:pPr>
        <w:spacing w:line="240" w:lineRule="auto"/>
        <w:ind w:firstLine="420"/>
        <w:rPr>
          <w:rFonts w:ascii="Times New Roman" w:hAnsi="Times New Roman" w:eastAsia="黑体"/>
          <w:color w:val="auto"/>
          <w:szCs w:val="21"/>
          <w:highlight w:val="none"/>
        </w:rPr>
      </w:pPr>
    </w:p>
    <w:tbl>
      <w:tblPr>
        <w:tblStyle w:val="10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6"/>
              <w:framePr w:w="9139" w:hSpace="283" w:y="2909"/>
              <w:rPr>
                <w:rFonts w:ascii="黑体" w:hAnsi="黑体" w:eastAsia="黑体" w:cs="Times New Roman"/>
                <w:bCs/>
                <w:color w:val="auto"/>
                <w:sz w:val="28"/>
                <w:highlight w:val="none"/>
              </w:rPr>
            </w:pPr>
          </w:p>
          <w:p>
            <w:pPr>
              <w:pStyle w:val="26"/>
              <w:framePr w:w="9139" w:hSpace="283" w:y="2909"/>
              <w:rPr>
                <w:rFonts w:hint="default" w:ascii="黑体" w:hAnsi="黑体" w:eastAsia="黑体" w:cs="Times New Roman"/>
                <w:bCs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  <w:sz w:val="28"/>
                <w:highlight w:val="none"/>
                <w:lang w:eastAsia="zh-CN"/>
              </w:rPr>
              <w:t>T/IPIF 0024</w:t>
            </w:r>
            <w:r>
              <w:rPr>
                <w:rFonts w:hint="eastAsia" w:ascii="黑体" w:hAnsi="黑体" w:eastAsia="黑体" w:cs="Times New Roman"/>
                <w:bCs/>
                <w:color w:val="auto"/>
                <w:sz w:val="28"/>
                <w:highlight w:val="none"/>
              </w:rPr>
              <w:t>—20</w:t>
            </w:r>
            <w:r>
              <w:rPr>
                <w:rFonts w:hint="eastAsia" w:ascii="黑体" w:hAnsi="黑体" w:eastAsia="黑体" w:cs="Times New Roman"/>
                <w:bCs/>
                <w:color w:val="auto"/>
                <w:sz w:val="28"/>
                <w:highlight w:val="none"/>
                <w:lang w:val="en-US" w:eastAsia="zh-CN"/>
              </w:rPr>
              <w:t>23</w:t>
            </w:r>
          </w:p>
          <w:p>
            <w:pPr>
              <w:pStyle w:val="26"/>
              <w:framePr w:w="9139" w:hSpace="283" w:y="2909"/>
              <w:rPr>
                <w:rFonts w:hint="eastAsia" w:ascii="黑体" w:hAnsi="黑体" w:eastAsia="黑体" w:cs="Times New Roman"/>
                <w:color w:val="auto"/>
                <w:highlight w:val="none"/>
              </w:rPr>
            </w:pPr>
          </w:p>
        </w:tc>
      </w:tr>
    </w:tbl>
    <w:p>
      <w:pPr>
        <w:pStyle w:val="18"/>
        <w:framePr w:w="9139" w:hSpace="283" w:y="2909"/>
        <w:rPr>
          <w:rFonts w:hAnsi="黑体" w:cs="Times New Roman"/>
          <w:color w:val="auto"/>
          <w:highlight w:val="none"/>
        </w:rPr>
      </w:pPr>
    </w:p>
    <w:p>
      <w:pPr>
        <w:pStyle w:val="18"/>
        <w:framePr w:w="9139" w:hSpace="283" w:y="2909"/>
        <w:rPr>
          <w:rFonts w:hAnsi="黑体" w:cs="Times New Roman"/>
          <w:color w:val="auto"/>
          <w:highlight w:val="none"/>
        </w:rPr>
      </w:pPr>
    </w:p>
    <w:p>
      <w:pPr>
        <w:pStyle w:val="15"/>
        <w:framePr w:w="6344" w:h="1076" w:hRule="exact" w:hSpace="0" w:vSpace="0" w:wrap="around" w:x="2237" w:y="1517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40" w:lineRule="auto"/>
        <w:jc w:val="distribute"/>
        <w:rPr>
          <w:rFonts w:hint="eastAsia" w:eastAsia="黑体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eastAsia="黑体"/>
          <w:b w:val="0"/>
          <w:bCs/>
          <w:color w:val="auto"/>
          <w:sz w:val="28"/>
          <w:szCs w:val="28"/>
          <w:highlight w:val="none"/>
        </w:rPr>
        <w:t>广东省知识产权投融资促进</w:t>
      </w:r>
      <w:r>
        <w:rPr>
          <w:rFonts w:hint="eastAsia" w:eastAsia="黑体"/>
          <w:b w:val="0"/>
          <w:bCs/>
          <w:color w:val="auto"/>
          <w:sz w:val="28"/>
          <w:szCs w:val="28"/>
          <w:highlight w:val="none"/>
          <w:lang w:val="en-US" w:eastAsia="zh-CN"/>
        </w:rPr>
        <w:t>会</w:t>
      </w:r>
    </w:p>
    <w:p>
      <w:pPr>
        <w:pStyle w:val="17"/>
        <w:framePr w:x="1418" w:y="2439"/>
        <w:rPr>
          <w:rFonts w:hint="eastAsia" w:ascii="Times New Roman" w:hAnsi="Times New Roman" w:cs="Times New Roman"/>
          <w:color w:val="auto"/>
          <w:highlight w:val="none"/>
        </w:rPr>
      </w:pPr>
      <w:r>
        <w:rPr>
          <w:rFonts w:hint="eastAsia" w:cs="Times New Roman"/>
          <w:color w:val="auto"/>
          <w:highlight w:val="none"/>
          <w:lang w:val="en-US" w:eastAsia="zh-CN"/>
        </w:rPr>
        <w:t xml:space="preserve"> </w:t>
      </w:r>
      <w:r>
        <w:rPr>
          <w:rFonts w:hint="eastAsia" w:cs="Times New Roman"/>
          <w:color w:val="auto"/>
          <w:highlight w:val="none"/>
        </w:rPr>
        <w:t>团体标准</w:t>
      </w:r>
    </w:p>
    <w:p>
      <w:pPr>
        <w:pStyle w:val="19"/>
        <w:framePr w:w="9638" w:h="6916" w:hRule="exact" w:wrap="around" w:vAnchor="page" w:hAnchor="margin" w:y="6407"/>
        <w:rPr>
          <w:rFonts w:hint="eastAsia" w:cs="Times New Roman"/>
          <w:color w:val="auto"/>
          <w:sz w:val="44"/>
          <w:szCs w:val="44"/>
          <w:highlight w:val="none"/>
          <w:lang w:val="en-US" w:eastAsia="zh-CN"/>
        </w:rPr>
      </w:pPr>
      <w:bookmarkStart w:id="0" w:name="OLE_LINK1"/>
      <w:r>
        <w:rPr>
          <w:rFonts w:hint="eastAsia" w:cs="Times New Roman"/>
          <w:color w:val="auto"/>
          <w:highlight w:val="none"/>
          <w:lang w:val="en-US" w:eastAsia="zh-CN"/>
        </w:rPr>
        <w:t>气候投融资数字化平台建设指南</w:t>
      </w:r>
    </w:p>
    <w:bookmarkEnd w:id="0"/>
    <w:tbl>
      <w:tblPr>
        <w:tblStyle w:val="10"/>
        <w:tblW w:w="9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7"/>
              <w:keepNext w:val="0"/>
              <w:keepLines w:val="0"/>
              <w:pageBreakBefore w:val="0"/>
              <w:framePr w:w="9638" w:h="6916" w:hRule="exact" w:wrap="around" w:vAnchor="page" w:hAnchor="margin" w:y="6407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Guidelines for the construction of digital platforms for climate investment and financing</w:t>
            </w:r>
          </w:p>
          <w:p>
            <w:pPr>
              <w:pStyle w:val="27"/>
              <w:keepNext w:val="0"/>
              <w:keepLines w:val="0"/>
              <w:pageBreakBefore w:val="0"/>
              <w:framePr w:w="9638" w:h="6916" w:hRule="exact" w:wrap="around" w:vAnchor="page" w:hAnchor="margin" w:y="6407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/>
              </w:rPr>
              <w:t>征求意见稿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  <w:p>
            <w:pPr>
              <w:pStyle w:val="27"/>
              <w:keepNext w:val="0"/>
              <w:keepLines w:val="0"/>
              <w:pageBreakBefore w:val="0"/>
              <w:framePr w:w="9638" w:h="6916" w:hRule="exact" w:wrap="around" w:vAnchor="page" w:hAnchor="margin" w:y="6407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/>
              <w:textAlignment w:val="center"/>
              <w:rPr>
                <w:rFonts w:hint="eastAsia" w:ascii="黑体" w:hAnsi="黑体" w:eastAsia="黑体" w:cs="黑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8"/>
              <w:framePr w:w="9638" w:h="6916" w:hRule="exact" w:wrap="around" w:vAnchor="page" w:hAnchor="margin" w:y="6407"/>
              <w:rPr>
                <w:rFonts w:hAnsi="Times New Roman" w:cs="Times New Roman"/>
                <w:color w:val="auto"/>
                <w:highlight w:val="none"/>
              </w:rPr>
            </w:pPr>
          </w:p>
        </w:tc>
      </w:tr>
    </w:tbl>
    <w:p>
      <w:pPr>
        <w:pStyle w:val="23"/>
        <w:framePr w:w="9781" w:h="751" w:hRule="exact" w:x="1253" w:y="13861"/>
        <w:spacing w:before="156" w:after="156"/>
        <w:jc w:val="center"/>
        <w:rPr>
          <w:rFonts w:hint="eastAsia" w:ascii="黑体" w:hAnsi="黑体" w:cs="黑体"/>
          <w:color w:val="auto"/>
          <w:highlight w:val="none"/>
        </w:rPr>
      </w:pPr>
      <w:r>
        <w:rPr>
          <w:rFonts w:hint="eastAsia" w:ascii="黑体" w:hAnsi="黑体" w:cs="黑体"/>
          <w:color w:val="auto"/>
          <w:highlight w:val="none"/>
        </w:rPr>
        <w:t>202</w:t>
      </w:r>
      <w:r>
        <w:rPr>
          <w:rFonts w:hint="eastAsia" w:ascii="黑体" w:hAnsi="黑体" w:cs="黑体"/>
          <w:color w:val="auto"/>
          <w:highlight w:val="none"/>
          <w:lang w:val="en-US" w:eastAsia="zh-CN"/>
        </w:rPr>
        <w:t>3</w:t>
      </w:r>
      <w:r>
        <w:rPr>
          <w:rFonts w:hint="eastAsia" w:ascii="黑体" w:hAnsi="黑体" w:cs="黑体"/>
          <w:color w:val="auto"/>
          <w:highlight w:val="none"/>
        </w:rPr>
        <w:t>-</w:t>
      </w:r>
      <w:r>
        <w:rPr>
          <w:rFonts w:hint="eastAsia" w:ascii="黑体" w:hAnsi="黑体" w:cs="黑体"/>
          <w:color w:val="auto"/>
          <w:highlight w:val="none"/>
          <w:lang w:val="en-US" w:eastAsia="zh-CN"/>
        </w:rPr>
        <w:t>06</w:t>
      </w:r>
      <w:r>
        <w:rPr>
          <w:rFonts w:hint="eastAsia" w:ascii="黑体" w:hAnsi="黑体" w:cs="黑体"/>
          <w:color w:val="auto"/>
          <w:highlight w:val="none"/>
        </w:rPr>
        <w:t>-</w:t>
      </w:r>
      <w:r>
        <w:rPr>
          <w:rFonts w:hint="eastAsia" w:ascii="黑体" w:hAnsi="黑体" w:cs="黑体"/>
          <w:color w:val="auto"/>
          <w:highlight w:val="none"/>
          <w:lang w:val="en-US" w:eastAsia="zh-CN"/>
        </w:rPr>
        <w:t>30</w:t>
      </w:r>
      <w:r>
        <w:rPr>
          <w:rFonts w:hint="eastAsia" w:ascii="黑体" w:hAnsi="黑体" w:cs="黑体"/>
          <w:color w:val="auto"/>
          <w:highlight w:val="none"/>
        </w:rPr>
        <w:t xml:space="preserve">发布           </w:t>
      </w:r>
      <w:r>
        <w:rPr>
          <w:rFonts w:hint="eastAsia" w:ascii="黑体" w:hAnsi="黑体" w:cs="黑体"/>
          <w:color w:val="auto"/>
          <w:highlight w:val="none"/>
          <w:lang w:val="en-US" w:eastAsia="zh-CN"/>
        </w:rPr>
        <w:t xml:space="preserve">  </w:t>
      </w:r>
      <w:r>
        <w:rPr>
          <w:rFonts w:hint="eastAsia" w:ascii="黑体" w:hAnsi="黑体" w:cs="黑体"/>
          <w:color w:val="auto"/>
          <w:highlight w:val="none"/>
        </w:rPr>
        <w:t xml:space="preserve">                          202</w:t>
      </w:r>
      <w:r>
        <w:rPr>
          <w:rFonts w:hint="eastAsia" w:ascii="黑体" w:hAnsi="黑体" w:cs="黑体"/>
          <w:color w:val="auto"/>
          <w:highlight w:val="none"/>
          <w:lang w:val="en-US" w:eastAsia="zh-CN"/>
        </w:rPr>
        <w:t>3</w:t>
      </w:r>
      <w:r>
        <w:rPr>
          <w:rFonts w:hint="eastAsia" w:ascii="黑体" w:hAnsi="黑体" w:cs="黑体"/>
          <w:color w:val="auto"/>
          <w:highlight w:val="none"/>
        </w:rPr>
        <w:t>-</w:t>
      </w:r>
      <w:r>
        <w:rPr>
          <w:rFonts w:hint="eastAsia" w:ascii="黑体" w:hAnsi="黑体" w:cs="黑体"/>
          <w:color w:val="auto"/>
          <w:highlight w:val="none"/>
          <w:lang w:val="en-US" w:eastAsia="zh-CN"/>
        </w:rPr>
        <w:t>06</w:t>
      </w:r>
      <w:r>
        <w:rPr>
          <w:rFonts w:hint="eastAsia" w:ascii="黑体" w:hAnsi="黑体" w:cs="黑体"/>
          <w:color w:val="auto"/>
          <w:highlight w:val="none"/>
        </w:rPr>
        <w:t>-</w:t>
      </w:r>
      <w:r>
        <w:rPr>
          <w:rFonts w:hint="eastAsia" w:ascii="黑体" w:hAnsi="黑体" w:cs="黑体"/>
          <w:color w:val="auto"/>
          <w:highlight w:val="none"/>
          <w:lang w:val="en-US" w:eastAsia="zh-CN"/>
        </w:rPr>
        <w:t>30</w:t>
      </w:r>
      <w:r>
        <w:rPr>
          <w:rFonts w:hint="eastAsia" w:ascii="黑体" w:hAnsi="黑体" w:cs="黑体"/>
          <w:color w:val="auto"/>
          <w:highlight w:val="none"/>
        </w:rPr>
        <w:t>实施</w:t>
      </w:r>
    </w:p>
    <w:p>
      <w:pPr>
        <w:pStyle w:val="21"/>
        <w:framePr w:w="9781" w:h="751" w:hRule="exact" w:x="1253" w:y="13861"/>
        <w:spacing w:before="156" w:after="156"/>
        <w:rPr>
          <w:rFonts w:hint="eastAsia" w:ascii="黑体" w:hAnsi="黑体" w:cs="黑体"/>
          <w:color w:val="auto"/>
          <w:highlight w:val="none"/>
        </w:rPr>
      </w:pPr>
      <w:r>
        <w:rPr>
          <w:rFonts w:hint="eastAsia" w:ascii="黑体" w:hAnsi="黑体" w:cs="黑体"/>
          <w:color w:val="auto"/>
          <w:highlight w:val="none"/>
        </w:rPr>
        <mc:AlternateContent>
          <mc:Choice Requires="wps">
            <w:drawing>
              <wp:anchor distT="0" distB="0" distL="0" distR="0" simplePos="0" relativeHeight="251659264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0" t="0" r="0" b="0"/>
                <wp:wrapNone/>
                <wp:docPr id="102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margin-left:-0.05pt;margin-top:728.5pt;height:0pt;width:481.9pt;mso-position-vertical-relative:page;z-index:251659264;mso-width-relative:page;mso-height-relative:page;" filled="f" stroked="t" coordsize="21600,21600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lh2s81gAAAAsBAAAPAAAAAAAAAAEAIAAAACIAAABkcnMvZG93bnJldi54bWxQSwECFAAU&#10;AAAACACHTuJA3ZpVv/MBAADlAwAADgAAAAAAAAABACAAAAAl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15"/>
        <w:framePr w:w="6344" w:h="1076" w:hRule="exact" w:hSpace="0" w:vSpace="0" w:wrap="around" w:x="2237" w:y="15176"/>
        <w:spacing w:line="240" w:lineRule="auto"/>
        <w:jc w:val="distribute"/>
        <w:rPr>
          <w:rFonts w:hint="eastAsia" w:eastAsia="黑体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eastAsia="黑体"/>
          <w:b w:val="0"/>
          <w:bCs/>
          <w:color w:val="auto"/>
          <w:sz w:val="28"/>
          <w:szCs w:val="28"/>
          <w:highlight w:val="none"/>
        </w:rPr>
        <w:t>广东省知识产权投融资促进</w:t>
      </w:r>
      <w:r>
        <w:rPr>
          <w:rFonts w:hint="eastAsia" w:eastAsia="黑体"/>
          <w:b w:val="0"/>
          <w:bCs/>
          <w:color w:val="auto"/>
          <w:sz w:val="28"/>
          <w:szCs w:val="28"/>
          <w:highlight w:val="none"/>
          <w:lang w:val="en-US" w:eastAsia="zh-CN"/>
        </w:rPr>
        <w:t>会</w:t>
      </w:r>
    </w:p>
    <w:p>
      <w:pPr>
        <w:tabs>
          <w:tab w:val="center" w:pos="4737"/>
          <w:tab w:val="right" w:pos="9355"/>
        </w:tabs>
        <w:spacing w:before="640" w:after="560" w:line="240" w:lineRule="auto"/>
        <w:ind w:firstLine="0" w:firstLineChars="0"/>
        <w:jc w:val="center"/>
        <w:outlineLvl w:val="0"/>
        <w:rPr>
          <w:rFonts w:hint="eastAsia" w:ascii="黑体" w:hAnsi="黑体" w:eastAsia="黑体" w:cs="黑体"/>
          <w:color w:val="auto"/>
          <w:sz w:val="28"/>
          <w:highlight w:val="none"/>
        </w:rPr>
        <w:sectPr>
          <w:headerReference r:id="rId4" w:type="first"/>
          <w:footerReference r:id="rId5" w:type="default"/>
          <w:headerReference r:id="rId3" w:type="even"/>
          <w:footerReference r:id="rId6" w:type="even"/>
          <w:pgSz w:w="11906" w:h="16838"/>
          <w:pgMar w:top="567" w:right="850" w:bottom="1134" w:left="1417" w:header="1417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rtlGutter w:val="0"/>
          <w:docGrid w:type="lines" w:linePitch="316" w:charSpace="0"/>
        </w:sect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5471160</wp:posOffset>
                </wp:positionH>
                <wp:positionV relativeFrom="page">
                  <wp:posOffset>9587230</wp:posOffset>
                </wp:positionV>
                <wp:extent cx="925830" cy="462280"/>
                <wp:effectExtent l="0" t="0" r="7620" b="13970"/>
                <wp:wrapNone/>
                <wp:docPr id="1027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830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5"/>
                              <w:shd w:val="clear" w:color="FFFFFF" w:fill="FFFFFF"/>
                              <w:spacing w:line="240" w:lineRule="auto"/>
                              <w:jc w:val="center"/>
                              <w:rPr>
                                <w:rFonts w:ascii="黑体" w:hAnsi="黑体" w:eastAsia="黑体" w:cs="黑体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sz w:val="28"/>
                                <w:szCs w:val="28"/>
                              </w:rPr>
                              <w:t>发布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430.8pt;margin-top:754.9pt;height:36.4pt;width:72.9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PlrhXZAAAADgEAAA8AAAAAAAAAAQAgAAAAIgAAAGRycy9kb3ducmV2LnhtbFBLAQIU&#10;ABQAAAAIAIdO4kByH2Wo8gEAANYDAAAOAAAAAAAAAAEAIAAAACgBAABkcnMvZTJvRG9jLnhtbFBL&#10;BQYAAAAABgAGAFkBAACM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5"/>
                        <w:shd w:val="clear" w:color="FFFFFF" w:fill="FFFFFF"/>
                        <w:spacing w:line="240" w:lineRule="auto"/>
                        <w:jc w:val="center"/>
                        <w:rPr>
                          <w:rFonts w:ascii="黑体" w:hAnsi="黑体" w:eastAsia="黑体" w:cs="黑体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sz w:val="28"/>
                          <w:szCs w:val="28"/>
                        </w:rPr>
                        <w:t>发布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 w:cs="黑体"/>
          <w:color w:val="auto"/>
          <w:sz w:val="28"/>
          <w:highlight w:val="none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1438275</wp:posOffset>
                </wp:positionV>
                <wp:extent cx="6120130" cy="0"/>
                <wp:effectExtent l="0" t="0" r="0" b="0"/>
                <wp:wrapNone/>
                <wp:docPr id="1028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-0.9pt;margin-top:113.25pt;height:0pt;width:481.9pt;z-index:251659264;mso-width-relative:page;mso-height-relative:page;" filled="f" stroked="t" coordsize="21600,21600" o:gfxdata="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v8V83YAAAACgEAAA8AAAAAAAAAAQAgAAAA&#10;IgAAAGRycy9kb3ducmV2LnhtbFBLAQIUABQAAAAIAIdO4kDUuHjX0gEAAJEDAAAOAAAAAAAAAAEA&#10;IAAAACcBAABkcnMvZTJvRG9jLnhtbFBLBQYAAAAABgAGAFkBAABrBQAAAAA=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469" w:afterLines="150"/>
        <w:ind w:firstLine="0" w:firstLineChars="0"/>
        <w:textAlignment w:val="auto"/>
        <w:rPr>
          <w:rFonts w:hint="default" w:ascii="黑体" w:hAnsi="Calibri" w:eastAsia="黑体" w:cs="Times New Roman"/>
          <w:color w:val="auto"/>
          <w:spacing w:val="0"/>
          <w:sz w:val="32"/>
          <w:szCs w:val="21"/>
          <w:highlight w:val="none"/>
          <w:lang w:val="en-US" w:eastAsia="zh-CN"/>
        </w:rPr>
      </w:pPr>
      <w:r>
        <w:rPr>
          <w:rFonts w:hint="eastAsia" w:ascii="黑体" w:hAnsi="Calibri" w:eastAsia="黑体" w:cs="Times New Roman"/>
          <w:color w:val="auto"/>
          <w:spacing w:val="0"/>
          <w:sz w:val="32"/>
          <w:szCs w:val="21"/>
          <w:highlight w:val="none"/>
          <w:lang w:val="en-US" w:eastAsia="zh-CN"/>
        </w:rPr>
        <w:t>目    次</w:t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 w:ascii="宋体" w:hAnsi="宋体" w:eastAsia="宋体" w:cs="宋体"/>
          <w:b w:val="0"/>
          <w:bCs w:val="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TOC \o "1-3" \h \u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HYPERLINK \l _Toc14108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default" w:ascii="宋体" w:hAnsi="宋体" w:eastAsia="宋体" w:cs="宋体"/>
          <w:b w:val="0"/>
          <w:bCs w:val="0"/>
          <w:lang w:val="en-US" w:eastAsia="zh-CN" w:bidi="ar-SA"/>
        </w:rPr>
        <w:t>前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 xml:space="preserve">  </w:t>
      </w:r>
      <w:r>
        <w:rPr>
          <w:rFonts w:hint="default" w:ascii="宋体" w:hAnsi="宋体" w:eastAsia="宋体" w:cs="宋体"/>
          <w:b w:val="0"/>
          <w:bCs w:val="0"/>
          <w:lang w:val="en-US" w:eastAsia="zh-CN" w:bidi="ar-SA"/>
        </w:rPr>
        <w:t>言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PAGEREF _Toc14108 \h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>II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 w:ascii="宋体" w:hAnsi="宋体" w:eastAsia="宋体" w:cs="宋体"/>
          <w:b w:val="0"/>
          <w:bCs w:val="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HYPERLINK \l _Toc24734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>引  言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PAGEREF _Toc24734 \h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>III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 w:ascii="宋体" w:hAnsi="宋体" w:eastAsia="宋体" w:cs="宋体"/>
          <w:b w:val="0"/>
          <w:bCs w:val="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HYPERLINK \l _Toc30354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>1 范围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PAGEREF _Toc30354 \h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>1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 w:ascii="宋体" w:hAnsi="宋体" w:eastAsia="宋体" w:cs="宋体"/>
          <w:b w:val="0"/>
          <w:bCs w:val="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HYPERLINK \l _Toc32103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>2 规范性文件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PAGEREF _Toc32103 \h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>1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 w:ascii="宋体" w:hAnsi="宋体" w:eastAsia="宋体" w:cs="宋体"/>
          <w:b w:val="0"/>
          <w:bCs w:val="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HYPERLINK \l _Toc12094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>3 术语和定义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PAGEREF _Toc12094 \h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>1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 w:ascii="宋体" w:hAnsi="宋体" w:eastAsia="宋体" w:cs="宋体"/>
          <w:b w:val="0"/>
          <w:bCs w:val="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HYPERLINK \l _Toc489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>4 建设原则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PAGEREF _Toc489 \h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>1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99" w:firstLineChars="95"/>
        <w:textAlignment w:val="auto"/>
        <w:rPr>
          <w:rFonts w:hint="eastAsia" w:ascii="宋体" w:hAnsi="宋体" w:eastAsia="宋体" w:cs="宋体"/>
          <w:b w:val="0"/>
          <w:bCs w:val="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HYPERLINK \l _Toc24517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>4.1 按需建设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PAGEREF _Toc24517 \h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>1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99" w:firstLineChars="95"/>
        <w:textAlignment w:val="auto"/>
        <w:rPr>
          <w:rFonts w:hint="eastAsia" w:ascii="宋体" w:hAnsi="宋体" w:eastAsia="宋体" w:cs="宋体"/>
          <w:b w:val="0"/>
          <w:bCs w:val="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HYPERLINK \l _Toc22857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>4.2 扩展设计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PAGEREF _Toc22857 \h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>1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99" w:firstLineChars="95"/>
        <w:textAlignment w:val="auto"/>
        <w:rPr>
          <w:rFonts w:hint="eastAsia" w:ascii="宋体" w:hAnsi="宋体" w:eastAsia="宋体" w:cs="宋体"/>
          <w:b w:val="0"/>
          <w:bCs w:val="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HYPERLINK \l _Toc13671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>4.3 安全可靠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PAGEREF _Toc13671 \h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>2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 w:ascii="宋体" w:hAnsi="宋体" w:eastAsia="宋体" w:cs="宋体"/>
          <w:b w:val="0"/>
          <w:bCs w:val="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HYPERLINK \l _Toc322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 xml:space="preserve">5 </w:t>
      </w:r>
      <w:r>
        <w:rPr>
          <w:rFonts w:hint="default" w:ascii="宋体" w:hAnsi="宋体" w:eastAsia="宋体" w:cs="宋体"/>
          <w:b w:val="0"/>
          <w:bCs w:val="0"/>
          <w:lang w:val="en-US" w:eastAsia="zh-CN" w:bidi="ar-SA"/>
        </w:rPr>
        <w:t>系统构成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PAGEREF _Toc322 \h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>2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99" w:firstLineChars="95"/>
        <w:textAlignment w:val="auto"/>
        <w:rPr>
          <w:rFonts w:hint="eastAsia" w:ascii="宋体" w:hAnsi="宋体" w:eastAsia="宋体" w:cs="宋体"/>
          <w:b w:val="0"/>
          <w:bCs w:val="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HYPERLINK \l _Toc3710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 xml:space="preserve">5.1 </w:t>
      </w:r>
      <w:r>
        <w:rPr>
          <w:rFonts w:hint="default" w:ascii="宋体" w:hAnsi="宋体" w:eastAsia="宋体" w:cs="宋体"/>
          <w:b w:val="0"/>
          <w:bCs w:val="0"/>
          <w:lang w:val="en-US" w:eastAsia="zh-CN" w:bidi="ar-SA"/>
        </w:rPr>
        <w:t>系统架构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PAGEREF _Toc3710 \h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>2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99" w:firstLineChars="95"/>
        <w:textAlignment w:val="auto"/>
        <w:rPr>
          <w:rFonts w:hint="eastAsia" w:ascii="宋体" w:hAnsi="宋体" w:eastAsia="宋体" w:cs="宋体"/>
          <w:b w:val="0"/>
          <w:bCs w:val="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HYPERLINK \l _Toc8205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 xml:space="preserve">5.2 </w:t>
      </w:r>
      <w:r>
        <w:rPr>
          <w:rFonts w:hint="default" w:ascii="宋体" w:hAnsi="宋体" w:eastAsia="宋体" w:cs="宋体"/>
          <w:b w:val="0"/>
          <w:bCs w:val="0"/>
          <w:lang w:val="en-US" w:eastAsia="zh-CN" w:bidi="ar-SA"/>
        </w:rPr>
        <w:t>系统模块组成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PAGEREF _Toc8205 \h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>2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 w:ascii="宋体" w:hAnsi="宋体" w:eastAsia="宋体" w:cs="宋体"/>
          <w:b w:val="0"/>
          <w:bCs w:val="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HYPERLINK \l _Toc23690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 xml:space="preserve">6 </w:t>
      </w:r>
      <w:r>
        <w:rPr>
          <w:rFonts w:hint="default" w:ascii="宋体" w:hAnsi="宋体" w:eastAsia="宋体" w:cs="宋体"/>
          <w:b w:val="0"/>
          <w:bCs w:val="0"/>
          <w:lang w:val="en-US" w:eastAsia="zh-CN" w:bidi="ar-SA"/>
        </w:rPr>
        <w:t>系统基础数据元表示要求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PAGEREF _Toc23690 \h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>2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 w:ascii="宋体" w:hAnsi="宋体" w:eastAsia="宋体" w:cs="宋体"/>
          <w:b w:val="0"/>
          <w:bCs w:val="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HYPERLINK \l _Toc15559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 xml:space="preserve">7 </w:t>
      </w:r>
      <w:r>
        <w:rPr>
          <w:rFonts w:hint="default" w:ascii="宋体" w:hAnsi="宋体" w:eastAsia="宋体" w:cs="宋体"/>
          <w:b w:val="0"/>
          <w:bCs w:val="0"/>
          <w:lang w:val="en-US" w:eastAsia="zh-CN" w:bidi="ar-SA"/>
        </w:rPr>
        <w:t>平台技术要求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PAGEREF _Toc15559 \h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>2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99" w:firstLineChars="95"/>
        <w:textAlignment w:val="auto"/>
        <w:rPr>
          <w:rFonts w:hint="eastAsia" w:ascii="宋体" w:hAnsi="宋体" w:eastAsia="宋体" w:cs="宋体"/>
          <w:b w:val="0"/>
          <w:bCs w:val="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HYPERLINK \l _Toc24414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 xml:space="preserve">7.1 </w:t>
      </w:r>
      <w:r>
        <w:rPr>
          <w:rFonts w:hint="default" w:ascii="宋体" w:hAnsi="宋体" w:eastAsia="宋体" w:cs="宋体"/>
          <w:b w:val="0"/>
          <w:bCs w:val="0"/>
          <w:lang w:val="en-US" w:eastAsia="zh-CN" w:bidi="ar-SA"/>
        </w:rPr>
        <w:t>操作系统要求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PAGEREF _Toc24414 \h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>2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99" w:firstLineChars="95"/>
        <w:textAlignment w:val="auto"/>
        <w:rPr>
          <w:rFonts w:hint="eastAsia" w:ascii="宋体" w:hAnsi="宋体" w:eastAsia="宋体" w:cs="宋体"/>
          <w:b w:val="0"/>
          <w:bCs w:val="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HYPERLINK \l _Toc24675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 xml:space="preserve">7.2 </w:t>
      </w:r>
      <w:r>
        <w:rPr>
          <w:rFonts w:hint="default" w:ascii="宋体" w:hAnsi="宋体" w:eastAsia="宋体" w:cs="宋体"/>
          <w:b w:val="0"/>
          <w:bCs w:val="0"/>
          <w:lang w:val="en-US" w:eastAsia="zh-CN" w:bidi="ar-SA"/>
        </w:rPr>
        <w:t>数据库要求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PAGEREF _Toc24675 \h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>2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99" w:firstLineChars="95"/>
        <w:textAlignment w:val="auto"/>
        <w:rPr>
          <w:rFonts w:hint="eastAsia" w:ascii="宋体" w:hAnsi="宋体" w:eastAsia="宋体" w:cs="宋体"/>
          <w:b w:val="0"/>
          <w:bCs w:val="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HYPERLINK \l _Toc19177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 xml:space="preserve">7.3 </w:t>
      </w:r>
      <w:r>
        <w:rPr>
          <w:rFonts w:hint="default" w:ascii="宋体" w:hAnsi="宋体" w:eastAsia="宋体" w:cs="宋体"/>
          <w:b w:val="0"/>
          <w:bCs w:val="0"/>
          <w:lang w:val="en-US" w:eastAsia="zh-CN" w:bidi="ar-SA"/>
        </w:rPr>
        <w:t>应用软件要求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PAGEREF _Toc19177 \h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>2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 w:ascii="宋体" w:hAnsi="宋体" w:eastAsia="宋体" w:cs="宋体"/>
          <w:b w:val="0"/>
          <w:bCs w:val="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HYPERLINK \l _Toc2763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 xml:space="preserve">8 </w:t>
      </w:r>
      <w:r>
        <w:rPr>
          <w:rFonts w:hint="default" w:ascii="宋体" w:hAnsi="宋体" w:eastAsia="宋体" w:cs="宋体"/>
          <w:b w:val="0"/>
          <w:bCs w:val="0"/>
          <w:lang w:val="en-US" w:eastAsia="zh-CN" w:bidi="ar-SA"/>
        </w:rPr>
        <w:t>平台功能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PAGEREF _Toc2763 \h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>3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99" w:firstLineChars="95"/>
        <w:textAlignment w:val="auto"/>
        <w:rPr>
          <w:rFonts w:hint="eastAsia" w:ascii="宋体" w:hAnsi="宋体" w:eastAsia="宋体" w:cs="宋体"/>
          <w:b w:val="0"/>
          <w:bCs w:val="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HYPERLINK \l _Toc13371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 xml:space="preserve">8.1 </w:t>
      </w:r>
      <w:r>
        <w:rPr>
          <w:rFonts w:hint="default" w:ascii="宋体" w:hAnsi="宋体" w:eastAsia="宋体" w:cs="宋体"/>
          <w:b w:val="0"/>
          <w:bCs w:val="0"/>
          <w:lang w:val="en-US" w:eastAsia="zh-CN" w:bidi="ar-SA"/>
        </w:rPr>
        <w:t>平台功能模块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PAGEREF _Toc13371 \h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>3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99" w:firstLineChars="95"/>
        <w:textAlignment w:val="auto"/>
        <w:rPr>
          <w:rFonts w:hint="eastAsia" w:ascii="宋体" w:hAnsi="宋体" w:eastAsia="宋体" w:cs="宋体"/>
          <w:b w:val="0"/>
          <w:bCs w:val="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HYPERLINK \l _Toc1622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 xml:space="preserve">8.2 </w:t>
      </w:r>
      <w:r>
        <w:rPr>
          <w:rFonts w:hint="default" w:ascii="宋体" w:hAnsi="宋体" w:eastAsia="宋体" w:cs="宋体"/>
          <w:b w:val="0"/>
          <w:bCs w:val="0"/>
          <w:lang w:val="en-US" w:eastAsia="zh-CN" w:bidi="ar-SA"/>
        </w:rPr>
        <w:t>可视化展示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PAGEREF _Toc1622 \h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>4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99" w:firstLineChars="95"/>
        <w:textAlignment w:val="auto"/>
        <w:rPr>
          <w:rFonts w:hint="eastAsia" w:ascii="宋体" w:hAnsi="宋体" w:eastAsia="宋体" w:cs="宋体"/>
          <w:b w:val="0"/>
          <w:bCs w:val="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HYPERLINK \l _Toc18353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>8.3 气候</w:t>
      </w:r>
      <w:r>
        <w:rPr>
          <w:rFonts w:hint="default" w:ascii="宋体" w:hAnsi="宋体" w:eastAsia="宋体" w:cs="宋体"/>
          <w:b w:val="0"/>
          <w:bCs w:val="0"/>
          <w:lang w:val="en-US" w:eastAsia="zh-CN" w:bidi="ar-SA"/>
        </w:rPr>
        <w:t>金融监测统计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PAGEREF _Toc18353 \h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>4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99" w:firstLineChars="95"/>
        <w:textAlignment w:val="auto"/>
        <w:rPr>
          <w:rFonts w:hint="eastAsia" w:ascii="宋体" w:hAnsi="宋体" w:eastAsia="宋体" w:cs="宋体"/>
          <w:b w:val="0"/>
          <w:bCs w:val="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HYPERLINK \l _Toc13260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>8.4 气候</w:t>
      </w:r>
      <w:r>
        <w:rPr>
          <w:rFonts w:hint="default" w:ascii="宋体" w:hAnsi="宋体" w:eastAsia="宋体" w:cs="宋体"/>
          <w:b w:val="0"/>
          <w:bCs w:val="0"/>
          <w:lang w:val="en-US" w:eastAsia="zh-CN" w:bidi="ar-SA"/>
        </w:rPr>
        <w:t>金融评价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PAGEREF _Toc13260 \h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>4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99" w:firstLineChars="95"/>
        <w:textAlignment w:val="auto"/>
        <w:rPr>
          <w:rFonts w:hint="eastAsia" w:ascii="宋体" w:hAnsi="宋体" w:eastAsia="宋体" w:cs="宋体"/>
          <w:b w:val="0"/>
          <w:bCs w:val="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HYPERLINK \l _Toc6504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>8.5 气候</w:t>
      </w:r>
      <w:r>
        <w:rPr>
          <w:rFonts w:hint="default" w:ascii="宋体" w:hAnsi="宋体" w:eastAsia="宋体" w:cs="宋体"/>
          <w:b w:val="0"/>
          <w:bCs w:val="0"/>
          <w:lang w:val="en-US" w:eastAsia="zh-CN" w:bidi="ar-SA"/>
        </w:rPr>
        <w:t>金融融资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PAGEREF _Toc6504 \h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>4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99" w:firstLineChars="95"/>
        <w:textAlignment w:val="auto"/>
        <w:rPr>
          <w:rFonts w:hint="eastAsia" w:ascii="宋体" w:hAnsi="宋体" w:eastAsia="宋体" w:cs="宋体"/>
          <w:b w:val="0"/>
          <w:bCs w:val="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HYPERLINK \l _Toc31615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>8.6 气候</w:t>
      </w:r>
      <w:r>
        <w:rPr>
          <w:rFonts w:hint="default" w:ascii="宋体" w:hAnsi="宋体" w:eastAsia="宋体" w:cs="宋体"/>
          <w:b w:val="0"/>
          <w:bCs w:val="0"/>
          <w:lang w:val="en-US" w:eastAsia="zh-CN" w:bidi="ar-SA"/>
        </w:rPr>
        <w:t>金融信息共享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PAGEREF _Toc31615 \h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>5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99" w:firstLineChars="95"/>
        <w:textAlignment w:val="auto"/>
        <w:rPr>
          <w:rFonts w:hint="eastAsia" w:ascii="宋体" w:hAnsi="宋体" w:eastAsia="宋体" w:cs="宋体"/>
          <w:b w:val="0"/>
          <w:bCs w:val="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HYPERLINK \l _Toc10857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>8.7 气候</w:t>
      </w:r>
      <w:r>
        <w:rPr>
          <w:rFonts w:hint="default" w:ascii="宋体" w:hAnsi="宋体" w:eastAsia="宋体" w:cs="宋体"/>
          <w:b w:val="0"/>
          <w:bCs w:val="0"/>
          <w:lang w:val="en-US" w:eastAsia="zh-CN" w:bidi="ar-SA"/>
        </w:rPr>
        <w:t>金融产品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PAGEREF _Toc10857 \h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>5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99" w:firstLineChars="95"/>
        <w:textAlignment w:val="auto"/>
        <w:rPr>
          <w:rFonts w:hint="eastAsia" w:ascii="宋体" w:hAnsi="宋体" w:eastAsia="宋体" w:cs="宋体"/>
          <w:b w:val="0"/>
          <w:bCs w:val="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HYPERLINK \l _Toc13386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 xml:space="preserve">8.8 </w:t>
      </w:r>
      <w:r>
        <w:rPr>
          <w:rFonts w:hint="default" w:ascii="宋体" w:hAnsi="宋体" w:eastAsia="宋体" w:cs="宋体"/>
          <w:b w:val="0"/>
          <w:bCs w:val="0"/>
          <w:lang w:val="en-US" w:eastAsia="zh-CN" w:bidi="ar-SA"/>
        </w:rPr>
        <w:t>国际合作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PAGEREF _Toc13386 \h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>5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99" w:firstLineChars="95"/>
        <w:textAlignment w:val="auto"/>
        <w:rPr>
          <w:rFonts w:hint="eastAsia" w:ascii="宋体" w:hAnsi="宋体" w:eastAsia="宋体" w:cs="宋体"/>
          <w:b w:val="0"/>
          <w:bCs w:val="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HYPERLINK \l _Toc20534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>8.9 问题咨询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PAGEREF _Toc20534 \h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>5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 w:ascii="宋体" w:hAnsi="宋体" w:eastAsia="宋体" w:cs="宋体"/>
          <w:b w:val="0"/>
          <w:bCs w:val="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HYPERLINK \l _Toc22928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cs="宋体"/>
          <w:b w:val="0"/>
          <w:bCs w:val="0"/>
          <w:lang w:val="en-US" w:eastAsia="zh-CN" w:bidi="ar-SA"/>
        </w:rPr>
        <w:t>9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lang w:val="en-US" w:eastAsia="zh-CN" w:bidi="ar-SA"/>
        </w:rPr>
        <w:t>接口管理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PAGEREF _Toc22928 \h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>5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99" w:firstLineChars="95"/>
        <w:textAlignment w:val="auto"/>
        <w:rPr>
          <w:rFonts w:hint="eastAsia" w:ascii="宋体" w:hAnsi="宋体" w:eastAsia="宋体" w:cs="宋体"/>
          <w:b w:val="0"/>
          <w:bCs w:val="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HYPERLINK \l _Toc20697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cs="宋体"/>
          <w:b w:val="0"/>
          <w:bCs w:val="0"/>
          <w:lang w:val="en-US" w:eastAsia="zh-CN" w:bidi="ar-SA"/>
        </w:rPr>
        <w:t>9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 xml:space="preserve">.1 </w:t>
      </w:r>
      <w:r>
        <w:rPr>
          <w:rFonts w:hint="default" w:ascii="宋体" w:hAnsi="宋体" w:eastAsia="宋体" w:cs="宋体"/>
          <w:b w:val="0"/>
          <w:bCs w:val="0"/>
          <w:lang w:val="en-US" w:eastAsia="zh-CN" w:bidi="ar-SA"/>
        </w:rPr>
        <w:t>接口类型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PAGEREF _Toc20697 \h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>5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99" w:firstLineChars="95"/>
        <w:textAlignment w:val="auto"/>
        <w:rPr>
          <w:rFonts w:hint="eastAsia" w:ascii="宋体" w:hAnsi="宋体" w:eastAsia="宋体" w:cs="宋体"/>
          <w:b w:val="0"/>
          <w:bCs w:val="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HYPERLINK \l _Toc25274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cs="宋体"/>
          <w:b w:val="0"/>
          <w:bCs w:val="0"/>
          <w:lang w:val="en-US" w:eastAsia="zh-CN" w:bidi="ar-SA"/>
        </w:rPr>
        <w:t>9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 xml:space="preserve">.2 </w:t>
      </w:r>
      <w:r>
        <w:rPr>
          <w:rFonts w:hint="default" w:ascii="宋体" w:hAnsi="宋体" w:eastAsia="宋体" w:cs="宋体"/>
          <w:b w:val="0"/>
          <w:bCs w:val="0"/>
          <w:lang w:val="en-US" w:eastAsia="zh-CN" w:bidi="ar-SA"/>
        </w:rPr>
        <w:t>交互方式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PAGEREF _Toc25274 \h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>6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99" w:firstLineChars="95"/>
        <w:textAlignment w:val="auto"/>
        <w:rPr>
          <w:rFonts w:hint="eastAsia" w:ascii="宋体" w:hAnsi="宋体" w:eastAsia="宋体" w:cs="宋体"/>
          <w:b w:val="0"/>
          <w:bCs w:val="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HYPERLINK \l _Toc29844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cs="宋体"/>
          <w:b w:val="0"/>
          <w:bCs w:val="0"/>
          <w:lang w:val="en-US" w:eastAsia="zh-CN" w:bidi="ar-SA"/>
        </w:rPr>
        <w:t>9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 xml:space="preserve">.3 </w:t>
      </w:r>
      <w:r>
        <w:rPr>
          <w:rFonts w:hint="default" w:ascii="宋体" w:hAnsi="宋体" w:eastAsia="宋体" w:cs="宋体"/>
          <w:b w:val="0"/>
          <w:bCs w:val="0"/>
          <w:lang w:val="en-US" w:eastAsia="zh-CN" w:bidi="ar-SA"/>
        </w:rPr>
        <w:t>接口规范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instrText xml:space="preserve"> PAGEREF _Toc29844 \h </w:instrTex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t>6</w:t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lang w:val="en-US" w:eastAsia="zh-CN" w:bidi="ar-SA"/>
        </w:rPr>
        <w:fldChar w:fldCharType="end"/>
      </w:r>
    </w:p>
    <w:p>
      <w:pPr>
        <w:pStyle w:val="30"/>
        <w:keepNext w:val="0"/>
        <w:keepLines w:val="0"/>
        <w:pageBreakBefore w:val="0"/>
        <w:tabs>
          <w:tab w:val="right" w:leader="dot" w:pos="9354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/>
          <w:lang w:eastAsia="zh-CN"/>
        </w:rPr>
        <w:fldChar w:fldCharType="begin"/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/>
          <w:lang w:eastAsia="zh-CN"/>
        </w:rPr>
        <w:instrText xml:space="preserve">TOC \o "1-3" \h \u </w:instrTex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/>
          <w:lang w:eastAsia="zh-CN"/>
        </w:rPr>
        <w:fldChar w:fldCharType="separate"/>
      </w:r>
    </w:p>
    <w:p>
      <w:pPr>
        <w:tabs>
          <w:tab w:val="center" w:pos="4737"/>
          <w:tab w:val="right" w:pos="9355"/>
        </w:tabs>
        <w:spacing w:before="640" w:after="560" w:line="240" w:lineRule="auto"/>
        <w:ind w:firstLine="0" w:firstLineChars="0"/>
        <w:jc w:val="center"/>
        <w:outlineLvl w:val="0"/>
        <w:rPr>
          <w:rFonts w:hint="eastAsia" w:ascii="黑体" w:hAnsi="黑体" w:eastAsia="黑体" w:cs="黑体"/>
          <w:bCs/>
          <w:color w:val="auto"/>
          <w:szCs w:val="32"/>
          <w:highlight w:val="none"/>
          <w:u w:val="none"/>
          <w:lang w:eastAsia="zh-CN"/>
        </w:rPr>
      </w:pPr>
    </w:p>
    <w:p>
      <w:pPr>
        <w:pStyle w:val="2"/>
        <w:rPr>
          <w:rFonts w:hint="eastAsia"/>
          <w:color w:val="auto"/>
          <w:highlight w:val="none"/>
          <w:lang w:eastAsia="zh-CN"/>
        </w:rPr>
        <w:sectPr>
          <w:headerReference r:id="rId7" w:type="default"/>
          <w:footerReference r:id="rId9" w:type="default"/>
          <w:headerReference r:id="rId8" w:type="even"/>
          <w:footerReference r:id="rId10" w:type="even"/>
          <w:pgSz w:w="11906" w:h="16838"/>
          <w:pgMar w:top="1417" w:right="1134" w:bottom="1134" w:left="1417" w:header="1417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720" w:num="1"/>
          <w:rtlGutter w:val="0"/>
          <w:docGrid w:type="lines" w:linePitch="316" w:charSpace="0"/>
        </w:sectPr>
      </w:pPr>
    </w:p>
    <w:p>
      <w:pPr>
        <w:tabs>
          <w:tab w:val="center" w:pos="4737"/>
          <w:tab w:val="right" w:pos="9355"/>
        </w:tabs>
        <w:spacing w:before="640" w:after="560" w:line="240" w:lineRule="auto"/>
        <w:ind w:firstLine="0" w:firstLineChars="0"/>
        <w:jc w:val="center"/>
        <w:outlineLvl w:val="0"/>
        <w:rPr>
          <w:rFonts w:hint="default" w:ascii="黑体" w:hAnsi="黑体" w:eastAsia="黑体" w:cs="黑体"/>
          <w:color w:val="auto"/>
          <w:kern w:val="2"/>
          <w:sz w:val="32"/>
          <w:szCs w:val="24"/>
          <w:highlight w:val="none"/>
          <w:lang w:val="en-US" w:eastAsia="zh-CN" w:bidi="ar-SA"/>
        </w:rPr>
      </w:pPr>
      <w:bookmarkStart w:id="1" w:name="_Toc14108"/>
      <w:r>
        <w:rPr>
          <w:rFonts w:hint="eastAsia" w:ascii="黑体" w:hAnsi="黑体" w:eastAsia="黑体" w:cs="黑体"/>
          <w:bCs/>
          <w:color w:val="auto"/>
          <w:szCs w:val="32"/>
          <w:highlight w:val="none"/>
          <w:u w:val="none"/>
          <w:lang w:eastAsia="zh-CN"/>
        </w:rPr>
        <w:fldChar w:fldCharType="end"/>
      </w:r>
      <w:bookmarkStart w:id="2" w:name="_Toc8066"/>
      <w:bookmarkStart w:id="3" w:name="_Toc23329"/>
      <w:bookmarkStart w:id="4" w:name="_Toc19870"/>
      <w:bookmarkStart w:id="5" w:name="_Toc32496"/>
      <w:bookmarkStart w:id="6" w:name="_Toc27516"/>
      <w:bookmarkStart w:id="7" w:name="_Toc28960"/>
      <w:bookmarkStart w:id="8" w:name="_Toc16466"/>
      <w:r>
        <w:rPr>
          <w:rFonts w:hint="default" w:ascii="黑体" w:hAnsi="黑体" w:eastAsia="黑体" w:cs="黑体"/>
          <w:color w:val="auto"/>
          <w:sz w:val="32"/>
          <w:highlight w:val="none"/>
          <w:lang w:val="en-US" w:eastAsia="zh-CN" w:bidi="ar-SA"/>
        </w:rPr>
        <w:t>前</w:t>
      </w:r>
      <w:r>
        <w:rPr>
          <w:rFonts w:hint="eastAsia" w:ascii="黑体" w:hAnsi="黑体" w:eastAsia="黑体" w:cs="黑体"/>
          <w:color w:val="auto"/>
          <w:sz w:val="32"/>
          <w:highlight w:val="none"/>
          <w:lang w:val="en-US" w:eastAsia="zh-CN" w:bidi="ar-SA"/>
        </w:rPr>
        <w:t xml:space="preserve">  </w:t>
      </w:r>
      <w:r>
        <w:rPr>
          <w:rFonts w:hint="default" w:ascii="黑体" w:hAnsi="黑体" w:eastAsia="黑体" w:cs="黑体"/>
          <w:color w:val="auto"/>
          <w:sz w:val="32"/>
          <w:highlight w:val="none"/>
          <w:lang w:val="en-US" w:eastAsia="zh-CN" w:bidi="ar-SA"/>
        </w:rPr>
        <w:t>言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val="en-US" w:eastAsia="zh-CN"/>
        </w:rPr>
        <w:t>本文件按照GB/T1.1-2020《标准化工作导则第1部分：标准化文件的结构和起草规则》给出的规则起草。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val="en-US" w:eastAsia="zh-CN"/>
        </w:rPr>
        <w:t>本文件由广东省绿色生态发展评估与推广中心提出。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val="en-US" w:eastAsia="zh-CN"/>
        </w:rPr>
        <w:t>本文件由广东省知识产权投融资促进会归口。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val="en-US" w:eastAsia="zh-CN"/>
        </w:rPr>
        <w:t>本文件起草单位：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  <w:lang w:val="en-US" w:eastAsia="zh-CN"/>
        </w:rPr>
        <w:t>。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val="en-US" w:eastAsia="zh-CN"/>
        </w:rPr>
        <w:t>本文件主要起草人：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  <w:lang w:val="en-US" w:eastAsia="zh-CN"/>
        </w:rPr>
        <w:t>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  <w:br w:type="page"/>
      </w:r>
    </w:p>
    <w:p>
      <w:pPr>
        <w:tabs>
          <w:tab w:val="center" w:pos="4737"/>
          <w:tab w:val="right" w:pos="9355"/>
        </w:tabs>
        <w:spacing w:before="640" w:after="560" w:line="240" w:lineRule="auto"/>
        <w:ind w:firstLine="0" w:firstLineChars="0"/>
        <w:jc w:val="center"/>
        <w:outlineLvl w:val="0"/>
        <w:rPr>
          <w:rFonts w:hint="eastAsia" w:ascii="黑体" w:hAnsi="黑体" w:eastAsia="黑体" w:cs="黑体"/>
          <w:color w:val="auto"/>
          <w:sz w:val="32"/>
          <w:lang w:val="en-US" w:eastAsia="zh-CN" w:bidi="ar-SA"/>
        </w:rPr>
      </w:pPr>
      <w:bookmarkStart w:id="9" w:name="_Toc24734"/>
      <w:bookmarkStart w:id="10" w:name="_Toc27084"/>
      <w:bookmarkStart w:id="11" w:name="_Toc883"/>
      <w:bookmarkStart w:id="12" w:name="_Toc21246"/>
      <w:bookmarkStart w:id="13" w:name="_Toc17997"/>
      <w:r>
        <w:rPr>
          <w:rFonts w:hint="eastAsia" w:ascii="黑体" w:hAnsi="黑体" w:eastAsia="黑体" w:cs="黑体"/>
          <w:color w:val="auto"/>
          <w:sz w:val="32"/>
          <w:lang w:val="en-US" w:eastAsia="zh-CN" w:bidi="ar-SA"/>
        </w:rPr>
        <w:t>引  言</w:t>
      </w:r>
      <w:bookmarkEnd w:id="9"/>
      <w:bookmarkEnd w:id="10"/>
      <w:bookmarkEnd w:id="11"/>
      <w:bookmarkEnd w:id="12"/>
      <w:bookmarkEnd w:id="13"/>
    </w:p>
    <w:p>
      <w:pPr>
        <w:spacing w:line="240" w:lineRule="auto"/>
        <w:ind w:firstLine="420" w:firstLineChars="200"/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2020年10月26日，生态环境部等五部门联合发布《关于促进应对气候变化投融资的指导意见》中明确要求逐步完善气候投融资标准体系；2021年12月23日，生态环境部办公厅等九部委办公厅制定了《气候投融资试点工作方案》，提出鼓励试点地方对标国家气候投融资项目库，培育本区域气候投融资项目，打造气候项目和资金的信息对接平台；2021年10月8日香港特区政府公布《香港气候行动蓝图2050》，以「零碳排放·绿色宜居·持续发展」为愿景，提出香港应对气候变化和实现碳中和的策略和目标；澳门特区政府环境保护局2022年公布的《澳门环境保护规划（2021-2025）》提出“共同应对气候变化，构建绿色低碳澳门”。</w:t>
      </w:r>
    </w:p>
    <w:p>
      <w:pPr>
        <w:spacing w:line="240" w:lineRule="auto"/>
        <w:ind w:firstLine="420" w:firstLineChars="200"/>
        <w:rPr>
          <w:rFonts w:hint="eastAsia" w:ascii="宋体" w:hAnsi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为落实以上政策要求，实现粤港澳三地气候投融资数字化平台互联互通，广东省绿色生态发展评估与推广中心提出了制定《气候投融资数字化平台建设指南》，引导更多社会资金投向绿色低碳领域、加速经济和金融的绿色化进程，进而可为实现碳达峰、碳中和目标提供强有力的金融支持。。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</w:p>
    <w:p>
      <w:pPr>
        <w:spacing w:line="240" w:lineRule="auto"/>
        <w:ind w:firstLine="420" w:firstLineChars="200"/>
        <w:rPr>
          <w:rFonts w:hint="default" w:ascii="宋体" w:hAnsi="宋体" w:eastAsia="宋体" w:cs="宋体"/>
          <w:sz w:val="21"/>
          <w:szCs w:val="21"/>
          <w:u w:val="none"/>
          <w:lang w:val="en-US" w:eastAsia="zh-CN"/>
        </w:rPr>
      </w:pPr>
    </w:p>
    <w:p>
      <w:pPr>
        <w:pStyle w:val="2"/>
        <w:rPr>
          <w:rFonts w:hint="eastAsia"/>
        </w:rPr>
      </w:pP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</w:pP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</w:pP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</w:pP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</w:pP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</w:pP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</w:pP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</w:pP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</w:pP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</w:pP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</w:pP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</w:pP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</w:pP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</w:pP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</w:pP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</w:pP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</w:pP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</w:pP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</w:pP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</w:pP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</w:pP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</w:pP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</w:pP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</w:pP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</w:pPr>
    </w:p>
    <w:p>
      <w:pPr>
        <w:spacing w:line="240" w:lineRule="auto"/>
        <w:rPr>
          <w:rFonts w:hint="default" w:ascii="宋体" w:hAnsi="宋体" w:eastAsia="宋体" w:cs="宋体"/>
          <w:color w:val="auto"/>
          <w:sz w:val="21"/>
          <w:szCs w:val="21"/>
          <w:highlight w:val="none"/>
          <w:u w:val="none"/>
          <w:lang w:val="en-US" w:eastAsia="zh-CN"/>
        </w:rPr>
        <w:sectPr>
          <w:headerReference r:id="rId11" w:type="default"/>
          <w:footerReference r:id="rId13" w:type="default"/>
          <w:headerReference r:id="rId12" w:type="even"/>
          <w:footerReference r:id="rId14" w:type="even"/>
          <w:pgSz w:w="11906" w:h="16838"/>
          <w:pgMar w:top="1417" w:right="1134" w:bottom="1134" w:left="1417" w:header="1417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2"/>
          <w:cols w:space="720" w:num="1"/>
          <w:rtlGutter w:val="0"/>
          <w:docGrid w:type="lines" w:linePitch="316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40" w:after="560" w:line="276" w:lineRule="auto"/>
        <w:ind w:firstLine="0" w:firstLineChars="0"/>
        <w:jc w:val="center"/>
        <w:textAlignment w:val="auto"/>
        <w:outlineLvl w:val="0"/>
        <w:rPr>
          <w:rFonts w:hint="eastAsia" w:ascii="黑体" w:hAnsi="黑体" w:eastAsia="黑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bookmarkStart w:id="14" w:name="_Toc22725"/>
      <w:bookmarkStart w:id="15" w:name="_Toc30465"/>
      <w:r>
        <w:rPr>
          <w:rFonts w:hint="eastAsia" w:ascii="黑体" w:hAnsi="黑体" w:eastAsia="黑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气候投融资数字化平台建设指南</w:t>
      </w:r>
      <w:bookmarkEnd w:id="14"/>
      <w:bookmarkEnd w:id="15"/>
    </w:p>
    <w:p>
      <w:pPr>
        <w:pStyle w:val="3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/>
        <w:textAlignment w:val="auto"/>
        <w:outlineLvl w:val="0"/>
        <w:rPr>
          <w:rFonts w:hint="eastAsia" w:hAnsi="Times New Roman" w:cs="Times New Roman"/>
          <w:color w:val="auto"/>
          <w:highlight w:val="none"/>
          <w:lang w:val="en-US" w:eastAsia="zh-CN"/>
        </w:rPr>
      </w:pPr>
      <w:bookmarkStart w:id="16" w:name="_Toc22802"/>
      <w:bookmarkStart w:id="17" w:name="_Toc30354"/>
      <w:bookmarkStart w:id="18" w:name="_Toc23438"/>
      <w:bookmarkStart w:id="19" w:name="_Toc3347"/>
      <w:r>
        <w:rPr>
          <w:rFonts w:hint="eastAsia" w:hAnsi="Times New Roman" w:cs="Times New Roman"/>
          <w:color w:val="auto"/>
          <w:highlight w:val="none"/>
          <w:lang w:val="en-US" w:eastAsia="zh-CN"/>
        </w:rPr>
        <w:t>范围</w:t>
      </w:r>
      <w:bookmarkEnd w:id="16"/>
      <w:bookmarkEnd w:id="17"/>
      <w:bookmarkEnd w:id="18"/>
      <w:bookmarkEnd w:id="19"/>
    </w:p>
    <w:p>
      <w:pPr>
        <w:widowControl/>
        <w:spacing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本文件规定了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气候投融资数字化平台的的术语和定义、系统构成、系统基础数据元表示、系统基础数据元目录、系统软件功能和系统软件使用的要求</w:t>
      </w:r>
      <w:r>
        <w:rPr>
          <w:rFonts w:hint="eastAsia" w:ascii="宋体" w:hAnsi="宋体" w:eastAsia="宋体" w:cs="宋体"/>
          <w:color w:val="auto"/>
          <w:highlight w:val="none"/>
        </w:rPr>
        <w:t>。</w:t>
      </w:r>
    </w:p>
    <w:p>
      <w:pPr>
        <w:widowControl/>
        <w:spacing w:line="240" w:lineRule="auto"/>
        <w:ind w:firstLine="420" w:firstLineChars="200"/>
        <w:jc w:val="left"/>
        <w:rPr>
          <w:rFonts w:hint="default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本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文件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适用于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建设气候投融资数字化平台系统过程中的数据表达、交换、共享和使用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。</w:t>
      </w:r>
    </w:p>
    <w:p>
      <w:pPr>
        <w:pStyle w:val="3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/>
        <w:textAlignment w:val="auto"/>
        <w:outlineLvl w:val="0"/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</w:pPr>
      <w:bookmarkStart w:id="20" w:name="_Toc12345"/>
      <w:bookmarkStart w:id="21" w:name="_Toc13718"/>
      <w:bookmarkStart w:id="22" w:name="_Toc28027"/>
      <w:bookmarkStart w:id="23" w:name="_Toc32103"/>
      <w:r>
        <w:rPr>
          <w:rFonts w:hint="eastAsia" w:hAnsi="Times New Roman" w:cs="Times New Roman"/>
          <w:color w:val="auto"/>
          <w:highlight w:val="none"/>
          <w:lang w:val="en-US" w:eastAsia="zh-CN"/>
        </w:rPr>
        <w:t>规范性</w:t>
      </w: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  <w:t>文件</w:t>
      </w:r>
      <w:bookmarkEnd w:id="20"/>
      <w:bookmarkEnd w:id="21"/>
      <w:bookmarkEnd w:id="22"/>
      <w:bookmarkEnd w:id="23"/>
    </w:p>
    <w:p>
      <w:pPr>
        <w:spacing w:line="240" w:lineRule="auto"/>
        <w:ind w:firstLine="420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下列文件中的内容通过文中的规范性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文件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引用而构成本文件必不可少的条款。其中，注日期的引用文件，仅该日期对应的版本适用于本文件；不注日期的引用文件，其最新版本（包括所有的修改单）适用于本文件。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cs="宋体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default" w:ascii="宋体" w:hAnsi="宋体" w:cs="宋体"/>
          <w:color w:val="auto"/>
          <w:sz w:val="21"/>
          <w:szCs w:val="21"/>
          <w:highlight w:val="none"/>
          <w:u w:val="none"/>
          <w:lang w:val="en-US" w:eastAsia="zh-CN"/>
        </w:rPr>
        <w:t>GB/T 18391.5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  <w:lang w:val="en-US" w:eastAsia="zh-CN"/>
        </w:rPr>
        <w:t xml:space="preserve"> </w:t>
      </w:r>
      <w:r>
        <w:rPr>
          <w:rFonts w:hint="default" w:ascii="宋体" w:hAnsi="宋体" w:cs="宋体"/>
          <w:color w:val="auto"/>
          <w:sz w:val="21"/>
          <w:szCs w:val="21"/>
          <w:highlight w:val="none"/>
          <w:u w:val="none"/>
          <w:lang w:val="en-US" w:eastAsia="zh-CN"/>
        </w:rPr>
        <w:t>信息技术 元数据注册系统(MDR) 第5部分：命名和标识原则</w:t>
      </w:r>
    </w:p>
    <w:p>
      <w:pPr>
        <w:pStyle w:val="3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/>
        <w:textAlignment w:val="auto"/>
        <w:outlineLvl w:val="0"/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</w:pPr>
      <w:bookmarkStart w:id="24" w:name="_Toc26821"/>
      <w:bookmarkStart w:id="25" w:name="_Toc20056"/>
      <w:bookmarkStart w:id="26" w:name="_Toc12094"/>
      <w:bookmarkStart w:id="27" w:name="_Toc9085"/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  <w:t>术语和定义</w:t>
      </w:r>
      <w:bookmarkEnd w:id="24"/>
      <w:bookmarkEnd w:id="25"/>
      <w:bookmarkEnd w:id="26"/>
      <w:bookmarkEnd w:id="27"/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val="en-US" w:eastAsia="zh-CN"/>
        </w:rPr>
        <w:t>下列术语和定义适用于本文件。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color w:val="auto"/>
          <w:sz w:val="21"/>
          <w:szCs w:val="21"/>
          <w:highlight w:val="none"/>
          <w:u w:val="none"/>
          <w:lang w:val="en-US" w:eastAsia="zh-CN"/>
        </w:rPr>
      </w:pPr>
      <w:bookmarkStart w:id="28" w:name="_Toc28548"/>
      <w:bookmarkEnd w:id="28"/>
      <w:bookmarkStart w:id="29" w:name="_Toc27640"/>
      <w:bookmarkEnd w:id="29"/>
      <w:bookmarkStart w:id="30" w:name="_Toc12613"/>
      <w:bookmarkEnd w:id="3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21"/>
          <w:szCs w:val="21"/>
          <w:highlight w:val="none"/>
          <w:lang w:val="en-US" w:eastAsia="zh-CN"/>
        </w:rPr>
        <w:t>气候投融资  climate finance and investment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  <w:lang w:val="en-US" w:eastAsia="zh-CN"/>
        </w:rPr>
        <w:t>实现国家自主贡献目标和低碳发展目标，引导和促进更多资金投向应对气候变化领域的投资和融资活动，是绿色金融的重要组成部分。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21"/>
          <w:szCs w:val="21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u w:val="none"/>
          <w:lang w:val="en-US" w:eastAsia="zh-CN"/>
        </w:rPr>
        <w:t>数据  date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信息的可再解释的形式化表示，以适用于通信、解释或处理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color w:val="auto"/>
          <w:sz w:val="21"/>
          <w:szCs w:val="21"/>
          <w:highlight w:val="none"/>
          <w:u w:val="none"/>
          <w:lang w:val="en-US" w:eastAsia="zh-CN"/>
        </w:rPr>
      </w:pPr>
      <w:bookmarkStart w:id="31" w:name="_Toc18197"/>
      <w:bookmarkEnd w:id="31"/>
      <w:bookmarkStart w:id="32" w:name="_Toc18020"/>
      <w:bookmarkEnd w:id="32"/>
      <w:bookmarkStart w:id="33" w:name="_Toc23455"/>
      <w:bookmarkEnd w:id="33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0" w:firstLineChars="200"/>
        <w:jc w:val="left"/>
        <w:textAlignment w:val="auto"/>
        <w:outlineLvl w:val="9"/>
        <w:rPr>
          <w:rFonts w:hint="default" w:ascii="黑体" w:hAnsi="黑体" w:eastAsia="黑体" w:cs="黑体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21"/>
          <w:szCs w:val="21"/>
          <w:highlight w:val="none"/>
          <w:lang w:val="en-US" w:eastAsia="zh-CN"/>
        </w:rPr>
        <w:t>数据元  date element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用一组属性规定其定义、标识、表示和允许值的数据单元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。</w:t>
      </w:r>
    </w:p>
    <w:p>
      <w:pPr>
        <w:pStyle w:val="31"/>
        <w:ind w:left="0" w:firstLine="0"/>
        <w:outlineLvl w:val="0"/>
        <w:rPr>
          <w:rFonts w:hint="default"/>
          <w:color w:val="auto"/>
          <w:highlight w:val="none"/>
        </w:rPr>
      </w:pPr>
      <w:bookmarkStart w:id="34" w:name="_Toc2942"/>
      <w:bookmarkEnd w:id="34"/>
      <w:bookmarkStart w:id="35" w:name="_Toc30752"/>
      <w:bookmarkEnd w:id="35"/>
      <w:bookmarkStart w:id="36" w:name="_Toc489"/>
      <w:bookmarkStart w:id="37" w:name="_Toc11534"/>
      <w:bookmarkStart w:id="38" w:name="_Toc133"/>
      <w:bookmarkStart w:id="39" w:name="_Toc23208"/>
      <w:r>
        <w:rPr>
          <w:rFonts w:hint="eastAsia"/>
          <w:color w:val="auto"/>
          <w:highlight w:val="none"/>
          <w:lang w:val="en-US" w:eastAsia="zh-CN"/>
        </w:rPr>
        <w:t>建设原则</w:t>
      </w:r>
      <w:bookmarkEnd w:id="36"/>
    </w:p>
    <w:p>
      <w:pPr>
        <w:pStyle w:val="34"/>
        <w:bidi w:val="0"/>
        <w:outlineLvl w:val="1"/>
        <w:rPr>
          <w:rFonts w:hint="default"/>
          <w:color w:val="auto"/>
          <w:highlight w:val="none"/>
        </w:rPr>
      </w:pPr>
      <w:bookmarkStart w:id="40" w:name="_Toc24517"/>
      <w:r>
        <w:rPr>
          <w:rFonts w:hint="eastAsia"/>
          <w:color w:val="auto"/>
          <w:highlight w:val="none"/>
          <w:lang w:val="en-US" w:eastAsia="zh-CN"/>
        </w:rPr>
        <w:t>按需建设</w:t>
      </w:r>
      <w:bookmarkEnd w:id="4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color w:val="auto"/>
          <w:highlight w:val="none"/>
          <w:lang w:val="en-US" w:eastAsia="zh-CN"/>
        </w:rPr>
      </w:pPr>
      <w:bookmarkStart w:id="41" w:name="_Toc23864"/>
      <w:bookmarkStart w:id="42" w:name="_Toc21315"/>
      <w:bookmarkStart w:id="43" w:name="_Toc11031"/>
      <w:r>
        <w:rPr>
          <w:rFonts w:hint="eastAsia"/>
          <w:color w:val="auto"/>
          <w:highlight w:val="none"/>
          <w:lang w:val="en-US" w:eastAsia="zh-CN"/>
        </w:rPr>
        <w:t>紧密结合国家政策、地区城市发展、政务业务需求和管理服务职责的要求，为企业、金融机构、监管部门打造气候综合信息共享和融资管理平台。</w:t>
      </w:r>
    </w:p>
    <w:bookmarkEnd w:id="41"/>
    <w:bookmarkEnd w:id="42"/>
    <w:bookmarkEnd w:id="43"/>
    <w:p>
      <w:pPr>
        <w:pStyle w:val="34"/>
        <w:bidi w:val="0"/>
        <w:outlineLvl w:val="1"/>
        <w:rPr>
          <w:rFonts w:hint="default" w:hAnsi="Times New Roman" w:cs="Times New Roman"/>
          <w:color w:val="auto"/>
          <w:highlight w:val="none"/>
        </w:rPr>
      </w:pPr>
      <w:bookmarkStart w:id="44" w:name="_Toc22857"/>
      <w:r>
        <w:rPr>
          <w:rFonts w:hint="eastAsia" w:cs="Times New Roman"/>
          <w:color w:val="auto"/>
          <w:highlight w:val="none"/>
          <w:lang w:val="en-US" w:eastAsia="zh-CN"/>
        </w:rPr>
        <w:t>扩展设计</w:t>
      </w:r>
      <w:bookmarkEnd w:id="4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系统建设需要遵循国家和行业相关标准，系统设计要兼顾功能满足性和前瞻性，做好易拓展、易维护。</w:t>
      </w:r>
    </w:p>
    <w:p>
      <w:pPr>
        <w:pStyle w:val="34"/>
        <w:bidi w:val="0"/>
        <w:outlineLvl w:val="1"/>
        <w:rPr>
          <w:rFonts w:hint="default" w:hAnsi="Times New Roman" w:cs="Times New Roman"/>
          <w:color w:val="auto"/>
          <w:highlight w:val="none"/>
        </w:rPr>
      </w:pPr>
      <w:bookmarkStart w:id="45" w:name="_Toc13671"/>
      <w:r>
        <w:rPr>
          <w:rFonts w:hint="eastAsia" w:cs="Times New Roman"/>
          <w:color w:val="auto"/>
          <w:highlight w:val="none"/>
          <w:lang w:val="en-US" w:eastAsia="zh-CN"/>
        </w:rPr>
        <w:t>安全可靠</w:t>
      </w:r>
      <w:bookmarkEnd w:id="4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坚持观念创新、制度创新、管理创新和技术创新，正确处理安全与发展的关系，建设中同步考虑系统安全，确保系统可靠和信息可信。</w:t>
      </w:r>
    </w:p>
    <w:p>
      <w:pPr>
        <w:pStyle w:val="31"/>
        <w:ind w:left="0" w:firstLine="0"/>
        <w:outlineLvl w:val="0"/>
        <w:rPr>
          <w:rFonts w:hint="default" w:cs="Times New Roman"/>
          <w:color w:val="auto"/>
          <w:sz w:val="21"/>
          <w:szCs w:val="21"/>
          <w:highlight w:val="none"/>
          <w:lang w:val="en-US" w:eastAsia="zh-CN"/>
        </w:rPr>
      </w:pPr>
      <w:bookmarkStart w:id="46" w:name="_Toc322"/>
      <w:r>
        <w:rPr>
          <w:rFonts w:hint="default" w:cs="Times New Roman"/>
          <w:color w:val="auto"/>
          <w:sz w:val="21"/>
          <w:szCs w:val="21"/>
          <w:highlight w:val="none"/>
          <w:lang w:val="en-US" w:eastAsia="zh-CN"/>
        </w:rPr>
        <w:t>系统构成</w:t>
      </w:r>
      <w:bookmarkEnd w:id="46"/>
    </w:p>
    <w:p>
      <w:pPr>
        <w:pStyle w:val="34"/>
        <w:bidi w:val="0"/>
        <w:outlineLvl w:val="1"/>
        <w:rPr>
          <w:rFonts w:hint="default" w:cs="Times New Roman"/>
          <w:color w:val="auto"/>
          <w:highlight w:val="none"/>
          <w:lang w:val="en-US" w:eastAsia="zh-CN"/>
        </w:rPr>
      </w:pPr>
      <w:bookmarkStart w:id="47" w:name="_Toc3710"/>
      <w:r>
        <w:rPr>
          <w:rFonts w:hint="default" w:cs="Times New Roman"/>
          <w:color w:val="auto"/>
          <w:highlight w:val="none"/>
          <w:lang w:val="en-US" w:eastAsia="zh-CN"/>
        </w:rPr>
        <w:t>系统架构</w:t>
      </w:r>
      <w:bookmarkEnd w:id="4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气候投融资数字化平台建设指南</w:t>
      </w:r>
      <w:r>
        <w:rPr>
          <w:rFonts w:hint="default"/>
          <w:lang w:val="en-US" w:eastAsia="zh-CN"/>
        </w:rPr>
        <w:t>系统宜采用微服务技术架构，实现应用的高可用、可伸缩，保障系统稳定性。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气候投融资数字化平台建设指南</w:t>
      </w:r>
      <w:r>
        <w:rPr>
          <w:rFonts w:hint="default"/>
          <w:lang w:val="en-US" w:eastAsia="zh-CN"/>
        </w:rPr>
        <w:t>数据库宜采用主从多副本集群部署技术架构，支持数据的备份和异常恢复，保障数据的高可用。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气候投融资数字化平台建设指南</w:t>
      </w:r>
      <w:r>
        <w:rPr>
          <w:rFonts w:hint="default"/>
          <w:lang w:val="en-US" w:eastAsia="zh-CN"/>
        </w:rPr>
        <w:t>网络通信宜采用负载均衡网络架构,实现最优资源使用、最小化响应耗时。</w:t>
      </w:r>
    </w:p>
    <w:p>
      <w:pPr>
        <w:pStyle w:val="34"/>
        <w:bidi w:val="0"/>
        <w:outlineLvl w:val="1"/>
        <w:rPr>
          <w:rFonts w:hint="default" w:cs="Times New Roman"/>
          <w:color w:val="auto"/>
          <w:highlight w:val="none"/>
          <w:lang w:val="en-US" w:eastAsia="zh-CN"/>
        </w:rPr>
      </w:pPr>
      <w:bookmarkStart w:id="48" w:name="_Toc8205"/>
      <w:r>
        <w:rPr>
          <w:rFonts w:hint="default" w:cs="Times New Roman"/>
          <w:color w:val="auto"/>
          <w:highlight w:val="none"/>
          <w:lang w:val="en-US" w:eastAsia="zh-CN"/>
        </w:rPr>
        <w:t>系统模块组成</w:t>
      </w:r>
      <w:bookmarkEnd w:id="4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气候投融资数字化平台建设指南</w:t>
      </w:r>
      <w:r>
        <w:rPr>
          <w:rFonts w:hint="default"/>
          <w:lang w:val="en-US" w:eastAsia="zh-CN"/>
        </w:rPr>
        <w:t>系统宜涵盖可视化展示、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金融监测统计、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金融评价、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金融融资、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金融信息共享、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金融产品服务、国际合作、</w:t>
      </w:r>
      <w:r>
        <w:rPr>
          <w:rFonts w:hint="eastAsia"/>
          <w:lang w:val="en-US" w:eastAsia="zh-CN"/>
        </w:rPr>
        <w:t>问题咨询</w:t>
      </w:r>
      <w:r>
        <w:rPr>
          <w:rFonts w:hint="default"/>
          <w:lang w:val="en-US" w:eastAsia="zh-CN"/>
        </w:rPr>
        <w:t>、系统设置等功能模块。</w:t>
      </w:r>
    </w:p>
    <w:p>
      <w:pPr>
        <w:pStyle w:val="31"/>
        <w:ind w:left="0" w:firstLine="0"/>
        <w:outlineLvl w:val="0"/>
        <w:rPr>
          <w:rFonts w:hint="default" w:cs="Times New Roman"/>
          <w:color w:val="auto"/>
          <w:sz w:val="21"/>
          <w:szCs w:val="21"/>
          <w:highlight w:val="none"/>
          <w:lang w:val="en-US" w:eastAsia="zh-CN"/>
        </w:rPr>
      </w:pPr>
      <w:bookmarkStart w:id="49" w:name="_Toc23690"/>
      <w:r>
        <w:rPr>
          <w:rFonts w:hint="default" w:cs="Times New Roman"/>
          <w:color w:val="auto"/>
          <w:sz w:val="21"/>
          <w:szCs w:val="21"/>
          <w:highlight w:val="none"/>
          <w:lang w:val="en-US" w:eastAsia="zh-CN"/>
        </w:rPr>
        <w:t>系统基础数据元表示要求</w:t>
      </w:r>
      <w:bookmarkEnd w:id="4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气候投融资数字化平台建设指南</w:t>
      </w:r>
      <w:r>
        <w:rPr>
          <w:rFonts w:hint="default"/>
          <w:lang w:val="en-US" w:eastAsia="zh-CN"/>
        </w:rPr>
        <w:t>基础数据元是金融业务领域内的数据单元，其概念和结构遵循银行业数据元的概念和结构，是通用银行业数据元的一个子集，每一个</w:t>
      </w:r>
      <w:r>
        <w:rPr>
          <w:rFonts w:hint="eastAsia"/>
          <w:lang w:val="en-US" w:eastAsia="zh-CN"/>
        </w:rPr>
        <w:t>气候投融资数字化平台建设指南</w:t>
      </w:r>
      <w:r>
        <w:rPr>
          <w:rFonts w:hint="default"/>
          <w:lang w:val="en-US" w:eastAsia="zh-CN"/>
        </w:rPr>
        <w:t>信贷数据元均宜符合如下描述要求：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——中文名称：数据元的中文名称，宜按照GB/T18391.5中规定的数据元命名规范进行命名；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——英文名称：用英文表示的数据元名称；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——数据类型：用于定义数据域的取值类型，由文本、数值、日期和时间四个基本的数据组成；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——取值：取值范围可以是一个集合，任何在此集合外的取值都被认为是非法取值，取值若为“无”，则表示本标准中该数据元的取值无限制；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——备注：与该数据元相关的其他说明。</w:t>
      </w:r>
    </w:p>
    <w:p>
      <w:pPr>
        <w:pStyle w:val="31"/>
        <w:ind w:left="0" w:firstLine="0"/>
        <w:outlineLvl w:val="0"/>
        <w:rPr>
          <w:rFonts w:hint="default" w:cs="Times New Roman"/>
          <w:color w:val="auto"/>
          <w:sz w:val="21"/>
          <w:szCs w:val="21"/>
          <w:highlight w:val="none"/>
          <w:lang w:val="en-US" w:eastAsia="zh-CN"/>
        </w:rPr>
      </w:pPr>
      <w:bookmarkStart w:id="50" w:name="_Toc15559"/>
      <w:r>
        <w:rPr>
          <w:rFonts w:hint="default" w:cs="Times New Roman"/>
          <w:color w:val="auto"/>
          <w:sz w:val="21"/>
          <w:szCs w:val="21"/>
          <w:highlight w:val="none"/>
          <w:lang w:val="en-US" w:eastAsia="zh-CN"/>
        </w:rPr>
        <w:t>平台技术要求</w:t>
      </w:r>
      <w:bookmarkEnd w:id="50"/>
    </w:p>
    <w:p>
      <w:pPr>
        <w:pStyle w:val="34"/>
        <w:bidi w:val="0"/>
        <w:outlineLvl w:val="1"/>
        <w:rPr>
          <w:rFonts w:hint="default" w:cs="Times New Roman"/>
          <w:color w:val="auto"/>
          <w:highlight w:val="none"/>
          <w:lang w:val="en-US" w:eastAsia="zh-CN"/>
        </w:rPr>
      </w:pPr>
      <w:bookmarkStart w:id="51" w:name="_Toc24414"/>
      <w:r>
        <w:rPr>
          <w:rFonts w:hint="default" w:cs="Times New Roman"/>
          <w:color w:val="auto"/>
          <w:highlight w:val="none"/>
          <w:lang w:val="en-US" w:eastAsia="zh-CN"/>
        </w:rPr>
        <w:t>操作系统要求</w:t>
      </w:r>
      <w:bookmarkEnd w:id="5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操作系统宜选用通用的、稳定的实时多任务操作系统，宜优先采国产操作系统。</w:t>
      </w:r>
    </w:p>
    <w:p>
      <w:pPr>
        <w:pStyle w:val="34"/>
        <w:bidi w:val="0"/>
        <w:outlineLvl w:val="1"/>
        <w:rPr>
          <w:rFonts w:hint="default" w:cs="Times New Roman"/>
          <w:color w:val="auto"/>
          <w:highlight w:val="none"/>
          <w:lang w:val="en-US" w:eastAsia="zh-CN"/>
        </w:rPr>
      </w:pPr>
      <w:bookmarkStart w:id="52" w:name="_Toc24675"/>
      <w:r>
        <w:rPr>
          <w:rFonts w:hint="default" w:cs="Times New Roman"/>
          <w:color w:val="auto"/>
          <w:highlight w:val="none"/>
          <w:lang w:val="en-US" w:eastAsia="zh-CN"/>
        </w:rPr>
        <w:t>数据库要求</w:t>
      </w:r>
      <w:bookmarkEnd w:id="5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数据库软件宜选用通用的、稳定的数据库。</w:t>
      </w:r>
    </w:p>
    <w:p>
      <w:pPr>
        <w:pStyle w:val="34"/>
        <w:bidi w:val="0"/>
        <w:outlineLvl w:val="1"/>
        <w:rPr>
          <w:rFonts w:hint="default" w:cs="Times New Roman"/>
          <w:color w:val="auto"/>
          <w:highlight w:val="none"/>
          <w:lang w:val="en-US" w:eastAsia="zh-CN"/>
        </w:rPr>
      </w:pPr>
      <w:bookmarkStart w:id="53" w:name="_Toc19177"/>
      <w:r>
        <w:rPr>
          <w:rFonts w:hint="default" w:cs="Times New Roman"/>
          <w:color w:val="auto"/>
          <w:highlight w:val="none"/>
          <w:lang w:val="en-US" w:eastAsia="zh-CN"/>
        </w:rPr>
        <w:t>应用软件要求</w:t>
      </w:r>
      <w:bookmarkEnd w:id="5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对系统正常使用过程中用到的文字编辑、下载工具、解压工具、通讯工具、远控软件、安防软件等应用软件，宜优先采用国产、开源软件。</w:t>
      </w:r>
    </w:p>
    <w:p>
      <w:pPr>
        <w:pStyle w:val="31"/>
        <w:ind w:left="0" w:firstLine="0"/>
        <w:outlineLvl w:val="0"/>
        <w:rPr>
          <w:rFonts w:hint="default" w:cs="Times New Roman"/>
          <w:color w:val="auto"/>
          <w:sz w:val="21"/>
          <w:szCs w:val="21"/>
          <w:highlight w:val="none"/>
          <w:lang w:val="en-US" w:eastAsia="zh-CN"/>
        </w:rPr>
      </w:pPr>
      <w:bookmarkStart w:id="54" w:name="_Toc2763"/>
      <w:r>
        <w:rPr>
          <w:rFonts w:hint="default" w:cs="Times New Roman"/>
          <w:color w:val="auto"/>
          <w:sz w:val="21"/>
          <w:szCs w:val="21"/>
          <w:highlight w:val="none"/>
          <w:lang w:val="en-US" w:eastAsia="zh-CN"/>
        </w:rPr>
        <w:t>平台功能</w:t>
      </w:r>
      <w:bookmarkEnd w:id="54"/>
    </w:p>
    <w:p>
      <w:pPr>
        <w:pStyle w:val="34"/>
        <w:bidi w:val="0"/>
        <w:outlineLvl w:val="1"/>
        <w:rPr>
          <w:rFonts w:hint="default" w:cs="Times New Roman"/>
          <w:color w:val="auto"/>
          <w:highlight w:val="none"/>
          <w:lang w:val="en-US" w:eastAsia="zh-CN"/>
        </w:rPr>
      </w:pPr>
      <w:bookmarkStart w:id="55" w:name="_Toc13371"/>
      <w:r>
        <w:rPr>
          <w:rFonts w:hint="default" w:cs="Times New Roman"/>
          <w:color w:val="auto"/>
          <w:highlight w:val="none"/>
          <w:lang w:val="en-US" w:eastAsia="zh-CN"/>
        </w:rPr>
        <w:t>平台功能模块</w:t>
      </w:r>
      <w:bookmarkEnd w:id="5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气候投融资数字化平台建设指南</w:t>
      </w:r>
      <w:r>
        <w:rPr>
          <w:rFonts w:hint="default"/>
          <w:lang w:val="en-US" w:eastAsia="zh-CN"/>
        </w:rPr>
        <w:t>系统软件宜包括可视化展示、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金融监测统计、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金融评价、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金融融资、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金融信息共享、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金融产品服务、国际合作、</w:t>
      </w:r>
      <w:r>
        <w:rPr>
          <w:rFonts w:hint="eastAsia"/>
          <w:lang w:val="en-US" w:eastAsia="zh-CN"/>
        </w:rPr>
        <w:t>问题咨询</w:t>
      </w:r>
      <w:r>
        <w:rPr>
          <w:rFonts w:hint="default"/>
          <w:lang w:val="en-US" w:eastAsia="zh-CN"/>
        </w:rPr>
        <w:t>、系统设置等模块。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气候投融资数字化平台建设指南</w:t>
      </w:r>
      <w:r>
        <w:rPr>
          <w:rFonts w:hint="default"/>
          <w:lang w:val="en-US" w:eastAsia="zh-CN"/>
        </w:rPr>
        <w:t>功能模块构成见表1</w:t>
      </w:r>
    </w:p>
    <w:p>
      <w:pPr>
        <w:spacing w:beforeLines="50" w:afterLines="50" w:line="240" w:lineRule="auto"/>
        <w:ind w:firstLine="0" w:firstLineChars="0"/>
        <w:jc w:val="center"/>
        <w:rPr>
          <w:rFonts w:hint="default" w:ascii="黑体" w:hAnsi="黑体" w:eastAsia="黑体" w:cs="黑体"/>
          <w:color w:val="auto"/>
          <w:highlight w:val="none"/>
          <w:lang w:val="en-US" w:eastAsia="zh-CN"/>
        </w:rPr>
      </w:pPr>
      <w:r>
        <w:rPr>
          <w:rFonts w:hint="default" w:ascii="黑体" w:hAnsi="黑体" w:eastAsia="黑体" w:cs="黑体"/>
          <w:color w:val="auto"/>
          <w:highlight w:val="none"/>
          <w:lang w:val="en-US" w:eastAsia="zh-CN"/>
        </w:rPr>
        <w:t xml:space="preserve">表1 </w:t>
      </w: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气候投融资数字化平台建设指南</w:t>
      </w:r>
      <w:r>
        <w:rPr>
          <w:rFonts w:hint="default" w:ascii="黑体" w:hAnsi="黑体" w:eastAsia="黑体" w:cs="黑体"/>
          <w:color w:val="auto"/>
          <w:highlight w:val="none"/>
          <w:lang w:val="en-US" w:eastAsia="zh-CN"/>
        </w:rPr>
        <w:t>功能模块</w:t>
      </w:r>
    </w:p>
    <w:tbl>
      <w:tblPr>
        <w:tblStyle w:val="10"/>
        <w:tblW w:w="49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4"/>
        <w:gridCol w:w="47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tblHeader/>
        </w:trPr>
        <w:tc>
          <w:tcPr>
            <w:tcW w:w="2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大类</w:t>
            </w:r>
          </w:p>
        </w:tc>
        <w:tc>
          <w:tcPr>
            <w:tcW w:w="2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子项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25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登陆与退出</w:t>
            </w:r>
          </w:p>
        </w:tc>
        <w:tc>
          <w:tcPr>
            <w:tcW w:w="2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登陆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2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25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用户管理</w:t>
            </w:r>
          </w:p>
        </w:tc>
        <w:tc>
          <w:tcPr>
            <w:tcW w:w="2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增加用户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2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修改用户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2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权限控制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2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修改密码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25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可视化展示</w:t>
            </w:r>
          </w:p>
        </w:tc>
        <w:tc>
          <w:tcPr>
            <w:tcW w:w="2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气候总览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2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气候融资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2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区城气候发展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2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金融机构评价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25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气候金融监测统计</w:t>
            </w:r>
          </w:p>
        </w:tc>
        <w:tc>
          <w:tcPr>
            <w:tcW w:w="2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报表接收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2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接收情况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2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报表设计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2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报表发布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数据查询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气候信贷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气候债券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数据校验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外部数据导入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气候金融评价</w:t>
            </w:r>
          </w:p>
        </w:tc>
        <w:tc>
          <w:tcPr>
            <w:tcW w:w="2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气候金融概览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金融机构评价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区域评价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气候金融融资</w:t>
            </w:r>
          </w:p>
        </w:tc>
        <w:tc>
          <w:tcPr>
            <w:tcW w:w="2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项目推荐库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气候友好型项目库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气候友好型企业库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融资对接统计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气候票据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气候再贷款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环境效益测算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气候金融信息共享</w:t>
            </w:r>
          </w:p>
        </w:tc>
        <w:tc>
          <w:tcPr>
            <w:tcW w:w="2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企业环保信用查询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气候金融支持政策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碳中和信息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default"/>
          <w:lang w:val="en-US" w:eastAsia="zh-CN"/>
        </w:rPr>
      </w:pPr>
      <w:r>
        <w:rPr>
          <w:rFonts w:hint="default" w:ascii="黑体" w:hAnsi="黑体" w:eastAsia="黑体" w:cs="黑体"/>
          <w:color w:val="auto"/>
          <w:highlight w:val="none"/>
          <w:lang w:val="en-US" w:eastAsia="zh-CN"/>
        </w:rPr>
        <w:t>表1</w:t>
      </w: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.1</w:t>
      </w:r>
      <w:r>
        <w:rPr>
          <w:rFonts w:hint="default" w:ascii="黑体" w:hAnsi="黑体" w:eastAsia="黑体" w:cs="黑体"/>
          <w:color w:val="auto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气候投融资数字化平台建设指南</w:t>
      </w:r>
      <w:r>
        <w:rPr>
          <w:rFonts w:hint="default" w:ascii="黑体" w:hAnsi="黑体" w:eastAsia="黑体" w:cs="黑体"/>
          <w:color w:val="auto"/>
          <w:highlight w:val="none"/>
          <w:lang w:val="en-US" w:eastAsia="zh-CN"/>
        </w:rPr>
        <w:t>功能模块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（续）</w:t>
      </w:r>
    </w:p>
    <w:tbl>
      <w:tblPr>
        <w:tblStyle w:val="10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5"/>
        <w:gridCol w:w="47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气候产品服务</w:t>
            </w:r>
          </w:p>
        </w:tc>
        <w:tc>
          <w:tcPr>
            <w:tcW w:w="2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金融信息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气候金融产品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气候金融案例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气候服务地图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环境信息披露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国际合作</w:t>
            </w:r>
          </w:p>
        </w:tc>
        <w:tc>
          <w:tcPr>
            <w:tcW w:w="2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学术交流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合作案例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气候国际案例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问题咨询</w:t>
            </w:r>
          </w:p>
        </w:tc>
        <w:tc>
          <w:tcPr>
            <w:tcW w:w="2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问题咨询</w:t>
            </w:r>
          </w:p>
        </w:tc>
      </w:tr>
    </w:tbl>
    <w:p>
      <w:pPr>
        <w:pStyle w:val="34"/>
        <w:bidi w:val="0"/>
        <w:outlineLvl w:val="1"/>
        <w:rPr>
          <w:rFonts w:hint="default" w:cs="Times New Roman"/>
          <w:color w:val="auto"/>
          <w:highlight w:val="none"/>
          <w:lang w:val="en-US" w:eastAsia="zh-CN"/>
        </w:rPr>
      </w:pPr>
      <w:bookmarkStart w:id="56" w:name="_Toc1622"/>
      <w:r>
        <w:rPr>
          <w:rFonts w:hint="default" w:cs="Times New Roman"/>
          <w:color w:val="auto"/>
          <w:highlight w:val="none"/>
          <w:lang w:val="en-US" w:eastAsia="zh-CN"/>
        </w:rPr>
        <w:t>可视化展示</w:t>
      </w:r>
      <w:bookmarkEnd w:id="5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宜利用“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金融地图”形象地展示全域以及具体到各个区域金融支持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产业的情况。可视化展示模块宜包括以下内容: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——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总览，能体现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金融发展总体情况，包括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金融产品、环境效益交易、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项目库、环境信息披露、金融市场体系、标准体系建设、政策支持等方面，地图能展示核心区金融支持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整体发展情况；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——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融资，能展示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贷款的整体情况，包括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贷款余额月度趋势、金融支持企业数、不良贷款余额等相关指标；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——区域发展，能反映区域</w:t>
      </w:r>
      <w:r>
        <w:rPr>
          <w:rFonts w:hint="eastAsia"/>
          <w:lang w:val="en-US" w:eastAsia="zh-CN"/>
        </w:rPr>
        <w:t>气候投融资</w:t>
      </w:r>
      <w:r>
        <w:rPr>
          <w:rFonts w:hint="default"/>
          <w:lang w:val="en-US" w:eastAsia="zh-CN"/>
        </w:rPr>
        <w:t>发展整体情况，其中，区域发展排名是对不同指标的排名，有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贷款、支持企业数和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债券的区域排名；区域政策创新是不同区域出的相关实施方案；地图能展示核心区和重点区</w:t>
      </w:r>
      <w:r>
        <w:rPr>
          <w:rFonts w:hint="eastAsia"/>
          <w:lang w:val="en-US" w:eastAsia="zh-CN"/>
        </w:rPr>
        <w:t>气候投融资</w:t>
      </w:r>
      <w:r>
        <w:rPr>
          <w:rFonts w:hint="default"/>
          <w:lang w:val="en-US" w:eastAsia="zh-CN"/>
        </w:rPr>
        <w:t>发展的相关情况；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——金融机构评价，能反映各金融机构支持</w:t>
      </w:r>
      <w:r>
        <w:rPr>
          <w:rFonts w:hint="eastAsia"/>
          <w:lang w:val="en-US" w:eastAsia="zh-CN"/>
        </w:rPr>
        <w:t>气候投融资</w:t>
      </w:r>
      <w:r>
        <w:rPr>
          <w:rFonts w:hint="default"/>
          <w:lang w:val="en-US" w:eastAsia="zh-CN"/>
        </w:rPr>
        <w:t>情况，宜包括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信贷绩效评价排名、支持六大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产业金融机构排名情况、不同指标各金融机构排名等。</w:t>
      </w:r>
    </w:p>
    <w:p>
      <w:pPr>
        <w:pStyle w:val="34"/>
        <w:bidi w:val="0"/>
        <w:outlineLvl w:val="1"/>
        <w:rPr>
          <w:rFonts w:hint="default" w:cs="Times New Roman"/>
          <w:color w:val="auto"/>
          <w:highlight w:val="none"/>
          <w:lang w:val="en-US" w:eastAsia="zh-CN"/>
        </w:rPr>
      </w:pPr>
      <w:bookmarkStart w:id="57" w:name="_Toc18353"/>
      <w:r>
        <w:rPr>
          <w:rFonts w:hint="eastAsia" w:cs="Times New Roman"/>
          <w:color w:val="auto"/>
          <w:highlight w:val="none"/>
          <w:lang w:val="en-US" w:eastAsia="zh-CN"/>
        </w:rPr>
        <w:t>气候</w:t>
      </w:r>
      <w:r>
        <w:rPr>
          <w:rFonts w:hint="default" w:cs="Times New Roman"/>
          <w:color w:val="auto"/>
          <w:highlight w:val="none"/>
          <w:lang w:val="en-US" w:eastAsia="zh-CN"/>
        </w:rPr>
        <w:t>金融监测统计</w:t>
      </w:r>
      <w:bookmarkEnd w:id="5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金融监测统计模块宜包括以下内容：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——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金融报表，能实现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金融数据报送表格设计、报送时间设置、报送情况监测；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——数据校验，能实现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金融数据校验，按照报送规则进行校验；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——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信贷、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债券，能生成各类</w:t>
      </w:r>
      <w:r>
        <w:rPr>
          <w:rFonts w:hint="eastAsia"/>
          <w:lang w:val="en-US" w:eastAsia="zh-CN"/>
        </w:rPr>
        <w:t>气候金融</w:t>
      </w:r>
      <w:r>
        <w:rPr>
          <w:rFonts w:hint="default"/>
          <w:lang w:val="en-US" w:eastAsia="zh-CN"/>
        </w:rPr>
        <w:t>数据统计表，对各地区、各机构实现精准画像。</w:t>
      </w:r>
    </w:p>
    <w:p>
      <w:pPr>
        <w:pStyle w:val="34"/>
        <w:bidi w:val="0"/>
        <w:outlineLvl w:val="1"/>
        <w:rPr>
          <w:rFonts w:hint="default" w:cs="Times New Roman"/>
          <w:color w:val="auto"/>
          <w:highlight w:val="none"/>
          <w:lang w:val="en-US" w:eastAsia="zh-CN"/>
        </w:rPr>
      </w:pPr>
      <w:bookmarkStart w:id="58" w:name="_Toc13260"/>
      <w:r>
        <w:rPr>
          <w:rFonts w:hint="eastAsia" w:cs="Times New Roman"/>
          <w:color w:val="auto"/>
          <w:highlight w:val="none"/>
          <w:lang w:val="en-US" w:eastAsia="zh-CN"/>
        </w:rPr>
        <w:t>气候</w:t>
      </w:r>
      <w:r>
        <w:rPr>
          <w:rFonts w:hint="default" w:cs="Times New Roman"/>
          <w:color w:val="auto"/>
          <w:highlight w:val="none"/>
          <w:lang w:val="en-US" w:eastAsia="zh-CN"/>
        </w:rPr>
        <w:t>金融评价</w:t>
      </w:r>
      <w:bookmarkEnd w:id="5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金融评价模块宜包括以下内容: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——金融机构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评价，能从贷款余额、不良率、发放额等不同指标进行排名，定期对金融机构进行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信贷绩效评价，包括法人和非法人金融机构；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——区域评价，能实现区域</w:t>
      </w:r>
      <w:r>
        <w:rPr>
          <w:rFonts w:hint="eastAsia"/>
          <w:lang w:val="en-US" w:eastAsia="zh-CN"/>
        </w:rPr>
        <w:t>气候投融资</w:t>
      </w:r>
      <w:r>
        <w:rPr>
          <w:rFonts w:hint="default"/>
          <w:lang w:val="en-US" w:eastAsia="zh-CN"/>
        </w:rPr>
        <w:t>发展水平的线上评价，为政府制定相关政策提供参考；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——试验区评估，能展示各个试验区一起参与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金融改革综合评估。</w:t>
      </w:r>
    </w:p>
    <w:p>
      <w:pPr>
        <w:pStyle w:val="34"/>
        <w:bidi w:val="0"/>
        <w:outlineLvl w:val="1"/>
        <w:rPr>
          <w:rFonts w:hint="default" w:cs="Times New Roman"/>
          <w:color w:val="auto"/>
          <w:highlight w:val="none"/>
          <w:lang w:val="en-US" w:eastAsia="zh-CN"/>
        </w:rPr>
      </w:pPr>
      <w:bookmarkStart w:id="59" w:name="_Toc6504"/>
      <w:r>
        <w:rPr>
          <w:rFonts w:hint="eastAsia" w:cs="Times New Roman"/>
          <w:color w:val="auto"/>
          <w:highlight w:val="none"/>
          <w:lang w:val="en-US" w:eastAsia="zh-CN"/>
        </w:rPr>
        <w:t>气候</w:t>
      </w:r>
      <w:r>
        <w:rPr>
          <w:rFonts w:hint="default" w:cs="Times New Roman"/>
          <w:color w:val="auto"/>
          <w:highlight w:val="none"/>
          <w:lang w:val="en-US" w:eastAsia="zh-CN"/>
        </w:rPr>
        <w:t>金融融资</w:t>
      </w:r>
      <w:bookmarkEnd w:id="5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金融融资模块宜包括以下内容: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——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项目库，能对金融机构融资对接进行跟踪监测，统计金融机构对项目库支持的状况；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——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再贷款，金融机构提交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贷款再贷款申请，中国人民银行对申请进行审核，并办理相关再贷款业务；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——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票据，金融机构进行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票据识别及提交，中国人民银行对金融机构提交的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票据再贴现申请进行审核，审核通过的，快速办理再贴现；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——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智能识别，能为金融机构提供项目以及流动资金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识别；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——环境效益测算，能根据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项目相关指标进行环境效益测算。</w:t>
      </w:r>
    </w:p>
    <w:p>
      <w:pPr>
        <w:pStyle w:val="34"/>
        <w:bidi w:val="0"/>
        <w:outlineLvl w:val="1"/>
        <w:rPr>
          <w:rFonts w:hint="default" w:cs="Times New Roman"/>
          <w:color w:val="auto"/>
          <w:highlight w:val="none"/>
          <w:lang w:val="en-US" w:eastAsia="zh-CN"/>
        </w:rPr>
      </w:pPr>
      <w:bookmarkStart w:id="60" w:name="_Toc31615"/>
      <w:r>
        <w:rPr>
          <w:rFonts w:hint="eastAsia" w:cs="Times New Roman"/>
          <w:color w:val="auto"/>
          <w:highlight w:val="none"/>
          <w:lang w:val="en-US" w:eastAsia="zh-CN"/>
        </w:rPr>
        <w:t>气候</w:t>
      </w:r>
      <w:r>
        <w:rPr>
          <w:rFonts w:hint="default" w:cs="Times New Roman"/>
          <w:color w:val="auto"/>
          <w:highlight w:val="none"/>
          <w:lang w:val="en-US" w:eastAsia="zh-CN"/>
        </w:rPr>
        <w:t>金融信息共享</w:t>
      </w:r>
      <w:bookmarkEnd w:id="6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金融信息共享模块宜包括：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——企业环保信息查询，即在模块中输入组织机构代码或者公司名称，可查询企业环境相关信息；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——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金融支持政策，能发布支持</w:t>
      </w:r>
      <w:r>
        <w:rPr>
          <w:rFonts w:hint="eastAsia"/>
          <w:lang w:val="en-US" w:eastAsia="zh-CN"/>
        </w:rPr>
        <w:t>气候投融资</w:t>
      </w:r>
      <w:r>
        <w:rPr>
          <w:rFonts w:hint="default"/>
          <w:lang w:val="en-US" w:eastAsia="zh-CN"/>
        </w:rPr>
        <w:t>发展的相关金融政策、财政政策、产业政策、配套政策、</w:t>
      </w:r>
      <w:r>
        <w:rPr>
          <w:rFonts w:hint="eastAsia"/>
          <w:lang w:val="en-US" w:eastAsia="zh-CN"/>
        </w:rPr>
        <w:t>气候投融资</w:t>
      </w:r>
      <w:r>
        <w:rPr>
          <w:rFonts w:hint="default"/>
          <w:lang w:val="en-US" w:eastAsia="zh-CN"/>
        </w:rPr>
        <w:t>案例；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——碳中和信息，能发布碳市场履约名单信息、碳中和百科、应对气候变化参阅材料等信息。</w:t>
      </w:r>
    </w:p>
    <w:p>
      <w:pPr>
        <w:pStyle w:val="34"/>
        <w:bidi w:val="0"/>
        <w:outlineLvl w:val="1"/>
        <w:rPr>
          <w:rFonts w:hint="default" w:cs="Times New Roman"/>
          <w:color w:val="auto"/>
          <w:highlight w:val="none"/>
          <w:lang w:val="en-US" w:eastAsia="zh-CN"/>
        </w:rPr>
      </w:pPr>
      <w:bookmarkStart w:id="61" w:name="_Toc10857"/>
      <w:r>
        <w:rPr>
          <w:rFonts w:hint="eastAsia" w:cs="Times New Roman"/>
          <w:color w:val="auto"/>
          <w:highlight w:val="none"/>
          <w:lang w:val="en-US" w:eastAsia="zh-CN"/>
        </w:rPr>
        <w:t>气候</w:t>
      </w:r>
      <w:r>
        <w:rPr>
          <w:rFonts w:hint="default" w:cs="Times New Roman"/>
          <w:color w:val="auto"/>
          <w:highlight w:val="none"/>
          <w:lang w:val="en-US" w:eastAsia="zh-CN"/>
        </w:rPr>
        <w:t>金融产品</w:t>
      </w:r>
      <w:bookmarkEnd w:id="6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服务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金融产品服务模块宜包括以下内容：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——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金融信息，能发布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金融动态、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金融标准、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机构、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金融政策等信息；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——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金融产品，能发布各金融机构的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金融产品服务和信息；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——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金融案例，能发布各金融机构的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金融案例；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——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服务地图，能分地区分机构发布各金融机构的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金融服务网点和联系人信息；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——环境信息披露，能发布各金融机构的环境信息披露报告。</w:t>
      </w:r>
    </w:p>
    <w:p>
      <w:pPr>
        <w:pStyle w:val="34"/>
        <w:bidi w:val="0"/>
        <w:outlineLvl w:val="1"/>
        <w:rPr>
          <w:rFonts w:hint="default" w:cs="Times New Roman"/>
          <w:color w:val="auto"/>
          <w:highlight w:val="none"/>
          <w:lang w:val="en-US" w:eastAsia="zh-CN"/>
        </w:rPr>
      </w:pPr>
      <w:bookmarkStart w:id="62" w:name="_Toc13386"/>
      <w:r>
        <w:rPr>
          <w:rFonts w:hint="default" w:cs="Times New Roman"/>
          <w:color w:val="auto"/>
          <w:highlight w:val="none"/>
          <w:lang w:val="en-US" w:eastAsia="zh-CN"/>
        </w:rPr>
        <w:t>国际合作</w:t>
      </w:r>
      <w:bookmarkEnd w:id="6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宜在此模块提供发达经济体在金融支持</w:t>
      </w:r>
      <w:r>
        <w:rPr>
          <w:rFonts w:hint="eastAsia"/>
          <w:lang w:val="en-US" w:eastAsia="zh-CN"/>
        </w:rPr>
        <w:t>气候</w:t>
      </w:r>
      <w:r>
        <w:rPr>
          <w:rFonts w:hint="default"/>
          <w:lang w:val="en-US" w:eastAsia="zh-CN"/>
        </w:rPr>
        <w:t>发展方面的先进经验及做法。</w:t>
      </w:r>
    </w:p>
    <w:p>
      <w:pPr>
        <w:pStyle w:val="34"/>
        <w:bidi w:val="0"/>
        <w:outlineLvl w:val="1"/>
        <w:rPr>
          <w:rFonts w:hint="default" w:cs="Times New Roman"/>
          <w:color w:val="auto"/>
          <w:highlight w:val="none"/>
          <w:lang w:val="en-US" w:eastAsia="zh-CN"/>
        </w:rPr>
      </w:pPr>
      <w:bookmarkStart w:id="63" w:name="_Toc20534"/>
      <w:r>
        <w:rPr>
          <w:rFonts w:hint="eastAsia" w:cs="Times New Roman"/>
          <w:color w:val="auto"/>
          <w:highlight w:val="none"/>
          <w:lang w:val="en-US" w:eastAsia="zh-CN"/>
        </w:rPr>
        <w:t>问题咨询</w:t>
      </w:r>
      <w:bookmarkEnd w:id="6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宜在此模块开通政策在线问答功能，金融机构能反馈政策执行遇到的新情况、新问题，相关管理部门能及时进行反馈。</w:t>
      </w:r>
    </w:p>
    <w:p>
      <w:pPr>
        <w:pStyle w:val="31"/>
        <w:ind w:left="0" w:firstLine="0"/>
        <w:outlineLvl w:val="0"/>
        <w:rPr>
          <w:rFonts w:hint="default" w:cs="Times New Roman"/>
          <w:color w:val="auto"/>
          <w:sz w:val="21"/>
          <w:szCs w:val="21"/>
          <w:highlight w:val="none"/>
          <w:lang w:val="en-US" w:eastAsia="zh-CN"/>
        </w:rPr>
      </w:pPr>
      <w:bookmarkStart w:id="64" w:name="_Toc22928"/>
      <w:r>
        <w:rPr>
          <w:rFonts w:hint="default" w:cs="Times New Roman"/>
          <w:color w:val="auto"/>
          <w:sz w:val="21"/>
          <w:szCs w:val="21"/>
          <w:highlight w:val="none"/>
          <w:lang w:val="en-US" w:eastAsia="zh-CN"/>
        </w:rPr>
        <w:t>接口管理</w:t>
      </w:r>
      <w:bookmarkEnd w:id="64"/>
    </w:p>
    <w:p>
      <w:pPr>
        <w:pStyle w:val="34"/>
        <w:bidi w:val="0"/>
        <w:outlineLvl w:val="1"/>
        <w:rPr>
          <w:rFonts w:hint="default" w:cs="Times New Roman"/>
          <w:color w:val="auto"/>
          <w:highlight w:val="none"/>
          <w:lang w:val="en-US" w:eastAsia="zh-CN"/>
        </w:rPr>
      </w:pPr>
      <w:bookmarkStart w:id="65" w:name="_Toc20697"/>
      <w:r>
        <w:rPr>
          <w:rFonts w:hint="default" w:cs="Times New Roman"/>
          <w:color w:val="auto"/>
          <w:highlight w:val="none"/>
          <w:lang w:val="en-US" w:eastAsia="zh-CN"/>
        </w:rPr>
        <w:t>接口类型</w:t>
      </w:r>
      <w:bookmarkEnd w:id="6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包括平台内部交互接口和平台与外部交互的接口，具体如下：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——内部交互接口：</w:t>
      </w:r>
      <w:r>
        <w:rPr>
          <w:rFonts w:hint="eastAsia"/>
          <w:lang w:val="en-US" w:eastAsia="zh-CN"/>
        </w:rPr>
        <w:t>气候投融资数字化平台建设指南</w:t>
      </w:r>
      <w:r>
        <w:rPr>
          <w:rFonts w:hint="default"/>
          <w:lang w:val="en-US" w:eastAsia="zh-CN"/>
        </w:rPr>
        <w:t>内部各功能模块间、应用与数据库交互的接口；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——外部交互接口：</w:t>
      </w:r>
      <w:r>
        <w:rPr>
          <w:rFonts w:hint="eastAsia"/>
          <w:lang w:val="en-US" w:eastAsia="zh-CN"/>
        </w:rPr>
        <w:t>气候投融资数字化平台建设指南</w:t>
      </w:r>
      <w:r>
        <w:rPr>
          <w:rFonts w:hint="default"/>
          <w:lang w:val="en-US" w:eastAsia="zh-CN"/>
        </w:rPr>
        <w:t>与各政府部门、金融机构、融资企业等数字化平台的接口。</w:t>
      </w:r>
    </w:p>
    <w:p>
      <w:pPr>
        <w:pStyle w:val="34"/>
        <w:bidi w:val="0"/>
        <w:outlineLvl w:val="1"/>
        <w:rPr>
          <w:rFonts w:hint="default" w:cs="Times New Roman"/>
          <w:color w:val="auto"/>
          <w:highlight w:val="none"/>
          <w:lang w:val="en-US" w:eastAsia="zh-CN"/>
        </w:rPr>
      </w:pPr>
      <w:bookmarkStart w:id="66" w:name="_Toc25274"/>
      <w:r>
        <w:rPr>
          <w:rFonts w:hint="default" w:cs="Times New Roman"/>
          <w:color w:val="auto"/>
          <w:highlight w:val="none"/>
          <w:lang w:val="en-US" w:eastAsia="zh-CN"/>
        </w:rPr>
        <w:t>交互方式</w:t>
      </w:r>
      <w:bookmarkEnd w:id="6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在保障数据传输安全前提下，系统建设按照满足具体业务场景需求为准，采用文件交互、API接口交互、系统内函数方法交互等方式进行数据交换。</w:t>
      </w:r>
    </w:p>
    <w:p>
      <w:pPr>
        <w:pStyle w:val="34"/>
        <w:bidi w:val="0"/>
        <w:outlineLvl w:val="1"/>
        <w:rPr>
          <w:rFonts w:hint="default" w:cs="Times New Roman"/>
          <w:color w:val="auto"/>
          <w:highlight w:val="none"/>
          <w:lang w:val="en-US" w:eastAsia="zh-CN"/>
        </w:rPr>
      </w:pPr>
      <w:bookmarkStart w:id="67" w:name="_Toc29844"/>
      <w:bookmarkStart w:id="68" w:name="_GoBack"/>
      <w:r>
        <w:rPr>
          <w:rFonts w:hint="default" w:cs="Times New Roman"/>
          <w:color w:val="auto"/>
          <w:highlight w:val="none"/>
          <w:lang w:val="en-US" w:eastAsia="zh-CN"/>
        </w:rPr>
        <w:t>接口规范</w:t>
      </w:r>
      <w:bookmarkEnd w:id="67"/>
      <w:bookmarkEnd w:id="6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遵循安全、规范、易扩展等原则，系统接口设计和开发宜遵循以下规范：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——文件交互：采用数据文件和标识文件配套方式进行交互，其中数据文件为实际业务交互使用的数据，标识文件为确保数据文件完整性的校验文件，用来保障整体交互过程数据完整可靠。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——API接口交互：接口描述包含接口定义、参数说明、返回值、错误码以及示例说明；接口参数包含参数名称、参数类型、是否必填以及备注说明；接口格式采用XML、JSON等主流报文交互格式。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color w:val="auto"/>
          <w:highlight w:val="none"/>
        </w:rPr>
      </w:pPr>
      <w:r>
        <w:rPr>
          <w:rFonts w:hint="default"/>
          <w:lang w:val="en-US" w:eastAsia="zh-CN"/>
        </w:rPr>
        <w:t>——系统内函数方法交互：按照功能模块化、调用灵活化等目标设计基础函数或方法，公用类方法和流程控制类程序分别设置。</w:t>
      </w:r>
      <w:bookmarkEnd w:id="37"/>
      <w:bookmarkEnd w:id="38"/>
      <w:bookmarkEnd w:id="39"/>
    </w:p>
    <w:p>
      <w:pPr>
        <w:pStyle w:val="35"/>
        <w:framePr w:hSpace="0" w:vSpace="0" w:wrap="auto" w:vAnchor="margin" w:hAnchor="text" w:xAlign="left" w:yAlign="inline"/>
        <w:jc w:val="center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</w:rPr>
        <w:drawing>
          <wp:inline distT="0" distB="0" distL="0" distR="0">
            <wp:extent cx="1485900" cy="317500"/>
            <wp:effectExtent l="0" t="0" r="0" b="6350"/>
            <wp:docPr id="103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图片 1"/>
                    <pic:cNvPicPr/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17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 w:cs="黑体"/>
          <w:color w:val="auto"/>
          <w:sz w:val="21"/>
          <w:szCs w:val="21"/>
          <w:highlight w:val="none"/>
          <w:u w:val="none"/>
          <w:lang w:eastAsia="zh-CN"/>
        </w:rPr>
      </w:pPr>
    </w:p>
    <w:sectPr>
      <w:headerReference r:id="rId15" w:type="default"/>
      <w:footerReference r:id="rId17" w:type="default"/>
      <w:headerReference r:id="rId16" w:type="even"/>
      <w:footerReference r:id="rId18" w:type="even"/>
      <w:type w:val="oddPage"/>
      <w:pgSz w:w="11906" w:h="16838"/>
      <w:pgMar w:top="1417" w:right="1134" w:bottom="1134" w:left="1417" w:header="1417" w:footer="1134" w:gutter="0"/>
      <w:pgNumType w:fmt="decimal" w:start="1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050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l1uVLQAAAABQEAAA8AAAAAAAAAAQAgAAAAIgAAAGRy&#10;cy9kb3ducmV2LnhtbFBLAQIUABQAAAAIAIdO4kD0Cujh1AEAAKEDAAAOAAAAAAAAAAEAIAAAAB8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0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47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5dblS0AAAAAUBAAAPAAAAAAAAAAEAIAAAACIAAABk&#10;cnMvZG93bnJldi54bWxQSwECFAAUAAAACACHTuJATgOka9UBAAChAwAADgAAAAAAAAABACAAAAAf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l1uVLQAAAABQEAAA8AAAAAAAAAAQAgAAAAIgAAAGRycy9kb3du&#10;cmV2LnhtbFBLAQIUABQAAAAIAIdO4kCP862wzgEAAJsDAAAOAAAAAAAAAAEAIAAAAB8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9" o:spid="_x0000_s1026" o:spt="1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PL7cfN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0" w:firstLineChars="0"/>
      <w:jc w:val="right"/>
      <w:rPr>
        <w:rFonts w:ascii="黑体" w:hAnsi="黑体" w:eastAsia="黑体" w:cs="黑体"/>
        <w:sz w:val="21"/>
        <w:szCs w:val="21"/>
      </w:rPr>
    </w:pPr>
    <w:r>
      <w:rPr>
        <w:rFonts w:hint="eastAsia" w:ascii="黑体" w:hAnsi="黑体" w:eastAsia="黑体" w:cs="黑体"/>
        <w:sz w:val="21"/>
        <w:szCs w:val="21"/>
      </w:rPr>
      <w:t>T/IPIF0001—2022</w:t>
    </w:r>
  </w:p>
  <w:p>
    <w:pPr>
      <w:pStyle w:val="6"/>
      <w:pBdr>
        <w:bottom w:val="none" w:color="auto" w:sz="0" w:space="0"/>
      </w:pBdr>
      <w:ind w:firstLine="420"/>
      <w:jc w:val="right"/>
      <w:rPr>
        <w:rFonts w:ascii="黑体" w:hAnsi="黑体" w:eastAsia="黑体" w:cs="黑体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right"/>
      <w:rPr>
        <w:rFonts w:hint="eastAsia" w:ascii="黑体" w:hAnsi="黑体" w:eastAsia="黑体" w:cs="黑体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sz w:val="21"/>
        <w:szCs w:val="21"/>
        <w:lang w:eastAsia="zh-CN"/>
      </w:rPr>
      <w:t>T/IPIF 0024</w:t>
    </w:r>
    <w:r>
      <w:rPr>
        <w:rFonts w:hint="eastAsia" w:ascii="黑体" w:hAnsi="黑体" w:eastAsia="黑体" w:cs="黑体"/>
        <w:sz w:val="21"/>
        <w:szCs w:val="21"/>
      </w:rPr>
      <w:t>—</w:t>
    </w:r>
    <w:r>
      <w:rPr>
        <w:rFonts w:hint="eastAsia" w:ascii="黑体" w:hAnsi="黑体" w:eastAsia="黑体" w:cs="黑体"/>
        <w:sz w:val="21"/>
        <w:szCs w:val="21"/>
        <w:lang w:val="en-US" w:eastAsia="zh-CN"/>
      </w:rPr>
      <w:t>2023</w:t>
    </w:r>
  </w:p>
  <w:p>
    <w:pPr>
      <w:pStyle w:val="6"/>
      <w:pBdr>
        <w:bottom w:val="none" w:color="auto" w:sz="0" w:space="0"/>
      </w:pBdr>
      <w:jc w:val="right"/>
      <w:rPr>
        <w:rFonts w:hint="default" w:ascii="黑体" w:hAnsi="黑体" w:eastAsia="黑体" w:cs="黑体"/>
        <w:sz w:val="21"/>
        <w:szCs w:val="21"/>
        <w:lang w:val="en-US" w:eastAsia="zh-C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left"/>
      <w:rPr>
        <w:rFonts w:hint="eastAsia"/>
        <w:lang w:val="en-US" w:eastAsia="zh-CN"/>
      </w:rPr>
    </w:pPr>
    <w:r>
      <w:rPr>
        <w:rFonts w:hint="eastAsia" w:ascii="黑体" w:hAnsi="黑体" w:eastAsia="黑体" w:cs="黑体"/>
        <w:sz w:val="21"/>
        <w:szCs w:val="21"/>
        <w:lang w:eastAsia="zh-CN"/>
      </w:rPr>
      <w:t>T/IPIF 0024</w:t>
    </w:r>
    <w:r>
      <w:rPr>
        <w:rFonts w:hint="eastAsia" w:ascii="黑体" w:hAnsi="黑体" w:eastAsia="黑体" w:cs="黑体"/>
        <w:sz w:val="21"/>
        <w:szCs w:val="21"/>
      </w:rPr>
      <w:t>—</w:t>
    </w:r>
    <w:r>
      <w:rPr>
        <w:rFonts w:hint="eastAsia" w:ascii="黑体" w:hAnsi="黑体" w:eastAsia="黑体" w:cs="黑体"/>
        <w:sz w:val="21"/>
        <w:szCs w:val="21"/>
        <w:lang w:val="en-US" w:eastAsia="zh-CN"/>
      </w:rPr>
      <w:t>2022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right"/>
      <w:rPr>
        <w:rFonts w:hint="eastAsia" w:ascii="黑体" w:hAnsi="黑体" w:eastAsia="黑体" w:cs="黑体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sz w:val="21"/>
        <w:szCs w:val="21"/>
        <w:lang w:eastAsia="zh-CN"/>
      </w:rPr>
      <w:t>T/IPIF 0024</w:t>
    </w:r>
    <w:r>
      <w:rPr>
        <w:rFonts w:hint="eastAsia" w:ascii="黑体" w:hAnsi="黑体" w:eastAsia="黑体" w:cs="黑体"/>
        <w:sz w:val="21"/>
        <w:szCs w:val="21"/>
      </w:rPr>
      <w:t>—</w:t>
    </w:r>
    <w:r>
      <w:rPr>
        <w:rFonts w:hint="eastAsia" w:ascii="黑体" w:hAnsi="黑体" w:eastAsia="黑体" w:cs="黑体"/>
        <w:sz w:val="21"/>
        <w:szCs w:val="21"/>
        <w:lang w:val="en-US" w:eastAsia="zh-CN"/>
      </w:rPr>
      <w:t>2023</w:t>
    </w:r>
  </w:p>
  <w:p>
    <w:pPr>
      <w:pStyle w:val="6"/>
      <w:pBdr>
        <w:bottom w:val="none" w:color="auto" w:sz="0" w:space="0"/>
      </w:pBdr>
      <w:jc w:val="left"/>
      <w:rPr>
        <w:rFonts w:hint="default" w:ascii="黑体" w:hAnsi="黑体" w:eastAsia="黑体" w:cs="黑体"/>
        <w:sz w:val="21"/>
        <w:szCs w:val="21"/>
        <w:lang w:val="en-US" w:eastAsia="zh-CN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left"/>
      <w:rPr>
        <w:rFonts w:hint="eastAsia" w:ascii="黑体" w:hAnsi="黑体" w:eastAsia="黑体" w:cs="黑体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sz w:val="21"/>
        <w:szCs w:val="21"/>
        <w:lang w:eastAsia="zh-CN"/>
      </w:rPr>
      <w:t>T/IPIF 0024</w:t>
    </w:r>
    <w:r>
      <w:rPr>
        <w:rFonts w:hint="eastAsia" w:ascii="黑体" w:hAnsi="黑体" w:eastAsia="黑体" w:cs="黑体"/>
        <w:sz w:val="21"/>
        <w:szCs w:val="21"/>
      </w:rPr>
      <w:t>—</w:t>
    </w:r>
    <w:r>
      <w:rPr>
        <w:rFonts w:hint="eastAsia" w:ascii="黑体" w:hAnsi="黑体" w:eastAsia="黑体" w:cs="黑体"/>
        <w:sz w:val="21"/>
        <w:szCs w:val="21"/>
        <w:lang w:val="en-US" w:eastAsia="zh-CN"/>
      </w:rPr>
      <w:t>2023</w:t>
    </w:r>
  </w:p>
  <w:p>
    <w:pPr>
      <w:pStyle w:val="6"/>
      <w:pBdr>
        <w:bottom w:val="none" w:color="auto" w:sz="0" w:space="0"/>
      </w:pBdr>
      <w:jc w:val="left"/>
      <w:rPr>
        <w:rFonts w:hint="default" w:ascii="黑体" w:hAnsi="黑体" w:eastAsia="黑体" w:cs="黑体"/>
        <w:sz w:val="21"/>
        <w:szCs w:val="21"/>
        <w:lang w:val="en-US" w:eastAsia="zh-CN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right"/>
      <w:rPr>
        <w:rFonts w:hint="default" w:ascii="黑体" w:hAnsi="黑体" w:eastAsia="黑体" w:cs="黑体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sz w:val="21"/>
        <w:szCs w:val="21"/>
        <w:lang w:eastAsia="zh-CN"/>
      </w:rPr>
      <w:t>T/IPIF 0024</w:t>
    </w:r>
    <w:r>
      <w:rPr>
        <w:rFonts w:hint="eastAsia" w:ascii="黑体" w:hAnsi="黑体" w:eastAsia="黑体" w:cs="黑体"/>
        <w:sz w:val="21"/>
        <w:szCs w:val="21"/>
      </w:rPr>
      <w:t>—</w:t>
    </w:r>
    <w:r>
      <w:rPr>
        <w:rFonts w:hint="eastAsia" w:ascii="黑体" w:hAnsi="黑体" w:eastAsia="黑体" w:cs="黑体"/>
        <w:sz w:val="21"/>
        <w:szCs w:val="21"/>
        <w:lang w:val="en-US" w:eastAsia="zh-CN"/>
      </w:rPr>
      <w:t>2023</w:t>
    </w:r>
  </w:p>
  <w:p>
    <w:pPr>
      <w:pStyle w:val="6"/>
      <w:pBdr>
        <w:bottom w:val="none" w:color="auto" w:sz="0" w:space="0"/>
      </w:pBdr>
      <w:jc w:val="right"/>
      <w:rPr>
        <w:rFonts w:hint="eastAsia" w:ascii="黑体" w:hAnsi="黑体" w:eastAsia="黑体" w:cs="黑体"/>
        <w:sz w:val="21"/>
        <w:szCs w:val="21"/>
        <w:lang w:val="en-US" w:eastAsia="zh-CN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left"/>
      <w:rPr>
        <w:rFonts w:hint="default" w:ascii="黑体" w:hAnsi="黑体" w:eastAsia="黑体" w:cs="黑体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sz w:val="21"/>
        <w:szCs w:val="21"/>
        <w:lang w:eastAsia="zh-CN"/>
      </w:rPr>
      <w:t>T/IPIF 0024</w:t>
    </w:r>
    <w:r>
      <w:rPr>
        <w:rFonts w:hint="eastAsia" w:ascii="黑体" w:hAnsi="黑体" w:eastAsia="黑体" w:cs="黑体"/>
        <w:sz w:val="21"/>
        <w:szCs w:val="21"/>
      </w:rPr>
      <w:t>—</w:t>
    </w:r>
    <w:r>
      <w:rPr>
        <w:rFonts w:hint="eastAsia" w:ascii="黑体" w:hAnsi="黑体" w:eastAsia="黑体" w:cs="黑体"/>
        <w:sz w:val="21"/>
        <w:szCs w:val="21"/>
        <w:lang w:val="en-US" w:eastAsia="zh-CN"/>
      </w:rPr>
      <w:t>2023</w:t>
    </w:r>
  </w:p>
  <w:p>
    <w:pPr>
      <w:pStyle w:val="6"/>
      <w:pBdr>
        <w:bottom w:val="none" w:color="auto" w:sz="0" w:space="0"/>
      </w:pBdr>
      <w:jc w:val="right"/>
      <w:rPr>
        <w:rFonts w:hint="eastAsia" w:ascii="黑体" w:hAnsi="黑体" w:eastAsia="黑体" w:cs="黑体"/>
        <w:sz w:val="21"/>
        <w:szCs w:val="21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pStyle w:val="31"/>
      <w:suff w:val="nothing"/>
      <w:lvlText w:val="%1　"/>
      <w:lvlJc w:val="left"/>
      <w:pPr>
        <w:ind w:left="0" w:firstLine="0"/>
      </w:pPr>
      <w:rPr>
        <w:rFonts w:hint="eastAsia" w:ascii="黑体" w:hAnsi="黑体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4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vanish w:val="0"/>
        <w:spacing w:val="0"/>
        <w:kern w:val="0"/>
        <w:position w:val="0"/>
        <w:sz w:val="21"/>
        <w:szCs w:val="21"/>
        <w:u w:val="none" w:color="auto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YjU1ZDJhNzgzMTdiYzdmNzA5ZjkxYWU3YWQwZjYifQ=="/>
  </w:docVars>
  <w:rsids>
    <w:rsidRoot w:val="00000000"/>
    <w:rsid w:val="00B34AA8"/>
    <w:rsid w:val="01CF34AE"/>
    <w:rsid w:val="027D4CEF"/>
    <w:rsid w:val="0327502F"/>
    <w:rsid w:val="047A1B00"/>
    <w:rsid w:val="04B30984"/>
    <w:rsid w:val="06255ABD"/>
    <w:rsid w:val="071F5E3E"/>
    <w:rsid w:val="0771451D"/>
    <w:rsid w:val="080902F2"/>
    <w:rsid w:val="08572BA9"/>
    <w:rsid w:val="09EF3391"/>
    <w:rsid w:val="0A8E60FC"/>
    <w:rsid w:val="0B625CDA"/>
    <w:rsid w:val="0B9A585E"/>
    <w:rsid w:val="0D0124D8"/>
    <w:rsid w:val="0D652FED"/>
    <w:rsid w:val="0E4A0CB0"/>
    <w:rsid w:val="10173C21"/>
    <w:rsid w:val="10AE6A0F"/>
    <w:rsid w:val="112A133D"/>
    <w:rsid w:val="11C3288D"/>
    <w:rsid w:val="12AE026F"/>
    <w:rsid w:val="134655A4"/>
    <w:rsid w:val="15DE6282"/>
    <w:rsid w:val="1693698A"/>
    <w:rsid w:val="16B81701"/>
    <w:rsid w:val="16BE4C9C"/>
    <w:rsid w:val="18140430"/>
    <w:rsid w:val="18E904AB"/>
    <w:rsid w:val="1B880BAC"/>
    <w:rsid w:val="1C1345E3"/>
    <w:rsid w:val="1C342B53"/>
    <w:rsid w:val="1D172E36"/>
    <w:rsid w:val="1E8845F2"/>
    <w:rsid w:val="1FD0163D"/>
    <w:rsid w:val="20B35E30"/>
    <w:rsid w:val="20FA3ACE"/>
    <w:rsid w:val="220B2FAA"/>
    <w:rsid w:val="22FD4B42"/>
    <w:rsid w:val="232563B5"/>
    <w:rsid w:val="26A646AE"/>
    <w:rsid w:val="26B5074A"/>
    <w:rsid w:val="26CC6D6F"/>
    <w:rsid w:val="27650D03"/>
    <w:rsid w:val="2D4C6448"/>
    <w:rsid w:val="2DDF09FA"/>
    <w:rsid w:val="2E201F02"/>
    <w:rsid w:val="2E48322C"/>
    <w:rsid w:val="2E744399"/>
    <w:rsid w:val="308F7422"/>
    <w:rsid w:val="316A17DE"/>
    <w:rsid w:val="318F0340"/>
    <w:rsid w:val="3340289B"/>
    <w:rsid w:val="335605B1"/>
    <w:rsid w:val="338735E7"/>
    <w:rsid w:val="33F24A86"/>
    <w:rsid w:val="355E6AFA"/>
    <w:rsid w:val="364B6800"/>
    <w:rsid w:val="37AC10E9"/>
    <w:rsid w:val="38E340E0"/>
    <w:rsid w:val="38E40B7B"/>
    <w:rsid w:val="391055D6"/>
    <w:rsid w:val="3A9E0314"/>
    <w:rsid w:val="3D140A07"/>
    <w:rsid w:val="3D355F3A"/>
    <w:rsid w:val="3E385436"/>
    <w:rsid w:val="3F3348D1"/>
    <w:rsid w:val="40041ACF"/>
    <w:rsid w:val="40095632"/>
    <w:rsid w:val="41F64696"/>
    <w:rsid w:val="43F908F1"/>
    <w:rsid w:val="444D181D"/>
    <w:rsid w:val="4DA92202"/>
    <w:rsid w:val="4DD40BB7"/>
    <w:rsid w:val="4DD759B8"/>
    <w:rsid w:val="4E330B5B"/>
    <w:rsid w:val="4F2D0B9D"/>
    <w:rsid w:val="52027DCC"/>
    <w:rsid w:val="52964772"/>
    <w:rsid w:val="53EC109A"/>
    <w:rsid w:val="543C0DF9"/>
    <w:rsid w:val="55182F6D"/>
    <w:rsid w:val="576B4462"/>
    <w:rsid w:val="57B850C0"/>
    <w:rsid w:val="59176ECB"/>
    <w:rsid w:val="5A562E03"/>
    <w:rsid w:val="5D4E56CE"/>
    <w:rsid w:val="5D6702B4"/>
    <w:rsid w:val="60C93501"/>
    <w:rsid w:val="60E530F9"/>
    <w:rsid w:val="61472C6D"/>
    <w:rsid w:val="62785FE8"/>
    <w:rsid w:val="62BE479B"/>
    <w:rsid w:val="62C977D5"/>
    <w:rsid w:val="632502DA"/>
    <w:rsid w:val="63D82182"/>
    <w:rsid w:val="6424350A"/>
    <w:rsid w:val="64A1060A"/>
    <w:rsid w:val="666161CE"/>
    <w:rsid w:val="66845C57"/>
    <w:rsid w:val="67145C03"/>
    <w:rsid w:val="68273FF7"/>
    <w:rsid w:val="682E745A"/>
    <w:rsid w:val="691930F6"/>
    <w:rsid w:val="69D104B9"/>
    <w:rsid w:val="6B1740FF"/>
    <w:rsid w:val="6E811837"/>
    <w:rsid w:val="6F3876CE"/>
    <w:rsid w:val="6F913F47"/>
    <w:rsid w:val="70BA5DD5"/>
    <w:rsid w:val="710D0B62"/>
    <w:rsid w:val="71301428"/>
    <w:rsid w:val="750A7AE6"/>
    <w:rsid w:val="76F27C8A"/>
    <w:rsid w:val="776511CB"/>
    <w:rsid w:val="77C5358F"/>
    <w:rsid w:val="798A59E7"/>
    <w:rsid w:val="79D159C5"/>
    <w:rsid w:val="7A5427A8"/>
    <w:rsid w:val="7B3501D8"/>
    <w:rsid w:val="7B786FEC"/>
    <w:rsid w:val="7B890CFA"/>
    <w:rsid w:val="7CBA5BE3"/>
    <w:rsid w:val="7D006B7E"/>
    <w:rsid w:val="7D17305F"/>
    <w:rsid w:val="7D4247A0"/>
    <w:rsid w:val="7DC161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Lines="100" w:afterLines="100"/>
      <w:jc w:val="center"/>
      <w:outlineLvl w:val="0"/>
    </w:pPr>
    <w:rPr>
      <w:rFonts w:hint="eastAsia" w:ascii="宋体" w:hAnsi="宋体" w:eastAsia="黑体"/>
      <w:b/>
      <w:bCs/>
      <w:kern w:val="44"/>
      <w:sz w:val="32"/>
      <w:szCs w:val="48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80" w:lineRule="exact"/>
      <w:jc w:val="center"/>
    </w:pPr>
    <w:rPr>
      <w:rFonts w:ascii="宋体"/>
      <w:sz w:val="24"/>
    </w:rPr>
  </w:style>
  <w:style w:type="paragraph" w:styleId="4">
    <w:name w:val="toc 3"/>
    <w:basedOn w:val="1"/>
    <w:next w:val="1"/>
    <w:qFormat/>
    <w:uiPriority w:val="0"/>
    <w:pPr>
      <w:ind w:left="840" w:leftChars="4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其他标准标志"/>
    <w:basedOn w:val="16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6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17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8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19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0">
    <w:name w:val="封面标准英文名称"/>
    <w:basedOn w:val="19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21">
    <w:name w:val="其他发布日期"/>
    <w:basedOn w:val="22"/>
    <w:qFormat/>
    <w:uiPriority w:val="0"/>
    <w:pPr>
      <w:framePr w:vAnchor="page" w:hAnchor="page" w:x="1419"/>
    </w:pPr>
  </w:style>
  <w:style w:type="paragraph" w:customStyle="1" w:styleId="22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23">
    <w:name w:val="其他实施日期"/>
    <w:basedOn w:val="24"/>
    <w:qFormat/>
    <w:uiPriority w:val="0"/>
  </w:style>
  <w:style w:type="paragraph" w:customStyle="1" w:styleId="24">
    <w:name w:val="实施日期"/>
    <w:basedOn w:val="22"/>
    <w:qFormat/>
    <w:uiPriority w:val="0"/>
    <w:pPr>
      <w:framePr w:vAnchor="page" w:hAnchor="page"/>
      <w:jc w:val="right"/>
    </w:pPr>
  </w:style>
  <w:style w:type="character" w:customStyle="1" w:styleId="25">
    <w:name w:val="发布"/>
    <w:qFormat/>
    <w:uiPriority w:val="0"/>
    <w:rPr>
      <w:rFonts w:ascii="黑体" w:hAnsi="Times New Roman" w:eastAsia="黑体" w:cs="Times New Roman"/>
      <w:spacing w:val="85"/>
      <w:w w:val="100"/>
      <w:position w:val="3"/>
      <w:sz w:val="28"/>
      <w:szCs w:val="28"/>
    </w:rPr>
  </w:style>
  <w:style w:type="paragraph" w:customStyle="1" w:styleId="26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27">
    <w:name w:val="封面标准文稿类别"/>
    <w:qFormat/>
    <w:uiPriority w:val="0"/>
    <w:pPr>
      <w:framePr w:w="9639" w:h="6917" w:hRule="exact" w:wrap="around" w:vAnchor="page" w:hAnchor="page" w:xAlign="center" w:y="6408" w:anchorLock="1"/>
      <w:widowControl w:val="0"/>
      <w:spacing w:before="440" w:after="160" w:line="240" w:lineRule="auto"/>
      <w:jc w:val="center"/>
      <w:textAlignment w:val="center"/>
    </w:pPr>
    <w:rPr>
      <w:rFonts w:ascii="宋体" w:hAnsi="Times New Roman" w:eastAsia="宋体" w:cs="Times New Roman"/>
      <w:sz w:val="24"/>
      <w:szCs w:val="28"/>
      <w:lang w:val="en-US" w:eastAsia="zh-CN" w:bidi="ar-SA"/>
    </w:rPr>
  </w:style>
  <w:style w:type="paragraph" w:customStyle="1" w:styleId="28">
    <w:name w:val="封面标准文稿编辑信息"/>
    <w:qFormat/>
    <w:uiPriority w:val="0"/>
    <w:pPr>
      <w:framePr w:w="9639" w:h="6917" w:hRule="exact" w:wrap="around" w:vAnchor="page" w:hAnchor="page" w:xAlign="center" w:y="6408" w:anchorLock="1"/>
      <w:widowControl w:val="0"/>
      <w:spacing w:before="180" w:after="160" w:line="180" w:lineRule="exact"/>
      <w:jc w:val="center"/>
      <w:textAlignment w:val="center"/>
    </w:pPr>
    <w:rPr>
      <w:rFonts w:ascii="宋体" w:hAnsi="Times New Roman" w:eastAsia="宋体" w:cs="Times New Roman"/>
      <w:sz w:val="21"/>
      <w:szCs w:val="28"/>
      <w:lang w:val="en-US" w:eastAsia="zh-CN" w:bidi="ar-SA"/>
    </w:rPr>
  </w:style>
  <w:style w:type="paragraph" w:customStyle="1" w:styleId="29">
    <w:name w:val="标准文件_目录标题"/>
    <w:basedOn w:val="1"/>
    <w:qFormat/>
    <w:uiPriority w:val="0"/>
    <w:pPr>
      <w:spacing w:afterLines="150" w:line="240" w:lineRule="auto"/>
      <w:jc w:val="center"/>
    </w:pPr>
    <w:rPr>
      <w:rFonts w:ascii="黑体" w:eastAsia="黑体"/>
      <w:sz w:val="32"/>
    </w:rPr>
  </w:style>
  <w:style w:type="paragraph" w:customStyle="1" w:styleId="30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1">
    <w:name w:val="章标题"/>
    <w:next w:val="32"/>
    <w:link w:val="33"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2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33">
    <w:name w:val="章标题 Char"/>
    <w:link w:val="31"/>
    <w:qFormat/>
    <w:uiPriority w:val="0"/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4">
    <w:name w:val="一级条标题"/>
    <w:next w:val="32"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5">
    <w:name w:val="终结线"/>
    <w:qFormat/>
    <w:uiPriority w:val="0"/>
    <w:pPr>
      <w:framePr w:hSpace="181" w:vSpace="181" w:wrap="around" w:vAnchor="text" w:hAnchor="margin" w:xAlign="center" w:y="285"/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6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7">
    <w:name w:val="font2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8">
    <w:name w:val="font41"/>
    <w:basedOn w:val="12"/>
    <w:qFormat/>
    <w:uiPriority w:val="0"/>
    <w:rPr>
      <w:rFonts w:hint="default" w:ascii="Wingdings" w:hAnsi="Wingdings" w:cs="Wingdings"/>
      <w:color w:val="000000"/>
      <w:sz w:val="22"/>
      <w:szCs w:val="22"/>
      <w:u w:val="none"/>
    </w:rPr>
  </w:style>
  <w:style w:type="character" w:customStyle="1" w:styleId="39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0">
    <w:name w:val="font51"/>
    <w:basedOn w:val="12"/>
    <w:qFormat/>
    <w:uiPriority w:val="0"/>
    <w:rPr>
      <w:rFonts w:hint="default" w:ascii="Wingdings" w:hAnsi="Wingdings" w:cs="Wingdings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.jpeg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header" Target="header8.xml"/><Relationship Id="rId15" Type="http://schemas.openxmlformats.org/officeDocument/2006/relationships/header" Target="header7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header" Target="header6.xml"/><Relationship Id="rId11" Type="http://schemas.openxmlformats.org/officeDocument/2006/relationships/header" Target="head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3357</Words>
  <Characters>3770</Characters>
  <Paragraphs>681</Paragraphs>
  <TotalTime>1</TotalTime>
  <ScaleCrop>false</ScaleCrop>
  <LinksUpToDate>false</LinksUpToDate>
  <CharactersWithSpaces>4045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2021-11-09T01:00:00Z</dcterms:created>
  <dc:creator>Administrator.PC-201812121645</dc:creator>
  <cp:lastModifiedBy>周旭宏</cp:lastModifiedBy>
  <cp:lastPrinted>2023-06-15T02:34:00Z</cp:lastPrinted>
  <dcterms:modified xsi:type="dcterms:W3CDTF">2023-11-14T09:56:52Z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DB82C7ABB1004E0E809769272C0CCD52_13</vt:lpwstr>
  </property>
</Properties>
</file>