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03.120.20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A 00</w:t>
            </w:r>
          </w:p>
        </w:tc>
      </w:tr>
    </w:tbl>
    <w:p>
      <w:pPr>
        <w:pStyle w:val="51"/>
        <w:framePr w:w="7295" w:h="999" w:hRule="exact" w:hSpace="181" w:vSpace="181" w:wrap="around" w:hAnchor="page" w:x="2619" w:y="2269"/>
        <w:rPr>
          <w:rFonts w:ascii="黑体" w:hAnsi="黑体" w:eastAsia="黑体"/>
          <w:b w:val="0"/>
          <w:bCs w:val="0"/>
          <w:w w:val="100"/>
          <w:sz w:val="96"/>
          <w:szCs w:val="48"/>
        </w:rPr>
      </w:pPr>
      <w:bookmarkStart w:id="0" w:name="_Hlk26473981"/>
      <w:r>
        <w:rPr>
          <w:rFonts w:hint="eastAsia" w:ascii="黑体" w:eastAsia="黑体"/>
          <w:b w:val="0"/>
          <w:w w:val="100"/>
          <w:sz w:val="96"/>
        </w:rPr>
        <w:t>团体</w:t>
      </w:r>
      <w:r>
        <w:rPr>
          <w:rFonts w:hint="eastAsia" w:ascii="黑体" w:hAnsi="黑体" w:eastAsia="黑体"/>
          <w:b w:val="0"/>
          <w:bCs w:val="0"/>
          <w:w w:val="100"/>
          <w:sz w:val="96"/>
          <w:szCs w:val="48"/>
        </w:rPr>
        <w:t>标准</w:t>
      </w:r>
    </w:p>
    <w:bookmarkEnd w:id="0"/>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jc w:val="both"/>
      </w:pPr>
    </w:p>
    <w:p>
      <w:pPr>
        <w:pStyle w:val="198"/>
        <w:framePr w:h="6974" w:hRule="exact" w:wrap="around" w:x="1419" w:anchorLock="1"/>
        <w:rPr>
          <w:rFonts w:hint="eastAsia" w:eastAsia="黑体"/>
          <w:lang w:val="en-US" w:eastAsia="zh-CN"/>
        </w:rPr>
      </w:pPr>
      <w:r>
        <w:rPr>
          <w:rFonts w:hint="eastAsia"/>
        </w:rPr>
        <w:t>重庆火锅餐饮</w:t>
      </w:r>
      <w:r>
        <w:rPr>
          <w:rFonts w:hint="eastAsia"/>
          <w:lang w:eastAsia="zh-CN"/>
        </w:rPr>
        <w:t>门店</w:t>
      </w:r>
      <w:r>
        <w:rPr>
          <w:rFonts w:hint="eastAsia"/>
          <w:lang w:val="en-US" w:eastAsia="zh-CN"/>
        </w:rPr>
        <w:t>分等定级</w:t>
      </w:r>
      <w:r>
        <w:rPr>
          <w:rFonts w:hint="eastAsia"/>
          <w:lang w:eastAsia="zh-CN"/>
        </w:rPr>
        <w:t>评价</w:t>
      </w:r>
      <w:r>
        <w:rPr>
          <w:rFonts w:hint="eastAsia"/>
          <w:lang w:val="en-US" w:eastAsia="zh-CN"/>
        </w:rPr>
        <w:t>规范</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hint="eastAsia" w:eastAsia="黑体"/>
          <w:szCs w:val="28"/>
        </w:rPr>
        <w:t>（</w:t>
      </w:r>
      <w:r>
        <w:rPr>
          <w:rFonts w:hint="eastAsia" w:eastAsia="黑体"/>
          <w:szCs w:val="28"/>
          <w:lang w:val="en-US" w:eastAsia="zh-CN"/>
        </w:rPr>
        <w:t>征求意见稿</w:t>
      </w:r>
      <w:r>
        <w:rPr>
          <w:rFonts w:hint="eastAsia" w:eastAsia="黑体"/>
          <w:szCs w:val="28"/>
        </w:rPr>
        <w:t>）</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spacing w:before="440" w:after="160"/>
        <w:jc w:val="both"/>
        <w:textAlignment w:val="bottom"/>
        <w:rPr>
          <w:sz w:val="24"/>
          <w:szCs w:val="28"/>
        </w:rPr>
      </w:pPr>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720" w:beforeLines="300" w:after="72" w:afterLines="30" w:line="240" w:lineRule="auto"/>
        <w:textAlignment w:val="bottom"/>
        <w:rPr>
          <w:b/>
          <w:sz w:val="21"/>
          <w:szCs w:val="28"/>
        </w:rPr>
      </w:pPr>
    </w:p>
    <w:p>
      <w:pPr>
        <w:pStyle w:val="194"/>
        <w:framePr w:wrap="around" w:y="14176"/>
      </w:pPr>
      <w:r>
        <w:rPr>
          <w:rFonts w:ascii="黑体"/>
        </w:rPr>
        <w:t>2023</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pPr>
        <w:pStyle w:val="195"/>
        <w:framePr w:wrap="around" w:y="14176"/>
      </w:pPr>
      <w:r>
        <w:rPr>
          <w:rFonts w:ascii="黑体"/>
        </w:rPr>
        <w:t>2023</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pPr>
        <w:pStyle w:val="152"/>
        <w:framePr w:h="584" w:hRule="exact" w:hSpace="181" w:vSpace="181" w:wrap="around" w:y="14800"/>
        <w:rPr>
          <w:rFonts w:hAnsi="黑体"/>
        </w:rPr>
      </w:pPr>
      <w:r>
        <w:rPr>
          <w:rFonts w:hint="eastAsia" w:hAnsi="黑体"/>
          <w:w w:val="100"/>
          <w:sz w:val="28"/>
        </w:rPr>
        <w:t>重庆市火锅</w:t>
      </w:r>
      <w:r>
        <w:rPr>
          <w:rFonts w:hint="eastAsia" w:hAnsi="黑体"/>
          <w:w w:val="100"/>
          <w:sz w:val="28"/>
          <w:lang w:val="en-US" w:eastAsia="zh-CN"/>
        </w:rPr>
        <w:t>产业</w:t>
      </w:r>
      <w:r>
        <w:rPr>
          <w:rFonts w:hint="eastAsia" w:hAnsi="黑体"/>
          <w:w w:val="100"/>
          <w:sz w:val="28"/>
        </w:rPr>
        <w:t>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pStyle w:val="196"/>
        <w:framePr w:y="3554"/>
      </w:pPr>
      <w:r>
        <w:t>T/</w:t>
      </w:r>
      <w:r>
        <w:rPr>
          <w:rFonts w:hint="eastAsia"/>
        </w:rPr>
        <w:t>CQHG</w:t>
      </w:r>
      <w:r>
        <w:t xml:space="preserve"> </w:t>
      </w:r>
      <w:r>
        <w:rPr>
          <w:rFonts w:hint="eastAsia"/>
          <w:lang w:val="en-US" w:eastAsia="zh-CN"/>
        </w:rPr>
        <w:t>002</w:t>
      </w:r>
      <w:r>
        <w:rPr>
          <w:rFonts w:hAnsi="黑体"/>
        </w:rPr>
        <w:t>—</w:t>
      </w:r>
      <w:r>
        <w:t>2023</w:t>
      </w:r>
    </w:p>
    <w:p>
      <w:pPr>
        <w:pStyle w:val="197"/>
        <w:framePr w:y="3554"/>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pgNumType w:fmt="upperRoman"/>
          <w:cols w:space="425" w:num="1"/>
          <w:titlePg/>
          <w:docGrid w:linePitch="312" w:charSpace="0"/>
        </w:sectPr>
      </w:pPr>
      <w:bookmarkStart w:id="37" w:name="_GoBack"/>
      <w:bookmarkEnd w:id="37"/>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bookmarkStart w:id="6" w:name="BookMark4"/>
    </w:p>
    <w:p>
      <w:pPr>
        <w:pStyle w:val="178"/>
        <w:bidi w:val="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bookmarkStart w:id="7" w:name="NEW_STAND_NAME"/>
    </w:p>
    <w:p>
      <w:pPr>
        <w:pStyle w:val="178"/>
        <w:bidi w:val="0"/>
      </w:pPr>
      <w:r>
        <w:rPr>
          <w:rFonts w:hint="eastAsia"/>
        </w:rPr>
        <w:t xml:space="preserve">前 </w:t>
      </w:r>
      <w:r>
        <w:t xml:space="preserve"> </w:t>
      </w:r>
      <w:r>
        <w:rPr>
          <w:rFonts w:hint="eastAsia"/>
        </w:rPr>
        <w:t>言</w:t>
      </w:r>
    </w:p>
    <w:bookmarkEnd w:id="7"/>
    <w:p>
      <w:pPr>
        <w:widowControl/>
        <w:tabs>
          <w:tab w:val="right" w:leader="dot" w:pos="9298"/>
        </w:tabs>
        <w:autoSpaceDE w:val="0"/>
        <w:autoSpaceDN w:val="0"/>
        <w:spacing w:line="240" w:lineRule="auto"/>
        <w:ind w:firstLine="420" w:firstLineChars="200"/>
        <w:rPr>
          <w:rFonts w:ascii="宋体"/>
          <w:kern w:val="0"/>
        </w:rPr>
      </w:pPr>
      <w:bookmarkStart w:id="8" w:name="_Toc24884211"/>
      <w:bookmarkStart w:id="9" w:name="_Toc26648465"/>
      <w:bookmarkStart w:id="10" w:name="_Toc26986771"/>
      <w:bookmarkStart w:id="11" w:name="_Toc17233333"/>
      <w:bookmarkStart w:id="12" w:name="_Toc26718930"/>
      <w:bookmarkStart w:id="13" w:name="_Toc24884218"/>
      <w:bookmarkStart w:id="14" w:name="_Toc17233325"/>
      <w:bookmarkStart w:id="15" w:name="_Toc26986530"/>
      <w:r>
        <w:rPr>
          <w:rFonts w:hint="eastAsia" w:ascii="宋体" w:cs="宋体"/>
          <w:kern w:val="0"/>
        </w:rPr>
        <w:t>本文件按照</w:t>
      </w:r>
      <w:r>
        <w:rPr>
          <w:rFonts w:ascii="宋体" w:cs="宋体"/>
          <w:kern w:val="0"/>
        </w:rPr>
        <w:t>GB/T</w:t>
      </w:r>
      <w:r>
        <w:rPr>
          <w:rFonts w:hint="eastAsia" w:ascii="宋体" w:cs="宋体"/>
          <w:kern w:val="0"/>
        </w:rPr>
        <w:t xml:space="preserve"> </w:t>
      </w:r>
      <w:r>
        <w:rPr>
          <w:rFonts w:ascii="宋体" w:cs="宋体"/>
          <w:kern w:val="0"/>
        </w:rPr>
        <w:t>1.1-2020</w:t>
      </w:r>
      <w:r>
        <w:rPr>
          <w:rFonts w:hint="eastAsia" w:ascii="宋体" w:cs="宋体"/>
          <w:kern w:val="0"/>
        </w:rPr>
        <w:t>《标准化工作导则 第1部分：标准化文件的结构和起草规则》的规定起草。</w:t>
      </w:r>
    </w:p>
    <w:p>
      <w:pPr>
        <w:widowControl/>
        <w:tabs>
          <w:tab w:val="center" w:pos="4201"/>
          <w:tab w:val="right" w:leader="dot" w:pos="9298"/>
        </w:tabs>
        <w:autoSpaceDE w:val="0"/>
        <w:autoSpaceDN w:val="0"/>
        <w:spacing w:line="240" w:lineRule="auto"/>
        <w:ind w:firstLine="420" w:firstLineChars="200"/>
        <w:rPr>
          <w:rFonts w:ascii="宋体" w:cs="宋体"/>
          <w:kern w:val="0"/>
        </w:rPr>
      </w:pPr>
      <w:r>
        <w:rPr>
          <w:rFonts w:ascii="宋体" w:cs="宋体"/>
          <w:kern w:val="0"/>
        </w:rPr>
        <w:t>请注意本文件的某些内容可能涉及专利。本文件的发布机构不承担识别这些专利的责任。</w:t>
      </w:r>
    </w:p>
    <w:p>
      <w:pPr>
        <w:widowControl/>
        <w:tabs>
          <w:tab w:val="right" w:leader="dot" w:pos="9298"/>
        </w:tabs>
        <w:autoSpaceDE w:val="0"/>
        <w:autoSpaceDN w:val="0"/>
        <w:spacing w:line="240" w:lineRule="auto"/>
        <w:ind w:firstLine="420" w:firstLineChars="200"/>
        <w:rPr>
          <w:rFonts w:ascii="宋体" w:cs="宋体"/>
          <w:kern w:val="0"/>
        </w:rPr>
      </w:pPr>
      <w:r>
        <w:rPr>
          <w:rFonts w:hint="eastAsia" w:ascii="宋体" w:cs="宋体"/>
          <w:kern w:val="0"/>
        </w:rPr>
        <w:t>本文件由重庆市火锅</w:t>
      </w:r>
      <w:r>
        <w:rPr>
          <w:rFonts w:hint="eastAsia" w:ascii="宋体" w:cs="宋体"/>
          <w:kern w:val="0"/>
          <w:lang w:val="en-US" w:eastAsia="zh-CN"/>
        </w:rPr>
        <w:t>产业</w:t>
      </w:r>
      <w:r>
        <w:rPr>
          <w:rFonts w:hint="eastAsia" w:ascii="宋体" w:cs="宋体"/>
          <w:kern w:val="0"/>
        </w:rPr>
        <w:t>协会提出并归口。</w:t>
      </w:r>
    </w:p>
    <w:p>
      <w:pPr>
        <w:widowControl/>
        <w:tabs>
          <w:tab w:val="right" w:leader="dot" w:pos="9298"/>
        </w:tabs>
        <w:autoSpaceDE w:val="0"/>
        <w:autoSpaceDN w:val="0"/>
        <w:spacing w:line="240" w:lineRule="auto"/>
        <w:ind w:firstLine="420" w:firstLineChars="200"/>
        <w:rPr>
          <w:rFonts w:hint="eastAsia" w:ascii="宋体" w:cs="宋体"/>
          <w:kern w:val="0"/>
        </w:rPr>
      </w:pPr>
      <w:r>
        <w:rPr>
          <w:rFonts w:hint="eastAsia" w:ascii="宋体" w:cs="宋体"/>
          <w:kern w:val="0"/>
        </w:rPr>
        <w:t>本文件起草单位：</w:t>
      </w:r>
      <w:r>
        <w:rPr>
          <w:rFonts w:hint="eastAsia" w:ascii="宋体" w:cs="宋体"/>
          <w:kern w:val="0"/>
          <w:lang w:val="en-US" w:eastAsia="zh-CN"/>
        </w:rPr>
        <w:t>重庆市火锅产业</w:t>
      </w:r>
      <w:r>
        <w:rPr>
          <w:rFonts w:hint="eastAsia" w:ascii="宋体" w:cs="宋体"/>
          <w:kern w:val="0"/>
        </w:rPr>
        <w:t>协会、重庆万标检测技术有限公司。</w:t>
      </w:r>
    </w:p>
    <w:p>
      <w:pPr>
        <w:widowControl/>
        <w:tabs>
          <w:tab w:val="right" w:leader="dot" w:pos="9298"/>
        </w:tabs>
        <w:autoSpaceDE w:val="0"/>
        <w:autoSpaceDN w:val="0"/>
        <w:spacing w:line="240" w:lineRule="auto"/>
        <w:ind w:firstLine="420" w:firstLineChars="200"/>
        <w:rPr>
          <w:rFonts w:hint="eastAsia" w:ascii="宋体" w:cs="宋体"/>
          <w:kern w:val="0"/>
        </w:rPr>
      </w:pPr>
      <w:r>
        <w:rPr>
          <w:rFonts w:hint="eastAsia" w:ascii="宋体" w:cs="宋体"/>
          <w:kern w:val="0"/>
        </w:rPr>
        <w:t>本文件主要起草人：X</w:t>
      </w:r>
      <w:r>
        <w:rPr>
          <w:rFonts w:ascii="宋体" w:cs="宋体"/>
          <w:kern w:val="0"/>
        </w:rPr>
        <w:t>XX</w:t>
      </w:r>
      <w:r>
        <w:rPr>
          <w:rFonts w:hint="eastAsia" w:ascii="宋体" w:cs="宋体"/>
          <w:kern w:val="0"/>
        </w:rPr>
        <w:t>、XXX、XXX、XXX、XXX、XXX、XXX、XXX。</w:t>
      </w:r>
    </w:p>
    <w:p>
      <w:pPr>
        <w:pStyle w:val="105"/>
        <w:numPr>
          <w:ilvl w:val="0"/>
          <w:numId w:val="0"/>
        </w:numPr>
        <w:spacing w:before="240" w:after="24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178"/>
        <w:spacing w:after="528" w:afterLines="2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1"/>
          <w:cols w:space="425" w:num="1"/>
          <w:formProt w:val="0"/>
          <w:docGrid w:linePitch="312" w:charSpace="0"/>
        </w:sectPr>
      </w:pPr>
    </w:p>
    <w:p>
      <w:pPr>
        <w:pStyle w:val="178"/>
        <w:spacing w:after="528" w:afterLines="220"/>
      </w:pPr>
    </w:p>
    <w:p>
      <w:pPr>
        <w:pStyle w:val="178"/>
        <w:spacing w:after="528" w:afterLines="220"/>
        <w:sectPr>
          <w:headerReference r:id="rId17" w:type="default"/>
          <w:footerReference r:id="rId18" w:type="default"/>
          <w:footerReference r:id="rId19" w:type="even"/>
          <w:pgSz w:w="11906" w:h="16838"/>
          <w:pgMar w:top="2410" w:right="1134" w:bottom="1134" w:left="1134" w:header="1418" w:footer="1134" w:gutter="284"/>
          <w:pgNumType w:fmt="upperRoman" w:start="1"/>
          <w:cols w:space="425" w:num="1"/>
          <w:formProt w:val="0"/>
          <w:docGrid w:linePitch="312" w:charSpace="0"/>
        </w:sectPr>
      </w:pPr>
    </w:p>
    <w:sdt>
      <w:sdtPr>
        <w:tag w:val="NEW_STAND_NAME"/>
        <w:id w:val="143550617"/>
        <w:placeholder>
          <w:docPart w:val="082C08B3C27F49468BD7321DB9DE545B"/>
        </w:placeholder>
      </w:sdtPr>
      <w:sdtContent>
        <w:p>
          <w:pPr>
            <w:pStyle w:val="178"/>
            <w:spacing w:after="528" w:afterLines="220"/>
            <w:rPr>
              <w:rFonts w:hint="eastAsia"/>
            </w:rPr>
          </w:pPr>
          <w:r>
            <w:rPr>
              <w:rFonts w:hint="eastAsia"/>
              <w:lang w:eastAsia="zh-CN"/>
            </w:rPr>
            <w:t>重庆火锅餐饮门店</w:t>
          </w:r>
          <w:r>
            <w:rPr>
              <w:rFonts w:hint="eastAsia"/>
              <w:lang w:val="en-US" w:eastAsia="zh-CN"/>
            </w:rPr>
            <w:t>分等定级评价规范</w:t>
          </w:r>
        </w:p>
      </w:sdtContent>
    </w:sdt>
    <w:p>
      <w:pPr>
        <w:pStyle w:val="105"/>
        <w:spacing w:before="240" w:after="240"/>
      </w:pPr>
      <w:r>
        <w:rPr>
          <w:rFonts w:hint="eastAsia"/>
        </w:rPr>
        <w:t>范围</w:t>
      </w:r>
      <w:bookmarkEnd w:id="8"/>
      <w:bookmarkEnd w:id="9"/>
      <w:bookmarkEnd w:id="10"/>
      <w:bookmarkEnd w:id="11"/>
      <w:bookmarkEnd w:id="12"/>
      <w:bookmarkEnd w:id="13"/>
      <w:bookmarkEnd w:id="14"/>
      <w:bookmarkEnd w:id="15"/>
    </w:p>
    <w:p>
      <w:pPr>
        <w:pStyle w:val="57"/>
        <w:ind w:firstLine="420"/>
      </w:pPr>
      <w:bookmarkStart w:id="16" w:name="OLE_LINK4"/>
      <w:bookmarkStart w:id="17" w:name="_Toc24884219"/>
      <w:bookmarkStart w:id="18" w:name="_Toc17233326"/>
      <w:bookmarkStart w:id="19" w:name="_Toc24884212"/>
      <w:bookmarkStart w:id="20" w:name="_Toc17233334"/>
      <w:bookmarkStart w:id="21" w:name="_Toc26648466"/>
      <w:r>
        <w:rPr>
          <w:rFonts w:hint="eastAsia"/>
        </w:rPr>
        <w:t>本文件规定了</w:t>
      </w:r>
      <w:r>
        <w:rPr>
          <w:rFonts w:hint="eastAsia"/>
          <w:lang w:eastAsia="zh-CN"/>
        </w:rPr>
        <w:t>重庆火锅餐饮门店</w:t>
      </w:r>
      <w:r>
        <w:rPr>
          <w:rFonts w:hint="eastAsia"/>
          <w:lang w:val="en-US" w:eastAsia="zh-CN"/>
        </w:rPr>
        <w:t>分等定级评价规范</w:t>
      </w:r>
      <w:r>
        <w:rPr>
          <w:rFonts w:hint="eastAsia"/>
        </w:rPr>
        <w:t>的</w:t>
      </w:r>
      <w:r>
        <w:rPr>
          <w:rFonts w:hint="eastAsia"/>
          <w:lang w:val="en-US" w:eastAsia="zh-CN"/>
        </w:rPr>
        <w:t>术语和定义</w:t>
      </w:r>
      <w:r>
        <w:rPr>
          <w:rFonts w:hint="eastAsia"/>
        </w:rPr>
        <w:t>、</w:t>
      </w:r>
      <w:r>
        <w:rPr>
          <w:rFonts w:hint="eastAsia"/>
          <w:lang w:val="en-US" w:eastAsia="zh-CN"/>
        </w:rPr>
        <w:t>等级划分和标识</w:t>
      </w:r>
      <w:r>
        <w:rPr>
          <w:rFonts w:hint="eastAsia"/>
        </w:rPr>
        <w:t>、</w:t>
      </w:r>
      <w:r>
        <w:rPr>
          <w:rFonts w:hint="eastAsia"/>
          <w:lang w:val="en-US" w:eastAsia="zh-CN"/>
        </w:rPr>
        <w:t>基本原则</w:t>
      </w:r>
      <w:r>
        <w:rPr>
          <w:rFonts w:hint="eastAsia"/>
          <w:lang w:eastAsia="zh-CN"/>
        </w:rPr>
        <w:t>、</w:t>
      </w:r>
      <w:r>
        <w:rPr>
          <w:rFonts w:hint="eastAsia"/>
          <w:lang w:val="en-US" w:eastAsia="zh-CN"/>
        </w:rPr>
        <w:t>评价程序、评价模型及评价结果</w:t>
      </w:r>
      <w:r>
        <w:rPr>
          <w:rFonts w:hint="eastAsia"/>
        </w:rPr>
        <w:t>。</w:t>
      </w:r>
    </w:p>
    <w:p>
      <w:pPr>
        <w:pStyle w:val="57"/>
        <w:ind w:firstLine="420"/>
      </w:pPr>
      <w:r>
        <w:rPr>
          <w:rFonts w:hint="eastAsia"/>
        </w:rPr>
        <w:t>本文件适用于重庆</w:t>
      </w:r>
      <w:r>
        <w:rPr>
          <w:rFonts w:hint="eastAsia"/>
          <w:lang w:val="en-US" w:eastAsia="zh-CN"/>
        </w:rPr>
        <w:t>地区的</w:t>
      </w:r>
      <w:r>
        <w:rPr>
          <w:rFonts w:hint="eastAsia"/>
        </w:rPr>
        <w:t>火锅</w:t>
      </w:r>
      <w:r>
        <w:rPr>
          <w:rFonts w:hint="eastAsia"/>
          <w:lang w:val="en-US" w:eastAsia="zh-CN"/>
        </w:rPr>
        <w:t>门店</w:t>
      </w:r>
      <w:r>
        <w:rPr>
          <w:rFonts w:hint="eastAsia"/>
        </w:rPr>
        <w:t>。</w:t>
      </w:r>
    </w:p>
    <w:bookmarkEnd w:id="16"/>
    <w:p>
      <w:pPr>
        <w:pStyle w:val="105"/>
        <w:spacing w:before="240" w:after="240"/>
      </w:pPr>
      <w:bookmarkStart w:id="22" w:name="_Toc26718931"/>
      <w:bookmarkStart w:id="23" w:name="_Toc26986531"/>
      <w:bookmarkStart w:id="24" w:name="_Toc26986772"/>
      <w:r>
        <w:rPr>
          <w:rFonts w:hint="eastAsia"/>
        </w:rPr>
        <w:t>规范性引用文件</w:t>
      </w:r>
      <w:bookmarkEnd w:id="17"/>
      <w:bookmarkEnd w:id="18"/>
      <w:bookmarkEnd w:id="19"/>
      <w:bookmarkEnd w:id="20"/>
      <w:bookmarkEnd w:id="21"/>
      <w:bookmarkEnd w:id="22"/>
      <w:bookmarkEnd w:id="23"/>
      <w:bookmarkEnd w:id="24"/>
    </w:p>
    <w:sdt>
      <w:sdtPr>
        <w:rPr>
          <w:rFonts w:hint="eastAsia"/>
        </w:rPr>
        <w:id w:val="715848253"/>
        <w:placeholder>
          <w:docPart w:val="AAB6AF9F960046E08635D0E832C394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rPr>
          <w:rFonts w:hint="eastAsia"/>
          <w:lang w:val="en-US" w:eastAsia="zh-CN"/>
        </w:rPr>
      </w:pPr>
      <w:r>
        <w:rPr>
          <w:rFonts w:hint="eastAsia"/>
          <w:lang w:val="en-US" w:eastAsia="zh-CN"/>
        </w:rPr>
        <w:t>GB/T 13391-2009 餐饮企业的等级划分和评价</w:t>
      </w:r>
    </w:p>
    <w:p>
      <w:pPr>
        <w:pStyle w:val="57"/>
        <w:rPr>
          <w:rFonts w:hint="eastAsia"/>
          <w:lang w:val="en-US" w:eastAsia="zh-CN"/>
        </w:rPr>
      </w:pPr>
      <w:r>
        <w:rPr>
          <w:rFonts w:hint="eastAsia"/>
          <w:lang w:val="en-US" w:eastAsia="zh-CN"/>
        </w:rPr>
        <w:t>GB/T 23794-2023 企业信用评价指标</w:t>
      </w:r>
    </w:p>
    <w:p>
      <w:pPr>
        <w:pStyle w:val="57"/>
        <w:rPr>
          <w:rFonts w:hint="eastAsia"/>
          <w:lang w:val="en-US" w:eastAsia="zh-CN"/>
        </w:rPr>
      </w:pPr>
      <w:r>
        <w:rPr>
          <w:rFonts w:hint="eastAsia"/>
          <w:lang w:val="en-US" w:eastAsia="zh-CN"/>
        </w:rPr>
        <w:t>GB/T 24620-2022 服务标准制定导则 考虑消费者需求</w:t>
      </w:r>
    </w:p>
    <w:p>
      <w:pPr>
        <w:pStyle w:val="105"/>
        <w:spacing w:before="240" w:after="240"/>
      </w:pPr>
      <w:r>
        <w:rPr>
          <w:rFonts w:hint="eastAsia"/>
          <w:szCs w:val="21"/>
        </w:rPr>
        <w:t>术语和定义</w:t>
      </w:r>
    </w:p>
    <w:sdt>
      <w:sdtPr>
        <w:id w:val="-1909835108"/>
        <w:placeholder>
          <w:docPart w:val="4B0BD1104B114660867757011923A02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25" w:name="_Toc26986532"/>
          <w:bookmarkEnd w:id="25"/>
          <w:r>
            <w:rPr>
              <w:rFonts w:ascii="宋体" w:hAnsi="Times New Roman" w:eastAsia="宋体" w:cs="Times New Roman"/>
              <w:sz w:val="21"/>
              <w:lang w:val="en-US" w:eastAsia="zh-CN" w:bidi="ar-SA"/>
            </w:rPr>
            <w:t>下列术语和定义适用于本文件。</w:t>
          </w:r>
        </w:p>
      </w:sdtContent>
    </w:sdt>
    <w:p>
      <w:pPr>
        <w:pStyle w:val="105"/>
        <w:numPr>
          <w:ilvl w:val="2"/>
          <w:numId w:val="33"/>
        </w:numPr>
        <w:spacing w:before="240" w:after="240"/>
        <w:rPr>
          <w:rFonts w:hint="eastAsia" w:ascii="黑体" w:hAnsi="黑体" w:eastAsia="黑体" w:cs="黑体"/>
          <w:lang w:val="en-US" w:eastAsia="zh-CN"/>
        </w:rPr>
      </w:pPr>
    </w:p>
    <w:p>
      <w:pPr>
        <w:pStyle w:val="105"/>
        <w:numPr>
          <w:ilvl w:val="1"/>
          <w:numId w:val="0"/>
        </w:numPr>
        <w:spacing w:before="240" w:after="240"/>
        <w:ind w:leftChars="0" w:firstLine="420" w:firstLineChars="200"/>
        <w:rPr>
          <w:rFonts w:hint="eastAsia" w:ascii="黑体" w:hAnsi="黑体" w:eastAsia="黑体" w:cs="黑体"/>
          <w:lang w:val="en-US" w:eastAsia="zh-CN"/>
        </w:rPr>
      </w:pPr>
      <w:bookmarkStart w:id="26" w:name="OLE_LINK5"/>
      <w:r>
        <w:rPr>
          <w:rFonts w:hint="eastAsia" w:ascii="黑体" w:hAnsi="黑体" w:eastAsia="黑体" w:cs="黑体"/>
          <w:lang w:val="en-US" w:eastAsia="zh-CN"/>
        </w:rPr>
        <w:t>重庆火锅</w:t>
      </w:r>
      <w:r>
        <w:rPr>
          <w:rFonts w:hint="eastAsia"/>
          <w:lang w:val="en-US" w:eastAsia="zh-CN"/>
        </w:rPr>
        <w:t>餐饮</w:t>
      </w:r>
      <w:r>
        <w:rPr>
          <w:rFonts w:hint="eastAsia" w:hAnsi="黑体" w:cs="黑体"/>
          <w:lang w:val="en-US" w:eastAsia="zh-CN"/>
        </w:rPr>
        <w:t>门店</w:t>
      </w:r>
    </w:p>
    <w:p>
      <w:pPr>
        <w:pStyle w:val="57"/>
        <w:rPr>
          <w:rFonts w:hint="default"/>
          <w:lang w:val="en-US" w:eastAsia="zh-CN"/>
        </w:rPr>
      </w:pPr>
      <w:r>
        <w:rPr>
          <w:rFonts w:hint="eastAsia"/>
          <w:lang w:val="en-US" w:eastAsia="zh-CN"/>
        </w:rPr>
        <w:t>取得“重庆火锅”资质的从事即时烹调加工、销售火锅餐饮制品并为消费者提供就餐场所和消费服务的火锅门店。</w:t>
      </w:r>
    </w:p>
    <w:bookmarkEnd w:id="26"/>
    <w:p>
      <w:pPr>
        <w:pStyle w:val="105"/>
        <w:spacing w:before="240" w:after="240"/>
      </w:pPr>
      <w:r>
        <w:rPr>
          <w:rFonts w:hint="eastAsia"/>
          <w:lang w:val="en-US" w:eastAsia="zh-CN"/>
        </w:rPr>
        <w:t>等级划分与标识</w:t>
      </w:r>
    </w:p>
    <w:p>
      <w:pPr>
        <w:pStyle w:val="105"/>
        <w:numPr>
          <w:ilvl w:val="2"/>
          <w:numId w:val="33"/>
        </w:numPr>
        <w:spacing w:before="240" w:after="240"/>
        <w:rPr>
          <w:rFonts w:eastAsia="宋体"/>
        </w:rPr>
      </w:pPr>
      <w:r>
        <w:rPr>
          <w:rFonts w:hint="eastAsia"/>
          <w:lang w:val="en-US" w:eastAsia="zh-CN"/>
        </w:rPr>
        <w:t>等级划分</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lang w:val="en-US" w:eastAsia="zh-CN"/>
        </w:rPr>
        <w:t>重庆火锅餐饮门店星级划分共分为五个等级，即一星级、二星级、三星级、四星级、五星级</w:t>
      </w:r>
      <w:r>
        <w:rPr>
          <w:rFonts w:hint="eastAsia" w:ascii="宋体" w:hAnsi="Times New Roman"/>
          <w:kern w:val="0"/>
          <w:szCs w:val="20"/>
        </w:rPr>
        <w:t>。</w:t>
      </w:r>
    </w:p>
    <w:p>
      <w:pPr>
        <w:pStyle w:val="105"/>
        <w:numPr>
          <w:ilvl w:val="2"/>
          <w:numId w:val="33"/>
        </w:numPr>
        <w:spacing w:before="240" w:after="240"/>
        <w:rPr>
          <w:rFonts w:hint="eastAsia"/>
          <w:lang w:val="en-US" w:eastAsia="zh-CN"/>
        </w:rPr>
      </w:pPr>
      <w:r>
        <w:rPr>
          <w:rFonts w:hint="eastAsia"/>
          <w:lang w:val="en-US" w:eastAsia="zh-CN"/>
        </w:rPr>
        <w:t>标识</w:t>
      </w:r>
    </w:p>
    <w:p>
      <w:pPr>
        <w:widowControl/>
        <w:spacing w:line="240" w:lineRule="auto"/>
        <w:ind w:firstLine="420" w:firstLineChars="200"/>
        <w:jc w:val="left"/>
        <w:rPr>
          <w:rFonts w:hint="default" w:ascii="宋体" w:hAnsi="宋体" w:eastAsia="宋体"/>
          <w:kern w:val="0"/>
          <w:lang w:val="en-US" w:eastAsia="zh-CN"/>
        </w:rPr>
      </w:pPr>
      <w:r>
        <w:rPr>
          <w:rFonts w:hint="eastAsia" w:ascii="宋体" w:hAnsi="Times New Roman"/>
          <w:kern w:val="0"/>
          <w:szCs w:val="20"/>
          <w:lang w:val="en-US" w:eastAsia="zh-CN"/>
        </w:rPr>
        <w:t>以金星为重庆火锅餐饮门店的等级标识：一颗星表示一星级、二颗星表示二星级、三颗星表式三星级、四颗星表式四星级、五颗星表式五星级</w:t>
      </w:r>
      <w:r>
        <w:rPr>
          <w:rFonts w:hint="eastAsia" w:ascii="宋体" w:hAnsi="宋体"/>
          <w:kern w:val="0"/>
        </w:rPr>
        <w:t>。</w:t>
      </w:r>
      <w:r>
        <w:rPr>
          <w:rFonts w:hint="eastAsia" w:ascii="宋体" w:hAnsi="宋体"/>
          <w:kern w:val="0"/>
          <w:lang w:val="en-US" w:eastAsia="zh-CN"/>
        </w:rPr>
        <w:t>金星的颗数越多，表式门店的级别越高。</w:t>
      </w:r>
    </w:p>
    <w:p>
      <w:pPr>
        <w:pStyle w:val="105"/>
        <w:numPr>
          <w:ilvl w:val="1"/>
          <w:numId w:val="33"/>
        </w:numPr>
        <w:spacing w:before="240" w:after="240"/>
        <w:rPr>
          <w:rFonts w:hint="eastAsia" w:ascii="宋体"/>
          <w:lang w:val="en-US" w:eastAsia="zh-CN"/>
        </w:rPr>
      </w:pPr>
      <w:r>
        <w:rPr>
          <w:rFonts w:hint="eastAsia" w:ascii="宋体"/>
          <w:lang w:val="en-US" w:eastAsia="zh-CN"/>
        </w:rPr>
        <w:t>基本原则</w:t>
      </w:r>
    </w:p>
    <w:p>
      <w:pPr>
        <w:pStyle w:val="105"/>
        <w:numPr>
          <w:ilvl w:val="2"/>
          <w:numId w:val="33"/>
        </w:numPr>
        <w:spacing w:before="240" w:after="240"/>
        <w:rPr>
          <w:rFonts w:ascii="黑体" w:hAnsi="黑体" w:eastAsia="黑体"/>
          <w:sz w:val="21"/>
          <w:szCs w:val="21"/>
          <w:lang w:eastAsia="zh-CN"/>
        </w:rPr>
      </w:pPr>
      <w:bookmarkStart w:id="27" w:name="OLE_LINK6"/>
      <w:r>
        <w:rPr>
          <w:rFonts w:hint="eastAsia" w:hAnsi="黑体"/>
          <w:sz w:val="21"/>
          <w:szCs w:val="21"/>
          <w:lang w:val="en-US" w:eastAsia="zh-CN"/>
        </w:rPr>
        <w:t>评价</w:t>
      </w:r>
      <w:r>
        <w:rPr>
          <w:rFonts w:ascii="黑体" w:hAnsi="黑体" w:eastAsia="黑体"/>
          <w:sz w:val="21"/>
          <w:szCs w:val="21"/>
          <w:lang w:eastAsia="zh-CN"/>
        </w:rPr>
        <w:t>原则</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sz w:val="21"/>
          <w:szCs w:val="21"/>
          <w:lang w:val="en-US" w:eastAsia="zh-CN"/>
        </w:rPr>
      </w:pPr>
      <w:bookmarkStart w:id="28" w:name="OLE_LINK7"/>
      <w:r>
        <w:rPr>
          <w:rFonts w:hint="eastAsia" w:ascii="微软雅黑" w:hAnsi="微软雅黑" w:eastAsia="微软雅黑" w:cs="微软雅黑"/>
          <w:sz w:val="21"/>
          <w:szCs w:val="21"/>
          <w:lang w:val="en-US" w:eastAsia="zh-CN"/>
        </w:rPr>
        <w:t>——</w:t>
      </w:r>
      <w:r>
        <w:rPr>
          <w:rFonts w:hint="eastAsia" w:ascii="宋体" w:hAnsi="宋体" w:eastAsia="宋体" w:cs="宋体"/>
          <w:sz w:val="21"/>
          <w:szCs w:val="21"/>
          <w:lang w:val="en-US" w:eastAsia="zh-CN"/>
        </w:rPr>
        <w:t>科学性。评价指标内容包含影响门店分等定级主要因素，能够反映门店等级状况。</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sz w:val="21"/>
          <w:szCs w:val="21"/>
          <w:lang w:val="en-US" w:eastAsia="zh-CN"/>
        </w:rPr>
      </w:pPr>
      <w:r>
        <w:rPr>
          <w:rFonts w:hint="eastAsia" w:ascii="微软雅黑" w:hAnsi="微软雅黑" w:eastAsia="微软雅黑" w:cs="微软雅黑"/>
          <w:sz w:val="21"/>
          <w:szCs w:val="21"/>
          <w:lang w:val="en-US" w:eastAsia="zh-CN"/>
        </w:rPr>
        <w:t>——</w:t>
      </w:r>
      <w:r>
        <w:rPr>
          <w:rFonts w:hint="eastAsia" w:ascii="宋体" w:hAnsi="宋体" w:eastAsia="宋体" w:cs="宋体"/>
          <w:sz w:val="21"/>
          <w:szCs w:val="21"/>
          <w:lang w:val="en-US" w:eastAsia="zh-CN"/>
        </w:rPr>
        <w:t>合理性。评价指标之间有机关联，逻辑清晰，避免重复和矛盾。</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sz w:val="21"/>
          <w:szCs w:val="21"/>
          <w:lang w:val="en-US" w:eastAsia="zh-CN"/>
        </w:rPr>
      </w:pPr>
      <w:r>
        <w:rPr>
          <w:rFonts w:hint="eastAsia" w:ascii="微软雅黑" w:hAnsi="微软雅黑" w:eastAsia="微软雅黑" w:cs="微软雅黑"/>
          <w:sz w:val="21"/>
          <w:szCs w:val="21"/>
          <w:lang w:val="en-US" w:eastAsia="zh-CN"/>
        </w:rPr>
        <w:t>——</w:t>
      </w:r>
      <w:r>
        <w:rPr>
          <w:rFonts w:hint="eastAsia" w:ascii="宋体" w:hAnsi="宋体" w:eastAsia="宋体" w:cs="宋体"/>
          <w:sz w:val="21"/>
          <w:szCs w:val="21"/>
          <w:lang w:val="en-US" w:eastAsia="zh-CN"/>
        </w:rPr>
        <w:t>适用性。评价各项指标便于理解采集和使用。</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sz w:val="21"/>
          <w:szCs w:val="21"/>
          <w:lang w:val="en-US" w:eastAsia="zh-CN"/>
        </w:rPr>
      </w:pPr>
      <w:r>
        <w:rPr>
          <w:rFonts w:hint="eastAsia" w:ascii="微软雅黑" w:hAnsi="微软雅黑" w:eastAsia="微软雅黑" w:cs="微软雅黑"/>
          <w:sz w:val="21"/>
          <w:szCs w:val="21"/>
          <w:lang w:val="en-US" w:eastAsia="zh-CN"/>
        </w:rPr>
        <w:t>——</w:t>
      </w:r>
      <w:r>
        <w:rPr>
          <w:rFonts w:hint="eastAsia" w:ascii="宋体" w:hAnsi="宋体" w:eastAsia="宋体" w:cs="宋体"/>
          <w:sz w:val="21"/>
          <w:szCs w:val="21"/>
          <w:lang w:val="en-US" w:eastAsia="zh-CN"/>
        </w:rPr>
        <w:t>安全性。采取必要措施，确保评价指标中数据的采集、使用和发布处于有效保护和合法利用的状态。</w:t>
      </w:r>
    </w:p>
    <w:bookmarkEnd w:id="28"/>
    <w:p>
      <w:pPr>
        <w:pStyle w:val="105"/>
        <w:numPr>
          <w:ilvl w:val="2"/>
          <w:numId w:val="33"/>
        </w:numPr>
        <w:spacing w:before="240" w:after="240"/>
        <w:rPr>
          <w:rFonts w:hint="eastAsia" w:cs="Times New Roman"/>
          <w:kern w:val="0"/>
          <w:sz w:val="21"/>
          <w:szCs w:val="20"/>
          <w:lang w:val="en-US" w:eastAsia="zh-CN" w:bidi="ar-SA"/>
        </w:rPr>
      </w:pPr>
      <w:r>
        <w:rPr>
          <w:rFonts w:hint="eastAsia" w:hAnsi="黑体"/>
          <w:sz w:val="21"/>
          <w:szCs w:val="21"/>
          <w:lang w:val="en-US" w:eastAsia="zh-CN"/>
        </w:rPr>
        <w:t>评价机构</w:t>
      </w:r>
    </w:p>
    <w:p>
      <w:pPr>
        <w:pStyle w:val="105"/>
        <w:numPr>
          <w:ilvl w:val="1"/>
          <w:numId w:val="0"/>
        </w:numPr>
        <w:spacing w:before="240" w:after="240"/>
        <w:ind w:leftChars="0" w:firstLine="630" w:firstLineChars="300"/>
        <w:rPr>
          <w:rFonts w:hint="eastAsia" w:cs="Times New Roman"/>
          <w:kern w:val="0"/>
          <w:sz w:val="21"/>
          <w:szCs w:val="20"/>
          <w:lang w:val="en-US" w:eastAsia="zh-CN" w:bidi="ar-SA"/>
        </w:rPr>
      </w:pPr>
      <w:r>
        <w:rPr>
          <w:rFonts w:hint="eastAsia" w:ascii="宋体" w:hAnsi="宋体" w:eastAsia="宋体" w:cs="宋体"/>
          <w:sz w:val="21"/>
          <w:szCs w:val="21"/>
          <w:lang w:val="en-US" w:eastAsia="zh-CN"/>
        </w:rPr>
        <w:t>重庆火锅餐饮门店分等定级评价由重庆市火锅产业协会具体实施。</w:t>
      </w:r>
    </w:p>
    <w:p>
      <w:pPr>
        <w:pStyle w:val="105"/>
        <w:numPr>
          <w:ilvl w:val="2"/>
          <w:numId w:val="33"/>
        </w:numPr>
        <w:spacing w:before="240" w:after="240"/>
        <w:rPr>
          <w:rFonts w:hint="default" w:hAnsi="黑体"/>
          <w:sz w:val="21"/>
          <w:szCs w:val="21"/>
          <w:lang w:val="en-US" w:eastAsia="zh-CN"/>
        </w:rPr>
      </w:pPr>
      <w:r>
        <w:rPr>
          <w:rFonts w:hint="eastAsia" w:hAnsi="黑体"/>
          <w:sz w:val="21"/>
          <w:szCs w:val="21"/>
          <w:lang w:val="en-US" w:eastAsia="zh-CN"/>
        </w:rPr>
        <w:t>评审员</w:t>
      </w:r>
    </w:p>
    <w:p>
      <w:pPr>
        <w:pStyle w:val="57"/>
        <w:rPr>
          <w:rFonts w:hint="default" w:hAnsi="黑体"/>
          <w:sz w:val="21"/>
          <w:szCs w:val="21"/>
          <w:lang w:val="en-US" w:eastAsia="zh-CN"/>
        </w:rPr>
      </w:pPr>
      <w:r>
        <w:rPr>
          <w:rFonts w:hint="eastAsia" w:hAnsi="黑体"/>
          <w:sz w:val="21"/>
          <w:szCs w:val="21"/>
          <w:lang w:val="en-US" w:eastAsia="zh-CN"/>
        </w:rPr>
        <w:t>应具备从事十年以上重庆火锅制作、管理经验；应经过培训且了解本标准的相关规定。</w:t>
      </w:r>
    </w:p>
    <w:p>
      <w:pPr>
        <w:pStyle w:val="105"/>
        <w:numPr>
          <w:ilvl w:val="2"/>
          <w:numId w:val="33"/>
        </w:numPr>
        <w:spacing w:before="240" w:after="240"/>
        <w:rPr>
          <w:rFonts w:hint="eastAsia" w:hAnsi="黑体"/>
          <w:sz w:val="21"/>
          <w:szCs w:val="21"/>
          <w:lang w:val="en-US" w:eastAsia="zh-CN"/>
        </w:rPr>
      </w:pPr>
      <w:r>
        <w:rPr>
          <w:rFonts w:hint="eastAsia" w:hAnsi="黑体"/>
          <w:sz w:val="21"/>
          <w:szCs w:val="21"/>
          <w:lang w:val="en-US" w:eastAsia="zh-CN"/>
        </w:rPr>
        <w:t>管理原则</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重庆市火锅产业协会统一制作餐饮门店等级标志牌及证书；</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重庆火锅餐饮门店获得星级称号后，等级标志牌应悬挂在门店显著位置；</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default"/>
          <w:lang w:val="en-US" w:eastAsia="zh-CN"/>
        </w:rPr>
      </w:pPr>
      <w:r>
        <w:rPr>
          <w:rFonts w:hint="eastAsia" w:ascii="宋体" w:hAnsi="宋体" w:eastAsia="宋体" w:cs="宋体"/>
          <w:lang w:val="en-US" w:eastAsia="zh-CN"/>
        </w:rPr>
        <w:t>等级证书有效期为三年，三年后应对门店进行复评，每年进行年检，对等级予以确认，不参加复评或年检的门店视同自动放弃，将公告取消其资格并收回标志牌和证书；</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已取得等级资格的门店如发生食品安全、人身安全等重大事故，将根据情节轻重予以降级或取消等级资格；</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default"/>
          <w:lang w:val="en-US" w:eastAsia="zh-CN"/>
        </w:rPr>
      </w:pPr>
      <w:r>
        <w:rPr>
          <w:rFonts w:hint="eastAsia" w:ascii="宋体" w:hAnsi="宋体" w:eastAsia="宋体" w:cs="宋体"/>
          <w:lang w:val="en-US" w:eastAsia="zh-CN"/>
        </w:rPr>
        <w:t>被降级或取消等级的门店，一年内不得恢复或重新评价等级。</w:t>
      </w:r>
    </w:p>
    <w:bookmarkEnd w:id="27"/>
    <w:p>
      <w:pPr>
        <w:pStyle w:val="105"/>
        <w:numPr>
          <w:ilvl w:val="1"/>
          <w:numId w:val="33"/>
        </w:numPr>
        <w:spacing w:before="240" w:after="240"/>
        <w:rPr>
          <w:rFonts w:ascii="宋体" w:eastAsia="宋体"/>
        </w:rPr>
      </w:pPr>
      <w:bookmarkStart w:id="29" w:name="OLE_LINK8"/>
      <w:r>
        <w:rPr>
          <w:rFonts w:hint="eastAsia" w:ascii="宋体"/>
          <w:lang w:val="en-US" w:eastAsia="zh-CN"/>
        </w:rPr>
        <w:t>评价程序</w:t>
      </w:r>
    </w:p>
    <w:bookmarkEnd w:id="6"/>
    <w:p>
      <w:pPr>
        <w:pStyle w:val="105"/>
        <w:numPr>
          <w:ilvl w:val="2"/>
          <w:numId w:val="33"/>
        </w:numPr>
        <w:spacing w:before="240" w:after="240"/>
        <w:rPr>
          <w:rFonts w:hint="eastAsia" w:ascii="宋体" w:eastAsia="黑体"/>
          <w:lang w:val="en-US" w:eastAsia="zh-CN"/>
        </w:rPr>
      </w:pPr>
      <w:r>
        <w:rPr>
          <w:rFonts w:hint="eastAsia" w:hAnsi="黑体"/>
          <w:sz w:val="21"/>
          <w:szCs w:val="21"/>
          <w:lang w:val="en-US" w:eastAsia="zh-CN"/>
        </w:rPr>
        <w:t>申请</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申请门店可根据分等定级划分条件提出相应的等级评价申请,提交等级评价机构审查。</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等级评价机构接受门店的申请报告和相关文件后,在15个工作日内就是否可以评价给予门店答复。</w:t>
      </w:r>
    </w:p>
    <w:p>
      <w:pPr>
        <w:pStyle w:val="105"/>
        <w:numPr>
          <w:ilvl w:val="2"/>
          <w:numId w:val="33"/>
        </w:numPr>
        <w:spacing w:before="240" w:after="240"/>
        <w:rPr>
          <w:rFonts w:hint="default" w:hAnsi="黑体"/>
          <w:sz w:val="21"/>
          <w:szCs w:val="21"/>
          <w:lang w:val="en-US" w:eastAsia="zh-CN"/>
        </w:rPr>
      </w:pPr>
      <w:r>
        <w:rPr>
          <w:rFonts w:hint="eastAsia" w:hAnsi="黑体"/>
          <w:sz w:val="21"/>
          <w:szCs w:val="21"/>
          <w:lang w:val="en-US" w:eastAsia="zh-CN"/>
        </w:rPr>
        <w:t>受理</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等级评价机构确认申请门店符合评价条件后，应在20个工作内完成评价的准备工作,受理并开始现场评审。</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进行现场评审前，应根据不同等级的申请,由等级评价机构组织专家进行评估,当评估通过后,等级评价机构通知门店可进行现场评价并协商确定评审时间。</w:t>
      </w:r>
    </w:p>
    <w:p>
      <w:pPr>
        <w:pStyle w:val="105"/>
        <w:numPr>
          <w:ilvl w:val="2"/>
          <w:numId w:val="33"/>
        </w:numPr>
        <w:spacing w:before="240" w:after="240"/>
        <w:rPr>
          <w:rFonts w:hint="eastAsia" w:ascii="宋体" w:hAnsi="宋体" w:eastAsia="宋体" w:cs="宋体"/>
          <w:lang w:val="en-US" w:eastAsia="zh-CN"/>
        </w:rPr>
      </w:pPr>
      <w:r>
        <w:rPr>
          <w:rFonts w:hint="eastAsia" w:hAnsi="黑体"/>
          <w:sz w:val="21"/>
          <w:szCs w:val="21"/>
          <w:lang w:val="en-US" w:eastAsia="zh-CN"/>
        </w:rPr>
        <w:t>现场评价</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现场评价应有暗访，暗访原则上安排在正式现场评价之前，一般情况下每次暗访不超过三人,可以是评审组的成员或相应的评价机构指派的人员。暗访结果将计入门店评价的总成绩。</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对现场评价提出需改进的问题,要求门店在规定的时间内进行整改，整改的结果由各等级评价机构负责跟踪验证。</w:t>
      </w:r>
    </w:p>
    <w:p>
      <w:pPr>
        <w:pStyle w:val="105"/>
        <w:keepNext w:val="0"/>
        <w:keepLines w:val="0"/>
        <w:pageBreakBefore w:val="0"/>
        <w:widowControl/>
        <w:numPr>
          <w:ilvl w:val="3"/>
          <w:numId w:val="33"/>
        </w:numPr>
        <w:kinsoku/>
        <w:wordWrap/>
        <w:overflowPunct/>
        <w:topLinePunct w:val="0"/>
        <w:autoSpaceDE/>
        <w:autoSpaceDN/>
        <w:bidi w:val="0"/>
        <w:adjustRightInd/>
        <w:snapToGrid w:val="0"/>
        <w:spacing w:before="0" w:beforeLines="0" w:after="0" w:afterLines="0"/>
        <w:textAlignment w:val="auto"/>
        <w:rPr>
          <w:rFonts w:hint="eastAsia" w:ascii="宋体" w:hAnsi="宋体" w:eastAsia="宋体" w:cs="宋体"/>
          <w:lang w:val="en-US" w:eastAsia="zh-CN"/>
        </w:rPr>
      </w:pPr>
      <w:r>
        <w:rPr>
          <w:rFonts w:hint="eastAsia" w:ascii="宋体" w:hAnsi="宋体" w:eastAsia="宋体" w:cs="宋体"/>
          <w:lang w:val="en-US" w:eastAsia="zh-CN"/>
        </w:rPr>
        <w:t>现场评价的所有文件由评审组汇总并交由等级评价机构存档。</w:t>
      </w:r>
    </w:p>
    <w:p>
      <w:pPr>
        <w:pStyle w:val="105"/>
        <w:numPr>
          <w:ilvl w:val="2"/>
          <w:numId w:val="33"/>
        </w:numPr>
        <w:spacing w:before="240" w:after="240"/>
        <w:rPr>
          <w:rFonts w:hint="eastAsia" w:ascii="宋体" w:hAnsi="宋体" w:eastAsia="宋体" w:cs="宋体"/>
          <w:lang w:val="en-US" w:eastAsia="zh-CN"/>
        </w:rPr>
      </w:pPr>
      <w:r>
        <w:rPr>
          <w:rFonts w:hint="eastAsia" w:hAnsi="黑体"/>
          <w:sz w:val="21"/>
          <w:szCs w:val="21"/>
          <w:lang w:val="en-US" w:eastAsia="zh-CN"/>
        </w:rPr>
        <w:t>审定</w:t>
      </w:r>
    </w:p>
    <w:p>
      <w:pPr>
        <w:pStyle w:val="105"/>
        <w:numPr>
          <w:ilvl w:val="1"/>
          <w:numId w:val="0"/>
        </w:numPr>
        <w:spacing w:before="0" w:beforeLines="0" w:after="0" w:afterLines="0"/>
        <w:ind w:leftChars="0" w:firstLine="420" w:firstLineChars="200"/>
        <w:rPr>
          <w:rFonts w:hint="eastAsia" w:ascii="宋体" w:hAnsi="宋体" w:eastAsia="宋体" w:cs="宋体"/>
          <w:lang w:val="en-US" w:eastAsia="zh-CN"/>
        </w:rPr>
      </w:pPr>
      <w:r>
        <w:rPr>
          <w:rFonts w:hint="eastAsia" w:ascii="宋体" w:hAnsi="宋体" w:eastAsia="宋体" w:cs="宋体"/>
        </w:rPr>
        <w:t>重庆</w:t>
      </w:r>
      <w:r>
        <w:rPr>
          <w:rFonts w:hint="eastAsia" w:ascii="宋体" w:hAnsi="宋体" w:eastAsia="宋体" w:cs="宋体"/>
          <w:lang w:val="en-US" w:eastAsia="zh-CN"/>
        </w:rPr>
        <w:t>市</w:t>
      </w:r>
      <w:r>
        <w:rPr>
          <w:rFonts w:hint="eastAsia" w:ascii="宋体" w:hAnsi="宋体" w:eastAsia="宋体" w:cs="宋体"/>
        </w:rPr>
        <w:t>火锅</w:t>
      </w:r>
      <w:r>
        <w:rPr>
          <w:rFonts w:hint="eastAsia" w:ascii="宋体" w:hAnsi="宋体" w:eastAsia="宋体" w:cs="宋体"/>
          <w:lang w:val="en-US" w:eastAsia="zh-CN"/>
        </w:rPr>
        <w:t>产业协会根据暗访结果、现场考察及文件审核结果综合计算得分</w:t>
      </w:r>
      <w:r>
        <w:rPr>
          <w:rFonts w:hint="eastAsia" w:ascii="宋体" w:hAnsi="宋体" w:eastAsia="宋体" w:cs="宋体"/>
        </w:rPr>
        <w:t>，对达标</w:t>
      </w:r>
      <w:r>
        <w:rPr>
          <w:rFonts w:hint="eastAsia" w:ascii="宋体" w:hAnsi="宋体" w:eastAsia="宋体" w:cs="宋体"/>
          <w:lang w:eastAsia="zh-CN"/>
        </w:rPr>
        <w:t>门店</w:t>
      </w:r>
      <w:r>
        <w:rPr>
          <w:rFonts w:hint="eastAsia" w:ascii="宋体" w:hAnsi="宋体" w:eastAsia="宋体" w:cs="宋体"/>
        </w:rPr>
        <w:t>给予</w:t>
      </w:r>
      <w:r>
        <w:rPr>
          <w:rFonts w:hint="eastAsia" w:ascii="宋体" w:hAnsi="宋体" w:eastAsia="宋体" w:cs="宋体"/>
          <w:lang w:val="en-US" w:eastAsia="zh-CN"/>
        </w:rPr>
        <w:t>星级认证</w:t>
      </w:r>
      <w:r>
        <w:rPr>
          <w:rFonts w:hint="eastAsia" w:ascii="宋体" w:hAnsi="宋体" w:eastAsia="宋体" w:cs="宋体"/>
        </w:rPr>
        <w:t>标牌、证书，并登记；对不达标</w:t>
      </w:r>
      <w:r>
        <w:rPr>
          <w:rFonts w:hint="eastAsia" w:ascii="宋体" w:hAnsi="宋体" w:eastAsia="宋体" w:cs="宋体"/>
          <w:lang w:eastAsia="zh-CN"/>
        </w:rPr>
        <w:t>门店</w:t>
      </w:r>
      <w:r>
        <w:rPr>
          <w:rFonts w:hint="eastAsia" w:ascii="宋体" w:hAnsi="宋体" w:eastAsia="宋体" w:cs="宋体"/>
        </w:rPr>
        <w:t>应说明不达标理由及</w:t>
      </w:r>
      <w:r>
        <w:rPr>
          <w:rFonts w:hint="eastAsia" w:ascii="宋体" w:hAnsi="宋体" w:eastAsia="宋体" w:cs="宋体"/>
          <w:lang w:val="en-US" w:eastAsia="zh-CN"/>
        </w:rPr>
        <w:t>达标</w:t>
      </w:r>
      <w:r>
        <w:rPr>
          <w:rFonts w:hint="eastAsia" w:ascii="宋体" w:hAnsi="宋体" w:eastAsia="宋体" w:cs="宋体"/>
        </w:rPr>
        <w:t>条件。</w:t>
      </w:r>
    </w:p>
    <w:p>
      <w:pPr>
        <w:pStyle w:val="105"/>
        <w:numPr>
          <w:ilvl w:val="1"/>
          <w:numId w:val="33"/>
        </w:numPr>
        <w:spacing w:before="240" w:after="240"/>
        <w:rPr>
          <w:rFonts w:hint="eastAsia" w:hAnsi="宋体" w:cs="宋体"/>
          <w:lang w:val="en-US" w:eastAsia="zh-CN"/>
        </w:rPr>
      </w:pPr>
      <w:r>
        <w:rPr>
          <w:rFonts w:hint="eastAsia" w:ascii="宋体"/>
          <w:lang w:val="en-US" w:eastAsia="zh-CN"/>
        </w:rPr>
        <w:t>评价模型</w:t>
      </w:r>
    </w:p>
    <w:p>
      <w:pPr>
        <w:pStyle w:val="57"/>
        <w:rPr>
          <w:rFonts w:hint="default" w:ascii="宋体" w:hAnsi="宋体" w:eastAsia="宋体" w:cs="宋体"/>
          <w:lang w:val="en-US" w:eastAsia="zh-CN"/>
        </w:rPr>
      </w:pPr>
      <w:r>
        <w:rPr>
          <w:rFonts w:hint="eastAsia" w:hAnsi="宋体" w:cs="宋体"/>
          <w:lang w:val="en-US" w:eastAsia="zh-CN"/>
        </w:rPr>
        <w:t>《重庆火锅餐饮门店分等定级评价规范评估指标体系表》（见附录A），由两部分组成，其中重庆火锅分等定级评价基本条件中有一条不满足，不得申报重庆火锅门店分等定级评价。重庆火锅餐饮门店分等定级评价规范指标由5项一级指标及25项二级指标构成，总分为300分。</w:t>
      </w:r>
    </w:p>
    <w:p>
      <w:pPr>
        <w:pStyle w:val="105"/>
        <w:numPr>
          <w:ilvl w:val="2"/>
          <w:numId w:val="33"/>
        </w:numPr>
        <w:spacing w:before="240" w:after="240"/>
        <w:rPr>
          <w:rFonts w:ascii="黑体" w:hAnsi="黑体" w:eastAsia="黑体"/>
          <w:color w:val="000000"/>
          <w:sz w:val="21"/>
          <w:szCs w:val="21"/>
          <w:lang w:eastAsia="zh-CN"/>
        </w:rPr>
      </w:pPr>
      <w:r>
        <w:rPr>
          <w:rFonts w:hint="eastAsia" w:hAnsi="黑体"/>
          <w:color w:val="000000"/>
          <w:sz w:val="21"/>
          <w:szCs w:val="21"/>
          <w:lang w:val="en-US" w:eastAsia="zh-CN"/>
        </w:rPr>
        <w:t>重庆火锅餐饮门店分等定级</w:t>
      </w:r>
      <w:r>
        <w:rPr>
          <w:rFonts w:hint="eastAsia" w:ascii="黑体" w:hAnsi="黑体" w:eastAsia="黑体"/>
          <w:color w:val="000000"/>
          <w:sz w:val="21"/>
          <w:szCs w:val="21"/>
          <w:lang w:eastAsia="zh-CN"/>
        </w:rPr>
        <w:t>指数计算模型</w:t>
      </w:r>
    </w:p>
    <w:p>
      <w:pPr>
        <w:spacing w:after="0" w:line="240" w:lineRule="auto"/>
        <w:ind w:firstLine="420" w:firstLineChars="200"/>
        <w:rPr>
          <w:rFonts w:ascii="宋体" w:hAnsi="宋体" w:eastAsia="宋体"/>
          <w:color w:val="000000"/>
          <w:sz w:val="21"/>
          <w:szCs w:val="21"/>
          <w:lang w:eastAsia="zh-CN"/>
        </w:rPr>
      </w:pPr>
      <w:r>
        <w:rPr>
          <w:rFonts w:hint="eastAsia" w:ascii="宋体" w:hAnsi="宋体"/>
          <w:color w:val="000000"/>
          <w:sz w:val="21"/>
          <w:szCs w:val="21"/>
          <w:lang w:val="en-US" w:eastAsia="zh-CN"/>
        </w:rPr>
        <w:t>重庆火锅餐饮门店分等定级</w:t>
      </w:r>
      <w:r>
        <w:rPr>
          <w:rFonts w:hint="eastAsia" w:ascii="宋体" w:hAnsi="宋体" w:eastAsia="宋体"/>
          <w:color w:val="000000"/>
          <w:sz w:val="21"/>
          <w:szCs w:val="21"/>
          <w:lang w:eastAsia="zh-CN"/>
        </w:rPr>
        <w:t>分类指数计算即各项一级指标的分值计算</w:t>
      </w:r>
      <w:r>
        <w:rPr>
          <w:rFonts w:ascii="宋体" w:hAnsi="宋体" w:eastAsia="宋体"/>
          <w:sz w:val="21"/>
          <w:szCs w:val="21"/>
          <w:lang w:eastAsia="zh-CN"/>
        </w:rPr>
        <w:t>，当一级指标由</w:t>
      </w:r>
      <w:r>
        <w:rPr>
          <w:rFonts w:hint="eastAsia" w:ascii="宋体" w:hAnsi="宋体" w:eastAsia="宋体"/>
          <w:sz w:val="21"/>
          <w:szCs w:val="21"/>
          <w:lang w:eastAsia="zh-CN"/>
        </w:rPr>
        <w:t>二</w:t>
      </w:r>
      <w:r>
        <w:rPr>
          <w:rFonts w:ascii="宋体" w:hAnsi="宋体" w:eastAsia="宋体"/>
          <w:sz w:val="21"/>
          <w:szCs w:val="21"/>
          <w:lang w:eastAsia="zh-CN"/>
        </w:rPr>
        <w:t>级指标构成时使用</w:t>
      </w:r>
      <w:r>
        <w:rPr>
          <w:rFonts w:hint="eastAsia" w:ascii="宋体" w:hAnsi="宋体" w:eastAsia="宋体"/>
          <w:sz w:val="21"/>
          <w:szCs w:val="21"/>
          <w:lang w:eastAsia="zh-CN"/>
        </w:rPr>
        <w:t>加法</w:t>
      </w:r>
      <w:r>
        <w:rPr>
          <w:rFonts w:ascii="宋体" w:hAnsi="宋体" w:eastAsia="宋体"/>
          <w:sz w:val="21"/>
          <w:szCs w:val="21"/>
          <w:lang w:eastAsia="zh-CN"/>
        </w:rPr>
        <w:t>计算得到，计算方法</w:t>
      </w:r>
      <w:r>
        <w:rPr>
          <w:rFonts w:hint="eastAsia" w:ascii="宋体" w:hAnsi="宋体" w:eastAsia="宋体"/>
          <w:sz w:val="21"/>
          <w:szCs w:val="21"/>
          <w:lang w:eastAsia="zh-CN"/>
        </w:rPr>
        <w:t>如下：</w:t>
      </w:r>
    </w:p>
    <w:p>
      <w:pPr>
        <w:spacing w:after="0" w:line="240" w:lineRule="auto"/>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Cs w:val="24"/>
          <w:lang w:eastAsia="zh-CN"/>
        </w:rPr>
        <w:t>Q</w:t>
      </w:r>
      <w:r>
        <w:rPr>
          <w:rFonts w:ascii="Times New Roman" w:hAnsi="Times New Roman" w:eastAsia="宋体" w:cs="Times New Roman"/>
          <w:sz w:val="21"/>
          <w:szCs w:val="24"/>
          <w:vertAlign w:val="subscript"/>
          <w:lang w:eastAsia="zh-CN"/>
        </w:rPr>
        <w:t>i</w:t>
      </w:r>
      <w:r>
        <w:rPr>
          <w:rFonts w:ascii="Times New Roman" w:hAnsi="Times New Roman" w:eastAsia="宋体" w:cs="Times New Roman"/>
          <w:sz w:val="21"/>
          <w:szCs w:val="21"/>
          <w:lang w:eastAsia="zh-CN"/>
        </w:rPr>
        <w:t>=</w:t>
      </w:r>
      <m:oMath>
        <m:nary>
          <m:naryPr>
            <m:chr m:val="∑"/>
            <m:limLoc m:val="subSup"/>
            <m:ctrlPr>
              <w:rPr>
                <w:rFonts w:ascii="Cambria Math" w:hAnsi="Cambria Math" w:eastAsia="宋体" w:cs="Times New Roman"/>
                <w:sz w:val="21"/>
                <w:szCs w:val="21"/>
                <w:lang w:eastAsia="zh-CN"/>
              </w:rPr>
            </m:ctrlPr>
          </m:naryPr>
          <m:sub>
            <m:r>
              <m:rPr/>
              <w:rPr>
                <w:rFonts w:ascii="Cambria Math" w:hAnsi="Cambria Math" w:eastAsia="宋体" w:cs="Times New Roman"/>
                <w:sz w:val="21"/>
                <w:szCs w:val="21"/>
                <w:lang w:eastAsia="zh-CN"/>
              </w:rPr>
              <m:t>j=1</m:t>
            </m:r>
            <m:ctrlPr>
              <w:rPr>
                <w:rFonts w:ascii="Cambria Math" w:hAnsi="Cambria Math" w:eastAsia="宋体" w:cs="Times New Roman"/>
                <w:sz w:val="21"/>
                <w:szCs w:val="21"/>
                <w:lang w:eastAsia="zh-CN"/>
              </w:rPr>
            </m:ctrlPr>
          </m:sub>
          <m:sup>
            <m:r>
              <m:rPr/>
              <w:rPr>
                <w:rFonts w:ascii="Cambria Math" w:hAnsi="Cambria Math" w:eastAsia="宋体" w:cs="Times New Roman"/>
                <w:sz w:val="21"/>
                <w:szCs w:val="21"/>
                <w:lang w:eastAsia="zh-CN"/>
              </w:rPr>
              <m:t>j</m:t>
            </m:r>
            <m:ctrlPr>
              <w:rPr>
                <w:rFonts w:ascii="Cambria Math" w:hAnsi="Cambria Math" w:eastAsia="宋体" w:cs="Times New Roman"/>
                <w:sz w:val="21"/>
                <w:szCs w:val="21"/>
                <w:lang w:eastAsia="zh-CN"/>
              </w:rPr>
            </m:ctrlPr>
          </m:sup>
          <m:e>
            <m:r>
              <m:rPr/>
              <w:rPr>
                <w:rFonts w:ascii="Cambria Math" w:hAnsi="Cambria Math" w:eastAsia="宋体" w:cs="Times New Roman"/>
                <w:sz w:val="21"/>
                <w:szCs w:val="21"/>
                <w:lang w:eastAsia="zh-CN"/>
              </w:rPr>
              <m:t>Q</m:t>
            </m:r>
            <m:r>
              <m:rPr>
                <m:sty m:val="p"/>
              </m:rPr>
              <w:rPr>
                <w:rFonts w:ascii="Cambria Math" w:hAnsi="Cambria Math" w:eastAsia="宋体" w:cs="Times New Roman"/>
                <w:sz w:val="21"/>
                <w:szCs w:val="21"/>
                <w:vertAlign w:val="subscript"/>
                <w:lang w:eastAsia="zh-CN"/>
              </w:rPr>
              <m:t>ij</m:t>
            </m:r>
            <m:ctrlPr>
              <w:rPr>
                <w:rFonts w:ascii="Cambria Math" w:hAnsi="Cambria Math" w:eastAsia="宋体" w:cs="Times New Roman"/>
                <w:sz w:val="21"/>
                <w:szCs w:val="21"/>
                <w:lang w:eastAsia="zh-CN"/>
              </w:rPr>
            </m:ctrlPr>
          </m:e>
        </m:nary>
      </m:oMath>
      <w:bookmarkStart w:id="30" w:name="OLE_LINK2"/>
      <w:r>
        <w:rPr>
          <w:rFonts w:hint="eastAsia" w:ascii="微软雅黑" w:hAnsi="微软雅黑" w:eastAsia="微软雅黑" w:cs="微软雅黑"/>
          <w:i w:val="0"/>
          <w:sz w:val="21"/>
          <w:szCs w:val="21"/>
          <w:lang w:eastAsia="zh-CN"/>
        </w:rPr>
        <w:t>……</w:t>
      </w:r>
      <w:bookmarkEnd w:id="30"/>
      <w:r>
        <w:rPr>
          <w:rFonts w:hint="eastAsia" w:ascii="微软雅黑" w:hAnsi="微软雅黑" w:eastAsia="微软雅黑" w:cs="微软雅黑"/>
          <w:i w:val="0"/>
          <w:sz w:val="21"/>
          <w:szCs w:val="21"/>
          <w:lang w:eastAsia="zh-CN"/>
        </w:rPr>
        <w:t>………………………………（</w:t>
      </w:r>
      <w:r>
        <w:rPr>
          <w:rFonts w:hint="eastAsia" w:ascii="微软雅黑" w:hAnsi="微软雅黑" w:eastAsia="微软雅黑" w:cs="微软雅黑"/>
          <w:i w:val="0"/>
          <w:sz w:val="21"/>
          <w:szCs w:val="21"/>
          <w:lang w:val="en-US" w:eastAsia="zh-CN"/>
        </w:rPr>
        <w:t>1</w:t>
      </w:r>
      <w:r>
        <w:rPr>
          <w:rFonts w:hint="eastAsia" w:ascii="微软雅黑" w:hAnsi="微软雅黑" w:eastAsia="微软雅黑" w:cs="微软雅黑"/>
          <w:i w:val="0"/>
          <w:sz w:val="21"/>
          <w:szCs w:val="21"/>
          <w:lang w:eastAsia="zh-CN"/>
        </w:rPr>
        <w:t>）</w:t>
      </w:r>
    </w:p>
    <w:p>
      <w:pPr>
        <w:spacing w:after="0" w:line="24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式中：</w:t>
      </w:r>
    </w:p>
    <w:p>
      <w:pPr>
        <w:spacing w:after="0" w:line="24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Q</w:t>
      </w:r>
      <w:r>
        <w:rPr>
          <w:rFonts w:ascii="Times New Roman" w:hAnsi="Times New Roman" w:eastAsia="宋体" w:cs="Times New Roman"/>
          <w:sz w:val="15"/>
          <w:szCs w:val="15"/>
          <w:lang w:eastAsia="zh-CN"/>
        </w:rPr>
        <w:t>i</w:t>
      </w:r>
      <w:r>
        <w:rPr>
          <w:rFonts w:ascii="Times New Roman" w:hAnsi="Times New Roman" w:eastAsia="宋体" w:cs="Times New Roman"/>
          <w:sz w:val="21"/>
          <w:szCs w:val="21"/>
          <w:lang w:eastAsia="zh-CN"/>
        </w:rPr>
        <w:t>——第i个一级指标分值；</w:t>
      </w:r>
    </w:p>
    <w:p>
      <w:pPr>
        <w:spacing w:after="0" w:line="24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Q</w:t>
      </w:r>
      <w:r>
        <w:rPr>
          <w:rFonts w:ascii="Times New Roman" w:hAnsi="Times New Roman" w:eastAsia="宋体" w:cs="Times New Roman"/>
          <w:sz w:val="15"/>
          <w:szCs w:val="15"/>
          <w:lang w:eastAsia="zh-CN"/>
        </w:rPr>
        <w:t>ij</w:t>
      </w:r>
      <w:r>
        <w:rPr>
          <w:rFonts w:ascii="Times New Roman" w:hAnsi="Times New Roman" w:eastAsia="宋体" w:cs="Times New Roman"/>
          <w:sz w:val="21"/>
          <w:szCs w:val="21"/>
          <w:lang w:eastAsia="zh-CN"/>
        </w:rPr>
        <w:t>——第i个一级级指标下的第j个二级指标分值。</w:t>
      </w:r>
    </w:p>
    <w:p>
      <w:pPr>
        <w:pStyle w:val="105"/>
        <w:numPr>
          <w:ilvl w:val="2"/>
          <w:numId w:val="33"/>
        </w:numPr>
        <w:spacing w:before="240" w:after="240"/>
        <w:rPr>
          <w:rFonts w:ascii="黑体" w:hAnsi="黑体" w:eastAsia="黑体"/>
          <w:sz w:val="21"/>
          <w:szCs w:val="21"/>
          <w:lang w:eastAsia="zh-CN"/>
        </w:rPr>
      </w:pPr>
      <w:r>
        <w:rPr>
          <w:rFonts w:hint="eastAsia" w:hAnsi="黑体"/>
          <w:color w:val="000000"/>
          <w:sz w:val="21"/>
          <w:szCs w:val="21"/>
          <w:lang w:val="en-US" w:eastAsia="zh-CN"/>
        </w:rPr>
        <w:t>重庆火锅餐饮门店分等定级综合</w:t>
      </w:r>
      <w:r>
        <w:rPr>
          <w:rFonts w:ascii="黑体" w:hAnsi="黑体" w:eastAsia="黑体"/>
          <w:sz w:val="21"/>
          <w:szCs w:val="21"/>
          <w:lang w:eastAsia="zh-CN"/>
        </w:rPr>
        <w:t>指数</w:t>
      </w:r>
      <w:r>
        <w:rPr>
          <w:rFonts w:hint="eastAsia" w:ascii="黑体" w:hAnsi="黑体" w:eastAsia="黑体"/>
          <w:sz w:val="21"/>
          <w:szCs w:val="21"/>
          <w:lang w:eastAsia="zh-CN"/>
        </w:rPr>
        <w:t>计算模型</w:t>
      </w:r>
    </w:p>
    <w:p>
      <w:pPr>
        <w:spacing w:before="120" w:beforeLines="50" w:after="120" w:afterLines="50" w:line="240" w:lineRule="auto"/>
        <w:ind w:firstLine="420" w:firstLineChars="200"/>
        <w:rPr>
          <w:rFonts w:ascii="宋体" w:hAnsi="宋体" w:eastAsia="宋体"/>
          <w:sz w:val="21"/>
          <w:szCs w:val="21"/>
          <w:lang w:eastAsia="zh-CN"/>
        </w:rPr>
      </w:pPr>
      <w:bookmarkStart w:id="31" w:name="OLE_LINK3"/>
      <w:r>
        <w:rPr>
          <w:rFonts w:hint="eastAsia" w:ascii="宋体" w:hAnsi="宋体"/>
          <w:sz w:val="21"/>
          <w:szCs w:val="21"/>
          <w:lang w:eastAsia="zh-CN"/>
        </w:rPr>
        <w:t>重庆火锅餐饮门店</w:t>
      </w:r>
      <w:r>
        <w:rPr>
          <w:rFonts w:hint="eastAsia" w:ascii="宋体" w:hAnsi="宋体"/>
          <w:sz w:val="21"/>
          <w:szCs w:val="21"/>
          <w:lang w:val="en-US" w:eastAsia="zh-CN"/>
        </w:rPr>
        <w:t>分等定级</w:t>
      </w:r>
      <w:r>
        <w:rPr>
          <w:rFonts w:hint="eastAsia" w:ascii="宋体" w:hAnsi="宋体" w:eastAsia="宋体"/>
          <w:sz w:val="21"/>
          <w:szCs w:val="21"/>
          <w:lang w:eastAsia="zh-CN"/>
        </w:rPr>
        <w:t>指数</w:t>
      </w:r>
      <w:bookmarkEnd w:id="31"/>
      <w:r>
        <w:rPr>
          <w:rFonts w:hint="eastAsia" w:ascii="宋体" w:hAnsi="宋体" w:eastAsia="宋体"/>
          <w:sz w:val="21"/>
          <w:szCs w:val="21"/>
          <w:lang w:eastAsia="zh-CN"/>
        </w:rPr>
        <w:t>由各项一级指数相加的总和计算而得，计算方法如下：</w:t>
      </w:r>
    </w:p>
    <w:p>
      <w:pPr>
        <w:spacing w:after="0" w:line="240" w:lineRule="auto"/>
        <w:ind w:firstLine="0"/>
        <w:jc w:val="center"/>
        <w:rPr>
          <w:rFonts w:ascii="宋体" w:hAnsi="宋体" w:eastAsia="宋体"/>
          <w:sz w:val="21"/>
          <w:szCs w:val="21"/>
          <w:lang w:eastAsia="zh-CN"/>
        </w:rPr>
      </w:pPr>
      <w:r>
        <w:rPr>
          <w:rFonts w:ascii="Times New Roman" w:hAnsi="Times New Roman" w:eastAsia="宋体" w:cs="Times New Roman"/>
          <w:szCs w:val="24"/>
          <w:lang w:eastAsia="zh-CN"/>
        </w:rPr>
        <w:t>Q</w:t>
      </w:r>
      <w:r>
        <w:rPr>
          <w:rFonts w:hint="eastAsia" w:ascii="宋体" w:hAnsi="宋体" w:eastAsia="宋体"/>
          <w:sz w:val="21"/>
          <w:szCs w:val="21"/>
          <w:lang w:eastAsia="zh-CN"/>
        </w:rPr>
        <w:t>=</w:t>
      </w:r>
      <m:oMath>
        <m:nary>
          <m:naryPr>
            <m:chr m:val="∑"/>
            <m:limLoc m:val="subSup"/>
            <m:ctrlPr>
              <w:rPr>
                <w:rFonts w:ascii="Cambria Math" w:hAnsi="Cambria Math" w:eastAsia="宋体"/>
                <w:sz w:val="21"/>
                <w:szCs w:val="21"/>
                <w:lang w:eastAsia="zh-CN"/>
              </w:rPr>
            </m:ctrlPr>
          </m:naryPr>
          <m:sub>
            <m:r>
              <m:rPr>
                <m:sty m:val="p"/>
              </m:rPr>
              <w:rPr>
                <w:rFonts w:ascii="Cambria Math" w:hAnsi="Cambria Math" w:eastAsia="宋体"/>
                <w:sz w:val="21"/>
                <w:szCs w:val="21"/>
                <w:lang w:eastAsia="zh-CN"/>
              </w:rPr>
              <m:t>i</m:t>
            </m:r>
            <m:r>
              <m:rPr/>
              <w:rPr>
                <w:rFonts w:ascii="Cambria Math" w:hAnsi="Cambria Math" w:eastAsia="宋体"/>
                <w:sz w:val="21"/>
                <w:szCs w:val="21"/>
                <w:lang w:eastAsia="zh-CN"/>
              </w:rPr>
              <m:t>=1</m:t>
            </m:r>
            <m:ctrlPr>
              <w:rPr>
                <w:rFonts w:ascii="Cambria Math" w:hAnsi="Cambria Math" w:eastAsia="宋体"/>
                <w:sz w:val="21"/>
                <w:szCs w:val="21"/>
                <w:lang w:eastAsia="zh-CN"/>
              </w:rPr>
            </m:ctrlPr>
          </m:sub>
          <m:sup>
            <m:r>
              <m:rPr/>
              <w:rPr>
                <w:rFonts w:ascii="Cambria Math" w:hAnsi="Cambria Math" w:eastAsia="宋体"/>
                <w:sz w:val="21"/>
                <w:szCs w:val="21"/>
                <w:lang w:eastAsia="zh-CN"/>
              </w:rPr>
              <m:t>i</m:t>
            </m:r>
            <m:ctrlPr>
              <w:rPr>
                <w:rFonts w:ascii="Cambria Math" w:hAnsi="Cambria Math" w:eastAsia="宋体"/>
                <w:sz w:val="21"/>
                <w:szCs w:val="21"/>
                <w:lang w:eastAsia="zh-CN"/>
              </w:rPr>
            </m:ctrlPr>
          </m:sup>
          <m:e>
            <m:r>
              <m:rPr/>
              <w:rPr>
                <w:rFonts w:ascii="Cambria Math" w:hAnsi="Cambria Math" w:eastAsia="宋体"/>
                <w:sz w:val="21"/>
                <w:szCs w:val="21"/>
                <w:lang w:eastAsia="zh-CN"/>
              </w:rPr>
              <m:t>Q</m:t>
            </m:r>
            <m:r>
              <m:rPr>
                <m:sty m:val="p"/>
              </m:rPr>
              <w:rPr>
                <w:rFonts w:ascii="Cambria Math" w:hAnsi="Cambria Math" w:eastAsia="宋体"/>
                <w:sz w:val="21"/>
                <w:szCs w:val="21"/>
                <w:lang w:eastAsia="zh-CN"/>
              </w:rPr>
              <m:t>i</m:t>
            </m:r>
            <m:ctrlPr>
              <w:rPr>
                <w:rFonts w:ascii="Cambria Math" w:hAnsi="Cambria Math" w:eastAsia="宋体"/>
                <w:sz w:val="21"/>
                <w:szCs w:val="21"/>
                <w:lang w:eastAsia="zh-CN"/>
              </w:rPr>
            </m:ctrlPr>
          </m:e>
        </m:nary>
      </m:oMath>
      <w:r>
        <w:rPr>
          <w:rFonts w:hint="eastAsia" w:ascii="微软雅黑" w:hAnsi="微软雅黑" w:eastAsia="微软雅黑" w:cs="微软雅黑"/>
          <w:i w:val="0"/>
          <w:sz w:val="21"/>
          <w:szCs w:val="21"/>
          <w:lang w:eastAsia="zh-CN"/>
        </w:rPr>
        <w:t>……………………………………（</w:t>
      </w:r>
      <w:r>
        <w:rPr>
          <w:rFonts w:hint="eastAsia" w:ascii="微软雅黑" w:hAnsi="微软雅黑" w:eastAsia="微软雅黑" w:cs="微软雅黑"/>
          <w:i w:val="0"/>
          <w:sz w:val="21"/>
          <w:szCs w:val="21"/>
          <w:lang w:val="en-US" w:eastAsia="zh-CN"/>
        </w:rPr>
        <w:t>2</w:t>
      </w:r>
      <w:r>
        <w:rPr>
          <w:rFonts w:hint="eastAsia" w:ascii="微软雅黑" w:hAnsi="微软雅黑" w:eastAsia="微软雅黑" w:cs="微软雅黑"/>
          <w:i w:val="0"/>
          <w:sz w:val="21"/>
          <w:szCs w:val="21"/>
          <w:lang w:eastAsia="zh-CN"/>
        </w:rPr>
        <w:t>）</w:t>
      </w:r>
    </w:p>
    <w:p>
      <w:pPr>
        <w:spacing w:after="0" w:line="240" w:lineRule="auto"/>
        <w:ind w:firstLine="420" w:firstLineChars="200"/>
        <w:rPr>
          <w:rFonts w:ascii="宋体" w:hAnsi="宋体" w:eastAsia="宋体"/>
          <w:sz w:val="21"/>
          <w:szCs w:val="21"/>
          <w:lang w:eastAsia="zh-CN"/>
        </w:rPr>
      </w:pPr>
      <w:r>
        <w:rPr>
          <w:rFonts w:hint="eastAsia" w:ascii="宋体" w:hAnsi="宋体" w:eastAsia="宋体"/>
          <w:sz w:val="21"/>
          <w:szCs w:val="21"/>
          <w:lang w:eastAsia="zh-CN"/>
        </w:rPr>
        <w:t>式中：</w:t>
      </w:r>
    </w:p>
    <w:p>
      <w:pPr>
        <w:spacing w:after="0" w:line="24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Q——</w:t>
      </w:r>
      <w:r>
        <w:rPr>
          <w:rFonts w:hint="eastAsia" w:ascii="宋体" w:hAnsi="宋体"/>
          <w:sz w:val="21"/>
          <w:szCs w:val="21"/>
          <w:lang w:eastAsia="zh-CN"/>
        </w:rPr>
        <w:t>重庆火锅餐饮门店</w:t>
      </w:r>
      <w:r>
        <w:rPr>
          <w:rFonts w:hint="eastAsia" w:ascii="宋体" w:hAnsi="宋体"/>
          <w:sz w:val="21"/>
          <w:szCs w:val="21"/>
          <w:lang w:val="en-US" w:eastAsia="zh-CN"/>
        </w:rPr>
        <w:t>分等定级</w:t>
      </w:r>
      <w:r>
        <w:rPr>
          <w:rFonts w:ascii="Times New Roman" w:hAnsi="Times New Roman" w:eastAsia="宋体" w:cs="Times New Roman"/>
          <w:sz w:val="21"/>
          <w:szCs w:val="21"/>
          <w:lang w:eastAsia="zh-CN"/>
        </w:rPr>
        <w:t>综合指数；</w:t>
      </w:r>
    </w:p>
    <w:p>
      <w:pPr>
        <w:spacing w:after="0" w:line="240" w:lineRule="auto"/>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Q</w:t>
      </w:r>
      <w:r>
        <w:rPr>
          <w:rFonts w:ascii="Times New Roman" w:hAnsi="Times New Roman" w:eastAsia="宋体" w:cs="Times New Roman"/>
          <w:sz w:val="15"/>
          <w:szCs w:val="15"/>
          <w:lang w:eastAsia="zh-CN"/>
        </w:rPr>
        <w:t>i</w:t>
      </w:r>
      <w:r>
        <w:rPr>
          <w:rFonts w:ascii="Times New Roman" w:hAnsi="Times New Roman" w:eastAsia="宋体" w:cs="Times New Roman"/>
          <w:sz w:val="21"/>
          <w:szCs w:val="21"/>
          <w:lang w:eastAsia="zh-CN"/>
        </w:rPr>
        <w:t>——第i个一级指标分值。</w:t>
      </w:r>
    </w:p>
    <w:p>
      <w:pPr>
        <w:pStyle w:val="105"/>
        <w:numPr>
          <w:ilvl w:val="1"/>
          <w:numId w:val="33"/>
        </w:numPr>
        <w:spacing w:before="240" w:after="240"/>
        <w:rPr>
          <w:rFonts w:ascii="Times New Roman" w:hAnsi="Times New Roman" w:eastAsia="宋体" w:cs="Times New Roman"/>
          <w:sz w:val="21"/>
          <w:szCs w:val="21"/>
          <w:lang w:eastAsia="zh-CN"/>
        </w:rPr>
      </w:pPr>
      <w:r>
        <w:rPr>
          <w:rFonts w:hint="eastAsia" w:ascii="黑体" w:hAnsi="黑体" w:eastAsia="黑体"/>
          <w:sz w:val="21"/>
          <w:szCs w:val="21"/>
          <w:lang w:eastAsia="zh-CN"/>
        </w:rPr>
        <w:t>评价</w:t>
      </w:r>
      <w:r>
        <w:rPr>
          <w:rFonts w:hint="eastAsia" w:ascii="宋体"/>
          <w:lang w:val="en-US" w:eastAsia="zh-CN"/>
        </w:rPr>
        <w:t>结果</w:t>
      </w:r>
    </w:p>
    <w:p>
      <w:pPr>
        <w:pStyle w:val="57"/>
        <w:rPr>
          <w:rFonts w:hint="eastAsia" w:hAnsi="宋体"/>
          <w:sz w:val="21"/>
          <w:szCs w:val="21"/>
          <w:lang w:val="en-US" w:eastAsia="zh-CN"/>
        </w:rPr>
      </w:pPr>
      <w:r>
        <w:rPr>
          <w:rFonts w:hint="eastAsia" w:hAnsi="宋体"/>
          <w:sz w:val="21"/>
          <w:szCs w:val="21"/>
          <w:lang w:eastAsia="zh-CN"/>
        </w:rPr>
        <w:t>重庆火锅餐饮门店</w:t>
      </w:r>
      <w:bookmarkStart w:id="32" w:name="OLE_LINK11"/>
      <w:r>
        <w:rPr>
          <w:rFonts w:hint="eastAsia" w:hAnsi="宋体"/>
          <w:sz w:val="21"/>
          <w:szCs w:val="21"/>
          <w:lang w:val="en-US" w:eastAsia="zh-CN"/>
        </w:rPr>
        <w:t>分等定级</w:t>
      </w:r>
      <w:bookmarkEnd w:id="32"/>
      <w:r>
        <w:rPr>
          <w:rFonts w:hint="eastAsia" w:hAnsi="宋体"/>
          <w:sz w:val="21"/>
          <w:szCs w:val="21"/>
          <w:lang w:val="en-US" w:eastAsia="zh-CN"/>
        </w:rPr>
        <w:t>依据综合指数计算模型的得分确定：</w:t>
      </w:r>
    </w:p>
    <w:p>
      <w:pPr>
        <w:pStyle w:val="57"/>
        <w:rPr>
          <w:rFonts w:hint="eastAsia" w:hAnsi="黑体"/>
          <w:color w:val="000000"/>
          <w:sz w:val="21"/>
          <w:szCs w:val="21"/>
          <w:lang w:val="en-US" w:eastAsia="zh-CN"/>
        </w:rPr>
      </w:pPr>
      <w:r>
        <w:rPr>
          <w:rFonts w:hint="eastAsia" w:hAnsi="宋体"/>
          <w:sz w:val="21"/>
          <w:szCs w:val="21"/>
          <w:lang w:val="en-US" w:eastAsia="zh-CN"/>
        </w:rPr>
        <w:t>五星级：</w:t>
      </w:r>
      <w:r>
        <w:rPr>
          <w:rFonts w:hint="eastAsia" w:hAnsi="黑体"/>
          <w:color w:val="000000"/>
          <w:sz w:val="21"/>
          <w:szCs w:val="21"/>
          <w:lang w:val="en-US" w:eastAsia="zh-CN"/>
        </w:rPr>
        <w:t>重庆火锅餐饮门店</w:t>
      </w:r>
      <w:r>
        <w:rPr>
          <w:rFonts w:hint="eastAsia" w:hAnsi="宋体"/>
          <w:sz w:val="21"/>
          <w:szCs w:val="21"/>
          <w:lang w:val="en-US" w:eastAsia="zh-CN"/>
        </w:rPr>
        <w:t>分等定级</w:t>
      </w:r>
      <w:r>
        <w:rPr>
          <w:rFonts w:hint="eastAsia" w:hAnsi="黑体"/>
          <w:color w:val="000000"/>
          <w:sz w:val="21"/>
          <w:szCs w:val="21"/>
          <w:lang w:val="en-US" w:eastAsia="zh-CN"/>
        </w:rPr>
        <w:t>综合指数计算得分270分（含270分）以上。</w:t>
      </w:r>
    </w:p>
    <w:p>
      <w:pPr>
        <w:pStyle w:val="57"/>
        <w:rPr>
          <w:rFonts w:hint="default" w:hAnsi="黑体"/>
          <w:color w:val="000000"/>
          <w:sz w:val="21"/>
          <w:szCs w:val="21"/>
          <w:lang w:val="en-US" w:eastAsia="zh-CN"/>
        </w:rPr>
      </w:pPr>
      <w:r>
        <w:rPr>
          <w:rFonts w:hint="eastAsia" w:hAnsi="黑体"/>
          <w:color w:val="000000"/>
          <w:sz w:val="21"/>
          <w:szCs w:val="21"/>
          <w:lang w:val="en-US" w:eastAsia="zh-CN"/>
        </w:rPr>
        <w:t>四星级：重庆火锅餐饮门店</w:t>
      </w:r>
      <w:r>
        <w:rPr>
          <w:rFonts w:hint="eastAsia" w:hAnsi="宋体"/>
          <w:sz w:val="21"/>
          <w:szCs w:val="21"/>
          <w:lang w:val="en-US" w:eastAsia="zh-CN"/>
        </w:rPr>
        <w:t>分等定级</w:t>
      </w:r>
      <w:r>
        <w:rPr>
          <w:rFonts w:hint="eastAsia" w:hAnsi="黑体"/>
          <w:color w:val="000000"/>
          <w:sz w:val="21"/>
          <w:szCs w:val="21"/>
          <w:lang w:val="en-US" w:eastAsia="zh-CN"/>
        </w:rPr>
        <w:t>综合指数计算得分240分（含240分）以上。</w:t>
      </w:r>
    </w:p>
    <w:p>
      <w:pPr>
        <w:pStyle w:val="57"/>
        <w:rPr>
          <w:rFonts w:hint="default" w:hAnsi="黑体"/>
          <w:color w:val="000000"/>
          <w:sz w:val="21"/>
          <w:szCs w:val="21"/>
          <w:lang w:val="en-US" w:eastAsia="zh-CN"/>
        </w:rPr>
      </w:pPr>
      <w:r>
        <w:rPr>
          <w:rFonts w:hint="eastAsia" w:hAnsi="黑体"/>
          <w:color w:val="000000"/>
          <w:sz w:val="21"/>
          <w:szCs w:val="21"/>
          <w:lang w:val="en-US" w:eastAsia="zh-CN"/>
        </w:rPr>
        <w:t>三星级：重庆火锅餐饮门店</w:t>
      </w:r>
      <w:r>
        <w:rPr>
          <w:rFonts w:hint="eastAsia" w:hAnsi="宋体"/>
          <w:sz w:val="21"/>
          <w:szCs w:val="21"/>
          <w:lang w:val="en-US" w:eastAsia="zh-CN"/>
        </w:rPr>
        <w:t>分等定级</w:t>
      </w:r>
      <w:r>
        <w:rPr>
          <w:rFonts w:hint="eastAsia" w:hAnsi="黑体"/>
          <w:color w:val="000000"/>
          <w:sz w:val="21"/>
          <w:szCs w:val="21"/>
          <w:lang w:val="en-US" w:eastAsia="zh-CN"/>
        </w:rPr>
        <w:t>综合指数计算得分210分（含210分）以上。</w:t>
      </w:r>
    </w:p>
    <w:p>
      <w:pPr>
        <w:pStyle w:val="57"/>
        <w:rPr>
          <w:rFonts w:hint="default" w:hAnsi="黑体"/>
          <w:color w:val="000000"/>
          <w:sz w:val="21"/>
          <w:szCs w:val="21"/>
          <w:lang w:val="en-US" w:eastAsia="zh-CN"/>
        </w:rPr>
      </w:pPr>
      <w:r>
        <w:rPr>
          <w:rFonts w:hint="eastAsia" w:hAnsi="黑体"/>
          <w:color w:val="000000"/>
          <w:sz w:val="21"/>
          <w:szCs w:val="21"/>
          <w:lang w:val="en-US" w:eastAsia="zh-CN"/>
        </w:rPr>
        <w:t>二星级：重庆火锅餐饮门店</w:t>
      </w:r>
      <w:r>
        <w:rPr>
          <w:rFonts w:hint="eastAsia" w:hAnsi="宋体"/>
          <w:sz w:val="21"/>
          <w:szCs w:val="21"/>
          <w:lang w:val="en-US" w:eastAsia="zh-CN"/>
        </w:rPr>
        <w:t>分等定级</w:t>
      </w:r>
      <w:r>
        <w:rPr>
          <w:rFonts w:hint="eastAsia" w:hAnsi="黑体"/>
          <w:color w:val="000000"/>
          <w:sz w:val="21"/>
          <w:szCs w:val="21"/>
          <w:lang w:val="en-US" w:eastAsia="zh-CN"/>
        </w:rPr>
        <w:t>综合指数计算得分180分（含180分）以上。</w:t>
      </w:r>
    </w:p>
    <w:p>
      <w:pPr>
        <w:pStyle w:val="57"/>
        <w:rPr>
          <w:rFonts w:hint="default" w:hAnsi="黑体"/>
          <w:color w:val="000000"/>
          <w:sz w:val="21"/>
          <w:szCs w:val="21"/>
          <w:lang w:val="en-US" w:eastAsia="zh-CN"/>
        </w:rPr>
      </w:pPr>
      <w:r>
        <w:rPr>
          <w:rFonts w:hint="eastAsia" w:hAnsi="黑体"/>
          <w:color w:val="000000"/>
          <w:sz w:val="21"/>
          <w:szCs w:val="21"/>
          <w:lang w:val="en-US" w:eastAsia="zh-CN"/>
        </w:rPr>
        <w:t>一星级：重庆火锅餐饮门店</w:t>
      </w:r>
      <w:r>
        <w:rPr>
          <w:rFonts w:hint="eastAsia" w:hAnsi="宋体"/>
          <w:sz w:val="21"/>
          <w:szCs w:val="21"/>
          <w:lang w:val="en-US" w:eastAsia="zh-CN"/>
        </w:rPr>
        <w:t>分等定级</w:t>
      </w:r>
      <w:r>
        <w:rPr>
          <w:rFonts w:hint="eastAsia" w:hAnsi="黑体"/>
          <w:color w:val="000000"/>
          <w:sz w:val="21"/>
          <w:szCs w:val="21"/>
          <w:lang w:val="en-US" w:eastAsia="zh-CN"/>
        </w:rPr>
        <w:t>综合指数计算得分150分（含150分）以上。</w:t>
      </w:r>
    </w:p>
    <w:bookmarkEnd w:id="29"/>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ind w:left="0" w:leftChars="0" w:firstLine="0" w:firstLineChars="0"/>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231"/>
        <w:keepNext/>
        <w:keepLines w:val="0"/>
        <w:pageBreakBefore w:val="0"/>
        <w:widowControl/>
        <w:numPr>
          <w:ilvl w:val="0"/>
          <w:numId w:val="4"/>
        </w:numPr>
        <w:tabs>
          <w:tab w:val="left" w:pos="6405"/>
        </w:tabs>
        <w:kinsoku/>
        <w:wordWrap/>
        <w:overflowPunct/>
        <w:topLinePunct w:val="0"/>
        <w:autoSpaceDE/>
        <w:autoSpaceDN/>
        <w:bidi w:val="0"/>
        <w:adjustRightInd/>
        <w:snapToGrid/>
        <w:spacing w:before="0" w:after="0"/>
        <w:ind w:firstLine="0"/>
        <w:jc w:val="center"/>
        <w:textAlignment w:val="auto"/>
        <w:rPr>
          <w:rFonts w:hint="eastAsia" w:ascii="黑体" w:hAnsi="黑体" w:eastAsia="黑体" w:cs="黑体"/>
          <w:sz w:val="21"/>
          <w:szCs w:val="21"/>
          <w:lang w:val="en-US" w:eastAsia="zh-CN"/>
        </w:rPr>
      </w:pPr>
    </w:p>
    <w:p>
      <w:pPr>
        <w:pStyle w:val="57"/>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黑体" w:hAnsi="黑体" w:eastAsia="黑体" w:cs="黑体"/>
          <w:b/>
          <w:bCs/>
          <w:color w:val="000000"/>
          <w:sz w:val="21"/>
          <w:szCs w:val="21"/>
          <w:lang w:val="en-US" w:eastAsia="zh-CN"/>
        </w:rPr>
      </w:pPr>
      <w:r>
        <w:rPr>
          <w:rFonts w:hint="eastAsia" w:ascii="黑体" w:hAnsi="黑体" w:eastAsia="黑体" w:cs="黑体"/>
          <w:sz w:val="21"/>
          <w:szCs w:val="21"/>
          <w:lang w:val="en-US" w:eastAsia="zh-CN"/>
        </w:rPr>
        <w:t>(规范性）</w:t>
      </w:r>
      <w:bookmarkStart w:id="33" w:name="OLE_LINK9"/>
    </w:p>
    <w:p>
      <w:pPr>
        <w:pStyle w:val="57"/>
        <w:keepNext w:val="0"/>
        <w:keepLines w:val="0"/>
        <w:pageBreakBefore w:val="0"/>
        <w:widowControl/>
        <w:kinsoku/>
        <w:wordWrap/>
        <w:overflowPunct/>
        <w:topLinePunct w:val="0"/>
        <w:autoSpaceDE w:val="0"/>
        <w:autoSpaceDN w:val="0"/>
        <w:bidi w:val="0"/>
        <w:adjustRightInd/>
        <w:snapToGrid/>
        <w:spacing w:after="313" w:afterLines="100"/>
        <w:ind w:left="0" w:leftChars="0" w:firstLine="0" w:firstLineChars="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color w:val="000000"/>
          <w:sz w:val="21"/>
          <w:szCs w:val="21"/>
          <w:lang w:val="en-US" w:eastAsia="zh-CN"/>
        </w:rPr>
        <w:t>重庆火锅餐饮门店分等定级评价规范</w:t>
      </w:r>
      <w:r>
        <w:rPr>
          <w:rFonts w:hint="eastAsia" w:ascii="黑体" w:hAnsi="黑体" w:eastAsia="黑体" w:cs="黑体"/>
          <w:b/>
          <w:bCs/>
          <w:color w:val="000000"/>
          <w:sz w:val="21"/>
          <w:szCs w:val="21"/>
        </w:rPr>
        <w:t>评估指标体系表</w:t>
      </w:r>
    </w:p>
    <w:bookmarkEnd w:id="33"/>
    <w:tbl>
      <w:tblPr>
        <w:tblStyle w:val="27"/>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134"/>
        <w:gridCol w:w="3402"/>
        <w:gridCol w:w="709"/>
        <w:gridCol w:w="99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8931"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sz w:val="18"/>
                <w:szCs w:val="18"/>
                <w:lang w:val="en-US" w:eastAsia="zh-CN"/>
              </w:rPr>
            </w:pPr>
            <w:bookmarkStart w:id="34" w:name="OLE_LINK10"/>
            <w:r>
              <w:rPr>
                <w:rFonts w:hint="eastAsia" w:ascii="宋体" w:hAnsi="宋体"/>
                <w:b/>
                <w:bCs/>
                <w:sz w:val="21"/>
                <w:szCs w:val="21"/>
                <w:lang w:val="en-US" w:eastAsia="zh-CN"/>
              </w:rPr>
              <w:t>重庆火锅分等定级评价基本条件</w:t>
            </w:r>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eastAsia" w:ascii="宋体" w:hAnsi="宋体" w:eastAsia="宋体"/>
                <w:sz w:val="18"/>
                <w:szCs w:val="18"/>
                <w:lang w:val="en-US" w:eastAsia="zh-CN"/>
              </w:rPr>
            </w:pPr>
            <w:r>
              <w:rPr>
                <w:rFonts w:hint="eastAsia" w:ascii="宋体" w:hAnsi="宋体"/>
                <w:sz w:val="18"/>
                <w:szCs w:val="18"/>
                <w:lang w:val="en-US" w:eastAsia="zh-CN"/>
              </w:rPr>
              <w:t>序号</w:t>
            </w:r>
          </w:p>
        </w:tc>
        <w:tc>
          <w:tcPr>
            <w:tcW w:w="623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评价内容</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结果（是/否）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623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left"/>
              <w:rPr>
                <w:rFonts w:ascii="宋体" w:hAnsi="宋体" w:eastAsia="宋体"/>
                <w:sz w:val="18"/>
                <w:szCs w:val="18"/>
              </w:rPr>
            </w:pPr>
            <w:r>
              <w:rPr>
                <w:rFonts w:hint="eastAsia" w:ascii="宋体" w:hAnsi="宋体" w:eastAsia="宋体"/>
                <w:sz w:val="18"/>
                <w:szCs w:val="18"/>
              </w:rPr>
              <w:t>严格遵守相关卫生、防疫、安全、节能、环保、规划等法律、法规和标准要求。</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623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both"/>
              <w:rPr>
                <w:rFonts w:ascii="宋体" w:hAnsi="宋体" w:eastAsia="宋体"/>
                <w:sz w:val="18"/>
                <w:szCs w:val="18"/>
              </w:rPr>
            </w:pPr>
            <w:r>
              <w:rPr>
                <w:rFonts w:hint="eastAsia" w:ascii="宋体" w:hAnsi="宋体" w:eastAsia="宋体"/>
                <w:sz w:val="18"/>
                <w:szCs w:val="18"/>
              </w:rPr>
              <w:t>应符合国家有关餐饮</w:t>
            </w:r>
            <w:r>
              <w:rPr>
                <w:rFonts w:hint="eastAsia" w:ascii="宋体" w:hAnsi="宋体"/>
                <w:sz w:val="18"/>
                <w:szCs w:val="18"/>
                <w:lang w:eastAsia="zh-CN"/>
              </w:rPr>
              <w:t>门店</w:t>
            </w:r>
            <w:r>
              <w:rPr>
                <w:rFonts w:hint="eastAsia" w:ascii="宋体" w:hAnsi="宋体" w:eastAsia="宋体"/>
                <w:sz w:val="18"/>
                <w:szCs w:val="18"/>
              </w:rPr>
              <w:t>开业的条件，手续齐备，各项证照齐全合格。</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3</w:t>
            </w:r>
          </w:p>
        </w:tc>
        <w:tc>
          <w:tcPr>
            <w:tcW w:w="623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both"/>
              <w:rPr>
                <w:rFonts w:hint="eastAsia" w:ascii="宋体" w:hAnsi="宋体" w:eastAsia="宋体"/>
                <w:sz w:val="18"/>
                <w:szCs w:val="18"/>
              </w:rPr>
            </w:pPr>
            <w:r>
              <w:rPr>
                <w:rFonts w:hint="eastAsia" w:ascii="宋体" w:hAnsi="宋体" w:eastAsia="宋体"/>
                <w:sz w:val="18"/>
                <w:szCs w:val="18"/>
              </w:rPr>
              <w:t>三年内无消防安全及食品安全事故，无环境污染超标事故。</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4</w:t>
            </w:r>
          </w:p>
        </w:tc>
        <w:tc>
          <w:tcPr>
            <w:tcW w:w="623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rPr>
                <w:rFonts w:hint="eastAsia" w:ascii="宋体" w:hAnsi="宋体" w:eastAsia="宋体"/>
                <w:sz w:val="18"/>
                <w:szCs w:val="18"/>
              </w:rPr>
            </w:pPr>
            <w:r>
              <w:rPr>
                <w:rFonts w:hint="eastAsia" w:ascii="CIDFont" w:hAnsi="CIDFont" w:eastAsia="CIDFont" w:cs="CIDFont"/>
                <w:color w:val="000000"/>
                <w:kern w:val="0"/>
                <w:sz w:val="18"/>
                <w:szCs w:val="18"/>
                <w:lang w:val="en-US" w:eastAsia="zh-CN" w:bidi="ar"/>
              </w:rPr>
              <w:t>门店</w:t>
            </w:r>
            <w:r>
              <w:rPr>
                <w:rFonts w:ascii="CIDFont" w:hAnsi="CIDFont" w:eastAsia="CIDFont" w:cs="CIDFont"/>
                <w:color w:val="000000"/>
                <w:kern w:val="0"/>
                <w:sz w:val="18"/>
                <w:szCs w:val="18"/>
                <w:lang w:val="en-US" w:eastAsia="zh-CN" w:bidi="ar"/>
              </w:rPr>
              <w:t>所有参与食品采购、加工、制作人员需全部持有效的健康证。</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5</w:t>
            </w:r>
          </w:p>
        </w:tc>
        <w:tc>
          <w:tcPr>
            <w:tcW w:w="623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rPr>
                <w:rFonts w:ascii="CIDFont" w:hAnsi="CIDFont" w:eastAsia="CIDFont" w:cs="CIDFont"/>
                <w:color w:val="000000"/>
                <w:kern w:val="0"/>
                <w:sz w:val="18"/>
                <w:szCs w:val="18"/>
                <w:lang w:val="en-US" w:eastAsia="zh-CN" w:bidi="ar"/>
              </w:rPr>
            </w:pPr>
            <w:r>
              <w:rPr>
                <w:rFonts w:ascii="CIDFont" w:hAnsi="CIDFont" w:eastAsia="CIDFont" w:cs="CIDFont"/>
                <w:color w:val="000000"/>
                <w:kern w:val="0"/>
                <w:sz w:val="18"/>
                <w:szCs w:val="18"/>
                <w:lang w:val="en-US" w:eastAsia="zh-CN" w:bidi="ar"/>
              </w:rPr>
              <w:t>餐饮</w:t>
            </w:r>
            <w:r>
              <w:rPr>
                <w:rFonts w:hint="eastAsia" w:ascii="CIDFont" w:hAnsi="CIDFont" w:eastAsia="CIDFont" w:cs="CIDFont"/>
                <w:color w:val="000000"/>
                <w:kern w:val="0"/>
                <w:sz w:val="18"/>
                <w:szCs w:val="18"/>
                <w:lang w:val="en-US" w:eastAsia="zh-CN" w:bidi="ar"/>
              </w:rPr>
              <w:t>门店</w:t>
            </w:r>
            <w:r>
              <w:rPr>
                <w:rFonts w:ascii="CIDFont" w:hAnsi="CIDFont" w:eastAsia="CIDFont" w:cs="CIDFont"/>
                <w:color w:val="000000"/>
                <w:kern w:val="0"/>
                <w:sz w:val="18"/>
                <w:szCs w:val="18"/>
                <w:lang w:val="en-US" w:eastAsia="zh-CN" w:bidi="ar"/>
              </w:rPr>
              <w:t xml:space="preserve">投入运营三年以上。 </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8931"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bookmarkStart w:id="35" w:name="OLE_LINK1"/>
            <w:r>
              <w:rPr>
                <w:rFonts w:hint="eastAsia" w:ascii="宋体" w:hAnsi="宋体"/>
                <w:b/>
                <w:bCs/>
                <w:sz w:val="21"/>
                <w:szCs w:val="21"/>
                <w:lang w:val="en-US" w:eastAsia="zh-CN"/>
              </w:rPr>
              <w:t>重庆火锅</w:t>
            </w:r>
            <w:bookmarkEnd w:id="35"/>
            <w:r>
              <w:rPr>
                <w:rFonts w:hint="eastAsia" w:ascii="宋体" w:hAnsi="宋体"/>
                <w:b/>
                <w:bCs/>
                <w:sz w:val="21"/>
                <w:szCs w:val="21"/>
                <w:lang w:val="en-US" w:eastAsia="zh-CN"/>
              </w:rPr>
              <w:t>分等定级评价细则及评分说明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ascii="宋体" w:hAnsi="宋体" w:eastAsia="宋体"/>
                <w:sz w:val="18"/>
                <w:szCs w:val="18"/>
              </w:rPr>
            </w:pPr>
            <w:r>
              <w:rPr>
                <w:rFonts w:ascii="宋体" w:hAnsi="宋体" w:eastAsia="宋体"/>
                <w:sz w:val="18"/>
                <w:szCs w:val="18"/>
              </w:rPr>
              <w:t>一级指标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ascii="宋体" w:hAnsi="宋体" w:eastAsia="宋体"/>
                <w:sz w:val="18"/>
                <w:szCs w:val="18"/>
              </w:rPr>
            </w:pPr>
            <w:r>
              <w:rPr>
                <w:rFonts w:ascii="宋体" w:hAnsi="宋体" w:eastAsia="宋体"/>
                <w:sz w:val="18"/>
                <w:szCs w:val="18"/>
              </w:rPr>
              <w:t>二级指标</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center"/>
              <w:rPr>
                <w:rFonts w:hint="default" w:ascii="宋体" w:hAnsi="宋体" w:eastAsia="宋体"/>
                <w:sz w:val="18"/>
                <w:szCs w:val="18"/>
                <w:lang w:val="en-US" w:eastAsia="zh-CN"/>
              </w:rPr>
            </w:pPr>
            <w:r>
              <w:rPr>
                <w:rFonts w:hint="eastAsia" w:ascii="宋体" w:hAnsi="宋体"/>
                <w:sz w:val="18"/>
                <w:szCs w:val="18"/>
                <w:lang w:val="en-US" w:eastAsia="zh-CN"/>
              </w:rPr>
              <w:t>评价内容</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r>
              <w:rPr>
                <w:rFonts w:ascii="宋体" w:hAnsi="宋体" w:eastAsia="宋体"/>
                <w:sz w:val="18"/>
                <w:szCs w:val="18"/>
              </w:rPr>
              <w:t>分值</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r>
              <w:rPr>
                <w:rFonts w:ascii="宋体" w:hAnsi="宋体" w:eastAsia="宋体"/>
                <w:sz w:val="18"/>
                <w:szCs w:val="18"/>
              </w:rPr>
              <w:t>目标值</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r>
              <w:rPr>
                <w:rFonts w:hint="eastAsia" w:ascii="宋体" w:hAnsi="宋体" w:eastAsia="宋体"/>
                <w:sz w:val="18"/>
                <w:szCs w:val="18"/>
                <w:lang w:eastAsia="zh-CN"/>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restart"/>
            <w:tcBorders>
              <w:top w:val="single" w:color="000000" w:sz="4" w:space="0"/>
              <w:left w:val="single" w:color="000000" w:sz="4" w:space="0"/>
              <w:right w:val="single" w:color="000000" w:sz="4" w:space="0"/>
            </w:tcBorders>
            <w:vAlign w:val="center"/>
          </w:tcPr>
          <w:p>
            <w:pPr>
              <w:snapToGrid w:val="0"/>
              <w:spacing w:after="0" w:line="240" w:lineRule="auto"/>
              <w:ind w:firstLine="0"/>
              <w:rPr>
                <w:rFonts w:hint="default" w:ascii="宋体" w:hAnsi="宋体" w:eastAsia="宋体"/>
                <w:sz w:val="18"/>
                <w:szCs w:val="18"/>
                <w:lang w:val="en-US" w:eastAsia="zh-CN"/>
              </w:rPr>
            </w:pPr>
            <w:r>
              <w:rPr>
                <w:rFonts w:hint="eastAsia" w:ascii="宋体" w:hAnsi="宋体"/>
                <w:sz w:val="18"/>
                <w:szCs w:val="18"/>
                <w:lang w:val="en-US" w:eastAsia="zh-CN"/>
              </w:rPr>
              <w:t>消费者认同（30分）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eastAsia="宋体"/>
                <w:sz w:val="18"/>
                <w:szCs w:val="18"/>
                <w:lang w:val="en-US" w:eastAsia="zh-CN"/>
              </w:rPr>
            </w:pPr>
            <w:r>
              <w:rPr>
                <w:rFonts w:hint="eastAsia" w:ascii="宋体" w:hAnsi="宋体"/>
                <w:sz w:val="18"/>
                <w:szCs w:val="18"/>
                <w:lang w:val="en-US" w:eastAsia="zh-CN"/>
              </w:rPr>
              <w:t>品牌忠诚度</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eastAsia" w:ascii="宋体" w:hAnsi="宋体" w:eastAsia="宋体"/>
                <w:sz w:val="18"/>
                <w:szCs w:val="18"/>
                <w:lang w:eastAsia="zh-CN"/>
              </w:rPr>
            </w:pPr>
            <w:r>
              <w:rPr>
                <w:rFonts w:hint="eastAsia" w:ascii="宋体" w:hAnsi="宋体" w:eastAsia="宋体"/>
                <w:sz w:val="18"/>
                <w:szCs w:val="18"/>
              </w:rPr>
              <w:t>顾客在多次重复购买行为中对</w:t>
            </w:r>
            <w:r>
              <w:rPr>
                <w:rFonts w:hint="eastAsia" w:ascii="宋体" w:hAnsi="宋体"/>
                <w:sz w:val="18"/>
                <w:szCs w:val="18"/>
                <w:lang w:val="en-US" w:eastAsia="zh-CN"/>
              </w:rPr>
              <w:t>改火锅店</w:t>
            </w:r>
            <w:r>
              <w:rPr>
                <w:rFonts w:hint="eastAsia" w:ascii="宋体" w:hAnsi="宋体" w:eastAsia="宋体"/>
                <w:sz w:val="18"/>
                <w:szCs w:val="18"/>
              </w:rPr>
              <w:t>的偏向性的反映。包括在人群中的推荐度和特定时间段的重复购买行为频率</w:t>
            </w:r>
            <w:r>
              <w:rPr>
                <w:rFonts w:hint="eastAsia" w:ascii="宋体" w:hAnsi="宋体"/>
                <w:sz w:val="18"/>
                <w:szCs w:val="18"/>
                <w:lang w:eastAsia="zh-CN"/>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品牌知名度</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eastAsia="宋体"/>
                <w:sz w:val="18"/>
                <w:szCs w:val="18"/>
                <w:lang w:val="en-US" w:eastAsia="zh-CN"/>
              </w:rPr>
            </w:pPr>
            <w:r>
              <w:rPr>
                <w:rFonts w:hint="eastAsia" w:ascii="宋体" w:hAnsi="宋体"/>
                <w:sz w:val="18"/>
                <w:szCs w:val="18"/>
                <w:lang w:val="en-US" w:eastAsia="zh-CN"/>
              </w:rPr>
              <w:t>消费者认识或记起该火锅店的程度</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问卷调查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顾客满意度</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eastAsia" w:ascii="宋体" w:hAnsi="宋体"/>
                <w:sz w:val="18"/>
                <w:szCs w:val="18"/>
                <w:lang w:val="en-US" w:eastAsia="zh-CN"/>
              </w:rPr>
            </w:pPr>
            <w:r>
              <w:rPr>
                <w:rFonts w:hint="eastAsia" w:ascii="宋体" w:hAnsi="宋体"/>
                <w:sz w:val="18"/>
                <w:szCs w:val="18"/>
                <w:lang w:val="en-US" w:eastAsia="zh-CN"/>
              </w:rPr>
              <w:t>满意度是顾客期望值与体验值之间的关系</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问卷调查及第三方网路平台数据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restart"/>
            <w:tcBorders>
              <w:left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菜品质量（170分）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火锅风味</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具有典型重庆火锅风味，麻辣鲜香，风味均衡</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50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restart"/>
            <w:tcBorders>
              <w:top w:val="single" w:color="000000" w:sz="4" w:space="0"/>
              <w:left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匿名现场调查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firstLineChars="0"/>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原材料</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原材料多样、精致、新鲜，种类齐全</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30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firstLineChars="0"/>
              <w:rPr>
                <w:rFonts w:hint="default" w:ascii="宋体" w:hAnsi="宋体"/>
                <w:sz w:val="18"/>
                <w:szCs w:val="18"/>
                <w:lang w:val="en-US" w:eastAsia="zh-CN"/>
              </w:rPr>
            </w:pPr>
            <w:r>
              <w:rPr>
                <w:rFonts w:hint="eastAsia" w:ascii="宋体" w:hAnsi="宋体"/>
                <w:sz w:val="18"/>
                <w:szCs w:val="18"/>
                <w:lang w:val="en-US" w:eastAsia="zh-CN"/>
              </w:rPr>
              <w:t>菜品外观</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菜肴装盘规范，自然美观，赏心悦目</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刀工</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均匀、不连不散，花刀出行，有明确的质量要求，重量均匀</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口感</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嫩滑爽脆相宜，处理得当</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器皿</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与菜品相得益彰，各具特色</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温度</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冷热相宜</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主食类</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提供精心烹饪的以米面等制作的主食</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点心及热菜类</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点心大小均匀，造型美观，种类多样，满足就餐人群的需求</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招牌菜</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eastAsia" w:ascii="宋体" w:hAnsi="宋体"/>
                <w:sz w:val="18"/>
                <w:szCs w:val="18"/>
                <w:lang w:val="en-US" w:eastAsia="zh-CN"/>
              </w:rPr>
            </w:pPr>
            <w:r>
              <w:rPr>
                <w:rFonts w:hint="eastAsia" w:ascii="宋体" w:hAnsi="宋体"/>
                <w:sz w:val="18"/>
                <w:szCs w:val="18"/>
                <w:lang w:val="en-US" w:eastAsia="zh-CN"/>
              </w:rPr>
              <w:t>有市场认可的菜品或单项成套特色品种</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免费调味品</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品种齐全，新鲜卫生，方便实用</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8" w:hRule="atLeast"/>
          <w:tblHeader/>
          <w:jc w:val="center"/>
        </w:trPr>
        <w:tc>
          <w:tcPr>
            <w:tcW w:w="1135" w:type="dxa"/>
            <w:vMerge w:val="restart"/>
            <w:tcBorders>
              <w:left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服务质量（30分）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服务人员仪容仪表及个人卫生</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着装统一规范，且有明确的个人卫生管理指南</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restart"/>
            <w:tcBorders>
              <w:left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问卷调查及现场调查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礼节礼貌</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有规范统一的礼仪规范且经过培训，执行到位，使用服务敬语、主动热情、姿势端正、站位规范等</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餐厅服务</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具有餐厅服务细则或经过培训，及时响应顾客要求，餐厅温度适宜，台面整洁美观，氛围舒适、协调严密、运作灵活。</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restart"/>
            <w:tcBorders>
              <w:left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市场表现（30分）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门店存续时间</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eastAsia" w:ascii="宋体" w:hAnsi="宋体"/>
                <w:sz w:val="18"/>
                <w:szCs w:val="18"/>
                <w:lang w:val="en-US" w:eastAsia="zh-CN"/>
              </w:rPr>
            </w:pPr>
            <w:r>
              <w:rPr>
                <w:rFonts w:hint="eastAsia" w:ascii="宋体" w:hAnsi="宋体"/>
                <w:sz w:val="18"/>
                <w:szCs w:val="18"/>
                <w:lang w:val="en-US" w:eastAsia="zh-CN"/>
              </w:rPr>
              <w:t>门店从创立到评估日的时间。品牌的形成，需要时间的积累。成立时间越久，形成的品牌价值越大</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restart"/>
            <w:tcBorders>
              <w:left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现场调查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r>
              <w:rPr>
                <w:rFonts w:hint="eastAsia" w:ascii="宋体" w:hAnsi="宋体"/>
                <w:sz w:val="18"/>
                <w:szCs w:val="18"/>
                <w:lang w:val="en-US" w:eastAsia="zh-CN"/>
              </w:rPr>
              <w:t>门店开发购置成本</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eastAsia" w:ascii="宋体" w:hAnsi="宋体"/>
                <w:sz w:val="18"/>
                <w:szCs w:val="18"/>
                <w:lang w:val="en-US" w:eastAsia="zh-CN"/>
              </w:rPr>
            </w:pPr>
            <w:r>
              <w:rPr>
                <w:rFonts w:hint="eastAsia" w:ascii="宋体" w:hAnsi="宋体"/>
                <w:sz w:val="18"/>
                <w:szCs w:val="18"/>
                <w:lang w:val="en-US" w:eastAsia="zh-CN"/>
              </w:rPr>
              <w:t>建立前期总投入成本之和</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r>
              <w:rPr>
                <w:rFonts w:hint="eastAsia" w:ascii="宋体" w:hAnsi="宋体"/>
                <w:sz w:val="18"/>
                <w:szCs w:val="18"/>
                <w:lang w:val="en-US" w:eastAsia="zh-CN"/>
              </w:rPr>
              <w:t>经营稳定性</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eastAsia" w:ascii="宋体" w:hAnsi="宋体"/>
                <w:sz w:val="18"/>
                <w:szCs w:val="18"/>
                <w:lang w:val="en-US" w:eastAsia="zh-CN"/>
              </w:rPr>
            </w:pPr>
            <w:r>
              <w:rPr>
                <w:rFonts w:hint="eastAsia" w:ascii="宋体" w:hAnsi="宋体"/>
                <w:sz w:val="18"/>
                <w:szCs w:val="18"/>
                <w:lang w:val="en-US" w:eastAsia="zh-CN"/>
              </w:rPr>
              <w:t>销售额是否稳定,是萎缩还是快速增长</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restart"/>
            <w:tcBorders>
              <w:left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环境卫生（40分）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建筑设施</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外墙、大门、门窗及照明灯等设施设备无破损、整洁、有效</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restart"/>
            <w:tcBorders>
              <w:left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匿名调查及现场调查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餐厅</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墙面、门窗整洁无破损，台面有序、合理、整洁、无破损，装饰品不破就、无灰尘、无污渍。柜台稳固、完好、无灰尘、无污渍，送餐车完好、有效、无污渍</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厨房</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地面、墙面无油渍、无破损、干燥整洁，设备设施无油渍、无破损、整洁。</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冷荤间</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干净、整洁，有隔离门窗或布帘</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blHeader/>
          <w:jc w:val="center"/>
        </w:trPr>
        <w:tc>
          <w:tcPr>
            <w:tcW w:w="1135" w:type="dxa"/>
            <w:vMerge w:val="continue"/>
            <w:tcBorders>
              <w:left w:val="single" w:color="000000" w:sz="4" w:space="0"/>
              <w:bottom w:val="single" w:color="000000" w:sz="4" w:space="0"/>
              <w:right w:val="single" w:color="000000" w:sz="4" w:space="0"/>
            </w:tcBorders>
            <w:vAlign w:val="center"/>
          </w:tcPr>
          <w:p>
            <w:pPr>
              <w:snapToGrid w:val="0"/>
              <w:spacing w:after="0" w:line="240" w:lineRule="auto"/>
              <w:ind w:firstLine="0"/>
              <w:rPr>
                <w:rFonts w:hint="eastAsia" w:ascii="宋体" w:hAnsi="宋体"/>
                <w:sz w:val="18"/>
                <w:szCs w:val="18"/>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rPr>
                <w:rFonts w:hint="default" w:ascii="宋体" w:hAnsi="宋体"/>
                <w:sz w:val="18"/>
                <w:szCs w:val="18"/>
                <w:lang w:val="en-US" w:eastAsia="zh-CN"/>
              </w:rPr>
            </w:pPr>
            <w:r>
              <w:rPr>
                <w:rFonts w:hint="eastAsia" w:ascii="宋体" w:hAnsi="宋体"/>
                <w:sz w:val="18"/>
                <w:szCs w:val="18"/>
                <w:lang w:val="en-US" w:eastAsia="zh-CN"/>
              </w:rPr>
              <w:t>卫生间</w:t>
            </w:r>
          </w:p>
        </w:tc>
        <w:tc>
          <w:tcPr>
            <w:tcW w:w="340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jc w:val="left"/>
              <w:rPr>
                <w:rFonts w:hint="default" w:ascii="宋体" w:hAnsi="宋体"/>
                <w:sz w:val="18"/>
                <w:szCs w:val="18"/>
                <w:lang w:val="en-US" w:eastAsia="zh-CN"/>
              </w:rPr>
            </w:pPr>
            <w:r>
              <w:rPr>
                <w:rFonts w:hint="eastAsia" w:ascii="宋体" w:hAnsi="宋体"/>
                <w:sz w:val="18"/>
                <w:szCs w:val="18"/>
                <w:lang w:val="en-US" w:eastAsia="zh-CN"/>
              </w:rPr>
              <w:t>干净、整洁、无异味</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ascii="宋体" w:hAnsi="宋体" w:eastAsia="宋体"/>
                <w:sz w:val="18"/>
                <w:szCs w:val="18"/>
              </w:rPr>
            </w:pPr>
          </w:p>
        </w:tc>
        <w:tc>
          <w:tcPr>
            <w:tcW w:w="1559" w:type="dxa"/>
            <w:vMerge w:val="continue"/>
            <w:tcBorders>
              <w:left w:val="single" w:color="000000" w:sz="4" w:space="0"/>
              <w:bottom w:val="single" w:color="000000" w:sz="4" w:space="0"/>
              <w:right w:val="single" w:color="000000" w:sz="4" w:space="0"/>
            </w:tcBorders>
            <w:vAlign w:val="center"/>
          </w:tcPr>
          <w:p>
            <w:pPr>
              <w:snapToGrid w:val="0"/>
              <w:spacing w:after="0" w:line="240" w:lineRule="auto"/>
              <w:ind w:firstLine="0"/>
              <w:jc w:val="center"/>
              <w:rPr>
                <w:rFonts w:hint="eastAsia" w:ascii="宋体" w:hAnsi="宋体" w:eastAsia="宋体"/>
                <w:sz w:val="18"/>
                <w:szCs w:val="18"/>
                <w:lang w:eastAsia="zh-CN"/>
              </w:rPr>
            </w:pPr>
          </w:p>
        </w:tc>
      </w:tr>
    </w:tbl>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rPr>
          <w:rFonts w:hint="eastAsia" w:ascii="宋体" w:hAnsi="宋体" w:eastAsia="宋体" w:cs="宋体"/>
          <w:lang w:val="en-US" w:eastAsia="zh-CN"/>
        </w:rPr>
      </w:pPr>
    </w:p>
    <w:p>
      <w:pPr>
        <w:pStyle w:val="57"/>
        <w:ind w:firstLine="0" w:firstLineChars="0"/>
        <w:rPr>
          <w:rFonts w:hint="eastAsia"/>
        </w:rPr>
      </w:pPr>
      <w:r>
        <mc:AlternateContent>
          <mc:Choice Requires="wps">
            <w:drawing>
              <wp:anchor distT="0" distB="0" distL="114300" distR="114300" simplePos="0" relativeHeight="251662336" behindDoc="0" locked="0" layoutInCell="1" allowOverlap="1">
                <wp:simplePos x="0" y="0"/>
                <wp:positionH relativeFrom="column">
                  <wp:posOffset>2142490</wp:posOffset>
                </wp:positionH>
                <wp:positionV relativeFrom="paragraph">
                  <wp:posOffset>150495</wp:posOffset>
                </wp:positionV>
                <wp:extent cx="1294765" cy="0"/>
                <wp:effectExtent l="0" t="0" r="19685" b="19050"/>
                <wp:wrapNone/>
                <wp:docPr id="2" name="直接连接符 2"/>
                <wp:cNvGraphicFramePr/>
                <a:graphic xmlns:a="http://schemas.openxmlformats.org/drawingml/2006/main">
                  <a:graphicData uri="http://schemas.microsoft.com/office/word/2010/wordprocessingShape">
                    <wps:wsp>
                      <wps:cNvCnPr/>
                      <wps:spPr bwMode="auto">
                        <a:xfrm>
                          <a:off x="0" y="0"/>
                          <a:ext cx="1294791"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8.7pt;margin-top:11.85pt;height:0pt;width:101.95pt;z-index:251662336;mso-width-relative:page;mso-height-relative:page;" filled="f" stroked="t" coordsize="21600,21600" o:gfxdata="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6BDq1wAAAAkBAAAPAAAAAAAAAAEAIAAAACIAAABkcnMvZG93&#10;bnJldi54bWxQSwECFAAUAAAACACHTuJA7EOXBsgBAAB4AwAADgAAAAAAAAABACAAAAAmAQAAZHJz&#10;L2Uyb0RvYy54bWxQSwUGAAAAAAYABgBZAQAAYAUAAAAA&#10;">
                <v:fill on="f" focussize="0,0"/>
                <v:stroke color="#000000" joinstyle="round"/>
                <v:imagedata o:title=""/>
                <o:lock v:ext="edit" aspectratio="f"/>
              </v:line>
            </w:pict>
          </mc:Fallback>
        </mc:AlternateContent>
      </w:r>
    </w:p>
    <w:sectPr>
      <w:headerReference r:id="rId20" w:type="default"/>
      <w:footerReference r:id="rId22" w:type="default"/>
      <w:headerReference r:id="rId21" w:type="even"/>
      <w:footerReference r:id="rId23" w:type="even"/>
      <w:pgSz w:w="11906" w:h="16838"/>
      <w:pgMar w:top="2410" w:right="1134" w:bottom="1134" w:left="1134" w:header="1418" w:footer="1134" w:gutter="284"/>
      <w:pgNumType w:fmt="decimal"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737"/>
        <w:tab w:val="left" w:pos="8317"/>
      </w:tabs>
      <w:jc w:val="left"/>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737"/>
        <w:tab w:val="left" w:pos="8317"/>
      </w:tabs>
      <w:jc w:val="lef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lef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7"/>
                      <w:jc w:val="left"/>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737"/>
        <w:tab w:val="left" w:pos="8317"/>
      </w:tabs>
      <w:jc w:val="left"/>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left"/>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7"/>
                      <w:jc w:val="left"/>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3"/>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737"/>
        <w:tab w:val="left" w:pos="8317"/>
      </w:tabs>
      <w:jc w:val="left"/>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8749"/>
      </w:tabs>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0"/>
      <w:jc w:val="right"/>
    </w:pPr>
    <w:r>
      <w:fldChar w:fldCharType="begin"/>
    </w:r>
    <w:r>
      <w:instrText xml:space="preserve"> STYLEREF  标准文件_文件编号  \* MERGEFORMAT </w:instrText>
    </w:r>
    <w:r>
      <w:fldChar w:fldCharType="separate"/>
    </w:r>
    <w:r>
      <w:t>T/CQHG 002—2023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8749"/>
      </w:tabs>
      <w:jc w:val="right"/>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after="0"/>
      <w:jc w:val="right"/>
    </w:pPr>
    <w:bookmarkStart w:id="36" w:name="OLE_LINK12"/>
    <w:r>
      <w:fldChar w:fldCharType="begin"/>
    </w:r>
    <w:r>
      <w:instrText xml:space="preserve"> STYLEREF  标准文件_文件编号  \* MERGEFORMAT </w:instrText>
    </w:r>
    <w:r>
      <w:fldChar w:fldCharType="separate"/>
    </w:r>
    <w:r>
      <w:t>T/CQHG 002—2023</w:t>
    </w:r>
    <w:r>
      <w:fldChar w:fldCharType="end"/>
    </w:r>
    <w:bookmarkEnd w:id="36"/>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T/CQHG 002—2023</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1"/>
      <w:lvlText w:val="%1."/>
      <w:lvlJc w:val="left"/>
      <w:pPr>
        <w:tabs>
          <w:tab w:val="left" w:pos="360"/>
        </w:tabs>
        <w:ind w:left="360" w:hanging="360"/>
      </w:p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xMzU4NTA0N2E3MGJjMDBjYjBiYzBkYjQ4NWIxY2QifQ=="/>
  </w:docVars>
  <w:rsids>
    <w:rsidRoot w:val="009026B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29"/>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FB8"/>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038"/>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678"/>
    <w:rsid w:val="0083348C"/>
    <w:rsid w:val="008373D3"/>
    <w:rsid w:val="00840617"/>
    <w:rsid w:val="00840F84"/>
    <w:rsid w:val="00842A47"/>
    <w:rsid w:val="00843C13"/>
    <w:rsid w:val="008454F8"/>
    <w:rsid w:val="0085173A"/>
    <w:rsid w:val="008603CE"/>
    <w:rsid w:val="008620FC"/>
    <w:rsid w:val="008627A5"/>
    <w:rsid w:val="00863E05"/>
    <w:rsid w:val="0086478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6B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60B"/>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53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182"/>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768"/>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45A"/>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47E84"/>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70162"/>
    <w:rsid w:val="04AB54AC"/>
    <w:rsid w:val="05612E7E"/>
    <w:rsid w:val="0A9119DE"/>
    <w:rsid w:val="0B9E68EA"/>
    <w:rsid w:val="16CD060A"/>
    <w:rsid w:val="227128C3"/>
    <w:rsid w:val="23992A22"/>
    <w:rsid w:val="276B030F"/>
    <w:rsid w:val="2F0C17FE"/>
    <w:rsid w:val="307D167C"/>
    <w:rsid w:val="3C7C6D2C"/>
    <w:rsid w:val="3C7E0C7D"/>
    <w:rsid w:val="57C276BB"/>
    <w:rsid w:val="59B04230"/>
    <w:rsid w:val="5F60045B"/>
    <w:rsid w:val="614C4E75"/>
    <w:rsid w:val="65317EFC"/>
    <w:rsid w:val="771C266A"/>
    <w:rsid w:val="7C5C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A"/>
    <w:next w:val="57"/>
    <w:qFormat/>
    <w:uiPriority w:val="0"/>
    <w:pPr>
      <w:wordWrap w:val="0"/>
      <w:overflowPunct w:val="0"/>
      <w:autoSpaceDE w:val="0"/>
      <w:spacing w:before="50" w:beforeLines="50" w:after="50" w:afterLines="50"/>
      <w:jc w:val="center"/>
      <w:textAlignment w:val="baseline"/>
      <w:outlineLvl w:val="1"/>
    </w:pPr>
    <w:rPr>
      <w:rFonts w:ascii="黑体" w:hAnsi="黑体"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附录标识"/>
    <w:basedOn w:val="1"/>
    <w:next w:val="232"/>
    <w:qFormat/>
    <w:uiPriority w:val="0"/>
    <w:pPr>
      <w:keepNext/>
      <w:numPr>
        <w:ilvl w:val="0"/>
        <w:numId w:val="32"/>
      </w:numPr>
      <w:shd w:val="clear" w:color="FFFFFF" w:fill="FFFFFF"/>
      <w:spacing w:before="640" w:after="280" w:line="240" w:lineRule="auto"/>
      <w:jc w:val="center"/>
      <w:outlineLvl w:val="0"/>
    </w:pPr>
    <w:rPr>
      <w:rFonts w:ascii="黑体" w:hAnsi="Times New Roman" w:eastAsia="黑体" w:cs="黑体"/>
      <w:sz w:val="21"/>
      <w:szCs w:val="21"/>
      <w:lang w:eastAsia="zh-CN"/>
    </w:rPr>
  </w:style>
  <w:style w:type="paragraph" w:customStyle="1" w:styleId="232">
    <w:name w:val="段"/>
    <w:qFormat/>
    <w:uiPriority w:val="0"/>
    <w:pPr>
      <w:autoSpaceDE w:val="0"/>
      <w:autoSpaceDN w:val="0"/>
      <w:spacing w:after="0" w:line="240" w:lineRule="auto"/>
      <w:ind w:firstLine="420" w:firstLineChars="200"/>
      <w:jc w:val="both"/>
    </w:pPr>
    <w:rPr>
      <w:rFonts w:ascii="宋体"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B6AF9F960046E08635D0E832C394F5"/>
        <w:style w:val=""/>
        <w:category>
          <w:name w:val="常规"/>
          <w:gallery w:val="placeholder"/>
        </w:category>
        <w:types>
          <w:type w:val="bbPlcHdr"/>
        </w:types>
        <w:behaviors>
          <w:behavior w:val="content"/>
        </w:behaviors>
        <w:description w:val=""/>
        <w:guid w:val="{520E0F83-C5D5-470C-811B-4BF44C72D5A1}"/>
      </w:docPartPr>
      <w:docPartBody>
        <w:p>
          <w:pPr>
            <w:pStyle w:val="6"/>
          </w:pPr>
          <w:r>
            <w:rPr>
              <w:rStyle w:val="4"/>
              <w:rFonts w:hint="eastAsia"/>
            </w:rPr>
            <w:t>选择一项。</w:t>
          </w:r>
        </w:p>
      </w:docPartBody>
    </w:docPart>
    <w:docPart>
      <w:docPartPr>
        <w:name w:val="4B0BD1104B114660867757011923A02C"/>
        <w:style w:val=""/>
        <w:category>
          <w:name w:val="常规"/>
          <w:gallery w:val="placeholder"/>
        </w:category>
        <w:types>
          <w:type w:val="bbPlcHdr"/>
        </w:types>
        <w:behaviors>
          <w:behavior w:val="content"/>
        </w:behaviors>
        <w:description w:val=""/>
        <w:guid w:val="{1827A202-B1B8-4AAF-9042-E268BE887705}"/>
      </w:docPartPr>
      <w:docPartBody>
        <w:p>
          <w:pPr>
            <w:pStyle w:val="7"/>
          </w:pPr>
          <w:r>
            <w:rPr>
              <w:rStyle w:val="4"/>
              <w:rFonts w:hint="eastAsia"/>
            </w:rPr>
            <w:t>选择一项。</w:t>
          </w:r>
        </w:p>
      </w:docPartBody>
    </w:docPart>
    <w:docPart>
      <w:docPartPr>
        <w:name w:val="082C08B3C27F49468BD7321DB9DE545B"/>
        <w:style w:val=""/>
        <w:category>
          <w:name w:val="常规"/>
          <w:gallery w:val="placeholder"/>
        </w:category>
        <w:types>
          <w:type w:val="bbPlcHdr"/>
        </w:types>
        <w:behaviors>
          <w:behavior w:val="content"/>
        </w:behaviors>
        <w:description w:val=""/>
        <w:guid w:val="{DE94A97E-5B1D-4F8C-8ADD-1951704E7567}"/>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24"/>
    <w:rsid w:val="00564597"/>
    <w:rsid w:val="00683824"/>
    <w:rsid w:val="00EF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ABCD4122F95401F96E8A621935CF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AB6AF9F960046E08635D0E832C394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B0BD1104B114660867757011923A0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82C08B3C27F49468BD7321DB9DE545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C288E-DB35-454A-B418-5DBE80490BE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5</Pages>
  <Words>366</Words>
  <Characters>2088</Characters>
  <Lines>17</Lines>
  <Paragraphs>4</Paragraphs>
  <TotalTime>43</TotalTime>
  <ScaleCrop>false</ScaleCrop>
  <LinksUpToDate>false</LinksUpToDate>
  <CharactersWithSpaces>2450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2023-07-14T09:25:00Z</dcterms:created>
  <dc:creator>Microsoft</dc:creator>
  <dc:description>&lt;config cover="true" show_menu="true" version="1.0.0" doctype="SDKXY"&gt;_x000d_
&lt;/config&gt;</dc:description>
  <cp:lastModifiedBy>上上签</cp:lastModifiedBy>
  <cp:lastPrinted>2021-02-02T08:22:00Z</cp:lastPrinted>
  <dcterms:modified xsi:type="dcterms:W3CDTF">2023-11-15T06:58:12Z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CC045697826548239C07D4A1811B7BC8_12</vt:lpwstr>
  </property>
</Properties>
</file>