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b/>
          <w:bCs/>
          <w:sz w:val="27"/>
          <w:szCs w:val="27"/>
        </w:rPr>
      </w:pPr>
      <w:r>
        <w:rPr>
          <w:rFonts w:hint="eastAsia"/>
          <w:b/>
          <w:bCs/>
          <w:sz w:val="27"/>
          <w:szCs w:val="27"/>
        </w:rPr>
        <w:t>《互联网企业</w:t>
      </w:r>
      <w:r>
        <w:rPr>
          <w:b/>
          <w:bCs/>
          <w:sz w:val="27"/>
          <w:szCs w:val="27"/>
        </w:rPr>
        <w:t>ESG评估指南</w:t>
      </w:r>
      <w:r>
        <w:rPr>
          <w:rFonts w:hint="eastAsia"/>
          <w:b/>
          <w:bCs/>
          <w:sz w:val="27"/>
          <w:szCs w:val="27"/>
        </w:rPr>
        <w:t>》</w:t>
      </w:r>
      <w:r>
        <w:rPr>
          <w:b/>
          <w:bCs/>
          <w:sz w:val="27"/>
          <w:szCs w:val="27"/>
        </w:rPr>
        <w:t>团体标准（征求意见稿）</w:t>
      </w:r>
    </w:p>
    <w:p>
      <w:pPr>
        <w:pStyle w:val="4"/>
        <w:jc w:val="center"/>
        <w:rPr>
          <w:b/>
          <w:bCs/>
          <w:sz w:val="27"/>
          <w:szCs w:val="27"/>
        </w:rPr>
      </w:pPr>
      <w:r>
        <w:rPr>
          <w:b/>
          <w:bCs/>
          <w:sz w:val="27"/>
          <w:szCs w:val="27"/>
        </w:rPr>
        <w:t>编制说明</w:t>
      </w:r>
    </w:p>
    <w:p>
      <w:pPr>
        <w:pStyle w:val="4"/>
        <w:ind w:firstLine="480"/>
        <w:rPr>
          <w:b/>
          <w:bCs/>
          <w:sz w:val="27"/>
          <w:szCs w:val="27"/>
        </w:rPr>
      </w:pPr>
      <w:r>
        <w:rPr>
          <w:b/>
          <w:bCs/>
          <w:sz w:val="27"/>
          <w:szCs w:val="27"/>
        </w:rPr>
        <w:t>一、工作简况</w:t>
      </w:r>
    </w:p>
    <w:p>
      <w:pPr>
        <w:pStyle w:val="4"/>
        <w:ind w:firstLine="480"/>
        <w:rPr>
          <w:b/>
          <w:bCs/>
          <w:sz w:val="27"/>
          <w:szCs w:val="27"/>
        </w:rPr>
      </w:pPr>
      <w:r>
        <w:rPr>
          <w:b/>
          <w:bCs/>
          <w:sz w:val="27"/>
          <w:szCs w:val="27"/>
        </w:rPr>
        <w:t>（一）任务来源</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《互联网企业</w:t>
      </w:r>
      <w:r>
        <w:rPr>
          <w:rFonts w:ascii="仿宋_GB2312" w:eastAsia="仿宋_GB2312"/>
          <w:color w:val="000000"/>
          <w:sz w:val="30"/>
          <w:szCs w:val="30"/>
        </w:rPr>
        <w:t>ESG评估指南》团体标准是中国</w:t>
      </w:r>
      <w:r>
        <w:rPr>
          <w:rFonts w:hint="eastAsia" w:ascii="仿宋_GB2312" w:eastAsia="仿宋_GB2312"/>
          <w:color w:val="000000"/>
          <w:sz w:val="30"/>
          <w:szCs w:val="30"/>
        </w:rPr>
        <w:t>网络社会组织联合会</w:t>
      </w:r>
      <w:r>
        <w:rPr>
          <w:rFonts w:ascii="仿宋_GB2312" w:eastAsia="仿宋_GB2312"/>
          <w:color w:val="000000"/>
          <w:sz w:val="30"/>
          <w:szCs w:val="30"/>
        </w:rPr>
        <w:t>2023年</w:t>
      </w:r>
      <w:r>
        <w:rPr>
          <w:rFonts w:hint="eastAsia" w:ascii="仿宋_GB2312" w:eastAsia="仿宋_GB2312"/>
          <w:color w:val="000000"/>
          <w:sz w:val="30"/>
          <w:szCs w:val="30"/>
        </w:rPr>
        <w:t>第二批</w:t>
      </w:r>
      <w:r>
        <w:rPr>
          <w:rFonts w:ascii="仿宋_GB2312" w:eastAsia="仿宋_GB2312"/>
          <w:color w:val="000000"/>
          <w:sz w:val="30"/>
          <w:szCs w:val="30"/>
        </w:rPr>
        <w:t>团体标准</w:t>
      </w:r>
      <w:r>
        <w:rPr>
          <w:rFonts w:hint="eastAsia" w:ascii="仿宋_GB2312" w:eastAsia="仿宋_GB2312"/>
          <w:color w:val="000000"/>
          <w:sz w:val="30"/>
          <w:szCs w:val="30"/>
        </w:rPr>
        <w:t>立项</w:t>
      </w:r>
      <w:r>
        <w:rPr>
          <w:rFonts w:ascii="仿宋_GB2312" w:eastAsia="仿宋_GB2312"/>
          <w:color w:val="000000"/>
          <w:sz w:val="30"/>
          <w:szCs w:val="30"/>
        </w:rPr>
        <w:t>项目，由</w:t>
      </w:r>
      <w:r>
        <w:rPr>
          <w:rFonts w:hint="eastAsia" w:ascii="仿宋_GB2312" w:eastAsia="仿宋_GB2312"/>
          <w:color w:val="000000"/>
          <w:sz w:val="30"/>
          <w:szCs w:val="30"/>
        </w:rPr>
        <w:t>清华大学智能法治研究院作为牵头起草单位，中国标准化研究院、腾讯集团、蚂蚁集团、联想集团、蓝色光标公司、中新社、南方周末杂志社、汉坤律师事务所、方达律师事务所</w:t>
      </w:r>
      <w:r>
        <w:rPr>
          <w:rFonts w:ascii="仿宋_GB2312" w:eastAsia="仿宋_GB2312"/>
          <w:color w:val="000000"/>
          <w:sz w:val="30"/>
          <w:szCs w:val="30"/>
        </w:rPr>
        <w:t>等单位起草制订。</w:t>
      </w:r>
    </w:p>
    <w:p>
      <w:pPr>
        <w:pStyle w:val="4"/>
        <w:ind w:firstLine="480"/>
        <w:rPr>
          <w:b/>
          <w:bCs/>
          <w:sz w:val="27"/>
          <w:szCs w:val="27"/>
        </w:rPr>
      </w:pPr>
      <w:r>
        <w:rPr>
          <w:b/>
          <w:bCs/>
          <w:sz w:val="27"/>
          <w:szCs w:val="27"/>
        </w:rPr>
        <w:t>（二）编制目的及意义</w:t>
      </w:r>
    </w:p>
    <w:p>
      <w:pPr>
        <w:widowControl/>
        <w:ind w:firstLine="600" w:firstLineChars="200"/>
        <w:jc w:val="left"/>
        <w:rPr>
          <w:rFonts w:ascii="仿宋_GB2312" w:eastAsia="仿宋_GB2312"/>
          <w:color w:val="000000"/>
          <w:sz w:val="30"/>
          <w:szCs w:val="30"/>
        </w:rPr>
      </w:pPr>
      <w:r>
        <w:rPr>
          <w:rFonts w:ascii="仿宋_GB2312" w:eastAsia="仿宋_GB2312"/>
          <w:color w:val="000000"/>
          <w:sz w:val="30"/>
          <w:szCs w:val="30"/>
        </w:rPr>
        <w:t>经过数十年的发展，ESG已经成为</w:t>
      </w:r>
      <w:r>
        <w:rPr>
          <w:rFonts w:hint="eastAsia" w:ascii="仿宋_GB2312" w:eastAsia="仿宋_GB2312"/>
          <w:color w:val="000000"/>
          <w:sz w:val="30"/>
          <w:szCs w:val="30"/>
        </w:rPr>
        <w:t>国内外</w:t>
      </w:r>
      <w:r>
        <w:rPr>
          <w:rFonts w:ascii="仿宋_GB2312" w:eastAsia="仿宋_GB2312"/>
          <w:color w:val="000000"/>
          <w:sz w:val="30"/>
          <w:szCs w:val="30"/>
        </w:rPr>
        <w:t>企业非财务绩效的主流评价体系，也是推动企业可持续发展的核心框架和系统方法论。企业践行ESG理念，与国家提出</w:t>
      </w:r>
      <w:r>
        <w:rPr>
          <w:rFonts w:hint="eastAsia" w:ascii="仿宋_GB2312" w:eastAsia="仿宋_GB2312"/>
          <w:color w:val="000000"/>
          <w:sz w:val="30"/>
          <w:szCs w:val="30"/>
        </w:rPr>
        <w:t>的</w:t>
      </w:r>
      <w:r>
        <w:rPr>
          <w:rFonts w:ascii="仿宋_GB2312" w:eastAsia="仿宋_GB2312"/>
          <w:color w:val="000000"/>
          <w:sz w:val="30"/>
          <w:szCs w:val="30"/>
        </w:rPr>
        <w:t>绿色低碳</w:t>
      </w:r>
      <w:r>
        <w:rPr>
          <w:rFonts w:hint="eastAsia" w:ascii="仿宋_GB2312" w:eastAsia="仿宋_GB2312"/>
          <w:color w:val="000000"/>
          <w:sz w:val="30"/>
          <w:szCs w:val="30"/>
        </w:rPr>
        <w:t>等政策</w:t>
      </w:r>
      <w:r>
        <w:rPr>
          <w:rFonts w:ascii="仿宋_GB2312" w:eastAsia="仿宋_GB2312"/>
          <w:color w:val="000000"/>
          <w:sz w:val="30"/>
          <w:szCs w:val="30"/>
        </w:rPr>
        <w:t>目标高度契合。</w:t>
      </w:r>
    </w:p>
    <w:p>
      <w:pPr>
        <w:widowControl/>
        <w:ind w:firstLine="600" w:firstLineChars="200"/>
        <w:jc w:val="left"/>
        <w:rPr>
          <w:rFonts w:ascii="仿宋_GB2312" w:eastAsia="仿宋_GB2312"/>
          <w:color w:val="000000"/>
          <w:sz w:val="30"/>
          <w:szCs w:val="30"/>
        </w:rPr>
      </w:pPr>
      <w:r>
        <w:rPr>
          <w:rFonts w:ascii="仿宋_GB2312" w:eastAsia="仿宋_GB2312"/>
          <w:color w:val="000000"/>
          <w:sz w:val="30"/>
          <w:szCs w:val="30"/>
        </w:rPr>
        <w:t>随着ESG在实践中的重要性日益凸显，越来越多的</w:t>
      </w:r>
      <w:r>
        <w:rPr>
          <w:rFonts w:hint="eastAsia" w:ascii="仿宋_GB2312" w:eastAsia="仿宋_GB2312"/>
          <w:color w:val="000000"/>
          <w:sz w:val="30"/>
          <w:szCs w:val="30"/>
        </w:rPr>
        <w:t>互联网</w:t>
      </w:r>
      <w:r>
        <w:rPr>
          <w:rFonts w:ascii="仿宋_GB2312" w:eastAsia="仿宋_GB2312"/>
          <w:color w:val="000000"/>
          <w:sz w:val="30"/>
          <w:szCs w:val="30"/>
        </w:rPr>
        <w:t>企业开始披露专门的ESG报告</w:t>
      </w:r>
      <w:r>
        <w:rPr>
          <w:rFonts w:hint="eastAsia" w:ascii="仿宋_GB2312" w:eastAsia="仿宋_GB2312"/>
          <w:color w:val="000000"/>
          <w:sz w:val="30"/>
          <w:szCs w:val="30"/>
        </w:rPr>
        <w:t>，国内外主流评级机构也开展了对于各大企业E</w:t>
      </w:r>
      <w:r>
        <w:rPr>
          <w:rFonts w:ascii="仿宋_GB2312" w:eastAsia="仿宋_GB2312"/>
          <w:color w:val="000000"/>
          <w:sz w:val="30"/>
          <w:szCs w:val="30"/>
        </w:rPr>
        <w:t>SG</w:t>
      </w:r>
      <w:r>
        <w:rPr>
          <w:rFonts w:hint="eastAsia" w:ascii="仿宋_GB2312" w:eastAsia="仿宋_GB2312"/>
          <w:color w:val="000000"/>
          <w:sz w:val="30"/>
          <w:szCs w:val="30"/>
        </w:rPr>
        <w:t>实践情况的评估</w:t>
      </w:r>
      <w:r>
        <w:rPr>
          <w:rFonts w:ascii="仿宋_GB2312" w:eastAsia="仿宋_GB2312"/>
          <w:color w:val="000000"/>
          <w:sz w:val="30"/>
          <w:szCs w:val="30"/>
        </w:rPr>
        <w:t>。然而，</w:t>
      </w:r>
      <w:r>
        <w:rPr>
          <w:rFonts w:hint="eastAsia" w:ascii="仿宋_GB2312" w:eastAsia="仿宋_GB2312"/>
          <w:color w:val="000000"/>
          <w:sz w:val="30"/>
          <w:szCs w:val="30"/>
        </w:rPr>
        <w:t>现有的投资评级机构开展评估</w:t>
      </w:r>
      <w:r>
        <w:rPr>
          <w:rFonts w:ascii="仿宋_GB2312" w:eastAsia="仿宋_GB2312"/>
          <w:color w:val="000000"/>
          <w:sz w:val="30"/>
          <w:szCs w:val="30"/>
        </w:rPr>
        <w:t>的形式多样、缺乏统一标准，</w:t>
      </w:r>
      <w:r>
        <w:rPr>
          <w:rFonts w:hint="eastAsia" w:ascii="仿宋_GB2312" w:eastAsia="仿宋_GB2312"/>
          <w:color w:val="000000"/>
          <w:sz w:val="30"/>
          <w:szCs w:val="30"/>
        </w:rPr>
        <w:t>部分评估标准遵从西方价值观，未能关注特定行业实践，</w:t>
      </w:r>
      <w:r>
        <w:rPr>
          <w:rFonts w:ascii="仿宋_GB2312" w:eastAsia="仿宋_GB2312"/>
          <w:color w:val="000000"/>
          <w:sz w:val="30"/>
          <w:szCs w:val="30"/>
        </w:rPr>
        <w:t>给</w:t>
      </w:r>
      <w:r>
        <w:rPr>
          <w:rFonts w:hint="eastAsia" w:ascii="仿宋_GB2312" w:eastAsia="仿宋_GB2312"/>
          <w:color w:val="000000"/>
          <w:sz w:val="30"/>
          <w:szCs w:val="30"/>
        </w:rPr>
        <w:t>互联网企业的披露</w:t>
      </w:r>
      <w:r>
        <w:rPr>
          <w:rFonts w:ascii="仿宋_GB2312" w:eastAsia="仿宋_GB2312"/>
          <w:color w:val="000000"/>
          <w:sz w:val="30"/>
          <w:szCs w:val="30"/>
        </w:rPr>
        <w:t>带来极大困难。因此</w:t>
      </w:r>
      <w:r>
        <w:rPr>
          <w:rFonts w:hint="eastAsia" w:ascii="仿宋_GB2312" w:eastAsia="仿宋_GB2312"/>
          <w:color w:val="000000"/>
          <w:sz w:val="30"/>
          <w:szCs w:val="30"/>
        </w:rPr>
        <w:t>，</w:t>
      </w:r>
      <w:r>
        <w:rPr>
          <w:rFonts w:ascii="仿宋_GB2312" w:eastAsia="仿宋_GB2312"/>
          <w:color w:val="000000"/>
          <w:sz w:val="30"/>
          <w:szCs w:val="30"/>
        </w:rPr>
        <w:t>在当前阶段抓紧推动我国</w:t>
      </w:r>
      <w:r>
        <w:rPr>
          <w:rFonts w:hint="eastAsia" w:ascii="仿宋_GB2312" w:eastAsia="仿宋_GB2312"/>
          <w:color w:val="000000"/>
          <w:sz w:val="30"/>
          <w:szCs w:val="30"/>
        </w:rPr>
        <w:t>互联网</w:t>
      </w:r>
      <w:r>
        <w:rPr>
          <w:rFonts w:ascii="仿宋_GB2312" w:eastAsia="仿宋_GB2312"/>
          <w:color w:val="000000"/>
          <w:sz w:val="30"/>
          <w:szCs w:val="30"/>
        </w:rPr>
        <w:t>企业ESG</w:t>
      </w:r>
      <w:r>
        <w:rPr>
          <w:rFonts w:hint="eastAsia" w:ascii="仿宋_GB2312" w:eastAsia="仿宋_GB2312"/>
          <w:color w:val="000000"/>
          <w:sz w:val="30"/>
          <w:szCs w:val="30"/>
        </w:rPr>
        <w:t>评估指南</w:t>
      </w:r>
      <w:r>
        <w:rPr>
          <w:rFonts w:ascii="仿宋_GB2312" w:eastAsia="仿宋_GB2312"/>
          <w:color w:val="000000"/>
          <w:sz w:val="30"/>
          <w:szCs w:val="30"/>
        </w:rPr>
        <w:t>建设，制定适用于</w:t>
      </w:r>
      <w:r>
        <w:rPr>
          <w:rFonts w:hint="eastAsia" w:ascii="仿宋_GB2312" w:eastAsia="仿宋_GB2312"/>
          <w:color w:val="000000"/>
          <w:sz w:val="30"/>
          <w:szCs w:val="30"/>
        </w:rPr>
        <w:t>各大互联网</w:t>
      </w:r>
      <w:r>
        <w:rPr>
          <w:rFonts w:ascii="仿宋_GB2312" w:eastAsia="仿宋_GB2312"/>
          <w:color w:val="000000"/>
          <w:sz w:val="30"/>
          <w:szCs w:val="30"/>
        </w:rPr>
        <w:t>企业</w:t>
      </w:r>
      <w:r>
        <w:rPr>
          <w:rFonts w:hint="eastAsia" w:ascii="仿宋_GB2312" w:eastAsia="仿宋_GB2312"/>
          <w:color w:val="000000"/>
          <w:sz w:val="30"/>
          <w:szCs w:val="30"/>
        </w:rPr>
        <w:t>的</w:t>
      </w:r>
      <w:r>
        <w:rPr>
          <w:rFonts w:ascii="仿宋_GB2312" w:eastAsia="仿宋_GB2312"/>
          <w:color w:val="000000"/>
          <w:sz w:val="30"/>
          <w:szCs w:val="30"/>
        </w:rPr>
        <w:t>ESG</w:t>
      </w:r>
      <w:r>
        <w:rPr>
          <w:rFonts w:hint="eastAsia" w:ascii="仿宋_GB2312" w:eastAsia="仿宋_GB2312"/>
          <w:color w:val="000000"/>
          <w:sz w:val="30"/>
          <w:szCs w:val="30"/>
        </w:rPr>
        <w:t>评估</w:t>
      </w:r>
      <w:r>
        <w:rPr>
          <w:rFonts w:ascii="仿宋_GB2312" w:eastAsia="仿宋_GB2312"/>
          <w:color w:val="000000"/>
          <w:sz w:val="30"/>
          <w:szCs w:val="30"/>
        </w:rPr>
        <w:t>指南，是顺应国内潮流且符合国际趋势的政策布局。</w:t>
      </w:r>
    </w:p>
    <w:p>
      <w:pPr>
        <w:widowControl/>
        <w:ind w:firstLine="600" w:firstLineChars="200"/>
        <w:jc w:val="left"/>
        <w:rPr>
          <w:rFonts w:ascii="仿宋_GB2312" w:eastAsia="仿宋_GB2312"/>
          <w:color w:val="000000"/>
          <w:sz w:val="30"/>
          <w:szCs w:val="30"/>
        </w:rPr>
      </w:pPr>
      <w:r>
        <w:rPr>
          <w:rFonts w:ascii="仿宋_GB2312" w:eastAsia="仿宋_GB2312"/>
          <w:color w:val="000000"/>
          <w:sz w:val="30"/>
          <w:szCs w:val="30"/>
        </w:rPr>
        <w:t>本标准以国家相关法律法规和标准为依据，结合我国国情</w:t>
      </w:r>
      <w:r>
        <w:rPr>
          <w:rFonts w:hint="eastAsia" w:ascii="仿宋_GB2312" w:eastAsia="仿宋_GB2312"/>
          <w:color w:val="000000"/>
          <w:sz w:val="30"/>
          <w:szCs w:val="30"/>
        </w:rPr>
        <w:t>和企业实践</w:t>
      </w:r>
      <w:r>
        <w:rPr>
          <w:rFonts w:ascii="仿宋_GB2312" w:eastAsia="仿宋_GB2312"/>
          <w:color w:val="000000"/>
          <w:sz w:val="30"/>
          <w:szCs w:val="30"/>
        </w:rPr>
        <w:t>，从环境、社会、治理三个维度构建</w:t>
      </w:r>
      <w:r>
        <w:rPr>
          <w:rFonts w:hint="eastAsia" w:ascii="仿宋_GB2312" w:eastAsia="仿宋_GB2312"/>
          <w:color w:val="000000"/>
          <w:sz w:val="30"/>
          <w:szCs w:val="30"/>
        </w:rPr>
        <w:t>互联网企业</w:t>
      </w:r>
      <w:r>
        <w:rPr>
          <w:rFonts w:ascii="仿宋_GB2312" w:eastAsia="仿宋_GB2312"/>
          <w:color w:val="000000"/>
          <w:sz w:val="30"/>
          <w:szCs w:val="30"/>
        </w:rPr>
        <w:t>ESG</w:t>
      </w:r>
      <w:r>
        <w:rPr>
          <w:rFonts w:hint="eastAsia" w:ascii="仿宋_GB2312" w:eastAsia="仿宋_GB2312"/>
          <w:color w:val="000000"/>
          <w:sz w:val="30"/>
          <w:szCs w:val="30"/>
        </w:rPr>
        <w:t>评估体系</w:t>
      </w:r>
      <w:r>
        <w:rPr>
          <w:rFonts w:ascii="仿宋_GB2312" w:eastAsia="仿宋_GB2312"/>
          <w:color w:val="000000"/>
          <w:sz w:val="30"/>
          <w:szCs w:val="30"/>
        </w:rPr>
        <w:t>，促进企业实现经济价值与社会价值的统一。本标准的制定主要是为了满足</w:t>
      </w:r>
      <w:r>
        <w:rPr>
          <w:rFonts w:hint="eastAsia" w:ascii="仿宋_GB2312" w:eastAsia="仿宋_GB2312"/>
          <w:color w:val="000000"/>
          <w:sz w:val="30"/>
          <w:szCs w:val="30"/>
        </w:rPr>
        <w:t>对互联网企业开展</w:t>
      </w:r>
      <w:r>
        <w:rPr>
          <w:rFonts w:ascii="仿宋_GB2312" w:eastAsia="仿宋_GB2312"/>
          <w:color w:val="000000"/>
          <w:sz w:val="30"/>
          <w:szCs w:val="30"/>
        </w:rPr>
        <w:t>ESG</w:t>
      </w:r>
      <w:r>
        <w:rPr>
          <w:rFonts w:hint="eastAsia" w:ascii="仿宋_GB2312" w:eastAsia="仿宋_GB2312"/>
          <w:color w:val="000000"/>
          <w:sz w:val="30"/>
          <w:szCs w:val="30"/>
        </w:rPr>
        <w:t>评估</w:t>
      </w:r>
      <w:r>
        <w:rPr>
          <w:rFonts w:ascii="仿宋_GB2312" w:eastAsia="仿宋_GB2312"/>
          <w:color w:val="000000"/>
          <w:sz w:val="30"/>
          <w:szCs w:val="30"/>
        </w:rPr>
        <w:t>的需求，</w:t>
      </w:r>
      <w:r>
        <w:rPr>
          <w:rFonts w:hint="eastAsia" w:ascii="仿宋_GB2312" w:eastAsia="仿宋_GB2312"/>
          <w:color w:val="000000"/>
          <w:sz w:val="30"/>
          <w:szCs w:val="30"/>
        </w:rPr>
        <w:t>同时</w:t>
      </w:r>
      <w:r>
        <w:rPr>
          <w:rFonts w:ascii="仿宋_GB2312" w:eastAsia="仿宋_GB2312"/>
          <w:color w:val="000000"/>
          <w:sz w:val="30"/>
          <w:szCs w:val="30"/>
        </w:rPr>
        <w:t>提高企业ESG报告的编写质量和效率。本标准为适用于</w:t>
      </w:r>
      <w:r>
        <w:rPr>
          <w:rFonts w:hint="eastAsia" w:ascii="仿宋_GB2312" w:eastAsia="仿宋_GB2312"/>
          <w:color w:val="000000"/>
          <w:sz w:val="30"/>
          <w:szCs w:val="30"/>
        </w:rPr>
        <w:t>互联网</w:t>
      </w:r>
      <w:r>
        <w:rPr>
          <w:rFonts w:ascii="仿宋_GB2312" w:eastAsia="仿宋_GB2312"/>
          <w:color w:val="000000"/>
          <w:sz w:val="30"/>
          <w:szCs w:val="30"/>
        </w:rPr>
        <w:t>企业ESG</w:t>
      </w:r>
      <w:r>
        <w:rPr>
          <w:rFonts w:hint="eastAsia" w:ascii="仿宋_GB2312" w:eastAsia="仿宋_GB2312"/>
          <w:color w:val="000000"/>
          <w:sz w:val="30"/>
          <w:szCs w:val="30"/>
        </w:rPr>
        <w:t>评估</w:t>
      </w:r>
      <w:r>
        <w:rPr>
          <w:rFonts w:ascii="仿宋_GB2312" w:eastAsia="仿宋_GB2312"/>
          <w:color w:val="000000"/>
          <w:sz w:val="30"/>
          <w:szCs w:val="30"/>
        </w:rPr>
        <w:t>的通用性标准，</w:t>
      </w:r>
      <w:r>
        <w:rPr>
          <w:rFonts w:hint="eastAsia" w:ascii="仿宋_GB2312" w:eastAsia="仿宋_GB2312"/>
          <w:color w:val="000000"/>
          <w:sz w:val="30"/>
          <w:szCs w:val="30"/>
        </w:rPr>
        <w:t>也</w:t>
      </w:r>
      <w:r>
        <w:rPr>
          <w:rFonts w:ascii="仿宋_GB2312" w:eastAsia="仿宋_GB2312"/>
          <w:color w:val="000000"/>
          <w:sz w:val="30"/>
          <w:szCs w:val="30"/>
        </w:rPr>
        <w:t>鼓励</w:t>
      </w:r>
      <w:r>
        <w:rPr>
          <w:rFonts w:hint="eastAsia" w:ascii="仿宋_GB2312" w:eastAsia="仿宋_GB2312"/>
          <w:color w:val="000000"/>
          <w:sz w:val="30"/>
          <w:szCs w:val="30"/>
        </w:rPr>
        <w:t>其他企业参照适用。</w:t>
      </w:r>
    </w:p>
    <w:p>
      <w:pPr>
        <w:pStyle w:val="4"/>
        <w:ind w:firstLine="480"/>
        <w:rPr>
          <w:b/>
          <w:bCs/>
          <w:sz w:val="27"/>
          <w:szCs w:val="27"/>
        </w:rPr>
      </w:pPr>
      <w:r>
        <w:rPr>
          <w:b/>
          <w:bCs/>
          <w:sz w:val="27"/>
          <w:szCs w:val="27"/>
        </w:rPr>
        <w:t>（</w:t>
      </w:r>
      <w:r>
        <w:rPr>
          <w:rFonts w:hint="eastAsia"/>
          <w:b/>
          <w:bCs/>
          <w:sz w:val="27"/>
          <w:szCs w:val="27"/>
          <w:lang w:val="en-US" w:eastAsia="zh-CN"/>
        </w:rPr>
        <w:t>三</w:t>
      </w:r>
      <w:r>
        <w:rPr>
          <w:b/>
          <w:bCs/>
          <w:sz w:val="27"/>
          <w:szCs w:val="27"/>
        </w:rPr>
        <w:t>）主要工作过程</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1</w:t>
      </w:r>
      <w:r>
        <w:rPr>
          <w:rFonts w:ascii="仿宋_GB2312" w:eastAsia="仿宋_GB2312"/>
          <w:color w:val="000000"/>
          <w:sz w:val="30"/>
          <w:szCs w:val="30"/>
        </w:rPr>
        <w:t>.</w:t>
      </w:r>
      <w:r>
        <w:rPr>
          <w:rFonts w:hint="eastAsia" w:ascii="仿宋_GB2312" w:eastAsia="仿宋_GB2312"/>
          <w:color w:val="000000"/>
          <w:sz w:val="30"/>
          <w:szCs w:val="30"/>
        </w:rPr>
        <w:t>立项阶段</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本标准于</w:t>
      </w:r>
      <w:r>
        <w:rPr>
          <w:rFonts w:ascii="仿宋_GB2312" w:eastAsia="仿宋_GB2312"/>
          <w:color w:val="000000"/>
          <w:sz w:val="30"/>
          <w:szCs w:val="30"/>
        </w:rPr>
        <w:t>2023年1月28日</w:t>
      </w:r>
      <w:r>
        <w:rPr>
          <w:rFonts w:hint="eastAsia" w:ascii="仿宋_GB2312" w:eastAsia="仿宋_GB2312"/>
          <w:color w:val="000000"/>
          <w:sz w:val="30"/>
          <w:szCs w:val="30"/>
        </w:rPr>
        <w:t>立项。</w:t>
      </w:r>
      <w:r>
        <w:rPr>
          <w:rFonts w:ascii="仿宋_GB2312" w:eastAsia="仿宋_GB2312"/>
          <w:color w:val="000000"/>
          <w:sz w:val="30"/>
          <w:szCs w:val="30"/>
        </w:rPr>
        <w:t>项目启动之初，重点开展了以下调研：一是国内外ESG相关</w:t>
      </w:r>
      <w:r>
        <w:rPr>
          <w:rFonts w:hint="eastAsia" w:ascii="仿宋_GB2312" w:eastAsia="仿宋_GB2312"/>
          <w:color w:val="000000"/>
          <w:sz w:val="30"/>
          <w:szCs w:val="30"/>
        </w:rPr>
        <w:t>评估体系</w:t>
      </w:r>
      <w:r>
        <w:rPr>
          <w:rFonts w:ascii="仿宋_GB2312" w:eastAsia="仿宋_GB2312"/>
          <w:color w:val="000000"/>
          <w:sz w:val="30"/>
          <w:szCs w:val="30"/>
        </w:rPr>
        <w:t>调研；二是国内企业发布ESG报</w:t>
      </w:r>
      <w:bookmarkStart w:id="0" w:name="_GoBack"/>
      <w:bookmarkEnd w:id="0"/>
      <w:r>
        <w:rPr>
          <w:rFonts w:ascii="仿宋_GB2312" w:eastAsia="仿宋_GB2312"/>
          <w:color w:val="000000"/>
          <w:sz w:val="30"/>
          <w:szCs w:val="30"/>
        </w:rPr>
        <w:t>告、社会责任报告</w:t>
      </w:r>
      <w:r>
        <w:rPr>
          <w:rFonts w:hint="eastAsia" w:ascii="仿宋_GB2312" w:eastAsia="仿宋_GB2312"/>
          <w:color w:val="000000"/>
          <w:sz w:val="30"/>
          <w:szCs w:val="30"/>
        </w:rPr>
        <w:t>等</w:t>
      </w:r>
      <w:r>
        <w:rPr>
          <w:rFonts w:ascii="仿宋_GB2312" w:eastAsia="仿宋_GB2312"/>
          <w:color w:val="000000"/>
          <w:sz w:val="30"/>
          <w:szCs w:val="30"/>
        </w:rPr>
        <w:t>情况调研；三是国家监管部门对</w:t>
      </w:r>
      <w:r>
        <w:rPr>
          <w:rFonts w:hint="eastAsia" w:ascii="仿宋_GB2312" w:eastAsia="仿宋_GB2312"/>
          <w:color w:val="000000"/>
          <w:sz w:val="30"/>
          <w:szCs w:val="30"/>
        </w:rPr>
        <w:t>互联网</w:t>
      </w:r>
      <w:r>
        <w:rPr>
          <w:rFonts w:ascii="仿宋_GB2312" w:eastAsia="仿宋_GB2312"/>
          <w:color w:val="000000"/>
          <w:sz w:val="30"/>
          <w:szCs w:val="30"/>
        </w:rPr>
        <w:t>企业ESG</w:t>
      </w:r>
      <w:r>
        <w:rPr>
          <w:rFonts w:hint="eastAsia" w:ascii="仿宋_GB2312" w:eastAsia="仿宋_GB2312"/>
          <w:color w:val="000000"/>
          <w:sz w:val="30"/>
          <w:szCs w:val="30"/>
        </w:rPr>
        <w:t>评估</w:t>
      </w:r>
      <w:r>
        <w:rPr>
          <w:rFonts w:ascii="仿宋_GB2312" w:eastAsia="仿宋_GB2312"/>
          <w:color w:val="000000"/>
          <w:sz w:val="30"/>
          <w:szCs w:val="30"/>
        </w:rPr>
        <w:t>的要求调研。</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2.起草阶段</w:t>
      </w:r>
    </w:p>
    <w:p>
      <w:pPr>
        <w:widowControl/>
        <w:ind w:firstLine="600" w:firstLineChars="200"/>
        <w:jc w:val="left"/>
        <w:rPr>
          <w:rFonts w:ascii="仿宋_GB2312" w:eastAsia="仿宋_GB2312"/>
          <w:color w:val="000000"/>
          <w:sz w:val="30"/>
          <w:szCs w:val="30"/>
        </w:rPr>
      </w:pPr>
      <w:r>
        <w:rPr>
          <w:rFonts w:ascii="仿宋_GB2312" w:eastAsia="仿宋_GB2312"/>
          <w:color w:val="000000"/>
          <w:sz w:val="30"/>
          <w:szCs w:val="30"/>
        </w:rPr>
        <w:t>2023年2月</w:t>
      </w:r>
      <w:r>
        <w:rPr>
          <w:rFonts w:hint="eastAsia" w:ascii="仿宋_GB2312" w:eastAsia="仿宋_GB2312"/>
          <w:color w:val="000000"/>
          <w:sz w:val="30"/>
          <w:szCs w:val="30"/>
        </w:rPr>
        <w:t>，</w:t>
      </w:r>
      <w:r>
        <w:rPr>
          <w:rFonts w:ascii="仿宋_GB2312" w:eastAsia="仿宋_GB2312"/>
          <w:color w:val="000000"/>
          <w:sz w:val="30"/>
          <w:szCs w:val="30"/>
        </w:rPr>
        <w:t>在做好前期调研与主要技术研究的基础上，标准起草组</w:t>
      </w:r>
      <w:r>
        <w:rPr>
          <w:rFonts w:hint="eastAsia" w:ascii="仿宋_GB2312" w:eastAsia="仿宋_GB2312"/>
          <w:color w:val="000000"/>
          <w:sz w:val="30"/>
          <w:szCs w:val="30"/>
        </w:rPr>
        <w:t>正式成立，</w:t>
      </w:r>
      <w:r>
        <w:rPr>
          <w:rFonts w:ascii="仿宋_GB2312" w:eastAsia="仿宋_GB2312"/>
          <w:color w:val="000000"/>
          <w:sz w:val="30"/>
          <w:szCs w:val="30"/>
        </w:rPr>
        <w:t>制定任务计划，明确任务分工，确定主要负责人。</w:t>
      </w:r>
    </w:p>
    <w:p>
      <w:pPr>
        <w:widowControl/>
        <w:ind w:firstLine="600" w:firstLineChars="200"/>
        <w:jc w:val="left"/>
        <w:rPr>
          <w:rFonts w:ascii="仿宋_GB2312" w:eastAsia="仿宋_GB2312"/>
          <w:color w:val="000000"/>
          <w:sz w:val="30"/>
          <w:szCs w:val="30"/>
        </w:rPr>
      </w:pPr>
      <w:r>
        <w:rPr>
          <w:rFonts w:ascii="仿宋_GB2312" w:eastAsia="仿宋_GB2312"/>
          <w:color w:val="000000"/>
          <w:sz w:val="30"/>
          <w:szCs w:val="30"/>
        </w:rPr>
        <w:t>2023年2月，标准起草组开展相关研究工作，探讨了国内外ESG相关</w:t>
      </w:r>
      <w:r>
        <w:rPr>
          <w:rFonts w:hint="eastAsia" w:ascii="仿宋_GB2312" w:eastAsia="仿宋_GB2312"/>
          <w:color w:val="000000"/>
          <w:sz w:val="30"/>
          <w:szCs w:val="30"/>
        </w:rPr>
        <w:t>评估指南</w:t>
      </w:r>
      <w:r>
        <w:rPr>
          <w:rFonts w:ascii="仿宋_GB2312" w:eastAsia="仿宋_GB2312"/>
          <w:color w:val="000000"/>
          <w:sz w:val="30"/>
          <w:szCs w:val="30"/>
        </w:rPr>
        <w:t>，确定</w:t>
      </w:r>
      <w:r>
        <w:rPr>
          <w:rFonts w:hint="eastAsia" w:ascii="仿宋_GB2312" w:eastAsia="仿宋_GB2312"/>
          <w:color w:val="000000"/>
          <w:sz w:val="30"/>
          <w:szCs w:val="30"/>
        </w:rPr>
        <w:t>本标准</w:t>
      </w:r>
      <w:r>
        <w:rPr>
          <w:rFonts w:ascii="仿宋_GB2312" w:eastAsia="仿宋_GB2312"/>
          <w:color w:val="000000"/>
          <w:sz w:val="30"/>
          <w:szCs w:val="30"/>
        </w:rPr>
        <w:t>编制的主要内容、总体框架和基本流程。深入分析国内</w:t>
      </w:r>
      <w:r>
        <w:rPr>
          <w:rFonts w:hint="eastAsia" w:ascii="仿宋_GB2312" w:eastAsia="仿宋_GB2312"/>
          <w:color w:val="000000"/>
          <w:sz w:val="30"/>
          <w:szCs w:val="30"/>
        </w:rPr>
        <w:t>互联网</w:t>
      </w:r>
      <w:r>
        <w:rPr>
          <w:rFonts w:ascii="仿宋_GB2312" w:eastAsia="仿宋_GB2312"/>
          <w:color w:val="000000"/>
          <w:sz w:val="30"/>
          <w:szCs w:val="30"/>
        </w:rPr>
        <w:t>企业尤其是在ESG领域走在前沿的优秀</w:t>
      </w:r>
      <w:r>
        <w:rPr>
          <w:rFonts w:hint="eastAsia" w:ascii="仿宋_GB2312" w:eastAsia="仿宋_GB2312"/>
          <w:color w:val="000000"/>
          <w:sz w:val="30"/>
          <w:szCs w:val="30"/>
        </w:rPr>
        <w:t>互联网</w:t>
      </w:r>
      <w:r>
        <w:rPr>
          <w:rFonts w:ascii="仿宋_GB2312" w:eastAsia="仿宋_GB2312"/>
          <w:color w:val="000000"/>
          <w:sz w:val="30"/>
          <w:szCs w:val="30"/>
        </w:rPr>
        <w:t>企业所发布的ESG报告、社会责任报告和企业可持续发展报告，结合监管部门</w:t>
      </w:r>
      <w:r>
        <w:rPr>
          <w:rFonts w:hint="eastAsia" w:ascii="仿宋_GB2312" w:eastAsia="仿宋_GB2312"/>
          <w:color w:val="000000"/>
          <w:sz w:val="30"/>
          <w:szCs w:val="30"/>
        </w:rPr>
        <w:t>对于互联网企业</w:t>
      </w:r>
      <w:r>
        <w:rPr>
          <w:rFonts w:ascii="仿宋_GB2312" w:eastAsia="仿宋_GB2312"/>
          <w:color w:val="000000"/>
          <w:sz w:val="30"/>
          <w:szCs w:val="30"/>
        </w:rPr>
        <w:t>ESG</w:t>
      </w:r>
      <w:r>
        <w:rPr>
          <w:rFonts w:hint="eastAsia" w:ascii="仿宋_GB2312" w:eastAsia="仿宋_GB2312"/>
          <w:color w:val="000000"/>
          <w:sz w:val="30"/>
          <w:szCs w:val="30"/>
        </w:rPr>
        <w:t>评估的相关要求</w:t>
      </w:r>
      <w:r>
        <w:rPr>
          <w:rFonts w:ascii="仿宋_GB2312" w:eastAsia="仿宋_GB2312"/>
          <w:color w:val="000000"/>
          <w:sz w:val="30"/>
          <w:szCs w:val="30"/>
        </w:rPr>
        <w:t>，对</w:t>
      </w:r>
      <w:r>
        <w:rPr>
          <w:rFonts w:hint="eastAsia" w:ascii="仿宋_GB2312" w:eastAsia="仿宋_GB2312"/>
          <w:color w:val="000000"/>
          <w:sz w:val="30"/>
          <w:szCs w:val="30"/>
        </w:rPr>
        <w:t>标准</w:t>
      </w:r>
      <w:r>
        <w:rPr>
          <w:rFonts w:ascii="仿宋_GB2312" w:eastAsia="仿宋_GB2312"/>
          <w:color w:val="000000"/>
          <w:sz w:val="30"/>
          <w:szCs w:val="30"/>
        </w:rPr>
        <w:t>编制流程和</w:t>
      </w:r>
      <w:r>
        <w:rPr>
          <w:rFonts w:hint="eastAsia" w:ascii="仿宋_GB2312" w:eastAsia="仿宋_GB2312"/>
          <w:color w:val="000000"/>
          <w:sz w:val="30"/>
          <w:szCs w:val="30"/>
        </w:rPr>
        <w:t>标准</w:t>
      </w:r>
      <w:r>
        <w:rPr>
          <w:rFonts w:ascii="仿宋_GB2312" w:eastAsia="仿宋_GB2312"/>
          <w:color w:val="000000"/>
          <w:sz w:val="30"/>
          <w:szCs w:val="30"/>
        </w:rPr>
        <w:t>所涉内容进行持续优化。</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2</w:t>
      </w:r>
      <w:r>
        <w:rPr>
          <w:rFonts w:ascii="仿宋_GB2312" w:eastAsia="仿宋_GB2312"/>
          <w:color w:val="000000"/>
          <w:sz w:val="30"/>
          <w:szCs w:val="30"/>
        </w:rPr>
        <w:t>023</w:t>
      </w:r>
      <w:r>
        <w:rPr>
          <w:rFonts w:hint="eastAsia" w:ascii="仿宋_GB2312" w:eastAsia="仿宋_GB2312"/>
          <w:color w:val="000000"/>
          <w:sz w:val="30"/>
          <w:szCs w:val="30"/>
        </w:rPr>
        <w:t>年3月，本标准工作启动会召开，中国网络社会组织联合会副秘书长张勇、项目部主任李波、清华大学智能法治研究院申卫星院长、刘云院长助理、对外经济贸易大学许可教授以及来自12家参编单位的代表出席会议。</w:t>
      </w:r>
      <w:r>
        <w:rPr>
          <w:rFonts w:ascii="仿宋_GB2312" w:eastAsia="仿宋_GB2312"/>
          <w:color w:val="000000"/>
          <w:sz w:val="30"/>
          <w:szCs w:val="30"/>
        </w:rPr>
        <w:t>阙梓冰助理研究员代表清华大学智能法治研究院团队就互联网平台ESG建设要求与评估规范进行了介绍。</w:t>
      </w:r>
      <w:r>
        <w:rPr>
          <w:rFonts w:hint="eastAsia" w:ascii="仿宋_GB2312" w:eastAsia="仿宋_GB2312"/>
          <w:color w:val="000000"/>
          <w:sz w:val="30"/>
          <w:szCs w:val="30"/>
        </w:rPr>
        <w:t>来自方达律师事务所、汉坤律师事务所、腾讯集团、蓝色光标集团、中国经济信息社、联想集团、BOSS直聘公司、中国标准化研究院、启迪控股、中关村数字产城联盟的的各位与会者对标准编制中的重点难点问题发表了意见。</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起草阶段，</w:t>
      </w:r>
      <w:r>
        <w:rPr>
          <w:rFonts w:ascii="仿宋_GB2312" w:eastAsia="仿宋_GB2312"/>
          <w:color w:val="000000"/>
          <w:sz w:val="30"/>
          <w:szCs w:val="30"/>
        </w:rPr>
        <w:t>标准起草组召开多次研讨会，广泛听取</w:t>
      </w:r>
      <w:r>
        <w:rPr>
          <w:rFonts w:hint="eastAsia" w:ascii="仿宋_GB2312" w:eastAsia="仿宋_GB2312"/>
          <w:color w:val="000000"/>
          <w:sz w:val="30"/>
          <w:szCs w:val="30"/>
        </w:rPr>
        <w:t>各大互联网企业、律师事务所以及其他利益相关者</w:t>
      </w:r>
      <w:r>
        <w:rPr>
          <w:rFonts w:ascii="仿宋_GB2312" w:eastAsia="仿宋_GB2312"/>
          <w:color w:val="000000"/>
          <w:sz w:val="30"/>
          <w:szCs w:val="30"/>
        </w:rPr>
        <w:t>和行业专家意见</w:t>
      </w:r>
      <w:r>
        <w:rPr>
          <w:rFonts w:hint="eastAsia" w:ascii="仿宋_GB2312" w:eastAsia="仿宋_GB2312"/>
          <w:color w:val="000000"/>
          <w:sz w:val="30"/>
          <w:szCs w:val="30"/>
        </w:rPr>
        <w:t>。经统计，标准起草组于2</w:t>
      </w:r>
      <w:r>
        <w:rPr>
          <w:rFonts w:ascii="仿宋_GB2312" w:eastAsia="仿宋_GB2312"/>
          <w:color w:val="000000"/>
          <w:sz w:val="30"/>
          <w:szCs w:val="30"/>
        </w:rPr>
        <w:t>023</w:t>
      </w:r>
      <w:r>
        <w:rPr>
          <w:rFonts w:hint="eastAsia" w:ascii="仿宋_GB2312" w:eastAsia="仿宋_GB2312"/>
          <w:color w:val="000000"/>
          <w:sz w:val="30"/>
          <w:szCs w:val="30"/>
        </w:rPr>
        <w:t>年6月、8月共征求2</w:t>
      </w:r>
      <w:r>
        <w:rPr>
          <w:rFonts w:ascii="仿宋_GB2312" w:eastAsia="仿宋_GB2312"/>
          <w:color w:val="000000"/>
          <w:sz w:val="30"/>
          <w:szCs w:val="30"/>
        </w:rPr>
        <w:t>21</w:t>
      </w:r>
      <w:r>
        <w:rPr>
          <w:rFonts w:hint="eastAsia" w:ascii="仿宋_GB2312" w:eastAsia="仿宋_GB2312"/>
          <w:color w:val="000000"/>
          <w:sz w:val="30"/>
          <w:szCs w:val="30"/>
        </w:rPr>
        <w:t>项意见，处理2</w:t>
      </w:r>
      <w:r>
        <w:rPr>
          <w:rFonts w:ascii="仿宋_GB2312" w:eastAsia="仿宋_GB2312"/>
          <w:color w:val="000000"/>
          <w:sz w:val="30"/>
          <w:szCs w:val="30"/>
        </w:rPr>
        <w:t>21</w:t>
      </w:r>
      <w:r>
        <w:rPr>
          <w:rFonts w:hint="eastAsia" w:ascii="仿宋_GB2312" w:eastAsia="仿宋_GB2312"/>
          <w:color w:val="000000"/>
          <w:sz w:val="30"/>
          <w:szCs w:val="30"/>
        </w:rPr>
        <w:t>项意见，其中全部采纳/部分采纳1</w:t>
      </w:r>
      <w:r>
        <w:rPr>
          <w:rFonts w:ascii="仿宋_GB2312" w:eastAsia="仿宋_GB2312"/>
          <w:color w:val="000000"/>
          <w:sz w:val="30"/>
          <w:szCs w:val="30"/>
        </w:rPr>
        <w:t>64</w:t>
      </w:r>
      <w:r>
        <w:rPr>
          <w:rFonts w:hint="eastAsia" w:ascii="仿宋_GB2312" w:eastAsia="仿宋_GB2312"/>
          <w:color w:val="000000"/>
          <w:sz w:val="30"/>
          <w:szCs w:val="30"/>
        </w:rPr>
        <w:t>项意见。经过不断修订完善，</w:t>
      </w:r>
      <w:r>
        <w:rPr>
          <w:rFonts w:ascii="仿宋_GB2312" w:eastAsia="仿宋_GB2312"/>
          <w:color w:val="000000"/>
          <w:sz w:val="30"/>
          <w:szCs w:val="30"/>
        </w:rPr>
        <w:t>形成</w:t>
      </w:r>
      <w:r>
        <w:rPr>
          <w:rFonts w:hint="eastAsia" w:ascii="仿宋_GB2312" w:eastAsia="仿宋_GB2312"/>
          <w:color w:val="000000"/>
          <w:sz w:val="30"/>
          <w:szCs w:val="30"/>
        </w:rPr>
        <w:t>了</w:t>
      </w:r>
      <w:r>
        <w:rPr>
          <w:rFonts w:ascii="仿宋_GB2312" w:eastAsia="仿宋_GB2312"/>
          <w:color w:val="000000"/>
          <w:sz w:val="30"/>
          <w:szCs w:val="30"/>
        </w:rPr>
        <w:t>科学合理的、具有中国企业特色的、符合可持续发展要求的标准征求意见稿</w:t>
      </w:r>
      <w:r>
        <w:rPr>
          <w:rFonts w:hint="eastAsia" w:ascii="仿宋_GB2312" w:eastAsia="仿宋_GB2312"/>
          <w:color w:val="000000"/>
          <w:sz w:val="30"/>
          <w:szCs w:val="30"/>
        </w:rPr>
        <w:t>。</w:t>
      </w:r>
    </w:p>
    <w:p>
      <w:pPr>
        <w:widowControl/>
        <w:ind w:firstLine="600" w:firstLineChars="200"/>
        <w:jc w:val="left"/>
        <w:rPr>
          <w:rFonts w:ascii="黑体" w:hAnsi="黑体" w:eastAsia="黑体" w:cs="宋体"/>
          <w:color w:val="000000"/>
          <w:kern w:val="0"/>
          <w:sz w:val="30"/>
          <w:szCs w:val="30"/>
        </w:rPr>
      </w:pPr>
      <w:r>
        <w:rPr>
          <w:rFonts w:ascii="黑体" w:hAnsi="黑体" w:eastAsia="黑体" w:cs="宋体"/>
          <w:color w:val="000000"/>
          <w:kern w:val="0"/>
          <w:sz w:val="30"/>
          <w:szCs w:val="30"/>
        </w:rPr>
        <w:t>二、标准编制原则和主要内容的确定</w:t>
      </w:r>
    </w:p>
    <w:p>
      <w:pPr>
        <w:pStyle w:val="4"/>
        <w:ind w:firstLine="480"/>
        <w:rPr>
          <w:b/>
          <w:bCs/>
          <w:sz w:val="27"/>
          <w:szCs w:val="27"/>
        </w:rPr>
      </w:pPr>
      <w:r>
        <w:rPr>
          <w:b/>
          <w:bCs/>
          <w:sz w:val="27"/>
          <w:szCs w:val="27"/>
        </w:rPr>
        <w:t>（一）编制原则</w:t>
      </w:r>
    </w:p>
    <w:p>
      <w:pPr>
        <w:widowControl/>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标准在编制过程中，遵循以下原则：</w:t>
      </w:r>
    </w:p>
    <w:p>
      <w:pPr>
        <w:widowControl/>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1.规范性</w:t>
      </w:r>
    </w:p>
    <w:p>
      <w:pPr>
        <w:widowControl/>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标准的编制符合GB/T1.1-2020《标准化工作导则第1部分：标准化文件的结构和起草规则》的相关规定和要求。</w:t>
      </w:r>
    </w:p>
    <w:p>
      <w:pPr>
        <w:widowControl/>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2.一致性</w:t>
      </w:r>
    </w:p>
    <w:p>
      <w:pPr>
        <w:widowControl/>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本标准在语言表述上与相关标准保持一致，采用已经定义的术语和概念，与</w:t>
      </w:r>
      <w:r>
        <w:rPr>
          <w:rFonts w:hint="eastAsia" w:ascii="仿宋_GB2312" w:hAnsi="宋体" w:eastAsia="仿宋_GB2312" w:cs="宋体"/>
          <w:color w:val="000000"/>
          <w:kern w:val="0"/>
          <w:sz w:val="30"/>
          <w:szCs w:val="30"/>
        </w:rPr>
        <w:t>企业社会责任</w:t>
      </w:r>
      <w:r>
        <w:rPr>
          <w:rFonts w:ascii="仿宋_GB2312" w:hAnsi="宋体" w:eastAsia="仿宋_GB2312" w:cs="宋体"/>
          <w:color w:val="000000"/>
          <w:kern w:val="0"/>
          <w:sz w:val="30"/>
          <w:szCs w:val="30"/>
        </w:rPr>
        <w:t>等相关领域的通用术语和指标内涵保持一致。</w:t>
      </w:r>
    </w:p>
    <w:p>
      <w:pPr>
        <w:widowControl/>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3.通俗性</w:t>
      </w:r>
    </w:p>
    <w:p>
      <w:pPr>
        <w:widowControl/>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使用易于理解的语言表述，从而增强标准的可读性及其推广应用。</w:t>
      </w:r>
    </w:p>
    <w:p>
      <w:pPr>
        <w:pStyle w:val="4"/>
        <w:ind w:firstLine="480"/>
        <w:rPr>
          <w:b/>
          <w:bCs/>
          <w:sz w:val="27"/>
          <w:szCs w:val="27"/>
        </w:rPr>
      </w:pPr>
      <w:r>
        <w:rPr>
          <w:b/>
          <w:bCs/>
          <w:sz w:val="27"/>
          <w:szCs w:val="27"/>
        </w:rPr>
        <w:t>（二）标准主要内容</w:t>
      </w:r>
    </w:p>
    <w:p>
      <w:pPr>
        <w:widowControl/>
        <w:ind w:firstLine="600" w:firstLineChars="200"/>
        <w:jc w:val="left"/>
        <w:rPr>
          <w:rFonts w:ascii="仿宋_GB2312" w:hAnsi="宋体" w:eastAsia="仿宋_GB2312" w:cs="宋体"/>
          <w:color w:val="000000"/>
          <w:kern w:val="0"/>
          <w:sz w:val="30"/>
          <w:szCs w:val="30"/>
        </w:rPr>
      </w:pPr>
      <w:r>
        <w:rPr>
          <w:rFonts w:ascii="仿宋_GB2312" w:eastAsia="仿宋_GB2312"/>
          <w:color w:val="000000"/>
          <w:sz w:val="30"/>
          <w:szCs w:val="30"/>
        </w:rPr>
        <w:t>本标准</w:t>
      </w:r>
      <w:r>
        <w:rPr>
          <w:rFonts w:hint="eastAsia" w:ascii="仿宋_GB2312" w:eastAsia="仿宋_GB2312"/>
          <w:color w:val="000000"/>
          <w:sz w:val="30"/>
          <w:szCs w:val="30"/>
        </w:rPr>
        <w:t>《互联网企业</w:t>
      </w:r>
      <w:r>
        <w:rPr>
          <w:rFonts w:ascii="仿宋_GB2312" w:eastAsia="仿宋_GB2312"/>
          <w:color w:val="000000"/>
          <w:sz w:val="30"/>
          <w:szCs w:val="30"/>
        </w:rPr>
        <w:t>ESG评估指南》以国家相关法律法规和标准为依据，结合我国国情，从环境、社会、治理三个维度构建</w:t>
      </w:r>
      <w:r>
        <w:rPr>
          <w:rFonts w:hint="eastAsia" w:ascii="仿宋_GB2312" w:eastAsia="仿宋_GB2312"/>
          <w:color w:val="000000"/>
          <w:sz w:val="30"/>
          <w:szCs w:val="30"/>
        </w:rPr>
        <w:t>互联网企业</w:t>
      </w:r>
      <w:r>
        <w:rPr>
          <w:rFonts w:ascii="仿宋_GB2312" w:eastAsia="仿宋_GB2312"/>
          <w:color w:val="000000"/>
          <w:sz w:val="30"/>
          <w:szCs w:val="30"/>
        </w:rPr>
        <w:t xml:space="preserve"> ESG</w:t>
      </w:r>
      <w:r>
        <w:rPr>
          <w:rFonts w:hint="eastAsia" w:ascii="仿宋_GB2312" w:eastAsia="仿宋_GB2312"/>
          <w:color w:val="000000"/>
          <w:sz w:val="30"/>
          <w:szCs w:val="30"/>
        </w:rPr>
        <w:t>评估标准</w:t>
      </w:r>
      <w:r>
        <w:rPr>
          <w:rFonts w:ascii="仿宋_GB2312" w:hAnsi="宋体" w:eastAsia="仿宋_GB2312" w:cs="宋体"/>
          <w:color w:val="000000"/>
          <w:kern w:val="0"/>
          <w:sz w:val="30"/>
          <w:szCs w:val="30"/>
        </w:rPr>
        <w:t>。本标准旨在为开展ESG</w:t>
      </w:r>
      <w:r>
        <w:rPr>
          <w:rFonts w:hint="eastAsia" w:ascii="仿宋_GB2312" w:hAnsi="宋体" w:eastAsia="仿宋_GB2312" w:cs="宋体"/>
          <w:color w:val="000000"/>
          <w:kern w:val="0"/>
          <w:sz w:val="30"/>
          <w:szCs w:val="30"/>
        </w:rPr>
        <w:t>评估</w:t>
      </w:r>
      <w:r>
        <w:rPr>
          <w:rFonts w:ascii="仿宋_GB2312" w:hAnsi="宋体" w:eastAsia="仿宋_GB2312" w:cs="宋体"/>
          <w:color w:val="000000"/>
          <w:kern w:val="0"/>
          <w:sz w:val="30"/>
          <w:szCs w:val="30"/>
        </w:rPr>
        <w:t>编制工作提供最基本的指导性意见和建议，从而推动企业绿色低碳战略转型，引导企业高质量发展。</w:t>
      </w:r>
    </w:p>
    <w:p>
      <w:pPr>
        <w:widowControl/>
        <w:ind w:firstLine="600" w:firstLineChars="200"/>
        <w:jc w:val="left"/>
        <w:rPr>
          <w:rFonts w:ascii="黑体" w:hAnsi="黑体" w:eastAsia="黑体" w:cs="宋体"/>
          <w:color w:val="000000"/>
          <w:kern w:val="0"/>
          <w:sz w:val="30"/>
          <w:szCs w:val="30"/>
        </w:rPr>
      </w:pPr>
      <w:r>
        <w:rPr>
          <w:rFonts w:ascii="黑体" w:hAnsi="黑体" w:eastAsia="黑体" w:cs="宋体"/>
          <w:color w:val="000000"/>
          <w:kern w:val="0"/>
          <w:sz w:val="30"/>
          <w:szCs w:val="30"/>
        </w:rPr>
        <w:t>三、标准试验验证情况分析</w:t>
      </w:r>
    </w:p>
    <w:p>
      <w:pPr>
        <w:widowControl/>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不涉及。</w:t>
      </w:r>
    </w:p>
    <w:p>
      <w:pPr>
        <w:widowControl/>
        <w:ind w:firstLine="600" w:firstLineChars="200"/>
        <w:jc w:val="left"/>
        <w:rPr>
          <w:rFonts w:ascii="黑体" w:hAnsi="黑体" w:eastAsia="黑体" w:cs="宋体"/>
          <w:color w:val="000000"/>
          <w:kern w:val="0"/>
          <w:sz w:val="30"/>
          <w:szCs w:val="30"/>
        </w:rPr>
      </w:pPr>
      <w:r>
        <w:rPr>
          <w:rFonts w:ascii="黑体" w:hAnsi="黑体" w:eastAsia="黑体" w:cs="宋体"/>
          <w:color w:val="000000"/>
          <w:kern w:val="0"/>
          <w:sz w:val="30"/>
          <w:szCs w:val="30"/>
        </w:rPr>
        <w:t>四、知识产权情况说明</w:t>
      </w:r>
    </w:p>
    <w:p>
      <w:pPr>
        <w:widowControl/>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不涉及。</w:t>
      </w:r>
    </w:p>
    <w:p>
      <w:pPr>
        <w:widowControl/>
        <w:ind w:firstLine="600" w:firstLineChars="200"/>
        <w:jc w:val="left"/>
        <w:rPr>
          <w:rFonts w:ascii="黑体" w:hAnsi="黑体" w:eastAsia="黑体" w:cs="宋体"/>
          <w:color w:val="000000"/>
          <w:kern w:val="0"/>
          <w:sz w:val="30"/>
          <w:szCs w:val="30"/>
        </w:rPr>
      </w:pPr>
      <w:r>
        <w:rPr>
          <w:rFonts w:ascii="黑体" w:hAnsi="黑体" w:eastAsia="黑体" w:cs="宋体"/>
          <w:color w:val="000000"/>
          <w:kern w:val="0"/>
          <w:sz w:val="30"/>
          <w:szCs w:val="30"/>
        </w:rPr>
        <w:t>五、产业化情况、推广应用论证和预期达到的经济效果</w:t>
      </w:r>
    </w:p>
    <w:p>
      <w:pPr>
        <w:widowControl/>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《互联网企业E</w:t>
      </w:r>
      <w:r>
        <w:rPr>
          <w:rFonts w:ascii="仿宋_GB2312" w:hAnsi="宋体" w:eastAsia="仿宋_GB2312" w:cs="宋体"/>
          <w:color w:val="000000"/>
          <w:kern w:val="0"/>
          <w:sz w:val="30"/>
          <w:szCs w:val="30"/>
        </w:rPr>
        <w:t>SG</w:t>
      </w:r>
      <w:r>
        <w:rPr>
          <w:rFonts w:hint="eastAsia" w:ascii="仿宋_GB2312" w:hAnsi="宋体" w:eastAsia="仿宋_GB2312" w:cs="宋体"/>
          <w:color w:val="000000"/>
          <w:kern w:val="0"/>
          <w:sz w:val="30"/>
          <w:szCs w:val="30"/>
        </w:rPr>
        <w:t>评估指南》团体标准对E</w:t>
      </w:r>
      <w:r>
        <w:rPr>
          <w:rFonts w:ascii="仿宋_GB2312" w:hAnsi="宋体" w:eastAsia="仿宋_GB2312" w:cs="宋体"/>
          <w:color w:val="000000"/>
          <w:kern w:val="0"/>
          <w:sz w:val="30"/>
          <w:szCs w:val="30"/>
        </w:rPr>
        <w:t>SG</w:t>
      </w:r>
      <w:r>
        <w:rPr>
          <w:rFonts w:hint="eastAsia" w:ascii="仿宋_GB2312" w:hAnsi="宋体" w:eastAsia="仿宋_GB2312" w:cs="宋体"/>
          <w:color w:val="000000"/>
          <w:kern w:val="0"/>
          <w:sz w:val="30"/>
          <w:szCs w:val="30"/>
        </w:rPr>
        <w:t>三方面的评估指标体系进行了解构，提出了主要指标的具体评估考量要素和判断方法。相关指标体系的设计具有代表性和合理性，能够为互联网企业的E</w:t>
      </w:r>
      <w:r>
        <w:rPr>
          <w:rFonts w:ascii="仿宋_GB2312" w:hAnsi="宋体" w:eastAsia="仿宋_GB2312" w:cs="宋体"/>
          <w:color w:val="000000"/>
          <w:kern w:val="0"/>
          <w:sz w:val="30"/>
          <w:szCs w:val="30"/>
        </w:rPr>
        <w:t>SG</w:t>
      </w:r>
      <w:r>
        <w:rPr>
          <w:rFonts w:hint="eastAsia" w:ascii="仿宋_GB2312" w:hAnsi="宋体" w:eastAsia="仿宋_GB2312" w:cs="宋体"/>
          <w:color w:val="000000"/>
          <w:kern w:val="0"/>
          <w:sz w:val="30"/>
          <w:szCs w:val="30"/>
        </w:rPr>
        <w:t>评级以及E</w:t>
      </w:r>
      <w:r>
        <w:rPr>
          <w:rFonts w:ascii="仿宋_GB2312" w:hAnsi="宋体" w:eastAsia="仿宋_GB2312" w:cs="宋体"/>
          <w:color w:val="000000"/>
          <w:kern w:val="0"/>
          <w:sz w:val="30"/>
          <w:szCs w:val="30"/>
        </w:rPr>
        <w:t>SG</w:t>
      </w:r>
      <w:r>
        <w:rPr>
          <w:rFonts w:hint="eastAsia" w:ascii="仿宋_GB2312" w:hAnsi="宋体" w:eastAsia="仿宋_GB2312" w:cs="宋体"/>
          <w:color w:val="000000"/>
          <w:kern w:val="0"/>
          <w:sz w:val="30"/>
          <w:szCs w:val="30"/>
        </w:rPr>
        <w:t>披露提供了一定的方向，对促进互联网行业健康发展有积极的影响。</w:t>
      </w:r>
    </w:p>
    <w:p>
      <w:pPr>
        <w:widowControl/>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本标准提供了互联网企业E</w:t>
      </w:r>
      <w:r>
        <w:rPr>
          <w:rFonts w:ascii="仿宋_GB2312" w:hAnsi="宋体" w:eastAsia="仿宋_GB2312" w:cs="宋体"/>
          <w:color w:val="000000"/>
          <w:kern w:val="0"/>
          <w:sz w:val="30"/>
          <w:szCs w:val="30"/>
        </w:rPr>
        <w:t>SG</w:t>
      </w:r>
      <w:r>
        <w:rPr>
          <w:rFonts w:hint="eastAsia" w:ascii="仿宋_GB2312" w:hAnsi="宋体" w:eastAsia="仿宋_GB2312" w:cs="宋体"/>
          <w:color w:val="000000"/>
          <w:kern w:val="0"/>
          <w:sz w:val="30"/>
          <w:szCs w:val="30"/>
        </w:rPr>
        <w:t>评估的指标体系</w:t>
      </w:r>
      <w:r>
        <w:rPr>
          <w:rFonts w:ascii="仿宋_GB2312" w:hAnsi="宋体" w:eastAsia="仿宋_GB2312" w:cs="宋体"/>
          <w:color w:val="000000"/>
          <w:kern w:val="0"/>
          <w:sz w:val="30"/>
          <w:szCs w:val="30"/>
        </w:rPr>
        <w:t>，能够提升</w:t>
      </w:r>
      <w:r>
        <w:rPr>
          <w:rFonts w:hint="eastAsia" w:ascii="仿宋_GB2312" w:hAnsi="宋体" w:eastAsia="仿宋_GB2312" w:cs="宋体"/>
          <w:color w:val="000000"/>
          <w:kern w:val="0"/>
          <w:sz w:val="30"/>
          <w:szCs w:val="30"/>
        </w:rPr>
        <w:t>互联网企业对于自身E</w:t>
      </w:r>
      <w:r>
        <w:rPr>
          <w:rFonts w:ascii="仿宋_GB2312" w:hAnsi="宋体" w:eastAsia="仿宋_GB2312" w:cs="宋体"/>
          <w:color w:val="000000"/>
          <w:kern w:val="0"/>
          <w:sz w:val="30"/>
          <w:szCs w:val="30"/>
        </w:rPr>
        <w:t>SG</w:t>
      </w:r>
      <w:r>
        <w:rPr>
          <w:rFonts w:hint="eastAsia" w:ascii="仿宋_GB2312" w:hAnsi="宋体" w:eastAsia="仿宋_GB2312" w:cs="宋体"/>
          <w:color w:val="000000"/>
          <w:kern w:val="0"/>
          <w:sz w:val="30"/>
          <w:szCs w:val="30"/>
        </w:rPr>
        <w:t>建设的自评估能力，以及外部评级机构对于互联网企业E</w:t>
      </w:r>
      <w:r>
        <w:rPr>
          <w:rFonts w:ascii="仿宋_GB2312" w:hAnsi="宋体" w:eastAsia="仿宋_GB2312" w:cs="宋体"/>
          <w:color w:val="000000"/>
          <w:kern w:val="0"/>
          <w:sz w:val="30"/>
          <w:szCs w:val="30"/>
        </w:rPr>
        <w:t>SG</w:t>
      </w:r>
      <w:r>
        <w:rPr>
          <w:rFonts w:hint="eastAsia" w:ascii="仿宋_GB2312" w:hAnsi="宋体" w:eastAsia="仿宋_GB2312" w:cs="宋体"/>
          <w:color w:val="000000"/>
          <w:kern w:val="0"/>
          <w:sz w:val="30"/>
          <w:szCs w:val="30"/>
        </w:rPr>
        <w:t>实践情况的评估能力，从而</w:t>
      </w:r>
      <w:r>
        <w:rPr>
          <w:rFonts w:ascii="仿宋_GB2312" w:hAnsi="宋体" w:eastAsia="仿宋_GB2312" w:cs="宋体"/>
          <w:color w:val="000000"/>
          <w:kern w:val="0"/>
          <w:sz w:val="30"/>
          <w:szCs w:val="30"/>
        </w:rPr>
        <w:t>全面提升</w:t>
      </w:r>
      <w:r>
        <w:rPr>
          <w:rFonts w:hint="eastAsia" w:ascii="仿宋_GB2312" w:hAnsi="宋体" w:eastAsia="仿宋_GB2312" w:cs="宋体"/>
          <w:color w:val="000000"/>
          <w:kern w:val="0"/>
          <w:sz w:val="30"/>
          <w:szCs w:val="30"/>
        </w:rPr>
        <w:t>互联网企业</w:t>
      </w:r>
      <w:r>
        <w:rPr>
          <w:rFonts w:ascii="仿宋_GB2312" w:hAnsi="宋体" w:eastAsia="仿宋_GB2312" w:cs="宋体"/>
          <w:color w:val="000000"/>
          <w:kern w:val="0"/>
          <w:sz w:val="30"/>
          <w:szCs w:val="30"/>
        </w:rPr>
        <w:t>的</w:t>
      </w:r>
      <w:r>
        <w:rPr>
          <w:rFonts w:hint="eastAsia" w:ascii="仿宋_GB2312" w:hAnsi="宋体" w:eastAsia="仿宋_GB2312" w:cs="宋体"/>
          <w:color w:val="000000"/>
          <w:kern w:val="0"/>
          <w:sz w:val="30"/>
          <w:szCs w:val="30"/>
        </w:rPr>
        <w:t>可持续经营</w:t>
      </w:r>
      <w:r>
        <w:rPr>
          <w:rFonts w:ascii="仿宋_GB2312" w:hAnsi="宋体" w:eastAsia="仿宋_GB2312" w:cs="宋体"/>
          <w:color w:val="000000"/>
          <w:kern w:val="0"/>
          <w:sz w:val="30"/>
          <w:szCs w:val="30"/>
        </w:rPr>
        <w:t>能力。</w:t>
      </w:r>
    </w:p>
    <w:p>
      <w:pPr>
        <w:widowControl/>
        <w:ind w:firstLine="600" w:firstLineChars="200"/>
        <w:jc w:val="left"/>
        <w:rPr>
          <w:rFonts w:ascii="黑体" w:hAnsi="黑体" w:eastAsia="黑体" w:cs="宋体"/>
          <w:color w:val="000000"/>
          <w:kern w:val="0"/>
          <w:sz w:val="30"/>
          <w:szCs w:val="30"/>
        </w:rPr>
      </w:pPr>
      <w:r>
        <w:rPr>
          <w:rFonts w:ascii="黑体" w:hAnsi="黑体" w:eastAsia="黑体" w:cs="宋体"/>
          <w:color w:val="000000"/>
          <w:kern w:val="0"/>
          <w:sz w:val="30"/>
          <w:szCs w:val="30"/>
        </w:rPr>
        <w:t>六、采用国际标准和国外先进标准情况</w:t>
      </w:r>
    </w:p>
    <w:p>
      <w:pPr>
        <w:widowControl/>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无。</w:t>
      </w:r>
    </w:p>
    <w:p>
      <w:pPr>
        <w:widowControl/>
        <w:ind w:firstLine="600" w:firstLineChars="200"/>
        <w:jc w:val="left"/>
        <w:rPr>
          <w:rFonts w:ascii="黑体" w:hAnsi="黑体" w:eastAsia="黑体" w:cs="宋体"/>
          <w:color w:val="000000"/>
          <w:kern w:val="0"/>
          <w:sz w:val="30"/>
          <w:szCs w:val="30"/>
        </w:rPr>
      </w:pPr>
      <w:r>
        <w:rPr>
          <w:rFonts w:ascii="黑体" w:hAnsi="黑体" w:eastAsia="黑体" w:cs="宋体"/>
          <w:color w:val="000000"/>
          <w:kern w:val="0"/>
          <w:sz w:val="30"/>
          <w:szCs w:val="30"/>
        </w:rPr>
        <w:t>七、在标准体系中的位置，与现行相关法律、法规、规章及相关标准的协调性</w:t>
      </w:r>
    </w:p>
    <w:p>
      <w:pPr>
        <w:widowControl/>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无。</w:t>
      </w:r>
    </w:p>
    <w:p>
      <w:pPr>
        <w:widowControl/>
        <w:ind w:firstLine="600" w:firstLineChars="200"/>
        <w:jc w:val="left"/>
        <w:rPr>
          <w:rFonts w:ascii="黑体" w:hAnsi="黑体" w:eastAsia="黑体" w:cs="宋体"/>
          <w:color w:val="000000"/>
          <w:kern w:val="0"/>
          <w:sz w:val="30"/>
          <w:szCs w:val="30"/>
        </w:rPr>
      </w:pPr>
      <w:r>
        <w:rPr>
          <w:rFonts w:ascii="黑体" w:hAnsi="黑体" w:eastAsia="黑体" w:cs="宋体"/>
          <w:color w:val="000000"/>
          <w:kern w:val="0"/>
          <w:sz w:val="30"/>
          <w:szCs w:val="30"/>
        </w:rPr>
        <w:t>八、重大分歧意见的处理经过和依据</w:t>
      </w:r>
    </w:p>
    <w:p>
      <w:pPr>
        <w:widowControl/>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无重大分歧意见。</w:t>
      </w:r>
    </w:p>
    <w:p>
      <w:pPr>
        <w:widowControl/>
        <w:ind w:firstLine="600" w:firstLineChars="200"/>
        <w:jc w:val="left"/>
        <w:rPr>
          <w:rFonts w:ascii="黑体" w:hAnsi="黑体" w:eastAsia="黑体" w:cs="宋体"/>
          <w:color w:val="000000"/>
          <w:kern w:val="0"/>
          <w:sz w:val="30"/>
          <w:szCs w:val="30"/>
        </w:rPr>
      </w:pPr>
      <w:r>
        <w:rPr>
          <w:rFonts w:ascii="黑体" w:hAnsi="黑体" w:eastAsia="黑体" w:cs="宋体"/>
          <w:color w:val="000000"/>
          <w:kern w:val="0"/>
          <w:sz w:val="30"/>
          <w:szCs w:val="30"/>
        </w:rPr>
        <w:t>九、标准性质的建议说明</w:t>
      </w:r>
    </w:p>
    <w:p>
      <w:pPr>
        <w:widowControl/>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建议作为团体标准予以发布。</w:t>
      </w:r>
    </w:p>
    <w:p>
      <w:pPr>
        <w:widowControl/>
        <w:ind w:firstLine="600" w:firstLineChars="200"/>
        <w:jc w:val="left"/>
        <w:rPr>
          <w:rFonts w:ascii="黑体" w:hAnsi="黑体" w:eastAsia="黑体" w:cs="宋体"/>
          <w:color w:val="000000"/>
          <w:kern w:val="0"/>
          <w:sz w:val="30"/>
          <w:szCs w:val="30"/>
        </w:rPr>
      </w:pPr>
      <w:r>
        <w:rPr>
          <w:rFonts w:ascii="黑体" w:hAnsi="黑体" w:eastAsia="黑体" w:cs="宋体"/>
          <w:color w:val="000000"/>
          <w:kern w:val="0"/>
          <w:sz w:val="30"/>
          <w:szCs w:val="30"/>
        </w:rPr>
        <w:t>十、贯彻标准的要求和措施建议</w:t>
      </w:r>
    </w:p>
    <w:p>
      <w:pPr>
        <w:widowControl/>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本标准发布后，建议互联网企业在发布</w:t>
      </w:r>
      <w:r>
        <w:rPr>
          <w:rFonts w:ascii="仿宋_GB2312" w:hAnsi="宋体" w:eastAsia="仿宋_GB2312" w:cs="宋体"/>
          <w:color w:val="000000"/>
          <w:kern w:val="0"/>
          <w:sz w:val="30"/>
          <w:szCs w:val="30"/>
        </w:rPr>
        <w:t>ESG报告时采用，建议行业协会、研究机构、咨询机构面向互联网企业及其从业者开展宣贯培训。</w:t>
      </w:r>
    </w:p>
    <w:p>
      <w:pPr>
        <w:widowControl/>
        <w:ind w:firstLine="600" w:firstLineChars="200"/>
        <w:jc w:val="left"/>
        <w:rPr>
          <w:rFonts w:ascii="黑体" w:hAnsi="黑体" w:eastAsia="黑体" w:cs="宋体"/>
          <w:color w:val="000000"/>
          <w:kern w:val="0"/>
          <w:sz w:val="30"/>
          <w:szCs w:val="30"/>
        </w:rPr>
      </w:pPr>
      <w:r>
        <w:rPr>
          <w:rFonts w:ascii="黑体" w:hAnsi="黑体" w:eastAsia="黑体" w:cs="宋体"/>
          <w:color w:val="000000"/>
          <w:kern w:val="0"/>
          <w:sz w:val="30"/>
          <w:szCs w:val="30"/>
        </w:rPr>
        <w:t>十一、替代或废止现行相关标准的建议</w:t>
      </w:r>
    </w:p>
    <w:p>
      <w:pPr>
        <w:widowControl/>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无。</w:t>
      </w:r>
    </w:p>
    <w:p>
      <w:pPr>
        <w:widowControl/>
        <w:ind w:firstLine="600" w:firstLineChars="200"/>
        <w:jc w:val="left"/>
        <w:rPr>
          <w:rFonts w:ascii="黑体" w:hAnsi="黑体" w:eastAsia="黑体" w:cs="宋体"/>
          <w:color w:val="000000"/>
          <w:kern w:val="0"/>
          <w:sz w:val="30"/>
          <w:szCs w:val="30"/>
        </w:rPr>
      </w:pPr>
      <w:r>
        <w:rPr>
          <w:rFonts w:ascii="黑体" w:hAnsi="黑体" w:eastAsia="黑体" w:cs="宋体"/>
          <w:color w:val="000000"/>
          <w:kern w:val="0"/>
          <w:sz w:val="30"/>
          <w:szCs w:val="30"/>
        </w:rPr>
        <w:t>十二、其他应予说明的事项</w:t>
      </w:r>
    </w:p>
    <w:p>
      <w:pPr>
        <w:widowControl/>
        <w:ind w:firstLine="600" w:firstLineChars="200"/>
        <w:jc w:val="lef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无。</w:t>
      </w:r>
    </w:p>
    <w:p>
      <w:pPr>
        <w:pStyle w:val="4"/>
        <w:ind w:firstLine="480"/>
        <w:jc w:val="right"/>
        <w:rPr>
          <w:rFonts w:ascii="仿宋_GB2312" w:eastAsia="仿宋_GB2312"/>
          <w:color w:val="000000"/>
          <w:sz w:val="30"/>
          <w:szCs w:val="30"/>
        </w:rPr>
      </w:pPr>
      <w:r>
        <w:rPr>
          <w:rFonts w:ascii="仿宋_GB2312" w:eastAsia="仿宋_GB2312"/>
          <w:color w:val="000000"/>
          <w:sz w:val="30"/>
          <w:szCs w:val="30"/>
        </w:rPr>
        <w:t>标准起草组</w:t>
      </w:r>
    </w:p>
    <w:p>
      <w:pPr>
        <w:pStyle w:val="4"/>
        <w:ind w:firstLine="480"/>
        <w:jc w:val="right"/>
        <w:rPr>
          <w:sz w:val="27"/>
          <w:szCs w:val="27"/>
        </w:rPr>
      </w:pPr>
      <w:r>
        <w:rPr>
          <w:rFonts w:ascii="仿宋_GB2312" w:eastAsia="仿宋_GB2312"/>
          <w:color w:val="000000"/>
          <w:sz w:val="30"/>
          <w:szCs w:val="30"/>
        </w:rPr>
        <w:t>2023年10月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OGEwOTA4ZGQwYWViNjkxNGE3NDZiYTJjYzhmNmQifQ=="/>
  </w:docVars>
  <w:rsids>
    <w:rsidRoot w:val="00537EFB"/>
    <w:rsid w:val="00037F08"/>
    <w:rsid w:val="00163443"/>
    <w:rsid w:val="001B5839"/>
    <w:rsid w:val="002B4190"/>
    <w:rsid w:val="002D5AB9"/>
    <w:rsid w:val="0032775E"/>
    <w:rsid w:val="003429AD"/>
    <w:rsid w:val="003804F2"/>
    <w:rsid w:val="00391636"/>
    <w:rsid w:val="003C549D"/>
    <w:rsid w:val="003C7E4B"/>
    <w:rsid w:val="00416114"/>
    <w:rsid w:val="0046066A"/>
    <w:rsid w:val="004E0C1F"/>
    <w:rsid w:val="004E2F5B"/>
    <w:rsid w:val="00537EFB"/>
    <w:rsid w:val="00546798"/>
    <w:rsid w:val="0057669F"/>
    <w:rsid w:val="00592FA7"/>
    <w:rsid w:val="00607935"/>
    <w:rsid w:val="00621FEB"/>
    <w:rsid w:val="006669B1"/>
    <w:rsid w:val="00687056"/>
    <w:rsid w:val="00707CA7"/>
    <w:rsid w:val="00733988"/>
    <w:rsid w:val="007374A7"/>
    <w:rsid w:val="00741CA7"/>
    <w:rsid w:val="007426F6"/>
    <w:rsid w:val="00755781"/>
    <w:rsid w:val="00762678"/>
    <w:rsid w:val="007B5488"/>
    <w:rsid w:val="007C17C2"/>
    <w:rsid w:val="007C55F2"/>
    <w:rsid w:val="00800058"/>
    <w:rsid w:val="00802F09"/>
    <w:rsid w:val="0081593A"/>
    <w:rsid w:val="00866358"/>
    <w:rsid w:val="008675BE"/>
    <w:rsid w:val="009450FB"/>
    <w:rsid w:val="00957D0D"/>
    <w:rsid w:val="009674EE"/>
    <w:rsid w:val="009E3A6A"/>
    <w:rsid w:val="009F06DF"/>
    <w:rsid w:val="00A40FC7"/>
    <w:rsid w:val="00A72717"/>
    <w:rsid w:val="00AF4FA3"/>
    <w:rsid w:val="00B43601"/>
    <w:rsid w:val="00B559D5"/>
    <w:rsid w:val="00B65931"/>
    <w:rsid w:val="00BC3211"/>
    <w:rsid w:val="00C42A2A"/>
    <w:rsid w:val="00C855EF"/>
    <w:rsid w:val="00CC334A"/>
    <w:rsid w:val="00D44E6B"/>
    <w:rsid w:val="00D612EE"/>
    <w:rsid w:val="00EE5594"/>
    <w:rsid w:val="00EE63B7"/>
    <w:rsid w:val="00F04680"/>
    <w:rsid w:val="00F24290"/>
    <w:rsid w:val="00F75A60"/>
    <w:rsid w:val="00FD7D51"/>
    <w:rsid w:val="2B511DD4"/>
    <w:rsid w:val="CF7BB05D"/>
    <w:rsid w:val="FBAB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fontstyle01"/>
    <w:basedOn w:val="6"/>
    <w:uiPriority w:val="0"/>
    <w:rPr>
      <w:rFonts w:hint="eastAsia" w:ascii="仿宋_GB2312" w:eastAsia="仿宋_GB2312"/>
      <w:color w:val="000000"/>
      <w:sz w:val="30"/>
      <w:szCs w:val="30"/>
    </w:rPr>
  </w:style>
  <w:style w:type="character" w:customStyle="1" w:styleId="8">
    <w:name w:val="fontstyle11"/>
    <w:basedOn w:val="6"/>
    <w:qFormat/>
    <w:uiPriority w:val="0"/>
    <w:rPr>
      <w:rFonts w:hint="eastAsia" w:ascii="仿宋_GB2312" w:eastAsia="仿宋_GB2312"/>
      <w:color w:val="000000"/>
      <w:sz w:val="30"/>
      <w:szCs w:val="30"/>
    </w:rPr>
  </w:style>
  <w:style w:type="character" w:customStyle="1" w:styleId="9">
    <w:name w:val="fontstyle21"/>
    <w:basedOn w:val="6"/>
    <w:qFormat/>
    <w:uiPriority w:val="0"/>
    <w:rPr>
      <w:rFonts w:hint="eastAsia" w:ascii="黑体" w:hAnsi="黑体" w:eastAsia="黑体"/>
      <w:color w:val="000000"/>
      <w:sz w:val="30"/>
      <w:szCs w:val="30"/>
    </w:rPr>
  </w:style>
  <w:style w:type="character" w:customStyle="1" w:styleId="10">
    <w:name w:val="页眉 字符"/>
    <w:basedOn w:val="6"/>
    <w:link w:val="3"/>
    <w:uiPriority w:val="99"/>
    <w:rPr>
      <w:sz w:val="18"/>
      <w:szCs w:val="18"/>
    </w:rPr>
  </w:style>
  <w:style w:type="character" w:customStyle="1" w:styleId="11">
    <w:name w:val="页脚 字符"/>
    <w:basedOn w:val="6"/>
    <w:link w:val="2"/>
    <w:uiPriority w:val="99"/>
    <w:rPr>
      <w:sz w:val="18"/>
      <w:szCs w:val="18"/>
    </w:rPr>
  </w:style>
  <w:style w:type="paragraph" w:customStyle="1" w:styleId="1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379</Words>
  <Characters>2162</Characters>
  <Lines>18</Lines>
  <Paragraphs>5</Paragraphs>
  <TotalTime>458</TotalTime>
  <ScaleCrop>false</ScaleCrop>
  <LinksUpToDate>false</LinksUpToDate>
  <CharactersWithSpaces>2536</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2023-10-08T11:35:00Z</dcterms:created>
  <dc:creator>冰 阙</dc:creator>
  <cp:lastModifiedBy>颜超逸</cp:lastModifiedBy>
  <dcterms:modified xsi:type="dcterms:W3CDTF">2023-11-10T06:29:10Z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3091041FC2D6C6C0387D2E65A62BC3E7_42</vt:lpwstr>
  </property>
</Properties>
</file>