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03.100.01</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9"/>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2"/>
                    <w:framePr w:wrap="notBeside" w:vAnchor="page" w:hAnchor="page" w:x="1372" w:y="568"/>
                    <w:ind w:left="420" w:right="624"/>
                    <w:rPr>
                      <w:rFonts w:ascii="宋体" w:hAnsi="宋体"/>
                      <w:sz w:val="28"/>
                      <w:szCs w:val="28"/>
                    </w:rPr>
                  </w:pPr>
                  <w:r>
                    <w:rPr>
                      <w:sz w:val="21"/>
                      <w:szCs w:val="21"/>
                    </w:rPr>
                    <w:t xml:space="preserve"> </w:t>
                  </w:r>
                </w:p>
              </w:tc>
            </w:tr>
          </w:tbl>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 00</w:t>
            </w:r>
            <w:r>
              <w:rPr>
                <w:rFonts w:ascii="黑体" w:hAnsi="黑体" w:eastAsia="黑体"/>
                <w:sz w:val="21"/>
                <w:szCs w:val="21"/>
              </w:rPr>
              <w:fldChar w:fldCharType="end"/>
            </w:r>
            <w:bookmarkEnd w:id="1"/>
          </w:p>
        </w:tc>
      </w:tr>
    </w:tbl>
    <w:p>
      <w:pPr>
        <w:pStyle w:val="53"/>
        <w:framePr w:w="9639" w:h="624" w:hRule="exact" w:hSpace="181" w:vSpace="181" w:wrap="around" w:hAnchor="page" w:x="1305" w:y="2269"/>
        <w:rPr>
          <w:rFonts w:ascii="黑体" w:hAnsi="黑体" w:eastAsia="黑体"/>
          <w:b w:val="0"/>
          <w:bCs w:val="0"/>
          <w:w w:val="100"/>
          <w:sz w:val="48"/>
          <w:szCs w:val="48"/>
        </w:rPr>
      </w:pPr>
      <w:bookmarkStart w:id="2"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2"/>
    <w:p>
      <w:pPr>
        <w:pStyle w:val="198"/>
        <w:framePr/>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t>CFIS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pPr>
        <w:pStyle w:val="199"/>
        <w:framePr/>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3"/>
        <w:framePr w:w="9639" w:h="6976" w:hRule="exact" w:hSpace="0" w:vSpace="0" w:wrap="around" w:hAnchor="page" w:y="6408"/>
        <w:jc w:val="center"/>
        <w:rPr>
          <w:rFonts w:ascii="黑体" w:hAnsi="黑体" w:eastAsia="黑体"/>
          <w:b w:val="0"/>
          <w:bCs w:val="0"/>
          <w:w w:val="100"/>
        </w:rPr>
      </w:pPr>
    </w:p>
    <w:p>
      <w:pPr>
        <w:pStyle w:val="200"/>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互联网企业ESG评估指南</w:t>
      </w:r>
      <w:r>
        <w:fldChar w:fldCharType="end"/>
      </w:r>
      <w:bookmarkEnd w:id="7"/>
    </w:p>
    <w:p>
      <w:pPr>
        <w:framePr w:w="9639" w:h="6974" w:hRule="exact" w:wrap="around" w:vAnchor="page" w:hAnchor="page" w:x="1419" w:y="6408" w:anchorLock="1"/>
        <w:ind w:left="-1418"/>
      </w:pPr>
    </w:p>
    <w:p>
      <w:pPr>
        <w:pStyle w:val="12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eastAsia="黑体"/>
          <w:szCs w:val="28"/>
        </w:rPr>
        <w:t xml:space="preserve">ESG </w:t>
      </w:r>
      <w:r>
        <w:rPr>
          <w:rFonts w:hint="eastAsia" w:eastAsia="黑体"/>
          <w:szCs w:val="28"/>
        </w:rPr>
        <w:t>a</w:t>
      </w:r>
      <w:r>
        <w:rPr>
          <w:rFonts w:eastAsia="黑体"/>
          <w:szCs w:val="28"/>
        </w:rPr>
        <w:t>ssessment guidelines for internet companies</w:t>
      </w:r>
      <w:r>
        <w:rPr>
          <w:rFonts w:eastAsia="黑体"/>
          <w:szCs w:val="28"/>
        </w:rPr>
        <w:fldChar w:fldCharType="end"/>
      </w:r>
      <w:bookmarkEnd w:id="8"/>
    </w:p>
    <w:p>
      <w:pPr>
        <w:framePr w:w="9639" w:h="6974" w:hRule="exact" w:wrap="around" w:vAnchor="page" w:hAnchor="page" w:x="1419" w:y="6408" w:anchorLock="1"/>
        <w:spacing w:line="760" w:lineRule="exact"/>
        <w:ind w:left="-1418"/>
      </w:pPr>
    </w:p>
    <w:p>
      <w:pPr>
        <w:pStyle w:val="128"/>
        <w:framePr w:w="9639" w:h="6974" w:hRule="exact" w:wrap="around" w:vAnchor="page" w:hAnchor="page" w:x="1419" w:y="6408" w:anchorLock="1"/>
        <w:textAlignment w:val="bottom"/>
        <w:rPr>
          <w:rFonts w:eastAsia="黑体"/>
          <w:szCs w:val="28"/>
        </w:rPr>
      </w:pPr>
    </w:p>
    <w:p>
      <w:pPr>
        <w:pStyle w:val="12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征求意见稿）"/>
              <w:listEntry w:val=" "/>
              <w:listEntry w:val="草案版次选择"/>
              <w:listEntry w:val="（工作组讨论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023.10.18</w:t>
      </w:r>
      <w:r>
        <w:rPr>
          <w:rFonts w:hint="eastAsia"/>
          <w:sz w:val="21"/>
          <w:szCs w:val="28"/>
        </w:rPr>
        <w:t>）</w:t>
      </w:r>
      <w:r>
        <w:rPr>
          <w:sz w:val="21"/>
          <w:szCs w:val="28"/>
        </w:rPr>
        <w:fldChar w:fldCharType="end"/>
      </w:r>
      <w:bookmarkEnd w:id="10"/>
    </w:p>
    <w:p>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pPr>
        <w:pStyle w:val="196"/>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pPr>
        <w:pStyle w:val="197"/>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pPr>
        <w:pStyle w:val="154"/>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中国网络社会组织联合会</w:t>
      </w:r>
      <w:r>
        <w:rPr>
          <w:rFonts w:hAnsi="黑体"/>
          <w:w w:val="100"/>
          <w:sz w:val="28"/>
        </w:rPr>
        <w:fldChar w:fldCharType="end"/>
      </w:r>
      <w:bookmarkEnd w:id="18"/>
      <w:r>
        <w:rPr>
          <w:rFonts w:ascii="Times New Roman"/>
          <w:w w:val="100"/>
          <w:sz w:val="28"/>
        </w:rPr>
        <w:t>  </w:t>
      </w:r>
      <w:r>
        <w:rPr>
          <w:rStyle w:val="232"/>
          <w:rFonts w:hint="eastAsia" w:hAnsi="黑体"/>
          <w:position w:val="0"/>
        </w:rPr>
        <w:t>发</w:t>
      </w:r>
      <w:r>
        <w:rPr>
          <w:rStyle w:val="232"/>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4"/>
        <w:spacing w:after="360"/>
      </w:pPr>
      <w:bookmarkStart w:id="19" w:name="BookMark1"/>
      <w:bookmarkStart w:id="20" w:name="_Toc130801063"/>
      <w:bookmarkStart w:id="21" w:name="_Toc148363712"/>
      <w:bookmarkStart w:id="22" w:name="_Toc130801400"/>
      <w:bookmarkStart w:id="23" w:name="_Toc130801053"/>
      <w:bookmarkStart w:id="24" w:name="_Toc148362914"/>
      <w:r>
        <w:rPr>
          <w:rFonts w:hint="eastAsia"/>
          <w:spacing w:val="320"/>
        </w:rPr>
        <w:t>目</w:t>
      </w:r>
      <w:r>
        <w:rPr>
          <w:rFonts w:hint="eastAsia"/>
        </w:rPr>
        <w:t>次</w:t>
      </w:r>
    </w:p>
    <w:p>
      <w:pPr>
        <w:pStyle w:val="20"/>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"_Toc148363852" </w:instrText>
      </w:r>
      <w:r>
        <w:fldChar w:fldCharType="separate"/>
      </w:r>
      <w:r>
        <w:rPr>
          <w:rStyle w:val="34"/>
        </w:rPr>
        <w:t>前言</w:t>
      </w:r>
      <w:r>
        <w:tab/>
      </w:r>
      <w:r>
        <w:fldChar w:fldCharType="begin"/>
      </w:r>
      <w:r>
        <w:instrText xml:space="preserve"> PAGEREF _Toc148363852 \h </w:instrText>
      </w:r>
      <w:r>
        <w:fldChar w:fldCharType="separate"/>
      </w:r>
      <w:r>
        <w:t>II</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"_Toc148363853" </w:instrText>
      </w:r>
      <w:r>
        <w:fldChar w:fldCharType="separate"/>
      </w:r>
      <w:r>
        <w:rPr>
          <w:rStyle w:val="34"/>
        </w:rPr>
        <w:t>1  范围</w:t>
      </w:r>
      <w:r>
        <w:tab/>
      </w:r>
      <w:r>
        <w:fldChar w:fldCharType="begin"/>
      </w:r>
      <w:r>
        <w:instrText xml:space="preserve"> PAGEREF _Toc148363853 \h </w:instrText>
      </w:r>
      <w:r>
        <w:fldChar w:fldCharType="separate"/>
      </w:r>
      <w:r>
        <w:t>3</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"_Toc148363854" </w:instrText>
      </w:r>
      <w:r>
        <w:fldChar w:fldCharType="separate"/>
      </w:r>
      <w:r>
        <w:rPr>
          <w:rStyle w:val="34"/>
        </w:rPr>
        <w:t>2  规范性引用文件</w:t>
      </w:r>
      <w:r>
        <w:tab/>
      </w:r>
      <w:r>
        <w:fldChar w:fldCharType="begin"/>
      </w:r>
      <w:r>
        <w:instrText xml:space="preserve"> PAGEREF _Toc148363854 \h </w:instrText>
      </w:r>
      <w:r>
        <w:fldChar w:fldCharType="separate"/>
      </w:r>
      <w:r>
        <w:t>3</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"_Toc148363855" </w:instrText>
      </w:r>
      <w:r>
        <w:fldChar w:fldCharType="separate"/>
      </w:r>
      <w:r>
        <w:rPr>
          <w:rStyle w:val="34"/>
        </w:rPr>
        <w:t>3  术语和定义</w:t>
      </w:r>
      <w:r>
        <w:tab/>
      </w:r>
      <w:r>
        <w:fldChar w:fldCharType="begin"/>
      </w:r>
      <w:r>
        <w:instrText xml:space="preserve"> PAGEREF _Toc148363855 \h </w:instrText>
      </w:r>
      <w:r>
        <w:fldChar w:fldCharType="separate"/>
      </w:r>
      <w:r>
        <w:t>3</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"_Toc148363856" </w:instrText>
      </w:r>
      <w:r>
        <w:fldChar w:fldCharType="separate"/>
      </w:r>
      <w:r>
        <w:rPr>
          <w:rStyle w:val="34"/>
        </w:rPr>
        <w:t>4  评估机制</w:t>
      </w:r>
      <w:r>
        <w:tab/>
      </w:r>
      <w:r>
        <w:fldChar w:fldCharType="begin"/>
      </w:r>
      <w:r>
        <w:instrText xml:space="preserve"> PAGEREF _Toc148363856 \h </w:instrText>
      </w:r>
      <w:r>
        <w:fldChar w:fldCharType="separate"/>
      </w:r>
      <w:r>
        <w:t>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"_Toc148363857" </w:instrText>
      </w:r>
      <w:r>
        <w:fldChar w:fldCharType="separate"/>
      </w:r>
      <w:r>
        <w:rPr>
          <w:rStyle w:val="34"/>
          <w:rFonts w:hAnsi="黑体"/>
          <w14:scene3d w14:prst="orthographicFront">
            <w14:lightRig w14:rig="threePt" w14:dir="t">
              <w14:rot w14:lat="0" w14:lon="0" w14:rev="0"/>
            </w14:lightRig>
          </w14:scene3d>
        </w:rPr>
        <w:t xml:space="preserve">4.1 </w:t>
      </w:r>
      <w:r>
        <w:rPr>
          <w:rStyle w:val="34"/>
        </w:rPr>
        <w:t xml:space="preserve"> 评估目标</w:t>
      </w:r>
      <w:r>
        <w:tab/>
      </w:r>
      <w:r>
        <w:fldChar w:fldCharType="begin"/>
      </w:r>
      <w:r>
        <w:instrText xml:space="preserve"> PAGEREF _Toc148363857 \h </w:instrText>
      </w:r>
      <w:r>
        <w:fldChar w:fldCharType="separate"/>
      </w:r>
      <w:r>
        <w:t>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"_Toc148363858" </w:instrText>
      </w:r>
      <w:r>
        <w:fldChar w:fldCharType="separate"/>
      </w:r>
      <w:r>
        <w:rPr>
          <w:rStyle w:val="34"/>
          <w:rFonts w:hAnsi="黑体"/>
          <w14:scene3d w14:prst="orthographicFront">
            <w14:lightRig w14:rig="threePt" w14:dir="t">
              <w14:rot w14:lat="0" w14:lon="0" w14:rev="0"/>
            </w14:lightRig>
          </w14:scene3d>
        </w:rPr>
        <w:t xml:space="preserve">4.2 </w:t>
      </w:r>
      <w:r>
        <w:rPr>
          <w:rStyle w:val="34"/>
        </w:rPr>
        <w:t xml:space="preserve"> 评估原则</w:t>
      </w:r>
      <w:r>
        <w:tab/>
      </w:r>
      <w:r>
        <w:fldChar w:fldCharType="begin"/>
      </w:r>
      <w:r>
        <w:instrText xml:space="preserve"> PAGEREF _Toc148363858 \h </w:instrText>
      </w:r>
      <w:r>
        <w:fldChar w:fldCharType="separate"/>
      </w:r>
      <w:r>
        <w:t>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"_Toc148363859" </w:instrText>
      </w:r>
      <w:r>
        <w:fldChar w:fldCharType="separate"/>
      </w:r>
      <w:r>
        <w:rPr>
          <w:rStyle w:val="34"/>
          <w:rFonts w:hAnsi="黑体"/>
          <w14:scene3d w14:prst="orthographicFront">
            <w14:lightRig w14:rig="threePt" w14:dir="t">
              <w14:rot w14:lat="0" w14:lon="0" w14:rev="0"/>
            </w14:lightRig>
          </w14:scene3d>
        </w:rPr>
        <w:t xml:space="preserve">4.3 </w:t>
      </w:r>
      <w:r>
        <w:rPr>
          <w:rStyle w:val="34"/>
          <w:rFonts w:hAnsi="黑体"/>
        </w:rPr>
        <w:t xml:space="preserve"> 评估方法</w:t>
      </w:r>
      <w:r>
        <w:tab/>
      </w:r>
      <w:r>
        <w:fldChar w:fldCharType="begin"/>
      </w:r>
      <w:r>
        <w:instrText xml:space="preserve"> PAGEREF _Toc148363859 \h </w:instrText>
      </w:r>
      <w:r>
        <w:fldChar w:fldCharType="separate"/>
      </w:r>
      <w:r>
        <w:t>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"_Toc148363860" </w:instrText>
      </w:r>
      <w:r>
        <w:fldChar w:fldCharType="separate"/>
      </w:r>
      <w:r>
        <w:rPr>
          <w:rStyle w:val="34"/>
          <w:rFonts w:hAnsi="黑体"/>
          <w14:scene3d w14:prst="orthographicFront">
            <w14:lightRig w14:rig="threePt" w14:dir="t">
              <w14:rot w14:lat="0" w14:lon="0" w14:rev="0"/>
            </w14:lightRig>
          </w14:scene3d>
        </w:rPr>
        <w:t xml:space="preserve">4.4 </w:t>
      </w:r>
      <w:r>
        <w:rPr>
          <w:rStyle w:val="34"/>
        </w:rPr>
        <w:t xml:space="preserve"> 评估过程</w:t>
      </w:r>
      <w:r>
        <w:tab/>
      </w:r>
      <w:r>
        <w:fldChar w:fldCharType="begin"/>
      </w:r>
      <w:r>
        <w:instrText xml:space="preserve"> PAGEREF _Toc148363860 \h </w:instrText>
      </w:r>
      <w:r>
        <w:fldChar w:fldCharType="separate"/>
      </w:r>
      <w:r>
        <w:t>4</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"_Toc148363861" </w:instrText>
      </w:r>
      <w:r>
        <w:fldChar w:fldCharType="separate"/>
      </w:r>
      <w:r>
        <w:rPr>
          <w:rStyle w:val="34"/>
          <w:rFonts w:hAnsi="黑体"/>
        </w:rPr>
        <w:t>5  评估指标及等级划分</w:t>
      </w:r>
      <w:r>
        <w:tab/>
      </w:r>
      <w:r>
        <w:fldChar w:fldCharType="begin"/>
      </w:r>
      <w:r>
        <w:instrText xml:space="preserve"> PAGEREF _Toc148363861 \h </w:instrText>
      </w:r>
      <w:r>
        <w:fldChar w:fldCharType="separate"/>
      </w:r>
      <w:r>
        <w:t>5</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"_Toc148363862" </w:instrText>
      </w:r>
      <w:r>
        <w:fldChar w:fldCharType="separate"/>
      </w:r>
      <w:r>
        <w:rPr>
          <w:rStyle w:val="34"/>
          <w:rFonts w:hAnsi="黑体"/>
          <w14:scene3d w14:prst="orthographicFront">
            <w14:lightRig w14:rig="threePt" w14:dir="t">
              <w14:rot w14:lat="0" w14:lon="0" w14:rev="0"/>
            </w14:lightRig>
          </w14:scene3d>
        </w:rPr>
        <w:t xml:space="preserve">5.1 </w:t>
      </w:r>
      <w:r>
        <w:rPr>
          <w:rStyle w:val="34"/>
        </w:rPr>
        <w:t xml:space="preserve"> 评估指标</w:t>
      </w:r>
      <w:r>
        <w:tab/>
      </w:r>
      <w:r>
        <w:fldChar w:fldCharType="begin"/>
      </w:r>
      <w:r>
        <w:instrText xml:space="preserve"> PAGEREF _Toc148363862 \h </w:instrText>
      </w:r>
      <w:r>
        <w:fldChar w:fldCharType="separate"/>
      </w:r>
      <w:r>
        <w:t>5</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"_Toc148363863" </w:instrText>
      </w:r>
      <w:r>
        <w:fldChar w:fldCharType="separate"/>
      </w:r>
      <w:r>
        <w:rPr>
          <w:rStyle w:val="34"/>
          <w:rFonts w:hAnsi="黑体"/>
          <w14:scene3d w14:prst="orthographicFront">
            <w14:lightRig w14:rig="threePt" w14:dir="t">
              <w14:rot w14:lat="0" w14:lon="0" w14:rev="0"/>
            </w14:lightRig>
          </w14:scene3d>
        </w:rPr>
        <w:t xml:space="preserve">5.2 </w:t>
      </w:r>
      <w:r>
        <w:rPr>
          <w:rStyle w:val="34"/>
        </w:rPr>
        <w:t xml:space="preserve"> 评估等级划分</w:t>
      </w:r>
      <w:r>
        <w:tab/>
      </w:r>
      <w:r>
        <w:fldChar w:fldCharType="begin"/>
      </w:r>
      <w:r>
        <w:instrText xml:space="preserve"> PAGEREF _Toc148363863 \h </w:instrText>
      </w:r>
      <w:r>
        <w:fldChar w:fldCharType="separate"/>
      </w:r>
      <w:r>
        <w:t>17</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"_Toc148363864" </w:instrText>
      </w:r>
      <w:r>
        <w:fldChar w:fldCharType="separate"/>
      </w:r>
      <w:r>
        <w:rPr>
          <w:rStyle w:val="34"/>
          <w:rFonts w:hAnsi="黑体"/>
          <w14:scene3d w14:prst="orthographicFront">
            <w14:lightRig w14:rig="threePt" w14:dir="t">
              <w14:rot w14:lat="0" w14:lon="0" w14:rev="0"/>
            </w14:lightRig>
          </w14:scene3d>
        </w:rPr>
        <w:t xml:space="preserve">5.3 </w:t>
      </w:r>
      <w:r>
        <w:rPr>
          <w:rStyle w:val="34"/>
        </w:rPr>
        <w:t xml:space="preserve"> 评估结果有效期</w:t>
      </w:r>
      <w:r>
        <w:tab/>
      </w:r>
      <w:r>
        <w:fldChar w:fldCharType="begin"/>
      </w:r>
      <w:r>
        <w:instrText xml:space="preserve"> PAGEREF _Toc148363864 \h </w:instrText>
      </w:r>
      <w:r>
        <w:fldChar w:fldCharType="separate"/>
      </w:r>
      <w:r>
        <w:t>18</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"_Toc148363865" </w:instrText>
      </w:r>
      <w:r>
        <w:fldChar w:fldCharType="separate"/>
      </w:r>
      <w:r>
        <w:rPr>
          <w:rStyle w:val="34"/>
        </w:rPr>
        <w:t>参考文献</w:t>
      </w:r>
      <w:r>
        <w:tab/>
      </w:r>
      <w:r>
        <w:fldChar w:fldCharType="begin"/>
      </w:r>
      <w:r>
        <w:instrText xml:space="preserve"> PAGEREF _Toc148363865 \h </w:instrText>
      </w:r>
      <w:r>
        <w:fldChar w:fldCharType="separate"/>
      </w:r>
      <w:r>
        <w:t>19</w:t>
      </w:r>
      <w:r>
        <w:fldChar w:fldCharType="end"/>
      </w:r>
      <w:r>
        <w:fldChar w:fldCharType="end"/>
      </w:r>
    </w:p>
    <w:p>
      <w:pPr>
        <w:pStyle w:val="94"/>
        <w:spacing w:after="360"/>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9"/>
    <w:p>
      <w:pPr>
        <w:pStyle w:val="92"/>
        <w:spacing w:after="360"/>
      </w:pPr>
      <w:bookmarkStart w:id="25" w:name="_Toc148363852"/>
      <w:bookmarkStart w:id="26" w:name="BookMark2"/>
      <w:r>
        <w:rPr>
          <w:spacing w:val="320"/>
        </w:rPr>
        <w:t>前</w:t>
      </w:r>
      <w:r>
        <w:t>言</w:t>
      </w:r>
      <w:bookmarkEnd w:id="20"/>
      <w:bookmarkEnd w:id="21"/>
      <w:bookmarkEnd w:id="22"/>
      <w:bookmarkEnd w:id="23"/>
      <w:bookmarkEnd w:id="24"/>
      <w:bookmarkEnd w:id="25"/>
    </w:p>
    <w:p>
      <w:pPr>
        <w:pStyle w:val="59"/>
        <w:ind w:firstLine="420"/>
      </w:pPr>
      <w:r>
        <w:rPr>
          <w:rFonts w:hint="eastAsia"/>
        </w:rPr>
        <w:t>本文件按照GB/T 1.1—2020《标准化工作导则  第1部分：标准化文件的结构和起草规则》的规定起草。</w:t>
      </w:r>
    </w:p>
    <w:p>
      <w:pPr>
        <w:pStyle w:val="59"/>
        <w:ind w:firstLine="420"/>
      </w:pPr>
      <w:r>
        <w:rPr>
          <w:rFonts w:hint="eastAsia"/>
        </w:rPr>
        <w:t>请注意本文件的某些内容可能涉及专利。本文件的发布机构不承担识别专利的责任。</w:t>
      </w:r>
    </w:p>
    <w:p>
      <w:pPr>
        <w:pStyle w:val="59"/>
        <w:ind w:firstLine="420"/>
      </w:pPr>
      <w:r>
        <w:rPr>
          <w:rFonts w:hint="eastAsia"/>
        </w:rPr>
        <w:t>本文件由中国网络社会组织联合会提出并归口。</w:t>
      </w:r>
    </w:p>
    <w:p>
      <w:pPr>
        <w:pStyle w:val="59"/>
        <w:ind w:firstLine="420"/>
      </w:pPr>
      <w:r>
        <w:rPr>
          <w:rFonts w:hint="eastAsia"/>
        </w:rPr>
        <w:t>本文件起草单位：</w:t>
      </w:r>
    </w:p>
    <w:p>
      <w:pPr>
        <w:pStyle w:val="59"/>
        <w:ind w:firstLine="420"/>
      </w:pPr>
      <w:r>
        <w:rPr>
          <w:rFonts w:hint="eastAsia"/>
        </w:rPr>
        <w:t>本文件主要起草人：</w:t>
      </w:r>
      <w:bookmarkStart w:id="112" w:name="_GoBack"/>
      <w:bookmarkEnd w:id="112"/>
    </w:p>
    <w:p>
      <w:pPr>
        <w:pStyle w:val="59"/>
        <w:ind w:firstLine="420"/>
      </w:pPr>
    </w:p>
    <w:p>
      <w:pPr>
        <w:pStyle w:val="59"/>
        <w:ind w:firstLine="420"/>
        <w:sectPr>
          <w:pgSz w:w="11906" w:h="16838"/>
          <w:pgMar w:top="1928" w:right="1134" w:bottom="1134" w:left="1134" w:header="1418" w:footer="1134" w:gutter="284"/>
          <w:pgNumType w:fmt="upperRoman"/>
          <w:cols w:space="425" w:num="1"/>
          <w:formProt w:val="0"/>
          <w:docGrid w:linePitch="312" w:charSpace="0"/>
        </w:sectPr>
      </w:pPr>
    </w:p>
    <w:bookmarkEnd w:id="26"/>
    <w:p>
      <w:pPr>
        <w:spacing w:line="20" w:lineRule="exact"/>
        <w:jc w:val="center"/>
        <w:rPr>
          <w:rFonts w:ascii="黑体" w:hAnsi="黑体" w:eastAsia="黑体"/>
          <w:sz w:val="32"/>
          <w:szCs w:val="32"/>
        </w:rPr>
      </w:pPr>
      <w:bookmarkStart w:id="27" w:name="BookMark4"/>
    </w:p>
    <w:p>
      <w:pPr>
        <w:spacing w:line="20" w:lineRule="exact"/>
        <w:jc w:val="center"/>
        <w:rPr>
          <w:rFonts w:ascii="黑体" w:hAnsi="黑体" w:eastAsia="黑体"/>
          <w:sz w:val="32"/>
          <w:szCs w:val="32"/>
        </w:rPr>
      </w:pPr>
    </w:p>
    <w:sdt>
      <w:sdtPr>
        <w:tag w:val="NEW_STAND_NAME"/>
        <w:id w:val="595910757"/>
        <w:lock w:val="sdtLocked"/>
        <w:placeholder>
          <w:docPart w:val="18F679772FFB4E31B7CC59A0C1BCD73D"/>
        </w:placeholder>
      </w:sdtPr>
      <w:sdtContent>
        <w:p>
          <w:pPr>
            <w:pStyle w:val="180"/>
            <w:spacing w:before="2" w:beforeLines="1" w:after="528" w:afterLines="220"/>
          </w:pPr>
          <w:bookmarkStart w:id="28" w:name="NEW_STAND_NAME"/>
          <w:r>
            <w:rPr>
              <w:rFonts w:hint="eastAsia"/>
            </w:rPr>
            <w:t>互联网企业</w:t>
          </w:r>
          <w:r>
            <w:t>ESG评估指南</w:t>
          </w:r>
        </w:p>
      </w:sdtContent>
    </w:sdt>
    <w:bookmarkEnd w:id="28"/>
    <w:p>
      <w:pPr>
        <w:pStyle w:val="107"/>
        <w:spacing w:before="240" w:after="240"/>
      </w:pPr>
      <w:bookmarkStart w:id="29" w:name="_Toc148363853"/>
      <w:bookmarkStart w:id="30" w:name="_Toc24884211"/>
      <w:bookmarkStart w:id="31" w:name="_Toc97192964"/>
      <w:bookmarkStart w:id="32" w:name="_Toc130801401"/>
      <w:bookmarkStart w:id="33" w:name="_Toc26648465"/>
      <w:bookmarkStart w:id="34" w:name="_Toc26718930"/>
      <w:bookmarkStart w:id="35" w:name="_Toc24884218"/>
      <w:bookmarkStart w:id="36" w:name="_Toc17233333"/>
      <w:bookmarkStart w:id="37" w:name="_Toc148362915"/>
      <w:bookmarkStart w:id="38" w:name="_Toc130801064"/>
      <w:bookmarkStart w:id="39" w:name="_Toc26986771"/>
      <w:bookmarkStart w:id="40" w:name="_Toc130801054"/>
      <w:bookmarkStart w:id="41" w:name="_Toc26986530"/>
      <w:bookmarkStart w:id="42" w:name="_Toc17233325"/>
      <w:bookmarkStart w:id="43" w:name="_Toc148363713"/>
      <w:r>
        <w:rPr>
          <w:rFonts w:hint="eastAsia"/>
        </w:rPr>
        <w:t>范围</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pPr>
        <w:pStyle w:val="59"/>
        <w:ind w:firstLine="420"/>
        <w:rPr>
          <w:rFonts w:ascii="Times New Roman"/>
        </w:rPr>
      </w:pPr>
      <w:bookmarkStart w:id="44" w:name="_Toc24884219"/>
      <w:bookmarkStart w:id="45" w:name="_Toc17233326"/>
      <w:bookmarkStart w:id="46" w:name="_Toc17233334"/>
      <w:bookmarkStart w:id="47" w:name="_Toc24884212"/>
      <w:bookmarkStart w:id="48" w:name="_Toc26648466"/>
      <w:r>
        <w:rPr>
          <w:rFonts w:ascii="Times New Roman"/>
        </w:rPr>
        <w:t>本文件提供了互联网企业ESG（Environmental, Social and Governance）评估的评估机制、评估指标及</w:t>
      </w:r>
      <w:r>
        <w:rPr>
          <w:rFonts w:hint="eastAsia" w:ascii="Times New Roman"/>
        </w:rPr>
        <w:t>等级划分方面的建议</w:t>
      </w:r>
      <w:r>
        <w:rPr>
          <w:rFonts w:ascii="Times New Roman"/>
        </w:rPr>
        <w:t>。</w:t>
      </w:r>
    </w:p>
    <w:p>
      <w:pPr>
        <w:pStyle w:val="59"/>
        <w:ind w:firstLine="420"/>
        <w:rPr>
          <w:rFonts w:ascii="Times New Roman"/>
        </w:rPr>
      </w:pPr>
      <w:r>
        <w:rPr>
          <w:rFonts w:ascii="Times New Roman"/>
        </w:rPr>
        <w:t>本文件适用于互联网企业的境内ESG评估。</w:t>
      </w:r>
    </w:p>
    <w:p>
      <w:pPr>
        <w:pStyle w:val="107"/>
        <w:spacing w:before="240" w:after="240"/>
      </w:pPr>
      <w:bookmarkStart w:id="49" w:name="_Toc148363854"/>
      <w:bookmarkStart w:id="50" w:name="_Toc26986772"/>
      <w:bookmarkStart w:id="51" w:name="_Toc26986531"/>
      <w:bookmarkStart w:id="52" w:name="_Toc97192965"/>
      <w:bookmarkStart w:id="53" w:name="_Toc130801055"/>
      <w:bookmarkStart w:id="54" w:name="_Toc130801402"/>
      <w:bookmarkStart w:id="55" w:name="_Toc130801065"/>
      <w:bookmarkStart w:id="56" w:name="_Toc148363714"/>
      <w:bookmarkStart w:id="57" w:name="_Toc26718931"/>
      <w:bookmarkStart w:id="58" w:name="_Toc148362916"/>
      <w:r>
        <w:rPr>
          <w:rFonts w:hint="eastAsia"/>
        </w:rPr>
        <w:t>规范性引用文件</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sdt>
      <w:sdtPr>
        <w:rPr>
          <w:rFonts w:hint="eastAsia"/>
        </w:rPr>
        <w:id w:val="715848253"/>
        <w:placeholder>
          <w:docPart w:val="C8EEFA9B7EC7458AB9102B3086573F9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9"/>
            <w:ind w:firstLine="420"/>
          </w:pPr>
          <w:r>
            <w:rPr>
              <w:rFonts w:hint="eastAsia"/>
            </w:rPr>
            <w:t>本文件没有规范性引用文件。</w:t>
          </w:r>
        </w:p>
      </w:sdtContent>
    </w:sdt>
    <w:p>
      <w:pPr>
        <w:pStyle w:val="59"/>
        <w:ind w:firstLine="420"/>
      </w:pPr>
    </w:p>
    <w:p>
      <w:pPr>
        <w:pStyle w:val="107"/>
        <w:spacing w:before="240" w:after="240"/>
      </w:pPr>
      <w:bookmarkStart w:id="59" w:name="_Toc130801066"/>
      <w:bookmarkStart w:id="60" w:name="_Toc130801403"/>
      <w:bookmarkStart w:id="61" w:name="_Toc148363715"/>
      <w:bookmarkStart w:id="62" w:name="_Toc148363855"/>
      <w:bookmarkStart w:id="63" w:name="_Toc148362917"/>
      <w:bookmarkStart w:id="64" w:name="_Toc130801056"/>
      <w:bookmarkStart w:id="65" w:name="_Toc97192966"/>
      <w:r>
        <w:rPr>
          <w:rFonts w:hint="eastAsia"/>
          <w:szCs w:val="21"/>
        </w:rPr>
        <w:t>术语和定义</w:t>
      </w:r>
      <w:bookmarkEnd w:id="59"/>
      <w:bookmarkEnd w:id="60"/>
      <w:bookmarkEnd w:id="61"/>
      <w:bookmarkEnd w:id="62"/>
      <w:bookmarkEnd w:id="63"/>
      <w:bookmarkEnd w:id="64"/>
      <w:bookmarkEnd w:id="65"/>
    </w:p>
    <w:sdt>
      <w:sdtPr>
        <w:id w:val="-1909835108"/>
        <w:placeholder>
          <w:docPart w:val="DF45317F6CA94790B27EBEA0F57C204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9"/>
            <w:ind w:firstLine="420"/>
          </w:pPr>
          <w:bookmarkStart w:id="66" w:name="_Toc26986532"/>
          <w:bookmarkEnd w:id="66"/>
          <w:r>
            <w:t>下列术语和定义适用于本文件。</w:t>
          </w:r>
        </w:p>
      </w:sdtContent>
    </w:sdt>
    <w:p>
      <w:pPr>
        <w:pStyle w:val="226"/>
        <w:ind w:left="420" w:hanging="420" w:hangingChars="200"/>
        <w:rPr>
          <w:rFonts w:ascii="黑体" w:hAnsi="黑体" w:eastAsia="黑体" w:cs="黑体"/>
          <w:bCs/>
          <w:color w:val="000000"/>
        </w:rPr>
      </w:pPr>
      <w:r>
        <w:rPr>
          <w:rFonts w:ascii="黑体" w:hAnsi="黑体" w:eastAsia="黑体"/>
        </w:rPr>
        <w:t>3.1</w:t>
      </w:r>
      <w:r>
        <w:rPr>
          <w:rFonts w:ascii="黑体" w:hAnsi="黑体" w:eastAsia="黑体"/>
        </w:rPr>
        <w:br w:type="textWrapping"/>
      </w:r>
      <w:r>
        <w:rPr>
          <w:rFonts w:hint="eastAsia" w:ascii="黑体" w:hAnsi="黑体" w:eastAsia="黑体" w:cs="黑体"/>
          <w:bCs/>
          <w:color w:val="000000"/>
        </w:rPr>
        <w:t>E</w:t>
      </w:r>
      <w:r>
        <w:rPr>
          <w:rFonts w:ascii="黑体" w:hAnsi="黑体" w:eastAsia="黑体" w:cs="黑体"/>
          <w:bCs/>
          <w:color w:val="000000"/>
        </w:rPr>
        <w:t>SG</w:t>
      </w:r>
      <w:r>
        <w:rPr>
          <w:rFonts w:hint="eastAsia" w:ascii="黑体" w:hAnsi="黑体" w:eastAsia="黑体" w:cs="黑体"/>
          <w:bCs/>
          <w:color w:val="000000"/>
        </w:rPr>
        <w:t xml:space="preserve"> </w:t>
      </w:r>
      <w:r>
        <w:rPr>
          <w:rFonts w:ascii="黑体" w:hAnsi="黑体" w:eastAsia="黑体" w:cs="黑体"/>
          <w:bCs/>
          <w:color w:val="000000"/>
        </w:rPr>
        <w:t>Environmental</w:t>
      </w:r>
      <w:r>
        <w:rPr>
          <w:rFonts w:hint="eastAsia" w:ascii="黑体" w:hAnsi="黑体" w:eastAsia="黑体" w:cs="黑体"/>
          <w:bCs/>
          <w:color w:val="000000"/>
        </w:rPr>
        <w:t xml:space="preserve"> </w:t>
      </w:r>
      <w:r>
        <w:rPr>
          <w:rFonts w:ascii="黑体" w:hAnsi="黑体" w:eastAsia="黑体" w:cs="黑体"/>
          <w:bCs/>
          <w:color w:val="000000"/>
        </w:rPr>
        <w:t>Social and Governance</w:t>
      </w:r>
    </w:p>
    <w:p>
      <w:pPr>
        <w:pStyle w:val="59"/>
        <w:ind w:firstLine="420"/>
      </w:pPr>
      <w:r>
        <w:t>环境（Environmental）、社会（Social）和公司</w:t>
      </w:r>
      <w:r>
        <w:rPr>
          <w:rFonts w:hint="eastAsia"/>
        </w:rPr>
        <w:t>治理（Governance）</w:t>
      </w:r>
      <w:r>
        <w:t>的英文单词首字母缩写，是一种关注环境变化影响、社会效益、公司治理绩效综合表现的发展理念，是衡量企业可持续发展的标准之一</w:t>
      </w:r>
      <w:r>
        <w:rPr>
          <w:rFonts w:hint="eastAsia"/>
        </w:rPr>
        <w:t>。</w:t>
      </w:r>
    </w:p>
    <w:p>
      <w:pPr>
        <w:pStyle w:val="59"/>
        <w:ind w:firstLine="420"/>
      </w:pPr>
      <w:r>
        <w:rPr>
          <w:rFonts w:hint="eastAsia"/>
        </w:rPr>
        <w:t>注：“治理”也可以表述为“管治”。</w:t>
      </w:r>
    </w:p>
    <w:p>
      <w:pPr>
        <w:pStyle w:val="226"/>
        <w:ind w:left="420" w:hanging="420" w:hangingChars="200"/>
        <w:rPr>
          <w:rFonts w:ascii="黑体" w:hAnsi="黑体" w:eastAsia="黑体"/>
        </w:rPr>
      </w:pPr>
      <w:r>
        <w:rPr>
          <w:rFonts w:ascii="黑体" w:hAnsi="黑体" w:eastAsia="黑体"/>
        </w:rPr>
        <w:t>3.2</w:t>
      </w:r>
    </w:p>
    <w:p>
      <w:pPr>
        <w:pStyle w:val="226"/>
        <w:ind w:left="420" w:leftChars="200"/>
        <w:rPr>
          <w:rFonts w:ascii="黑体" w:hAnsi="黑体" w:eastAsia="黑体"/>
        </w:rPr>
      </w:pPr>
      <w:r>
        <w:rPr>
          <w:rFonts w:ascii="黑体" w:hAnsi="黑体" w:eastAsia="黑体"/>
        </w:rPr>
        <w:t>互联网企业</w:t>
      </w:r>
      <w:r>
        <w:rPr>
          <w:rFonts w:hint="eastAsia" w:ascii="黑体" w:hAnsi="黑体" w:eastAsia="黑体"/>
        </w:rPr>
        <w:t>i</w:t>
      </w:r>
      <w:r>
        <w:rPr>
          <w:rFonts w:ascii="黑体" w:hAnsi="黑体" w:eastAsia="黑体"/>
        </w:rPr>
        <w:t>nternet platform enterprise</w:t>
      </w:r>
    </w:p>
    <w:p>
      <w:pPr>
        <w:pStyle w:val="59"/>
        <w:ind w:firstLine="420"/>
      </w:pPr>
      <w:r>
        <w:rPr>
          <w:rFonts w:hint="eastAsia"/>
        </w:rPr>
        <w:t>向自然人、法人及其他市场主体提供经营场所、交易撮合、信息交流等互联网服务的企业。</w:t>
      </w:r>
    </w:p>
    <w:p>
      <w:pPr>
        <w:pStyle w:val="226"/>
        <w:ind w:left="420" w:hanging="420" w:hangingChars="200"/>
        <w:rPr>
          <w:rFonts w:ascii="黑体" w:hAnsi="黑体" w:eastAsia="黑体"/>
        </w:rPr>
      </w:pPr>
      <w:r>
        <w:rPr>
          <w:rFonts w:ascii="黑体" w:hAnsi="黑体" w:eastAsia="黑体"/>
        </w:rPr>
        <w:t>3.3</w:t>
      </w:r>
      <w:r>
        <w:rPr>
          <w:rFonts w:ascii="黑体" w:hAnsi="黑体" w:eastAsia="黑体"/>
        </w:rPr>
        <w:br w:type="textWrapping"/>
      </w:r>
      <w:r>
        <w:rPr>
          <w:rFonts w:hint="eastAsia" w:ascii="黑体" w:hAnsi="黑体" w:eastAsia="黑体"/>
        </w:rPr>
        <w:t>平台内经营者 platform proprietor</w:t>
      </w:r>
    </w:p>
    <w:p>
      <w:pPr>
        <w:pStyle w:val="59"/>
        <w:ind w:firstLine="420"/>
      </w:pPr>
      <w:r>
        <w:rPr>
          <w:rFonts w:hint="eastAsia"/>
        </w:rPr>
        <w:t>在互联网平台内提供商品或者服务的经营者。</w:t>
      </w:r>
    </w:p>
    <w:p>
      <w:pPr>
        <w:pStyle w:val="59"/>
        <w:ind w:firstLine="420"/>
      </w:pPr>
      <w:r>
        <w:rPr>
          <w:rFonts w:hint="eastAsia"/>
        </w:rPr>
        <w:t>[来源：</w:t>
      </w:r>
      <w:r>
        <w:t>T/CFIS 0002—2021</w:t>
      </w:r>
      <w:r>
        <w:rPr>
          <w:rFonts w:hint="eastAsia"/>
        </w:rPr>
        <w:t>，3</w:t>
      </w:r>
      <w:r>
        <w:t>.10]</w:t>
      </w:r>
    </w:p>
    <w:p>
      <w:pPr>
        <w:pStyle w:val="226"/>
        <w:ind w:left="420" w:hanging="420" w:hangingChars="200"/>
        <w:rPr>
          <w:rFonts w:ascii="黑体" w:hAnsi="黑体" w:eastAsia="黑体"/>
        </w:rPr>
      </w:pPr>
      <w:r>
        <w:rPr>
          <w:rFonts w:ascii="黑体" w:hAnsi="黑体" w:eastAsia="黑体"/>
        </w:rPr>
        <w:t>3.4</w:t>
      </w:r>
      <w:r>
        <w:rPr>
          <w:rFonts w:ascii="黑体" w:hAnsi="黑体" w:eastAsia="黑体"/>
        </w:rPr>
        <w:br w:type="textWrapping"/>
      </w:r>
      <w:r>
        <w:rPr>
          <w:rFonts w:hint="eastAsia" w:ascii="黑体" w:hAnsi="黑体" w:eastAsia="黑体"/>
        </w:rPr>
        <w:t>新就业形态人员 n</w:t>
      </w:r>
      <w:r>
        <w:rPr>
          <w:rFonts w:ascii="黑体" w:hAnsi="黑体" w:eastAsia="黑体"/>
        </w:rPr>
        <w:t>ew forms of employ</w:t>
      </w:r>
      <w:r>
        <w:rPr>
          <w:rFonts w:hint="eastAsia" w:ascii="黑体" w:hAnsi="黑体" w:eastAsia="黑体"/>
        </w:rPr>
        <w:t>ee</w:t>
      </w:r>
    </w:p>
    <w:p>
      <w:pPr>
        <w:pStyle w:val="59"/>
        <w:ind w:firstLine="420"/>
      </w:pPr>
      <w:r>
        <w:rPr>
          <w:rFonts w:hint="eastAsia"/>
        </w:rPr>
        <w:t>传统职业范畴之外，出现在新兴领域和新兴行业中的从业人员，职业特点是灵活、多样化、互联网化和信息化，同时也存在一定的风险和不稳定性。</w:t>
      </w:r>
    </w:p>
    <w:p>
      <w:pPr>
        <w:pStyle w:val="182"/>
      </w:pPr>
      <w:r>
        <w:rPr>
          <w:rFonts w:hint="eastAsia"/>
        </w:rPr>
        <w:t>新就业形态人员以网约车司机、快递员、外卖配送员等为代表。</w:t>
      </w:r>
    </w:p>
    <w:p>
      <w:pPr>
        <w:pStyle w:val="107"/>
        <w:spacing w:before="240" w:after="240"/>
      </w:pPr>
      <w:bookmarkStart w:id="67" w:name="_Toc130801067"/>
      <w:bookmarkEnd w:id="67"/>
      <w:bookmarkStart w:id="68" w:name="_Toc130801057"/>
      <w:bookmarkEnd w:id="68"/>
      <w:bookmarkStart w:id="69" w:name="_Toc148363716"/>
      <w:bookmarkStart w:id="70" w:name="_Toc148363856"/>
      <w:bookmarkStart w:id="71" w:name="_Toc148362918"/>
      <w:r>
        <w:rPr>
          <w:rFonts w:hint="eastAsia"/>
        </w:rPr>
        <w:t>评估机制</w:t>
      </w:r>
      <w:bookmarkEnd w:id="69"/>
      <w:bookmarkEnd w:id="70"/>
      <w:bookmarkEnd w:id="71"/>
    </w:p>
    <w:p>
      <w:pPr>
        <w:pStyle w:val="108"/>
        <w:spacing w:before="120" w:after="120"/>
      </w:pPr>
      <w:bookmarkStart w:id="72" w:name="_Toc130801058"/>
      <w:bookmarkEnd w:id="72"/>
      <w:bookmarkStart w:id="73" w:name="_Toc148363857"/>
      <w:bookmarkStart w:id="74" w:name="_Toc148362919"/>
      <w:bookmarkStart w:id="75" w:name="_Toc148363717"/>
      <w:r>
        <w:rPr>
          <w:rFonts w:hint="eastAsia"/>
        </w:rPr>
        <w:t>评估目标</w:t>
      </w:r>
      <w:bookmarkEnd w:id="73"/>
      <w:bookmarkEnd w:id="74"/>
      <w:bookmarkEnd w:id="75"/>
    </w:p>
    <w:p>
      <w:pPr>
        <w:pStyle w:val="59"/>
        <w:ind w:firstLine="420"/>
      </w:pPr>
      <w:r>
        <w:rPr>
          <w:rFonts w:hint="eastAsia"/>
        </w:rPr>
        <w:t>互联网企业E</w:t>
      </w:r>
      <w:r>
        <w:t>SG</w:t>
      </w:r>
      <w:r>
        <w:rPr>
          <w:rFonts w:hint="eastAsia"/>
        </w:rPr>
        <w:t>评估的目标包括但不限于：</w:t>
      </w:r>
    </w:p>
    <w:p>
      <w:pPr>
        <w:pStyle w:val="135"/>
      </w:pPr>
      <w:r>
        <w:rPr>
          <w:rFonts w:hint="eastAsia"/>
        </w:rPr>
        <w:t>引导互联网企业加强ESG建设，具象化互联网企业ESG实施路径；</w:t>
      </w:r>
    </w:p>
    <w:p>
      <w:pPr>
        <w:pStyle w:val="135"/>
      </w:pPr>
      <w:r>
        <w:rPr>
          <w:rFonts w:hint="eastAsia"/>
        </w:rPr>
        <w:t>帮助互联网企业提升ESG信息披露水平；</w:t>
      </w:r>
    </w:p>
    <w:p>
      <w:pPr>
        <w:pStyle w:val="135"/>
      </w:pPr>
      <w:r>
        <w:rPr>
          <w:rFonts w:hint="eastAsia"/>
        </w:rPr>
        <w:t>提供可参照的ESG评估方式，实现互联网企业评估机制的有序统一，完善互联网企业ESG评估市场建设与规范。</w:t>
      </w:r>
    </w:p>
    <w:p>
      <w:pPr>
        <w:pStyle w:val="108"/>
        <w:spacing w:before="120" w:after="120"/>
      </w:pPr>
      <w:bookmarkStart w:id="76" w:name="_Toc148363858"/>
      <w:bookmarkStart w:id="77" w:name="_Toc148362920"/>
      <w:bookmarkStart w:id="78" w:name="_Toc148363718"/>
      <w:r>
        <w:rPr>
          <w:rFonts w:hint="eastAsia"/>
        </w:rPr>
        <w:t>评估原则</w:t>
      </w:r>
      <w:bookmarkEnd w:id="76"/>
      <w:bookmarkEnd w:id="77"/>
      <w:bookmarkEnd w:id="78"/>
    </w:p>
    <w:p>
      <w:pPr>
        <w:pStyle w:val="68"/>
        <w:spacing w:before="120" w:after="120"/>
      </w:pPr>
      <w:r>
        <w:t>可控性原则</w:t>
      </w:r>
    </w:p>
    <w:p>
      <w:pPr>
        <w:pStyle w:val="59"/>
        <w:ind w:firstLine="420"/>
      </w:pPr>
      <w:r>
        <w:rPr>
          <w:rFonts w:hint="eastAsia"/>
        </w:rPr>
        <w:t>评估方在评估实施过程中，按照本文件的评估方法对服务过程、人员和工具等进行控制，保证评估实施过程的可控。</w:t>
      </w:r>
    </w:p>
    <w:p>
      <w:pPr>
        <w:pStyle w:val="68"/>
        <w:spacing w:before="120" w:after="120"/>
        <w:rPr>
          <w:rFonts w:hAnsi="黑体"/>
          <w:szCs w:val="21"/>
        </w:rPr>
      </w:pPr>
      <w:r>
        <w:rPr>
          <w:rFonts w:hAnsi="黑体"/>
          <w:szCs w:val="21"/>
        </w:rPr>
        <w:t>最小影响原则</w:t>
      </w:r>
    </w:p>
    <w:p>
      <w:pPr>
        <w:pStyle w:val="59"/>
        <w:ind w:firstLine="420"/>
      </w:pPr>
      <w:r>
        <w:rPr>
          <w:rFonts w:hint="eastAsia"/>
        </w:rPr>
        <w:t>评估方在评估过程中，应采取必要措施，将评估工作对被评估公司正常运营的可能影响降低到最低限度，以确保不会对被评估公司的正常运行和业务产生显著影响。</w:t>
      </w:r>
    </w:p>
    <w:p>
      <w:pPr>
        <w:pStyle w:val="68"/>
        <w:spacing w:before="120" w:after="120"/>
        <w:rPr>
          <w:rFonts w:hAnsi="黑体"/>
          <w:szCs w:val="21"/>
        </w:rPr>
      </w:pPr>
      <w:r>
        <w:rPr>
          <w:rFonts w:hAnsi="黑体"/>
          <w:szCs w:val="21"/>
        </w:rPr>
        <w:t>科学性原则</w:t>
      </w:r>
    </w:p>
    <w:p>
      <w:pPr>
        <w:pStyle w:val="59"/>
        <w:ind w:firstLine="420"/>
      </w:pPr>
      <w:r>
        <w:rPr>
          <w:rFonts w:hint="eastAsia"/>
        </w:rPr>
        <w:t>评估方在进行ESG建设评估时，基于科学原理和可靠数据进行分析和判断，确保评估结果具有科学性和可信度。</w:t>
      </w:r>
    </w:p>
    <w:p>
      <w:pPr>
        <w:pStyle w:val="68"/>
        <w:spacing w:before="120" w:after="120"/>
        <w:rPr>
          <w:rFonts w:hAnsi="黑体"/>
          <w:szCs w:val="21"/>
        </w:rPr>
      </w:pPr>
      <w:r>
        <w:rPr>
          <w:rFonts w:hAnsi="黑体"/>
          <w:szCs w:val="21"/>
        </w:rPr>
        <w:t>公平性原则</w:t>
      </w:r>
    </w:p>
    <w:p>
      <w:pPr>
        <w:pStyle w:val="59"/>
        <w:ind w:firstLine="420"/>
      </w:pPr>
      <w:r>
        <w:rPr>
          <w:rFonts w:hint="eastAsia"/>
        </w:rPr>
        <w:t>评估方应确保独立、客观、公正、无任何形式偏见地实施评估活动，以确保评估结果的公平中立。</w:t>
      </w:r>
    </w:p>
    <w:p>
      <w:pPr>
        <w:pStyle w:val="68"/>
        <w:spacing w:before="120" w:after="120"/>
        <w:rPr>
          <w:rFonts w:hAnsi="黑体"/>
          <w:szCs w:val="21"/>
        </w:rPr>
      </w:pPr>
      <w:r>
        <w:rPr>
          <w:rFonts w:hAnsi="黑体"/>
          <w:szCs w:val="21"/>
        </w:rPr>
        <w:t>可比性与一致性原则</w:t>
      </w:r>
    </w:p>
    <w:p>
      <w:pPr>
        <w:pStyle w:val="59"/>
        <w:ind w:firstLine="420"/>
      </w:pPr>
      <w:r>
        <w:rPr>
          <w:rFonts w:hint="eastAsia"/>
        </w:rPr>
        <w:t>评估方确保评估过程中采用的数据计算方法、评估方法和时间维度保持一致，以确保评估结果具有可比性和一致性。</w:t>
      </w:r>
    </w:p>
    <w:p>
      <w:pPr>
        <w:pStyle w:val="108"/>
        <w:spacing w:before="120" w:after="120"/>
        <w:rPr>
          <w:rFonts w:hAnsi="黑体"/>
          <w:szCs w:val="21"/>
        </w:rPr>
      </w:pPr>
      <w:bookmarkStart w:id="79" w:name="_Toc148362921"/>
      <w:bookmarkStart w:id="80" w:name="_Toc148363719"/>
      <w:bookmarkStart w:id="81" w:name="_Toc148363859"/>
      <w:r>
        <w:rPr>
          <w:rFonts w:hint="eastAsia" w:hAnsi="黑体"/>
          <w:szCs w:val="21"/>
        </w:rPr>
        <w:t>评估方法</w:t>
      </w:r>
      <w:bookmarkEnd w:id="79"/>
      <w:bookmarkEnd w:id="80"/>
      <w:bookmarkEnd w:id="81"/>
    </w:p>
    <w:p>
      <w:pPr>
        <w:pStyle w:val="68"/>
        <w:spacing w:before="120" w:after="120"/>
      </w:pPr>
      <w:r>
        <w:rPr>
          <w:rFonts w:hint="eastAsia"/>
        </w:rPr>
        <w:t>评估方式</w:t>
      </w:r>
    </w:p>
    <w:p>
      <w:pPr>
        <w:pStyle w:val="97"/>
        <w:spacing w:before="120" w:after="120"/>
      </w:pPr>
      <w:r>
        <w:rPr>
          <w:rFonts w:hAnsi="黑体"/>
          <w:szCs w:val="21"/>
        </w:rPr>
        <w:t>企业自评估</w:t>
      </w:r>
    </w:p>
    <w:p>
      <w:pPr>
        <w:pStyle w:val="59"/>
        <w:ind w:firstLine="420"/>
      </w:pPr>
      <w:r>
        <w:rPr>
          <w:rFonts w:hint="eastAsia"/>
        </w:rPr>
        <w:t>企业可以根据自身需求组织临时或常设性的ESG评估工作部门，自行进行ESG评估。在开展评估时，企业宜根据ESG要求变化情况，不断调整ESG管理目标，更新ESG风险管理措施，以满足内外部合规管理要求。</w:t>
      </w:r>
    </w:p>
    <w:p>
      <w:pPr>
        <w:pStyle w:val="97"/>
        <w:spacing w:before="120" w:after="120"/>
        <w:rPr>
          <w:rFonts w:hAnsi="黑体"/>
          <w:szCs w:val="21"/>
        </w:rPr>
      </w:pPr>
      <w:r>
        <w:rPr>
          <w:rFonts w:hAnsi="黑体"/>
          <w:szCs w:val="21"/>
        </w:rPr>
        <w:t>第三方评估</w:t>
      </w:r>
    </w:p>
    <w:p>
      <w:pPr>
        <w:autoSpaceDE w:val="0"/>
        <w:autoSpaceDN w:val="0"/>
        <w:spacing w:before="117" w:line="271" w:lineRule="exact"/>
        <w:ind w:right="19" w:firstLine="420"/>
        <w:jc w:val="left"/>
        <w:rPr>
          <w:rFonts w:ascii="宋体" w:hAnsi="宋体" w:cs="宋体"/>
          <w:bCs/>
          <w:color w:val="000000"/>
          <w:kern w:val="0"/>
        </w:rPr>
      </w:pPr>
      <w:r>
        <w:rPr>
          <w:rFonts w:hint="eastAsia" w:ascii="宋体" w:hAnsi="宋体" w:cs="宋体"/>
          <w:bCs/>
          <w:color w:val="000000"/>
          <w:kern w:val="0"/>
        </w:rPr>
        <w:t>企业可以根据自身需求和实际情况委托第三方评估机构开展评估。</w:t>
      </w:r>
      <w:r>
        <w:rPr>
          <w:rFonts w:ascii="宋体" w:hAnsi="宋体" w:cs="宋体"/>
          <w:bCs/>
          <w:color w:val="000000"/>
          <w:kern w:val="0"/>
        </w:rPr>
        <w:t>第三方评估机构</w:t>
      </w:r>
      <w:r>
        <w:rPr>
          <w:rFonts w:hint="eastAsia" w:ascii="宋体" w:hAnsi="宋体" w:cs="宋体"/>
          <w:bCs/>
          <w:color w:val="000000"/>
          <w:kern w:val="0"/>
        </w:rPr>
        <w:t>为</w:t>
      </w:r>
      <w:r>
        <w:rPr>
          <w:rFonts w:ascii="宋体" w:hAnsi="宋体" w:cs="宋体"/>
          <w:bCs/>
          <w:color w:val="000000"/>
          <w:kern w:val="0"/>
        </w:rPr>
        <w:t>具有独立性、专业</w:t>
      </w:r>
      <w:r>
        <w:rPr>
          <w:rFonts w:ascii="宋体" w:hAnsi="宋体" w:cs="宋体"/>
          <w:bCs/>
          <w:color w:val="000000"/>
          <w:spacing w:val="-1"/>
          <w:kern w:val="0"/>
        </w:rPr>
        <w:t>性</w:t>
      </w:r>
      <w:r>
        <w:rPr>
          <w:rFonts w:hint="eastAsia" w:ascii="宋体" w:hAnsi="宋体" w:cs="宋体"/>
          <w:bCs/>
          <w:color w:val="000000"/>
          <w:spacing w:val="-1"/>
          <w:kern w:val="0"/>
        </w:rPr>
        <w:t>的</w:t>
      </w:r>
      <w:r>
        <w:rPr>
          <w:rFonts w:ascii="宋体" w:hAnsi="宋体" w:cs="宋体"/>
          <w:bCs/>
          <w:color w:val="000000"/>
          <w:kern w:val="0"/>
        </w:rPr>
        <w:t>标</w:t>
      </w:r>
      <w:r>
        <w:rPr>
          <w:rFonts w:ascii="宋体" w:hAnsi="宋体" w:cs="宋体"/>
          <w:bCs/>
          <w:color w:val="000000"/>
          <w:spacing w:val="-1"/>
          <w:kern w:val="0"/>
        </w:rPr>
        <w:t>准</w:t>
      </w:r>
      <w:r>
        <w:rPr>
          <w:rFonts w:ascii="宋体" w:hAnsi="宋体" w:cs="宋体"/>
          <w:bCs/>
          <w:color w:val="000000"/>
          <w:kern w:val="0"/>
        </w:rPr>
        <w:t>化组织</w:t>
      </w:r>
      <w:r>
        <w:rPr>
          <w:rFonts w:ascii="宋体" w:hAnsi="宋体" w:cs="宋体"/>
          <w:bCs/>
          <w:color w:val="000000"/>
          <w:spacing w:val="18"/>
          <w:w w:val="90"/>
          <w:kern w:val="0"/>
        </w:rPr>
        <w:t>、</w:t>
      </w:r>
      <w:r>
        <w:rPr>
          <w:rFonts w:ascii="宋体" w:hAnsi="宋体" w:cs="宋体"/>
          <w:bCs/>
          <w:color w:val="000000"/>
          <w:spacing w:val="-9"/>
          <w:w w:val="95"/>
          <w:kern w:val="0"/>
        </w:rPr>
        <w:t>律</w:t>
      </w:r>
      <w:r>
        <w:rPr>
          <w:rFonts w:ascii="宋体" w:hAnsi="宋体" w:cs="宋体"/>
          <w:bCs/>
          <w:color w:val="000000"/>
          <w:kern w:val="0"/>
        </w:rPr>
        <w:t>师事</w:t>
      </w:r>
      <w:r>
        <w:rPr>
          <w:rFonts w:ascii="宋体" w:hAnsi="宋体" w:cs="宋体"/>
          <w:bCs/>
          <w:color w:val="000000"/>
          <w:spacing w:val="1"/>
          <w:w w:val="99"/>
          <w:kern w:val="0"/>
        </w:rPr>
        <w:t>务</w:t>
      </w:r>
      <w:r>
        <w:rPr>
          <w:rFonts w:ascii="宋体" w:hAnsi="宋体" w:cs="宋体"/>
          <w:bCs/>
          <w:color w:val="000000"/>
          <w:kern w:val="0"/>
        </w:rPr>
        <w:t>所</w:t>
      </w:r>
      <w:r>
        <w:rPr>
          <w:rFonts w:ascii="宋体" w:hAnsi="宋体" w:cs="宋体"/>
          <w:bCs/>
          <w:color w:val="000000"/>
          <w:spacing w:val="13"/>
          <w:w w:val="92"/>
          <w:kern w:val="0"/>
        </w:rPr>
        <w:t>、</w:t>
      </w:r>
      <w:r>
        <w:rPr>
          <w:rFonts w:ascii="宋体" w:hAnsi="宋体" w:cs="宋体"/>
          <w:bCs/>
          <w:color w:val="000000"/>
          <w:spacing w:val="-2"/>
          <w:w w:val="94"/>
          <w:kern w:val="0"/>
        </w:rPr>
        <w:t>高</w:t>
      </w:r>
      <w:r>
        <w:rPr>
          <w:rFonts w:ascii="宋体" w:hAnsi="宋体" w:cs="宋体"/>
          <w:bCs/>
          <w:color w:val="000000"/>
          <w:kern w:val="0"/>
        </w:rPr>
        <w:t>等院</w:t>
      </w:r>
      <w:r>
        <w:rPr>
          <w:rFonts w:ascii="宋体" w:hAnsi="宋体" w:cs="宋体"/>
          <w:bCs/>
          <w:color w:val="000000"/>
          <w:spacing w:val="1"/>
          <w:w w:val="99"/>
          <w:kern w:val="0"/>
        </w:rPr>
        <w:t>校</w:t>
      </w:r>
      <w:r>
        <w:rPr>
          <w:rFonts w:ascii="宋体" w:hAnsi="宋体" w:cs="宋体"/>
          <w:bCs/>
          <w:color w:val="000000"/>
          <w:spacing w:val="14"/>
          <w:w w:val="91"/>
          <w:kern w:val="0"/>
        </w:rPr>
        <w:t>、</w:t>
      </w:r>
      <w:r>
        <w:rPr>
          <w:rFonts w:ascii="宋体" w:hAnsi="宋体" w:cs="宋体"/>
          <w:bCs/>
          <w:color w:val="000000"/>
          <w:spacing w:val="-5"/>
          <w:w w:val="95"/>
          <w:kern w:val="0"/>
        </w:rPr>
        <w:t>行</w:t>
      </w:r>
      <w:r>
        <w:rPr>
          <w:rFonts w:ascii="宋体" w:hAnsi="宋体" w:cs="宋体"/>
          <w:bCs/>
          <w:color w:val="000000"/>
          <w:kern w:val="0"/>
        </w:rPr>
        <w:t>业协</w:t>
      </w:r>
      <w:r>
        <w:rPr>
          <w:rFonts w:ascii="宋体" w:hAnsi="宋体" w:cs="宋体"/>
          <w:bCs/>
          <w:color w:val="000000"/>
          <w:spacing w:val="1"/>
          <w:w w:val="99"/>
          <w:kern w:val="0"/>
        </w:rPr>
        <w:t>会</w:t>
      </w:r>
      <w:r>
        <w:rPr>
          <w:rFonts w:ascii="宋体" w:hAnsi="宋体" w:cs="宋体"/>
          <w:bCs/>
          <w:color w:val="000000"/>
          <w:kern w:val="0"/>
        </w:rPr>
        <w:t>或</w:t>
      </w:r>
      <w:r>
        <w:rPr>
          <w:rFonts w:ascii="宋体" w:hAnsi="宋体" w:cs="宋体"/>
          <w:bCs/>
          <w:color w:val="000000"/>
          <w:spacing w:val="3"/>
          <w:w w:val="98"/>
          <w:kern w:val="0"/>
        </w:rPr>
        <w:t>社</w:t>
      </w:r>
      <w:r>
        <w:rPr>
          <w:rFonts w:ascii="宋体" w:hAnsi="宋体" w:cs="宋体"/>
          <w:bCs/>
          <w:color w:val="000000"/>
          <w:spacing w:val="2"/>
          <w:w w:val="98"/>
          <w:kern w:val="0"/>
        </w:rPr>
        <w:t>会</w:t>
      </w:r>
      <w:r>
        <w:rPr>
          <w:rFonts w:ascii="宋体" w:hAnsi="宋体" w:cs="宋体"/>
          <w:bCs/>
          <w:color w:val="000000"/>
          <w:spacing w:val="-1"/>
          <w:w w:val="99"/>
          <w:kern w:val="0"/>
        </w:rPr>
        <w:t>团</w:t>
      </w:r>
      <w:r>
        <w:rPr>
          <w:rFonts w:ascii="宋体" w:hAnsi="宋体" w:cs="宋体"/>
          <w:bCs/>
          <w:color w:val="000000"/>
          <w:kern w:val="0"/>
        </w:rPr>
        <w:t>体等专业机构</w:t>
      </w:r>
      <w:r>
        <w:rPr>
          <w:rFonts w:ascii="宋体" w:hAnsi="宋体" w:cs="宋体"/>
          <w:bCs/>
          <w:color w:val="000000"/>
          <w:spacing w:val="1"/>
          <w:kern w:val="0"/>
        </w:rPr>
        <w:t>。</w:t>
      </w:r>
    </w:p>
    <w:p>
      <w:pPr>
        <w:autoSpaceDE w:val="0"/>
        <w:autoSpaceDN w:val="0"/>
        <w:spacing w:before="3" w:line="271" w:lineRule="exact"/>
        <w:ind w:right="17" w:firstLine="420"/>
        <w:jc w:val="left"/>
      </w:pPr>
      <w:r>
        <w:rPr>
          <w:rFonts w:ascii="宋体" w:hAnsi="宋体" w:cs="宋体"/>
          <w:bCs/>
          <w:color w:val="000000"/>
          <w:spacing w:val="5"/>
          <w:w w:val="97"/>
          <w:kern w:val="0"/>
        </w:rPr>
        <w:t>第</w:t>
      </w:r>
      <w:r>
        <w:rPr>
          <w:rFonts w:ascii="宋体" w:hAnsi="宋体" w:cs="宋体"/>
          <w:bCs/>
          <w:color w:val="000000"/>
          <w:spacing w:val="-2"/>
          <w:w w:val="98"/>
          <w:kern w:val="0"/>
        </w:rPr>
        <w:t>三</w:t>
      </w:r>
      <w:r>
        <w:rPr>
          <w:rFonts w:ascii="宋体" w:hAnsi="宋体" w:cs="宋体"/>
          <w:bCs/>
          <w:color w:val="000000"/>
          <w:kern w:val="0"/>
        </w:rPr>
        <w:t>方评估机构对评</w:t>
      </w:r>
      <w:r>
        <w:rPr>
          <w:rFonts w:ascii="宋体" w:hAnsi="宋体" w:cs="宋体"/>
          <w:bCs/>
          <w:color w:val="000000"/>
          <w:spacing w:val="-1"/>
          <w:kern w:val="0"/>
        </w:rPr>
        <w:t>估</w:t>
      </w:r>
      <w:r>
        <w:rPr>
          <w:rFonts w:ascii="宋体" w:hAnsi="宋体" w:cs="宋体"/>
          <w:bCs/>
          <w:color w:val="000000"/>
          <w:kern w:val="0"/>
        </w:rPr>
        <w:t>对象的评估过程</w:t>
      </w:r>
      <w:r>
        <w:rPr>
          <w:rFonts w:ascii="宋体" w:hAnsi="宋体" w:cs="宋体"/>
          <w:bCs/>
          <w:color w:val="000000"/>
          <w:spacing w:val="-2"/>
          <w:w w:val="97"/>
          <w:kern w:val="0"/>
        </w:rPr>
        <w:t>、</w:t>
      </w:r>
      <w:r>
        <w:rPr>
          <w:rFonts w:ascii="宋体" w:hAnsi="宋体" w:cs="宋体"/>
          <w:bCs/>
          <w:color w:val="000000"/>
          <w:spacing w:val="3"/>
          <w:w w:val="98"/>
          <w:kern w:val="0"/>
        </w:rPr>
        <w:t>评</w:t>
      </w:r>
      <w:r>
        <w:rPr>
          <w:rFonts w:ascii="宋体" w:hAnsi="宋体" w:cs="宋体"/>
          <w:bCs/>
          <w:color w:val="000000"/>
          <w:spacing w:val="-2"/>
          <w:w w:val="99"/>
          <w:kern w:val="0"/>
        </w:rPr>
        <w:t>估</w:t>
      </w:r>
      <w:r>
        <w:rPr>
          <w:rFonts w:ascii="宋体" w:hAnsi="宋体" w:cs="宋体"/>
          <w:bCs/>
          <w:color w:val="000000"/>
          <w:kern w:val="0"/>
        </w:rPr>
        <w:t>结果</w:t>
      </w:r>
      <w:r>
        <w:rPr>
          <w:rFonts w:ascii="宋体" w:hAnsi="宋体" w:cs="宋体"/>
          <w:bCs/>
          <w:color w:val="000000"/>
          <w:spacing w:val="10"/>
          <w:w w:val="91"/>
          <w:kern w:val="0"/>
        </w:rPr>
        <w:t>、</w:t>
      </w:r>
      <w:r>
        <w:rPr>
          <w:rFonts w:ascii="宋体" w:hAnsi="宋体" w:cs="宋体"/>
          <w:bCs/>
          <w:color w:val="000000"/>
          <w:spacing w:val="-1"/>
          <w:w w:val="95"/>
          <w:kern w:val="0"/>
        </w:rPr>
        <w:t>评</w:t>
      </w:r>
      <w:r>
        <w:rPr>
          <w:rFonts w:ascii="宋体" w:hAnsi="宋体" w:cs="宋体"/>
          <w:bCs/>
          <w:color w:val="000000"/>
          <w:kern w:val="0"/>
        </w:rPr>
        <w:t>估档</w:t>
      </w:r>
      <w:r>
        <w:rPr>
          <w:rFonts w:ascii="宋体" w:hAnsi="宋体" w:cs="宋体"/>
          <w:bCs/>
          <w:color w:val="000000"/>
          <w:spacing w:val="3"/>
          <w:w w:val="98"/>
          <w:kern w:val="0"/>
        </w:rPr>
        <w:t>案</w:t>
      </w:r>
      <w:r>
        <w:rPr>
          <w:rFonts w:ascii="宋体" w:hAnsi="宋体" w:cs="宋体"/>
          <w:bCs/>
          <w:color w:val="000000"/>
          <w:w w:val="99"/>
          <w:kern w:val="0"/>
        </w:rPr>
        <w:t>以</w:t>
      </w:r>
      <w:r>
        <w:rPr>
          <w:rFonts w:ascii="宋体" w:hAnsi="宋体" w:cs="宋体"/>
          <w:bCs/>
          <w:color w:val="000000"/>
          <w:spacing w:val="1"/>
          <w:w w:val="99"/>
          <w:kern w:val="0"/>
        </w:rPr>
        <w:t>及</w:t>
      </w:r>
      <w:r>
        <w:rPr>
          <w:rFonts w:ascii="宋体" w:hAnsi="宋体" w:cs="宋体"/>
          <w:bCs/>
          <w:color w:val="000000"/>
          <w:kern w:val="0"/>
        </w:rPr>
        <w:t>涉</w:t>
      </w:r>
      <w:r>
        <w:rPr>
          <w:rFonts w:ascii="宋体" w:hAnsi="宋体" w:cs="宋体"/>
          <w:bCs/>
          <w:color w:val="000000"/>
          <w:spacing w:val="3"/>
          <w:w w:val="98"/>
          <w:kern w:val="0"/>
        </w:rPr>
        <w:t>及</w:t>
      </w:r>
      <w:r>
        <w:rPr>
          <w:rFonts w:ascii="宋体" w:hAnsi="宋体" w:cs="宋体"/>
          <w:bCs/>
          <w:color w:val="000000"/>
          <w:spacing w:val="2"/>
          <w:w w:val="98"/>
          <w:kern w:val="0"/>
        </w:rPr>
        <w:t>企</w:t>
      </w:r>
      <w:r>
        <w:rPr>
          <w:rFonts w:ascii="宋体" w:hAnsi="宋体" w:cs="宋体"/>
          <w:bCs/>
          <w:color w:val="000000"/>
          <w:spacing w:val="-1"/>
          <w:w w:val="99"/>
          <w:kern w:val="0"/>
        </w:rPr>
        <w:t>业</w:t>
      </w:r>
      <w:r>
        <w:rPr>
          <w:rFonts w:ascii="宋体" w:hAnsi="宋体" w:cs="宋体"/>
          <w:bCs/>
          <w:color w:val="000000"/>
          <w:kern w:val="0"/>
        </w:rPr>
        <w:t>商业秘密的其他内容</w:t>
      </w:r>
      <w:r>
        <w:rPr>
          <w:rFonts w:ascii="宋体" w:hAnsi="宋体" w:cs="宋体"/>
          <w:bCs/>
          <w:color w:val="000000"/>
          <w:spacing w:val="5"/>
          <w:w w:val="97"/>
          <w:kern w:val="0"/>
        </w:rPr>
        <w:t>履</w:t>
      </w:r>
      <w:r>
        <w:rPr>
          <w:rFonts w:ascii="宋体" w:hAnsi="宋体" w:cs="宋体"/>
          <w:bCs/>
          <w:color w:val="000000"/>
          <w:spacing w:val="-2"/>
          <w:w w:val="98"/>
          <w:kern w:val="0"/>
        </w:rPr>
        <w:t>行</w:t>
      </w:r>
      <w:r>
        <w:rPr>
          <w:rFonts w:ascii="宋体" w:hAnsi="宋体" w:cs="宋体"/>
          <w:bCs/>
          <w:color w:val="000000"/>
          <w:kern w:val="0"/>
        </w:rPr>
        <w:t>保密义务，</w:t>
      </w:r>
      <w:r>
        <w:rPr>
          <w:rFonts w:hint="eastAsia" w:ascii="宋体" w:hAnsi="宋体" w:cs="宋体"/>
          <w:bCs/>
          <w:color w:val="000000"/>
          <w:kern w:val="0"/>
        </w:rPr>
        <w:t>未经被评估方同意不得向任何人披露，</w:t>
      </w:r>
      <w:r>
        <w:rPr>
          <w:rFonts w:ascii="宋体" w:hAnsi="宋体" w:cs="宋体"/>
          <w:bCs/>
          <w:color w:val="000000"/>
          <w:kern w:val="0"/>
        </w:rPr>
        <w:t>违法向任</w:t>
      </w:r>
      <w:r>
        <w:rPr>
          <w:rFonts w:ascii="宋体" w:hAnsi="宋体" w:cs="宋体"/>
          <w:bCs/>
          <w:color w:val="000000"/>
          <w:spacing w:val="-1"/>
          <w:kern w:val="0"/>
        </w:rPr>
        <w:t>何</w:t>
      </w:r>
      <w:r>
        <w:rPr>
          <w:rFonts w:ascii="宋体" w:hAnsi="宋体" w:cs="宋体"/>
          <w:bCs/>
          <w:color w:val="000000"/>
          <w:kern w:val="0"/>
        </w:rPr>
        <w:t>人披露评估内容的</w:t>
      </w:r>
      <w:r>
        <w:rPr>
          <w:rFonts w:ascii="宋体" w:hAnsi="宋体" w:cs="宋体"/>
          <w:bCs/>
          <w:color w:val="000000"/>
          <w:w w:val="99"/>
          <w:kern w:val="0"/>
        </w:rPr>
        <w:t>承</w:t>
      </w:r>
      <w:r>
        <w:rPr>
          <w:rFonts w:ascii="宋体" w:hAnsi="宋体" w:cs="宋体"/>
          <w:bCs/>
          <w:color w:val="000000"/>
          <w:spacing w:val="1"/>
          <w:w w:val="99"/>
          <w:kern w:val="0"/>
        </w:rPr>
        <w:t>担</w:t>
      </w:r>
      <w:r>
        <w:rPr>
          <w:rFonts w:ascii="宋体" w:hAnsi="宋体" w:cs="宋体"/>
          <w:bCs/>
          <w:color w:val="000000"/>
          <w:kern w:val="0"/>
        </w:rPr>
        <w:t>相</w:t>
      </w:r>
      <w:r>
        <w:rPr>
          <w:rFonts w:ascii="宋体" w:hAnsi="宋体" w:cs="宋体"/>
          <w:bCs/>
          <w:color w:val="000000"/>
          <w:spacing w:val="3"/>
          <w:w w:val="98"/>
          <w:kern w:val="0"/>
        </w:rPr>
        <w:t>应</w:t>
      </w:r>
      <w:r>
        <w:rPr>
          <w:rFonts w:ascii="宋体" w:hAnsi="宋体" w:cs="宋体"/>
          <w:bCs/>
          <w:color w:val="000000"/>
          <w:spacing w:val="2"/>
          <w:w w:val="98"/>
          <w:kern w:val="0"/>
        </w:rPr>
        <w:t>法</w:t>
      </w:r>
      <w:r>
        <w:rPr>
          <w:rFonts w:ascii="宋体" w:hAnsi="宋体" w:cs="宋体"/>
          <w:bCs/>
          <w:color w:val="000000"/>
          <w:spacing w:val="-1"/>
          <w:w w:val="99"/>
          <w:kern w:val="0"/>
        </w:rPr>
        <w:t>律</w:t>
      </w:r>
      <w:r>
        <w:rPr>
          <w:rFonts w:ascii="宋体" w:hAnsi="宋体" w:cs="宋体"/>
          <w:bCs/>
          <w:color w:val="000000"/>
          <w:kern w:val="0"/>
        </w:rPr>
        <w:t>责任。</w:t>
      </w:r>
    </w:p>
    <w:p>
      <w:pPr>
        <w:autoSpaceDE w:val="0"/>
        <w:autoSpaceDN w:val="0"/>
        <w:spacing w:before="3" w:line="271" w:lineRule="exact"/>
        <w:ind w:right="17" w:firstLine="420"/>
        <w:jc w:val="left"/>
        <w:rPr>
          <w:rFonts w:ascii="宋体" w:hAnsi="宋体" w:cs="宋体"/>
          <w:bCs/>
          <w:color w:val="000000"/>
          <w:spacing w:val="1"/>
          <w:w w:val="99"/>
          <w:kern w:val="0"/>
        </w:rPr>
      </w:pPr>
      <w:r>
        <w:rPr>
          <w:rFonts w:ascii="宋体" w:hAnsi="宋体" w:cs="宋体"/>
          <w:bCs/>
          <w:color w:val="000000"/>
          <w:spacing w:val="5"/>
          <w:w w:val="97"/>
          <w:kern w:val="0"/>
        </w:rPr>
        <w:t>评</w:t>
      </w:r>
      <w:r>
        <w:rPr>
          <w:rFonts w:ascii="宋体" w:hAnsi="宋体" w:cs="宋体"/>
          <w:bCs/>
          <w:color w:val="000000"/>
          <w:spacing w:val="-2"/>
          <w:w w:val="98"/>
          <w:kern w:val="0"/>
        </w:rPr>
        <w:t>估</w:t>
      </w:r>
      <w:r>
        <w:rPr>
          <w:rFonts w:ascii="宋体" w:hAnsi="宋体" w:cs="宋体"/>
          <w:bCs/>
          <w:color w:val="000000"/>
          <w:kern w:val="0"/>
        </w:rPr>
        <w:t>机构和评估对象分</w:t>
      </w:r>
      <w:r>
        <w:rPr>
          <w:rFonts w:ascii="宋体" w:hAnsi="宋体" w:cs="宋体"/>
          <w:bCs/>
          <w:color w:val="000000"/>
          <w:spacing w:val="-1"/>
          <w:kern w:val="0"/>
        </w:rPr>
        <w:t>别</w:t>
      </w:r>
      <w:r>
        <w:rPr>
          <w:rFonts w:ascii="宋体" w:hAnsi="宋体" w:cs="宋体"/>
          <w:bCs/>
          <w:color w:val="000000"/>
          <w:kern w:val="0"/>
        </w:rPr>
        <w:t>对评估档案进行存档</w:t>
      </w:r>
      <w:r>
        <w:rPr>
          <w:rFonts w:ascii="宋体" w:hAnsi="宋体" w:cs="宋体"/>
          <w:bCs/>
          <w:color w:val="000000"/>
          <w:spacing w:val="3"/>
          <w:w w:val="98"/>
          <w:kern w:val="0"/>
        </w:rPr>
        <w:t>留</w:t>
      </w:r>
      <w:r>
        <w:rPr>
          <w:rFonts w:ascii="宋体" w:hAnsi="宋体" w:cs="宋体"/>
          <w:bCs/>
          <w:color w:val="000000"/>
          <w:spacing w:val="17"/>
          <w:w w:val="91"/>
          <w:kern w:val="0"/>
        </w:rPr>
        <w:t>存</w:t>
      </w:r>
      <w:r>
        <w:rPr>
          <w:rFonts w:ascii="宋体" w:hAnsi="宋体" w:cs="宋体"/>
          <w:bCs/>
          <w:color w:val="000000"/>
          <w:spacing w:val="-2"/>
          <w:w w:val="90"/>
          <w:kern w:val="0"/>
        </w:rPr>
        <w:t>，</w:t>
      </w:r>
      <w:r>
        <w:rPr>
          <w:rFonts w:ascii="宋体" w:hAnsi="宋体" w:cs="宋体"/>
          <w:bCs/>
          <w:color w:val="000000"/>
          <w:spacing w:val="7"/>
          <w:w w:val="96"/>
          <w:kern w:val="0"/>
        </w:rPr>
        <w:t>包</w:t>
      </w:r>
      <w:r>
        <w:rPr>
          <w:rFonts w:ascii="宋体" w:hAnsi="宋体" w:cs="宋体"/>
          <w:bCs/>
          <w:color w:val="000000"/>
          <w:spacing w:val="-4"/>
          <w:w w:val="98"/>
          <w:kern w:val="0"/>
        </w:rPr>
        <w:t>括</w:t>
      </w:r>
      <w:r>
        <w:rPr>
          <w:rFonts w:ascii="宋体" w:hAnsi="宋体" w:cs="宋体"/>
          <w:bCs/>
          <w:color w:val="000000"/>
          <w:kern w:val="0"/>
        </w:rPr>
        <w:t>问题和材料清单</w:t>
      </w:r>
      <w:r>
        <w:rPr>
          <w:rFonts w:ascii="宋体" w:hAnsi="宋体" w:cs="宋体"/>
          <w:bCs/>
          <w:color w:val="000000"/>
          <w:spacing w:val="11"/>
          <w:w w:val="92"/>
          <w:kern w:val="0"/>
        </w:rPr>
        <w:t>、</w:t>
      </w:r>
      <w:r>
        <w:rPr>
          <w:rFonts w:ascii="宋体" w:hAnsi="宋体" w:cs="宋体"/>
          <w:bCs/>
          <w:color w:val="000000"/>
          <w:spacing w:val="-2"/>
          <w:w w:val="95"/>
          <w:kern w:val="0"/>
        </w:rPr>
        <w:t>访</w:t>
      </w:r>
      <w:r>
        <w:rPr>
          <w:rFonts w:ascii="宋体" w:hAnsi="宋体" w:cs="宋体"/>
          <w:bCs/>
          <w:color w:val="000000"/>
          <w:kern w:val="0"/>
        </w:rPr>
        <w:t>谈交</w:t>
      </w:r>
      <w:r>
        <w:rPr>
          <w:rFonts w:ascii="宋体" w:hAnsi="宋体" w:cs="宋体"/>
          <w:bCs/>
          <w:color w:val="000000"/>
          <w:spacing w:val="3"/>
          <w:w w:val="98"/>
          <w:kern w:val="0"/>
        </w:rPr>
        <w:t>流</w:t>
      </w:r>
      <w:r>
        <w:rPr>
          <w:rFonts w:ascii="宋体" w:hAnsi="宋体" w:cs="宋体"/>
          <w:bCs/>
          <w:color w:val="000000"/>
          <w:w w:val="99"/>
          <w:kern w:val="0"/>
        </w:rPr>
        <w:t>问</w:t>
      </w:r>
      <w:r>
        <w:rPr>
          <w:rFonts w:ascii="宋体" w:hAnsi="宋体" w:cs="宋体"/>
          <w:bCs/>
          <w:color w:val="000000"/>
          <w:spacing w:val="1"/>
          <w:w w:val="99"/>
          <w:kern w:val="0"/>
        </w:rPr>
        <w:t>题</w:t>
      </w:r>
      <w:r>
        <w:rPr>
          <w:rFonts w:ascii="宋体" w:hAnsi="宋体" w:cs="宋体"/>
          <w:bCs/>
          <w:color w:val="000000"/>
          <w:kern w:val="0"/>
        </w:rPr>
        <w:t>清</w:t>
      </w:r>
      <w:r>
        <w:rPr>
          <w:rFonts w:ascii="宋体" w:hAnsi="宋体" w:cs="宋体"/>
          <w:bCs/>
          <w:color w:val="000000"/>
          <w:spacing w:val="3"/>
          <w:w w:val="98"/>
          <w:kern w:val="0"/>
        </w:rPr>
        <w:t>单</w:t>
      </w:r>
      <w:r>
        <w:rPr>
          <w:rFonts w:ascii="宋体" w:hAnsi="宋体" w:cs="宋体"/>
          <w:bCs/>
          <w:color w:val="000000"/>
          <w:spacing w:val="10"/>
          <w:w w:val="92"/>
          <w:kern w:val="0"/>
        </w:rPr>
        <w:t>、</w:t>
      </w:r>
      <w:r>
        <w:rPr>
          <w:rFonts w:ascii="宋体" w:hAnsi="宋体" w:cs="宋体"/>
          <w:bCs/>
          <w:color w:val="000000"/>
          <w:spacing w:val="-7"/>
          <w:w w:val="98"/>
          <w:kern w:val="0"/>
        </w:rPr>
        <w:t>工</w:t>
      </w:r>
      <w:r>
        <w:rPr>
          <w:rFonts w:ascii="宋体" w:hAnsi="宋体" w:cs="宋体"/>
          <w:bCs/>
          <w:color w:val="000000"/>
          <w:spacing w:val="5"/>
          <w:w w:val="97"/>
          <w:kern w:val="0"/>
        </w:rPr>
        <w:t>作</w:t>
      </w:r>
      <w:r>
        <w:rPr>
          <w:rFonts w:ascii="宋体" w:hAnsi="宋体" w:cs="宋体"/>
          <w:bCs/>
          <w:color w:val="000000"/>
          <w:spacing w:val="-2"/>
          <w:w w:val="98"/>
          <w:kern w:val="0"/>
        </w:rPr>
        <w:t>底</w:t>
      </w:r>
      <w:r>
        <w:rPr>
          <w:rFonts w:ascii="宋体" w:hAnsi="宋体" w:cs="宋体"/>
          <w:bCs/>
          <w:color w:val="000000"/>
          <w:kern w:val="0"/>
        </w:rPr>
        <w:t>稿、评估报告等。相</w:t>
      </w:r>
      <w:r>
        <w:rPr>
          <w:rFonts w:ascii="宋体" w:hAnsi="宋体" w:cs="宋体"/>
          <w:bCs/>
          <w:color w:val="000000"/>
          <w:spacing w:val="-1"/>
          <w:kern w:val="0"/>
        </w:rPr>
        <w:t>关</w:t>
      </w:r>
      <w:r>
        <w:rPr>
          <w:rFonts w:ascii="宋体" w:hAnsi="宋体" w:cs="宋体"/>
          <w:bCs/>
          <w:color w:val="000000"/>
          <w:kern w:val="0"/>
        </w:rPr>
        <w:t>评估档案至少保留</w:t>
      </w:r>
      <w:r>
        <w:rPr>
          <w:rFonts w:ascii="宋体" w:hAnsi="宋体" w:cs="宋体"/>
          <w:bCs/>
          <w:color w:val="000000"/>
          <w:spacing w:val="3"/>
          <w:w w:val="98"/>
          <w:kern w:val="0"/>
        </w:rPr>
        <w:t>三</w:t>
      </w:r>
      <w:r>
        <w:rPr>
          <w:rFonts w:ascii="宋体" w:hAnsi="宋体" w:cs="宋体"/>
          <w:bCs/>
          <w:color w:val="000000"/>
          <w:w w:val="99"/>
          <w:kern w:val="0"/>
        </w:rPr>
        <w:t>年</w:t>
      </w:r>
      <w:r>
        <w:rPr>
          <w:rFonts w:ascii="宋体" w:hAnsi="宋体" w:cs="宋体"/>
          <w:bCs/>
          <w:color w:val="000000"/>
          <w:spacing w:val="1"/>
          <w:w w:val="99"/>
          <w:kern w:val="0"/>
        </w:rPr>
        <w:t>。</w:t>
      </w:r>
    </w:p>
    <w:p>
      <w:pPr>
        <w:pStyle w:val="68"/>
        <w:spacing w:before="120" w:after="120"/>
      </w:pPr>
      <w:r>
        <w:rPr>
          <w:rFonts w:hint="eastAsia"/>
        </w:rPr>
        <w:t>评估周期</w:t>
      </w:r>
    </w:p>
    <w:p>
      <w:pPr>
        <w:pStyle w:val="233"/>
        <w:ind w:firstLine="420"/>
        <w:rPr>
          <w:szCs w:val="21"/>
        </w:rPr>
      </w:pPr>
      <w:r>
        <w:rPr>
          <w:rFonts w:hint="eastAsia"/>
          <w:szCs w:val="21"/>
        </w:rPr>
        <w:t>包括定期评估和临时评估两种方式。企业应至少每年进行一次E</w:t>
      </w:r>
      <w:r>
        <w:rPr>
          <w:szCs w:val="21"/>
        </w:rPr>
        <w:t>SG</w:t>
      </w:r>
      <w:r>
        <w:rPr>
          <w:rFonts w:hint="eastAsia"/>
          <w:szCs w:val="21"/>
        </w:rPr>
        <w:t>评估；当企业经营发生重大变更事项时，宜临时开展E</w:t>
      </w:r>
      <w:r>
        <w:rPr>
          <w:szCs w:val="21"/>
        </w:rPr>
        <w:t>SG</w:t>
      </w:r>
      <w:r>
        <w:rPr>
          <w:rFonts w:hint="eastAsia"/>
          <w:szCs w:val="21"/>
        </w:rPr>
        <w:t>评估。</w:t>
      </w:r>
    </w:p>
    <w:p>
      <w:pPr>
        <w:pStyle w:val="108"/>
        <w:spacing w:before="120" w:after="120"/>
      </w:pPr>
      <w:bookmarkStart w:id="82" w:name="_Toc148362922"/>
      <w:bookmarkStart w:id="83" w:name="_Toc148363720"/>
      <w:bookmarkStart w:id="84" w:name="_Toc148363860"/>
      <w:r>
        <w:rPr>
          <w:rFonts w:hint="eastAsia"/>
        </w:rPr>
        <w:t>评估过程</w:t>
      </w:r>
      <w:bookmarkEnd w:id="82"/>
      <w:bookmarkEnd w:id="83"/>
      <w:bookmarkEnd w:id="84"/>
    </w:p>
    <w:p>
      <w:pPr>
        <w:pStyle w:val="68"/>
        <w:spacing w:before="120" w:after="120"/>
        <w:rPr>
          <w:w w:val="97"/>
        </w:rPr>
      </w:pPr>
      <w:bookmarkStart w:id="85" w:name="_bookmark7"/>
      <w:bookmarkEnd w:id="85"/>
      <w:r>
        <w:rPr>
          <w:rFonts w:hint="eastAsia"/>
          <w:w w:val="97"/>
        </w:rPr>
        <w:t>评估准备</w:t>
      </w:r>
    </w:p>
    <w:p>
      <w:pPr>
        <w:pStyle w:val="97"/>
        <w:spacing w:before="120" w:after="120"/>
        <w:rPr>
          <w:rFonts w:hAnsi="黑体"/>
          <w:szCs w:val="21"/>
        </w:rPr>
      </w:pPr>
      <w:r>
        <w:rPr>
          <w:rFonts w:hint="eastAsia" w:hAnsi="黑体"/>
          <w:szCs w:val="21"/>
        </w:rPr>
        <w:t>确定评估人员</w:t>
      </w:r>
    </w:p>
    <w:p>
      <w:pPr>
        <w:pStyle w:val="59"/>
        <w:ind w:firstLine="420"/>
      </w:pPr>
      <w:r>
        <w:rPr>
          <w:rFonts w:hint="eastAsia"/>
        </w:rPr>
        <w:t>组建</w:t>
      </w:r>
      <w:r>
        <w:t>ESG评估工作小组，全面负责互联网企业ESG评估工作。</w:t>
      </w:r>
      <w:r>
        <w:rPr>
          <w:rFonts w:hint="eastAsia"/>
        </w:rPr>
        <w:t>评估工作小组应当符合以下要求：</w:t>
      </w:r>
    </w:p>
    <w:p>
      <w:pPr>
        <w:pStyle w:val="177"/>
      </w:pPr>
      <w:r>
        <w:rPr>
          <w:rFonts w:hint="eastAsia"/>
        </w:rPr>
        <w:t>组成人员包括至少</w:t>
      </w:r>
      <w:r>
        <w:t>5</w:t>
      </w:r>
      <w:r>
        <w:rPr>
          <w:rFonts w:hint="eastAsia"/>
        </w:rPr>
        <w:t>名具有专业知识的成员；</w:t>
      </w:r>
    </w:p>
    <w:p>
      <w:pPr>
        <w:pStyle w:val="177"/>
      </w:pPr>
      <w:r>
        <w:rPr>
          <w:rFonts w:hint="eastAsia"/>
        </w:rPr>
        <w:t>明确评估人员的职责与权限；</w:t>
      </w:r>
    </w:p>
    <w:p>
      <w:pPr>
        <w:pStyle w:val="177"/>
      </w:pPr>
      <w:r>
        <w:rPr>
          <w:rFonts w:hint="eastAsia"/>
        </w:rPr>
        <w:t>明确小组内部表决方式。</w:t>
      </w:r>
    </w:p>
    <w:p>
      <w:pPr>
        <w:pStyle w:val="97"/>
        <w:spacing w:before="120" w:after="120"/>
        <w:rPr>
          <w:rFonts w:hAnsi="黑体"/>
          <w:szCs w:val="21"/>
        </w:rPr>
      </w:pPr>
      <w:r>
        <w:rPr>
          <w:rFonts w:hint="eastAsia" w:hAnsi="黑体"/>
          <w:szCs w:val="21"/>
        </w:rPr>
        <w:t>确定评估对象</w:t>
      </w:r>
    </w:p>
    <w:p>
      <w:pPr>
        <w:pStyle w:val="59"/>
        <w:ind w:firstLine="420"/>
      </w:pPr>
      <w:r>
        <w:rPr>
          <w:rFonts w:hint="eastAsia"/>
        </w:rPr>
        <w:t>评估对象为向自然人、法人及其他市场主体提供经营场所、交易撮合、信息交流等互联网服务的法人或非法人组织。</w:t>
      </w:r>
    </w:p>
    <w:p>
      <w:pPr>
        <w:pStyle w:val="97"/>
        <w:spacing w:before="120" w:after="120"/>
        <w:rPr>
          <w:rFonts w:hAnsi="黑体"/>
          <w:szCs w:val="21"/>
        </w:rPr>
      </w:pPr>
      <w:r>
        <w:rPr>
          <w:rFonts w:hint="eastAsia" w:hAnsi="黑体"/>
          <w:szCs w:val="21"/>
        </w:rPr>
        <w:t>制定评估方案</w:t>
      </w:r>
    </w:p>
    <w:p>
      <w:pPr>
        <w:pStyle w:val="97"/>
        <w:numPr>
          <w:ilvl w:val="255"/>
          <w:numId w:val="0"/>
        </w:numPr>
        <w:spacing w:before="120" w:after="120"/>
        <w:ind w:firstLine="420" w:firstLineChars="200"/>
      </w:pPr>
      <w:r>
        <w:rPr>
          <w:rFonts w:hint="eastAsia" w:ascii="宋体" w:hAnsi="宋体" w:eastAsia="宋体" w:cs="宋体"/>
        </w:rPr>
        <w:t>评估方根据评估目的需要，综合考虑当前互联网企业内外部影响因素，制定与其需求相符合的评估方案，评估方案应包括评估方法、评估流程、评估指标打分实施细则等内容。</w:t>
      </w:r>
    </w:p>
    <w:p>
      <w:pPr>
        <w:pStyle w:val="97"/>
        <w:spacing w:before="120" w:after="120"/>
      </w:pPr>
      <w:r>
        <w:rPr>
          <w:rFonts w:hint="eastAsia" w:hAnsi="黑体"/>
          <w:szCs w:val="21"/>
        </w:rPr>
        <w:t>安排评估进度</w:t>
      </w:r>
    </w:p>
    <w:p>
      <w:pPr>
        <w:pStyle w:val="59"/>
        <w:ind w:firstLine="420"/>
      </w:pPr>
      <w:r>
        <w:rPr>
          <w:rFonts w:hint="eastAsia"/>
        </w:rPr>
        <w:t>制定评估工作计划，确定数据收集、评估、形成与发布评估结果等环节的时间安排。</w:t>
      </w:r>
    </w:p>
    <w:p>
      <w:pPr>
        <w:pStyle w:val="68"/>
        <w:spacing w:before="120" w:after="120"/>
        <w:rPr>
          <w:w w:val="97"/>
        </w:rPr>
      </w:pPr>
      <w:r>
        <w:rPr>
          <w:rFonts w:hint="eastAsia"/>
          <w:w w:val="97"/>
        </w:rPr>
        <w:t>数据收集与评估实施</w:t>
      </w:r>
    </w:p>
    <w:p>
      <w:pPr>
        <w:pStyle w:val="59"/>
        <w:ind w:firstLine="420"/>
      </w:pPr>
      <w:r>
        <w:rPr>
          <w:rFonts w:hint="eastAsia"/>
        </w:rPr>
        <w:t>评估主体应尽可能完整地采集评估对象的内部信息与外部信息。</w:t>
      </w:r>
    </w:p>
    <w:p>
      <w:pPr>
        <w:pStyle w:val="59"/>
        <w:ind w:firstLine="420"/>
      </w:pPr>
      <w:r>
        <w:rPr>
          <w:rFonts w:hint="eastAsia"/>
        </w:rPr>
        <w:t>评估的数据源于合法的公开信息如企业年报、企业</w:t>
      </w:r>
      <w:r>
        <w:t>ESG报告、</w:t>
      </w:r>
      <w:r>
        <w:rPr>
          <w:rFonts w:hint="eastAsia"/>
        </w:rPr>
        <w:t>企业公开披露的其他信息</w:t>
      </w:r>
      <w:r>
        <w:t>。</w:t>
      </w:r>
    </w:p>
    <w:p>
      <w:pPr>
        <w:pStyle w:val="59"/>
        <w:ind w:firstLine="420"/>
      </w:pPr>
      <w:r>
        <w:rPr>
          <w:rFonts w:hint="eastAsia"/>
        </w:rPr>
        <w:t>同时</w:t>
      </w:r>
      <w:r>
        <w:t>，</w:t>
      </w:r>
      <w:r>
        <w:rPr>
          <w:rFonts w:hint="eastAsia"/>
        </w:rPr>
        <w:t>评估也将参考</w:t>
      </w:r>
      <w:r>
        <w:t>国家或地方监管部门信息、国家或地方统计部门信息等</w:t>
      </w:r>
      <w:r>
        <w:rPr>
          <w:rFonts w:hint="eastAsia"/>
        </w:rPr>
        <w:t>，尤其是在评估减分项时，将以上述</w:t>
      </w:r>
      <w:r>
        <w:t>信息</w:t>
      </w:r>
      <w:r>
        <w:rPr>
          <w:rFonts w:hint="eastAsia"/>
        </w:rPr>
        <w:t>为</w:t>
      </w:r>
      <w:r>
        <w:t>主要参考来源</w:t>
      </w:r>
      <w:r>
        <w:rPr>
          <w:rFonts w:hint="eastAsia"/>
        </w:rPr>
        <w:t>。</w:t>
      </w:r>
    </w:p>
    <w:p>
      <w:pPr>
        <w:pStyle w:val="59"/>
        <w:ind w:firstLine="420"/>
      </w:pPr>
      <w:r>
        <w:rPr>
          <w:rFonts w:hint="eastAsia"/>
        </w:rPr>
        <w:t>根据前期确定的评估方法，对收集到的数据进行汇总、清理、量化评估。</w:t>
      </w:r>
    </w:p>
    <w:p>
      <w:pPr>
        <w:pStyle w:val="68"/>
        <w:spacing w:before="120" w:after="120"/>
        <w:rPr>
          <w:w w:val="97"/>
        </w:rPr>
      </w:pPr>
      <w:r>
        <w:rPr>
          <w:rFonts w:hint="eastAsia"/>
          <w:w w:val="97"/>
        </w:rPr>
        <w:t>评估结果的形成与发布</w:t>
      </w:r>
    </w:p>
    <w:p>
      <w:pPr>
        <w:pStyle w:val="97"/>
        <w:spacing w:before="120" w:after="120"/>
        <w:rPr>
          <w:rFonts w:hAnsi="黑体"/>
          <w:szCs w:val="21"/>
        </w:rPr>
      </w:pPr>
      <w:r>
        <w:rPr>
          <w:rFonts w:hint="eastAsia" w:hAnsi="黑体"/>
          <w:szCs w:val="21"/>
        </w:rPr>
        <w:t>评估报告</w:t>
      </w:r>
    </w:p>
    <w:p>
      <w:pPr>
        <w:pStyle w:val="59"/>
        <w:ind w:firstLine="420"/>
      </w:pPr>
      <w:r>
        <w:t>评估报告内容包括风险评估实施概况、ESG风险</w:t>
      </w:r>
      <w:r>
        <w:rPr>
          <w:rFonts w:hint="eastAsia"/>
        </w:rPr>
        <w:t>现状</w:t>
      </w:r>
      <w:r>
        <w:t>、原因机制、</w:t>
      </w:r>
      <w:r>
        <w:rPr>
          <w:rFonts w:hint="eastAsia"/>
        </w:rPr>
        <w:t>影响范围、</w:t>
      </w:r>
      <w:r>
        <w:t>可能的损失、处置建议、应对措施等。</w:t>
      </w:r>
    </w:p>
    <w:p>
      <w:pPr>
        <w:pStyle w:val="59"/>
        <w:ind w:firstLine="420"/>
      </w:pPr>
      <w:r>
        <w:rPr>
          <w:rFonts w:hint="eastAsia"/>
        </w:rPr>
        <w:t>互联网企业通过自评估或第三方评估方式编制</w:t>
      </w:r>
      <w:r>
        <w:t>的</w:t>
      </w:r>
      <w:r>
        <w:rPr>
          <w:rFonts w:hint="eastAsia"/>
        </w:rPr>
        <w:t>评估报</w:t>
      </w:r>
      <w:r>
        <w:t>告可以仅供</w:t>
      </w:r>
      <w:r>
        <w:rPr>
          <w:rFonts w:hint="eastAsia"/>
        </w:rPr>
        <w:t>企业决策层</w:t>
      </w:r>
      <w:r>
        <w:t>、管理层</w:t>
      </w:r>
      <w:r>
        <w:rPr>
          <w:rFonts w:hint="eastAsia"/>
        </w:rPr>
        <w:t>和各</w:t>
      </w:r>
      <w:r>
        <w:t>业务部门</w:t>
      </w:r>
      <w:r>
        <w:rPr>
          <w:rFonts w:hint="eastAsia"/>
        </w:rPr>
        <w:t>使用</w:t>
      </w:r>
      <w:r>
        <w:t>，也可以在</w:t>
      </w:r>
      <w:r>
        <w:rPr>
          <w:rFonts w:hint="eastAsia"/>
        </w:rPr>
        <w:t>企业</w:t>
      </w:r>
      <w:r>
        <w:t>的授权下向其他组织或者社会公众发布。</w:t>
      </w:r>
    </w:p>
    <w:p>
      <w:pPr>
        <w:pStyle w:val="97"/>
        <w:spacing w:before="120" w:after="120"/>
        <w:rPr>
          <w:rFonts w:hAnsi="黑体"/>
          <w:szCs w:val="21"/>
        </w:rPr>
      </w:pPr>
      <w:r>
        <w:rPr>
          <w:rFonts w:hint="eastAsia" w:hAnsi="黑体"/>
          <w:szCs w:val="21"/>
        </w:rPr>
        <w:t>评估结果的沟通</w:t>
      </w:r>
    </w:p>
    <w:p>
      <w:pPr>
        <w:pStyle w:val="59"/>
        <w:ind w:firstLine="420"/>
      </w:pPr>
      <w:r>
        <w:rPr>
          <w:rFonts w:hint="eastAsia"/>
        </w:rPr>
        <w:t>与互联网企业就某一评估项目的结论进行沟通时，对评估对象范围、评估所依据的</w:t>
      </w:r>
      <w:r>
        <w:t>ESG信息范围（如时间范围、内外部信息采集范围等）、所采用的评估方法、数据来源、评估结果的含义等内容进行说明</w:t>
      </w:r>
      <w:r>
        <w:rPr>
          <w:rFonts w:hint="eastAsia"/>
        </w:rPr>
        <w:t>，另也</w:t>
      </w:r>
      <w:r>
        <w:t>宜对评估重点以及关键ESG风险指标的识别方法和识别结果作出说明。</w:t>
      </w:r>
    </w:p>
    <w:p>
      <w:pPr>
        <w:pStyle w:val="59"/>
        <w:ind w:firstLine="420"/>
      </w:pPr>
      <w:r>
        <w:rPr>
          <w:rFonts w:hint="eastAsia"/>
        </w:rPr>
        <w:t>当某一评估对象的某个指标或整体评估结论出现显著偏离普通水平的情况，宜对其原因做出解释说明。</w:t>
      </w:r>
    </w:p>
    <w:p>
      <w:pPr>
        <w:pStyle w:val="97"/>
        <w:spacing w:before="120" w:after="120"/>
        <w:rPr>
          <w:rFonts w:hAnsi="黑体"/>
          <w:szCs w:val="21"/>
        </w:rPr>
      </w:pPr>
      <w:r>
        <w:rPr>
          <w:rFonts w:hAnsi="黑体"/>
          <w:szCs w:val="21"/>
        </w:rPr>
        <w:t>复评</w:t>
      </w:r>
    </w:p>
    <w:p>
      <w:pPr>
        <w:pStyle w:val="59"/>
        <w:ind w:firstLine="420"/>
      </w:pPr>
      <w:r>
        <w:t>评估结果为不合格的，评估对象采取纠正措施，明确整改任务和完成时限。纠正工作完成后，企业可以向评估机构申请开展复评，复评合格</w:t>
      </w:r>
      <w:r>
        <w:rPr>
          <w:rFonts w:hint="eastAsia"/>
        </w:rPr>
        <w:t>者</w:t>
      </w:r>
      <w:r>
        <w:t>，视为评估合格。</w:t>
      </w:r>
    </w:p>
    <w:p>
      <w:pPr>
        <w:pStyle w:val="107"/>
        <w:spacing w:before="240" w:after="240"/>
        <w:rPr>
          <w:rFonts w:hAnsi="黑体"/>
          <w:szCs w:val="21"/>
        </w:rPr>
      </w:pPr>
      <w:bookmarkStart w:id="86" w:name="_Toc130801059"/>
      <w:bookmarkEnd w:id="86"/>
      <w:bookmarkStart w:id="87" w:name="_Toc130801068"/>
      <w:bookmarkEnd w:id="87"/>
      <w:bookmarkStart w:id="88" w:name="_Toc130801405"/>
      <w:bookmarkEnd w:id="88"/>
      <w:bookmarkStart w:id="89" w:name="_Toc148363721"/>
      <w:bookmarkStart w:id="90" w:name="_Toc148362923"/>
      <w:bookmarkStart w:id="91" w:name="_Toc148363861"/>
      <w:r>
        <w:rPr>
          <w:rFonts w:hint="eastAsia" w:hAnsi="黑体"/>
          <w:szCs w:val="21"/>
        </w:rPr>
        <w:t>评估指标及</w:t>
      </w:r>
      <w:bookmarkEnd w:id="89"/>
      <w:bookmarkEnd w:id="90"/>
      <w:r>
        <w:rPr>
          <w:rFonts w:hint="eastAsia" w:hAnsi="黑体"/>
          <w:szCs w:val="21"/>
        </w:rPr>
        <w:t>等级划分</w:t>
      </w:r>
      <w:bookmarkEnd w:id="91"/>
    </w:p>
    <w:p>
      <w:pPr>
        <w:pStyle w:val="108"/>
        <w:spacing w:before="120" w:after="120"/>
      </w:pPr>
      <w:bookmarkStart w:id="92" w:name="_Toc148363862"/>
      <w:bookmarkStart w:id="93" w:name="_Toc148363722"/>
      <w:bookmarkStart w:id="94" w:name="_Toc148362924"/>
      <w:r>
        <w:rPr>
          <w:rFonts w:hint="eastAsia"/>
        </w:rPr>
        <w:t>评估指标</w:t>
      </w:r>
      <w:bookmarkEnd w:id="92"/>
      <w:bookmarkEnd w:id="93"/>
      <w:bookmarkEnd w:id="94"/>
    </w:p>
    <w:p>
      <w:pPr>
        <w:pStyle w:val="68"/>
        <w:spacing w:before="120" w:after="120"/>
      </w:pPr>
      <w:r>
        <w:rPr>
          <w:rFonts w:hint="eastAsia"/>
        </w:rPr>
        <w:t>概述</w:t>
      </w:r>
    </w:p>
    <w:p>
      <w:pPr>
        <w:pStyle w:val="59"/>
        <w:ind w:firstLine="420"/>
      </w:pPr>
      <w:r>
        <w:rPr>
          <w:rFonts w:hint="eastAsia"/>
        </w:rPr>
        <w:t>评估指标分为环境维度、社会维度、治理维度三个部分，每个部分下包含若干一级指标，一级指标下又包括若干二级指标和三级指标。</w:t>
      </w:r>
    </w:p>
    <w:p>
      <w:pPr>
        <w:pStyle w:val="59"/>
        <w:ind w:firstLine="420"/>
      </w:pPr>
      <w:r>
        <w:rPr>
          <w:rFonts w:hint="eastAsia"/>
        </w:rPr>
        <w:t>若被评估主体不属于特定的互联网企业，如企业不存在新就业形态劳动者、不存在经营电子商务平台等情况，则被评估主体可以自动得到该项评估分。</w:t>
      </w:r>
    </w:p>
    <w:p>
      <w:pPr>
        <w:pStyle w:val="68"/>
        <w:spacing w:before="120" w:after="120"/>
      </w:pPr>
      <w:r>
        <w:rPr>
          <w:rFonts w:hint="eastAsia"/>
        </w:rPr>
        <w:t>环境维度评估指标</w:t>
      </w:r>
    </w:p>
    <w:p>
      <w:pPr>
        <w:pStyle w:val="59"/>
        <w:ind w:firstLine="420"/>
      </w:pPr>
      <w:r>
        <w:rPr>
          <w:rFonts w:hint="eastAsia"/>
        </w:rPr>
        <w:t>环境维度评估是对互联网平台企业规划和建设项目实施后、或互联网平台企业日常运营行为可能造成的环境影响进行分析、预测和评估，提出预防或者减轻不良环境影响的对策和措施，进行跟踪监测的方法与制度，包括环境管理体系，环境披露与治理体系，环境保护理念传播，环境负面事件四个一级指标。环境维度的评估指标见表1。</w:t>
      </w:r>
    </w:p>
    <w:p>
      <w:pPr>
        <w:pStyle w:val="115"/>
        <w:spacing w:before="120" w:after="120"/>
      </w:pPr>
      <w:r>
        <w:rPr>
          <w:rFonts w:hint="eastAsia"/>
        </w:rPr>
        <w:t>环境维度评估指标</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33"/>
        <w:gridCol w:w="1276"/>
        <w:gridCol w:w="2410"/>
        <w:gridCol w:w="38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33" w:type="dxa"/>
            <w:tcBorders>
              <w:top w:val="single" w:color="auto" w:sz="8" w:space="0"/>
              <w:bottom w:val="single" w:color="auto" w:sz="8" w:space="0"/>
            </w:tcBorders>
            <w:shd w:val="clear" w:color="auto" w:fill="auto"/>
            <w:vAlign w:val="center"/>
          </w:tcPr>
          <w:p>
            <w:pPr>
              <w:autoSpaceDE w:val="0"/>
              <w:autoSpaceDN w:val="0"/>
              <w:spacing w:before="35" w:line="209" w:lineRule="exact"/>
              <w:jc w:val="center"/>
              <w:rPr>
                <w:rFonts w:ascii="宋体" w:hAnsi="宋体" w:cs="宋体"/>
                <w:sz w:val="18"/>
                <w:szCs w:val="18"/>
              </w:rPr>
            </w:pPr>
            <w:r>
              <w:rPr>
                <w:rFonts w:ascii="宋体" w:hAnsi="宋体" w:cs="宋体"/>
                <w:b/>
                <w:bCs/>
                <w:color w:val="000000"/>
                <w:spacing w:val="5"/>
                <w:w w:val="97"/>
                <w:kern w:val="0"/>
                <w:sz w:val="18"/>
                <w:szCs w:val="18"/>
              </w:rPr>
              <w:t>一</w:t>
            </w:r>
            <w:r>
              <w:rPr>
                <w:rFonts w:ascii="宋体" w:hAnsi="宋体" w:cs="宋体"/>
                <w:b/>
                <w:bCs/>
                <w:color w:val="000000"/>
                <w:spacing w:val="19"/>
                <w:w w:val="89"/>
                <w:kern w:val="0"/>
                <w:sz w:val="18"/>
                <w:szCs w:val="18"/>
              </w:rPr>
              <w:t>级</w:t>
            </w:r>
            <w:r>
              <w:rPr>
                <w:rFonts w:ascii="宋体" w:hAnsi="宋体" w:cs="宋体"/>
                <w:b/>
                <w:bCs/>
                <w:color w:val="000000"/>
                <w:spacing w:val="5"/>
                <w:w w:val="89"/>
                <w:kern w:val="0"/>
                <w:sz w:val="18"/>
                <w:szCs w:val="18"/>
              </w:rPr>
              <w:t>指</w:t>
            </w:r>
            <w:r>
              <w:rPr>
                <w:rFonts w:ascii="宋体" w:hAnsi="宋体" w:cs="宋体"/>
                <w:b/>
                <w:bCs/>
                <w:color w:val="000000"/>
                <w:spacing w:val="19"/>
                <w:w w:val="89"/>
                <w:kern w:val="0"/>
                <w:sz w:val="18"/>
                <w:szCs w:val="18"/>
              </w:rPr>
              <w:t>标</w:t>
            </w:r>
          </w:p>
        </w:tc>
        <w:tc>
          <w:tcPr>
            <w:tcW w:w="1276" w:type="dxa"/>
            <w:tcBorders>
              <w:top w:val="single" w:color="auto" w:sz="8" w:space="0"/>
              <w:bottom w:val="single" w:color="auto" w:sz="8" w:space="0"/>
            </w:tcBorders>
            <w:shd w:val="clear" w:color="auto" w:fill="auto"/>
            <w:vAlign w:val="center"/>
          </w:tcPr>
          <w:p>
            <w:pPr>
              <w:autoSpaceDE w:val="0"/>
              <w:autoSpaceDN w:val="0"/>
              <w:spacing w:before="35" w:line="209" w:lineRule="exact"/>
              <w:jc w:val="center"/>
              <w:rPr>
                <w:rFonts w:ascii="宋体" w:hAnsi="宋体" w:cs="宋体"/>
                <w:sz w:val="18"/>
                <w:szCs w:val="18"/>
              </w:rPr>
            </w:pPr>
            <w:r>
              <w:rPr>
                <w:rFonts w:ascii="宋体" w:hAnsi="宋体" w:cs="宋体"/>
                <w:b/>
                <w:bCs/>
                <w:color w:val="000000"/>
                <w:spacing w:val="5"/>
                <w:w w:val="97"/>
                <w:kern w:val="0"/>
                <w:sz w:val="18"/>
                <w:szCs w:val="18"/>
              </w:rPr>
              <w:t>二</w:t>
            </w:r>
            <w:r>
              <w:rPr>
                <w:rFonts w:ascii="宋体" w:hAnsi="宋体" w:cs="宋体"/>
                <w:b/>
                <w:bCs/>
                <w:color w:val="000000"/>
                <w:spacing w:val="19"/>
                <w:w w:val="89"/>
                <w:kern w:val="0"/>
                <w:sz w:val="18"/>
                <w:szCs w:val="18"/>
              </w:rPr>
              <w:t>级</w:t>
            </w:r>
            <w:r>
              <w:rPr>
                <w:rFonts w:ascii="宋体" w:hAnsi="宋体" w:cs="宋体"/>
                <w:b/>
                <w:bCs/>
                <w:color w:val="000000"/>
                <w:spacing w:val="5"/>
                <w:w w:val="89"/>
                <w:kern w:val="0"/>
                <w:sz w:val="18"/>
                <w:szCs w:val="18"/>
              </w:rPr>
              <w:t>指</w:t>
            </w:r>
            <w:r>
              <w:rPr>
                <w:rFonts w:ascii="宋体" w:hAnsi="宋体" w:cs="宋体"/>
                <w:b/>
                <w:bCs/>
                <w:color w:val="000000"/>
                <w:spacing w:val="19"/>
                <w:w w:val="89"/>
                <w:kern w:val="0"/>
                <w:sz w:val="18"/>
                <w:szCs w:val="18"/>
              </w:rPr>
              <w:t>标</w:t>
            </w:r>
          </w:p>
        </w:tc>
        <w:tc>
          <w:tcPr>
            <w:tcW w:w="2410" w:type="dxa"/>
            <w:tcBorders>
              <w:top w:val="single" w:color="auto" w:sz="8" w:space="0"/>
              <w:bottom w:val="single" w:color="auto" w:sz="8" w:space="0"/>
            </w:tcBorders>
            <w:shd w:val="clear" w:color="auto" w:fill="auto"/>
            <w:vAlign w:val="center"/>
          </w:tcPr>
          <w:p>
            <w:pPr>
              <w:autoSpaceDE w:val="0"/>
              <w:autoSpaceDN w:val="0"/>
              <w:spacing w:before="35" w:line="209" w:lineRule="exact"/>
              <w:jc w:val="center"/>
              <w:rPr>
                <w:rFonts w:ascii="宋体" w:hAnsi="宋体" w:cs="宋体"/>
                <w:sz w:val="18"/>
                <w:szCs w:val="18"/>
              </w:rPr>
            </w:pPr>
            <w:r>
              <w:rPr>
                <w:rFonts w:hint="eastAsia" w:ascii="宋体" w:hAnsi="宋体" w:cs="宋体"/>
                <w:b/>
                <w:bCs/>
                <w:color w:val="000000"/>
                <w:spacing w:val="5"/>
                <w:w w:val="97"/>
                <w:kern w:val="0"/>
                <w:sz w:val="18"/>
                <w:szCs w:val="18"/>
              </w:rPr>
              <w:t>三级指标</w:t>
            </w:r>
          </w:p>
        </w:tc>
        <w:tc>
          <w:tcPr>
            <w:tcW w:w="3815" w:type="dxa"/>
            <w:tcBorders>
              <w:top w:val="single" w:color="auto" w:sz="8" w:space="0"/>
              <w:bottom w:val="single" w:color="auto" w:sz="8" w:space="0"/>
            </w:tcBorders>
            <w:shd w:val="clear" w:color="auto" w:fill="auto"/>
            <w:vAlign w:val="center"/>
          </w:tcPr>
          <w:p>
            <w:pPr>
              <w:autoSpaceDE w:val="0"/>
              <w:autoSpaceDN w:val="0"/>
              <w:spacing w:before="35" w:line="209" w:lineRule="exact"/>
              <w:jc w:val="center"/>
              <w:rPr>
                <w:rFonts w:ascii="宋体" w:hAnsi="宋体" w:cs="宋体"/>
                <w:sz w:val="18"/>
                <w:szCs w:val="18"/>
              </w:rPr>
            </w:pPr>
            <w:r>
              <w:rPr>
                <w:rFonts w:hint="eastAsia" w:ascii="宋体" w:hAnsi="宋体" w:cs="宋体"/>
                <w:b/>
                <w:bCs/>
                <w:color w:val="000000"/>
                <w:spacing w:val="5"/>
                <w:w w:val="97"/>
                <w:kern w:val="0"/>
                <w:sz w:val="18"/>
                <w:szCs w:val="18"/>
              </w:rPr>
              <w:t>评分细则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restart"/>
            <w:tcBorders>
              <w:top w:val="single" w:color="auto" w:sz="8" w:space="0"/>
            </w:tcBorders>
            <w:shd w:val="clear" w:color="auto" w:fill="auto"/>
            <w:vAlign w:val="center"/>
          </w:tcPr>
          <w:p>
            <w:pPr>
              <w:pStyle w:val="181"/>
              <w:rPr>
                <w:rFonts w:hAnsi="宋体" w:cs="宋体"/>
                <w:bCs/>
                <w:color w:val="000000"/>
                <w:szCs w:val="18"/>
              </w:rPr>
            </w:pPr>
            <w:r>
              <w:rPr>
                <w:rFonts w:hint="eastAsia" w:hAnsi="宋体" w:cs="宋体"/>
                <w:bCs/>
                <w:color w:val="000000"/>
                <w:szCs w:val="18"/>
              </w:rPr>
              <w:t>环境管理体系</w:t>
            </w:r>
          </w:p>
          <w:p>
            <w:pPr>
              <w:pStyle w:val="181"/>
            </w:pPr>
            <w:r>
              <w:rPr>
                <w:rFonts w:hAnsi="宋体" w:cs="宋体"/>
                <w:bCs/>
                <w:color w:val="000000"/>
                <w:spacing w:val="1"/>
                <w:w w:val="99"/>
                <w:szCs w:val="18"/>
              </w:rPr>
              <w:t>（</w:t>
            </w:r>
            <w:r>
              <w:rPr>
                <w:rFonts w:hint="eastAsia" w:hAnsi="宋体" w:cs="宋体"/>
                <w:bCs/>
                <w:color w:val="000000"/>
                <w:spacing w:val="-5"/>
                <w:w w:val="105"/>
                <w:szCs w:val="18"/>
              </w:rPr>
              <w:t>30</w:t>
            </w:r>
            <w:r>
              <w:rPr>
                <w:rFonts w:hint="eastAsia" w:hAnsi="宋体" w:cs="宋体"/>
                <w:bCs/>
                <w:color w:val="000000"/>
                <w:w w:val="99"/>
                <w:szCs w:val="18"/>
              </w:rPr>
              <w:t xml:space="preserve"> </w:t>
            </w:r>
            <w:r>
              <w:rPr>
                <w:rFonts w:hAnsi="宋体" w:cs="宋体"/>
                <w:bCs/>
                <w:color w:val="000000"/>
                <w:spacing w:val="11"/>
                <w:w w:val="94"/>
                <w:szCs w:val="18"/>
              </w:rPr>
              <w:t>分</w:t>
            </w:r>
            <w:r>
              <w:rPr>
                <w:rFonts w:hAnsi="宋体" w:cs="宋体"/>
                <w:bCs/>
                <w:color w:val="000000"/>
                <w:spacing w:val="-6"/>
                <w:w w:val="97"/>
                <w:szCs w:val="18"/>
              </w:rPr>
              <w:t>）</w:t>
            </w:r>
          </w:p>
        </w:tc>
        <w:tc>
          <w:tcPr>
            <w:tcW w:w="1276" w:type="dxa"/>
            <w:vMerge w:val="restart"/>
            <w:tcBorders>
              <w:top w:val="single" w:color="auto" w:sz="8" w:space="0"/>
            </w:tcBorders>
            <w:shd w:val="clear" w:color="auto" w:fill="auto"/>
            <w:vAlign w:val="center"/>
          </w:tcPr>
          <w:p>
            <w:pPr>
              <w:pStyle w:val="181"/>
            </w:pPr>
            <w:r>
              <w:rPr>
                <w:rFonts w:hint="eastAsia"/>
              </w:rPr>
              <w:t>环境管理硬件体系（11 分）</w:t>
            </w:r>
          </w:p>
        </w:tc>
        <w:tc>
          <w:tcPr>
            <w:tcW w:w="2410" w:type="dxa"/>
            <w:tcBorders>
              <w:top w:val="single" w:color="auto" w:sz="8" w:space="0"/>
            </w:tcBorders>
            <w:shd w:val="clear" w:color="auto" w:fill="auto"/>
            <w:vAlign w:val="center"/>
          </w:tcPr>
          <w:p>
            <w:pPr>
              <w:autoSpaceDE w:val="0"/>
              <w:autoSpaceDN w:val="0"/>
              <w:spacing w:line="240" w:lineRule="auto"/>
              <w:ind w:left="109" w:right="6"/>
              <w:jc w:val="left"/>
              <w:rPr>
                <w:rFonts w:ascii="宋体" w:hAnsi="宋体" w:cs="宋体"/>
                <w:sz w:val="18"/>
                <w:szCs w:val="18"/>
              </w:rPr>
            </w:pPr>
            <w:r>
              <w:rPr>
                <w:rFonts w:hint="eastAsia" w:ascii="宋体" w:hAnsi="宋体" w:cs="宋体"/>
                <w:sz w:val="18"/>
                <w:szCs w:val="18"/>
              </w:rPr>
              <w:t>使用可再生能源（</w:t>
            </w:r>
            <w:r>
              <w:rPr>
                <w:rFonts w:ascii="宋体" w:hAnsi="宋体" w:cs="宋体"/>
                <w:sz w:val="18"/>
                <w:szCs w:val="18"/>
              </w:rPr>
              <w:t>3</w:t>
            </w:r>
            <w:r>
              <w:rPr>
                <w:rFonts w:hint="eastAsia" w:ascii="宋体" w:hAnsi="宋体" w:cs="宋体"/>
                <w:sz w:val="18"/>
                <w:szCs w:val="18"/>
              </w:rPr>
              <w:t>分）</w:t>
            </w:r>
          </w:p>
        </w:tc>
        <w:tc>
          <w:tcPr>
            <w:tcW w:w="3815" w:type="dxa"/>
            <w:tcBorders>
              <w:top w:val="single" w:color="auto" w:sz="8" w:space="0"/>
            </w:tcBorders>
            <w:shd w:val="clear" w:color="auto" w:fill="auto"/>
            <w:vAlign w:val="center"/>
          </w:tcPr>
          <w:p>
            <w:pPr>
              <w:autoSpaceDE w:val="0"/>
              <w:autoSpaceDN w:val="0"/>
              <w:spacing w:line="240" w:lineRule="auto"/>
              <w:ind w:left="108" w:right="6"/>
              <w:jc w:val="left"/>
              <w:rPr>
                <w:rFonts w:ascii="宋体" w:hAnsi="宋体" w:cs="宋体"/>
                <w:sz w:val="18"/>
                <w:szCs w:val="18"/>
              </w:rPr>
            </w:pPr>
            <w:r>
              <w:rPr>
                <w:rFonts w:hint="eastAsia" w:ascii="宋体" w:hAnsi="宋体" w:cs="宋体"/>
                <w:sz w:val="18"/>
                <w:szCs w:val="18"/>
              </w:rPr>
              <w:t>可再生能源电力使用量与总电力使用量的比值：达到</w:t>
            </w:r>
            <w:r>
              <w:rPr>
                <w:rFonts w:ascii="宋体" w:hAnsi="宋体" w:cs="宋体"/>
                <w:sz w:val="18"/>
                <w:szCs w:val="18"/>
              </w:rPr>
              <w:t>1</w:t>
            </w: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%的，得1分；达到</w:t>
            </w:r>
            <w:r>
              <w:rPr>
                <w:rFonts w:ascii="宋体" w:hAnsi="宋体" w:cs="宋体"/>
                <w:sz w:val="18"/>
                <w:szCs w:val="18"/>
              </w:rPr>
              <w:t>5</w:t>
            </w:r>
            <w:r>
              <w:rPr>
                <w:rFonts w:hint="eastAsia" w:ascii="宋体" w:hAnsi="宋体" w:cs="宋体"/>
                <w:sz w:val="18"/>
                <w:szCs w:val="18"/>
              </w:rPr>
              <w:t>%-</w:t>
            </w:r>
            <w:r>
              <w:rPr>
                <w:rFonts w:ascii="宋体" w:hAnsi="宋体" w:cs="宋体"/>
                <w:sz w:val="18"/>
                <w:szCs w:val="18"/>
              </w:rPr>
              <w:t>10</w:t>
            </w:r>
            <w:r>
              <w:rPr>
                <w:rFonts w:hint="eastAsia" w:ascii="宋体" w:hAnsi="宋体" w:cs="宋体"/>
                <w:sz w:val="18"/>
                <w:szCs w:val="18"/>
              </w:rPr>
              <w:t>%的，得</w:t>
            </w:r>
            <w:r>
              <w:rPr>
                <w:rFonts w:ascii="宋体" w:hAnsi="宋体" w:cs="宋体"/>
                <w:sz w:val="18"/>
                <w:szCs w:val="18"/>
              </w:rPr>
              <w:t>2</w:t>
            </w:r>
            <w:r>
              <w:rPr>
                <w:rFonts w:hint="eastAsia" w:ascii="宋体" w:hAnsi="宋体" w:cs="宋体"/>
                <w:sz w:val="18"/>
                <w:szCs w:val="18"/>
              </w:rPr>
              <w:t>分；达到</w:t>
            </w:r>
            <w:r>
              <w:rPr>
                <w:rFonts w:ascii="宋体" w:hAnsi="宋体" w:cs="宋体"/>
                <w:sz w:val="18"/>
                <w:szCs w:val="18"/>
              </w:rPr>
              <w:t>10</w:t>
            </w:r>
            <w:r>
              <w:rPr>
                <w:rFonts w:hint="eastAsia" w:ascii="宋体" w:hAnsi="宋体" w:cs="宋体"/>
                <w:sz w:val="18"/>
                <w:szCs w:val="18"/>
              </w:rPr>
              <w:t>%以上的，得</w:t>
            </w:r>
            <w:r>
              <w:rPr>
                <w:rFonts w:ascii="宋体" w:hAnsi="宋体" w:cs="宋体"/>
                <w:sz w:val="18"/>
                <w:szCs w:val="18"/>
              </w:rPr>
              <w:t>3</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pStyle w:val="181"/>
            </w:pPr>
          </w:p>
        </w:tc>
        <w:tc>
          <w:tcPr>
            <w:tcW w:w="2410" w:type="dxa"/>
            <w:shd w:val="clear" w:color="auto" w:fill="auto"/>
            <w:vAlign w:val="center"/>
          </w:tcPr>
          <w:p>
            <w:pPr>
              <w:autoSpaceDE w:val="0"/>
              <w:autoSpaceDN w:val="0"/>
              <w:spacing w:line="240" w:lineRule="auto"/>
              <w:ind w:left="109" w:right="6"/>
              <w:jc w:val="left"/>
              <w:rPr>
                <w:rFonts w:ascii="宋体" w:hAnsi="宋体" w:cs="宋体"/>
                <w:sz w:val="18"/>
                <w:szCs w:val="18"/>
              </w:rPr>
            </w:pPr>
            <w:r>
              <w:rPr>
                <w:rFonts w:hint="eastAsia" w:ascii="宋体" w:hAnsi="宋体" w:cs="宋体"/>
                <w:sz w:val="18"/>
                <w:szCs w:val="18"/>
              </w:rPr>
              <w:t>建立了绿色环保数据服务中心（</w:t>
            </w:r>
            <w:r>
              <w:rPr>
                <w:rFonts w:ascii="宋体" w:hAnsi="宋体" w:cs="宋体"/>
                <w:sz w:val="18"/>
                <w:szCs w:val="18"/>
              </w:rPr>
              <w:t>3</w:t>
            </w:r>
            <w:r>
              <w:rPr>
                <w:rFonts w:hint="eastAsia" w:ascii="宋体" w:hAnsi="宋体" w:cs="宋体"/>
                <w:sz w:val="18"/>
                <w:szCs w:val="18"/>
              </w:rPr>
              <w:t>分）</w:t>
            </w:r>
          </w:p>
        </w:tc>
        <w:tc>
          <w:tcPr>
            <w:tcW w:w="3815" w:type="dxa"/>
            <w:shd w:val="clear" w:color="auto" w:fill="auto"/>
            <w:vAlign w:val="center"/>
          </w:tcPr>
          <w:p>
            <w:pPr>
              <w:autoSpaceDE w:val="0"/>
              <w:autoSpaceDN w:val="0"/>
              <w:spacing w:line="240" w:lineRule="auto"/>
              <w:ind w:left="108" w:right="6"/>
              <w:jc w:val="left"/>
              <w:rPr>
                <w:rFonts w:ascii="宋体" w:hAnsi="宋体" w:cs="宋体"/>
                <w:sz w:val="18"/>
                <w:szCs w:val="18"/>
              </w:rPr>
            </w:pPr>
            <w:r>
              <w:rPr>
                <w:rFonts w:hint="eastAsia" w:ascii="宋体" w:hAnsi="宋体" w:cs="宋体"/>
                <w:sz w:val="18"/>
                <w:szCs w:val="18"/>
              </w:rPr>
              <w:t>数据服务中心的PUE值达到1.</w:t>
            </w:r>
            <w:r>
              <w:rPr>
                <w:rFonts w:ascii="宋体" w:hAnsi="宋体" w:cs="宋体"/>
                <w:sz w:val="18"/>
                <w:szCs w:val="18"/>
              </w:rPr>
              <w:t>35</w:t>
            </w:r>
            <w:r>
              <w:rPr>
                <w:rFonts w:hint="eastAsia" w:ascii="宋体" w:hAnsi="宋体" w:cs="宋体"/>
                <w:sz w:val="18"/>
                <w:szCs w:val="18"/>
              </w:rPr>
              <w:t>-</w:t>
            </w:r>
            <w:r>
              <w:rPr>
                <w:rFonts w:ascii="宋体" w:hAnsi="宋体" w:cs="宋体"/>
                <w:sz w:val="18"/>
                <w:szCs w:val="18"/>
              </w:rPr>
              <w:t>1.5</w:t>
            </w:r>
            <w:r>
              <w:rPr>
                <w:rFonts w:hint="eastAsia" w:ascii="宋体" w:hAnsi="宋体" w:cs="宋体"/>
                <w:sz w:val="18"/>
                <w:szCs w:val="18"/>
              </w:rPr>
              <w:t>的，得2分；达到1.</w:t>
            </w:r>
            <w:r>
              <w:rPr>
                <w:rFonts w:ascii="宋体" w:hAnsi="宋体" w:cs="宋体"/>
                <w:sz w:val="18"/>
                <w:szCs w:val="18"/>
              </w:rPr>
              <w:t>35</w:t>
            </w:r>
            <w:r>
              <w:rPr>
                <w:rFonts w:hint="eastAsia" w:ascii="宋体" w:hAnsi="宋体" w:cs="宋体"/>
                <w:sz w:val="18"/>
                <w:szCs w:val="18"/>
              </w:rPr>
              <w:t>以下的，得</w:t>
            </w:r>
            <w:r>
              <w:rPr>
                <w:rFonts w:ascii="宋体" w:hAnsi="宋体" w:cs="宋体"/>
                <w:sz w:val="18"/>
                <w:szCs w:val="18"/>
              </w:rPr>
              <w:t>3</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pStyle w:val="181"/>
            </w:pPr>
          </w:p>
        </w:tc>
        <w:tc>
          <w:tcPr>
            <w:tcW w:w="2410" w:type="dxa"/>
            <w:shd w:val="clear" w:color="auto" w:fill="auto"/>
            <w:vAlign w:val="center"/>
          </w:tcPr>
          <w:p>
            <w:pPr>
              <w:autoSpaceDE w:val="0"/>
              <w:autoSpaceDN w:val="0"/>
              <w:spacing w:line="240" w:lineRule="auto"/>
              <w:ind w:left="109" w:right="6"/>
              <w:jc w:val="left"/>
              <w:rPr>
                <w:rFonts w:ascii="宋体" w:hAnsi="宋体" w:cs="宋体"/>
                <w:sz w:val="18"/>
                <w:szCs w:val="18"/>
              </w:rPr>
            </w:pPr>
            <w:r>
              <w:rPr>
                <w:rFonts w:hint="eastAsia" w:ascii="宋体" w:hAnsi="宋体" w:cs="宋体"/>
                <w:sz w:val="18"/>
                <w:szCs w:val="18"/>
              </w:rPr>
              <w:t>研发创新了新的清洁能源使用技术，并获得省级以上主管机关认可（</w:t>
            </w:r>
            <w:r>
              <w:rPr>
                <w:rFonts w:ascii="宋体" w:hAnsi="宋体" w:cs="宋体"/>
                <w:sz w:val="18"/>
                <w:szCs w:val="18"/>
              </w:rPr>
              <w:t>2</w:t>
            </w:r>
            <w:r>
              <w:rPr>
                <w:rFonts w:hint="eastAsia" w:ascii="宋体" w:hAnsi="宋体" w:cs="宋体"/>
                <w:sz w:val="18"/>
                <w:szCs w:val="18"/>
              </w:rPr>
              <w:t>分）</w:t>
            </w:r>
          </w:p>
        </w:tc>
        <w:tc>
          <w:tcPr>
            <w:tcW w:w="3815" w:type="dxa"/>
            <w:shd w:val="clear" w:color="auto" w:fill="auto"/>
            <w:vAlign w:val="center"/>
          </w:tcPr>
          <w:p>
            <w:pPr>
              <w:autoSpaceDE w:val="0"/>
              <w:autoSpaceDN w:val="0"/>
              <w:spacing w:line="240" w:lineRule="auto"/>
              <w:ind w:left="108" w:right="6"/>
              <w:jc w:val="left"/>
              <w:rPr>
                <w:rFonts w:ascii="宋体" w:hAnsi="宋体" w:cs="宋体"/>
                <w:sz w:val="18"/>
                <w:szCs w:val="18"/>
              </w:rPr>
            </w:pPr>
            <w:r>
              <w:rPr>
                <w:rFonts w:hint="eastAsia" w:ascii="宋体" w:hAnsi="宋体" w:cs="宋体"/>
                <w:sz w:val="18"/>
                <w:szCs w:val="18"/>
              </w:rPr>
              <w:t>研发创新了新的清洁能源使用技术，并获得省级以上主管机关认可的，得</w:t>
            </w:r>
            <w:r>
              <w:rPr>
                <w:rFonts w:ascii="宋体" w:hAnsi="宋体" w:cs="宋体"/>
                <w:sz w:val="18"/>
                <w:szCs w:val="18"/>
              </w:rPr>
              <w:t>2</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pStyle w:val="181"/>
            </w:pPr>
          </w:p>
        </w:tc>
        <w:tc>
          <w:tcPr>
            <w:tcW w:w="2410" w:type="dxa"/>
            <w:shd w:val="clear" w:color="auto" w:fill="auto"/>
            <w:vAlign w:val="center"/>
          </w:tcPr>
          <w:p>
            <w:pPr>
              <w:autoSpaceDE w:val="0"/>
              <w:autoSpaceDN w:val="0"/>
              <w:spacing w:line="240" w:lineRule="auto"/>
              <w:ind w:left="109" w:right="6"/>
              <w:jc w:val="left"/>
              <w:rPr>
                <w:rFonts w:ascii="宋体" w:hAnsi="宋体" w:cs="宋体"/>
                <w:sz w:val="18"/>
                <w:szCs w:val="18"/>
              </w:rPr>
            </w:pPr>
            <w:r>
              <w:rPr>
                <w:rFonts w:hint="eastAsia" w:ascii="宋体" w:hAnsi="宋体" w:cs="宋体"/>
                <w:sz w:val="18"/>
                <w:szCs w:val="18"/>
              </w:rPr>
              <w:t>自有园区或办公建筑取得相关绿色建筑认证 (LEED/WELL/Fitwel/中国绿色建筑认证) （</w:t>
            </w:r>
            <w:r>
              <w:rPr>
                <w:rFonts w:ascii="宋体" w:hAnsi="宋体" w:cs="宋体"/>
                <w:sz w:val="18"/>
                <w:szCs w:val="18"/>
              </w:rPr>
              <w:t>3</w:t>
            </w:r>
            <w:r>
              <w:rPr>
                <w:rFonts w:hint="eastAsia" w:ascii="宋体" w:hAnsi="宋体" w:cs="宋体"/>
                <w:sz w:val="18"/>
                <w:szCs w:val="18"/>
              </w:rPr>
              <w:t>分）</w:t>
            </w:r>
          </w:p>
        </w:tc>
        <w:tc>
          <w:tcPr>
            <w:tcW w:w="3815" w:type="dxa"/>
            <w:shd w:val="clear" w:color="auto" w:fill="auto"/>
            <w:vAlign w:val="center"/>
          </w:tcPr>
          <w:p>
            <w:pPr>
              <w:autoSpaceDE w:val="0"/>
              <w:autoSpaceDN w:val="0"/>
              <w:spacing w:line="240" w:lineRule="auto"/>
              <w:ind w:left="108" w:right="6"/>
              <w:jc w:val="left"/>
              <w:rPr>
                <w:rFonts w:ascii="宋体" w:hAnsi="宋体" w:cs="宋体"/>
                <w:sz w:val="18"/>
                <w:szCs w:val="18"/>
              </w:rPr>
            </w:pPr>
            <w:r>
              <w:rPr>
                <w:rFonts w:hint="eastAsia" w:ascii="宋体" w:hAnsi="宋体" w:cs="宋体"/>
                <w:sz w:val="18"/>
                <w:szCs w:val="18"/>
              </w:rPr>
              <w:t>取得相关绿色建筑认证第三等级及以下等级的，得1分；</w:t>
            </w:r>
          </w:p>
          <w:p>
            <w:pPr>
              <w:autoSpaceDE w:val="0"/>
              <w:autoSpaceDN w:val="0"/>
              <w:spacing w:line="240" w:lineRule="auto"/>
              <w:ind w:left="108" w:right="6"/>
              <w:jc w:val="left"/>
              <w:rPr>
                <w:rFonts w:ascii="宋体" w:hAnsi="宋体" w:cs="宋体"/>
                <w:sz w:val="18"/>
                <w:szCs w:val="18"/>
              </w:rPr>
            </w:pPr>
            <w:r>
              <w:rPr>
                <w:rFonts w:hint="eastAsia" w:ascii="宋体" w:hAnsi="宋体" w:cs="宋体"/>
                <w:sz w:val="18"/>
                <w:szCs w:val="18"/>
              </w:rPr>
              <w:t>取得第二等级的，得</w:t>
            </w:r>
            <w:r>
              <w:rPr>
                <w:rFonts w:ascii="宋体" w:hAnsi="宋体" w:cs="宋体"/>
                <w:sz w:val="18"/>
                <w:szCs w:val="18"/>
              </w:rPr>
              <w:t>2</w:t>
            </w:r>
            <w:r>
              <w:rPr>
                <w:rFonts w:hint="eastAsia" w:ascii="宋体" w:hAnsi="宋体" w:cs="宋体"/>
                <w:sz w:val="18"/>
                <w:szCs w:val="18"/>
              </w:rPr>
              <w:t>分；</w:t>
            </w:r>
          </w:p>
          <w:p>
            <w:pPr>
              <w:autoSpaceDE w:val="0"/>
              <w:autoSpaceDN w:val="0"/>
              <w:spacing w:line="240" w:lineRule="auto"/>
              <w:ind w:left="108" w:right="6"/>
              <w:jc w:val="left"/>
              <w:rPr>
                <w:rFonts w:ascii="宋体" w:hAnsi="宋体" w:cs="宋体"/>
                <w:sz w:val="18"/>
                <w:szCs w:val="18"/>
              </w:rPr>
            </w:pPr>
            <w:r>
              <w:rPr>
                <w:rFonts w:hint="eastAsia" w:ascii="宋体" w:hAnsi="宋体" w:cs="宋体"/>
                <w:sz w:val="18"/>
                <w:szCs w:val="18"/>
              </w:rPr>
              <w:t>取得第一等级的，得</w:t>
            </w:r>
            <w:r>
              <w:rPr>
                <w:rFonts w:ascii="宋体" w:hAnsi="宋体" w:cs="宋体"/>
                <w:sz w:val="18"/>
                <w:szCs w:val="18"/>
              </w:rPr>
              <w:t>3</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restart"/>
            <w:shd w:val="clear" w:color="auto" w:fill="auto"/>
            <w:vAlign w:val="center"/>
          </w:tcPr>
          <w:p>
            <w:pPr>
              <w:pStyle w:val="181"/>
            </w:pPr>
            <w:r>
              <w:rPr>
                <w:rFonts w:hint="eastAsia" w:hAnsi="宋体" w:cs="宋体"/>
                <w:bCs/>
                <w:color w:val="000000"/>
                <w:spacing w:val="5"/>
                <w:w w:val="97"/>
                <w:szCs w:val="18"/>
              </w:rPr>
              <w:t>环境</w:t>
            </w:r>
            <w:r>
              <w:rPr>
                <w:rFonts w:hAnsi="宋体" w:cs="宋体"/>
                <w:bCs/>
                <w:color w:val="000000"/>
                <w:szCs w:val="18"/>
              </w:rPr>
              <w:t>管理</w:t>
            </w:r>
            <w:r>
              <w:rPr>
                <w:rFonts w:hint="eastAsia" w:hAnsi="宋体" w:cs="宋体"/>
                <w:bCs/>
                <w:color w:val="000000"/>
                <w:szCs w:val="18"/>
              </w:rPr>
              <w:t>制度机制（1</w:t>
            </w:r>
            <w:r>
              <w:rPr>
                <w:rFonts w:hAnsi="宋体" w:cs="宋体"/>
                <w:bCs/>
                <w:color w:val="000000"/>
                <w:szCs w:val="18"/>
              </w:rPr>
              <w:t>2</w:t>
            </w:r>
            <w:r>
              <w:rPr>
                <w:rFonts w:hint="eastAsia" w:hAnsi="宋体" w:cs="宋体"/>
                <w:bCs/>
                <w:color w:val="000000"/>
                <w:szCs w:val="18"/>
              </w:rPr>
              <w:t>分）</w:t>
            </w:r>
          </w:p>
        </w:tc>
        <w:tc>
          <w:tcPr>
            <w:tcW w:w="2410" w:type="dxa"/>
            <w:shd w:val="clear" w:color="auto" w:fill="auto"/>
            <w:vAlign w:val="center"/>
          </w:tcPr>
          <w:p>
            <w:pPr>
              <w:autoSpaceDE w:val="0"/>
              <w:autoSpaceDN w:val="0"/>
              <w:spacing w:line="240" w:lineRule="auto"/>
              <w:ind w:left="109" w:right="6"/>
              <w:jc w:val="left"/>
              <w:rPr>
                <w:rFonts w:ascii="宋体" w:hAnsi="宋体" w:cs="宋体"/>
                <w:sz w:val="18"/>
                <w:szCs w:val="18"/>
              </w:rPr>
            </w:pPr>
            <w:r>
              <w:rPr>
                <w:rFonts w:hint="eastAsia" w:ascii="宋体" w:hAnsi="宋体" w:cs="宋体"/>
                <w:sz w:val="18"/>
                <w:szCs w:val="18"/>
              </w:rPr>
              <w:t>实施绿色运营措施（</w:t>
            </w:r>
            <w:r>
              <w:rPr>
                <w:rFonts w:ascii="宋体" w:hAnsi="宋体" w:cs="宋体"/>
                <w:sz w:val="18"/>
                <w:szCs w:val="18"/>
              </w:rPr>
              <w:t>2</w:t>
            </w:r>
            <w:r>
              <w:rPr>
                <w:rFonts w:hint="eastAsia" w:ascii="宋体" w:hAnsi="宋体" w:cs="宋体"/>
                <w:sz w:val="18"/>
                <w:szCs w:val="18"/>
              </w:rPr>
              <w:t>分）</w:t>
            </w:r>
          </w:p>
        </w:tc>
        <w:tc>
          <w:tcPr>
            <w:tcW w:w="3815" w:type="dxa"/>
            <w:shd w:val="clear" w:color="auto" w:fill="auto"/>
            <w:vAlign w:val="center"/>
          </w:tcPr>
          <w:p>
            <w:pPr>
              <w:autoSpaceDE w:val="0"/>
              <w:autoSpaceDN w:val="0"/>
              <w:spacing w:before="135" w:line="240" w:lineRule="auto"/>
              <w:ind w:left="108" w:right="6"/>
              <w:jc w:val="left"/>
              <w:rPr>
                <w:rFonts w:ascii="宋体" w:hAnsi="宋体" w:cs="宋体"/>
                <w:sz w:val="18"/>
                <w:szCs w:val="18"/>
              </w:rPr>
            </w:pPr>
            <w:r>
              <w:rPr>
                <w:rFonts w:hint="eastAsia" w:ascii="宋体" w:hAnsi="宋体" w:cs="宋体"/>
                <w:sz w:val="18"/>
                <w:szCs w:val="18"/>
              </w:rPr>
              <w:t>企业采取绿色运营措施的，根据其运营措施的有效性、全面性，酌情得1-</w:t>
            </w:r>
            <w:r>
              <w:rPr>
                <w:rFonts w:ascii="宋体" w:hAnsi="宋体" w:cs="宋体"/>
                <w:sz w:val="18"/>
                <w:szCs w:val="18"/>
              </w:rPr>
              <w:t>2</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pStyle w:val="181"/>
            </w:pPr>
          </w:p>
        </w:tc>
        <w:tc>
          <w:tcPr>
            <w:tcW w:w="2410" w:type="dxa"/>
            <w:shd w:val="clear" w:color="auto" w:fill="auto"/>
            <w:vAlign w:val="center"/>
          </w:tcPr>
          <w:p>
            <w:pPr>
              <w:autoSpaceDE w:val="0"/>
              <w:autoSpaceDN w:val="0"/>
              <w:spacing w:line="240" w:lineRule="auto"/>
              <w:ind w:left="109" w:right="6"/>
              <w:jc w:val="left"/>
              <w:rPr>
                <w:rFonts w:ascii="宋体" w:hAnsi="宋体" w:cs="宋体"/>
                <w:sz w:val="18"/>
                <w:szCs w:val="18"/>
              </w:rPr>
            </w:pPr>
            <w:r>
              <w:rPr>
                <w:rFonts w:hint="eastAsia" w:ascii="宋体" w:hAnsi="宋体" w:cs="宋体"/>
                <w:sz w:val="18"/>
                <w:szCs w:val="18"/>
              </w:rPr>
              <w:t>设立了废旧电子设备环保处理制度，与废旧电子设备处理企业建立了回收再利用合作或自行处理（</w:t>
            </w:r>
            <w:r>
              <w:rPr>
                <w:rFonts w:ascii="宋体" w:hAnsi="宋体" w:cs="宋体"/>
                <w:sz w:val="18"/>
                <w:szCs w:val="18"/>
              </w:rPr>
              <w:t>2</w:t>
            </w:r>
            <w:r>
              <w:rPr>
                <w:rFonts w:hint="eastAsia" w:ascii="宋体" w:hAnsi="宋体" w:cs="宋体"/>
                <w:sz w:val="18"/>
                <w:szCs w:val="18"/>
              </w:rPr>
              <w:t>分）</w:t>
            </w:r>
          </w:p>
        </w:tc>
        <w:tc>
          <w:tcPr>
            <w:tcW w:w="3815" w:type="dxa"/>
            <w:shd w:val="clear" w:color="auto" w:fill="auto"/>
            <w:vAlign w:val="center"/>
          </w:tcPr>
          <w:p>
            <w:pPr>
              <w:autoSpaceDE w:val="0"/>
              <w:autoSpaceDN w:val="0"/>
              <w:spacing w:before="135" w:line="240" w:lineRule="auto"/>
              <w:ind w:left="108" w:right="6"/>
              <w:jc w:val="left"/>
              <w:rPr>
                <w:rFonts w:ascii="宋体" w:hAnsi="宋体" w:cs="宋体"/>
                <w:sz w:val="18"/>
                <w:szCs w:val="18"/>
              </w:rPr>
            </w:pPr>
            <w:r>
              <w:rPr>
                <w:rFonts w:hint="eastAsia" w:ascii="宋体" w:hAnsi="宋体" w:cs="宋体"/>
                <w:sz w:val="18"/>
                <w:szCs w:val="18"/>
              </w:rPr>
              <w:t>企业设立废旧电子设备环保处理制度，与通过生态环境主管部门审批的具有处理资格的废旧电子设备处理企业建立回收再利用合作或自行处理的，得2分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pStyle w:val="181"/>
            </w:pPr>
          </w:p>
        </w:tc>
        <w:tc>
          <w:tcPr>
            <w:tcW w:w="2410" w:type="dxa"/>
            <w:shd w:val="clear" w:color="auto" w:fill="auto"/>
            <w:vAlign w:val="center"/>
          </w:tcPr>
          <w:p>
            <w:pPr>
              <w:autoSpaceDE w:val="0"/>
              <w:autoSpaceDN w:val="0"/>
              <w:spacing w:line="240" w:lineRule="auto"/>
              <w:ind w:left="109" w:right="6"/>
              <w:jc w:val="left"/>
              <w:rPr>
                <w:rFonts w:ascii="宋体" w:hAnsi="宋体" w:cs="宋体"/>
                <w:sz w:val="18"/>
                <w:szCs w:val="18"/>
              </w:rPr>
            </w:pPr>
            <w:bookmarkStart w:id="95" w:name="_Hlk130998916"/>
            <w:r>
              <w:rPr>
                <w:rFonts w:hint="eastAsia" w:ascii="宋体" w:hAnsi="宋体" w:cs="宋体"/>
                <w:sz w:val="18"/>
                <w:szCs w:val="18"/>
              </w:rPr>
              <w:t>制定了公司层面的环境管理制度</w:t>
            </w:r>
            <w:bookmarkEnd w:id="95"/>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分）</w:t>
            </w:r>
          </w:p>
        </w:tc>
        <w:tc>
          <w:tcPr>
            <w:tcW w:w="3815" w:type="dxa"/>
            <w:shd w:val="clear" w:color="auto" w:fill="auto"/>
            <w:vAlign w:val="center"/>
          </w:tcPr>
          <w:p>
            <w:pPr>
              <w:autoSpaceDE w:val="0"/>
              <w:autoSpaceDN w:val="0"/>
              <w:spacing w:before="135" w:line="240" w:lineRule="auto"/>
              <w:ind w:left="108" w:right="6"/>
              <w:jc w:val="left"/>
              <w:rPr>
                <w:rFonts w:ascii="宋体" w:hAnsi="宋体" w:cs="宋体"/>
                <w:sz w:val="18"/>
                <w:szCs w:val="18"/>
              </w:rPr>
            </w:pPr>
            <w:r>
              <w:rPr>
                <w:rFonts w:hint="eastAsia" w:ascii="宋体" w:hAnsi="宋体" w:cs="宋体"/>
                <w:sz w:val="18"/>
                <w:szCs w:val="18"/>
              </w:rPr>
              <w:t>企业设立公司层面的环境保护责任制度、环境安全隐患排查治理制度、环境应急管理制度、环境信息公开制度等制度的，得2分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pStyle w:val="181"/>
            </w:pPr>
          </w:p>
        </w:tc>
        <w:tc>
          <w:tcPr>
            <w:tcW w:w="2410" w:type="dxa"/>
            <w:shd w:val="clear" w:color="auto" w:fill="auto"/>
            <w:vAlign w:val="center"/>
          </w:tcPr>
          <w:p>
            <w:pPr>
              <w:autoSpaceDE w:val="0"/>
              <w:autoSpaceDN w:val="0"/>
              <w:spacing w:line="240" w:lineRule="auto"/>
              <w:ind w:left="109" w:right="6"/>
              <w:jc w:val="left"/>
              <w:rPr>
                <w:rFonts w:ascii="宋体" w:hAnsi="宋体" w:cs="宋体"/>
                <w:sz w:val="18"/>
                <w:szCs w:val="18"/>
              </w:rPr>
            </w:pPr>
            <w:r>
              <w:rPr>
                <w:rFonts w:hint="eastAsia" w:ascii="宋体" w:hAnsi="宋体" w:cs="宋体"/>
                <w:sz w:val="18"/>
                <w:szCs w:val="18"/>
              </w:rPr>
              <w:t>获得环境管理体系认证（</w:t>
            </w:r>
            <w:r>
              <w:rPr>
                <w:rFonts w:ascii="宋体" w:hAnsi="宋体" w:cs="宋体"/>
                <w:sz w:val="18"/>
                <w:szCs w:val="18"/>
              </w:rPr>
              <w:t>2</w:t>
            </w:r>
            <w:r>
              <w:rPr>
                <w:rFonts w:hint="eastAsia" w:ascii="宋体" w:hAnsi="宋体" w:cs="宋体"/>
                <w:sz w:val="18"/>
                <w:szCs w:val="18"/>
              </w:rPr>
              <w:t>分）</w:t>
            </w:r>
          </w:p>
        </w:tc>
        <w:tc>
          <w:tcPr>
            <w:tcW w:w="3815" w:type="dxa"/>
            <w:shd w:val="clear" w:color="auto" w:fill="auto"/>
            <w:vAlign w:val="center"/>
          </w:tcPr>
          <w:p>
            <w:pPr>
              <w:autoSpaceDE w:val="0"/>
              <w:autoSpaceDN w:val="0"/>
              <w:spacing w:before="135" w:line="240" w:lineRule="auto"/>
              <w:ind w:left="108" w:right="6"/>
              <w:jc w:val="left"/>
              <w:rPr>
                <w:rFonts w:ascii="宋体" w:hAnsi="宋体" w:cs="宋体"/>
                <w:sz w:val="18"/>
                <w:szCs w:val="18"/>
              </w:rPr>
            </w:pPr>
            <w:r>
              <w:rPr>
                <w:rFonts w:hint="eastAsia" w:ascii="宋体" w:hAnsi="宋体" w:cs="宋体"/>
                <w:sz w:val="18"/>
                <w:szCs w:val="18"/>
              </w:rPr>
              <w:t>企业获得经中国国家认证认可监督管理委员会批准的认证机构的环境管理体系认证的，得</w:t>
            </w:r>
            <w:r>
              <w:rPr>
                <w:rFonts w:ascii="宋体" w:hAnsi="宋体" w:cs="宋体"/>
                <w:sz w:val="18"/>
                <w:szCs w:val="18"/>
              </w:rPr>
              <w:t>2</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pStyle w:val="181"/>
            </w:pPr>
          </w:p>
        </w:tc>
        <w:tc>
          <w:tcPr>
            <w:tcW w:w="2410" w:type="dxa"/>
            <w:shd w:val="clear" w:color="auto" w:fill="auto"/>
            <w:vAlign w:val="center"/>
          </w:tcPr>
          <w:p>
            <w:pPr>
              <w:autoSpaceDE w:val="0"/>
              <w:autoSpaceDN w:val="0"/>
              <w:spacing w:line="240" w:lineRule="auto"/>
              <w:ind w:left="109" w:right="6"/>
              <w:jc w:val="left"/>
              <w:rPr>
                <w:rFonts w:ascii="宋体" w:hAnsi="宋体" w:cs="宋体"/>
                <w:sz w:val="18"/>
                <w:szCs w:val="18"/>
              </w:rPr>
            </w:pPr>
            <w:r>
              <w:rPr>
                <w:rFonts w:hint="eastAsia" w:ascii="宋体" w:hAnsi="宋体" w:cs="宋体"/>
                <w:sz w:val="18"/>
                <w:szCs w:val="18"/>
              </w:rPr>
              <w:t>获得能源管理体系认证（</w:t>
            </w:r>
            <w:r>
              <w:rPr>
                <w:rFonts w:ascii="宋体" w:hAnsi="宋体" w:cs="宋体"/>
                <w:sz w:val="18"/>
                <w:szCs w:val="18"/>
              </w:rPr>
              <w:t>2</w:t>
            </w:r>
            <w:r>
              <w:rPr>
                <w:rFonts w:hint="eastAsia" w:ascii="宋体" w:hAnsi="宋体" w:cs="宋体"/>
                <w:sz w:val="18"/>
                <w:szCs w:val="18"/>
              </w:rPr>
              <w:t>分）</w:t>
            </w:r>
          </w:p>
        </w:tc>
        <w:tc>
          <w:tcPr>
            <w:tcW w:w="3815" w:type="dxa"/>
            <w:shd w:val="clear" w:color="auto" w:fill="auto"/>
            <w:vAlign w:val="center"/>
          </w:tcPr>
          <w:p>
            <w:pPr>
              <w:autoSpaceDE w:val="0"/>
              <w:autoSpaceDN w:val="0"/>
              <w:spacing w:before="135" w:line="240" w:lineRule="auto"/>
              <w:ind w:left="108" w:right="6"/>
              <w:jc w:val="left"/>
              <w:rPr>
                <w:rFonts w:ascii="宋体" w:hAnsi="宋体" w:cs="宋体"/>
                <w:sz w:val="18"/>
                <w:szCs w:val="18"/>
              </w:rPr>
            </w:pPr>
            <w:r>
              <w:rPr>
                <w:rFonts w:hint="eastAsia" w:ascii="宋体" w:hAnsi="宋体" w:cs="宋体"/>
                <w:sz w:val="18"/>
                <w:szCs w:val="18"/>
              </w:rPr>
              <w:t>企业运营的某实体获得经中国国家认证认可监督管理委员会批准的认证机构的能源管理体系认证的，得</w:t>
            </w:r>
            <w:r>
              <w:rPr>
                <w:rFonts w:ascii="宋体" w:hAnsi="宋体" w:cs="宋体"/>
                <w:sz w:val="18"/>
                <w:szCs w:val="18"/>
              </w:rPr>
              <w:t>2</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pStyle w:val="181"/>
            </w:pPr>
          </w:p>
        </w:tc>
        <w:tc>
          <w:tcPr>
            <w:tcW w:w="2410" w:type="dxa"/>
            <w:shd w:val="clear" w:color="auto" w:fill="auto"/>
            <w:vAlign w:val="center"/>
          </w:tcPr>
          <w:p>
            <w:pPr>
              <w:autoSpaceDE w:val="0"/>
              <w:autoSpaceDN w:val="0"/>
              <w:spacing w:line="240" w:lineRule="auto"/>
              <w:ind w:left="109" w:right="6"/>
              <w:jc w:val="left"/>
              <w:rPr>
                <w:rFonts w:ascii="宋体" w:hAnsi="宋体" w:cs="宋体"/>
                <w:sz w:val="18"/>
                <w:szCs w:val="18"/>
              </w:rPr>
            </w:pPr>
            <w:r>
              <w:rPr>
                <w:rFonts w:hint="eastAsia" w:ascii="宋体" w:hAnsi="宋体" w:cs="宋体"/>
                <w:sz w:val="18"/>
                <w:szCs w:val="18"/>
              </w:rPr>
              <w:t>制定绿色供应链管理制度。（2分）</w:t>
            </w:r>
          </w:p>
        </w:tc>
        <w:tc>
          <w:tcPr>
            <w:tcW w:w="3815" w:type="dxa"/>
            <w:shd w:val="clear" w:color="auto" w:fill="auto"/>
            <w:vAlign w:val="center"/>
          </w:tcPr>
          <w:p>
            <w:pPr>
              <w:autoSpaceDE w:val="0"/>
              <w:autoSpaceDN w:val="0"/>
              <w:spacing w:before="135" w:line="240" w:lineRule="auto"/>
              <w:ind w:left="108" w:right="6"/>
              <w:jc w:val="left"/>
              <w:rPr>
                <w:rFonts w:ascii="宋体" w:hAnsi="宋体" w:cs="宋体"/>
                <w:sz w:val="18"/>
                <w:szCs w:val="18"/>
              </w:rPr>
            </w:pPr>
            <w:r>
              <w:rPr>
                <w:rFonts w:hint="eastAsia" w:ascii="宋体" w:hAnsi="宋体" w:cs="宋体"/>
                <w:sz w:val="18"/>
                <w:szCs w:val="18"/>
              </w:rPr>
              <w:t>企业运营的某实体制定绿色供应链管理制度，带动部分供应商配合改进环境绩效的，得</w:t>
            </w:r>
            <w:r>
              <w:rPr>
                <w:rFonts w:ascii="宋体" w:hAnsi="宋体" w:cs="宋体"/>
                <w:sz w:val="18"/>
                <w:szCs w:val="18"/>
              </w:rPr>
              <w:t>1</w:t>
            </w:r>
            <w:r>
              <w:rPr>
                <w:rFonts w:hint="eastAsia" w:ascii="宋体" w:hAnsi="宋体" w:cs="宋体"/>
                <w:sz w:val="18"/>
                <w:szCs w:val="18"/>
              </w:rPr>
              <w:t>分；带动各级供应商配合改进环境绩效的，得</w:t>
            </w:r>
            <w:r>
              <w:rPr>
                <w:rFonts w:ascii="宋体" w:hAnsi="宋体" w:cs="宋体"/>
                <w:sz w:val="18"/>
                <w:szCs w:val="18"/>
              </w:rPr>
              <w:t>2</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restart"/>
            <w:shd w:val="clear" w:color="auto" w:fill="auto"/>
            <w:vAlign w:val="center"/>
          </w:tcPr>
          <w:p>
            <w:pPr>
              <w:autoSpaceDE w:val="0"/>
              <w:autoSpaceDN w:val="0"/>
              <w:spacing w:line="240" w:lineRule="auto"/>
              <w:ind w:left="109"/>
              <w:jc w:val="center"/>
              <w:rPr>
                <w:rFonts w:ascii="宋体" w:hAnsi="宋体" w:cs="宋体"/>
                <w:sz w:val="18"/>
                <w:szCs w:val="18"/>
              </w:rPr>
            </w:pPr>
            <w:r>
              <w:rPr>
                <w:rFonts w:hint="eastAsia" w:ascii="宋体" w:hAnsi="宋体" w:cs="宋体"/>
                <w:sz w:val="18"/>
                <w:szCs w:val="18"/>
              </w:rPr>
              <w:t>员工环境意识（</w:t>
            </w:r>
            <w:r>
              <w:rPr>
                <w:rFonts w:ascii="宋体" w:hAnsi="宋体" w:cs="宋体"/>
                <w:sz w:val="18"/>
                <w:szCs w:val="18"/>
              </w:rPr>
              <w:t>7分）</w:t>
            </w:r>
          </w:p>
        </w:tc>
        <w:tc>
          <w:tcPr>
            <w:tcW w:w="2410"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每年开展1次以上系统性的员工环境意识宣传工作（3分）</w:t>
            </w:r>
          </w:p>
        </w:tc>
        <w:tc>
          <w:tcPr>
            <w:tcW w:w="3815" w:type="dxa"/>
            <w:shd w:val="clear" w:color="auto" w:fill="auto"/>
            <w:vAlign w:val="center"/>
          </w:tcPr>
          <w:p>
            <w:pPr>
              <w:autoSpaceDE w:val="0"/>
              <w:autoSpaceDN w:val="0"/>
              <w:spacing w:line="240" w:lineRule="auto"/>
              <w:ind w:left="108"/>
              <w:jc w:val="left"/>
              <w:rPr>
                <w:rFonts w:ascii="宋体" w:hAnsi="宋体" w:cs="宋体"/>
                <w:sz w:val="18"/>
                <w:szCs w:val="18"/>
              </w:rPr>
            </w:pPr>
            <w:r>
              <w:rPr>
                <w:rFonts w:hint="eastAsia" w:ascii="宋体" w:hAnsi="宋体" w:cs="宋体"/>
                <w:sz w:val="18"/>
                <w:szCs w:val="18"/>
              </w:rPr>
              <w:t>企业每年开展1次系统性的员工环境意识宣传工作的，得1分；企业每年开展2次系统性的员工环境意识宣传工作的，得2分；企业每年开展3次及以上系统性的员工环境意识宣传工作的，得3分。</w:t>
            </w:r>
          </w:p>
          <w:p>
            <w:pPr>
              <w:autoSpaceDE w:val="0"/>
              <w:autoSpaceDN w:val="0"/>
              <w:spacing w:line="240" w:lineRule="auto"/>
              <w:ind w:left="108"/>
              <w:jc w:val="left"/>
              <w:rPr>
                <w:rFonts w:ascii="宋体" w:hAnsi="宋体" w:cs="宋体"/>
                <w:sz w:val="18"/>
                <w:szCs w:val="18"/>
              </w:rPr>
            </w:pPr>
            <w:r>
              <w:rPr>
                <w:rFonts w:hint="eastAsia" w:ascii="宋体" w:hAnsi="宋体" w:cs="宋体"/>
                <w:sz w:val="18"/>
                <w:szCs w:val="18"/>
              </w:rPr>
              <w:t>注：企业的环境意识宣传工作覆盖人次累计达到员工总数的70%及以上的，构成“系统性的环境意识宣传工作”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pStyle w:val="181"/>
            </w:pPr>
          </w:p>
        </w:tc>
        <w:tc>
          <w:tcPr>
            <w:tcW w:w="2410"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对于履行节能减排的员工制定了奖励举措（</w:t>
            </w:r>
            <w:r>
              <w:rPr>
                <w:rFonts w:ascii="宋体" w:hAnsi="宋体" w:cs="宋体"/>
                <w:sz w:val="18"/>
                <w:szCs w:val="18"/>
              </w:rPr>
              <w:t>2</w:t>
            </w:r>
            <w:r>
              <w:rPr>
                <w:rFonts w:hint="eastAsia" w:ascii="宋体" w:hAnsi="宋体" w:cs="宋体"/>
                <w:sz w:val="18"/>
                <w:szCs w:val="18"/>
              </w:rPr>
              <w:t>分）</w:t>
            </w:r>
          </w:p>
        </w:tc>
        <w:tc>
          <w:tcPr>
            <w:tcW w:w="3815" w:type="dxa"/>
            <w:shd w:val="clear" w:color="auto" w:fill="auto"/>
            <w:vAlign w:val="center"/>
          </w:tcPr>
          <w:p>
            <w:pPr>
              <w:autoSpaceDE w:val="0"/>
              <w:autoSpaceDN w:val="0"/>
              <w:spacing w:line="240" w:lineRule="auto"/>
              <w:ind w:left="108"/>
              <w:jc w:val="left"/>
              <w:rPr>
                <w:rFonts w:ascii="宋体" w:hAnsi="宋体" w:cs="宋体"/>
                <w:sz w:val="18"/>
                <w:szCs w:val="18"/>
              </w:rPr>
            </w:pPr>
            <w:r>
              <w:rPr>
                <w:rFonts w:hint="eastAsia" w:ascii="宋体" w:hAnsi="宋体" w:cs="宋体"/>
                <w:sz w:val="18"/>
                <w:szCs w:val="18"/>
              </w:rPr>
              <w:t>企业对履行节能减排的员工制定了发放奖金、福利、股权、带薪休假等物质奖励措施或授予荣誉、颁发奖状等精神奖励举措的，得2分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pStyle w:val="181"/>
            </w:pPr>
          </w:p>
        </w:tc>
        <w:tc>
          <w:tcPr>
            <w:tcW w:w="2410"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实施多种宣传措施倡导员工节能减排意识（</w:t>
            </w:r>
            <w:r>
              <w:rPr>
                <w:rFonts w:ascii="宋体" w:hAnsi="宋体" w:cs="宋体"/>
                <w:sz w:val="18"/>
                <w:szCs w:val="18"/>
              </w:rPr>
              <w:t>2</w:t>
            </w:r>
            <w:r>
              <w:rPr>
                <w:rFonts w:hint="eastAsia" w:ascii="宋体" w:hAnsi="宋体" w:cs="宋体"/>
                <w:sz w:val="18"/>
                <w:szCs w:val="18"/>
              </w:rPr>
              <w:t>分）</w:t>
            </w:r>
          </w:p>
        </w:tc>
        <w:tc>
          <w:tcPr>
            <w:tcW w:w="3815" w:type="dxa"/>
            <w:shd w:val="clear" w:color="auto" w:fill="auto"/>
            <w:vAlign w:val="center"/>
          </w:tcPr>
          <w:p>
            <w:pPr>
              <w:autoSpaceDE w:val="0"/>
              <w:autoSpaceDN w:val="0"/>
              <w:spacing w:line="240" w:lineRule="auto"/>
              <w:ind w:left="108"/>
              <w:jc w:val="left"/>
              <w:rPr>
                <w:rFonts w:ascii="宋体" w:hAnsi="宋体" w:cs="宋体"/>
                <w:sz w:val="18"/>
                <w:szCs w:val="18"/>
              </w:rPr>
            </w:pPr>
            <w:r>
              <w:rPr>
                <w:rFonts w:hint="eastAsia" w:ascii="宋体" w:hAnsi="宋体" w:cs="宋体"/>
                <w:sz w:val="18"/>
                <w:szCs w:val="18"/>
              </w:rPr>
              <w:t>企业实施多种宣传措施倡导全体员工提高节能减排意识的，得2分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restart"/>
            <w:shd w:val="clear" w:color="auto" w:fill="auto"/>
            <w:vAlign w:val="center"/>
          </w:tcPr>
          <w:p>
            <w:pPr>
              <w:pStyle w:val="181"/>
            </w:pPr>
            <w:r>
              <w:rPr>
                <w:rFonts w:hint="eastAsia" w:hAnsi="宋体" w:cs="宋体"/>
                <w:bCs/>
                <w:color w:val="000000"/>
                <w:szCs w:val="18"/>
              </w:rPr>
              <w:t>环境披露与治理体系</w:t>
            </w:r>
            <w:r>
              <w:rPr>
                <w:rFonts w:hAnsi="宋体" w:cs="宋体"/>
                <w:bCs/>
                <w:color w:val="000000"/>
                <w:spacing w:val="1"/>
                <w:w w:val="99"/>
                <w:szCs w:val="18"/>
              </w:rPr>
              <w:t>（</w:t>
            </w:r>
            <w:r>
              <w:rPr>
                <w:rFonts w:hint="eastAsia" w:hAnsi="宋体" w:cs="宋体"/>
                <w:bCs/>
                <w:color w:val="000000"/>
                <w:spacing w:val="-5"/>
                <w:w w:val="105"/>
                <w:szCs w:val="18"/>
              </w:rPr>
              <w:t>20</w:t>
            </w:r>
            <w:r>
              <w:rPr>
                <w:rFonts w:hint="eastAsia" w:hAnsi="宋体" w:cs="宋体"/>
                <w:bCs/>
                <w:color w:val="000000"/>
                <w:w w:val="99"/>
                <w:szCs w:val="18"/>
              </w:rPr>
              <w:t xml:space="preserve"> </w:t>
            </w:r>
            <w:r>
              <w:rPr>
                <w:rFonts w:hAnsi="宋体" w:cs="宋体"/>
                <w:bCs/>
                <w:color w:val="000000"/>
                <w:spacing w:val="11"/>
                <w:w w:val="94"/>
                <w:szCs w:val="18"/>
              </w:rPr>
              <w:t>分</w:t>
            </w:r>
            <w:r>
              <w:rPr>
                <w:rFonts w:hAnsi="宋体" w:cs="宋体"/>
                <w:bCs/>
                <w:color w:val="000000"/>
                <w:spacing w:val="-6"/>
                <w:w w:val="97"/>
                <w:szCs w:val="18"/>
              </w:rPr>
              <w:t>）</w:t>
            </w:r>
          </w:p>
        </w:tc>
        <w:tc>
          <w:tcPr>
            <w:tcW w:w="1276" w:type="dxa"/>
            <w:vMerge w:val="restart"/>
            <w:shd w:val="clear" w:color="auto" w:fill="auto"/>
            <w:vAlign w:val="center"/>
          </w:tcPr>
          <w:p>
            <w:pPr>
              <w:pStyle w:val="181"/>
            </w:pPr>
            <w:r>
              <w:rPr>
                <w:rFonts w:hint="eastAsia" w:hAnsi="宋体" w:cs="宋体"/>
                <w:bCs/>
                <w:color w:val="000000"/>
                <w:szCs w:val="18"/>
              </w:rPr>
              <w:t>产品服务生命周期</w:t>
            </w:r>
            <w:r>
              <w:rPr>
                <w:rFonts w:hint="eastAsia" w:hAnsi="宋体" w:cs="宋体"/>
                <w:bCs/>
                <w:color w:val="000000"/>
                <w:spacing w:val="5"/>
                <w:w w:val="97"/>
                <w:szCs w:val="18"/>
              </w:rPr>
              <w:t>（3分）</w:t>
            </w:r>
          </w:p>
        </w:tc>
        <w:tc>
          <w:tcPr>
            <w:tcW w:w="2410"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披露开发的任一产品或服务具有的环境效益（1分）</w:t>
            </w:r>
          </w:p>
        </w:tc>
        <w:tc>
          <w:tcPr>
            <w:tcW w:w="3815" w:type="dxa"/>
            <w:shd w:val="clear" w:color="auto" w:fill="auto"/>
            <w:vAlign w:val="center"/>
          </w:tcPr>
          <w:p>
            <w:pPr>
              <w:autoSpaceDE w:val="0"/>
              <w:autoSpaceDN w:val="0"/>
              <w:spacing w:line="240" w:lineRule="auto"/>
              <w:ind w:left="108" w:right="5"/>
              <w:jc w:val="left"/>
              <w:rPr>
                <w:rFonts w:ascii="宋体" w:hAnsi="宋体" w:cs="宋体"/>
                <w:sz w:val="18"/>
                <w:szCs w:val="18"/>
              </w:rPr>
            </w:pPr>
            <w:r>
              <w:rPr>
                <w:rFonts w:hint="eastAsia" w:ascii="宋体" w:hAnsi="宋体" w:cs="宋体"/>
                <w:sz w:val="18"/>
                <w:szCs w:val="18"/>
              </w:rPr>
              <w:t>企业采取易于理解、便于查询的方式或法律强制性要求的方式披露开发的产品具有的环境效益并披露环境效益测算方法的，得</w:t>
            </w:r>
            <w:r>
              <w:rPr>
                <w:rFonts w:ascii="宋体" w:hAnsi="宋体" w:cs="宋体"/>
                <w:sz w:val="18"/>
                <w:szCs w:val="18"/>
              </w:rPr>
              <w:t>1</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pStyle w:val="181"/>
            </w:pPr>
          </w:p>
        </w:tc>
        <w:tc>
          <w:tcPr>
            <w:tcW w:w="2410" w:type="dxa"/>
            <w:shd w:val="clear" w:color="auto" w:fill="auto"/>
            <w:vAlign w:val="center"/>
          </w:tcPr>
          <w:p>
            <w:pPr>
              <w:autoSpaceDE w:val="0"/>
              <w:autoSpaceDN w:val="0"/>
              <w:spacing w:line="240" w:lineRule="auto"/>
              <w:ind w:left="109" w:right="5"/>
              <w:jc w:val="left"/>
              <w:rPr>
                <w:rFonts w:ascii="宋体" w:hAnsi="宋体" w:cs="宋体"/>
                <w:sz w:val="18"/>
                <w:szCs w:val="18"/>
              </w:rPr>
            </w:pPr>
            <w:r>
              <w:rPr>
                <w:rFonts w:hint="eastAsia" w:ascii="宋体" w:hAnsi="宋体" w:cs="宋体"/>
                <w:sz w:val="18"/>
                <w:szCs w:val="18"/>
              </w:rPr>
              <w:t>开发的任一产品或服务为行业带来的绿色效益（1分）</w:t>
            </w:r>
          </w:p>
        </w:tc>
        <w:tc>
          <w:tcPr>
            <w:tcW w:w="3815" w:type="dxa"/>
            <w:shd w:val="clear" w:color="auto" w:fill="auto"/>
            <w:vAlign w:val="center"/>
          </w:tcPr>
          <w:p>
            <w:pPr>
              <w:autoSpaceDE w:val="0"/>
              <w:autoSpaceDN w:val="0"/>
              <w:spacing w:line="240" w:lineRule="auto"/>
              <w:ind w:left="108" w:right="5"/>
              <w:jc w:val="left"/>
              <w:rPr>
                <w:rFonts w:ascii="宋体" w:hAnsi="宋体" w:cs="宋体"/>
                <w:sz w:val="18"/>
                <w:szCs w:val="18"/>
              </w:rPr>
            </w:pPr>
            <w:r>
              <w:rPr>
                <w:rFonts w:hint="eastAsia" w:ascii="宋体" w:hAnsi="宋体" w:cs="宋体"/>
                <w:sz w:val="18"/>
                <w:szCs w:val="18"/>
              </w:rPr>
              <w:t>企业自行或委托第三方专业机构出具绿色效益评估认证报告，对绿色项目能源节约量、碳减排等预期环境效益进行专业定量测算的，得</w:t>
            </w:r>
            <w:r>
              <w:rPr>
                <w:rFonts w:ascii="宋体" w:hAnsi="宋体" w:cs="宋体"/>
                <w:sz w:val="18"/>
                <w:szCs w:val="18"/>
              </w:rPr>
              <w:t>1</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pStyle w:val="181"/>
            </w:pPr>
          </w:p>
        </w:tc>
        <w:tc>
          <w:tcPr>
            <w:tcW w:w="2410" w:type="dxa"/>
            <w:shd w:val="clear" w:color="auto" w:fill="auto"/>
            <w:vAlign w:val="center"/>
          </w:tcPr>
          <w:p>
            <w:pPr>
              <w:autoSpaceDE w:val="0"/>
              <w:autoSpaceDN w:val="0"/>
              <w:spacing w:line="240" w:lineRule="auto"/>
              <w:ind w:left="109" w:right="5"/>
              <w:jc w:val="left"/>
              <w:rPr>
                <w:rFonts w:ascii="宋体" w:hAnsi="宋体" w:cs="宋体"/>
                <w:sz w:val="18"/>
                <w:szCs w:val="18"/>
              </w:rPr>
            </w:pPr>
            <w:r>
              <w:rPr>
                <w:rFonts w:hint="eastAsia" w:ascii="宋体" w:hAnsi="宋体" w:cs="宋体"/>
                <w:sz w:val="18"/>
                <w:szCs w:val="18"/>
              </w:rPr>
              <w:t>采取生态环境保护措施和成效（1分）</w:t>
            </w:r>
          </w:p>
        </w:tc>
        <w:tc>
          <w:tcPr>
            <w:tcW w:w="3815" w:type="dxa"/>
            <w:shd w:val="clear" w:color="auto" w:fill="auto"/>
            <w:vAlign w:val="center"/>
          </w:tcPr>
          <w:p>
            <w:pPr>
              <w:autoSpaceDE w:val="0"/>
              <w:autoSpaceDN w:val="0"/>
              <w:spacing w:line="240" w:lineRule="auto"/>
              <w:ind w:left="108" w:right="5"/>
              <w:jc w:val="left"/>
              <w:rPr>
                <w:rFonts w:ascii="宋体" w:hAnsi="宋体" w:cs="宋体"/>
                <w:sz w:val="18"/>
                <w:szCs w:val="18"/>
              </w:rPr>
            </w:pPr>
            <w:r>
              <w:rPr>
                <w:rFonts w:hint="eastAsia" w:ascii="宋体" w:hAnsi="宋体" w:cs="宋体"/>
                <w:sz w:val="18"/>
                <w:szCs w:val="18"/>
              </w:rPr>
              <w:t>企业采取生态环境保护措施，并取得成效的，得</w:t>
            </w:r>
            <w:r>
              <w:rPr>
                <w:rFonts w:ascii="宋体" w:hAnsi="宋体" w:cs="宋体"/>
                <w:sz w:val="18"/>
                <w:szCs w:val="18"/>
              </w:rPr>
              <w:t>1</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restart"/>
            <w:shd w:val="clear" w:color="auto" w:fill="auto"/>
            <w:vAlign w:val="center"/>
          </w:tcPr>
          <w:p>
            <w:pPr>
              <w:pStyle w:val="181"/>
            </w:pPr>
            <w:r>
              <w:rPr>
                <w:rFonts w:hint="eastAsia" w:hAnsi="宋体" w:cs="宋体"/>
                <w:szCs w:val="18"/>
              </w:rPr>
              <w:t>温室气体排放（</w:t>
            </w:r>
            <w:r>
              <w:rPr>
                <w:rFonts w:hAnsi="宋体" w:cs="宋体"/>
                <w:szCs w:val="18"/>
              </w:rPr>
              <w:t>3分）</w:t>
            </w:r>
          </w:p>
        </w:tc>
        <w:tc>
          <w:tcPr>
            <w:tcW w:w="2410" w:type="dxa"/>
            <w:shd w:val="clear" w:color="auto" w:fill="auto"/>
            <w:vAlign w:val="center"/>
          </w:tcPr>
          <w:p>
            <w:pPr>
              <w:autoSpaceDE w:val="0"/>
              <w:autoSpaceDN w:val="0"/>
              <w:spacing w:line="240" w:lineRule="auto"/>
              <w:ind w:left="109" w:right="5"/>
              <w:jc w:val="left"/>
              <w:rPr>
                <w:rFonts w:ascii="宋体" w:hAnsi="宋体" w:cs="宋体"/>
                <w:sz w:val="18"/>
                <w:szCs w:val="18"/>
              </w:rPr>
            </w:pPr>
            <w:r>
              <w:rPr>
                <w:rFonts w:hint="eastAsia" w:ascii="宋体" w:hAnsi="宋体" w:cs="宋体"/>
                <w:sz w:val="18"/>
                <w:szCs w:val="18"/>
              </w:rPr>
              <w:t>定期披露温室气体排放水平（包括范围1、范围2、范围3）（1分）</w:t>
            </w:r>
          </w:p>
        </w:tc>
        <w:tc>
          <w:tcPr>
            <w:tcW w:w="3815" w:type="dxa"/>
            <w:shd w:val="clear" w:color="auto" w:fill="auto"/>
            <w:vAlign w:val="center"/>
          </w:tcPr>
          <w:p>
            <w:pPr>
              <w:autoSpaceDE w:val="0"/>
              <w:autoSpaceDN w:val="0"/>
              <w:spacing w:before="135" w:line="240" w:lineRule="auto"/>
              <w:ind w:left="108"/>
              <w:jc w:val="left"/>
              <w:rPr>
                <w:rFonts w:ascii="宋体" w:hAnsi="宋体" w:cs="宋体"/>
                <w:sz w:val="18"/>
                <w:szCs w:val="18"/>
              </w:rPr>
            </w:pPr>
            <w:r>
              <w:rPr>
                <w:rFonts w:hint="eastAsia" w:ascii="宋体" w:hAnsi="宋体" w:cs="宋体"/>
                <w:sz w:val="18"/>
                <w:szCs w:val="18"/>
              </w:rPr>
              <w:t>企业依据温室气体排放核算与报告标准或技术规范，披露周期内温室气体实际排放量、排放设施、核算方法等信息的，得</w:t>
            </w:r>
            <w:r>
              <w:rPr>
                <w:rFonts w:ascii="宋体" w:hAnsi="宋体" w:cs="宋体"/>
                <w:sz w:val="18"/>
                <w:szCs w:val="18"/>
              </w:rPr>
              <w:t>1</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pStyle w:val="181"/>
            </w:pPr>
          </w:p>
        </w:tc>
        <w:tc>
          <w:tcPr>
            <w:tcW w:w="2410" w:type="dxa"/>
            <w:shd w:val="clear" w:color="auto" w:fill="auto"/>
            <w:vAlign w:val="center"/>
          </w:tcPr>
          <w:p>
            <w:pPr>
              <w:autoSpaceDE w:val="0"/>
              <w:autoSpaceDN w:val="0"/>
              <w:spacing w:line="240" w:lineRule="auto"/>
              <w:ind w:left="109" w:right="5"/>
              <w:jc w:val="left"/>
              <w:rPr>
                <w:rFonts w:ascii="宋体" w:hAnsi="宋体" w:cs="宋体"/>
                <w:sz w:val="18"/>
                <w:szCs w:val="18"/>
              </w:rPr>
            </w:pPr>
            <w:r>
              <w:rPr>
                <w:rFonts w:hint="eastAsia" w:ascii="宋体" w:hAnsi="宋体" w:cs="宋体"/>
                <w:sz w:val="18"/>
                <w:szCs w:val="18"/>
              </w:rPr>
              <w:t>制定温室气体排放目标与规划减排路径（1分）</w:t>
            </w:r>
          </w:p>
        </w:tc>
        <w:tc>
          <w:tcPr>
            <w:tcW w:w="3815" w:type="dxa"/>
            <w:shd w:val="clear" w:color="auto" w:fill="auto"/>
            <w:vAlign w:val="center"/>
          </w:tcPr>
          <w:p>
            <w:pPr>
              <w:autoSpaceDE w:val="0"/>
              <w:autoSpaceDN w:val="0"/>
              <w:spacing w:before="135" w:line="240" w:lineRule="auto"/>
              <w:ind w:left="108"/>
              <w:jc w:val="left"/>
              <w:rPr>
                <w:rFonts w:ascii="宋体" w:hAnsi="宋体" w:cs="宋体"/>
                <w:sz w:val="18"/>
                <w:szCs w:val="18"/>
              </w:rPr>
            </w:pPr>
            <w:r>
              <w:rPr>
                <w:rFonts w:hint="eastAsia" w:ascii="宋体" w:hAnsi="宋体" w:cs="宋体"/>
                <w:sz w:val="18"/>
                <w:szCs w:val="18"/>
              </w:rPr>
              <w:t>企业制定温室气体排放目标，并规划减排路径的，得</w:t>
            </w:r>
            <w:r>
              <w:rPr>
                <w:rFonts w:ascii="宋体" w:hAnsi="宋体" w:cs="宋体"/>
                <w:sz w:val="18"/>
                <w:szCs w:val="18"/>
              </w:rPr>
              <w:t>1</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pStyle w:val="181"/>
            </w:pPr>
          </w:p>
        </w:tc>
        <w:tc>
          <w:tcPr>
            <w:tcW w:w="2410" w:type="dxa"/>
            <w:shd w:val="clear" w:color="auto" w:fill="auto"/>
            <w:vAlign w:val="center"/>
          </w:tcPr>
          <w:p>
            <w:pPr>
              <w:autoSpaceDE w:val="0"/>
              <w:autoSpaceDN w:val="0"/>
              <w:spacing w:line="240" w:lineRule="auto"/>
              <w:ind w:left="109" w:right="5"/>
              <w:jc w:val="left"/>
              <w:rPr>
                <w:rFonts w:ascii="宋体" w:hAnsi="宋体" w:cs="宋体"/>
                <w:sz w:val="18"/>
                <w:szCs w:val="18"/>
              </w:rPr>
            </w:pPr>
            <w:r>
              <w:rPr>
                <w:rFonts w:hint="eastAsia" w:ascii="宋体" w:hAnsi="宋体" w:cs="宋体"/>
                <w:sz w:val="18"/>
                <w:szCs w:val="18"/>
              </w:rPr>
              <w:t>定期披露温室气体减排数据情况（1分）</w:t>
            </w:r>
          </w:p>
        </w:tc>
        <w:tc>
          <w:tcPr>
            <w:tcW w:w="3815" w:type="dxa"/>
            <w:shd w:val="clear" w:color="auto" w:fill="auto"/>
            <w:vAlign w:val="center"/>
          </w:tcPr>
          <w:p>
            <w:pPr>
              <w:autoSpaceDE w:val="0"/>
              <w:autoSpaceDN w:val="0"/>
              <w:spacing w:before="135" w:line="240" w:lineRule="auto"/>
              <w:jc w:val="left"/>
              <w:rPr>
                <w:rFonts w:ascii="宋体" w:hAnsi="宋体" w:cs="宋体"/>
                <w:sz w:val="18"/>
                <w:szCs w:val="18"/>
              </w:rPr>
            </w:pPr>
            <w:r>
              <w:rPr>
                <w:rFonts w:hint="eastAsia" w:ascii="宋体" w:hAnsi="宋体" w:cs="宋体"/>
                <w:sz w:val="18"/>
                <w:szCs w:val="18"/>
              </w:rPr>
              <w:t>企业定期披露经有资质的第三方机构核查的温室气体减排数据情况的，得</w:t>
            </w:r>
            <w:r>
              <w:rPr>
                <w:rFonts w:ascii="宋体" w:hAnsi="宋体" w:cs="宋体"/>
                <w:sz w:val="18"/>
                <w:szCs w:val="18"/>
              </w:rPr>
              <w:t>1</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shd w:val="clear" w:color="auto" w:fill="auto"/>
            <w:vAlign w:val="center"/>
          </w:tcPr>
          <w:p>
            <w:pPr>
              <w:autoSpaceDE w:val="0"/>
              <w:autoSpaceDN w:val="0"/>
              <w:spacing w:line="240" w:lineRule="auto"/>
              <w:ind w:left="180" w:right="5" w:hanging="180" w:hangingChars="100"/>
              <w:jc w:val="left"/>
              <w:rPr>
                <w:rFonts w:ascii="宋体" w:hAnsi="宋体" w:cs="宋体"/>
                <w:sz w:val="18"/>
                <w:szCs w:val="18"/>
              </w:rPr>
            </w:pPr>
            <w:r>
              <w:rPr>
                <w:rFonts w:ascii="宋体" w:hAnsi="宋体" w:cs="宋体"/>
                <w:sz w:val="18"/>
                <w:szCs w:val="18"/>
              </w:rPr>
              <w:t>碳中和目标</w:t>
            </w:r>
          </w:p>
          <w:p>
            <w:pPr>
              <w:autoSpaceDE w:val="0"/>
              <w:autoSpaceDN w:val="0"/>
              <w:spacing w:line="240" w:lineRule="auto"/>
              <w:ind w:left="180" w:right="5" w:hanging="180" w:hangingChars="100"/>
              <w:jc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分）</w:t>
            </w:r>
          </w:p>
        </w:tc>
        <w:tc>
          <w:tcPr>
            <w:tcW w:w="2410" w:type="dxa"/>
            <w:shd w:val="clear" w:color="auto" w:fill="auto"/>
            <w:vAlign w:val="center"/>
          </w:tcPr>
          <w:p>
            <w:pPr>
              <w:autoSpaceDE w:val="0"/>
              <w:autoSpaceDN w:val="0"/>
              <w:spacing w:line="240" w:lineRule="auto"/>
              <w:ind w:left="109" w:right="5"/>
              <w:jc w:val="left"/>
              <w:rPr>
                <w:rFonts w:ascii="宋体" w:hAnsi="宋体" w:cs="宋体"/>
                <w:sz w:val="18"/>
                <w:szCs w:val="18"/>
              </w:rPr>
            </w:pPr>
            <w:r>
              <w:rPr>
                <w:rFonts w:hint="eastAsia" w:ascii="宋体" w:hAnsi="宋体" w:cs="宋体"/>
                <w:sz w:val="18"/>
                <w:szCs w:val="18"/>
              </w:rPr>
              <w:t>制定碳中和目标与规划减排路径（</w:t>
            </w:r>
            <w:r>
              <w:rPr>
                <w:rFonts w:ascii="宋体" w:hAnsi="宋体" w:cs="宋体"/>
                <w:sz w:val="18"/>
                <w:szCs w:val="18"/>
              </w:rPr>
              <w:t>2</w:t>
            </w:r>
            <w:r>
              <w:rPr>
                <w:rFonts w:hint="eastAsia" w:ascii="宋体" w:hAnsi="宋体" w:cs="宋体"/>
                <w:sz w:val="18"/>
                <w:szCs w:val="18"/>
              </w:rPr>
              <w:t>分）</w:t>
            </w:r>
          </w:p>
        </w:tc>
        <w:tc>
          <w:tcPr>
            <w:tcW w:w="3815" w:type="dxa"/>
            <w:shd w:val="clear" w:color="auto" w:fill="auto"/>
            <w:vAlign w:val="center"/>
          </w:tcPr>
          <w:p>
            <w:pPr>
              <w:autoSpaceDE w:val="0"/>
              <w:autoSpaceDN w:val="0"/>
              <w:spacing w:before="135" w:line="240" w:lineRule="auto"/>
              <w:ind w:left="108"/>
              <w:jc w:val="left"/>
              <w:rPr>
                <w:rFonts w:ascii="宋体" w:hAnsi="宋体" w:cs="宋体"/>
                <w:sz w:val="18"/>
                <w:szCs w:val="18"/>
              </w:rPr>
            </w:pPr>
            <w:r>
              <w:rPr>
                <w:rFonts w:hint="eastAsia" w:ascii="宋体" w:hAnsi="宋体" w:cs="宋体"/>
                <w:sz w:val="18"/>
                <w:szCs w:val="18"/>
              </w:rPr>
              <w:t>企业制定碳中和目标，并规划减排路径的，得2分。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restart"/>
            <w:shd w:val="clear" w:color="auto" w:fill="auto"/>
            <w:vAlign w:val="center"/>
          </w:tcPr>
          <w:p>
            <w:pPr>
              <w:pStyle w:val="181"/>
              <w:rPr>
                <w:rFonts w:hAnsi="宋体" w:cs="宋体"/>
                <w:szCs w:val="18"/>
              </w:rPr>
            </w:pPr>
            <w:r>
              <w:rPr>
                <w:rFonts w:hAnsi="宋体" w:cs="宋体"/>
                <w:szCs w:val="18"/>
              </w:rPr>
              <w:t>能源消耗</w:t>
            </w:r>
          </w:p>
          <w:p>
            <w:pPr>
              <w:pStyle w:val="181"/>
            </w:pPr>
            <w:r>
              <w:rPr>
                <w:rFonts w:hint="eastAsia" w:hAnsi="宋体" w:cs="宋体"/>
                <w:szCs w:val="18"/>
              </w:rPr>
              <w:t>（</w:t>
            </w:r>
            <w:r>
              <w:rPr>
                <w:rFonts w:hAnsi="宋体" w:cs="宋体"/>
                <w:szCs w:val="18"/>
              </w:rPr>
              <w:t>3分）</w:t>
            </w:r>
          </w:p>
        </w:tc>
        <w:tc>
          <w:tcPr>
            <w:tcW w:w="2410" w:type="dxa"/>
            <w:shd w:val="clear" w:color="auto" w:fill="auto"/>
            <w:vAlign w:val="center"/>
          </w:tcPr>
          <w:p>
            <w:pPr>
              <w:autoSpaceDE w:val="0"/>
              <w:autoSpaceDN w:val="0"/>
              <w:spacing w:line="240" w:lineRule="auto"/>
              <w:ind w:left="109" w:right="5"/>
              <w:jc w:val="left"/>
              <w:rPr>
                <w:rFonts w:ascii="宋体" w:hAnsi="宋体" w:cs="宋体"/>
                <w:sz w:val="18"/>
                <w:szCs w:val="18"/>
              </w:rPr>
            </w:pPr>
            <w:r>
              <w:rPr>
                <w:rFonts w:hint="eastAsia" w:ascii="宋体" w:hAnsi="宋体" w:cs="宋体"/>
                <w:sz w:val="18"/>
                <w:szCs w:val="18"/>
              </w:rPr>
              <w:t>定期披露直接能源消耗总量及强度（1.5分）</w:t>
            </w:r>
          </w:p>
        </w:tc>
        <w:tc>
          <w:tcPr>
            <w:tcW w:w="3815" w:type="dxa"/>
            <w:shd w:val="clear" w:color="auto" w:fill="auto"/>
            <w:vAlign w:val="center"/>
          </w:tcPr>
          <w:p>
            <w:pPr>
              <w:autoSpaceDE w:val="0"/>
              <w:autoSpaceDN w:val="0"/>
              <w:spacing w:before="135" w:line="240" w:lineRule="auto"/>
              <w:ind w:left="108"/>
              <w:jc w:val="left"/>
              <w:rPr>
                <w:rFonts w:ascii="宋体" w:hAnsi="宋体" w:cs="宋体"/>
                <w:sz w:val="18"/>
                <w:szCs w:val="18"/>
              </w:rPr>
            </w:pPr>
            <w:r>
              <w:rPr>
                <w:rFonts w:hint="eastAsia" w:ascii="宋体" w:hAnsi="宋体" w:cs="宋体"/>
                <w:sz w:val="18"/>
                <w:szCs w:val="18"/>
              </w:rPr>
              <w:t>企业定期披露直接能源消耗总量及强度的，得</w:t>
            </w:r>
            <w:r>
              <w:rPr>
                <w:rFonts w:ascii="宋体" w:hAnsi="宋体" w:cs="宋体"/>
                <w:sz w:val="18"/>
                <w:szCs w:val="18"/>
              </w:rPr>
              <w:t>1.5</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pStyle w:val="181"/>
            </w:pPr>
          </w:p>
        </w:tc>
        <w:tc>
          <w:tcPr>
            <w:tcW w:w="2410" w:type="dxa"/>
            <w:shd w:val="clear" w:color="auto" w:fill="auto"/>
            <w:vAlign w:val="center"/>
          </w:tcPr>
          <w:p>
            <w:pPr>
              <w:autoSpaceDE w:val="0"/>
              <w:autoSpaceDN w:val="0"/>
              <w:spacing w:line="240" w:lineRule="auto"/>
              <w:ind w:left="109" w:right="5"/>
              <w:jc w:val="left"/>
              <w:rPr>
                <w:rFonts w:ascii="宋体" w:hAnsi="宋体" w:cs="宋体"/>
                <w:sz w:val="18"/>
                <w:szCs w:val="18"/>
              </w:rPr>
            </w:pPr>
            <w:r>
              <w:rPr>
                <w:rFonts w:hint="eastAsia" w:ascii="宋体" w:hAnsi="宋体" w:cs="宋体"/>
                <w:sz w:val="18"/>
                <w:szCs w:val="18"/>
              </w:rPr>
              <w:t>定期披露节能降耗数据情况（1.5分）</w:t>
            </w:r>
          </w:p>
        </w:tc>
        <w:tc>
          <w:tcPr>
            <w:tcW w:w="3815" w:type="dxa"/>
            <w:shd w:val="clear" w:color="auto" w:fill="auto"/>
            <w:vAlign w:val="center"/>
          </w:tcPr>
          <w:p>
            <w:pPr>
              <w:autoSpaceDE w:val="0"/>
              <w:autoSpaceDN w:val="0"/>
              <w:spacing w:before="135" w:line="240" w:lineRule="auto"/>
              <w:ind w:left="108"/>
              <w:jc w:val="left"/>
              <w:rPr>
                <w:rFonts w:ascii="宋体" w:hAnsi="宋体" w:cs="宋体"/>
                <w:sz w:val="18"/>
                <w:szCs w:val="18"/>
              </w:rPr>
            </w:pPr>
            <w:r>
              <w:rPr>
                <w:rFonts w:hint="eastAsia" w:ascii="宋体" w:hAnsi="宋体" w:cs="宋体"/>
                <w:sz w:val="18"/>
                <w:szCs w:val="18"/>
              </w:rPr>
              <w:t>企业定期披露节能降耗数据情况的，得</w:t>
            </w:r>
            <w:r>
              <w:rPr>
                <w:rFonts w:ascii="宋体" w:hAnsi="宋体" w:cs="宋体"/>
                <w:sz w:val="18"/>
                <w:szCs w:val="18"/>
              </w:rPr>
              <w:t>1.5</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restart"/>
            <w:shd w:val="clear" w:color="auto" w:fill="auto"/>
            <w:vAlign w:val="center"/>
          </w:tcPr>
          <w:p>
            <w:pPr>
              <w:pStyle w:val="181"/>
              <w:rPr>
                <w:rFonts w:hAnsi="宋体" w:cs="宋体"/>
                <w:szCs w:val="18"/>
              </w:rPr>
            </w:pPr>
            <w:r>
              <w:rPr>
                <w:rFonts w:hint="eastAsia" w:hAnsi="宋体" w:cs="宋体"/>
                <w:szCs w:val="18"/>
              </w:rPr>
              <w:t>水资源消耗</w:t>
            </w:r>
          </w:p>
          <w:p>
            <w:pPr>
              <w:pStyle w:val="181"/>
            </w:pPr>
            <w:r>
              <w:rPr>
                <w:rFonts w:hint="eastAsia" w:hAnsi="宋体" w:cs="宋体"/>
                <w:szCs w:val="18"/>
              </w:rPr>
              <w:t>（</w:t>
            </w:r>
            <w:r>
              <w:rPr>
                <w:rFonts w:hAnsi="宋体" w:cs="宋体"/>
                <w:szCs w:val="18"/>
              </w:rPr>
              <w:t>3分）</w:t>
            </w:r>
          </w:p>
        </w:tc>
        <w:tc>
          <w:tcPr>
            <w:tcW w:w="2410" w:type="dxa"/>
            <w:shd w:val="clear" w:color="auto" w:fill="auto"/>
            <w:vAlign w:val="center"/>
          </w:tcPr>
          <w:p>
            <w:pPr>
              <w:autoSpaceDE w:val="0"/>
              <w:autoSpaceDN w:val="0"/>
              <w:spacing w:line="240" w:lineRule="auto"/>
              <w:ind w:left="109" w:right="5"/>
              <w:jc w:val="left"/>
              <w:rPr>
                <w:rFonts w:ascii="宋体" w:hAnsi="宋体" w:cs="宋体"/>
                <w:sz w:val="18"/>
                <w:szCs w:val="18"/>
              </w:rPr>
            </w:pPr>
            <w:r>
              <w:rPr>
                <w:rFonts w:hint="eastAsia" w:ascii="宋体" w:hAnsi="宋体" w:cs="宋体"/>
                <w:sz w:val="18"/>
                <w:szCs w:val="18"/>
              </w:rPr>
              <w:t>定期披露水资源消耗总量及强度（1.5分）</w:t>
            </w:r>
          </w:p>
        </w:tc>
        <w:tc>
          <w:tcPr>
            <w:tcW w:w="3815" w:type="dxa"/>
            <w:shd w:val="clear" w:color="auto" w:fill="auto"/>
            <w:vAlign w:val="center"/>
          </w:tcPr>
          <w:p>
            <w:pPr>
              <w:autoSpaceDE w:val="0"/>
              <w:autoSpaceDN w:val="0"/>
              <w:spacing w:before="135" w:line="240" w:lineRule="auto"/>
              <w:ind w:left="108"/>
              <w:jc w:val="left"/>
              <w:rPr>
                <w:rFonts w:ascii="宋体" w:hAnsi="宋体" w:cs="宋体"/>
                <w:sz w:val="18"/>
                <w:szCs w:val="18"/>
              </w:rPr>
            </w:pPr>
            <w:r>
              <w:rPr>
                <w:rFonts w:hint="eastAsia" w:ascii="宋体" w:hAnsi="宋体" w:cs="宋体"/>
                <w:sz w:val="18"/>
                <w:szCs w:val="18"/>
              </w:rPr>
              <w:t>企业定期披露水资源消耗总量及强度的，得</w:t>
            </w:r>
            <w:r>
              <w:rPr>
                <w:rFonts w:ascii="宋体" w:hAnsi="宋体" w:cs="宋体"/>
                <w:sz w:val="18"/>
                <w:szCs w:val="18"/>
              </w:rPr>
              <w:t>1.5</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pStyle w:val="181"/>
            </w:pPr>
          </w:p>
        </w:tc>
        <w:tc>
          <w:tcPr>
            <w:tcW w:w="2410" w:type="dxa"/>
            <w:shd w:val="clear" w:color="auto" w:fill="auto"/>
            <w:vAlign w:val="center"/>
          </w:tcPr>
          <w:p>
            <w:pPr>
              <w:autoSpaceDE w:val="0"/>
              <w:autoSpaceDN w:val="0"/>
              <w:spacing w:line="240" w:lineRule="auto"/>
              <w:ind w:left="109" w:right="5"/>
              <w:jc w:val="left"/>
              <w:rPr>
                <w:rFonts w:ascii="宋体" w:hAnsi="宋体" w:cs="宋体"/>
                <w:sz w:val="18"/>
                <w:szCs w:val="18"/>
              </w:rPr>
            </w:pPr>
            <w:r>
              <w:rPr>
                <w:rFonts w:hint="eastAsia" w:ascii="宋体" w:hAnsi="宋体" w:cs="宋体"/>
                <w:sz w:val="18"/>
                <w:szCs w:val="18"/>
              </w:rPr>
              <w:t>定期披露节水数据情况（1.5分）</w:t>
            </w:r>
          </w:p>
        </w:tc>
        <w:tc>
          <w:tcPr>
            <w:tcW w:w="3815" w:type="dxa"/>
            <w:shd w:val="clear" w:color="auto" w:fill="auto"/>
            <w:vAlign w:val="center"/>
          </w:tcPr>
          <w:p>
            <w:pPr>
              <w:autoSpaceDE w:val="0"/>
              <w:autoSpaceDN w:val="0"/>
              <w:spacing w:before="135" w:line="240" w:lineRule="auto"/>
              <w:ind w:left="108"/>
              <w:jc w:val="left"/>
              <w:rPr>
                <w:rFonts w:ascii="宋体" w:hAnsi="宋体" w:cs="宋体"/>
                <w:sz w:val="18"/>
                <w:szCs w:val="18"/>
              </w:rPr>
            </w:pPr>
            <w:r>
              <w:rPr>
                <w:rFonts w:hint="eastAsia" w:ascii="宋体" w:hAnsi="宋体" w:cs="宋体"/>
                <w:sz w:val="18"/>
                <w:szCs w:val="18"/>
              </w:rPr>
              <w:t>企业定期披露节水数据情况的，得</w:t>
            </w:r>
            <w:r>
              <w:rPr>
                <w:rFonts w:ascii="宋体" w:hAnsi="宋体" w:cs="宋体"/>
                <w:sz w:val="18"/>
                <w:szCs w:val="18"/>
              </w:rPr>
              <w:t>1.5</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restart"/>
            <w:shd w:val="clear" w:color="auto" w:fill="auto"/>
            <w:vAlign w:val="center"/>
          </w:tcPr>
          <w:p>
            <w:pPr>
              <w:pStyle w:val="181"/>
            </w:pPr>
            <w:r>
              <w:rPr>
                <w:rFonts w:hint="eastAsia" w:hAnsi="宋体" w:cs="宋体"/>
                <w:szCs w:val="18"/>
              </w:rPr>
              <w:t>废弃物产生及回收（</w:t>
            </w:r>
            <w:r>
              <w:rPr>
                <w:rFonts w:hAnsi="宋体" w:cs="宋体"/>
                <w:szCs w:val="18"/>
              </w:rPr>
              <w:t>3分）</w:t>
            </w:r>
          </w:p>
        </w:tc>
        <w:tc>
          <w:tcPr>
            <w:tcW w:w="2410" w:type="dxa"/>
            <w:shd w:val="clear" w:color="auto" w:fill="auto"/>
            <w:vAlign w:val="center"/>
          </w:tcPr>
          <w:p>
            <w:pPr>
              <w:autoSpaceDE w:val="0"/>
              <w:autoSpaceDN w:val="0"/>
              <w:spacing w:line="240" w:lineRule="auto"/>
              <w:ind w:left="109" w:right="5"/>
              <w:jc w:val="left"/>
              <w:rPr>
                <w:rFonts w:ascii="宋体" w:hAnsi="宋体" w:cs="宋体"/>
                <w:sz w:val="18"/>
                <w:szCs w:val="18"/>
              </w:rPr>
            </w:pPr>
            <w:r>
              <w:rPr>
                <w:rFonts w:hint="eastAsia" w:ascii="宋体" w:hAnsi="宋体" w:cs="宋体"/>
                <w:sz w:val="18"/>
                <w:szCs w:val="18"/>
              </w:rPr>
              <w:t>电子废弃物产生量（1.5分）</w:t>
            </w:r>
          </w:p>
        </w:tc>
        <w:tc>
          <w:tcPr>
            <w:tcW w:w="3815" w:type="dxa"/>
            <w:shd w:val="clear" w:color="auto" w:fill="auto"/>
            <w:vAlign w:val="center"/>
          </w:tcPr>
          <w:p>
            <w:pPr>
              <w:autoSpaceDE w:val="0"/>
              <w:autoSpaceDN w:val="0"/>
              <w:spacing w:before="135" w:line="240" w:lineRule="auto"/>
              <w:ind w:left="108"/>
              <w:jc w:val="left"/>
              <w:rPr>
                <w:rFonts w:ascii="宋体" w:hAnsi="宋体" w:cs="宋体"/>
                <w:sz w:val="18"/>
                <w:szCs w:val="18"/>
              </w:rPr>
            </w:pPr>
            <w:r>
              <w:rPr>
                <w:rFonts w:hint="eastAsia" w:ascii="宋体" w:hAnsi="宋体" w:cs="宋体"/>
                <w:sz w:val="18"/>
                <w:szCs w:val="18"/>
              </w:rPr>
              <w:t>企业定期披露电子废弃物产生量的，得</w:t>
            </w:r>
            <w:r>
              <w:rPr>
                <w:rFonts w:ascii="宋体" w:hAnsi="宋体" w:cs="宋体"/>
                <w:sz w:val="18"/>
                <w:szCs w:val="18"/>
              </w:rPr>
              <w:t>1.5</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pStyle w:val="181"/>
            </w:pPr>
          </w:p>
        </w:tc>
        <w:tc>
          <w:tcPr>
            <w:tcW w:w="2410" w:type="dxa"/>
            <w:shd w:val="clear" w:color="auto" w:fill="auto"/>
            <w:vAlign w:val="center"/>
          </w:tcPr>
          <w:p>
            <w:pPr>
              <w:autoSpaceDE w:val="0"/>
              <w:autoSpaceDN w:val="0"/>
              <w:spacing w:line="240" w:lineRule="auto"/>
              <w:ind w:left="109" w:right="5"/>
              <w:jc w:val="left"/>
              <w:rPr>
                <w:rFonts w:ascii="宋体" w:hAnsi="宋体" w:cs="宋体"/>
                <w:sz w:val="18"/>
                <w:szCs w:val="18"/>
              </w:rPr>
            </w:pPr>
            <w:r>
              <w:rPr>
                <w:rFonts w:hint="eastAsia" w:ascii="宋体" w:hAnsi="宋体" w:cs="宋体"/>
                <w:sz w:val="18"/>
                <w:szCs w:val="18"/>
              </w:rPr>
              <w:t>电子废弃物回收量（1.5分）</w:t>
            </w:r>
          </w:p>
        </w:tc>
        <w:tc>
          <w:tcPr>
            <w:tcW w:w="3815" w:type="dxa"/>
            <w:shd w:val="clear" w:color="auto" w:fill="auto"/>
            <w:vAlign w:val="center"/>
          </w:tcPr>
          <w:p>
            <w:pPr>
              <w:autoSpaceDE w:val="0"/>
              <w:autoSpaceDN w:val="0"/>
              <w:spacing w:before="135" w:line="240" w:lineRule="auto"/>
              <w:ind w:left="108"/>
              <w:jc w:val="left"/>
              <w:rPr>
                <w:rFonts w:ascii="宋体" w:hAnsi="宋体" w:cs="宋体"/>
                <w:sz w:val="18"/>
                <w:szCs w:val="18"/>
              </w:rPr>
            </w:pPr>
            <w:r>
              <w:rPr>
                <w:rFonts w:hint="eastAsia" w:ascii="宋体" w:hAnsi="宋体" w:cs="宋体"/>
                <w:sz w:val="18"/>
                <w:szCs w:val="18"/>
              </w:rPr>
              <w:t>企业定期披露电子废弃物回收量的，得</w:t>
            </w:r>
            <w:r>
              <w:rPr>
                <w:rFonts w:ascii="宋体" w:hAnsi="宋体" w:cs="宋体"/>
                <w:sz w:val="18"/>
                <w:szCs w:val="18"/>
              </w:rPr>
              <w:t>1.5</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shd w:val="clear" w:color="auto" w:fill="auto"/>
            <w:vAlign w:val="center"/>
          </w:tcPr>
          <w:p>
            <w:pPr>
              <w:pStyle w:val="181"/>
            </w:pPr>
            <w:r>
              <w:rPr>
                <w:rFonts w:hint="eastAsia" w:hAnsi="宋体" w:cs="宋体"/>
                <w:szCs w:val="18"/>
              </w:rPr>
              <w:t>生物保护与修复（</w:t>
            </w:r>
            <w:r>
              <w:rPr>
                <w:rFonts w:hAnsi="宋体" w:cs="宋体"/>
                <w:szCs w:val="18"/>
              </w:rPr>
              <w:t>3分）</w:t>
            </w:r>
          </w:p>
        </w:tc>
        <w:tc>
          <w:tcPr>
            <w:tcW w:w="2410" w:type="dxa"/>
            <w:shd w:val="clear" w:color="auto" w:fill="auto"/>
            <w:vAlign w:val="center"/>
          </w:tcPr>
          <w:p>
            <w:pPr>
              <w:autoSpaceDE w:val="0"/>
              <w:autoSpaceDN w:val="0"/>
              <w:spacing w:line="240" w:lineRule="auto"/>
              <w:ind w:left="109" w:right="5"/>
              <w:jc w:val="left"/>
              <w:rPr>
                <w:rFonts w:ascii="宋体" w:hAnsi="宋体" w:cs="宋体"/>
                <w:sz w:val="18"/>
                <w:szCs w:val="18"/>
              </w:rPr>
            </w:pPr>
            <w:r>
              <w:rPr>
                <w:rFonts w:hint="eastAsia" w:ascii="宋体" w:hAnsi="宋体" w:cs="宋体"/>
                <w:sz w:val="18"/>
                <w:szCs w:val="18"/>
              </w:rPr>
              <w:t>有生态系统恢复计划，以修复受损的生态系统和生物多样性。该计划应包括明确的目标、时间表和预算（</w:t>
            </w:r>
            <w:r>
              <w:rPr>
                <w:rFonts w:ascii="宋体" w:hAnsi="宋体" w:cs="宋体"/>
                <w:sz w:val="18"/>
                <w:szCs w:val="18"/>
              </w:rPr>
              <w:t>3分）</w:t>
            </w:r>
          </w:p>
        </w:tc>
        <w:tc>
          <w:tcPr>
            <w:tcW w:w="3815" w:type="dxa"/>
            <w:shd w:val="clear" w:color="auto" w:fill="auto"/>
            <w:vAlign w:val="center"/>
          </w:tcPr>
          <w:p>
            <w:pPr>
              <w:autoSpaceDE w:val="0"/>
              <w:autoSpaceDN w:val="0"/>
              <w:spacing w:before="135" w:line="240" w:lineRule="auto"/>
              <w:ind w:left="108"/>
              <w:jc w:val="left"/>
              <w:rPr>
                <w:rFonts w:ascii="宋体" w:hAnsi="宋体" w:cs="宋体"/>
                <w:sz w:val="18"/>
                <w:szCs w:val="18"/>
              </w:rPr>
            </w:pPr>
            <w:r>
              <w:rPr>
                <w:rFonts w:hint="eastAsia" w:ascii="宋体" w:hAnsi="宋体" w:cs="宋体"/>
                <w:sz w:val="18"/>
                <w:szCs w:val="18"/>
              </w:rPr>
              <w:t>企业制定了生态系统恢复计划的，得3分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7501" w:type="dxa"/>
            <w:gridSpan w:val="3"/>
            <w:shd w:val="clear" w:color="auto" w:fill="auto"/>
            <w:vAlign w:val="center"/>
          </w:tcPr>
          <w:p>
            <w:pPr>
              <w:pStyle w:val="181"/>
            </w:pPr>
            <w:r>
              <w:rPr>
                <w:rFonts w:hint="eastAsia"/>
              </w:rPr>
              <w:t>加分项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3686" w:type="dxa"/>
            <w:gridSpan w:val="2"/>
            <w:shd w:val="clear" w:color="auto" w:fill="auto"/>
            <w:vAlign w:val="center"/>
          </w:tcPr>
          <w:p>
            <w:pPr>
              <w:autoSpaceDE w:val="0"/>
              <w:autoSpaceDN w:val="0"/>
              <w:spacing w:line="259" w:lineRule="exact"/>
              <w:ind w:left="109" w:right="5"/>
              <w:jc w:val="left"/>
              <w:rPr>
                <w:rFonts w:ascii="宋体" w:hAnsi="宋体" w:cs="宋体"/>
                <w:sz w:val="18"/>
                <w:szCs w:val="18"/>
              </w:rPr>
            </w:pPr>
            <w:r>
              <w:rPr>
                <w:rFonts w:ascii="宋体" w:hAnsi="宋体" w:cs="宋体"/>
                <w:sz w:val="18"/>
                <w:szCs w:val="18"/>
              </w:rPr>
              <w:t>将</w:t>
            </w:r>
            <w:r>
              <w:rPr>
                <w:rFonts w:hint="eastAsia" w:ascii="宋体" w:hAnsi="宋体" w:cs="宋体"/>
                <w:sz w:val="18"/>
                <w:szCs w:val="18"/>
              </w:rPr>
              <w:t>公司积极、公开支持数据中心行业应用可再生能源，提升政府、行业、学校、公众、供应商等关于可再生能源的意识（4分）</w:t>
            </w:r>
          </w:p>
        </w:tc>
        <w:tc>
          <w:tcPr>
            <w:tcW w:w="3815" w:type="dxa"/>
            <w:shd w:val="clear" w:color="auto" w:fill="auto"/>
            <w:vAlign w:val="center"/>
          </w:tcPr>
          <w:p>
            <w:pPr>
              <w:autoSpaceDE w:val="0"/>
              <w:autoSpaceDN w:val="0"/>
              <w:spacing w:line="281" w:lineRule="exact"/>
              <w:ind w:left="108"/>
              <w:jc w:val="left"/>
              <w:rPr>
                <w:rFonts w:ascii="宋体" w:hAnsi="宋体" w:cs="宋体"/>
                <w:sz w:val="18"/>
                <w:szCs w:val="18"/>
              </w:rPr>
            </w:pPr>
            <w:r>
              <w:rPr>
                <w:rFonts w:hint="eastAsia" w:ascii="宋体" w:hAnsi="宋体" w:cs="宋体"/>
                <w:sz w:val="18"/>
                <w:szCs w:val="18"/>
              </w:rPr>
              <w:t>满足此加分项者，根据其影响范围的大小酌情加2-4分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restart"/>
            <w:shd w:val="clear" w:color="auto" w:fill="auto"/>
            <w:vAlign w:val="center"/>
          </w:tcPr>
          <w:p>
            <w:pPr>
              <w:pStyle w:val="181"/>
              <w:rPr>
                <w:rFonts w:hAnsi="宋体" w:cs="宋体"/>
                <w:bCs/>
                <w:color w:val="000000"/>
                <w:szCs w:val="18"/>
              </w:rPr>
            </w:pPr>
          </w:p>
          <w:p>
            <w:pPr>
              <w:pStyle w:val="181"/>
              <w:rPr>
                <w:rFonts w:hAnsi="宋体" w:cs="宋体"/>
                <w:bCs/>
                <w:color w:val="000000"/>
                <w:szCs w:val="18"/>
              </w:rPr>
            </w:pPr>
          </w:p>
          <w:p>
            <w:pPr>
              <w:pStyle w:val="181"/>
              <w:rPr>
                <w:rFonts w:hAnsi="宋体" w:cs="宋体"/>
                <w:bCs/>
                <w:color w:val="000000"/>
                <w:szCs w:val="18"/>
              </w:rPr>
            </w:pPr>
          </w:p>
          <w:p>
            <w:pPr>
              <w:pStyle w:val="181"/>
              <w:rPr>
                <w:rFonts w:hAnsi="宋体" w:cs="宋体"/>
                <w:bCs/>
                <w:color w:val="000000"/>
                <w:szCs w:val="18"/>
              </w:rPr>
            </w:pPr>
          </w:p>
          <w:p>
            <w:pPr>
              <w:pStyle w:val="181"/>
              <w:rPr>
                <w:rFonts w:hAnsi="宋体" w:cs="宋体"/>
                <w:bCs/>
                <w:color w:val="000000"/>
                <w:szCs w:val="18"/>
              </w:rPr>
            </w:pPr>
          </w:p>
          <w:p>
            <w:pPr>
              <w:pStyle w:val="181"/>
              <w:rPr>
                <w:rFonts w:hAnsi="宋体" w:cs="宋体"/>
                <w:bCs/>
                <w:color w:val="000000"/>
                <w:szCs w:val="18"/>
              </w:rPr>
            </w:pPr>
          </w:p>
          <w:p>
            <w:pPr>
              <w:pStyle w:val="181"/>
              <w:rPr>
                <w:rFonts w:hAnsi="宋体" w:cs="宋体"/>
                <w:bCs/>
                <w:color w:val="000000"/>
                <w:szCs w:val="18"/>
              </w:rPr>
            </w:pPr>
          </w:p>
          <w:p>
            <w:pPr>
              <w:pStyle w:val="181"/>
              <w:rPr>
                <w:rFonts w:hAnsi="宋体" w:cs="宋体"/>
                <w:bCs/>
                <w:color w:val="000000"/>
                <w:szCs w:val="18"/>
              </w:rPr>
            </w:pPr>
          </w:p>
          <w:p>
            <w:pPr>
              <w:pStyle w:val="181"/>
              <w:rPr>
                <w:rFonts w:hAnsi="宋体" w:cs="宋体"/>
                <w:bCs/>
                <w:color w:val="000000"/>
                <w:szCs w:val="18"/>
              </w:rPr>
            </w:pPr>
          </w:p>
          <w:p>
            <w:pPr>
              <w:pStyle w:val="181"/>
              <w:rPr>
                <w:rFonts w:hAnsi="宋体" w:cs="宋体"/>
                <w:bCs/>
                <w:color w:val="000000"/>
                <w:szCs w:val="18"/>
              </w:rPr>
            </w:pPr>
          </w:p>
          <w:p>
            <w:pPr>
              <w:pStyle w:val="181"/>
              <w:rPr>
                <w:rFonts w:hAnsi="宋体" w:cs="宋体"/>
                <w:bCs/>
                <w:color w:val="000000"/>
                <w:szCs w:val="18"/>
              </w:rPr>
            </w:pPr>
          </w:p>
          <w:p>
            <w:pPr>
              <w:pStyle w:val="181"/>
              <w:rPr>
                <w:rFonts w:hAnsi="宋体" w:cs="宋体"/>
                <w:bCs/>
                <w:color w:val="000000"/>
                <w:szCs w:val="18"/>
              </w:rPr>
            </w:pPr>
          </w:p>
          <w:p>
            <w:pPr>
              <w:pStyle w:val="181"/>
              <w:rPr>
                <w:rFonts w:hAnsi="宋体" w:cs="宋体"/>
                <w:bCs/>
                <w:color w:val="000000"/>
                <w:szCs w:val="18"/>
              </w:rPr>
            </w:pPr>
          </w:p>
          <w:p>
            <w:pPr>
              <w:pStyle w:val="181"/>
              <w:rPr>
                <w:rFonts w:hAnsi="宋体" w:cs="宋体"/>
                <w:bCs/>
                <w:color w:val="000000"/>
                <w:szCs w:val="18"/>
              </w:rPr>
            </w:pPr>
          </w:p>
          <w:p>
            <w:pPr>
              <w:pStyle w:val="181"/>
              <w:rPr>
                <w:rFonts w:hAnsi="宋体" w:cs="宋体"/>
                <w:bCs/>
                <w:color w:val="000000"/>
                <w:szCs w:val="18"/>
              </w:rPr>
            </w:pPr>
          </w:p>
          <w:p>
            <w:pPr>
              <w:pStyle w:val="181"/>
              <w:rPr>
                <w:rFonts w:hAnsi="宋体" w:cs="宋体"/>
                <w:bCs/>
                <w:color w:val="000000"/>
                <w:szCs w:val="18"/>
              </w:rPr>
            </w:pPr>
          </w:p>
          <w:p>
            <w:pPr>
              <w:pStyle w:val="181"/>
              <w:rPr>
                <w:rFonts w:hAnsi="宋体" w:cs="宋体"/>
                <w:bCs/>
                <w:color w:val="000000"/>
                <w:szCs w:val="18"/>
              </w:rPr>
            </w:pPr>
          </w:p>
          <w:p>
            <w:pPr>
              <w:pStyle w:val="181"/>
              <w:rPr>
                <w:rFonts w:hAnsi="宋体" w:cs="宋体"/>
                <w:bCs/>
                <w:color w:val="000000"/>
                <w:szCs w:val="18"/>
              </w:rPr>
            </w:pPr>
          </w:p>
          <w:p>
            <w:pPr>
              <w:pStyle w:val="181"/>
              <w:rPr>
                <w:rFonts w:hAnsi="宋体" w:cs="宋体"/>
                <w:bCs/>
                <w:color w:val="000000"/>
                <w:szCs w:val="18"/>
              </w:rPr>
            </w:pPr>
          </w:p>
          <w:p>
            <w:pPr>
              <w:pStyle w:val="181"/>
              <w:rPr>
                <w:rFonts w:hAnsi="宋体" w:cs="宋体"/>
                <w:bCs/>
                <w:color w:val="000000"/>
                <w:szCs w:val="18"/>
              </w:rPr>
            </w:pPr>
          </w:p>
          <w:p>
            <w:pPr>
              <w:pStyle w:val="181"/>
              <w:rPr>
                <w:rFonts w:hAnsi="宋体" w:cs="宋体"/>
                <w:bCs/>
                <w:color w:val="000000"/>
                <w:szCs w:val="18"/>
              </w:rPr>
            </w:pPr>
          </w:p>
          <w:p>
            <w:pPr>
              <w:pStyle w:val="181"/>
              <w:rPr>
                <w:rFonts w:hAnsi="宋体" w:cs="宋体"/>
                <w:bCs/>
                <w:color w:val="000000"/>
                <w:szCs w:val="18"/>
              </w:rPr>
            </w:pPr>
          </w:p>
          <w:p>
            <w:pPr>
              <w:pStyle w:val="181"/>
              <w:rPr>
                <w:rFonts w:hAnsi="宋体" w:cs="宋体"/>
                <w:bCs/>
                <w:color w:val="000000"/>
                <w:szCs w:val="18"/>
              </w:rPr>
            </w:pPr>
          </w:p>
          <w:p>
            <w:pPr>
              <w:pStyle w:val="181"/>
              <w:rPr>
                <w:rFonts w:hAnsi="宋体" w:cs="宋体"/>
                <w:bCs/>
                <w:color w:val="000000"/>
                <w:szCs w:val="18"/>
              </w:rPr>
            </w:pPr>
          </w:p>
          <w:p>
            <w:pPr>
              <w:pStyle w:val="181"/>
              <w:rPr>
                <w:rFonts w:hAnsi="宋体" w:cs="宋体"/>
                <w:bCs/>
                <w:color w:val="000000"/>
                <w:szCs w:val="18"/>
              </w:rPr>
            </w:pPr>
            <w:r>
              <w:rPr>
                <w:rFonts w:hAnsi="宋体" w:cs="宋体"/>
                <w:bCs/>
                <w:color w:val="000000"/>
                <w:szCs w:val="18"/>
              </w:rPr>
              <w:t>环境保护理念传播</w:t>
            </w:r>
          </w:p>
          <w:p>
            <w:pPr>
              <w:pStyle w:val="181"/>
            </w:pPr>
            <w:r>
              <w:rPr>
                <w:rFonts w:hAnsi="宋体" w:cs="宋体"/>
                <w:bCs/>
                <w:color w:val="000000"/>
                <w:spacing w:val="1"/>
                <w:w w:val="99"/>
                <w:szCs w:val="18"/>
              </w:rPr>
              <w:t>（</w:t>
            </w:r>
            <w:r>
              <w:rPr>
                <w:rFonts w:hint="eastAsia" w:hAnsi="宋体" w:cs="宋体"/>
                <w:bCs/>
                <w:color w:val="000000"/>
                <w:spacing w:val="-5"/>
                <w:w w:val="105"/>
                <w:szCs w:val="18"/>
              </w:rPr>
              <w:t>30</w:t>
            </w:r>
            <w:r>
              <w:rPr>
                <w:rFonts w:hint="eastAsia" w:hAnsi="宋体" w:cs="宋体"/>
                <w:bCs/>
                <w:color w:val="000000"/>
                <w:w w:val="99"/>
                <w:szCs w:val="18"/>
              </w:rPr>
              <w:t xml:space="preserve"> </w:t>
            </w:r>
            <w:r>
              <w:rPr>
                <w:rFonts w:hAnsi="宋体" w:cs="宋体"/>
                <w:bCs/>
                <w:color w:val="000000"/>
                <w:spacing w:val="11"/>
                <w:w w:val="94"/>
                <w:szCs w:val="18"/>
              </w:rPr>
              <w:t>分</w:t>
            </w:r>
            <w:r>
              <w:rPr>
                <w:rFonts w:hAnsi="宋体" w:cs="宋体"/>
                <w:bCs/>
                <w:color w:val="000000"/>
                <w:spacing w:val="-6"/>
                <w:w w:val="97"/>
                <w:szCs w:val="18"/>
              </w:rPr>
              <w:t>）</w:t>
            </w:r>
          </w:p>
        </w:tc>
        <w:tc>
          <w:tcPr>
            <w:tcW w:w="1276" w:type="dxa"/>
            <w:vMerge w:val="restart"/>
            <w:shd w:val="clear" w:color="auto" w:fill="auto"/>
            <w:vAlign w:val="center"/>
          </w:tcPr>
          <w:p>
            <w:pPr>
              <w:pStyle w:val="181"/>
            </w:pPr>
            <w:r>
              <w:rPr>
                <w:rFonts w:hint="eastAsia" w:hAnsi="宋体" w:cs="宋体"/>
                <w:szCs w:val="18"/>
              </w:rPr>
              <w:t>传播平台建设（</w:t>
            </w:r>
            <w:r>
              <w:rPr>
                <w:rFonts w:hAnsi="宋体" w:cs="宋体"/>
                <w:szCs w:val="18"/>
              </w:rPr>
              <w:t>6</w:t>
            </w:r>
            <w:r>
              <w:rPr>
                <w:rFonts w:hint="eastAsia" w:hAnsi="宋体" w:cs="宋体"/>
                <w:szCs w:val="18"/>
              </w:rPr>
              <w:t>分）</w:t>
            </w:r>
          </w:p>
        </w:tc>
        <w:tc>
          <w:tcPr>
            <w:tcW w:w="2410"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建立官网、公众号等沟通传播渠道，便于利益相关方快速、全面了解企业可持续发展理念（4分）</w:t>
            </w:r>
          </w:p>
        </w:tc>
        <w:tc>
          <w:tcPr>
            <w:tcW w:w="3815" w:type="dxa"/>
            <w:shd w:val="clear" w:color="auto" w:fill="auto"/>
            <w:vAlign w:val="center"/>
          </w:tcPr>
          <w:p>
            <w:pPr>
              <w:autoSpaceDE w:val="0"/>
              <w:autoSpaceDN w:val="0"/>
              <w:spacing w:line="240" w:lineRule="auto"/>
              <w:ind w:left="108" w:right="5"/>
              <w:jc w:val="left"/>
              <w:rPr>
                <w:rFonts w:ascii="宋体" w:hAnsi="宋体" w:cs="宋体"/>
                <w:sz w:val="18"/>
                <w:szCs w:val="18"/>
              </w:rPr>
            </w:pPr>
            <w:r>
              <w:rPr>
                <w:rFonts w:hint="eastAsia" w:ascii="宋体" w:hAnsi="宋体" w:cs="宋体"/>
                <w:sz w:val="18"/>
                <w:szCs w:val="18"/>
              </w:rPr>
              <w:t>企业建立官网、公众号等沟通传播渠道传播可持续发展理念的，得2分；如公众号总阅读量、官网总点击量等数据达到10万次以上的，额外得2分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pStyle w:val="181"/>
            </w:pPr>
          </w:p>
        </w:tc>
        <w:tc>
          <w:tcPr>
            <w:tcW w:w="2410"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建立可持续发展披露体系，编制的ESG报告及相关议题专题报告，系统全面披露传播企业的可持续发展理念。（2分）</w:t>
            </w:r>
          </w:p>
        </w:tc>
        <w:tc>
          <w:tcPr>
            <w:tcW w:w="3815" w:type="dxa"/>
            <w:shd w:val="clear" w:color="auto" w:fill="auto"/>
            <w:vAlign w:val="center"/>
          </w:tcPr>
          <w:p>
            <w:pPr>
              <w:autoSpaceDE w:val="0"/>
              <w:autoSpaceDN w:val="0"/>
              <w:spacing w:line="240" w:lineRule="auto"/>
              <w:ind w:left="108" w:right="5"/>
              <w:jc w:val="left"/>
              <w:rPr>
                <w:rFonts w:ascii="宋体" w:hAnsi="宋体" w:cs="宋体"/>
                <w:sz w:val="18"/>
                <w:szCs w:val="18"/>
              </w:rPr>
            </w:pPr>
            <w:r>
              <w:rPr>
                <w:rFonts w:hint="eastAsia" w:ascii="宋体" w:hAnsi="宋体" w:cs="宋体"/>
                <w:sz w:val="18"/>
                <w:szCs w:val="18"/>
              </w:rPr>
              <w:t>满足此指标者，得2分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restart"/>
            <w:shd w:val="clear" w:color="auto" w:fill="auto"/>
            <w:vAlign w:val="center"/>
          </w:tcPr>
          <w:p>
            <w:pPr>
              <w:pStyle w:val="181"/>
            </w:pPr>
            <w:r>
              <w:rPr>
                <w:rFonts w:hint="eastAsia" w:hAnsi="宋体" w:cs="宋体"/>
                <w:szCs w:val="18"/>
              </w:rPr>
              <w:t>传播绿色消费理念（</w:t>
            </w:r>
            <w:r>
              <w:rPr>
                <w:rFonts w:hAnsi="宋体" w:cs="宋体"/>
                <w:szCs w:val="18"/>
              </w:rPr>
              <w:t>6</w:t>
            </w:r>
            <w:r>
              <w:rPr>
                <w:rFonts w:hint="eastAsia" w:hAnsi="宋体" w:cs="宋体"/>
                <w:szCs w:val="18"/>
              </w:rPr>
              <w:t>分）</w:t>
            </w:r>
          </w:p>
        </w:tc>
        <w:tc>
          <w:tcPr>
            <w:tcW w:w="2410"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通过相关激励机制向消费者端积极传递绿色消费的理念，鼓励消费者购买能效等级高、减塑产品、再生产品、零碳产品等绿色产品（2分）</w:t>
            </w:r>
          </w:p>
        </w:tc>
        <w:tc>
          <w:tcPr>
            <w:tcW w:w="3815" w:type="dxa"/>
            <w:shd w:val="clear" w:color="auto" w:fill="auto"/>
            <w:vAlign w:val="center"/>
          </w:tcPr>
          <w:p>
            <w:pPr>
              <w:autoSpaceDE w:val="0"/>
              <w:autoSpaceDN w:val="0"/>
              <w:spacing w:line="240" w:lineRule="auto"/>
              <w:ind w:left="108" w:right="5"/>
              <w:jc w:val="left"/>
              <w:rPr>
                <w:rFonts w:ascii="宋体" w:hAnsi="宋体" w:cs="宋体"/>
                <w:sz w:val="18"/>
                <w:szCs w:val="18"/>
              </w:rPr>
            </w:pPr>
            <w:r>
              <w:rPr>
                <w:rFonts w:hint="eastAsia" w:ascii="宋体" w:hAnsi="宋体" w:cs="宋体"/>
                <w:sz w:val="18"/>
                <w:szCs w:val="18"/>
              </w:rPr>
              <w:t>满足此指标者，得</w:t>
            </w:r>
            <w:r>
              <w:rPr>
                <w:rFonts w:ascii="宋体" w:hAnsi="宋体" w:cs="宋体"/>
                <w:sz w:val="18"/>
                <w:szCs w:val="18"/>
              </w:rPr>
              <w:t>1</w:t>
            </w:r>
            <w:r>
              <w:rPr>
                <w:rFonts w:hint="eastAsia" w:ascii="宋体" w:hAnsi="宋体" w:cs="宋体"/>
                <w:sz w:val="18"/>
                <w:szCs w:val="18"/>
              </w:rPr>
              <w:t>分；如激励机制实施后绿色产品销量提升5%以上者，额外得</w:t>
            </w:r>
            <w:r>
              <w:rPr>
                <w:rFonts w:ascii="宋体" w:hAnsi="宋体" w:cs="宋体"/>
                <w:sz w:val="18"/>
                <w:szCs w:val="18"/>
              </w:rPr>
              <w:t>1</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pStyle w:val="181"/>
            </w:pPr>
          </w:p>
        </w:tc>
        <w:tc>
          <w:tcPr>
            <w:tcW w:w="2410"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互联网企业鼓励绿色产品入驻，包含全过程角度满足资源节约、环境友好、消费友好、资源能源消耗少、污染物排放低、易回收再利用、健康安全、品质高的产品（4分）</w:t>
            </w:r>
          </w:p>
        </w:tc>
        <w:tc>
          <w:tcPr>
            <w:tcW w:w="3815" w:type="dxa"/>
            <w:shd w:val="clear" w:color="auto" w:fill="auto"/>
            <w:vAlign w:val="center"/>
          </w:tcPr>
          <w:p>
            <w:pPr>
              <w:autoSpaceDE w:val="0"/>
              <w:autoSpaceDN w:val="0"/>
              <w:spacing w:line="240" w:lineRule="auto"/>
              <w:ind w:left="108" w:right="5"/>
              <w:jc w:val="left"/>
              <w:rPr>
                <w:rFonts w:ascii="宋体" w:hAnsi="宋体" w:cs="宋体"/>
                <w:sz w:val="18"/>
                <w:szCs w:val="18"/>
              </w:rPr>
            </w:pPr>
            <w:r>
              <w:rPr>
                <w:rFonts w:hint="eastAsia" w:ascii="宋体" w:hAnsi="宋体" w:cs="宋体"/>
                <w:sz w:val="18"/>
                <w:szCs w:val="18"/>
              </w:rPr>
              <w:t>满足此指标者，得2分；如入驻的绿色产品品类提升5%以上者，额外得2分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restart"/>
            <w:shd w:val="clear" w:color="auto" w:fill="auto"/>
            <w:vAlign w:val="center"/>
          </w:tcPr>
          <w:p>
            <w:pPr>
              <w:pStyle w:val="181"/>
            </w:pPr>
            <w:r>
              <w:rPr>
                <w:rFonts w:hint="eastAsia" w:hAnsi="宋体" w:cs="宋体"/>
                <w:szCs w:val="18"/>
              </w:rPr>
              <w:t>传播企业节能增效等环保理念（</w:t>
            </w:r>
            <w:r>
              <w:rPr>
                <w:rFonts w:hAnsi="宋体" w:cs="宋体"/>
                <w:szCs w:val="18"/>
              </w:rPr>
              <w:t>8</w:t>
            </w:r>
            <w:r>
              <w:rPr>
                <w:rFonts w:hint="eastAsia" w:hAnsi="宋体" w:cs="宋体"/>
                <w:szCs w:val="18"/>
              </w:rPr>
              <w:t>分）</w:t>
            </w:r>
          </w:p>
        </w:tc>
        <w:tc>
          <w:tcPr>
            <w:tcW w:w="2410"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响应国家双碳战略，积极参与相关国标、行标、团标、地标等建设，贡献企业ESG实践经验，一年至少参加一次（2分）</w:t>
            </w:r>
          </w:p>
        </w:tc>
        <w:tc>
          <w:tcPr>
            <w:tcW w:w="3815" w:type="dxa"/>
            <w:shd w:val="clear" w:color="auto" w:fill="auto"/>
            <w:vAlign w:val="center"/>
          </w:tcPr>
          <w:p>
            <w:pPr>
              <w:autoSpaceDE w:val="0"/>
              <w:autoSpaceDN w:val="0"/>
              <w:spacing w:line="240" w:lineRule="auto"/>
              <w:ind w:left="108" w:right="5"/>
              <w:jc w:val="left"/>
              <w:rPr>
                <w:rFonts w:ascii="宋体" w:hAnsi="宋体" w:cs="宋体"/>
                <w:sz w:val="18"/>
                <w:szCs w:val="18"/>
              </w:rPr>
            </w:pPr>
            <w:r>
              <w:rPr>
                <w:rFonts w:hint="eastAsia" w:ascii="宋体" w:hAnsi="宋体" w:cs="宋体"/>
                <w:sz w:val="18"/>
                <w:szCs w:val="18"/>
              </w:rPr>
              <w:t>一年参加一次者，得</w:t>
            </w:r>
            <w:r>
              <w:rPr>
                <w:rFonts w:ascii="宋体" w:hAnsi="宋体" w:cs="宋体"/>
                <w:sz w:val="18"/>
                <w:szCs w:val="18"/>
              </w:rPr>
              <w:t>1</w:t>
            </w:r>
            <w:r>
              <w:rPr>
                <w:rFonts w:hint="eastAsia" w:ascii="宋体" w:hAnsi="宋体" w:cs="宋体"/>
                <w:sz w:val="18"/>
                <w:szCs w:val="18"/>
              </w:rPr>
              <w:t>分；一年参加两次者，得</w:t>
            </w:r>
            <w:r>
              <w:rPr>
                <w:rFonts w:ascii="宋体" w:hAnsi="宋体" w:cs="宋体"/>
                <w:sz w:val="18"/>
                <w:szCs w:val="18"/>
              </w:rPr>
              <w:t>1.5</w:t>
            </w:r>
            <w:r>
              <w:rPr>
                <w:rFonts w:hint="eastAsia" w:ascii="宋体" w:hAnsi="宋体" w:cs="宋体"/>
                <w:sz w:val="18"/>
                <w:szCs w:val="18"/>
              </w:rPr>
              <w:t>分；一年参加三次及以上者，得</w:t>
            </w:r>
            <w:r>
              <w:rPr>
                <w:rFonts w:ascii="宋体" w:hAnsi="宋体" w:cs="宋体"/>
                <w:sz w:val="18"/>
                <w:szCs w:val="18"/>
              </w:rPr>
              <w:t>2</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pStyle w:val="181"/>
            </w:pPr>
          </w:p>
        </w:tc>
        <w:tc>
          <w:tcPr>
            <w:tcW w:w="2410"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一年内参加一次行业会议或宣讲分享可再生能源应用案例与实践经验，以及推动行业提升节能减排意识与能力的举措（2分）</w:t>
            </w:r>
          </w:p>
        </w:tc>
        <w:tc>
          <w:tcPr>
            <w:tcW w:w="3815" w:type="dxa"/>
            <w:shd w:val="clear" w:color="auto" w:fill="auto"/>
            <w:vAlign w:val="center"/>
          </w:tcPr>
          <w:p>
            <w:pPr>
              <w:autoSpaceDE w:val="0"/>
              <w:autoSpaceDN w:val="0"/>
              <w:spacing w:line="240" w:lineRule="auto"/>
              <w:ind w:left="108" w:right="5"/>
              <w:jc w:val="left"/>
              <w:rPr>
                <w:rFonts w:ascii="宋体" w:hAnsi="宋体" w:cs="宋体"/>
                <w:sz w:val="18"/>
                <w:szCs w:val="18"/>
              </w:rPr>
            </w:pPr>
            <w:r>
              <w:rPr>
                <w:rFonts w:hint="eastAsia" w:ascii="宋体" w:hAnsi="宋体" w:cs="宋体"/>
                <w:sz w:val="18"/>
                <w:szCs w:val="18"/>
              </w:rPr>
              <w:t>一年参加一次者，得</w:t>
            </w:r>
            <w:r>
              <w:rPr>
                <w:rFonts w:ascii="宋体" w:hAnsi="宋体" w:cs="宋体"/>
                <w:sz w:val="18"/>
                <w:szCs w:val="18"/>
              </w:rPr>
              <w:t>1</w:t>
            </w:r>
            <w:r>
              <w:rPr>
                <w:rFonts w:hint="eastAsia" w:ascii="宋体" w:hAnsi="宋体" w:cs="宋体"/>
                <w:sz w:val="18"/>
                <w:szCs w:val="18"/>
              </w:rPr>
              <w:t>分；一年参加两次者，得</w:t>
            </w:r>
            <w:r>
              <w:rPr>
                <w:rFonts w:ascii="宋体" w:hAnsi="宋体" w:cs="宋体"/>
                <w:sz w:val="18"/>
                <w:szCs w:val="18"/>
              </w:rPr>
              <w:t>1.5</w:t>
            </w:r>
            <w:r>
              <w:rPr>
                <w:rFonts w:hint="eastAsia" w:ascii="宋体" w:hAnsi="宋体" w:cs="宋体"/>
                <w:sz w:val="18"/>
                <w:szCs w:val="18"/>
              </w:rPr>
              <w:t>分；一年参加三次及以上者，得</w:t>
            </w:r>
            <w:r>
              <w:rPr>
                <w:rFonts w:ascii="宋体" w:hAnsi="宋体" w:cs="宋体"/>
                <w:sz w:val="18"/>
                <w:szCs w:val="18"/>
              </w:rPr>
              <w:t>2</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pStyle w:val="181"/>
            </w:pPr>
          </w:p>
        </w:tc>
        <w:tc>
          <w:tcPr>
            <w:tcW w:w="2410"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用数字化推动自身节能减碳，包括与政府、电网、云服务商等合作，获取更多可再生能源的渠道（2分）</w:t>
            </w:r>
          </w:p>
        </w:tc>
        <w:tc>
          <w:tcPr>
            <w:tcW w:w="3815" w:type="dxa"/>
            <w:shd w:val="clear" w:color="auto" w:fill="auto"/>
            <w:vAlign w:val="center"/>
          </w:tcPr>
          <w:p>
            <w:pPr>
              <w:autoSpaceDE w:val="0"/>
              <w:autoSpaceDN w:val="0"/>
              <w:spacing w:line="240" w:lineRule="auto"/>
              <w:ind w:left="108" w:right="5"/>
              <w:jc w:val="left"/>
              <w:rPr>
                <w:rFonts w:ascii="宋体" w:hAnsi="宋体" w:cs="宋体"/>
                <w:sz w:val="18"/>
                <w:szCs w:val="18"/>
              </w:rPr>
            </w:pPr>
            <w:r>
              <w:rPr>
                <w:rFonts w:hint="eastAsia" w:ascii="宋体" w:hAnsi="宋体" w:cs="宋体"/>
                <w:sz w:val="18"/>
                <w:szCs w:val="18"/>
              </w:rPr>
              <w:t>满足此指标者，得</w:t>
            </w:r>
            <w:r>
              <w:rPr>
                <w:rFonts w:ascii="宋体" w:hAnsi="宋体" w:cs="宋体"/>
                <w:sz w:val="18"/>
                <w:szCs w:val="18"/>
              </w:rPr>
              <w:t>2</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pStyle w:val="181"/>
            </w:pPr>
          </w:p>
        </w:tc>
        <w:tc>
          <w:tcPr>
            <w:tcW w:w="2410"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积极参与社会绿色智能算力基础设施的评估及认证，建设使用能源使用效率高的绿色智能算力基础设施（2分）</w:t>
            </w:r>
          </w:p>
        </w:tc>
        <w:tc>
          <w:tcPr>
            <w:tcW w:w="3815" w:type="dxa"/>
            <w:shd w:val="clear" w:color="auto" w:fill="auto"/>
            <w:vAlign w:val="center"/>
          </w:tcPr>
          <w:p>
            <w:pPr>
              <w:autoSpaceDE w:val="0"/>
              <w:autoSpaceDN w:val="0"/>
              <w:spacing w:line="240" w:lineRule="auto"/>
              <w:ind w:left="108" w:right="5"/>
              <w:jc w:val="left"/>
              <w:rPr>
                <w:rFonts w:ascii="宋体" w:hAnsi="宋体" w:cs="宋体"/>
                <w:sz w:val="18"/>
                <w:szCs w:val="18"/>
              </w:rPr>
            </w:pPr>
            <w:r>
              <w:rPr>
                <w:rFonts w:hint="eastAsia" w:ascii="宋体" w:hAnsi="宋体" w:cs="宋体"/>
                <w:sz w:val="18"/>
                <w:szCs w:val="18"/>
              </w:rPr>
              <w:t>满足此指标者，得</w:t>
            </w:r>
            <w:r>
              <w:rPr>
                <w:rFonts w:ascii="宋体" w:hAnsi="宋体" w:cs="宋体"/>
                <w:sz w:val="18"/>
                <w:szCs w:val="18"/>
              </w:rPr>
              <w:t>2</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restart"/>
            <w:shd w:val="clear" w:color="auto" w:fill="auto"/>
            <w:vAlign w:val="center"/>
          </w:tcPr>
          <w:p>
            <w:pPr>
              <w:pStyle w:val="181"/>
              <w:rPr>
                <w:rFonts w:hAnsi="宋体" w:cs="宋体"/>
                <w:szCs w:val="18"/>
              </w:rPr>
            </w:pPr>
            <w:r>
              <w:rPr>
                <w:rFonts w:hint="eastAsia" w:hAnsi="宋体" w:cs="宋体"/>
                <w:szCs w:val="18"/>
              </w:rPr>
              <w:t>制定可持续理念传播计划</w:t>
            </w:r>
          </w:p>
          <w:p>
            <w:pPr>
              <w:pStyle w:val="181"/>
            </w:pPr>
            <w:r>
              <w:rPr>
                <w:rFonts w:hint="eastAsia" w:hAnsi="宋体" w:cs="宋体"/>
                <w:szCs w:val="18"/>
              </w:rPr>
              <w:t>（</w:t>
            </w:r>
            <w:r>
              <w:rPr>
                <w:rFonts w:hAnsi="宋体" w:cs="宋体"/>
                <w:szCs w:val="18"/>
              </w:rPr>
              <w:t>7</w:t>
            </w:r>
            <w:r>
              <w:rPr>
                <w:rFonts w:hint="eastAsia" w:hAnsi="宋体" w:cs="宋体"/>
                <w:szCs w:val="18"/>
              </w:rPr>
              <w:t>分）</w:t>
            </w:r>
          </w:p>
        </w:tc>
        <w:tc>
          <w:tcPr>
            <w:tcW w:w="2410" w:type="dxa"/>
            <w:shd w:val="clear" w:color="auto" w:fill="auto"/>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制定环境保护与可持续发展宣传计划并认真执行，加大植树节、地球一小时、世界地球日、世界环境日、世界海洋日等主题日的对外推广（2分）</w:t>
            </w:r>
          </w:p>
        </w:tc>
        <w:tc>
          <w:tcPr>
            <w:tcW w:w="3815" w:type="dxa"/>
            <w:shd w:val="clear" w:color="auto" w:fill="auto"/>
            <w:vAlign w:val="center"/>
          </w:tcPr>
          <w:p>
            <w:pPr>
              <w:autoSpaceDE w:val="0"/>
              <w:autoSpaceDN w:val="0"/>
              <w:spacing w:line="240" w:lineRule="auto"/>
              <w:ind w:left="108"/>
              <w:jc w:val="left"/>
              <w:rPr>
                <w:rFonts w:ascii="宋体" w:hAnsi="宋体" w:cs="宋体"/>
                <w:sz w:val="18"/>
                <w:szCs w:val="18"/>
              </w:rPr>
            </w:pPr>
            <w:r>
              <w:rPr>
                <w:rFonts w:hint="eastAsia" w:ascii="宋体" w:hAnsi="宋体" w:cs="宋体"/>
                <w:sz w:val="18"/>
                <w:szCs w:val="18"/>
              </w:rPr>
              <w:t>企业举行两次及以上相关主题的推广活动的，得2分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pStyle w:val="181"/>
            </w:pPr>
          </w:p>
        </w:tc>
        <w:tc>
          <w:tcPr>
            <w:tcW w:w="2410" w:type="dxa"/>
            <w:shd w:val="clear" w:color="auto" w:fill="auto"/>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在传播过程中警惕“漂绿”行为，使用实际数据支持或提供权威机构的认证，增强可信度（</w:t>
            </w:r>
            <w:r>
              <w:rPr>
                <w:rFonts w:ascii="宋体" w:hAnsi="宋体" w:cs="宋体"/>
                <w:sz w:val="18"/>
                <w:szCs w:val="18"/>
              </w:rPr>
              <w:t>3</w:t>
            </w:r>
            <w:r>
              <w:rPr>
                <w:rFonts w:hint="eastAsia" w:ascii="宋体" w:hAnsi="宋体" w:cs="宋体"/>
                <w:sz w:val="18"/>
                <w:szCs w:val="18"/>
              </w:rPr>
              <w:t>分）</w:t>
            </w:r>
          </w:p>
        </w:tc>
        <w:tc>
          <w:tcPr>
            <w:tcW w:w="3815" w:type="dxa"/>
            <w:shd w:val="clear" w:color="auto" w:fill="auto"/>
            <w:vAlign w:val="center"/>
          </w:tcPr>
          <w:p>
            <w:pPr>
              <w:autoSpaceDE w:val="0"/>
              <w:autoSpaceDN w:val="0"/>
              <w:spacing w:line="240" w:lineRule="auto"/>
              <w:ind w:left="108"/>
              <w:jc w:val="left"/>
              <w:rPr>
                <w:rFonts w:ascii="宋体" w:hAnsi="宋体" w:cs="宋体"/>
                <w:sz w:val="18"/>
                <w:szCs w:val="18"/>
              </w:rPr>
            </w:pPr>
            <w:r>
              <w:rPr>
                <w:rFonts w:hint="eastAsia" w:ascii="宋体" w:hAnsi="宋体" w:cs="宋体"/>
                <w:sz w:val="18"/>
                <w:szCs w:val="18"/>
              </w:rPr>
              <w:t>满足此指标者，得3分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pStyle w:val="181"/>
            </w:pPr>
          </w:p>
        </w:tc>
        <w:tc>
          <w:tcPr>
            <w:tcW w:w="2410" w:type="dxa"/>
            <w:shd w:val="clear" w:color="auto" w:fill="auto"/>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在环境保护、可持续发展方面的宣传取得一定效果（2分）</w:t>
            </w:r>
          </w:p>
        </w:tc>
        <w:tc>
          <w:tcPr>
            <w:tcW w:w="3815" w:type="dxa"/>
            <w:shd w:val="clear" w:color="auto" w:fill="auto"/>
            <w:vAlign w:val="center"/>
          </w:tcPr>
          <w:p>
            <w:pPr>
              <w:autoSpaceDE w:val="0"/>
              <w:autoSpaceDN w:val="0"/>
              <w:spacing w:line="240" w:lineRule="auto"/>
              <w:ind w:left="108"/>
              <w:jc w:val="left"/>
              <w:rPr>
                <w:rFonts w:ascii="宋体" w:hAnsi="宋体" w:cs="宋体"/>
                <w:sz w:val="18"/>
                <w:szCs w:val="18"/>
              </w:rPr>
            </w:pPr>
            <w:r>
              <w:rPr>
                <w:rFonts w:hint="eastAsia" w:ascii="宋体" w:hAnsi="宋体" w:cs="宋体"/>
                <w:sz w:val="18"/>
                <w:szCs w:val="18"/>
              </w:rPr>
              <w:t>满足此指标者，得2分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shd w:val="clear" w:color="auto" w:fill="auto"/>
            <w:vAlign w:val="center"/>
          </w:tcPr>
          <w:p>
            <w:pPr>
              <w:pStyle w:val="181"/>
              <w:rPr>
                <w:rFonts w:hAnsi="宋体" w:cs="宋体"/>
                <w:szCs w:val="18"/>
              </w:rPr>
            </w:pPr>
            <w:r>
              <w:rPr>
                <w:rFonts w:hint="eastAsia" w:hAnsi="宋体" w:cs="宋体"/>
                <w:szCs w:val="18"/>
              </w:rPr>
              <w:t>可持续理念传播结果可量化</w:t>
            </w:r>
          </w:p>
          <w:p>
            <w:pPr>
              <w:pStyle w:val="181"/>
            </w:pPr>
            <w:r>
              <w:rPr>
                <w:rFonts w:hint="eastAsia" w:hAnsi="宋体" w:cs="宋体"/>
                <w:szCs w:val="18"/>
              </w:rPr>
              <w:t>（</w:t>
            </w:r>
            <w:r>
              <w:rPr>
                <w:rFonts w:hAnsi="宋体" w:cs="宋体"/>
                <w:szCs w:val="18"/>
              </w:rPr>
              <w:t>3</w:t>
            </w:r>
            <w:r>
              <w:rPr>
                <w:rFonts w:hint="eastAsia" w:hAnsi="宋体" w:cs="宋体"/>
                <w:szCs w:val="18"/>
              </w:rPr>
              <w:t>分）</w:t>
            </w:r>
          </w:p>
        </w:tc>
        <w:tc>
          <w:tcPr>
            <w:tcW w:w="2410"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在环境保护、可持续发展方面的宣传取得实质成效，文章阅读量、视频浏览量等传播转化率较高，并且量化成相关价值数据（</w:t>
            </w:r>
            <w:r>
              <w:rPr>
                <w:rFonts w:ascii="宋体" w:hAnsi="宋体" w:cs="宋体"/>
                <w:sz w:val="18"/>
                <w:szCs w:val="18"/>
              </w:rPr>
              <w:t>3</w:t>
            </w:r>
            <w:r>
              <w:rPr>
                <w:rFonts w:hint="eastAsia" w:ascii="宋体" w:hAnsi="宋体" w:cs="宋体"/>
                <w:sz w:val="18"/>
                <w:szCs w:val="18"/>
              </w:rPr>
              <w:t>分）</w:t>
            </w:r>
          </w:p>
        </w:tc>
        <w:tc>
          <w:tcPr>
            <w:tcW w:w="3815" w:type="dxa"/>
            <w:shd w:val="clear" w:color="auto" w:fill="auto"/>
            <w:vAlign w:val="center"/>
          </w:tcPr>
          <w:p>
            <w:pPr>
              <w:autoSpaceDE w:val="0"/>
              <w:autoSpaceDN w:val="0"/>
              <w:spacing w:line="240" w:lineRule="auto"/>
              <w:ind w:left="108"/>
              <w:jc w:val="left"/>
              <w:rPr>
                <w:rFonts w:ascii="宋体" w:hAnsi="宋体" w:cs="宋体"/>
                <w:sz w:val="18"/>
                <w:szCs w:val="18"/>
              </w:rPr>
            </w:pPr>
            <w:r>
              <w:rPr>
                <w:rFonts w:hint="eastAsia" w:ascii="宋体" w:hAnsi="宋体" w:cs="宋体"/>
                <w:sz w:val="18"/>
                <w:szCs w:val="18"/>
              </w:rPr>
              <w:t>满足此指标者，得3分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7501" w:type="dxa"/>
            <w:gridSpan w:val="3"/>
            <w:shd w:val="clear" w:color="auto" w:fill="auto"/>
            <w:vAlign w:val="center"/>
          </w:tcPr>
          <w:p>
            <w:pPr>
              <w:pStyle w:val="181"/>
            </w:pPr>
            <w:r>
              <w:rPr>
                <w:rFonts w:hAnsi="宋体" w:cs="宋体"/>
                <w:szCs w:val="18"/>
              </w:rPr>
              <w:t>加分项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3686" w:type="dxa"/>
            <w:gridSpan w:val="2"/>
            <w:shd w:val="clear" w:color="auto" w:fill="auto"/>
            <w:vAlign w:val="center"/>
          </w:tcPr>
          <w:p>
            <w:pPr>
              <w:autoSpaceDE w:val="0"/>
              <w:autoSpaceDN w:val="0"/>
              <w:spacing w:line="240" w:lineRule="auto"/>
              <w:ind w:left="108"/>
              <w:jc w:val="left"/>
              <w:rPr>
                <w:rFonts w:ascii="宋体" w:hAnsi="宋体" w:cs="宋体"/>
                <w:sz w:val="18"/>
                <w:szCs w:val="18"/>
              </w:rPr>
            </w:pPr>
            <w:r>
              <w:rPr>
                <w:rFonts w:ascii="宋体" w:hAnsi="宋体" w:cs="宋体"/>
                <w:sz w:val="18"/>
                <w:szCs w:val="18"/>
              </w:rPr>
              <w:t>充分关注本土化议题和本土利益相关方的诉求，将国际ESG标准下的议题与本土ESG的议题进行充分融合</w:t>
            </w:r>
            <w:r>
              <w:rPr>
                <w:rFonts w:hint="eastAsia" w:ascii="宋体" w:hAnsi="宋体" w:cs="宋体"/>
                <w:sz w:val="18"/>
                <w:szCs w:val="18"/>
              </w:rPr>
              <w:t>（3分）</w:t>
            </w:r>
          </w:p>
        </w:tc>
        <w:tc>
          <w:tcPr>
            <w:tcW w:w="3815" w:type="dxa"/>
            <w:shd w:val="clear" w:color="auto" w:fill="auto"/>
            <w:vAlign w:val="center"/>
          </w:tcPr>
          <w:p>
            <w:pPr>
              <w:autoSpaceDE w:val="0"/>
              <w:autoSpaceDN w:val="0"/>
              <w:spacing w:line="240" w:lineRule="auto"/>
              <w:ind w:left="108"/>
              <w:jc w:val="left"/>
              <w:rPr>
                <w:rFonts w:ascii="宋体" w:hAnsi="宋体" w:cs="宋体"/>
                <w:sz w:val="18"/>
                <w:szCs w:val="18"/>
              </w:rPr>
            </w:pPr>
            <w:r>
              <w:rPr>
                <w:rFonts w:hint="eastAsia" w:ascii="宋体" w:hAnsi="宋体" w:cs="宋体"/>
                <w:sz w:val="18"/>
                <w:szCs w:val="18"/>
              </w:rPr>
              <w:t>满足此指标者，加3分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3686" w:type="dxa"/>
            <w:gridSpan w:val="2"/>
            <w:shd w:val="clear" w:color="auto" w:fill="auto"/>
            <w:vAlign w:val="center"/>
          </w:tcPr>
          <w:p>
            <w:pPr>
              <w:autoSpaceDE w:val="0"/>
              <w:autoSpaceDN w:val="0"/>
              <w:spacing w:line="240" w:lineRule="auto"/>
              <w:ind w:left="108"/>
              <w:jc w:val="left"/>
              <w:rPr>
                <w:rFonts w:ascii="宋体" w:hAnsi="宋体" w:cs="宋体"/>
                <w:sz w:val="18"/>
                <w:szCs w:val="18"/>
              </w:rPr>
            </w:pPr>
            <w:r>
              <w:rPr>
                <w:rFonts w:ascii="宋体" w:hAnsi="宋体" w:cs="宋体"/>
                <w:sz w:val="18"/>
                <w:szCs w:val="18"/>
              </w:rPr>
              <w:t>对照相应联合国可持续发展的17项目标，更具包容性、多元性、系统性地传播可持续发展理念</w:t>
            </w:r>
            <w:r>
              <w:rPr>
                <w:rFonts w:hint="eastAsia" w:ascii="宋体" w:hAnsi="宋体" w:cs="宋体"/>
                <w:sz w:val="18"/>
                <w:szCs w:val="18"/>
              </w:rPr>
              <w:t>（2分）</w:t>
            </w:r>
          </w:p>
        </w:tc>
        <w:tc>
          <w:tcPr>
            <w:tcW w:w="3815" w:type="dxa"/>
            <w:shd w:val="clear" w:color="auto" w:fill="auto"/>
            <w:vAlign w:val="center"/>
          </w:tcPr>
          <w:p>
            <w:pPr>
              <w:autoSpaceDE w:val="0"/>
              <w:autoSpaceDN w:val="0"/>
              <w:spacing w:line="240" w:lineRule="auto"/>
              <w:ind w:left="108"/>
              <w:jc w:val="left"/>
              <w:rPr>
                <w:rFonts w:ascii="宋体" w:hAnsi="宋体" w:cs="宋体"/>
                <w:sz w:val="18"/>
                <w:szCs w:val="18"/>
              </w:rPr>
            </w:pPr>
            <w:r>
              <w:rPr>
                <w:rFonts w:hint="eastAsia" w:ascii="宋体" w:hAnsi="宋体" w:cs="宋体"/>
                <w:sz w:val="18"/>
                <w:szCs w:val="18"/>
              </w:rPr>
              <w:t>满足此指标者，加</w:t>
            </w:r>
            <w:r>
              <w:rPr>
                <w:rFonts w:ascii="宋体" w:hAnsi="宋体" w:cs="宋体"/>
                <w:sz w:val="18"/>
                <w:szCs w:val="18"/>
              </w:rPr>
              <w:t>2分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3686" w:type="dxa"/>
            <w:gridSpan w:val="2"/>
            <w:shd w:val="clear" w:color="auto" w:fill="auto"/>
            <w:vAlign w:val="center"/>
          </w:tcPr>
          <w:p>
            <w:pPr>
              <w:autoSpaceDE w:val="0"/>
              <w:autoSpaceDN w:val="0"/>
              <w:spacing w:line="240" w:lineRule="auto"/>
              <w:ind w:left="108"/>
              <w:jc w:val="left"/>
              <w:rPr>
                <w:rFonts w:ascii="宋体" w:hAnsi="宋体" w:cs="宋体"/>
                <w:sz w:val="18"/>
                <w:szCs w:val="18"/>
              </w:rPr>
            </w:pPr>
            <w:r>
              <w:rPr>
                <w:rFonts w:hint="eastAsia" w:ascii="宋体" w:hAnsi="宋体" w:cs="宋体"/>
                <w:sz w:val="18"/>
                <w:szCs w:val="18"/>
              </w:rPr>
              <w:t>根据国际权威可持续发展相关框架披露相关信息（例如</w:t>
            </w:r>
            <w:r>
              <w:rPr>
                <w:rFonts w:ascii="宋体" w:hAnsi="宋体" w:cs="宋体"/>
                <w:sz w:val="18"/>
                <w:szCs w:val="18"/>
              </w:rPr>
              <w:t>TCFD框架</w:t>
            </w:r>
            <w:r>
              <w:rPr>
                <w:rFonts w:hint="eastAsia" w:ascii="宋体" w:hAnsi="宋体" w:cs="宋体"/>
                <w:sz w:val="18"/>
                <w:szCs w:val="18"/>
              </w:rPr>
              <w:t>等）（3分）</w:t>
            </w:r>
          </w:p>
        </w:tc>
        <w:tc>
          <w:tcPr>
            <w:tcW w:w="3815" w:type="dxa"/>
            <w:shd w:val="clear" w:color="auto" w:fill="auto"/>
            <w:vAlign w:val="center"/>
          </w:tcPr>
          <w:p>
            <w:pPr>
              <w:autoSpaceDE w:val="0"/>
              <w:autoSpaceDN w:val="0"/>
              <w:spacing w:line="240" w:lineRule="auto"/>
              <w:ind w:left="108"/>
              <w:jc w:val="left"/>
              <w:rPr>
                <w:rFonts w:ascii="宋体" w:hAnsi="宋体" w:cs="宋体"/>
                <w:sz w:val="18"/>
                <w:szCs w:val="18"/>
              </w:rPr>
            </w:pPr>
            <w:r>
              <w:rPr>
                <w:rFonts w:hint="eastAsia" w:ascii="宋体" w:hAnsi="宋体" w:cs="宋体"/>
                <w:sz w:val="18"/>
                <w:szCs w:val="18"/>
              </w:rPr>
              <w:t>满足此指标者，加</w:t>
            </w:r>
            <w:r>
              <w:rPr>
                <w:rFonts w:ascii="宋体" w:hAnsi="宋体" w:cs="宋体"/>
                <w:sz w:val="18"/>
                <w:szCs w:val="18"/>
              </w:rPr>
              <w:t>3分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restart"/>
            <w:shd w:val="clear" w:color="auto" w:fill="auto"/>
            <w:vAlign w:val="center"/>
          </w:tcPr>
          <w:p>
            <w:pPr>
              <w:pStyle w:val="181"/>
              <w:rPr>
                <w:rFonts w:hAnsi="宋体" w:cs="宋体"/>
                <w:bCs/>
                <w:color w:val="000000"/>
                <w:szCs w:val="18"/>
              </w:rPr>
            </w:pPr>
            <w:r>
              <w:rPr>
                <w:rFonts w:hint="eastAsia" w:hAnsi="宋体" w:cs="宋体"/>
                <w:bCs/>
                <w:color w:val="000000"/>
                <w:szCs w:val="18"/>
              </w:rPr>
              <w:t>环境负面事件</w:t>
            </w:r>
          </w:p>
          <w:p>
            <w:pPr>
              <w:pStyle w:val="181"/>
            </w:pPr>
            <w:r>
              <w:rPr>
                <w:rFonts w:hAnsi="宋体" w:cs="宋体"/>
                <w:bCs/>
                <w:color w:val="000000"/>
                <w:spacing w:val="1"/>
                <w:w w:val="99"/>
                <w:szCs w:val="18"/>
              </w:rPr>
              <w:t>（</w:t>
            </w:r>
            <w:r>
              <w:rPr>
                <w:rFonts w:hint="eastAsia" w:hAnsi="宋体" w:cs="宋体"/>
                <w:bCs/>
                <w:color w:val="000000"/>
                <w:spacing w:val="-5"/>
                <w:w w:val="105"/>
                <w:szCs w:val="18"/>
              </w:rPr>
              <w:t>20</w:t>
            </w:r>
            <w:r>
              <w:rPr>
                <w:rFonts w:hint="eastAsia" w:hAnsi="宋体" w:cs="宋体"/>
                <w:bCs/>
                <w:color w:val="000000"/>
                <w:w w:val="99"/>
                <w:szCs w:val="18"/>
              </w:rPr>
              <w:t xml:space="preserve"> </w:t>
            </w:r>
            <w:r>
              <w:rPr>
                <w:rFonts w:hAnsi="宋体" w:cs="宋体"/>
                <w:bCs/>
                <w:color w:val="000000"/>
                <w:spacing w:val="11"/>
                <w:w w:val="94"/>
                <w:szCs w:val="18"/>
              </w:rPr>
              <w:t>分</w:t>
            </w:r>
            <w:r>
              <w:rPr>
                <w:rFonts w:hAnsi="宋体" w:cs="宋体"/>
                <w:bCs/>
                <w:color w:val="000000"/>
                <w:spacing w:val="-6"/>
                <w:w w:val="97"/>
                <w:szCs w:val="18"/>
              </w:rPr>
              <w:t>）</w:t>
            </w:r>
          </w:p>
        </w:tc>
        <w:tc>
          <w:tcPr>
            <w:tcW w:w="1276" w:type="dxa"/>
            <w:vMerge w:val="restart"/>
            <w:shd w:val="clear" w:color="auto" w:fill="auto"/>
            <w:vAlign w:val="center"/>
          </w:tcPr>
          <w:p>
            <w:pPr>
              <w:pStyle w:val="181"/>
            </w:pPr>
            <w:r>
              <w:rPr>
                <w:rFonts w:hint="eastAsia" w:hAnsi="宋体" w:cs="宋体"/>
                <w:szCs w:val="18"/>
              </w:rPr>
              <w:t>水污染、大气污染（</w:t>
            </w:r>
            <w:r>
              <w:rPr>
                <w:rFonts w:hAnsi="宋体" w:cs="宋体"/>
                <w:szCs w:val="18"/>
              </w:rPr>
              <w:t>7分）</w:t>
            </w:r>
          </w:p>
        </w:tc>
        <w:tc>
          <w:tcPr>
            <w:tcW w:w="2410"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未因水污染、大气污染等问题受到行政处罚（4分）</w:t>
            </w:r>
          </w:p>
        </w:tc>
        <w:tc>
          <w:tcPr>
            <w:tcW w:w="3815" w:type="dxa"/>
            <w:shd w:val="clear" w:color="auto" w:fill="auto"/>
            <w:vAlign w:val="center"/>
          </w:tcPr>
          <w:p>
            <w:pPr>
              <w:autoSpaceDE w:val="0"/>
              <w:autoSpaceDN w:val="0"/>
              <w:spacing w:line="240" w:lineRule="auto"/>
              <w:ind w:left="108" w:right="5"/>
              <w:jc w:val="left"/>
              <w:rPr>
                <w:rFonts w:ascii="宋体" w:hAnsi="宋体" w:cs="宋体"/>
                <w:sz w:val="18"/>
                <w:szCs w:val="18"/>
              </w:rPr>
            </w:pPr>
            <w:r>
              <w:rPr>
                <w:rFonts w:hint="eastAsia" w:ascii="宋体" w:hAnsi="宋体" w:cs="宋体"/>
                <w:sz w:val="18"/>
                <w:szCs w:val="18"/>
              </w:rPr>
              <w:t>满足此指标者，得4分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pStyle w:val="181"/>
            </w:pPr>
          </w:p>
        </w:tc>
        <w:tc>
          <w:tcPr>
            <w:tcW w:w="2410"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未因水污染、大气污染等问题被提起民事或环境公益诉讼，并被生效司法文书认定违规，承担相应责任的（3分）</w:t>
            </w:r>
          </w:p>
        </w:tc>
        <w:tc>
          <w:tcPr>
            <w:tcW w:w="3815" w:type="dxa"/>
            <w:shd w:val="clear" w:color="auto" w:fill="auto"/>
            <w:vAlign w:val="center"/>
          </w:tcPr>
          <w:p>
            <w:pPr>
              <w:autoSpaceDE w:val="0"/>
              <w:autoSpaceDN w:val="0"/>
              <w:spacing w:line="240" w:lineRule="auto"/>
              <w:ind w:left="108" w:right="5"/>
              <w:jc w:val="left"/>
              <w:rPr>
                <w:rFonts w:ascii="宋体" w:hAnsi="宋体" w:cs="宋体"/>
                <w:sz w:val="18"/>
                <w:szCs w:val="18"/>
              </w:rPr>
            </w:pPr>
            <w:r>
              <w:rPr>
                <w:rFonts w:hint="eastAsia" w:ascii="宋体" w:hAnsi="宋体" w:cs="宋体"/>
                <w:sz w:val="18"/>
                <w:szCs w:val="18"/>
              </w:rPr>
              <w:t>满足此指标者，得3分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restart"/>
            <w:shd w:val="clear" w:color="auto" w:fill="auto"/>
            <w:vAlign w:val="center"/>
          </w:tcPr>
          <w:p>
            <w:pPr>
              <w:pStyle w:val="181"/>
            </w:pPr>
            <w:r>
              <w:rPr>
                <w:rFonts w:hint="eastAsia" w:hAnsi="宋体" w:cs="宋体"/>
                <w:szCs w:val="18"/>
              </w:rPr>
              <w:t>固体废物等处理</w:t>
            </w:r>
            <w:r>
              <w:rPr>
                <w:rFonts w:hint="eastAsia" w:hAnsi="宋体" w:cs="宋体"/>
                <w:bCs/>
                <w:color w:val="000000"/>
                <w:spacing w:val="5"/>
                <w:w w:val="97"/>
                <w:szCs w:val="18"/>
              </w:rPr>
              <w:t>（7分）</w:t>
            </w:r>
          </w:p>
        </w:tc>
        <w:tc>
          <w:tcPr>
            <w:tcW w:w="2410" w:type="dxa"/>
            <w:shd w:val="clear" w:color="auto" w:fill="auto"/>
            <w:vAlign w:val="center"/>
          </w:tcPr>
          <w:p>
            <w:pPr>
              <w:autoSpaceDE w:val="0"/>
              <w:autoSpaceDN w:val="0"/>
              <w:spacing w:line="240" w:lineRule="auto"/>
              <w:ind w:left="109"/>
              <w:rPr>
                <w:rFonts w:ascii="宋体" w:hAnsi="宋体" w:cs="宋体"/>
                <w:sz w:val="18"/>
                <w:szCs w:val="18"/>
              </w:rPr>
            </w:pPr>
            <w:r>
              <w:rPr>
                <w:rFonts w:hint="eastAsia" w:ascii="宋体" w:hAnsi="宋体" w:cs="宋体"/>
                <w:sz w:val="18"/>
                <w:szCs w:val="18"/>
              </w:rPr>
              <w:t>未因固体废物等处理问题被行政处罚（4分）</w:t>
            </w:r>
          </w:p>
        </w:tc>
        <w:tc>
          <w:tcPr>
            <w:tcW w:w="3815" w:type="dxa"/>
            <w:shd w:val="clear" w:color="auto" w:fill="auto"/>
            <w:vAlign w:val="center"/>
          </w:tcPr>
          <w:p>
            <w:pPr>
              <w:autoSpaceDE w:val="0"/>
              <w:autoSpaceDN w:val="0"/>
              <w:spacing w:before="135" w:line="240" w:lineRule="auto"/>
              <w:ind w:left="108"/>
              <w:jc w:val="left"/>
              <w:rPr>
                <w:rFonts w:ascii="宋体" w:hAnsi="宋体" w:cs="宋体"/>
                <w:sz w:val="18"/>
                <w:szCs w:val="18"/>
              </w:rPr>
            </w:pPr>
            <w:r>
              <w:rPr>
                <w:rFonts w:hint="eastAsia" w:ascii="宋体" w:hAnsi="宋体" w:cs="宋体"/>
                <w:sz w:val="18"/>
                <w:szCs w:val="18"/>
              </w:rPr>
              <w:t>满足此指标者，得4分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pStyle w:val="181"/>
            </w:pPr>
          </w:p>
        </w:tc>
        <w:tc>
          <w:tcPr>
            <w:tcW w:w="2410"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未因固体废物等处理问题被提起民事或环境公益诉讼，并被生效司法文书认定违规，承担相应责任的（3分）</w:t>
            </w:r>
          </w:p>
        </w:tc>
        <w:tc>
          <w:tcPr>
            <w:tcW w:w="3815" w:type="dxa"/>
            <w:shd w:val="clear" w:color="auto" w:fill="auto"/>
            <w:vAlign w:val="center"/>
          </w:tcPr>
          <w:p>
            <w:pPr>
              <w:autoSpaceDE w:val="0"/>
              <w:autoSpaceDN w:val="0"/>
              <w:spacing w:before="135" w:line="240" w:lineRule="auto"/>
              <w:ind w:left="108"/>
              <w:jc w:val="left"/>
              <w:rPr>
                <w:rFonts w:ascii="宋体" w:hAnsi="宋体" w:cs="宋体"/>
                <w:sz w:val="18"/>
                <w:szCs w:val="18"/>
              </w:rPr>
            </w:pPr>
            <w:r>
              <w:rPr>
                <w:rFonts w:hint="eastAsia" w:ascii="宋体" w:hAnsi="宋体" w:cs="宋体"/>
                <w:sz w:val="18"/>
                <w:szCs w:val="18"/>
              </w:rPr>
              <w:t>满足此指标者，得3分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restart"/>
            <w:shd w:val="clear" w:color="auto" w:fill="auto"/>
            <w:vAlign w:val="center"/>
          </w:tcPr>
          <w:p>
            <w:pPr>
              <w:pStyle w:val="181"/>
            </w:pPr>
            <w:r>
              <w:rPr>
                <w:rFonts w:hint="eastAsia" w:hAnsi="宋体" w:cs="宋体"/>
                <w:bCs/>
                <w:color w:val="000000"/>
                <w:spacing w:val="5"/>
                <w:w w:val="97"/>
                <w:szCs w:val="18"/>
              </w:rPr>
              <w:t>环境违法违规事件（</w:t>
            </w:r>
            <w:r>
              <w:rPr>
                <w:rFonts w:hAnsi="宋体" w:cs="宋体"/>
                <w:bCs/>
                <w:color w:val="000000"/>
                <w:spacing w:val="5"/>
                <w:w w:val="97"/>
                <w:szCs w:val="18"/>
              </w:rPr>
              <w:t>6</w:t>
            </w:r>
            <w:r>
              <w:rPr>
                <w:rFonts w:hint="eastAsia" w:hAnsi="宋体" w:cs="宋体"/>
                <w:bCs/>
                <w:color w:val="000000"/>
                <w:spacing w:val="5"/>
                <w:w w:val="97"/>
                <w:szCs w:val="18"/>
              </w:rPr>
              <w:t>分）</w:t>
            </w:r>
          </w:p>
        </w:tc>
        <w:tc>
          <w:tcPr>
            <w:tcW w:w="2410"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未因其他环境事件被提起民事或公益诉讼，并被生效司法文书认定违规，承担相应责任的（</w:t>
            </w:r>
            <w:r>
              <w:rPr>
                <w:rFonts w:ascii="宋体" w:hAnsi="宋体" w:cs="宋体"/>
                <w:sz w:val="18"/>
                <w:szCs w:val="18"/>
              </w:rPr>
              <w:t>3</w:t>
            </w:r>
            <w:r>
              <w:rPr>
                <w:rFonts w:hint="eastAsia" w:ascii="宋体" w:hAnsi="宋体" w:cs="宋体"/>
                <w:sz w:val="18"/>
                <w:szCs w:val="18"/>
              </w:rPr>
              <w:t>分）</w:t>
            </w:r>
          </w:p>
        </w:tc>
        <w:tc>
          <w:tcPr>
            <w:tcW w:w="3815" w:type="dxa"/>
            <w:shd w:val="clear" w:color="auto" w:fill="auto"/>
            <w:vAlign w:val="center"/>
          </w:tcPr>
          <w:p>
            <w:pPr>
              <w:autoSpaceDE w:val="0"/>
              <w:autoSpaceDN w:val="0"/>
              <w:spacing w:line="240" w:lineRule="auto"/>
              <w:ind w:left="108"/>
              <w:jc w:val="left"/>
              <w:rPr>
                <w:rFonts w:ascii="宋体" w:hAnsi="宋体" w:cs="宋体"/>
                <w:sz w:val="18"/>
                <w:szCs w:val="18"/>
              </w:rPr>
            </w:pPr>
            <w:r>
              <w:rPr>
                <w:rFonts w:hint="eastAsia" w:ascii="宋体" w:hAnsi="宋体" w:cs="宋体"/>
                <w:sz w:val="18"/>
                <w:szCs w:val="18"/>
              </w:rPr>
              <w:t>满足此指标者，得</w:t>
            </w:r>
            <w:r>
              <w:rPr>
                <w:rFonts w:ascii="宋体" w:hAnsi="宋体" w:cs="宋体"/>
                <w:sz w:val="18"/>
                <w:szCs w:val="18"/>
              </w:rPr>
              <w:t>3</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pStyle w:val="181"/>
            </w:pPr>
          </w:p>
        </w:tc>
        <w:tc>
          <w:tcPr>
            <w:tcW w:w="2410"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未因环境违法事件被行政处罚（</w:t>
            </w:r>
            <w:r>
              <w:rPr>
                <w:rFonts w:ascii="宋体" w:hAnsi="宋体" w:cs="宋体"/>
                <w:sz w:val="18"/>
                <w:szCs w:val="18"/>
              </w:rPr>
              <w:t>3</w:t>
            </w:r>
            <w:r>
              <w:rPr>
                <w:rFonts w:hint="eastAsia" w:ascii="宋体" w:hAnsi="宋体" w:cs="宋体"/>
                <w:sz w:val="18"/>
                <w:szCs w:val="18"/>
              </w:rPr>
              <w:t>分）</w:t>
            </w:r>
          </w:p>
        </w:tc>
        <w:tc>
          <w:tcPr>
            <w:tcW w:w="3815" w:type="dxa"/>
            <w:shd w:val="clear" w:color="auto" w:fill="auto"/>
            <w:vAlign w:val="center"/>
          </w:tcPr>
          <w:p>
            <w:pPr>
              <w:autoSpaceDE w:val="0"/>
              <w:autoSpaceDN w:val="0"/>
              <w:spacing w:line="240" w:lineRule="auto"/>
              <w:ind w:left="108"/>
              <w:jc w:val="left"/>
              <w:rPr>
                <w:rFonts w:ascii="宋体" w:hAnsi="宋体" w:cs="宋体"/>
                <w:sz w:val="18"/>
                <w:szCs w:val="18"/>
              </w:rPr>
            </w:pPr>
            <w:r>
              <w:rPr>
                <w:rFonts w:hint="eastAsia" w:ascii="宋体" w:hAnsi="宋体" w:cs="宋体"/>
                <w:sz w:val="18"/>
                <w:szCs w:val="18"/>
              </w:rPr>
              <w:t>满足此指标者，得</w:t>
            </w:r>
            <w:r>
              <w:rPr>
                <w:rFonts w:ascii="宋体" w:hAnsi="宋体" w:cs="宋体"/>
                <w:sz w:val="18"/>
                <w:szCs w:val="18"/>
              </w:rPr>
              <w:t>3</w:t>
            </w:r>
            <w:r>
              <w:rPr>
                <w:rFonts w:hint="eastAsia" w:ascii="宋体" w:hAnsi="宋体" w:cs="宋体"/>
                <w:sz w:val="18"/>
                <w:szCs w:val="18"/>
              </w:rPr>
              <w:t>分</w:t>
            </w:r>
          </w:p>
        </w:tc>
      </w:tr>
    </w:tbl>
    <w:p>
      <w:pPr>
        <w:pStyle w:val="59"/>
        <w:ind w:firstLine="0" w:firstLineChars="0"/>
      </w:pPr>
    </w:p>
    <w:p>
      <w:pPr>
        <w:pStyle w:val="68"/>
        <w:spacing w:before="120" w:after="120"/>
      </w:pPr>
      <w:r>
        <w:rPr>
          <w:rFonts w:hint="eastAsia"/>
        </w:rPr>
        <w:t>社会维度评估指标</w:t>
      </w:r>
    </w:p>
    <w:p>
      <w:pPr>
        <w:pStyle w:val="59"/>
        <w:ind w:firstLine="420"/>
      </w:pPr>
      <w:r>
        <w:rPr>
          <w:rFonts w:hint="eastAsia"/>
        </w:rPr>
        <w:t>社会维度评估是指对互联网平台企业为更好地服务于社会发展、更长远的意义上获取经济收益而采取的对策和措施，进行跟踪监测的方法与制度，包括员工管理体系，供应链管理，社区管理，产品质量与服务质量，企业对外投资，公益行动，隐私、个人信息保护与数据安全七个一级指标，社会维度的评估指标见表</w:t>
      </w:r>
      <w:r>
        <w:t>2</w:t>
      </w:r>
      <w:r>
        <w:rPr>
          <w:rFonts w:hint="eastAsia"/>
        </w:rPr>
        <w:t>。</w:t>
      </w:r>
    </w:p>
    <w:p>
      <w:pPr>
        <w:pStyle w:val="115"/>
        <w:spacing w:before="120" w:after="120"/>
      </w:pPr>
      <w:r>
        <w:rPr>
          <w:rFonts w:hint="eastAsia"/>
        </w:rPr>
        <w:t>社会维度评估指标</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33"/>
        <w:gridCol w:w="1276"/>
        <w:gridCol w:w="2551"/>
        <w:gridCol w:w="36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33" w:type="dxa"/>
            <w:tcBorders>
              <w:top w:val="single" w:color="auto" w:sz="8" w:space="0"/>
              <w:bottom w:val="single" w:color="auto" w:sz="8" w:space="0"/>
            </w:tcBorders>
            <w:shd w:val="clear" w:color="auto" w:fill="auto"/>
            <w:vAlign w:val="center"/>
          </w:tcPr>
          <w:p>
            <w:pPr>
              <w:autoSpaceDE w:val="0"/>
              <w:autoSpaceDN w:val="0"/>
              <w:spacing w:before="35" w:line="209" w:lineRule="exact"/>
              <w:jc w:val="center"/>
              <w:rPr>
                <w:rFonts w:ascii="宋体" w:hAnsi="宋体" w:cs="宋体"/>
                <w:sz w:val="18"/>
                <w:szCs w:val="18"/>
              </w:rPr>
            </w:pPr>
            <w:r>
              <w:rPr>
                <w:rFonts w:ascii="宋体" w:hAnsi="宋体" w:cs="宋体"/>
                <w:b/>
                <w:bCs/>
                <w:color w:val="000000"/>
                <w:spacing w:val="5"/>
                <w:w w:val="97"/>
                <w:kern w:val="0"/>
                <w:sz w:val="18"/>
                <w:szCs w:val="18"/>
              </w:rPr>
              <w:t>一</w:t>
            </w:r>
            <w:r>
              <w:rPr>
                <w:rFonts w:ascii="宋体" w:hAnsi="宋体" w:cs="宋体"/>
                <w:b/>
                <w:bCs/>
                <w:color w:val="000000"/>
                <w:spacing w:val="19"/>
                <w:w w:val="89"/>
                <w:kern w:val="0"/>
                <w:sz w:val="18"/>
                <w:szCs w:val="18"/>
              </w:rPr>
              <w:t>级</w:t>
            </w:r>
            <w:r>
              <w:rPr>
                <w:rFonts w:ascii="宋体" w:hAnsi="宋体" w:cs="宋体"/>
                <w:b/>
                <w:bCs/>
                <w:color w:val="000000"/>
                <w:spacing w:val="5"/>
                <w:w w:val="89"/>
                <w:kern w:val="0"/>
                <w:sz w:val="18"/>
                <w:szCs w:val="18"/>
              </w:rPr>
              <w:t>指</w:t>
            </w:r>
            <w:r>
              <w:rPr>
                <w:rFonts w:ascii="宋体" w:hAnsi="宋体" w:cs="宋体"/>
                <w:b/>
                <w:bCs/>
                <w:color w:val="000000"/>
                <w:spacing w:val="19"/>
                <w:w w:val="89"/>
                <w:kern w:val="0"/>
                <w:sz w:val="18"/>
                <w:szCs w:val="18"/>
              </w:rPr>
              <w:t>标</w:t>
            </w:r>
          </w:p>
        </w:tc>
        <w:tc>
          <w:tcPr>
            <w:tcW w:w="1276" w:type="dxa"/>
            <w:tcBorders>
              <w:top w:val="single" w:color="auto" w:sz="8" w:space="0"/>
              <w:bottom w:val="single" w:color="auto" w:sz="8" w:space="0"/>
            </w:tcBorders>
            <w:shd w:val="clear" w:color="auto" w:fill="auto"/>
            <w:vAlign w:val="center"/>
          </w:tcPr>
          <w:p>
            <w:pPr>
              <w:autoSpaceDE w:val="0"/>
              <w:autoSpaceDN w:val="0"/>
              <w:spacing w:before="35" w:line="209" w:lineRule="exact"/>
              <w:jc w:val="center"/>
              <w:rPr>
                <w:rFonts w:ascii="宋体" w:hAnsi="宋体" w:cs="宋体"/>
                <w:sz w:val="18"/>
                <w:szCs w:val="18"/>
              </w:rPr>
            </w:pPr>
            <w:r>
              <w:rPr>
                <w:rFonts w:ascii="宋体" w:hAnsi="宋体" w:cs="宋体"/>
                <w:b/>
                <w:bCs/>
                <w:color w:val="000000"/>
                <w:spacing w:val="5"/>
                <w:w w:val="97"/>
                <w:kern w:val="0"/>
                <w:sz w:val="18"/>
                <w:szCs w:val="18"/>
              </w:rPr>
              <w:t>二</w:t>
            </w:r>
            <w:r>
              <w:rPr>
                <w:rFonts w:ascii="宋体" w:hAnsi="宋体" w:cs="宋体"/>
                <w:b/>
                <w:bCs/>
                <w:color w:val="000000"/>
                <w:spacing w:val="19"/>
                <w:w w:val="89"/>
                <w:kern w:val="0"/>
                <w:sz w:val="18"/>
                <w:szCs w:val="18"/>
              </w:rPr>
              <w:t>级</w:t>
            </w:r>
            <w:r>
              <w:rPr>
                <w:rFonts w:ascii="宋体" w:hAnsi="宋体" w:cs="宋体"/>
                <w:b/>
                <w:bCs/>
                <w:color w:val="000000"/>
                <w:spacing w:val="5"/>
                <w:w w:val="89"/>
                <w:kern w:val="0"/>
                <w:sz w:val="18"/>
                <w:szCs w:val="18"/>
              </w:rPr>
              <w:t>指</w:t>
            </w:r>
            <w:r>
              <w:rPr>
                <w:rFonts w:ascii="宋体" w:hAnsi="宋体" w:cs="宋体"/>
                <w:b/>
                <w:bCs/>
                <w:color w:val="000000"/>
                <w:spacing w:val="19"/>
                <w:w w:val="89"/>
                <w:kern w:val="0"/>
                <w:sz w:val="18"/>
                <w:szCs w:val="18"/>
              </w:rPr>
              <w:t>标</w:t>
            </w:r>
          </w:p>
        </w:tc>
        <w:tc>
          <w:tcPr>
            <w:tcW w:w="2551" w:type="dxa"/>
            <w:tcBorders>
              <w:top w:val="single" w:color="auto" w:sz="8" w:space="0"/>
              <w:bottom w:val="single" w:color="auto" w:sz="8" w:space="0"/>
            </w:tcBorders>
            <w:shd w:val="clear" w:color="auto" w:fill="auto"/>
            <w:vAlign w:val="center"/>
          </w:tcPr>
          <w:p>
            <w:pPr>
              <w:autoSpaceDE w:val="0"/>
              <w:autoSpaceDN w:val="0"/>
              <w:spacing w:before="35" w:line="209" w:lineRule="exact"/>
              <w:jc w:val="center"/>
              <w:rPr>
                <w:rFonts w:ascii="宋体" w:hAnsi="宋体" w:cs="宋体"/>
                <w:sz w:val="18"/>
                <w:szCs w:val="18"/>
              </w:rPr>
            </w:pPr>
            <w:r>
              <w:rPr>
                <w:rFonts w:hint="eastAsia" w:ascii="宋体" w:hAnsi="宋体" w:cs="宋体"/>
                <w:b/>
                <w:bCs/>
                <w:color w:val="000000"/>
                <w:spacing w:val="5"/>
                <w:w w:val="97"/>
                <w:kern w:val="0"/>
                <w:sz w:val="18"/>
                <w:szCs w:val="18"/>
              </w:rPr>
              <w:t>三级指标</w:t>
            </w:r>
          </w:p>
        </w:tc>
        <w:tc>
          <w:tcPr>
            <w:tcW w:w="3674" w:type="dxa"/>
            <w:tcBorders>
              <w:top w:val="single" w:color="auto" w:sz="8" w:space="0"/>
              <w:bottom w:val="single" w:color="auto" w:sz="8" w:space="0"/>
            </w:tcBorders>
            <w:shd w:val="clear" w:color="auto" w:fill="auto"/>
            <w:vAlign w:val="center"/>
          </w:tcPr>
          <w:p>
            <w:pPr>
              <w:autoSpaceDE w:val="0"/>
              <w:autoSpaceDN w:val="0"/>
              <w:spacing w:before="35" w:line="209" w:lineRule="exact"/>
              <w:jc w:val="center"/>
              <w:rPr>
                <w:rFonts w:ascii="宋体" w:hAnsi="宋体" w:cs="宋体"/>
                <w:sz w:val="18"/>
                <w:szCs w:val="18"/>
              </w:rPr>
            </w:pPr>
            <w:r>
              <w:rPr>
                <w:rFonts w:hint="eastAsia" w:ascii="宋体" w:hAnsi="宋体" w:cs="宋体"/>
                <w:b/>
                <w:bCs/>
                <w:color w:val="000000"/>
                <w:spacing w:val="5"/>
                <w:w w:val="97"/>
                <w:kern w:val="0"/>
                <w:sz w:val="18"/>
                <w:szCs w:val="18"/>
              </w:rPr>
              <w:t>评分细则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restart"/>
            <w:tcBorders>
              <w:top w:val="single" w:color="auto" w:sz="8" w:space="0"/>
            </w:tcBorders>
            <w:shd w:val="clear" w:color="auto" w:fill="auto"/>
            <w:vAlign w:val="center"/>
          </w:tcPr>
          <w:p>
            <w:pPr>
              <w:pStyle w:val="181"/>
              <w:rPr>
                <w:rFonts w:hAnsi="宋体" w:cs="宋体"/>
                <w:bCs/>
                <w:color w:val="000000"/>
                <w:szCs w:val="18"/>
              </w:rPr>
            </w:pPr>
            <w:r>
              <w:rPr>
                <w:rFonts w:hint="eastAsia" w:hAnsi="宋体" w:cs="宋体"/>
                <w:bCs/>
                <w:color w:val="000000"/>
                <w:szCs w:val="18"/>
              </w:rPr>
              <w:t>员工管理体系</w:t>
            </w:r>
            <w:r>
              <w:rPr>
                <w:rFonts w:hAnsi="宋体" w:cs="宋体"/>
                <w:bCs/>
                <w:color w:val="000000"/>
                <w:szCs w:val="18"/>
              </w:rPr>
              <w:t xml:space="preserve"> </w:t>
            </w:r>
          </w:p>
          <w:p>
            <w:pPr>
              <w:pStyle w:val="181"/>
            </w:pPr>
            <w:r>
              <w:rPr>
                <w:rFonts w:hAnsi="宋体" w:cs="宋体"/>
                <w:bCs/>
                <w:color w:val="000000"/>
                <w:spacing w:val="1"/>
                <w:w w:val="99"/>
                <w:szCs w:val="18"/>
              </w:rPr>
              <w:t>（</w:t>
            </w:r>
            <w:r>
              <w:rPr>
                <w:rFonts w:hint="eastAsia" w:hAnsi="宋体" w:cs="宋体"/>
                <w:bCs/>
                <w:color w:val="000000"/>
                <w:spacing w:val="-5"/>
                <w:w w:val="105"/>
                <w:szCs w:val="18"/>
              </w:rPr>
              <w:t>20</w:t>
            </w:r>
            <w:r>
              <w:rPr>
                <w:rFonts w:hint="eastAsia" w:hAnsi="宋体" w:cs="宋体"/>
                <w:bCs/>
                <w:color w:val="000000"/>
                <w:w w:val="99"/>
                <w:szCs w:val="18"/>
              </w:rPr>
              <w:t xml:space="preserve"> </w:t>
            </w:r>
            <w:r>
              <w:rPr>
                <w:rFonts w:hAnsi="宋体" w:cs="宋体"/>
                <w:bCs/>
                <w:color w:val="000000"/>
                <w:spacing w:val="11"/>
                <w:w w:val="94"/>
                <w:szCs w:val="18"/>
              </w:rPr>
              <w:t>分</w:t>
            </w:r>
            <w:r>
              <w:rPr>
                <w:rFonts w:hAnsi="宋体" w:cs="宋体"/>
                <w:bCs/>
                <w:color w:val="000000"/>
                <w:spacing w:val="-6"/>
                <w:w w:val="97"/>
                <w:szCs w:val="18"/>
              </w:rPr>
              <w:t>）</w:t>
            </w:r>
          </w:p>
        </w:tc>
        <w:tc>
          <w:tcPr>
            <w:tcW w:w="1276" w:type="dxa"/>
            <w:vMerge w:val="restart"/>
            <w:tcBorders>
              <w:top w:val="single" w:color="auto" w:sz="8" w:space="0"/>
            </w:tcBorders>
            <w:shd w:val="clear" w:color="auto" w:fill="auto"/>
            <w:vAlign w:val="center"/>
          </w:tcPr>
          <w:p>
            <w:pPr>
              <w:pStyle w:val="181"/>
              <w:rPr>
                <w:rFonts w:hAnsi="宋体" w:cs="宋体"/>
                <w:bCs/>
                <w:color w:val="000000"/>
                <w:szCs w:val="18"/>
              </w:rPr>
            </w:pPr>
            <w:r>
              <w:rPr>
                <w:rFonts w:hint="eastAsia" w:hAnsi="宋体" w:cs="宋体"/>
                <w:bCs/>
                <w:color w:val="000000"/>
                <w:szCs w:val="18"/>
              </w:rPr>
              <w:t>劳动政策</w:t>
            </w:r>
          </w:p>
          <w:p>
            <w:pPr>
              <w:pStyle w:val="181"/>
            </w:pPr>
            <w:r>
              <w:rPr>
                <w:rFonts w:hint="eastAsia" w:hAnsi="宋体" w:cs="宋体"/>
                <w:bCs/>
                <w:color w:val="000000"/>
                <w:szCs w:val="18"/>
              </w:rPr>
              <w:t>（1</w:t>
            </w:r>
            <w:r>
              <w:rPr>
                <w:rFonts w:hAnsi="宋体" w:cs="宋体"/>
                <w:bCs/>
                <w:color w:val="000000"/>
                <w:szCs w:val="18"/>
              </w:rPr>
              <w:t>0</w:t>
            </w:r>
            <w:r>
              <w:rPr>
                <w:rFonts w:hint="eastAsia" w:hAnsi="宋体" w:cs="宋体"/>
                <w:bCs/>
                <w:color w:val="000000"/>
                <w:szCs w:val="18"/>
              </w:rPr>
              <w:t>分）</w:t>
            </w:r>
          </w:p>
        </w:tc>
        <w:tc>
          <w:tcPr>
            <w:tcW w:w="2551" w:type="dxa"/>
            <w:tcBorders>
              <w:top w:val="single" w:color="auto" w:sz="8" w:space="0"/>
            </w:tcBorders>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企业实施的员工劳动报酬及工作时间、休假制度符合劳动法、劳动合同法的精神，并切实有效实施（2.</w:t>
            </w:r>
            <w:r>
              <w:rPr>
                <w:rFonts w:ascii="宋体" w:hAnsi="宋体" w:cs="宋体"/>
                <w:sz w:val="18"/>
                <w:szCs w:val="18"/>
              </w:rPr>
              <w:t>5</w:t>
            </w:r>
            <w:r>
              <w:rPr>
                <w:rFonts w:hint="eastAsia" w:ascii="宋体" w:hAnsi="宋体" w:cs="宋体"/>
                <w:sz w:val="18"/>
                <w:szCs w:val="18"/>
              </w:rPr>
              <w:t>分）</w:t>
            </w:r>
          </w:p>
        </w:tc>
        <w:tc>
          <w:tcPr>
            <w:tcW w:w="3674" w:type="dxa"/>
            <w:tcBorders>
              <w:top w:val="single" w:color="auto" w:sz="8" w:space="0"/>
            </w:tcBorders>
            <w:shd w:val="clear" w:color="auto" w:fill="auto"/>
            <w:vAlign w:val="center"/>
          </w:tcPr>
          <w:p>
            <w:pPr>
              <w:autoSpaceDE w:val="0"/>
              <w:autoSpaceDN w:val="0"/>
              <w:spacing w:line="240" w:lineRule="auto"/>
              <w:ind w:left="108" w:right="5"/>
              <w:jc w:val="left"/>
              <w:rPr>
                <w:rFonts w:ascii="宋体" w:hAnsi="宋体" w:cs="宋体"/>
                <w:sz w:val="18"/>
                <w:szCs w:val="18"/>
              </w:rPr>
            </w:pPr>
            <w:r>
              <w:rPr>
                <w:rFonts w:hint="eastAsia" w:ascii="宋体" w:hAnsi="宋体" w:cs="宋体"/>
                <w:sz w:val="18"/>
                <w:szCs w:val="18"/>
              </w:rPr>
              <w:t>企业实施的员工劳动报酬及工作时间、休假制度符合劳动法、劳动合同法的规定的，得</w:t>
            </w:r>
            <w:r>
              <w:rPr>
                <w:rFonts w:ascii="宋体" w:hAnsi="宋体" w:cs="宋体"/>
                <w:sz w:val="18"/>
                <w:szCs w:val="18"/>
              </w:rPr>
              <w:t>1.5</w:t>
            </w:r>
            <w:r>
              <w:rPr>
                <w:rFonts w:hint="eastAsia" w:ascii="宋体" w:hAnsi="宋体" w:cs="宋体"/>
                <w:sz w:val="18"/>
                <w:szCs w:val="18"/>
              </w:rPr>
              <w:t>分；企业在合规的基础上，额外采用更有利于员工利益的劳动制度，如灵活的工作时间及休假制度、更优的劳动报酬等，得</w:t>
            </w:r>
            <w:r>
              <w:rPr>
                <w:rFonts w:ascii="宋体" w:hAnsi="宋体" w:cs="宋体"/>
                <w:sz w:val="18"/>
                <w:szCs w:val="18"/>
              </w:rPr>
              <w:t>2.5</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pStyle w:val="181"/>
            </w:pPr>
          </w:p>
        </w:tc>
        <w:tc>
          <w:tcPr>
            <w:tcW w:w="2551" w:type="dxa"/>
            <w:shd w:val="clear" w:color="auto" w:fill="auto"/>
            <w:vAlign w:val="center"/>
          </w:tcPr>
          <w:p>
            <w:pPr>
              <w:autoSpaceDE w:val="0"/>
              <w:autoSpaceDN w:val="0"/>
              <w:spacing w:line="240" w:lineRule="auto"/>
              <w:ind w:left="109" w:right="5"/>
              <w:jc w:val="left"/>
              <w:rPr>
                <w:rFonts w:ascii="宋体" w:hAnsi="宋体" w:cs="宋体"/>
                <w:sz w:val="18"/>
                <w:szCs w:val="18"/>
              </w:rPr>
            </w:pPr>
            <w:r>
              <w:rPr>
                <w:rFonts w:hint="eastAsia" w:ascii="宋体" w:hAnsi="宋体" w:cs="宋体"/>
                <w:sz w:val="18"/>
                <w:szCs w:val="18"/>
              </w:rPr>
              <w:t>积极探索或制定新就业形态人员权益保障的相关制度（2.</w:t>
            </w:r>
            <w:r>
              <w:rPr>
                <w:rFonts w:ascii="宋体" w:hAnsi="宋体" w:cs="宋体"/>
                <w:sz w:val="18"/>
                <w:szCs w:val="18"/>
              </w:rPr>
              <w:t>5</w:t>
            </w:r>
            <w:r>
              <w:rPr>
                <w:rFonts w:hint="eastAsia" w:ascii="宋体" w:hAnsi="宋体" w:cs="宋体"/>
                <w:sz w:val="18"/>
                <w:szCs w:val="18"/>
              </w:rPr>
              <w:t>分）</w:t>
            </w:r>
          </w:p>
        </w:tc>
        <w:tc>
          <w:tcPr>
            <w:tcW w:w="3674" w:type="dxa"/>
            <w:shd w:val="clear" w:color="auto" w:fill="auto"/>
            <w:vAlign w:val="center"/>
          </w:tcPr>
          <w:p>
            <w:pPr>
              <w:autoSpaceDE w:val="0"/>
              <w:autoSpaceDN w:val="0"/>
              <w:spacing w:line="240" w:lineRule="auto"/>
              <w:ind w:left="108" w:right="5"/>
              <w:jc w:val="left"/>
              <w:rPr>
                <w:rFonts w:ascii="宋体" w:hAnsi="宋体" w:cs="宋体"/>
                <w:sz w:val="18"/>
                <w:szCs w:val="18"/>
              </w:rPr>
            </w:pPr>
            <w:r>
              <w:rPr>
                <w:rFonts w:hint="eastAsia" w:ascii="宋体" w:hAnsi="宋体" w:cs="宋体"/>
                <w:sz w:val="18"/>
                <w:szCs w:val="18"/>
              </w:rPr>
              <w:t>企业积极维护新就业形态人员的劳动者权益，制定、完善劳动报酬支付制度、休息制度等制度的，得</w:t>
            </w:r>
            <w:r>
              <w:rPr>
                <w:rFonts w:ascii="宋体" w:hAnsi="宋体" w:cs="宋体"/>
                <w:sz w:val="18"/>
                <w:szCs w:val="18"/>
              </w:rPr>
              <w:t>2.5</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pStyle w:val="181"/>
            </w:pPr>
          </w:p>
        </w:tc>
        <w:tc>
          <w:tcPr>
            <w:tcW w:w="2551"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实施了针对新就业形态人员职业伤害保障（2.</w:t>
            </w:r>
            <w:r>
              <w:rPr>
                <w:rFonts w:ascii="宋体" w:hAnsi="宋体" w:cs="宋体"/>
                <w:sz w:val="18"/>
                <w:szCs w:val="18"/>
              </w:rPr>
              <w:t>5</w:t>
            </w:r>
            <w:r>
              <w:rPr>
                <w:rFonts w:hint="eastAsia" w:ascii="宋体" w:hAnsi="宋体" w:cs="宋体"/>
                <w:sz w:val="18"/>
                <w:szCs w:val="18"/>
              </w:rPr>
              <w:t>分）</w:t>
            </w:r>
          </w:p>
        </w:tc>
        <w:tc>
          <w:tcPr>
            <w:tcW w:w="3674" w:type="dxa"/>
            <w:shd w:val="clear" w:color="auto" w:fill="auto"/>
            <w:vAlign w:val="center"/>
          </w:tcPr>
          <w:p>
            <w:pPr>
              <w:autoSpaceDE w:val="0"/>
              <w:autoSpaceDN w:val="0"/>
              <w:spacing w:line="240" w:lineRule="auto"/>
              <w:ind w:left="108" w:right="5"/>
              <w:jc w:val="left"/>
              <w:rPr>
                <w:rFonts w:ascii="宋体" w:hAnsi="宋体" w:cs="宋体"/>
                <w:sz w:val="18"/>
                <w:szCs w:val="18"/>
              </w:rPr>
            </w:pPr>
            <w:r>
              <w:rPr>
                <w:rFonts w:hint="eastAsia" w:ascii="宋体" w:hAnsi="宋体" w:cs="宋体"/>
                <w:sz w:val="18"/>
                <w:szCs w:val="18"/>
              </w:rPr>
              <w:t>企业针对新就业形态人员实施职业伤害保障的，得</w:t>
            </w:r>
            <w:r>
              <w:rPr>
                <w:rFonts w:ascii="宋体" w:hAnsi="宋体" w:cs="宋体"/>
                <w:sz w:val="18"/>
                <w:szCs w:val="18"/>
              </w:rPr>
              <w:t>2.5</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pStyle w:val="181"/>
            </w:pPr>
          </w:p>
        </w:tc>
        <w:tc>
          <w:tcPr>
            <w:tcW w:w="2551"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为新就业形态人员缴纳了基本养老保险、 基本医疗保险等（2.</w:t>
            </w:r>
            <w:r>
              <w:rPr>
                <w:rFonts w:ascii="宋体" w:hAnsi="宋体" w:cs="宋体"/>
                <w:sz w:val="18"/>
                <w:szCs w:val="18"/>
              </w:rPr>
              <w:t>5</w:t>
            </w:r>
            <w:r>
              <w:rPr>
                <w:rFonts w:hint="eastAsia" w:ascii="宋体" w:hAnsi="宋体" w:cs="宋体"/>
                <w:sz w:val="18"/>
                <w:szCs w:val="18"/>
              </w:rPr>
              <w:t>分）</w:t>
            </w:r>
          </w:p>
        </w:tc>
        <w:tc>
          <w:tcPr>
            <w:tcW w:w="3674" w:type="dxa"/>
            <w:shd w:val="clear" w:color="auto" w:fill="auto"/>
            <w:vAlign w:val="center"/>
          </w:tcPr>
          <w:p>
            <w:pPr>
              <w:autoSpaceDE w:val="0"/>
              <w:autoSpaceDN w:val="0"/>
              <w:spacing w:line="240" w:lineRule="auto"/>
              <w:ind w:left="108" w:right="5"/>
              <w:jc w:val="left"/>
              <w:rPr>
                <w:rFonts w:ascii="宋体" w:hAnsi="宋体" w:cs="宋体"/>
                <w:sz w:val="18"/>
                <w:szCs w:val="18"/>
              </w:rPr>
            </w:pPr>
            <w:r>
              <w:rPr>
                <w:rFonts w:hint="eastAsia" w:ascii="宋体" w:hAnsi="宋体" w:cs="宋体"/>
                <w:sz w:val="18"/>
                <w:szCs w:val="18"/>
              </w:rPr>
              <w:t>企业为新就业形态人员缴纳了基本养老保险、基本医疗保险的，得</w:t>
            </w:r>
            <w:r>
              <w:rPr>
                <w:rFonts w:ascii="宋体" w:hAnsi="宋体" w:cs="宋体"/>
                <w:sz w:val="18"/>
                <w:szCs w:val="18"/>
              </w:rPr>
              <w:t>2.5</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restart"/>
            <w:shd w:val="clear" w:color="auto" w:fill="auto"/>
            <w:vAlign w:val="center"/>
          </w:tcPr>
          <w:p>
            <w:pPr>
              <w:pStyle w:val="181"/>
            </w:pPr>
            <w:r>
              <w:rPr>
                <w:rFonts w:hint="eastAsia" w:hAnsi="宋体" w:cs="宋体"/>
                <w:bCs/>
                <w:color w:val="000000"/>
                <w:szCs w:val="18"/>
              </w:rPr>
              <w:t>员工多元化（5分）</w:t>
            </w:r>
          </w:p>
        </w:tc>
        <w:tc>
          <w:tcPr>
            <w:tcW w:w="2551"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有相应的政策保证员工平等、多元化（2.</w:t>
            </w:r>
            <w:r>
              <w:rPr>
                <w:rFonts w:ascii="宋体" w:hAnsi="宋体" w:cs="宋体"/>
                <w:sz w:val="18"/>
                <w:szCs w:val="18"/>
              </w:rPr>
              <w:t>5</w:t>
            </w:r>
            <w:r>
              <w:rPr>
                <w:rFonts w:hint="eastAsia" w:ascii="宋体" w:hAnsi="宋体" w:cs="宋体"/>
                <w:sz w:val="18"/>
                <w:szCs w:val="18"/>
              </w:rPr>
              <w:t>分）</w:t>
            </w:r>
          </w:p>
        </w:tc>
        <w:tc>
          <w:tcPr>
            <w:tcW w:w="3674" w:type="dxa"/>
            <w:shd w:val="clear" w:color="auto" w:fill="auto"/>
            <w:vAlign w:val="center"/>
          </w:tcPr>
          <w:p>
            <w:pPr>
              <w:autoSpaceDE w:val="0"/>
              <w:autoSpaceDN w:val="0"/>
              <w:spacing w:before="135" w:line="240" w:lineRule="auto"/>
              <w:ind w:left="108"/>
              <w:jc w:val="left"/>
              <w:rPr>
                <w:rFonts w:ascii="宋体" w:hAnsi="宋体" w:cs="宋体"/>
                <w:sz w:val="18"/>
                <w:szCs w:val="18"/>
              </w:rPr>
            </w:pPr>
            <w:r>
              <w:rPr>
                <w:rFonts w:hint="eastAsia" w:ascii="宋体" w:hAnsi="宋体" w:cs="宋体"/>
                <w:sz w:val="18"/>
                <w:szCs w:val="18"/>
              </w:rPr>
              <w:t>企业在招聘、用工、离职等环节为促进员工的性别、种族、宗教、性取向、年龄、怀孕或残疾方面的平等、多元化制定相应政策的，得</w:t>
            </w:r>
            <w:r>
              <w:rPr>
                <w:rFonts w:ascii="宋体" w:hAnsi="宋体" w:cs="宋体"/>
                <w:sz w:val="18"/>
                <w:szCs w:val="18"/>
              </w:rPr>
              <w:t>2.5</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pStyle w:val="181"/>
            </w:pPr>
          </w:p>
        </w:tc>
        <w:tc>
          <w:tcPr>
            <w:tcW w:w="2551" w:type="dxa"/>
            <w:shd w:val="clear" w:color="auto" w:fill="auto"/>
            <w:vAlign w:val="center"/>
          </w:tcPr>
          <w:p>
            <w:pPr>
              <w:autoSpaceDE w:val="0"/>
              <w:autoSpaceDN w:val="0"/>
              <w:spacing w:line="240" w:lineRule="auto"/>
              <w:ind w:left="109" w:right="5"/>
              <w:jc w:val="left"/>
              <w:rPr>
                <w:rFonts w:ascii="宋体" w:hAnsi="宋体" w:cs="宋体"/>
                <w:sz w:val="18"/>
                <w:szCs w:val="18"/>
              </w:rPr>
            </w:pPr>
            <w:r>
              <w:rPr>
                <w:rFonts w:hint="eastAsia" w:ascii="宋体" w:hAnsi="宋体" w:cs="宋体"/>
                <w:sz w:val="18"/>
                <w:szCs w:val="18"/>
              </w:rPr>
              <w:t>为员工提供平等的、无障碍的工作场所（2.</w:t>
            </w:r>
            <w:r>
              <w:rPr>
                <w:rFonts w:ascii="宋体" w:hAnsi="宋体" w:cs="宋体"/>
                <w:sz w:val="18"/>
                <w:szCs w:val="18"/>
              </w:rPr>
              <w:t>5</w:t>
            </w:r>
            <w:r>
              <w:rPr>
                <w:rFonts w:hint="eastAsia" w:ascii="宋体" w:hAnsi="宋体" w:cs="宋体"/>
                <w:sz w:val="18"/>
                <w:szCs w:val="18"/>
              </w:rPr>
              <w:t>分）</w:t>
            </w:r>
          </w:p>
        </w:tc>
        <w:tc>
          <w:tcPr>
            <w:tcW w:w="3674" w:type="dxa"/>
            <w:shd w:val="clear" w:color="auto" w:fill="auto"/>
            <w:vAlign w:val="center"/>
          </w:tcPr>
          <w:p>
            <w:pPr>
              <w:autoSpaceDE w:val="0"/>
              <w:autoSpaceDN w:val="0"/>
              <w:spacing w:before="135" w:line="240" w:lineRule="auto"/>
              <w:jc w:val="left"/>
              <w:rPr>
                <w:rFonts w:ascii="宋体" w:hAnsi="宋体" w:cs="宋体"/>
                <w:sz w:val="18"/>
                <w:szCs w:val="18"/>
              </w:rPr>
            </w:pPr>
            <w:r>
              <w:rPr>
                <w:rFonts w:hint="eastAsia" w:ascii="宋体" w:hAnsi="宋体" w:cs="宋体"/>
                <w:sz w:val="18"/>
                <w:szCs w:val="18"/>
              </w:rPr>
              <w:t>企业在工作场所的建筑物内部及周边环境提供无障碍设施的，得</w:t>
            </w:r>
            <w:r>
              <w:rPr>
                <w:rFonts w:ascii="宋体" w:hAnsi="宋体" w:cs="宋体"/>
                <w:sz w:val="18"/>
                <w:szCs w:val="18"/>
              </w:rPr>
              <w:t>2.5</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restart"/>
            <w:shd w:val="clear" w:color="auto" w:fill="auto"/>
            <w:vAlign w:val="center"/>
          </w:tcPr>
          <w:p>
            <w:pPr>
              <w:pStyle w:val="181"/>
            </w:pPr>
            <w:r>
              <w:rPr>
                <w:rFonts w:hint="eastAsia" w:hAnsi="宋体" w:cs="宋体"/>
                <w:szCs w:val="18"/>
              </w:rPr>
              <w:t>员工（准员工）培训（</w:t>
            </w:r>
            <w:r>
              <w:rPr>
                <w:rFonts w:hAnsi="宋体" w:cs="宋体"/>
                <w:szCs w:val="18"/>
              </w:rPr>
              <w:t>5分）</w:t>
            </w:r>
          </w:p>
        </w:tc>
        <w:tc>
          <w:tcPr>
            <w:tcW w:w="2551"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建立了员工培训机制，一季度至少开展一次与其工作内容相匹配的培训新技术新业态员工培训（2.</w:t>
            </w:r>
            <w:r>
              <w:rPr>
                <w:rFonts w:ascii="宋体" w:hAnsi="宋体" w:cs="宋体"/>
                <w:sz w:val="18"/>
                <w:szCs w:val="18"/>
              </w:rPr>
              <w:t>5</w:t>
            </w:r>
            <w:r>
              <w:rPr>
                <w:rFonts w:hint="eastAsia" w:ascii="宋体" w:hAnsi="宋体" w:cs="宋体"/>
                <w:sz w:val="18"/>
                <w:szCs w:val="18"/>
              </w:rPr>
              <w:t>分）</w:t>
            </w:r>
          </w:p>
        </w:tc>
        <w:tc>
          <w:tcPr>
            <w:tcW w:w="3674" w:type="dxa"/>
            <w:shd w:val="clear" w:color="auto" w:fill="auto"/>
            <w:vAlign w:val="center"/>
          </w:tcPr>
          <w:p>
            <w:pPr>
              <w:autoSpaceDE w:val="0"/>
              <w:autoSpaceDN w:val="0"/>
              <w:spacing w:line="240" w:lineRule="auto"/>
              <w:ind w:left="108"/>
              <w:jc w:val="left"/>
              <w:rPr>
                <w:rFonts w:ascii="宋体" w:hAnsi="宋体" w:cs="宋体"/>
                <w:sz w:val="18"/>
                <w:szCs w:val="18"/>
              </w:rPr>
            </w:pPr>
            <w:r>
              <w:rPr>
                <w:rFonts w:hint="eastAsia" w:ascii="宋体" w:hAnsi="宋体" w:cs="宋体"/>
                <w:sz w:val="18"/>
                <w:szCs w:val="18"/>
              </w:rPr>
              <w:t>企业建立了员工培训机制的，一季度至少开展一次与其工作内容相匹配的培训新技术新业态员工培训的，得</w:t>
            </w:r>
            <w:r>
              <w:rPr>
                <w:rFonts w:ascii="宋体" w:hAnsi="宋体" w:cs="宋体"/>
                <w:sz w:val="18"/>
                <w:szCs w:val="18"/>
              </w:rPr>
              <w:t>2.5</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pStyle w:val="181"/>
            </w:pPr>
          </w:p>
        </w:tc>
        <w:tc>
          <w:tcPr>
            <w:tcW w:w="2551"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建立了新就业形态人员专门培训机制，一季度至少开展一次新业态就业人员公益培训（2.</w:t>
            </w:r>
            <w:r>
              <w:rPr>
                <w:rFonts w:ascii="宋体" w:hAnsi="宋体" w:cs="宋体"/>
                <w:sz w:val="18"/>
                <w:szCs w:val="18"/>
              </w:rPr>
              <w:t>5</w:t>
            </w:r>
            <w:r>
              <w:rPr>
                <w:rFonts w:hint="eastAsia" w:ascii="宋体" w:hAnsi="宋体" w:cs="宋体"/>
                <w:sz w:val="18"/>
                <w:szCs w:val="18"/>
              </w:rPr>
              <w:t>分）</w:t>
            </w:r>
          </w:p>
        </w:tc>
        <w:tc>
          <w:tcPr>
            <w:tcW w:w="3674" w:type="dxa"/>
            <w:shd w:val="clear" w:color="auto" w:fill="auto"/>
            <w:vAlign w:val="center"/>
          </w:tcPr>
          <w:p>
            <w:pPr>
              <w:autoSpaceDE w:val="0"/>
              <w:autoSpaceDN w:val="0"/>
              <w:spacing w:line="240" w:lineRule="auto"/>
              <w:ind w:left="108"/>
              <w:jc w:val="left"/>
              <w:rPr>
                <w:rFonts w:ascii="宋体" w:hAnsi="宋体" w:cs="宋体"/>
                <w:sz w:val="18"/>
                <w:szCs w:val="18"/>
              </w:rPr>
            </w:pPr>
            <w:r>
              <w:rPr>
                <w:rFonts w:hint="eastAsia" w:ascii="宋体" w:hAnsi="宋体" w:cs="宋体"/>
                <w:sz w:val="18"/>
                <w:szCs w:val="18"/>
              </w:rPr>
              <w:t>企业针对新就业形态人员建立专门培训机制，一季度至少开展一次新业态就业人员公益培训的，得</w:t>
            </w:r>
            <w:r>
              <w:rPr>
                <w:rFonts w:ascii="宋体" w:hAnsi="宋体" w:cs="宋体"/>
                <w:sz w:val="18"/>
                <w:szCs w:val="18"/>
              </w:rPr>
              <w:t>2.5</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7501" w:type="dxa"/>
            <w:gridSpan w:val="3"/>
            <w:shd w:val="clear" w:color="auto" w:fill="auto"/>
            <w:vAlign w:val="center"/>
          </w:tcPr>
          <w:p>
            <w:pPr>
              <w:pStyle w:val="181"/>
            </w:pPr>
            <w:r>
              <w:rPr>
                <w:rFonts w:hint="eastAsia"/>
              </w:rPr>
              <w:t>加分项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3827" w:type="dxa"/>
            <w:gridSpan w:val="2"/>
            <w:shd w:val="clear" w:color="auto" w:fill="auto"/>
            <w:vAlign w:val="center"/>
          </w:tcPr>
          <w:p>
            <w:pPr>
              <w:autoSpaceDE w:val="0"/>
              <w:autoSpaceDN w:val="0"/>
              <w:spacing w:before="37" w:line="240" w:lineRule="auto"/>
              <w:ind w:left="107"/>
              <w:jc w:val="left"/>
              <w:rPr>
                <w:rFonts w:ascii="宋体" w:hAnsi="宋体" w:cs="宋体"/>
                <w:sz w:val="18"/>
                <w:szCs w:val="18"/>
              </w:rPr>
            </w:pPr>
            <w:r>
              <w:rPr>
                <w:rFonts w:hint="eastAsia" w:ascii="宋体" w:hAnsi="宋体" w:cs="宋体"/>
                <w:sz w:val="18"/>
                <w:szCs w:val="18"/>
              </w:rPr>
              <w:t>公司鼓励员工多元化与机会平等，员工结构在性别、年龄等方面具有多样性（</w:t>
            </w:r>
            <w:r>
              <w:rPr>
                <w:rFonts w:ascii="宋体" w:hAnsi="宋体" w:cs="宋体"/>
                <w:sz w:val="18"/>
                <w:szCs w:val="18"/>
              </w:rPr>
              <w:t>6</w:t>
            </w:r>
            <w:r>
              <w:rPr>
                <w:rFonts w:hint="eastAsia" w:ascii="宋体" w:hAnsi="宋体" w:cs="宋体"/>
                <w:sz w:val="18"/>
                <w:szCs w:val="18"/>
              </w:rPr>
              <w:t>分）</w:t>
            </w:r>
          </w:p>
        </w:tc>
        <w:tc>
          <w:tcPr>
            <w:tcW w:w="3674" w:type="dxa"/>
            <w:shd w:val="clear" w:color="auto" w:fill="auto"/>
            <w:vAlign w:val="center"/>
          </w:tcPr>
          <w:p>
            <w:pPr>
              <w:autoSpaceDE w:val="0"/>
              <w:autoSpaceDN w:val="0"/>
              <w:spacing w:line="240" w:lineRule="auto"/>
              <w:ind w:left="108"/>
              <w:jc w:val="left"/>
              <w:rPr>
                <w:rFonts w:ascii="宋体" w:hAnsi="宋体" w:cs="宋体"/>
                <w:sz w:val="18"/>
                <w:szCs w:val="18"/>
              </w:rPr>
            </w:pPr>
            <w:r>
              <w:rPr>
                <w:rFonts w:hint="eastAsia" w:ascii="宋体" w:hAnsi="宋体" w:cs="宋体"/>
                <w:sz w:val="18"/>
                <w:szCs w:val="18"/>
              </w:rPr>
              <w:t>企业全部员工性别比（以女性为100，男性对女性的比例）在</w:t>
            </w:r>
            <w:r>
              <w:rPr>
                <w:rFonts w:ascii="宋体" w:hAnsi="宋体" w:cs="宋体"/>
                <w:sz w:val="18"/>
                <w:szCs w:val="18"/>
              </w:rPr>
              <w:t>120</w:t>
            </w:r>
            <w:r>
              <w:rPr>
                <w:rFonts w:hint="eastAsia" w:ascii="宋体" w:hAnsi="宋体" w:cs="宋体"/>
                <w:sz w:val="18"/>
                <w:szCs w:val="18"/>
              </w:rPr>
              <w:t>-</w:t>
            </w:r>
            <w:r>
              <w:rPr>
                <w:rFonts w:ascii="宋体" w:hAnsi="宋体" w:cs="宋体"/>
                <w:sz w:val="18"/>
                <w:szCs w:val="18"/>
              </w:rPr>
              <w:t>130</w:t>
            </w:r>
            <w:r>
              <w:rPr>
                <w:rFonts w:hint="eastAsia" w:ascii="宋体" w:hAnsi="宋体" w:cs="宋体"/>
                <w:sz w:val="18"/>
                <w:szCs w:val="18"/>
              </w:rPr>
              <w:t xml:space="preserve">范围内的，加2分； </w:t>
            </w:r>
          </w:p>
          <w:p>
            <w:pPr>
              <w:autoSpaceDE w:val="0"/>
              <w:autoSpaceDN w:val="0"/>
              <w:spacing w:line="240" w:lineRule="auto"/>
              <w:ind w:left="108"/>
              <w:jc w:val="left"/>
              <w:rPr>
                <w:rFonts w:ascii="宋体" w:hAnsi="宋体" w:cs="宋体"/>
                <w:sz w:val="18"/>
                <w:szCs w:val="18"/>
              </w:rPr>
            </w:pPr>
            <w:r>
              <w:rPr>
                <w:rFonts w:hint="eastAsia" w:ascii="宋体" w:hAnsi="宋体" w:cs="宋体"/>
                <w:sz w:val="18"/>
                <w:szCs w:val="18"/>
              </w:rPr>
              <w:t>企业30岁以下、31岁-40岁、41岁-50岁的各年龄段的员工占比均不低于15%的，加3分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3827" w:type="dxa"/>
            <w:gridSpan w:val="2"/>
            <w:shd w:val="clear" w:color="auto" w:fill="auto"/>
            <w:vAlign w:val="center"/>
          </w:tcPr>
          <w:p>
            <w:pPr>
              <w:autoSpaceDE w:val="0"/>
              <w:autoSpaceDN w:val="0"/>
              <w:spacing w:before="37" w:line="240" w:lineRule="auto"/>
              <w:ind w:left="107"/>
              <w:jc w:val="left"/>
              <w:rPr>
                <w:rFonts w:ascii="宋体" w:hAnsi="宋体" w:cs="宋体"/>
                <w:bCs/>
                <w:color w:val="000000"/>
                <w:spacing w:val="5"/>
                <w:w w:val="97"/>
                <w:kern w:val="0"/>
                <w:sz w:val="18"/>
                <w:szCs w:val="18"/>
              </w:rPr>
            </w:pPr>
            <w:r>
              <w:rPr>
                <w:rFonts w:hint="eastAsia" w:ascii="宋体" w:hAnsi="宋体" w:cs="宋体"/>
                <w:sz w:val="18"/>
                <w:szCs w:val="18"/>
              </w:rPr>
              <w:t>承诺平等的就业机会，不因性别、年龄、婚姻状况、怀孕、残障等不同而区别对待，为女性员工提供平等的工作机会与充足的职业成长空间（5分）</w:t>
            </w:r>
          </w:p>
        </w:tc>
        <w:tc>
          <w:tcPr>
            <w:tcW w:w="3674" w:type="dxa"/>
            <w:shd w:val="clear" w:color="auto" w:fill="auto"/>
            <w:vAlign w:val="center"/>
          </w:tcPr>
          <w:p>
            <w:pPr>
              <w:autoSpaceDE w:val="0"/>
              <w:autoSpaceDN w:val="0"/>
              <w:spacing w:line="240" w:lineRule="auto"/>
              <w:ind w:left="108"/>
              <w:jc w:val="left"/>
              <w:rPr>
                <w:rFonts w:ascii="宋体" w:hAnsi="宋体" w:cs="宋体"/>
                <w:bCs/>
                <w:color w:val="000000"/>
                <w:kern w:val="0"/>
                <w:sz w:val="18"/>
                <w:szCs w:val="18"/>
              </w:rPr>
            </w:pPr>
            <w:r>
              <w:rPr>
                <w:rFonts w:hint="eastAsia" w:ascii="宋体" w:hAnsi="宋体" w:cs="宋体"/>
                <w:bCs/>
                <w:color w:val="000000"/>
                <w:kern w:val="0"/>
                <w:sz w:val="18"/>
                <w:szCs w:val="18"/>
              </w:rPr>
              <w:t>企业承诺平等的就业机会的，加5分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restart"/>
            <w:shd w:val="clear" w:color="auto" w:fill="auto"/>
            <w:vAlign w:val="center"/>
          </w:tcPr>
          <w:p>
            <w:pPr>
              <w:pStyle w:val="181"/>
            </w:pPr>
            <w:r>
              <w:rPr>
                <w:rFonts w:hint="eastAsia" w:hAnsi="宋体" w:cs="宋体"/>
                <w:bCs/>
                <w:color w:val="000000"/>
                <w:szCs w:val="18"/>
              </w:rPr>
              <w:t>供应链管理</w:t>
            </w:r>
            <w:r>
              <w:rPr>
                <w:rFonts w:hAnsi="宋体" w:cs="宋体"/>
                <w:bCs/>
                <w:color w:val="000000"/>
                <w:spacing w:val="1"/>
                <w:w w:val="99"/>
                <w:szCs w:val="18"/>
              </w:rPr>
              <w:t>（</w:t>
            </w:r>
            <w:r>
              <w:rPr>
                <w:rFonts w:hint="eastAsia" w:hAnsi="宋体" w:cs="宋体"/>
                <w:bCs/>
                <w:color w:val="000000"/>
                <w:spacing w:val="-5"/>
                <w:w w:val="105"/>
                <w:szCs w:val="18"/>
              </w:rPr>
              <w:t>10</w:t>
            </w:r>
            <w:r>
              <w:rPr>
                <w:rFonts w:hint="eastAsia" w:hAnsi="宋体" w:cs="宋体"/>
                <w:bCs/>
                <w:color w:val="000000"/>
                <w:w w:val="99"/>
                <w:szCs w:val="18"/>
              </w:rPr>
              <w:t xml:space="preserve"> </w:t>
            </w:r>
            <w:r>
              <w:rPr>
                <w:rFonts w:hAnsi="宋体" w:cs="宋体"/>
                <w:bCs/>
                <w:color w:val="000000"/>
                <w:spacing w:val="11"/>
                <w:w w:val="94"/>
                <w:szCs w:val="18"/>
              </w:rPr>
              <w:t>分</w:t>
            </w:r>
            <w:r>
              <w:rPr>
                <w:rFonts w:hAnsi="宋体" w:cs="宋体"/>
                <w:bCs/>
                <w:color w:val="000000"/>
                <w:spacing w:val="-6"/>
                <w:w w:val="97"/>
                <w:szCs w:val="18"/>
              </w:rPr>
              <w:t>）</w:t>
            </w:r>
          </w:p>
        </w:tc>
        <w:tc>
          <w:tcPr>
            <w:tcW w:w="1276" w:type="dxa"/>
            <w:shd w:val="clear" w:color="auto" w:fill="auto"/>
            <w:vAlign w:val="center"/>
          </w:tcPr>
          <w:p>
            <w:pPr>
              <w:pStyle w:val="181"/>
            </w:pPr>
            <w:r>
              <w:rPr>
                <w:rFonts w:hint="eastAsia" w:hAnsi="宋体" w:cs="宋体"/>
                <w:szCs w:val="18"/>
              </w:rPr>
              <w:t>供应链责任管理（</w:t>
            </w:r>
            <w:r>
              <w:rPr>
                <w:rFonts w:hAnsi="宋体" w:cs="宋体"/>
                <w:szCs w:val="18"/>
              </w:rPr>
              <w:t>3分）</w:t>
            </w:r>
          </w:p>
        </w:tc>
        <w:tc>
          <w:tcPr>
            <w:tcW w:w="2551"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在劳工保护、环境保护方面，是否已制定供应商管理政策，例如供应商手册或指南等</w:t>
            </w:r>
            <w:r>
              <w:rPr>
                <w:rFonts w:hint="eastAsia" w:ascii="宋体" w:hAnsi="宋体" w:cs="宋体"/>
                <w:bCs/>
                <w:color w:val="000000"/>
                <w:spacing w:val="5"/>
                <w:w w:val="97"/>
                <w:kern w:val="0"/>
                <w:sz w:val="18"/>
                <w:szCs w:val="18"/>
              </w:rPr>
              <w:t>（3分）</w:t>
            </w:r>
          </w:p>
        </w:tc>
        <w:tc>
          <w:tcPr>
            <w:tcW w:w="3674" w:type="dxa"/>
            <w:shd w:val="clear" w:color="auto" w:fill="auto"/>
            <w:vAlign w:val="center"/>
          </w:tcPr>
          <w:p>
            <w:pPr>
              <w:autoSpaceDE w:val="0"/>
              <w:autoSpaceDN w:val="0"/>
              <w:spacing w:line="240" w:lineRule="auto"/>
              <w:ind w:left="108" w:right="5"/>
              <w:jc w:val="left"/>
              <w:rPr>
                <w:rFonts w:ascii="宋体" w:hAnsi="宋体" w:cs="宋体"/>
                <w:sz w:val="18"/>
                <w:szCs w:val="18"/>
              </w:rPr>
            </w:pPr>
            <w:r>
              <w:rPr>
                <w:rFonts w:hint="eastAsia" w:ascii="宋体" w:hAnsi="宋体" w:cs="宋体"/>
                <w:sz w:val="18"/>
                <w:szCs w:val="18"/>
              </w:rPr>
              <w:t>企业在劳工保护、环境保护方面，制定供应商管理政策的，得2分；已实际与供应商在劳工保护、环境保护方面达成合作，如实行劳工保护、环境保护一票否决的，得3分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restart"/>
            <w:shd w:val="clear" w:color="auto" w:fill="auto"/>
            <w:vAlign w:val="center"/>
          </w:tcPr>
          <w:p>
            <w:pPr>
              <w:pStyle w:val="181"/>
            </w:pPr>
            <w:r>
              <w:rPr>
                <w:rFonts w:hint="eastAsia" w:hAnsi="宋体" w:cs="宋体"/>
                <w:szCs w:val="18"/>
              </w:rPr>
              <w:t>供应链监督体系（</w:t>
            </w:r>
            <w:r>
              <w:rPr>
                <w:rFonts w:hAnsi="宋体" w:cs="宋体"/>
                <w:szCs w:val="18"/>
              </w:rPr>
              <w:t>7分）</w:t>
            </w:r>
          </w:p>
        </w:tc>
        <w:tc>
          <w:tcPr>
            <w:tcW w:w="2551"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向供应商提供了长效的培训和指导，一年内至少组织过一次培训（1分）</w:t>
            </w:r>
          </w:p>
        </w:tc>
        <w:tc>
          <w:tcPr>
            <w:tcW w:w="3674" w:type="dxa"/>
            <w:shd w:val="clear" w:color="auto" w:fill="auto"/>
            <w:vAlign w:val="center"/>
          </w:tcPr>
          <w:p>
            <w:pPr>
              <w:autoSpaceDE w:val="0"/>
              <w:autoSpaceDN w:val="0"/>
              <w:spacing w:before="135" w:line="240" w:lineRule="auto"/>
              <w:ind w:left="108"/>
              <w:jc w:val="left"/>
              <w:rPr>
                <w:rFonts w:ascii="宋体" w:hAnsi="宋体" w:cs="宋体"/>
                <w:sz w:val="18"/>
                <w:szCs w:val="18"/>
              </w:rPr>
            </w:pPr>
            <w:r>
              <w:rPr>
                <w:rFonts w:hint="eastAsia" w:ascii="宋体" w:hAnsi="宋体" w:cs="宋体"/>
                <w:sz w:val="18"/>
                <w:szCs w:val="18"/>
              </w:rPr>
              <w:t>企业向供应商提供了长效的培训和指导，一年内至少组织过一次培训的，得</w:t>
            </w:r>
            <w:r>
              <w:rPr>
                <w:rFonts w:ascii="宋体" w:hAnsi="宋体" w:cs="宋体"/>
                <w:sz w:val="18"/>
                <w:szCs w:val="18"/>
              </w:rPr>
              <w:t>1</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pStyle w:val="181"/>
            </w:pPr>
          </w:p>
        </w:tc>
        <w:tc>
          <w:tcPr>
            <w:tcW w:w="2551"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选取供应商时，建立了考虑供应商劳工保护水平、环境保护水平等ESG表现的机制（“供应商评估机制”），以确保供应商及其活动均不与ESG要求相冲突或优先聘用ESG表现好的供应商（2分）</w:t>
            </w:r>
          </w:p>
        </w:tc>
        <w:tc>
          <w:tcPr>
            <w:tcW w:w="3674" w:type="dxa"/>
            <w:shd w:val="clear" w:color="auto" w:fill="auto"/>
            <w:vAlign w:val="center"/>
          </w:tcPr>
          <w:p>
            <w:pPr>
              <w:autoSpaceDE w:val="0"/>
              <w:autoSpaceDN w:val="0"/>
              <w:spacing w:before="135" w:line="240" w:lineRule="auto"/>
              <w:ind w:left="108"/>
              <w:jc w:val="left"/>
              <w:rPr>
                <w:rFonts w:ascii="宋体" w:hAnsi="宋体" w:cs="宋体"/>
                <w:sz w:val="18"/>
                <w:szCs w:val="18"/>
              </w:rPr>
            </w:pPr>
            <w:r>
              <w:rPr>
                <w:rFonts w:hint="eastAsia" w:ascii="宋体" w:hAnsi="宋体" w:cs="宋体"/>
                <w:sz w:val="18"/>
                <w:szCs w:val="18"/>
              </w:rPr>
              <w:t>企业在招标时将ESG表现水平作为考虑因素之一的，得</w:t>
            </w:r>
            <w:r>
              <w:rPr>
                <w:rFonts w:ascii="宋体" w:hAnsi="宋体" w:cs="宋体"/>
                <w:sz w:val="18"/>
                <w:szCs w:val="18"/>
              </w:rPr>
              <w:t>2</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pStyle w:val="181"/>
            </w:pPr>
          </w:p>
        </w:tc>
        <w:tc>
          <w:tcPr>
            <w:tcW w:w="2551"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对供应商手册等政策文件、供应商评估机制的执行情况至少一年开展一次定期审计（2分）</w:t>
            </w:r>
          </w:p>
        </w:tc>
        <w:tc>
          <w:tcPr>
            <w:tcW w:w="3674" w:type="dxa"/>
            <w:shd w:val="clear" w:color="auto" w:fill="auto"/>
            <w:vAlign w:val="center"/>
          </w:tcPr>
          <w:p>
            <w:pPr>
              <w:autoSpaceDE w:val="0"/>
              <w:autoSpaceDN w:val="0"/>
              <w:spacing w:before="135" w:line="240" w:lineRule="auto"/>
              <w:ind w:left="108"/>
              <w:jc w:val="left"/>
              <w:rPr>
                <w:rFonts w:ascii="宋体" w:hAnsi="宋体" w:cs="宋体"/>
                <w:sz w:val="18"/>
                <w:szCs w:val="18"/>
              </w:rPr>
            </w:pPr>
            <w:r>
              <w:rPr>
                <w:rFonts w:hint="eastAsia" w:ascii="宋体" w:hAnsi="宋体" w:cs="宋体"/>
                <w:sz w:val="18"/>
                <w:szCs w:val="18"/>
              </w:rPr>
              <w:t>企业对供应商手册等政策文件、供应商评估机制的执行情况至少一年开展一次定期审计的，得</w:t>
            </w:r>
            <w:r>
              <w:rPr>
                <w:rFonts w:ascii="宋体" w:hAnsi="宋体" w:cs="宋体"/>
                <w:sz w:val="18"/>
                <w:szCs w:val="18"/>
              </w:rPr>
              <w:t>2</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pStyle w:val="181"/>
            </w:pPr>
          </w:p>
        </w:tc>
        <w:tc>
          <w:tcPr>
            <w:tcW w:w="2551"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对违反ESG要求的供应商采取包括终止合同等在内的相应措施（2分）</w:t>
            </w:r>
          </w:p>
        </w:tc>
        <w:tc>
          <w:tcPr>
            <w:tcW w:w="3674" w:type="dxa"/>
            <w:shd w:val="clear" w:color="auto" w:fill="auto"/>
            <w:vAlign w:val="center"/>
          </w:tcPr>
          <w:p>
            <w:pPr>
              <w:autoSpaceDE w:val="0"/>
              <w:autoSpaceDN w:val="0"/>
              <w:spacing w:before="135" w:line="240" w:lineRule="auto"/>
              <w:ind w:left="108"/>
              <w:jc w:val="left"/>
              <w:rPr>
                <w:rFonts w:ascii="宋体" w:hAnsi="宋体" w:cs="宋体"/>
                <w:sz w:val="18"/>
                <w:szCs w:val="18"/>
              </w:rPr>
            </w:pPr>
            <w:r>
              <w:rPr>
                <w:rFonts w:hint="eastAsia" w:ascii="宋体" w:hAnsi="宋体" w:cs="宋体"/>
                <w:sz w:val="18"/>
                <w:szCs w:val="18"/>
              </w:rPr>
              <w:t>企业对违反ESG要求的供应商采取包括终止合同等在内的相应措施的，得2分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7501" w:type="dxa"/>
            <w:gridSpan w:val="3"/>
            <w:shd w:val="clear" w:color="auto" w:fill="auto"/>
            <w:vAlign w:val="center"/>
          </w:tcPr>
          <w:p>
            <w:pPr>
              <w:pStyle w:val="181"/>
            </w:pPr>
            <w:r>
              <w:rPr>
                <w:rFonts w:hint="eastAsia"/>
              </w:rPr>
              <w:t>加分项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3827" w:type="dxa"/>
            <w:gridSpan w:val="2"/>
            <w:shd w:val="clear" w:color="auto" w:fill="auto"/>
            <w:vAlign w:val="center"/>
          </w:tcPr>
          <w:p>
            <w:pPr>
              <w:autoSpaceDE w:val="0"/>
              <w:autoSpaceDN w:val="0"/>
              <w:spacing w:line="240" w:lineRule="auto"/>
              <w:ind w:left="109"/>
              <w:jc w:val="left"/>
              <w:rPr>
                <w:rFonts w:ascii="宋体" w:hAnsi="宋体" w:cs="宋体"/>
                <w:sz w:val="18"/>
                <w:szCs w:val="18"/>
              </w:rPr>
            </w:pPr>
            <w:r>
              <w:rPr>
                <w:rFonts w:ascii="宋体" w:hAnsi="宋体" w:cs="宋体"/>
                <w:sz w:val="18"/>
                <w:szCs w:val="18"/>
              </w:rPr>
              <w:t>对已选聘的供应商开展持续监督，例如筛选重点供应商并对其开展密切监督（如定期开展审计）；定期通过公开渠道检索供应商的ESG相关表现并采取对应措施等</w:t>
            </w: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分）</w:t>
            </w:r>
          </w:p>
        </w:tc>
        <w:tc>
          <w:tcPr>
            <w:tcW w:w="3674"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企业对选聘的供应商进行定期审计的，加</w:t>
            </w:r>
            <w:r>
              <w:rPr>
                <w:rFonts w:ascii="宋体" w:hAnsi="宋体" w:cs="宋体"/>
                <w:sz w:val="18"/>
                <w:szCs w:val="18"/>
              </w:rPr>
              <w:t>3分；</w:t>
            </w:r>
          </w:p>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企业定期通过公开渠道检索供应商的</w:t>
            </w:r>
            <w:r>
              <w:rPr>
                <w:rFonts w:ascii="宋体" w:hAnsi="宋体" w:cs="宋体"/>
                <w:sz w:val="18"/>
                <w:szCs w:val="18"/>
              </w:rPr>
              <w:t>ESG相关表现并采取对应措施的，加4分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7501" w:type="dxa"/>
            <w:gridSpan w:val="3"/>
            <w:shd w:val="clear" w:color="auto" w:fill="auto"/>
            <w:vAlign w:val="center"/>
          </w:tcPr>
          <w:p>
            <w:pPr>
              <w:pStyle w:val="181"/>
            </w:pPr>
            <w:r>
              <w:rPr>
                <w:rFonts w:hint="eastAsia"/>
              </w:rPr>
              <w:t>减分项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3827" w:type="dxa"/>
            <w:gridSpan w:val="2"/>
            <w:shd w:val="clear" w:color="auto" w:fill="auto"/>
            <w:vAlign w:val="center"/>
          </w:tcPr>
          <w:p>
            <w:pPr>
              <w:autoSpaceDE w:val="0"/>
              <w:autoSpaceDN w:val="0"/>
              <w:spacing w:line="240" w:lineRule="auto"/>
              <w:ind w:left="109"/>
              <w:jc w:val="left"/>
              <w:rPr>
                <w:rFonts w:ascii="宋体" w:hAnsi="宋体" w:cs="宋体"/>
                <w:sz w:val="18"/>
                <w:szCs w:val="18"/>
              </w:rPr>
            </w:pPr>
            <w:r>
              <w:rPr>
                <w:rFonts w:ascii="宋体" w:hAnsi="宋体" w:cs="宋体"/>
                <w:sz w:val="18"/>
                <w:szCs w:val="18"/>
              </w:rPr>
              <w:t>聘用的供应商近一年内在劳工保护、环境保护等ESG相关方面遭到民事诉讼并被生效司法文书认定违规，承担相应责任的、受到行政/刑事处罚或发生被省级媒体报道的重大负面事件</w:t>
            </w:r>
            <w:r>
              <w:rPr>
                <w:rFonts w:hint="eastAsia" w:ascii="宋体" w:hAnsi="宋体" w:cs="宋体"/>
                <w:sz w:val="18"/>
                <w:szCs w:val="18"/>
              </w:rPr>
              <w:t>（</w:t>
            </w:r>
            <w:r>
              <w:rPr>
                <w:rFonts w:ascii="宋体" w:hAnsi="宋体" w:cs="宋体"/>
                <w:sz w:val="18"/>
                <w:szCs w:val="18"/>
              </w:rPr>
              <w:t>10</w:t>
            </w:r>
            <w:r>
              <w:rPr>
                <w:rFonts w:hint="eastAsia" w:ascii="宋体" w:hAnsi="宋体" w:cs="宋体"/>
                <w:sz w:val="18"/>
                <w:szCs w:val="18"/>
              </w:rPr>
              <w:t>分）</w:t>
            </w:r>
          </w:p>
        </w:tc>
        <w:tc>
          <w:tcPr>
            <w:tcW w:w="3674"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企业聘用的供应商近一年内在劳工保护、环境保护等</w:t>
            </w:r>
            <w:r>
              <w:rPr>
                <w:rFonts w:ascii="宋体" w:hAnsi="宋体" w:cs="宋体"/>
                <w:sz w:val="18"/>
                <w:szCs w:val="18"/>
              </w:rPr>
              <w:t>ESG相关方面遭到民事诉讼并被生效司法文书认定违规的，减3分；受到行政处罚的，每次处罚减5分；受到刑事处罚的，减10分；负面事件被省级以上媒体报道的，减5分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restart"/>
            <w:shd w:val="clear" w:color="auto" w:fill="auto"/>
            <w:vAlign w:val="center"/>
          </w:tcPr>
          <w:p>
            <w:pPr>
              <w:pStyle w:val="181"/>
              <w:rPr>
                <w:rFonts w:hAnsi="宋体" w:cs="宋体"/>
                <w:bCs/>
                <w:color w:val="000000"/>
                <w:szCs w:val="18"/>
              </w:rPr>
            </w:pPr>
          </w:p>
          <w:p>
            <w:pPr>
              <w:pStyle w:val="181"/>
              <w:rPr>
                <w:rFonts w:hAnsi="宋体" w:cs="宋体"/>
                <w:bCs/>
                <w:color w:val="000000"/>
                <w:szCs w:val="18"/>
              </w:rPr>
            </w:pPr>
          </w:p>
          <w:p>
            <w:pPr>
              <w:pStyle w:val="181"/>
              <w:rPr>
                <w:rFonts w:hAnsi="宋体" w:cs="宋体"/>
                <w:bCs/>
                <w:color w:val="000000"/>
                <w:szCs w:val="18"/>
              </w:rPr>
            </w:pPr>
          </w:p>
          <w:p>
            <w:pPr>
              <w:pStyle w:val="181"/>
              <w:rPr>
                <w:rFonts w:hAnsi="宋体" w:cs="宋体"/>
                <w:bCs/>
                <w:color w:val="000000"/>
                <w:szCs w:val="18"/>
              </w:rPr>
            </w:pPr>
          </w:p>
          <w:p>
            <w:pPr>
              <w:pStyle w:val="181"/>
              <w:rPr>
                <w:rFonts w:hAnsi="宋体" w:cs="宋体"/>
                <w:bCs/>
                <w:color w:val="000000"/>
                <w:szCs w:val="18"/>
              </w:rPr>
            </w:pPr>
          </w:p>
          <w:p>
            <w:pPr>
              <w:pStyle w:val="181"/>
              <w:rPr>
                <w:rFonts w:hAnsi="宋体" w:cs="宋体"/>
                <w:bCs/>
                <w:color w:val="000000"/>
                <w:szCs w:val="18"/>
              </w:rPr>
            </w:pPr>
          </w:p>
          <w:p>
            <w:pPr>
              <w:pStyle w:val="181"/>
              <w:rPr>
                <w:rFonts w:hAnsi="宋体" w:cs="宋体"/>
                <w:bCs/>
                <w:color w:val="000000"/>
                <w:szCs w:val="18"/>
              </w:rPr>
            </w:pPr>
          </w:p>
          <w:p>
            <w:pPr>
              <w:pStyle w:val="181"/>
              <w:rPr>
                <w:rFonts w:hAnsi="宋体" w:cs="宋体"/>
                <w:bCs/>
                <w:color w:val="000000"/>
                <w:szCs w:val="18"/>
              </w:rPr>
            </w:pPr>
          </w:p>
          <w:p>
            <w:pPr>
              <w:pStyle w:val="181"/>
            </w:pPr>
            <w:r>
              <w:rPr>
                <w:rFonts w:hint="eastAsia" w:hAnsi="宋体" w:cs="宋体"/>
                <w:bCs/>
                <w:color w:val="000000"/>
                <w:szCs w:val="18"/>
              </w:rPr>
              <w:t>社区管理</w:t>
            </w:r>
            <w:r>
              <w:rPr>
                <w:rFonts w:hAnsi="宋体" w:cs="宋体"/>
                <w:bCs/>
                <w:color w:val="000000"/>
                <w:szCs w:val="18"/>
              </w:rPr>
              <w:t>（10 分）</w:t>
            </w:r>
          </w:p>
        </w:tc>
        <w:tc>
          <w:tcPr>
            <w:tcW w:w="1276" w:type="dxa"/>
            <w:shd w:val="clear" w:color="auto" w:fill="auto"/>
            <w:vAlign w:val="center"/>
          </w:tcPr>
          <w:p>
            <w:pPr>
              <w:autoSpaceDE w:val="0"/>
              <w:autoSpaceDN w:val="0"/>
              <w:spacing w:line="240" w:lineRule="auto"/>
              <w:ind w:left="107" w:right="25"/>
              <w:jc w:val="center"/>
              <w:rPr>
                <w:rFonts w:ascii="宋体" w:hAnsi="宋体" w:cs="宋体"/>
                <w:sz w:val="18"/>
                <w:szCs w:val="18"/>
              </w:rPr>
            </w:pPr>
            <w:r>
              <w:rPr>
                <w:rFonts w:hint="eastAsia" w:ascii="宋体" w:hAnsi="宋体" w:cs="宋体"/>
                <w:sz w:val="18"/>
                <w:szCs w:val="18"/>
              </w:rPr>
              <w:t>社区沟通</w:t>
            </w:r>
          </w:p>
          <w:p>
            <w:pPr>
              <w:autoSpaceDE w:val="0"/>
              <w:autoSpaceDN w:val="0"/>
              <w:spacing w:line="240" w:lineRule="auto"/>
              <w:ind w:left="107" w:right="25"/>
              <w:jc w:val="center"/>
              <w:rPr>
                <w:rFonts w:ascii="宋体" w:hAnsi="宋体" w:cs="宋体"/>
                <w:sz w:val="18"/>
                <w:szCs w:val="18"/>
              </w:rPr>
            </w:pPr>
            <w:r>
              <w:rPr>
                <w:rFonts w:hint="eastAsia" w:ascii="宋体" w:hAnsi="宋体" w:cs="宋体"/>
                <w:sz w:val="18"/>
                <w:szCs w:val="18"/>
              </w:rPr>
              <w:t>（2分）</w:t>
            </w:r>
          </w:p>
        </w:tc>
        <w:tc>
          <w:tcPr>
            <w:tcW w:w="2551"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与社区保持良好沟通，一年内至少组织一次社区志愿服务工作或在社区有需要时能够及时为社区服务（2分）</w:t>
            </w:r>
          </w:p>
        </w:tc>
        <w:tc>
          <w:tcPr>
            <w:tcW w:w="3674" w:type="dxa"/>
            <w:shd w:val="clear" w:color="auto" w:fill="auto"/>
            <w:vAlign w:val="center"/>
          </w:tcPr>
          <w:p>
            <w:pPr>
              <w:autoSpaceDE w:val="0"/>
              <w:autoSpaceDN w:val="0"/>
              <w:spacing w:line="240" w:lineRule="auto"/>
              <w:ind w:left="108" w:right="5"/>
              <w:jc w:val="left"/>
              <w:rPr>
                <w:rFonts w:ascii="宋体" w:hAnsi="宋体" w:cs="宋体"/>
                <w:sz w:val="18"/>
                <w:szCs w:val="18"/>
              </w:rPr>
            </w:pPr>
            <w:r>
              <w:rPr>
                <w:rFonts w:hint="eastAsia" w:ascii="宋体" w:hAnsi="宋体" w:cs="宋体"/>
                <w:sz w:val="18"/>
                <w:szCs w:val="18"/>
              </w:rPr>
              <w:t>企业一年内至少组织一次社区志愿服务工作的，得2分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restart"/>
            <w:shd w:val="clear" w:color="auto" w:fill="auto"/>
            <w:vAlign w:val="center"/>
          </w:tcPr>
          <w:p>
            <w:pPr>
              <w:autoSpaceDE w:val="0"/>
              <w:autoSpaceDN w:val="0"/>
              <w:spacing w:line="260" w:lineRule="exact"/>
              <w:ind w:left="107" w:right="25"/>
              <w:jc w:val="center"/>
              <w:rPr>
                <w:rFonts w:ascii="宋体" w:hAnsi="宋体" w:cs="宋体"/>
                <w:sz w:val="18"/>
                <w:szCs w:val="18"/>
              </w:rPr>
            </w:pPr>
            <w:r>
              <w:rPr>
                <w:rFonts w:hint="eastAsia" w:ascii="宋体" w:hAnsi="宋体" w:cs="宋体"/>
                <w:sz w:val="18"/>
                <w:szCs w:val="18"/>
              </w:rPr>
              <w:t>社区公益服务（4分）</w:t>
            </w:r>
          </w:p>
        </w:tc>
        <w:tc>
          <w:tcPr>
            <w:tcW w:w="2551"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参与社区的绿色环保、敬老等公益活动，一年内至少参与三次社区组织的公益活动（2分）</w:t>
            </w:r>
          </w:p>
        </w:tc>
        <w:tc>
          <w:tcPr>
            <w:tcW w:w="3674" w:type="dxa"/>
            <w:shd w:val="clear" w:color="auto" w:fill="auto"/>
            <w:vAlign w:val="center"/>
          </w:tcPr>
          <w:p>
            <w:pPr>
              <w:autoSpaceDE w:val="0"/>
              <w:autoSpaceDN w:val="0"/>
              <w:spacing w:before="135" w:line="240" w:lineRule="auto"/>
              <w:ind w:left="108"/>
              <w:jc w:val="left"/>
              <w:rPr>
                <w:rFonts w:ascii="宋体" w:hAnsi="宋体" w:cs="宋体"/>
                <w:sz w:val="18"/>
                <w:szCs w:val="18"/>
              </w:rPr>
            </w:pPr>
            <w:r>
              <w:rPr>
                <w:rFonts w:hint="eastAsia" w:ascii="宋体" w:hAnsi="宋体" w:cs="宋体"/>
                <w:sz w:val="18"/>
                <w:szCs w:val="18"/>
              </w:rPr>
              <w:t>企业一年内至少参与三次社区组织的公益活动的，得2分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pStyle w:val="181"/>
            </w:pPr>
          </w:p>
        </w:tc>
        <w:tc>
          <w:tcPr>
            <w:tcW w:w="2551"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对于员工参与社区服务活动予以奖励（2分）</w:t>
            </w:r>
          </w:p>
        </w:tc>
        <w:tc>
          <w:tcPr>
            <w:tcW w:w="3674" w:type="dxa"/>
            <w:shd w:val="clear" w:color="auto" w:fill="auto"/>
            <w:vAlign w:val="center"/>
          </w:tcPr>
          <w:p>
            <w:pPr>
              <w:autoSpaceDE w:val="0"/>
              <w:autoSpaceDN w:val="0"/>
              <w:spacing w:before="135" w:line="240" w:lineRule="auto"/>
              <w:ind w:left="108"/>
              <w:jc w:val="left"/>
              <w:rPr>
                <w:rFonts w:ascii="宋体" w:hAnsi="宋体" w:cs="宋体"/>
                <w:sz w:val="18"/>
                <w:szCs w:val="18"/>
              </w:rPr>
            </w:pPr>
            <w:r>
              <w:rPr>
                <w:rFonts w:hint="eastAsia" w:ascii="宋体" w:hAnsi="宋体" w:cs="宋体"/>
                <w:sz w:val="18"/>
                <w:szCs w:val="18"/>
              </w:rPr>
              <w:t>企业针对参与公益服务活动的员工制定奖励措施的，得2分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shd w:val="clear" w:color="auto" w:fill="auto"/>
            <w:vAlign w:val="center"/>
          </w:tcPr>
          <w:p>
            <w:pPr>
              <w:autoSpaceDE w:val="0"/>
              <w:autoSpaceDN w:val="0"/>
              <w:spacing w:line="240" w:lineRule="auto"/>
              <w:ind w:left="107" w:right="25"/>
              <w:jc w:val="center"/>
              <w:rPr>
                <w:rFonts w:ascii="宋体" w:hAnsi="宋体" w:cs="宋体"/>
                <w:sz w:val="18"/>
                <w:szCs w:val="18"/>
              </w:rPr>
            </w:pPr>
            <w:r>
              <w:rPr>
                <w:rFonts w:hint="eastAsia" w:ascii="宋体" w:hAnsi="宋体" w:cs="宋体"/>
                <w:sz w:val="18"/>
                <w:szCs w:val="18"/>
              </w:rPr>
              <w:t>中小企业帮扶（4分）</w:t>
            </w:r>
          </w:p>
        </w:tc>
        <w:tc>
          <w:tcPr>
            <w:tcW w:w="2551" w:type="dxa"/>
            <w:shd w:val="clear" w:color="auto" w:fill="auto"/>
            <w:vAlign w:val="center"/>
          </w:tcPr>
          <w:p>
            <w:pPr>
              <w:autoSpaceDE w:val="0"/>
              <w:autoSpaceDN w:val="0"/>
              <w:spacing w:line="240" w:lineRule="auto"/>
              <w:ind w:left="107" w:right="25"/>
              <w:jc w:val="left"/>
              <w:rPr>
                <w:rFonts w:ascii="宋体" w:hAnsi="宋体" w:cs="宋体"/>
                <w:sz w:val="18"/>
                <w:szCs w:val="18"/>
              </w:rPr>
            </w:pPr>
            <w:r>
              <w:rPr>
                <w:rFonts w:hint="eastAsia" w:ascii="宋体" w:hAnsi="宋体" w:cs="宋体"/>
                <w:sz w:val="18"/>
                <w:szCs w:val="18"/>
              </w:rPr>
              <w:t>公司有为中小企业提供培训或能力支持的计划（4分）</w:t>
            </w:r>
          </w:p>
        </w:tc>
        <w:tc>
          <w:tcPr>
            <w:tcW w:w="3674" w:type="dxa"/>
            <w:shd w:val="clear" w:color="auto" w:fill="auto"/>
            <w:vAlign w:val="center"/>
          </w:tcPr>
          <w:p>
            <w:pPr>
              <w:autoSpaceDE w:val="0"/>
              <w:autoSpaceDN w:val="0"/>
              <w:spacing w:before="135" w:line="240" w:lineRule="auto"/>
              <w:ind w:left="108"/>
              <w:jc w:val="left"/>
              <w:rPr>
                <w:rFonts w:ascii="宋体" w:hAnsi="宋体" w:cs="宋体"/>
                <w:sz w:val="18"/>
                <w:szCs w:val="18"/>
              </w:rPr>
            </w:pPr>
            <w:r>
              <w:rPr>
                <w:rFonts w:hint="eastAsia" w:ascii="宋体" w:hAnsi="宋体" w:cs="宋体"/>
                <w:sz w:val="18"/>
                <w:szCs w:val="18"/>
              </w:rPr>
              <w:t>企业制定培训、支持中小企业的计划的，得2分；企业在一年内组织至少一次针对中小企业的支持行动的，得4分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7501" w:type="dxa"/>
            <w:gridSpan w:val="3"/>
            <w:shd w:val="clear" w:color="auto" w:fill="auto"/>
            <w:vAlign w:val="center"/>
          </w:tcPr>
          <w:p>
            <w:pPr>
              <w:pStyle w:val="181"/>
            </w:pPr>
            <w:r>
              <w:rPr>
                <w:rFonts w:hint="eastAsia"/>
              </w:rPr>
              <w:t>减分项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3827" w:type="dxa"/>
            <w:gridSpan w:val="2"/>
            <w:shd w:val="clear" w:color="auto" w:fill="auto"/>
            <w:vAlign w:val="center"/>
          </w:tcPr>
          <w:p>
            <w:pPr>
              <w:autoSpaceDE w:val="0"/>
              <w:autoSpaceDN w:val="0"/>
              <w:spacing w:before="37" w:line="240" w:lineRule="auto"/>
              <w:ind w:left="107"/>
              <w:jc w:val="left"/>
              <w:rPr>
                <w:rFonts w:ascii="宋体" w:hAnsi="宋体" w:cs="宋体"/>
                <w:sz w:val="18"/>
                <w:szCs w:val="18"/>
              </w:rPr>
            </w:pPr>
            <w:r>
              <w:rPr>
                <w:rFonts w:hint="eastAsia" w:ascii="宋体" w:hAnsi="宋体" w:cs="宋体"/>
                <w:sz w:val="18"/>
                <w:szCs w:val="18"/>
              </w:rPr>
              <w:t>因社区管理受到行政/刑事处罚或发生被省级媒体报道的重大负面事件（</w:t>
            </w:r>
            <w:r>
              <w:rPr>
                <w:rFonts w:ascii="宋体" w:hAnsi="宋体" w:cs="宋体"/>
                <w:sz w:val="18"/>
                <w:szCs w:val="18"/>
              </w:rPr>
              <w:t>10</w:t>
            </w:r>
            <w:r>
              <w:rPr>
                <w:rFonts w:hint="eastAsia" w:ascii="宋体" w:hAnsi="宋体" w:cs="宋体"/>
                <w:sz w:val="18"/>
                <w:szCs w:val="18"/>
              </w:rPr>
              <w:t>分）</w:t>
            </w:r>
          </w:p>
        </w:tc>
        <w:tc>
          <w:tcPr>
            <w:tcW w:w="3674" w:type="dxa"/>
            <w:shd w:val="clear" w:color="auto" w:fill="auto"/>
            <w:vAlign w:val="center"/>
          </w:tcPr>
          <w:p>
            <w:pPr>
              <w:autoSpaceDE w:val="0"/>
              <w:autoSpaceDN w:val="0"/>
              <w:spacing w:line="240" w:lineRule="auto"/>
              <w:ind w:left="108"/>
              <w:jc w:val="left"/>
              <w:rPr>
                <w:rFonts w:ascii="宋体" w:hAnsi="宋体" w:cs="宋体"/>
                <w:sz w:val="18"/>
                <w:szCs w:val="18"/>
              </w:rPr>
            </w:pPr>
            <w:r>
              <w:rPr>
                <w:rFonts w:hint="eastAsia" w:ascii="宋体" w:hAnsi="宋体" w:cs="宋体"/>
                <w:sz w:val="18"/>
                <w:szCs w:val="18"/>
              </w:rPr>
              <w:t>企业因社区管理受到行政处罚的，受到行政处罚的，每次处罚减5分；受到刑事处罚的，每次处罚减10分；负面事件被省级以上媒体报道的，减5分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restart"/>
            <w:shd w:val="clear" w:color="auto" w:fill="auto"/>
            <w:vAlign w:val="center"/>
          </w:tcPr>
          <w:p>
            <w:pPr>
              <w:pStyle w:val="181"/>
            </w:pPr>
            <w:r>
              <w:rPr>
                <w:rFonts w:hint="eastAsia" w:hAnsi="宋体" w:cs="宋体"/>
                <w:bCs/>
                <w:color w:val="000000"/>
                <w:szCs w:val="18"/>
              </w:rPr>
              <w:t>产品质量与服务质量</w:t>
            </w:r>
            <w:r>
              <w:rPr>
                <w:rFonts w:hAnsi="宋体" w:cs="宋体"/>
                <w:bCs/>
                <w:color w:val="000000"/>
                <w:szCs w:val="18"/>
              </w:rPr>
              <w:t xml:space="preserve"> </w:t>
            </w:r>
            <w:r>
              <w:rPr>
                <w:rFonts w:hAnsi="宋体" w:cs="宋体"/>
                <w:bCs/>
                <w:color w:val="000000"/>
                <w:spacing w:val="1"/>
                <w:w w:val="99"/>
                <w:szCs w:val="18"/>
              </w:rPr>
              <w:t>（</w:t>
            </w:r>
            <w:r>
              <w:rPr>
                <w:rFonts w:hint="eastAsia" w:hAnsi="宋体" w:cs="宋体"/>
                <w:bCs/>
                <w:color w:val="000000"/>
                <w:spacing w:val="-5"/>
                <w:w w:val="105"/>
                <w:szCs w:val="18"/>
              </w:rPr>
              <w:t>20</w:t>
            </w:r>
            <w:r>
              <w:rPr>
                <w:rFonts w:hint="eastAsia" w:hAnsi="宋体" w:cs="宋体"/>
                <w:bCs/>
                <w:color w:val="000000"/>
                <w:w w:val="99"/>
                <w:szCs w:val="18"/>
              </w:rPr>
              <w:t xml:space="preserve"> </w:t>
            </w:r>
            <w:r>
              <w:rPr>
                <w:rFonts w:hAnsi="宋体" w:cs="宋体"/>
                <w:bCs/>
                <w:color w:val="000000"/>
                <w:spacing w:val="11"/>
                <w:w w:val="94"/>
                <w:szCs w:val="18"/>
              </w:rPr>
              <w:t>分</w:t>
            </w:r>
            <w:r>
              <w:rPr>
                <w:rFonts w:hAnsi="宋体" w:cs="宋体"/>
                <w:bCs/>
                <w:color w:val="000000"/>
                <w:spacing w:val="-6"/>
                <w:w w:val="97"/>
                <w:szCs w:val="18"/>
              </w:rPr>
              <w:t>）</w:t>
            </w:r>
          </w:p>
        </w:tc>
        <w:tc>
          <w:tcPr>
            <w:tcW w:w="1276" w:type="dxa"/>
            <w:vMerge w:val="restart"/>
            <w:shd w:val="clear" w:color="auto" w:fill="auto"/>
            <w:vAlign w:val="center"/>
          </w:tcPr>
          <w:p>
            <w:pPr>
              <w:pStyle w:val="181"/>
            </w:pPr>
            <w:r>
              <w:rPr>
                <w:rFonts w:hint="eastAsia" w:hAnsi="宋体" w:cs="宋体"/>
                <w:szCs w:val="18"/>
              </w:rPr>
              <w:t>用户权益保护（1</w:t>
            </w:r>
            <w:r>
              <w:rPr>
                <w:rFonts w:hAnsi="宋体" w:cs="宋体"/>
                <w:szCs w:val="18"/>
              </w:rPr>
              <w:t>7</w:t>
            </w:r>
            <w:r>
              <w:rPr>
                <w:rFonts w:hint="eastAsia" w:hAnsi="宋体" w:cs="宋体"/>
                <w:szCs w:val="18"/>
              </w:rPr>
              <w:t>分）</w:t>
            </w:r>
          </w:p>
        </w:tc>
        <w:tc>
          <w:tcPr>
            <w:tcW w:w="2551"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制定了专门的产品/服务透明机制保护用户知情权，例如：如涉及算法的，依法构建透明的算法运行机制并向消费者说明该等机制（3分）</w:t>
            </w:r>
          </w:p>
        </w:tc>
        <w:tc>
          <w:tcPr>
            <w:tcW w:w="3674" w:type="dxa"/>
            <w:shd w:val="clear" w:color="auto" w:fill="auto"/>
            <w:vAlign w:val="center"/>
          </w:tcPr>
          <w:p>
            <w:pPr>
              <w:autoSpaceDE w:val="0"/>
              <w:autoSpaceDN w:val="0"/>
              <w:spacing w:line="240" w:lineRule="auto"/>
              <w:ind w:left="108" w:right="5"/>
              <w:jc w:val="left"/>
              <w:rPr>
                <w:rFonts w:ascii="宋体" w:hAnsi="宋体" w:cs="宋体"/>
                <w:sz w:val="18"/>
                <w:szCs w:val="18"/>
              </w:rPr>
            </w:pPr>
            <w:r>
              <w:rPr>
                <w:rFonts w:hint="eastAsia" w:ascii="宋体" w:hAnsi="宋体" w:cs="宋体"/>
                <w:sz w:val="18"/>
                <w:szCs w:val="18"/>
              </w:rPr>
              <w:t>企业制定并运行了专门的产品/服务透明机制保护用户知情权的，得3分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pStyle w:val="181"/>
            </w:pPr>
          </w:p>
        </w:tc>
        <w:tc>
          <w:tcPr>
            <w:tcW w:w="2551" w:type="dxa"/>
            <w:shd w:val="clear" w:color="auto" w:fill="auto"/>
            <w:vAlign w:val="center"/>
          </w:tcPr>
          <w:p>
            <w:pPr>
              <w:autoSpaceDE w:val="0"/>
              <w:autoSpaceDN w:val="0"/>
              <w:spacing w:line="240" w:lineRule="auto"/>
              <w:ind w:left="109" w:right="5"/>
              <w:jc w:val="left"/>
              <w:rPr>
                <w:rFonts w:ascii="宋体" w:hAnsi="宋体" w:cs="宋体"/>
                <w:sz w:val="18"/>
                <w:szCs w:val="18"/>
              </w:rPr>
            </w:pPr>
            <w:r>
              <w:rPr>
                <w:rFonts w:hint="eastAsia" w:ascii="宋体" w:hAnsi="宋体" w:cs="宋体"/>
                <w:sz w:val="18"/>
                <w:szCs w:val="18"/>
              </w:rPr>
              <w:t>制定了专门的产品/服务质量保障政策以监测、识别和处置平台中的假冒伪劣产品/服务、涉及虚假宣传等的产品/服务（3分）</w:t>
            </w:r>
          </w:p>
        </w:tc>
        <w:tc>
          <w:tcPr>
            <w:tcW w:w="3674" w:type="dxa"/>
            <w:shd w:val="clear" w:color="auto" w:fill="auto"/>
            <w:vAlign w:val="center"/>
          </w:tcPr>
          <w:p>
            <w:pPr>
              <w:autoSpaceDE w:val="0"/>
              <w:autoSpaceDN w:val="0"/>
              <w:spacing w:line="240" w:lineRule="auto"/>
              <w:ind w:left="108" w:right="5"/>
              <w:jc w:val="left"/>
              <w:rPr>
                <w:rFonts w:ascii="宋体" w:hAnsi="宋体" w:cs="宋体"/>
                <w:sz w:val="18"/>
                <w:szCs w:val="18"/>
              </w:rPr>
            </w:pPr>
            <w:r>
              <w:rPr>
                <w:rFonts w:hint="eastAsia" w:ascii="宋体" w:hAnsi="宋体" w:cs="宋体"/>
                <w:sz w:val="18"/>
                <w:szCs w:val="18"/>
              </w:rPr>
              <w:t>企业制定了专门的产品/服务质量保障政策的，得3分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pStyle w:val="181"/>
            </w:pPr>
          </w:p>
        </w:tc>
        <w:tc>
          <w:tcPr>
            <w:tcW w:w="2551" w:type="dxa"/>
            <w:shd w:val="clear" w:color="auto" w:fill="auto"/>
            <w:vAlign w:val="center"/>
          </w:tcPr>
          <w:p>
            <w:pPr>
              <w:autoSpaceDE w:val="0"/>
              <w:autoSpaceDN w:val="0"/>
              <w:spacing w:line="240" w:lineRule="auto"/>
              <w:ind w:left="109" w:right="5"/>
              <w:jc w:val="left"/>
              <w:rPr>
                <w:rFonts w:ascii="宋体" w:hAnsi="宋体" w:cs="宋体"/>
                <w:sz w:val="18"/>
                <w:szCs w:val="18"/>
              </w:rPr>
            </w:pPr>
            <w:r>
              <w:rPr>
                <w:rFonts w:hint="eastAsia" w:ascii="宋体" w:hAnsi="宋体" w:cs="宋体"/>
                <w:sz w:val="18"/>
                <w:szCs w:val="18"/>
              </w:rPr>
              <w:t>制定了专门的政策以监测、识别和处置平台中的欺诈行为（3分）</w:t>
            </w:r>
          </w:p>
        </w:tc>
        <w:tc>
          <w:tcPr>
            <w:tcW w:w="3674" w:type="dxa"/>
            <w:shd w:val="clear" w:color="auto" w:fill="auto"/>
            <w:vAlign w:val="center"/>
          </w:tcPr>
          <w:p>
            <w:pPr>
              <w:autoSpaceDE w:val="0"/>
              <w:autoSpaceDN w:val="0"/>
              <w:spacing w:line="240" w:lineRule="auto"/>
              <w:ind w:left="108" w:right="5"/>
              <w:jc w:val="left"/>
              <w:rPr>
                <w:rFonts w:ascii="宋体" w:hAnsi="宋体" w:cs="宋体"/>
                <w:sz w:val="18"/>
                <w:szCs w:val="18"/>
              </w:rPr>
            </w:pPr>
            <w:r>
              <w:rPr>
                <w:rFonts w:hint="eastAsia" w:ascii="宋体" w:hAnsi="宋体" w:cs="宋体"/>
                <w:sz w:val="18"/>
                <w:szCs w:val="18"/>
              </w:rPr>
              <w:t>企业制定了专门的政策以监测、识别和处置平台中的欺诈行为的，得3分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pStyle w:val="181"/>
            </w:pPr>
          </w:p>
        </w:tc>
        <w:tc>
          <w:tcPr>
            <w:tcW w:w="2551" w:type="dxa"/>
            <w:shd w:val="clear" w:color="auto" w:fill="auto"/>
            <w:vAlign w:val="center"/>
          </w:tcPr>
          <w:p>
            <w:pPr>
              <w:autoSpaceDE w:val="0"/>
              <w:autoSpaceDN w:val="0"/>
              <w:spacing w:line="240" w:lineRule="auto"/>
              <w:ind w:left="109" w:right="5"/>
              <w:jc w:val="left"/>
              <w:rPr>
                <w:rFonts w:ascii="宋体" w:hAnsi="宋体" w:cs="宋体"/>
                <w:sz w:val="18"/>
                <w:szCs w:val="18"/>
              </w:rPr>
            </w:pPr>
            <w:r>
              <w:rPr>
                <w:rFonts w:hint="eastAsia" w:ascii="宋体" w:hAnsi="宋体" w:cs="宋体"/>
                <w:sz w:val="18"/>
                <w:szCs w:val="18"/>
              </w:rPr>
              <w:t>制定了专门的政策以监测、识别和处置平台中的不良信息和内容（3分）</w:t>
            </w:r>
          </w:p>
        </w:tc>
        <w:tc>
          <w:tcPr>
            <w:tcW w:w="3674" w:type="dxa"/>
            <w:shd w:val="clear" w:color="auto" w:fill="auto"/>
            <w:vAlign w:val="center"/>
          </w:tcPr>
          <w:p>
            <w:pPr>
              <w:autoSpaceDE w:val="0"/>
              <w:autoSpaceDN w:val="0"/>
              <w:spacing w:line="240" w:lineRule="auto"/>
              <w:ind w:left="108" w:right="5"/>
              <w:jc w:val="left"/>
              <w:rPr>
                <w:rFonts w:ascii="宋体" w:hAnsi="宋体" w:cs="宋体"/>
                <w:sz w:val="18"/>
                <w:szCs w:val="18"/>
              </w:rPr>
            </w:pPr>
            <w:r>
              <w:rPr>
                <w:rFonts w:hint="eastAsia" w:ascii="宋体" w:hAnsi="宋体" w:cs="宋体"/>
                <w:sz w:val="18"/>
                <w:szCs w:val="18"/>
              </w:rPr>
              <w:t>企业制定了专门的政策以监测、识别和处置平台中的不良信息和内容的，得3分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pStyle w:val="181"/>
            </w:pPr>
          </w:p>
        </w:tc>
        <w:tc>
          <w:tcPr>
            <w:tcW w:w="2551" w:type="dxa"/>
            <w:shd w:val="clear" w:color="auto" w:fill="auto"/>
            <w:vAlign w:val="center"/>
          </w:tcPr>
          <w:p>
            <w:pPr>
              <w:autoSpaceDE w:val="0"/>
              <w:autoSpaceDN w:val="0"/>
              <w:spacing w:line="240" w:lineRule="auto"/>
              <w:ind w:left="109" w:right="5"/>
              <w:jc w:val="left"/>
              <w:rPr>
                <w:rFonts w:ascii="宋体" w:hAnsi="宋体" w:cs="宋体"/>
                <w:sz w:val="18"/>
                <w:szCs w:val="18"/>
              </w:rPr>
            </w:pPr>
            <w:r>
              <w:rPr>
                <w:rFonts w:hint="eastAsia" w:ascii="宋体" w:hAnsi="宋体" w:cs="宋体"/>
                <w:sz w:val="18"/>
                <w:szCs w:val="18"/>
              </w:rPr>
              <w:t>对用户关于产品质量/服务质量的投诉在法律法规规定的时限内反馈和处理完成（3分）</w:t>
            </w:r>
          </w:p>
        </w:tc>
        <w:tc>
          <w:tcPr>
            <w:tcW w:w="3674" w:type="dxa"/>
            <w:shd w:val="clear" w:color="auto" w:fill="auto"/>
            <w:vAlign w:val="center"/>
          </w:tcPr>
          <w:p>
            <w:pPr>
              <w:autoSpaceDE w:val="0"/>
              <w:autoSpaceDN w:val="0"/>
              <w:spacing w:line="240" w:lineRule="auto"/>
              <w:ind w:left="108" w:right="5"/>
              <w:jc w:val="left"/>
              <w:rPr>
                <w:rFonts w:ascii="宋体" w:hAnsi="宋体" w:cs="宋体"/>
                <w:sz w:val="18"/>
                <w:szCs w:val="18"/>
              </w:rPr>
            </w:pPr>
            <w:r>
              <w:rPr>
                <w:rFonts w:hint="eastAsia" w:ascii="宋体" w:hAnsi="宋体" w:cs="宋体"/>
                <w:sz w:val="18"/>
                <w:szCs w:val="18"/>
              </w:rPr>
              <w:t>企业在法律法规规定的时限内完成用户关于产品质量/服务质量的投诉的，得3分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pStyle w:val="181"/>
            </w:pPr>
          </w:p>
        </w:tc>
        <w:tc>
          <w:tcPr>
            <w:tcW w:w="2551" w:type="dxa"/>
            <w:shd w:val="clear" w:color="auto" w:fill="auto"/>
            <w:vAlign w:val="center"/>
          </w:tcPr>
          <w:p>
            <w:pPr>
              <w:autoSpaceDE w:val="0"/>
              <w:autoSpaceDN w:val="0"/>
              <w:spacing w:line="240" w:lineRule="auto"/>
              <w:ind w:left="109" w:right="5"/>
              <w:jc w:val="left"/>
              <w:rPr>
                <w:rFonts w:ascii="宋体" w:hAnsi="宋体" w:cs="宋体"/>
                <w:sz w:val="18"/>
                <w:szCs w:val="18"/>
              </w:rPr>
            </w:pPr>
            <w:r>
              <w:rPr>
                <w:rFonts w:hint="eastAsia" w:ascii="宋体" w:hAnsi="宋体" w:cs="宋体"/>
                <w:sz w:val="18"/>
                <w:szCs w:val="18"/>
              </w:rPr>
              <w:t>对上述机制的执行情况开展定期的审计及评估（</w:t>
            </w:r>
            <w:r>
              <w:rPr>
                <w:rFonts w:ascii="宋体" w:hAnsi="宋体" w:cs="宋体"/>
                <w:sz w:val="18"/>
                <w:szCs w:val="18"/>
              </w:rPr>
              <w:t>2</w:t>
            </w:r>
            <w:r>
              <w:rPr>
                <w:rFonts w:hint="eastAsia" w:ascii="宋体" w:hAnsi="宋体" w:cs="宋体"/>
                <w:sz w:val="18"/>
                <w:szCs w:val="18"/>
              </w:rPr>
              <w:t>分）</w:t>
            </w:r>
          </w:p>
        </w:tc>
        <w:tc>
          <w:tcPr>
            <w:tcW w:w="3674" w:type="dxa"/>
            <w:shd w:val="clear" w:color="auto" w:fill="auto"/>
            <w:vAlign w:val="center"/>
          </w:tcPr>
          <w:p>
            <w:pPr>
              <w:autoSpaceDE w:val="0"/>
              <w:autoSpaceDN w:val="0"/>
              <w:spacing w:line="240" w:lineRule="auto"/>
              <w:ind w:left="108" w:right="5"/>
              <w:jc w:val="left"/>
              <w:rPr>
                <w:rFonts w:ascii="宋体" w:hAnsi="宋体" w:cs="宋体"/>
                <w:sz w:val="18"/>
                <w:szCs w:val="18"/>
              </w:rPr>
            </w:pPr>
            <w:r>
              <w:rPr>
                <w:rFonts w:hint="eastAsia" w:ascii="宋体" w:hAnsi="宋体" w:cs="宋体"/>
                <w:sz w:val="18"/>
                <w:szCs w:val="18"/>
              </w:rPr>
              <w:t>企业对上述机制的执行情况开展定期的审计及评估的，得2分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shd w:val="clear" w:color="auto" w:fill="auto"/>
            <w:vAlign w:val="center"/>
          </w:tcPr>
          <w:p>
            <w:pPr>
              <w:pStyle w:val="181"/>
            </w:pPr>
            <w:r>
              <w:rPr>
                <w:rFonts w:hint="eastAsia" w:hAnsi="宋体" w:cs="宋体"/>
                <w:szCs w:val="18"/>
              </w:rPr>
              <w:t>平台内商家管理（3分）</w:t>
            </w:r>
          </w:p>
        </w:tc>
        <w:tc>
          <w:tcPr>
            <w:tcW w:w="2551"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平台经营者建立健全了平台内商家的公平交易制度，破除利用服务协议、交易规则以及技术等手段，对平台内经营者在平台内的交易、交易价格以及与其他经营者的交易等进行不合理限制或者附加不合理条件（3分）</w:t>
            </w:r>
          </w:p>
        </w:tc>
        <w:tc>
          <w:tcPr>
            <w:tcW w:w="3674" w:type="dxa"/>
            <w:shd w:val="clear" w:color="auto" w:fill="auto"/>
            <w:vAlign w:val="center"/>
          </w:tcPr>
          <w:p>
            <w:pPr>
              <w:autoSpaceDE w:val="0"/>
              <w:autoSpaceDN w:val="0"/>
              <w:spacing w:line="240" w:lineRule="auto"/>
              <w:ind w:left="108"/>
              <w:jc w:val="left"/>
              <w:rPr>
                <w:rFonts w:ascii="宋体" w:hAnsi="宋体" w:cs="宋体"/>
                <w:sz w:val="18"/>
                <w:szCs w:val="18"/>
              </w:rPr>
            </w:pPr>
            <w:r>
              <w:rPr>
                <w:rFonts w:hint="eastAsia" w:ascii="宋体" w:hAnsi="宋体" w:cs="宋体"/>
                <w:sz w:val="18"/>
                <w:szCs w:val="18"/>
              </w:rPr>
              <w:t>企业建立健全了平台内商家的公平交易制度的，得3分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7501" w:type="dxa"/>
            <w:gridSpan w:val="3"/>
            <w:shd w:val="clear" w:color="auto" w:fill="auto"/>
            <w:vAlign w:val="center"/>
          </w:tcPr>
          <w:p>
            <w:pPr>
              <w:autoSpaceDE w:val="0"/>
              <w:autoSpaceDN w:val="0"/>
              <w:spacing w:line="240" w:lineRule="auto"/>
              <w:ind w:left="108"/>
              <w:jc w:val="center"/>
              <w:rPr>
                <w:rFonts w:ascii="宋体" w:hAnsi="宋体" w:cs="宋体"/>
                <w:sz w:val="18"/>
                <w:szCs w:val="18"/>
              </w:rPr>
            </w:pPr>
            <w:r>
              <w:rPr>
                <w:rFonts w:hint="eastAsia" w:ascii="宋体" w:hAnsi="宋体" w:cs="宋体"/>
                <w:sz w:val="18"/>
                <w:szCs w:val="18"/>
              </w:rPr>
              <w:t>加分项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3827" w:type="dxa"/>
            <w:gridSpan w:val="2"/>
            <w:shd w:val="clear" w:color="auto" w:fill="auto"/>
            <w:vAlign w:val="center"/>
          </w:tcPr>
          <w:p>
            <w:pPr>
              <w:autoSpaceDE w:val="0"/>
              <w:autoSpaceDN w:val="0"/>
              <w:spacing w:before="37" w:line="240" w:lineRule="auto"/>
              <w:ind w:left="107"/>
              <w:jc w:val="left"/>
              <w:rPr>
                <w:rFonts w:ascii="宋体" w:hAnsi="宋体" w:cs="宋体"/>
                <w:bCs/>
                <w:color w:val="000000"/>
                <w:spacing w:val="5"/>
                <w:w w:val="97"/>
                <w:kern w:val="0"/>
                <w:sz w:val="18"/>
                <w:szCs w:val="18"/>
              </w:rPr>
            </w:pPr>
            <w:r>
              <w:rPr>
                <w:rFonts w:hint="eastAsia" w:ascii="宋体" w:hAnsi="宋体" w:cs="宋体"/>
                <w:sz w:val="18"/>
                <w:szCs w:val="18"/>
              </w:rPr>
              <w:t>积极开展黑灰产打击、违法犯罪打击工作，并取得成果（</w:t>
            </w:r>
            <w:r>
              <w:rPr>
                <w:rFonts w:ascii="宋体" w:hAnsi="宋体" w:cs="宋体"/>
                <w:sz w:val="18"/>
                <w:szCs w:val="18"/>
              </w:rPr>
              <w:t>3</w:t>
            </w:r>
            <w:r>
              <w:rPr>
                <w:rFonts w:hint="eastAsia" w:ascii="宋体" w:hAnsi="宋体" w:cs="宋体"/>
                <w:sz w:val="18"/>
                <w:szCs w:val="18"/>
              </w:rPr>
              <w:t>分）</w:t>
            </w:r>
          </w:p>
        </w:tc>
        <w:tc>
          <w:tcPr>
            <w:tcW w:w="3674" w:type="dxa"/>
            <w:shd w:val="clear" w:color="auto" w:fill="auto"/>
            <w:vAlign w:val="center"/>
          </w:tcPr>
          <w:p>
            <w:pPr>
              <w:autoSpaceDE w:val="0"/>
              <w:autoSpaceDN w:val="0"/>
              <w:spacing w:line="240" w:lineRule="auto"/>
              <w:ind w:left="108"/>
              <w:jc w:val="left"/>
              <w:rPr>
                <w:rFonts w:ascii="宋体" w:hAnsi="宋体" w:cs="宋体"/>
                <w:bCs/>
                <w:color w:val="000000"/>
                <w:kern w:val="0"/>
                <w:sz w:val="18"/>
                <w:szCs w:val="18"/>
              </w:rPr>
            </w:pPr>
            <w:r>
              <w:rPr>
                <w:rFonts w:hint="eastAsia" w:ascii="宋体" w:hAnsi="宋体" w:cs="宋体"/>
                <w:bCs/>
                <w:color w:val="000000"/>
                <w:kern w:val="0"/>
                <w:sz w:val="18"/>
                <w:szCs w:val="18"/>
              </w:rPr>
              <w:t>企业研发出黑灰产、违法犯罪检测系统并应用于平台的打击工作的，加5分；企业配合公检法部门破获犯罪案件的，加3分；企业一年内处理100万条以上黑灰产信息、违法犯罪信息的，加3分；企业在黑灰产打击、违法犯罪打击工作中取得其他显著成果的，加3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7501" w:type="dxa"/>
            <w:gridSpan w:val="3"/>
            <w:shd w:val="clear" w:color="auto" w:fill="auto"/>
            <w:vAlign w:val="center"/>
          </w:tcPr>
          <w:p>
            <w:pPr>
              <w:autoSpaceDE w:val="0"/>
              <w:autoSpaceDN w:val="0"/>
              <w:spacing w:line="240" w:lineRule="auto"/>
              <w:ind w:left="108"/>
              <w:jc w:val="center"/>
              <w:rPr>
                <w:rFonts w:ascii="宋体" w:hAnsi="宋体" w:cs="宋体"/>
                <w:sz w:val="18"/>
                <w:szCs w:val="18"/>
              </w:rPr>
            </w:pPr>
            <w:r>
              <w:rPr>
                <w:rFonts w:hint="eastAsia" w:ascii="宋体" w:hAnsi="宋体" w:cs="宋体"/>
                <w:sz w:val="18"/>
                <w:szCs w:val="18"/>
              </w:rPr>
              <w:t>减分项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3827" w:type="dxa"/>
            <w:gridSpan w:val="2"/>
            <w:shd w:val="clear" w:color="auto" w:fill="auto"/>
            <w:vAlign w:val="center"/>
          </w:tcPr>
          <w:p>
            <w:pPr>
              <w:autoSpaceDE w:val="0"/>
              <w:autoSpaceDN w:val="0"/>
              <w:spacing w:before="37" w:line="240" w:lineRule="auto"/>
              <w:ind w:left="107"/>
              <w:jc w:val="left"/>
              <w:rPr>
                <w:rFonts w:ascii="宋体" w:hAnsi="宋体" w:cs="宋体"/>
                <w:bCs/>
                <w:color w:val="000000"/>
                <w:spacing w:val="5"/>
                <w:w w:val="97"/>
                <w:kern w:val="0"/>
                <w:sz w:val="18"/>
                <w:szCs w:val="18"/>
              </w:rPr>
            </w:pPr>
            <w:r>
              <w:rPr>
                <w:rFonts w:ascii="宋体" w:hAnsi="宋体" w:cs="宋体"/>
                <w:sz w:val="18"/>
                <w:szCs w:val="18"/>
              </w:rPr>
              <w:t>因产品/服务安全和质量问题受到行政/刑事处罚或发生被省级媒体报道的重大</w:t>
            </w:r>
            <w:r>
              <w:rPr>
                <w:rFonts w:hint="eastAsia" w:ascii="宋体" w:hAnsi="宋体" w:cs="宋体"/>
                <w:sz w:val="18"/>
                <w:szCs w:val="18"/>
              </w:rPr>
              <w:t>负面</w:t>
            </w:r>
            <w:r>
              <w:rPr>
                <w:rFonts w:ascii="宋体" w:hAnsi="宋体" w:cs="宋体"/>
                <w:sz w:val="18"/>
                <w:szCs w:val="18"/>
              </w:rPr>
              <w:t>事件</w:t>
            </w:r>
            <w:r>
              <w:rPr>
                <w:rFonts w:hint="eastAsia" w:ascii="宋体" w:hAnsi="宋体" w:cs="宋体"/>
                <w:sz w:val="18"/>
                <w:szCs w:val="18"/>
              </w:rPr>
              <w:t>（</w:t>
            </w:r>
            <w:r>
              <w:rPr>
                <w:rFonts w:ascii="宋体" w:hAnsi="宋体" w:cs="宋体"/>
                <w:sz w:val="18"/>
                <w:szCs w:val="18"/>
              </w:rPr>
              <w:t>10</w:t>
            </w:r>
            <w:r>
              <w:rPr>
                <w:rFonts w:hint="eastAsia" w:ascii="宋体" w:hAnsi="宋体" w:cs="宋体"/>
                <w:sz w:val="18"/>
                <w:szCs w:val="18"/>
              </w:rPr>
              <w:t>分）</w:t>
            </w:r>
          </w:p>
        </w:tc>
        <w:tc>
          <w:tcPr>
            <w:tcW w:w="3674" w:type="dxa"/>
            <w:shd w:val="clear" w:color="auto" w:fill="auto"/>
            <w:vAlign w:val="center"/>
          </w:tcPr>
          <w:p>
            <w:pPr>
              <w:autoSpaceDE w:val="0"/>
              <w:autoSpaceDN w:val="0"/>
              <w:spacing w:line="240" w:lineRule="auto"/>
              <w:ind w:left="108"/>
              <w:jc w:val="left"/>
              <w:rPr>
                <w:rFonts w:ascii="宋体" w:hAnsi="宋体" w:cs="宋体"/>
                <w:bCs/>
                <w:color w:val="000000"/>
                <w:kern w:val="0"/>
                <w:sz w:val="18"/>
                <w:szCs w:val="18"/>
              </w:rPr>
            </w:pPr>
            <w:r>
              <w:rPr>
                <w:rFonts w:hint="eastAsia" w:ascii="宋体" w:hAnsi="宋体" w:cs="宋体"/>
                <w:bCs/>
                <w:color w:val="000000"/>
                <w:kern w:val="0"/>
                <w:sz w:val="18"/>
                <w:szCs w:val="18"/>
              </w:rPr>
              <w:t>企业因产品/服务安全或质量问题受到行政处罚的，受到行政处罚的，每次处罚减5分；受到刑事处罚的，每次处罚减10分；负面事件被省级以上媒体报道的，减5分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restart"/>
            <w:shd w:val="clear" w:color="auto" w:fill="auto"/>
            <w:vAlign w:val="center"/>
          </w:tcPr>
          <w:p>
            <w:pPr>
              <w:pStyle w:val="181"/>
            </w:pPr>
            <w:r>
              <w:rPr>
                <w:rFonts w:hint="eastAsia" w:hAnsi="宋体" w:cs="宋体"/>
                <w:szCs w:val="18"/>
              </w:rPr>
              <w:t>企业对外投资（1</w:t>
            </w:r>
            <w:r>
              <w:rPr>
                <w:rFonts w:hAnsi="宋体" w:cs="宋体"/>
                <w:szCs w:val="18"/>
              </w:rPr>
              <w:t>0</w:t>
            </w:r>
            <w:r>
              <w:rPr>
                <w:rFonts w:hint="eastAsia" w:hAnsi="宋体" w:cs="宋体"/>
                <w:szCs w:val="18"/>
              </w:rPr>
              <w:t>分）</w:t>
            </w:r>
          </w:p>
        </w:tc>
        <w:tc>
          <w:tcPr>
            <w:tcW w:w="1276" w:type="dxa"/>
            <w:shd w:val="clear" w:color="auto" w:fill="auto"/>
            <w:vAlign w:val="center"/>
          </w:tcPr>
          <w:p>
            <w:pPr>
              <w:autoSpaceDE w:val="0"/>
              <w:autoSpaceDN w:val="0"/>
              <w:spacing w:line="240" w:lineRule="auto"/>
              <w:ind w:right="25"/>
              <w:jc w:val="center"/>
              <w:rPr>
                <w:rFonts w:ascii="宋体" w:hAnsi="宋体" w:cs="宋体"/>
                <w:sz w:val="18"/>
                <w:szCs w:val="18"/>
              </w:rPr>
            </w:pPr>
            <w:r>
              <w:rPr>
                <w:rFonts w:hint="eastAsia" w:ascii="宋体" w:hAnsi="宋体" w:cs="宋体"/>
                <w:sz w:val="18"/>
                <w:szCs w:val="18"/>
              </w:rPr>
              <w:t>政策倡导型投资（5分）</w:t>
            </w:r>
          </w:p>
        </w:tc>
        <w:tc>
          <w:tcPr>
            <w:tcW w:w="2551" w:type="dxa"/>
            <w:shd w:val="clear" w:color="auto" w:fill="auto"/>
            <w:vAlign w:val="center"/>
          </w:tcPr>
          <w:p>
            <w:pPr>
              <w:autoSpaceDE w:val="0"/>
              <w:autoSpaceDN w:val="0"/>
              <w:spacing w:line="240" w:lineRule="auto"/>
              <w:jc w:val="left"/>
              <w:rPr>
                <w:rFonts w:ascii="宋体" w:hAnsi="宋体" w:cs="宋体"/>
                <w:sz w:val="18"/>
                <w:szCs w:val="18"/>
              </w:rPr>
            </w:pPr>
            <w:r>
              <w:rPr>
                <w:rFonts w:hint="eastAsia" w:ascii="宋体" w:hAnsi="宋体" w:cs="宋体"/>
                <w:sz w:val="18"/>
                <w:szCs w:val="18"/>
              </w:rPr>
              <w:t>投资领域符合国家法律和政策的倡导和要求，1年内至少对国家倡导行业进行过1次投资（5分）</w:t>
            </w:r>
          </w:p>
        </w:tc>
        <w:tc>
          <w:tcPr>
            <w:tcW w:w="3674" w:type="dxa"/>
            <w:shd w:val="clear" w:color="auto" w:fill="auto"/>
            <w:vAlign w:val="center"/>
          </w:tcPr>
          <w:p>
            <w:pPr>
              <w:autoSpaceDE w:val="0"/>
              <w:autoSpaceDN w:val="0"/>
              <w:spacing w:line="240" w:lineRule="auto"/>
              <w:ind w:left="108"/>
              <w:jc w:val="left"/>
              <w:rPr>
                <w:rFonts w:ascii="宋体" w:hAnsi="宋体" w:cs="宋体"/>
                <w:sz w:val="18"/>
                <w:szCs w:val="18"/>
              </w:rPr>
            </w:pPr>
            <w:r>
              <w:rPr>
                <w:rFonts w:hint="eastAsia" w:ascii="宋体" w:hAnsi="宋体" w:cs="宋体"/>
                <w:sz w:val="18"/>
                <w:szCs w:val="18"/>
              </w:rPr>
              <w:t>企业1年内至少对国家倡导行业进行过1次投资的，得</w:t>
            </w:r>
            <w:r>
              <w:rPr>
                <w:rFonts w:ascii="宋体" w:hAnsi="宋体" w:cs="宋体"/>
                <w:sz w:val="18"/>
                <w:szCs w:val="18"/>
              </w:rPr>
              <w:t>5</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shd w:val="clear" w:color="auto" w:fill="auto"/>
            <w:vAlign w:val="center"/>
          </w:tcPr>
          <w:p>
            <w:pPr>
              <w:autoSpaceDE w:val="0"/>
              <w:autoSpaceDN w:val="0"/>
              <w:spacing w:line="240" w:lineRule="auto"/>
              <w:ind w:left="107" w:right="25"/>
              <w:jc w:val="center"/>
              <w:rPr>
                <w:rFonts w:ascii="宋体" w:hAnsi="宋体" w:cs="宋体"/>
                <w:sz w:val="18"/>
                <w:szCs w:val="18"/>
              </w:rPr>
            </w:pPr>
            <w:r>
              <w:rPr>
                <w:rFonts w:hint="eastAsia" w:ascii="宋体" w:hAnsi="宋体" w:cs="宋体"/>
                <w:sz w:val="18"/>
                <w:szCs w:val="18"/>
              </w:rPr>
              <w:t>企业帮扶</w:t>
            </w:r>
          </w:p>
          <w:p>
            <w:pPr>
              <w:autoSpaceDE w:val="0"/>
              <w:autoSpaceDN w:val="0"/>
              <w:spacing w:line="240" w:lineRule="auto"/>
              <w:ind w:left="107" w:right="25"/>
              <w:jc w:val="center"/>
              <w:rPr>
                <w:rFonts w:ascii="宋体" w:hAnsi="宋体" w:cs="宋体"/>
                <w:sz w:val="18"/>
                <w:szCs w:val="18"/>
              </w:rPr>
            </w:pPr>
            <w:r>
              <w:rPr>
                <w:rFonts w:hint="eastAsia" w:ascii="宋体" w:hAnsi="宋体" w:cs="宋体"/>
                <w:sz w:val="18"/>
                <w:szCs w:val="18"/>
              </w:rPr>
              <w:t>（5分）</w:t>
            </w:r>
          </w:p>
        </w:tc>
        <w:tc>
          <w:tcPr>
            <w:tcW w:w="2551"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对政策要求的需要帮扶的企业予以帮助，1年内至少帮扶1家企业（5分）</w:t>
            </w:r>
          </w:p>
        </w:tc>
        <w:tc>
          <w:tcPr>
            <w:tcW w:w="3674" w:type="dxa"/>
            <w:shd w:val="clear" w:color="auto" w:fill="auto"/>
            <w:vAlign w:val="center"/>
          </w:tcPr>
          <w:p>
            <w:pPr>
              <w:autoSpaceDE w:val="0"/>
              <w:autoSpaceDN w:val="0"/>
              <w:spacing w:line="240" w:lineRule="auto"/>
              <w:ind w:left="108"/>
              <w:jc w:val="left"/>
              <w:rPr>
                <w:rFonts w:ascii="宋体" w:hAnsi="宋体" w:cs="宋体"/>
                <w:sz w:val="18"/>
                <w:szCs w:val="18"/>
              </w:rPr>
            </w:pPr>
            <w:r>
              <w:rPr>
                <w:rFonts w:hint="eastAsia" w:ascii="宋体" w:hAnsi="宋体" w:cs="宋体"/>
                <w:sz w:val="18"/>
                <w:szCs w:val="18"/>
              </w:rPr>
              <w:t>企业1年内至少帮扶1家政策要求的企业的，得</w:t>
            </w:r>
            <w:r>
              <w:rPr>
                <w:rFonts w:ascii="宋体" w:hAnsi="宋体" w:cs="宋体"/>
                <w:sz w:val="18"/>
                <w:szCs w:val="18"/>
              </w:rPr>
              <w:t>5</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restart"/>
            <w:shd w:val="clear" w:color="auto" w:fill="auto"/>
            <w:vAlign w:val="center"/>
          </w:tcPr>
          <w:p>
            <w:pPr>
              <w:pStyle w:val="181"/>
            </w:pPr>
            <w:r>
              <w:rPr>
                <w:rFonts w:hint="eastAsia" w:hAnsi="宋体" w:cs="宋体"/>
                <w:bCs/>
                <w:color w:val="000000"/>
                <w:spacing w:val="1"/>
                <w:w w:val="99"/>
                <w:szCs w:val="18"/>
              </w:rPr>
              <w:t>公益行动</w:t>
            </w:r>
            <w:r>
              <w:rPr>
                <w:rFonts w:hAnsi="宋体" w:cs="宋体"/>
                <w:bCs/>
                <w:color w:val="000000"/>
                <w:spacing w:val="1"/>
                <w:w w:val="99"/>
                <w:szCs w:val="18"/>
              </w:rPr>
              <w:t>（</w:t>
            </w:r>
            <w:r>
              <w:rPr>
                <w:rFonts w:hint="eastAsia" w:hAnsi="宋体" w:cs="宋体"/>
                <w:bCs/>
                <w:color w:val="000000"/>
                <w:spacing w:val="-5"/>
                <w:w w:val="105"/>
                <w:szCs w:val="18"/>
              </w:rPr>
              <w:t>10</w:t>
            </w:r>
            <w:r>
              <w:rPr>
                <w:rFonts w:hint="eastAsia" w:hAnsi="宋体" w:cs="宋体"/>
                <w:bCs/>
                <w:color w:val="000000"/>
                <w:w w:val="99"/>
                <w:szCs w:val="18"/>
              </w:rPr>
              <w:t xml:space="preserve"> </w:t>
            </w:r>
            <w:r>
              <w:rPr>
                <w:rFonts w:hAnsi="宋体" w:cs="宋体"/>
                <w:bCs/>
                <w:color w:val="000000"/>
                <w:spacing w:val="11"/>
                <w:w w:val="94"/>
                <w:szCs w:val="18"/>
              </w:rPr>
              <w:t>分</w:t>
            </w:r>
            <w:r>
              <w:rPr>
                <w:rFonts w:hAnsi="宋体" w:cs="宋体"/>
                <w:bCs/>
                <w:color w:val="000000"/>
                <w:spacing w:val="-6"/>
                <w:w w:val="97"/>
                <w:szCs w:val="18"/>
              </w:rPr>
              <w:t>）</w:t>
            </w:r>
          </w:p>
        </w:tc>
        <w:tc>
          <w:tcPr>
            <w:tcW w:w="1276" w:type="dxa"/>
            <w:shd w:val="clear" w:color="auto" w:fill="auto"/>
            <w:vAlign w:val="center"/>
          </w:tcPr>
          <w:p>
            <w:pPr>
              <w:autoSpaceDE w:val="0"/>
              <w:autoSpaceDN w:val="0"/>
              <w:spacing w:line="240" w:lineRule="auto"/>
              <w:ind w:left="107" w:right="25"/>
              <w:jc w:val="center"/>
              <w:rPr>
                <w:rFonts w:ascii="宋体" w:hAnsi="宋体" w:cs="宋体"/>
                <w:sz w:val="18"/>
                <w:szCs w:val="18"/>
              </w:rPr>
            </w:pPr>
            <w:r>
              <w:rPr>
                <w:rFonts w:hint="eastAsia" w:ascii="宋体" w:hAnsi="宋体" w:cs="宋体"/>
                <w:sz w:val="18"/>
                <w:szCs w:val="18"/>
              </w:rPr>
              <w:t>内部公益机制（5分）</w:t>
            </w:r>
          </w:p>
        </w:tc>
        <w:tc>
          <w:tcPr>
            <w:tcW w:w="2551"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建立了公益慈善活动的长效机制</w:t>
            </w:r>
            <w:r>
              <w:rPr>
                <w:rFonts w:hint="eastAsia" w:ascii="宋体" w:hAnsi="宋体" w:cs="宋体"/>
                <w:b/>
                <w:sz w:val="18"/>
                <w:szCs w:val="18"/>
              </w:rPr>
              <w:t>，</w:t>
            </w:r>
            <w:r>
              <w:rPr>
                <w:rFonts w:hint="eastAsia" w:ascii="宋体" w:hAnsi="宋体" w:cs="宋体"/>
                <w:sz w:val="18"/>
                <w:szCs w:val="18"/>
              </w:rPr>
              <w:t>利用平台及技术优势践行公益，设置了促进公益行动的企业基金会，组建了专职的公益团队，设立了公益行动相关政策制度（5分）</w:t>
            </w:r>
          </w:p>
        </w:tc>
        <w:tc>
          <w:tcPr>
            <w:tcW w:w="3674" w:type="dxa"/>
            <w:shd w:val="clear" w:color="auto" w:fill="auto"/>
            <w:vAlign w:val="center"/>
          </w:tcPr>
          <w:p>
            <w:pPr>
              <w:autoSpaceDE w:val="0"/>
              <w:autoSpaceDN w:val="0"/>
              <w:spacing w:line="240" w:lineRule="auto"/>
              <w:ind w:left="108" w:right="5"/>
              <w:jc w:val="left"/>
              <w:rPr>
                <w:rFonts w:ascii="宋体" w:hAnsi="宋体" w:cs="宋体"/>
                <w:sz w:val="18"/>
                <w:szCs w:val="18"/>
              </w:rPr>
            </w:pPr>
            <w:r>
              <w:rPr>
                <w:rFonts w:hint="eastAsia" w:ascii="宋体" w:hAnsi="宋体" w:cs="宋体"/>
                <w:sz w:val="18"/>
                <w:szCs w:val="18"/>
              </w:rPr>
              <w:t>企业组织开展与平台和技术优势相结合的公益活动的，得</w:t>
            </w:r>
            <w:r>
              <w:rPr>
                <w:rFonts w:ascii="宋体" w:hAnsi="宋体" w:cs="宋体"/>
                <w:sz w:val="18"/>
                <w:szCs w:val="18"/>
              </w:rPr>
              <w:t>1</w:t>
            </w:r>
            <w:r>
              <w:rPr>
                <w:rFonts w:hint="eastAsia" w:ascii="宋体" w:hAnsi="宋体" w:cs="宋体"/>
                <w:sz w:val="18"/>
                <w:szCs w:val="18"/>
              </w:rPr>
              <w:t>分；企业设置促进公益行动的企业基金会的，得2分；企业设立与公益行动相关政策制度的，得2分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restart"/>
            <w:shd w:val="clear" w:color="auto" w:fill="auto"/>
            <w:vAlign w:val="center"/>
          </w:tcPr>
          <w:p>
            <w:pPr>
              <w:autoSpaceDE w:val="0"/>
              <w:autoSpaceDN w:val="0"/>
              <w:spacing w:line="240" w:lineRule="auto"/>
              <w:ind w:left="107" w:right="25"/>
              <w:jc w:val="center"/>
              <w:rPr>
                <w:rFonts w:ascii="宋体" w:hAnsi="宋体" w:cs="宋体"/>
                <w:sz w:val="18"/>
                <w:szCs w:val="18"/>
              </w:rPr>
            </w:pPr>
            <w:r>
              <w:rPr>
                <w:rFonts w:hint="eastAsia" w:ascii="宋体" w:hAnsi="宋体" w:cs="宋体"/>
                <w:sz w:val="18"/>
                <w:szCs w:val="18"/>
              </w:rPr>
              <w:t>外部公益行动（5分）</w:t>
            </w:r>
          </w:p>
        </w:tc>
        <w:tc>
          <w:tcPr>
            <w:tcW w:w="2551" w:type="dxa"/>
            <w:shd w:val="clear" w:color="auto" w:fill="auto"/>
            <w:vAlign w:val="center"/>
          </w:tcPr>
          <w:p>
            <w:pPr>
              <w:autoSpaceDE w:val="0"/>
              <w:autoSpaceDN w:val="0"/>
              <w:spacing w:line="240" w:lineRule="auto"/>
              <w:ind w:left="109" w:right="5"/>
              <w:jc w:val="left"/>
              <w:rPr>
                <w:rFonts w:ascii="宋体" w:hAnsi="宋体" w:cs="宋体"/>
                <w:sz w:val="18"/>
                <w:szCs w:val="18"/>
              </w:rPr>
            </w:pPr>
            <w:r>
              <w:rPr>
                <w:rFonts w:hint="eastAsia" w:ascii="宋体" w:hAnsi="宋体" w:cs="宋体"/>
                <w:sz w:val="18"/>
                <w:szCs w:val="18"/>
              </w:rPr>
              <w:t>与高校等科研机构合作开展公益项目（</w:t>
            </w:r>
            <w:r>
              <w:rPr>
                <w:rFonts w:ascii="宋体" w:hAnsi="宋体" w:cs="宋体"/>
                <w:sz w:val="18"/>
                <w:szCs w:val="18"/>
              </w:rPr>
              <w:t>2</w:t>
            </w:r>
            <w:r>
              <w:rPr>
                <w:rFonts w:hint="eastAsia" w:ascii="宋体" w:hAnsi="宋体" w:cs="宋体"/>
                <w:sz w:val="18"/>
                <w:szCs w:val="18"/>
              </w:rPr>
              <w:t>分）</w:t>
            </w:r>
          </w:p>
        </w:tc>
        <w:tc>
          <w:tcPr>
            <w:tcW w:w="3674" w:type="dxa"/>
            <w:shd w:val="clear" w:color="auto" w:fill="auto"/>
            <w:vAlign w:val="center"/>
          </w:tcPr>
          <w:p>
            <w:pPr>
              <w:autoSpaceDE w:val="0"/>
              <w:autoSpaceDN w:val="0"/>
              <w:spacing w:line="240" w:lineRule="auto"/>
              <w:ind w:left="108" w:right="5"/>
              <w:jc w:val="left"/>
              <w:rPr>
                <w:rFonts w:ascii="宋体" w:hAnsi="宋体" w:cs="宋体"/>
                <w:sz w:val="18"/>
                <w:szCs w:val="18"/>
              </w:rPr>
            </w:pPr>
            <w:r>
              <w:rPr>
                <w:rFonts w:hint="eastAsia" w:ascii="宋体" w:hAnsi="宋体" w:cs="宋体"/>
                <w:sz w:val="18"/>
                <w:szCs w:val="18"/>
              </w:rPr>
              <w:t>企业与科研机构合作开展公益项目并落地实施的，得</w:t>
            </w:r>
            <w:r>
              <w:rPr>
                <w:rFonts w:ascii="宋体" w:hAnsi="宋体" w:cs="宋体"/>
                <w:sz w:val="18"/>
                <w:szCs w:val="18"/>
              </w:rPr>
              <w:t>2</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autoSpaceDE w:val="0"/>
              <w:autoSpaceDN w:val="0"/>
              <w:spacing w:line="240" w:lineRule="auto"/>
              <w:ind w:left="107" w:right="25"/>
              <w:jc w:val="left"/>
              <w:rPr>
                <w:rFonts w:ascii="宋体" w:hAnsi="宋体" w:cs="宋体"/>
                <w:sz w:val="18"/>
                <w:szCs w:val="18"/>
              </w:rPr>
            </w:pPr>
          </w:p>
        </w:tc>
        <w:tc>
          <w:tcPr>
            <w:tcW w:w="2551" w:type="dxa"/>
            <w:shd w:val="clear" w:color="auto" w:fill="auto"/>
            <w:vAlign w:val="center"/>
          </w:tcPr>
          <w:p>
            <w:pPr>
              <w:autoSpaceDE w:val="0"/>
              <w:autoSpaceDN w:val="0"/>
              <w:spacing w:line="240" w:lineRule="auto"/>
              <w:ind w:left="109" w:right="5"/>
              <w:jc w:val="left"/>
              <w:rPr>
                <w:rFonts w:ascii="宋体" w:hAnsi="宋体" w:cs="宋体"/>
                <w:sz w:val="18"/>
                <w:szCs w:val="18"/>
              </w:rPr>
            </w:pPr>
            <w:r>
              <w:rPr>
                <w:rFonts w:hint="eastAsia" w:ascii="宋体" w:hAnsi="宋体" w:cs="宋体"/>
                <w:sz w:val="18"/>
                <w:szCs w:val="18"/>
              </w:rPr>
              <w:t>与公益组织开展合作项目（</w:t>
            </w:r>
            <w:r>
              <w:rPr>
                <w:rFonts w:ascii="宋体" w:hAnsi="宋体" w:cs="宋体"/>
                <w:sz w:val="18"/>
                <w:szCs w:val="18"/>
              </w:rPr>
              <w:t>3</w:t>
            </w:r>
            <w:r>
              <w:rPr>
                <w:rFonts w:hint="eastAsia" w:ascii="宋体" w:hAnsi="宋体" w:cs="宋体"/>
                <w:sz w:val="18"/>
                <w:szCs w:val="18"/>
              </w:rPr>
              <w:t>分）</w:t>
            </w:r>
          </w:p>
        </w:tc>
        <w:tc>
          <w:tcPr>
            <w:tcW w:w="3674" w:type="dxa"/>
            <w:shd w:val="clear" w:color="auto" w:fill="auto"/>
            <w:vAlign w:val="center"/>
          </w:tcPr>
          <w:p>
            <w:pPr>
              <w:autoSpaceDE w:val="0"/>
              <w:autoSpaceDN w:val="0"/>
              <w:spacing w:line="240" w:lineRule="auto"/>
              <w:ind w:left="108" w:right="5"/>
              <w:jc w:val="left"/>
              <w:rPr>
                <w:rFonts w:ascii="宋体" w:hAnsi="宋体" w:cs="宋体"/>
                <w:sz w:val="18"/>
                <w:szCs w:val="18"/>
              </w:rPr>
            </w:pPr>
            <w:r>
              <w:rPr>
                <w:rFonts w:hint="eastAsia" w:ascii="宋体" w:hAnsi="宋体" w:cs="宋体"/>
                <w:sz w:val="18"/>
                <w:szCs w:val="18"/>
              </w:rPr>
              <w:t>企业与公益组织合作开展公益项目并落地实施的，得3分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7501" w:type="dxa"/>
            <w:gridSpan w:val="3"/>
            <w:shd w:val="clear" w:color="auto" w:fill="auto"/>
            <w:vAlign w:val="center"/>
          </w:tcPr>
          <w:p>
            <w:pPr>
              <w:pStyle w:val="181"/>
            </w:pPr>
            <w:r>
              <w:rPr>
                <w:rFonts w:hint="eastAsia"/>
              </w:rPr>
              <w:t>加分项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3827" w:type="dxa"/>
            <w:gridSpan w:val="2"/>
            <w:shd w:val="clear" w:color="auto" w:fill="auto"/>
            <w:vAlign w:val="center"/>
          </w:tcPr>
          <w:p>
            <w:pPr>
              <w:autoSpaceDE w:val="0"/>
              <w:autoSpaceDN w:val="0"/>
              <w:spacing w:before="37" w:line="240" w:lineRule="auto"/>
              <w:ind w:left="109"/>
              <w:jc w:val="left"/>
              <w:rPr>
                <w:rFonts w:ascii="宋体" w:hAnsi="宋体" w:cs="宋体"/>
                <w:sz w:val="18"/>
                <w:szCs w:val="18"/>
              </w:rPr>
            </w:pPr>
            <w:r>
              <w:rPr>
                <w:rFonts w:hint="eastAsia" w:ascii="宋体" w:hAnsi="宋体" w:cs="宋体"/>
                <w:sz w:val="18"/>
                <w:szCs w:val="18"/>
              </w:rPr>
              <w:t>出台了鼓励和支持大众网络创业和就业的制度及措施（3分）</w:t>
            </w:r>
          </w:p>
        </w:tc>
        <w:tc>
          <w:tcPr>
            <w:tcW w:w="3674" w:type="dxa"/>
            <w:shd w:val="clear" w:color="auto" w:fill="auto"/>
            <w:vAlign w:val="center"/>
          </w:tcPr>
          <w:p>
            <w:pPr>
              <w:autoSpaceDE w:val="0"/>
              <w:autoSpaceDN w:val="0"/>
              <w:spacing w:line="240" w:lineRule="auto"/>
              <w:ind w:left="108"/>
              <w:jc w:val="left"/>
              <w:rPr>
                <w:rFonts w:ascii="宋体" w:hAnsi="宋体" w:cs="宋体"/>
                <w:bCs/>
                <w:color w:val="000000"/>
                <w:kern w:val="0"/>
                <w:sz w:val="18"/>
                <w:szCs w:val="18"/>
              </w:rPr>
            </w:pPr>
            <w:r>
              <w:rPr>
                <w:rFonts w:hint="eastAsia" w:ascii="宋体" w:hAnsi="宋体" w:cs="宋体"/>
                <w:bCs/>
                <w:color w:val="000000"/>
                <w:kern w:val="0"/>
                <w:sz w:val="18"/>
                <w:szCs w:val="18"/>
              </w:rPr>
              <w:t>企业出台鼓励大众创业、就业的制度及措施的，加3分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3827" w:type="dxa"/>
            <w:gridSpan w:val="2"/>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出台了残障人士和弱势群体就业扶持措施，设置了基金专门支持困难人士就业创业（</w:t>
            </w:r>
            <w:r>
              <w:rPr>
                <w:rFonts w:ascii="宋体" w:hAnsi="宋体" w:cs="宋体"/>
                <w:sz w:val="18"/>
                <w:szCs w:val="18"/>
              </w:rPr>
              <w:t>4</w:t>
            </w:r>
            <w:r>
              <w:rPr>
                <w:rFonts w:hint="eastAsia" w:ascii="宋体" w:hAnsi="宋体" w:cs="宋体"/>
                <w:sz w:val="18"/>
                <w:szCs w:val="18"/>
              </w:rPr>
              <w:t>分）</w:t>
            </w:r>
          </w:p>
        </w:tc>
        <w:tc>
          <w:tcPr>
            <w:tcW w:w="3674" w:type="dxa"/>
            <w:shd w:val="clear" w:color="auto" w:fill="auto"/>
            <w:vAlign w:val="center"/>
          </w:tcPr>
          <w:p>
            <w:pPr>
              <w:autoSpaceDE w:val="0"/>
              <w:autoSpaceDN w:val="0"/>
              <w:spacing w:line="240" w:lineRule="auto"/>
              <w:ind w:left="108"/>
              <w:jc w:val="left"/>
              <w:rPr>
                <w:rFonts w:ascii="宋体" w:hAnsi="宋体" w:cs="宋体"/>
                <w:bCs/>
                <w:color w:val="000000"/>
                <w:kern w:val="0"/>
                <w:sz w:val="18"/>
                <w:szCs w:val="18"/>
              </w:rPr>
            </w:pPr>
            <w:r>
              <w:rPr>
                <w:rFonts w:hint="eastAsia" w:ascii="宋体" w:hAnsi="宋体" w:cs="宋体"/>
                <w:bCs/>
                <w:color w:val="000000"/>
                <w:kern w:val="0"/>
                <w:sz w:val="18"/>
                <w:szCs w:val="18"/>
              </w:rPr>
              <w:t>企业出台了残障人士和弱势群体就业扶持措施的，加3分；企业为困难人士设置专门创业基金的，加4分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3827" w:type="dxa"/>
            <w:gridSpan w:val="2"/>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面对突发严重自然灾害、事故灾难、公共卫生事件或引发普遍关注的社会问题，企业直接或依托第三方机构进行了捐赠（</w:t>
            </w:r>
            <w:r>
              <w:rPr>
                <w:rFonts w:ascii="宋体" w:hAnsi="宋体" w:cs="宋体"/>
                <w:sz w:val="18"/>
                <w:szCs w:val="18"/>
              </w:rPr>
              <w:t>5</w:t>
            </w:r>
            <w:r>
              <w:rPr>
                <w:rFonts w:hint="eastAsia" w:ascii="宋体" w:hAnsi="宋体" w:cs="宋体"/>
                <w:sz w:val="18"/>
                <w:szCs w:val="18"/>
              </w:rPr>
              <w:t>分）</w:t>
            </w:r>
          </w:p>
        </w:tc>
        <w:tc>
          <w:tcPr>
            <w:tcW w:w="3674" w:type="dxa"/>
            <w:shd w:val="clear" w:color="auto" w:fill="auto"/>
            <w:vAlign w:val="center"/>
          </w:tcPr>
          <w:p>
            <w:pPr>
              <w:autoSpaceDE w:val="0"/>
              <w:autoSpaceDN w:val="0"/>
              <w:spacing w:line="240" w:lineRule="auto"/>
              <w:ind w:left="108"/>
              <w:jc w:val="left"/>
              <w:rPr>
                <w:rFonts w:ascii="宋体" w:hAnsi="宋体" w:cs="宋体"/>
                <w:bCs/>
                <w:color w:val="000000"/>
                <w:kern w:val="0"/>
                <w:sz w:val="18"/>
                <w:szCs w:val="18"/>
              </w:rPr>
            </w:pPr>
            <w:r>
              <w:rPr>
                <w:rFonts w:hint="eastAsia" w:ascii="宋体" w:hAnsi="宋体" w:cs="宋体"/>
                <w:bCs/>
                <w:color w:val="000000"/>
                <w:kern w:val="0"/>
                <w:sz w:val="18"/>
                <w:szCs w:val="18"/>
              </w:rPr>
              <w:t>企业直接或依托第三方机构进行捐赠的，加5分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restart"/>
            <w:shd w:val="clear" w:color="auto" w:fill="auto"/>
            <w:vAlign w:val="center"/>
          </w:tcPr>
          <w:p>
            <w:pPr>
              <w:pStyle w:val="181"/>
            </w:pPr>
            <w:r>
              <w:rPr>
                <w:rFonts w:hint="eastAsia" w:hAnsi="宋体" w:cs="宋体"/>
                <w:bCs/>
                <w:color w:val="000000"/>
                <w:szCs w:val="18"/>
              </w:rPr>
              <w:t>隐私、个人信息保护与数据安全（20分）</w:t>
            </w:r>
          </w:p>
        </w:tc>
        <w:tc>
          <w:tcPr>
            <w:tcW w:w="1276" w:type="dxa"/>
            <w:vMerge w:val="restart"/>
            <w:shd w:val="clear" w:color="auto" w:fill="auto"/>
            <w:vAlign w:val="center"/>
          </w:tcPr>
          <w:p>
            <w:pPr>
              <w:pStyle w:val="181"/>
              <w:rPr>
                <w:rFonts w:hAnsi="宋体" w:cs="宋体"/>
                <w:szCs w:val="18"/>
              </w:rPr>
            </w:pPr>
            <w:r>
              <w:rPr>
                <w:rFonts w:hint="eastAsia" w:hAnsi="宋体" w:cs="宋体"/>
                <w:szCs w:val="18"/>
              </w:rPr>
              <w:t>制度建设</w:t>
            </w:r>
          </w:p>
          <w:p>
            <w:pPr>
              <w:pStyle w:val="181"/>
            </w:pPr>
            <w:r>
              <w:rPr>
                <w:rFonts w:hint="eastAsia" w:hAnsi="宋体" w:cs="宋体"/>
                <w:szCs w:val="18"/>
              </w:rPr>
              <w:t>（5分）</w:t>
            </w:r>
          </w:p>
        </w:tc>
        <w:tc>
          <w:tcPr>
            <w:tcW w:w="2551"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主导或者参与至少一次个人信息保护、数据安全相关标准制定（</w:t>
            </w:r>
            <w:r>
              <w:rPr>
                <w:rFonts w:ascii="宋体" w:hAnsi="宋体" w:cs="宋体"/>
                <w:sz w:val="18"/>
                <w:szCs w:val="18"/>
              </w:rPr>
              <w:t>1</w:t>
            </w:r>
            <w:r>
              <w:rPr>
                <w:rFonts w:hint="eastAsia" w:ascii="宋体" w:hAnsi="宋体" w:cs="宋体"/>
                <w:sz w:val="18"/>
                <w:szCs w:val="18"/>
              </w:rPr>
              <w:t>分）</w:t>
            </w:r>
          </w:p>
        </w:tc>
        <w:tc>
          <w:tcPr>
            <w:tcW w:w="3674" w:type="dxa"/>
            <w:shd w:val="clear" w:color="auto" w:fill="auto"/>
            <w:vAlign w:val="center"/>
          </w:tcPr>
          <w:p>
            <w:pPr>
              <w:autoSpaceDE w:val="0"/>
              <w:autoSpaceDN w:val="0"/>
              <w:spacing w:line="240" w:lineRule="auto"/>
              <w:ind w:left="108" w:right="5"/>
              <w:jc w:val="left"/>
              <w:rPr>
                <w:rFonts w:ascii="宋体" w:hAnsi="宋体" w:cs="宋体"/>
                <w:sz w:val="18"/>
                <w:szCs w:val="18"/>
              </w:rPr>
            </w:pPr>
            <w:r>
              <w:rPr>
                <w:rFonts w:hint="eastAsia" w:ascii="宋体" w:hAnsi="宋体" w:cs="宋体"/>
                <w:sz w:val="18"/>
                <w:szCs w:val="18"/>
              </w:rPr>
              <w:t>企业一年内主导或者参与至少一次个人信息保护、数据安全相关标准制定的，得</w:t>
            </w:r>
            <w:r>
              <w:rPr>
                <w:rFonts w:ascii="宋体" w:hAnsi="宋体" w:cs="宋体"/>
                <w:sz w:val="18"/>
                <w:szCs w:val="18"/>
              </w:rPr>
              <w:t>1</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pStyle w:val="181"/>
            </w:pPr>
          </w:p>
        </w:tc>
        <w:tc>
          <w:tcPr>
            <w:tcW w:w="2551" w:type="dxa"/>
            <w:shd w:val="clear" w:color="auto" w:fill="auto"/>
            <w:vAlign w:val="center"/>
          </w:tcPr>
          <w:p>
            <w:pPr>
              <w:autoSpaceDE w:val="0"/>
              <w:autoSpaceDN w:val="0"/>
              <w:spacing w:line="240" w:lineRule="auto"/>
              <w:ind w:left="107" w:right="25"/>
              <w:jc w:val="left"/>
              <w:rPr>
                <w:rFonts w:ascii="宋体" w:hAnsi="宋体" w:cs="宋体"/>
                <w:sz w:val="18"/>
                <w:szCs w:val="18"/>
              </w:rPr>
            </w:pPr>
            <w:r>
              <w:rPr>
                <w:rFonts w:hint="eastAsia" w:ascii="宋体" w:hAnsi="宋体" w:cs="宋体"/>
                <w:sz w:val="18"/>
                <w:szCs w:val="18"/>
              </w:rPr>
              <w:t>建立健全内部个人信息保护和数据安全管理制度及操作规程、确定了统筹个人信息保护及数据安全专门负责人等（2分）</w:t>
            </w:r>
          </w:p>
        </w:tc>
        <w:tc>
          <w:tcPr>
            <w:tcW w:w="3674" w:type="dxa"/>
            <w:shd w:val="clear" w:color="auto" w:fill="auto"/>
            <w:vAlign w:val="center"/>
          </w:tcPr>
          <w:p>
            <w:pPr>
              <w:autoSpaceDE w:val="0"/>
              <w:autoSpaceDN w:val="0"/>
              <w:spacing w:line="240" w:lineRule="auto"/>
              <w:ind w:left="108" w:right="5"/>
              <w:jc w:val="left"/>
              <w:rPr>
                <w:rFonts w:ascii="宋体" w:hAnsi="宋体" w:cs="宋体"/>
                <w:sz w:val="18"/>
                <w:szCs w:val="18"/>
              </w:rPr>
            </w:pPr>
            <w:r>
              <w:rPr>
                <w:rFonts w:hint="eastAsia" w:ascii="宋体" w:hAnsi="宋体" w:cs="宋体"/>
                <w:sz w:val="18"/>
                <w:szCs w:val="18"/>
              </w:rPr>
              <w:t>企业建立健全内部个人信息保护和数据安全管理制度及操作规程的，得</w:t>
            </w:r>
            <w:r>
              <w:rPr>
                <w:rFonts w:ascii="宋体" w:hAnsi="宋体" w:cs="宋体"/>
                <w:sz w:val="18"/>
                <w:szCs w:val="18"/>
              </w:rPr>
              <w:t>2</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pStyle w:val="181"/>
            </w:pPr>
          </w:p>
        </w:tc>
        <w:tc>
          <w:tcPr>
            <w:tcW w:w="2551" w:type="dxa"/>
            <w:shd w:val="clear" w:color="auto" w:fill="auto"/>
            <w:vAlign w:val="center"/>
          </w:tcPr>
          <w:p>
            <w:pPr>
              <w:autoSpaceDE w:val="0"/>
              <w:autoSpaceDN w:val="0"/>
              <w:spacing w:before="37" w:line="240" w:lineRule="auto"/>
              <w:ind w:left="109"/>
              <w:jc w:val="left"/>
              <w:rPr>
                <w:rFonts w:ascii="宋体" w:hAnsi="宋体" w:cs="宋体"/>
                <w:sz w:val="18"/>
                <w:szCs w:val="18"/>
              </w:rPr>
            </w:pPr>
            <w:r>
              <w:rPr>
                <w:rFonts w:hint="eastAsia" w:ascii="宋体" w:hAnsi="宋体" w:cs="宋体"/>
                <w:sz w:val="18"/>
                <w:szCs w:val="18"/>
              </w:rPr>
              <w:t>开展个人信息保护和数据安全定期培训，一季度内至少开展一次培训（2分）</w:t>
            </w:r>
          </w:p>
        </w:tc>
        <w:tc>
          <w:tcPr>
            <w:tcW w:w="3674" w:type="dxa"/>
            <w:shd w:val="clear" w:color="auto" w:fill="auto"/>
            <w:vAlign w:val="center"/>
          </w:tcPr>
          <w:p>
            <w:pPr>
              <w:autoSpaceDE w:val="0"/>
              <w:autoSpaceDN w:val="0"/>
              <w:spacing w:before="135" w:line="240" w:lineRule="auto"/>
              <w:ind w:left="108" w:right="5"/>
              <w:jc w:val="left"/>
              <w:rPr>
                <w:rFonts w:ascii="宋体" w:hAnsi="宋体" w:cs="宋体"/>
                <w:sz w:val="18"/>
                <w:szCs w:val="18"/>
              </w:rPr>
            </w:pPr>
            <w:r>
              <w:rPr>
                <w:rFonts w:hint="eastAsia" w:ascii="宋体" w:hAnsi="宋体" w:cs="宋体"/>
                <w:sz w:val="18"/>
                <w:szCs w:val="18"/>
              </w:rPr>
              <w:t>企业一季度内至少开展一次个人信息保护和数据安全培训的，得</w:t>
            </w:r>
            <w:r>
              <w:rPr>
                <w:rFonts w:ascii="宋体" w:hAnsi="宋体" w:cs="宋体"/>
                <w:sz w:val="18"/>
                <w:szCs w:val="18"/>
              </w:rPr>
              <w:t>2</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restart"/>
            <w:shd w:val="clear" w:color="auto" w:fill="auto"/>
            <w:vAlign w:val="center"/>
          </w:tcPr>
          <w:p>
            <w:pPr>
              <w:pStyle w:val="181"/>
            </w:pPr>
            <w:r>
              <w:rPr>
                <w:rFonts w:hint="eastAsia" w:hAnsi="宋体" w:cs="宋体"/>
                <w:szCs w:val="18"/>
              </w:rPr>
              <w:t>数据安全保护措施（5分）</w:t>
            </w:r>
          </w:p>
        </w:tc>
        <w:tc>
          <w:tcPr>
            <w:tcW w:w="2551"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利用技术手段加强数据安全保护能力，视数据敏感程度对数据进行加密、脱敏等技术处理（</w:t>
            </w:r>
            <w:r>
              <w:rPr>
                <w:rFonts w:ascii="宋体" w:hAnsi="宋体" w:cs="宋体"/>
                <w:sz w:val="18"/>
                <w:szCs w:val="18"/>
              </w:rPr>
              <w:t>1</w:t>
            </w:r>
            <w:r>
              <w:rPr>
                <w:rFonts w:hint="eastAsia" w:ascii="宋体" w:hAnsi="宋体" w:cs="宋体"/>
                <w:sz w:val="18"/>
                <w:szCs w:val="18"/>
              </w:rPr>
              <w:t>分）</w:t>
            </w:r>
          </w:p>
        </w:tc>
        <w:tc>
          <w:tcPr>
            <w:tcW w:w="3674" w:type="dxa"/>
            <w:shd w:val="clear" w:color="auto" w:fill="auto"/>
            <w:vAlign w:val="center"/>
          </w:tcPr>
          <w:p>
            <w:pPr>
              <w:autoSpaceDE w:val="0"/>
              <w:autoSpaceDN w:val="0"/>
              <w:spacing w:before="135" w:line="240" w:lineRule="auto"/>
              <w:ind w:left="108"/>
              <w:jc w:val="left"/>
              <w:rPr>
                <w:rFonts w:ascii="宋体" w:hAnsi="宋体" w:cs="宋体"/>
                <w:sz w:val="18"/>
                <w:szCs w:val="18"/>
              </w:rPr>
            </w:pPr>
            <w:r>
              <w:rPr>
                <w:rFonts w:hint="eastAsia" w:ascii="宋体" w:hAnsi="宋体" w:cs="宋体"/>
                <w:sz w:val="18"/>
                <w:szCs w:val="18"/>
              </w:rPr>
              <w:t>企业采用技术手段对数据进行加密、脱敏等技术处理的，得</w:t>
            </w:r>
            <w:r>
              <w:rPr>
                <w:rFonts w:ascii="宋体" w:hAnsi="宋体" w:cs="宋体"/>
                <w:sz w:val="18"/>
                <w:szCs w:val="18"/>
              </w:rPr>
              <w:t>1</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pStyle w:val="181"/>
            </w:pPr>
          </w:p>
        </w:tc>
        <w:tc>
          <w:tcPr>
            <w:tcW w:w="2551"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公司对信息安全政策和系统依法进行审计（2分）</w:t>
            </w:r>
          </w:p>
        </w:tc>
        <w:tc>
          <w:tcPr>
            <w:tcW w:w="3674" w:type="dxa"/>
            <w:shd w:val="clear" w:color="auto" w:fill="auto"/>
            <w:vAlign w:val="center"/>
          </w:tcPr>
          <w:p>
            <w:pPr>
              <w:autoSpaceDE w:val="0"/>
              <w:autoSpaceDN w:val="0"/>
              <w:spacing w:before="135" w:line="240" w:lineRule="auto"/>
              <w:ind w:left="108"/>
              <w:jc w:val="left"/>
              <w:rPr>
                <w:rFonts w:ascii="宋体" w:hAnsi="宋体" w:cs="宋体"/>
                <w:sz w:val="18"/>
                <w:szCs w:val="18"/>
              </w:rPr>
            </w:pPr>
            <w:r>
              <w:rPr>
                <w:rFonts w:hint="eastAsia" w:ascii="宋体" w:hAnsi="宋体" w:cs="宋体"/>
                <w:sz w:val="18"/>
                <w:szCs w:val="18"/>
              </w:rPr>
              <w:t>企业每年度对信息安全政策和系统依法进行审计的，得</w:t>
            </w:r>
            <w:r>
              <w:rPr>
                <w:rFonts w:ascii="宋体" w:hAnsi="宋体" w:cs="宋体"/>
                <w:sz w:val="18"/>
                <w:szCs w:val="18"/>
              </w:rPr>
              <w:t>2</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pStyle w:val="181"/>
            </w:pPr>
          </w:p>
        </w:tc>
        <w:tc>
          <w:tcPr>
            <w:tcW w:w="2551"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对数据安全事件有合理的分级处理制度，针对不同级别的安全事件采取不同的响应措施（2分）</w:t>
            </w:r>
          </w:p>
        </w:tc>
        <w:tc>
          <w:tcPr>
            <w:tcW w:w="3674" w:type="dxa"/>
            <w:shd w:val="clear" w:color="auto" w:fill="auto"/>
            <w:vAlign w:val="center"/>
          </w:tcPr>
          <w:p>
            <w:pPr>
              <w:autoSpaceDE w:val="0"/>
              <w:autoSpaceDN w:val="0"/>
              <w:spacing w:before="135" w:line="240" w:lineRule="auto"/>
              <w:ind w:left="108"/>
              <w:jc w:val="left"/>
              <w:rPr>
                <w:rFonts w:ascii="宋体" w:hAnsi="宋体" w:cs="宋体"/>
                <w:sz w:val="18"/>
                <w:szCs w:val="18"/>
              </w:rPr>
            </w:pPr>
            <w:r>
              <w:rPr>
                <w:rFonts w:hint="eastAsia" w:ascii="宋体" w:hAnsi="宋体" w:cs="宋体"/>
                <w:sz w:val="18"/>
                <w:szCs w:val="18"/>
              </w:rPr>
              <w:t>企业设置合理的数据安全事件分级处理制度的，得</w:t>
            </w:r>
            <w:r>
              <w:rPr>
                <w:rFonts w:ascii="宋体" w:hAnsi="宋体" w:cs="宋体"/>
                <w:sz w:val="18"/>
                <w:szCs w:val="18"/>
              </w:rPr>
              <w:t>2</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restart"/>
            <w:shd w:val="clear" w:color="auto" w:fill="auto"/>
            <w:vAlign w:val="center"/>
          </w:tcPr>
          <w:p>
            <w:pPr>
              <w:pStyle w:val="181"/>
            </w:pPr>
            <w:r>
              <w:rPr>
                <w:rFonts w:hint="eastAsia" w:hAnsi="宋体" w:cs="宋体"/>
                <w:szCs w:val="18"/>
              </w:rPr>
              <w:t>隐私保护措施（5分）</w:t>
            </w:r>
          </w:p>
        </w:tc>
        <w:tc>
          <w:tcPr>
            <w:tcW w:w="2551"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制定符合法律法规的隐私政策，并根据隐私政策处理个人信息（</w:t>
            </w:r>
            <w:r>
              <w:rPr>
                <w:rFonts w:ascii="宋体" w:hAnsi="宋体" w:cs="宋体"/>
                <w:sz w:val="18"/>
                <w:szCs w:val="18"/>
              </w:rPr>
              <w:t>3</w:t>
            </w:r>
            <w:r>
              <w:rPr>
                <w:rFonts w:hint="eastAsia" w:ascii="宋体" w:hAnsi="宋体" w:cs="宋体"/>
                <w:sz w:val="18"/>
                <w:szCs w:val="18"/>
              </w:rPr>
              <w:t>分）</w:t>
            </w:r>
          </w:p>
        </w:tc>
        <w:tc>
          <w:tcPr>
            <w:tcW w:w="3674" w:type="dxa"/>
            <w:shd w:val="clear" w:color="auto" w:fill="auto"/>
            <w:vAlign w:val="center"/>
          </w:tcPr>
          <w:p>
            <w:pPr>
              <w:autoSpaceDE w:val="0"/>
              <w:autoSpaceDN w:val="0"/>
              <w:spacing w:before="135" w:line="240" w:lineRule="auto"/>
              <w:ind w:left="108"/>
              <w:jc w:val="left"/>
              <w:rPr>
                <w:rFonts w:ascii="宋体" w:hAnsi="宋体" w:cs="宋体"/>
                <w:sz w:val="18"/>
                <w:szCs w:val="18"/>
              </w:rPr>
            </w:pPr>
            <w:r>
              <w:rPr>
                <w:rFonts w:hint="eastAsia" w:ascii="宋体" w:hAnsi="宋体" w:cs="宋体"/>
                <w:sz w:val="18"/>
                <w:szCs w:val="18"/>
              </w:rPr>
              <w:t>企业制定符合法律法规的隐私政策，并根据隐私政策处理个人信息的，得3分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pStyle w:val="181"/>
            </w:pPr>
          </w:p>
        </w:tc>
        <w:tc>
          <w:tcPr>
            <w:tcW w:w="2551"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建立了专门的隐私反馈机制，在接到用户投诉后在法律法规规定的时间内进行处理并反馈（2分）</w:t>
            </w:r>
          </w:p>
        </w:tc>
        <w:tc>
          <w:tcPr>
            <w:tcW w:w="3674" w:type="dxa"/>
            <w:shd w:val="clear" w:color="auto" w:fill="auto"/>
            <w:vAlign w:val="center"/>
          </w:tcPr>
          <w:p>
            <w:pPr>
              <w:autoSpaceDE w:val="0"/>
              <w:autoSpaceDN w:val="0"/>
              <w:spacing w:before="135" w:line="240" w:lineRule="auto"/>
              <w:ind w:left="108"/>
              <w:jc w:val="left"/>
              <w:rPr>
                <w:rFonts w:ascii="宋体" w:hAnsi="宋体" w:cs="宋体"/>
                <w:sz w:val="18"/>
                <w:szCs w:val="18"/>
              </w:rPr>
            </w:pPr>
            <w:r>
              <w:rPr>
                <w:rFonts w:hint="eastAsia" w:ascii="宋体" w:hAnsi="宋体" w:cs="宋体"/>
                <w:sz w:val="18"/>
                <w:szCs w:val="18"/>
              </w:rPr>
              <w:t>企业建立了专门的隐私反馈机制，在接到用户投诉后在法律法规规定的时间内进行处理并反馈的，得</w:t>
            </w:r>
            <w:r>
              <w:rPr>
                <w:rFonts w:ascii="宋体" w:hAnsi="宋体" w:cs="宋体"/>
                <w:sz w:val="18"/>
                <w:szCs w:val="18"/>
              </w:rPr>
              <w:t>2</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restart"/>
            <w:shd w:val="clear" w:color="auto" w:fill="auto"/>
            <w:vAlign w:val="center"/>
          </w:tcPr>
          <w:p>
            <w:pPr>
              <w:pStyle w:val="181"/>
            </w:pPr>
            <w:r>
              <w:rPr>
                <w:rFonts w:hint="eastAsia" w:hAnsi="宋体" w:cs="宋体"/>
                <w:szCs w:val="18"/>
              </w:rPr>
              <w:t>个人信息保护措施（5分）</w:t>
            </w:r>
          </w:p>
        </w:tc>
        <w:tc>
          <w:tcPr>
            <w:tcW w:w="2551"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保障行使个人信息查询、删除、更正等多项权利（</w:t>
            </w:r>
            <w:r>
              <w:rPr>
                <w:rFonts w:ascii="宋体" w:hAnsi="宋体" w:cs="宋体"/>
                <w:sz w:val="18"/>
                <w:szCs w:val="18"/>
              </w:rPr>
              <w:t>1</w:t>
            </w:r>
            <w:r>
              <w:rPr>
                <w:rFonts w:hint="eastAsia" w:ascii="宋体" w:hAnsi="宋体" w:cs="宋体"/>
                <w:sz w:val="18"/>
                <w:szCs w:val="18"/>
              </w:rPr>
              <w:t>分）</w:t>
            </w:r>
          </w:p>
        </w:tc>
        <w:tc>
          <w:tcPr>
            <w:tcW w:w="3674" w:type="dxa"/>
            <w:shd w:val="clear" w:color="auto" w:fill="auto"/>
            <w:vAlign w:val="center"/>
          </w:tcPr>
          <w:p>
            <w:pPr>
              <w:autoSpaceDE w:val="0"/>
              <w:autoSpaceDN w:val="0"/>
              <w:spacing w:line="240" w:lineRule="auto"/>
              <w:ind w:left="108"/>
              <w:jc w:val="left"/>
              <w:rPr>
                <w:rFonts w:ascii="宋体" w:hAnsi="宋体" w:cs="宋体"/>
                <w:sz w:val="18"/>
                <w:szCs w:val="18"/>
              </w:rPr>
            </w:pPr>
            <w:r>
              <w:rPr>
                <w:rFonts w:hint="eastAsia" w:ascii="宋体" w:hAnsi="宋体" w:cs="宋体"/>
                <w:sz w:val="18"/>
                <w:szCs w:val="18"/>
              </w:rPr>
              <w:t>企业为用户提供个人信息查询、删除、更正入口的，得</w:t>
            </w:r>
            <w:r>
              <w:rPr>
                <w:rFonts w:ascii="宋体" w:hAnsi="宋体" w:cs="宋体"/>
                <w:sz w:val="18"/>
                <w:szCs w:val="18"/>
              </w:rPr>
              <w:t>1</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pStyle w:val="181"/>
            </w:pPr>
          </w:p>
        </w:tc>
        <w:tc>
          <w:tcPr>
            <w:tcW w:w="2551" w:type="dxa"/>
            <w:shd w:val="clear" w:color="auto" w:fill="auto"/>
            <w:vAlign w:val="center"/>
          </w:tcPr>
          <w:p>
            <w:pPr>
              <w:autoSpaceDE w:val="0"/>
              <w:autoSpaceDN w:val="0"/>
              <w:spacing w:line="240" w:lineRule="auto"/>
              <w:ind w:left="109"/>
              <w:jc w:val="left"/>
              <w:rPr>
                <w:rFonts w:ascii="宋体" w:hAnsi="宋体" w:cs="宋体"/>
                <w:color w:val="000000"/>
                <w:sz w:val="18"/>
                <w:szCs w:val="18"/>
              </w:rPr>
            </w:pPr>
            <w:r>
              <w:rPr>
                <w:rFonts w:hint="eastAsia" w:ascii="宋体" w:hAnsi="宋体" w:cs="宋体"/>
                <w:sz w:val="18"/>
                <w:szCs w:val="18"/>
              </w:rPr>
              <w:t>获得广泛认可的个人信息保护标准认证（例如，ISO 27001、TRUSTe、隐私标志、SSAE16 soc2标准）（2分）</w:t>
            </w:r>
          </w:p>
        </w:tc>
        <w:tc>
          <w:tcPr>
            <w:tcW w:w="3674" w:type="dxa"/>
            <w:shd w:val="clear" w:color="auto" w:fill="auto"/>
            <w:vAlign w:val="center"/>
          </w:tcPr>
          <w:p>
            <w:pPr>
              <w:autoSpaceDE w:val="0"/>
              <w:autoSpaceDN w:val="0"/>
              <w:spacing w:line="240" w:lineRule="auto"/>
              <w:ind w:left="108"/>
              <w:jc w:val="left"/>
              <w:rPr>
                <w:rFonts w:ascii="宋体" w:hAnsi="宋体" w:cs="宋体"/>
                <w:sz w:val="18"/>
                <w:szCs w:val="18"/>
              </w:rPr>
            </w:pPr>
            <w:r>
              <w:rPr>
                <w:rFonts w:hint="eastAsia" w:ascii="宋体" w:hAnsi="宋体" w:cs="宋体"/>
                <w:sz w:val="18"/>
                <w:szCs w:val="18"/>
              </w:rPr>
              <w:t>企业取得被广泛认可的个人信息保护标准认证的，得</w:t>
            </w:r>
            <w:r>
              <w:rPr>
                <w:rFonts w:ascii="宋体" w:hAnsi="宋体" w:cs="宋体"/>
                <w:sz w:val="18"/>
                <w:szCs w:val="18"/>
              </w:rPr>
              <w:t>2</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pStyle w:val="181"/>
            </w:pPr>
          </w:p>
        </w:tc>
        <w:tc>
          <w:tcPr>
            <w:tcW w:w="2551"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未发生网络宕机、数据泄露等数据安全事件（2分）</w:t>
            </w:r>
          </w:p>
        </w:tc>
        <w:tc>
          <w:tcPr>
            <w:tcW w:w="3674" w:type="dxa"/>
            <w:shd w:val="clear" w:color="auto" w:fill="auto"/>
            <w:vAlign w:val="center"/>
          </w:tcPr>
          <w:p>
            <w:pPr>
              <w:autoSpaceDE w:val="0"/>
              <w:autoSpaceDN w:val="0"/>
              <w:spacing w:line="240" w:lineRule="auto"/>
              <w:ind w:left="108"/>
              <w:jc w:val="left"/>
              <w:rPr>
                <w:rFonts w:ascii="宋体" w:hAnsi="宋体" w:cs="宋体"/>
                <w:sz w:val="18"/>
                <w:szCs w:val="18"/>
              </w:rPr>
            </w:pPr>
            <w:r>
              <w:rPr>
                <w:rFonts w:hint="eastAsia" w:ascii="宋体" w:hAnsi="宋体" w:cs="宋体"/>
                <w:sz w:val="18"/>
                <w:szCs w:val="18"/>
              </w:rPr>
              <w:t>企业在一年内未发生网络宕机、数据泄露等数据安全事件的，得</w:t>
            </w:r>
            <w:r>
              <w:rPr>
                <w:rFonts w:ascii="宋体" w:hAnsi="宋体" w:cs="宋体"/>
                <w:sz w:val="18"/>
                <w:szCs w:val="18"/>
              </w:rPr>
              <w:t>2</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7501" w:type="dxa"/>
            <w:gridSpan w:val="3"/>
            <w:shd w:val="clear" w:color="auto" w:fill="auto"/>
            <w:vAlign w:val="center"/>
          </w:tcPr>
          <w:p>
            <w:pPr>
              <w:pStyle w:val="181"/>
            </w:pPr>
            <w:r>
              <w:rPr>
                <w:rFonts w:hint="eastAsia"/>
              </w:rPr>
              <w:t>减分项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3827" w:type="dxa"/>
            <w:gridSpan w:val="2"/>
            <w:shd w:val="clear" w:color="auto" w:fill="auto"/>
            <w:vAlign w:val="center"/>
          </w:tcPr>
          <w:p>
            <w:pPr>
              <w:autoSpaceDE w:val="0"/>
              <w:autoSpaceDN w:val="0"/>
              <w:spacing w:before="37" w:line="240" w:lineRule="auto"/>
              <w:ind w:left="107"/>
              <w:jc w:val="left"/>
              <w:rPr>
                <w:rFonts w:ascii="宋体" w:hAnsi="宋体" w:cs="宋体"/>
                <w:bCs/>
                <w:color w:val="000000"/>
                <w:spacing w:val="5"/>
                <w:w w:val="97"/>
                <w:kern w:val="0"/>
                <w:sz w:val="18"/>
                <w:szCs w:val="18"/>
              </w:rPr>
            </w:pPr>
            <w:r>
              <w:rPr>
                <w:rFonts w:hint="eastAsia" w:ascii="宋体" w:hAnsi="宋体" w:cs="宋体"/>
                <w:sz w:val="18"/>
                <w:szCs w:val="18"/>
              </w:rPr>
              <w:t>因个人信息保护、数据安全负面事件被监管机构行政处罚（1</w:t>
            </w:r>
            <w:r>
              <w:rPr>
                <w:rFonts w:ascii="宋体" w:hAnsi="宋体" w:cs="宋体"/>
                <w:sz w:val="18"/>
                <w:szCs w:val="18"/>
              </w:rPr>
              <w:t>0</w:t>
            </w:r>
            <w:r>
              <w:rPr>
                <w:rFonts w:hint="eastAsia" w:ascii="宋体" w:hAnsi="宋体" w:cs="宋体"/>
                <w:sz w:val="18"/>
                <w:szCs w:val="18"/>
              </w:rPr>
              <w:t>分）</w:t>
            </w:r>
          </w:p>
        </w:tc>
        <w:tc>
          <w:tcPr>
            <w:tcW w:w="3674" w:type="dxa"/>
            <w:shd w:val="clear" w:color="auto" w:fill="auto"/>
            <w:vAlign w:val="center"/>
          </w:tcPr>
          <w:p>
            <w:pPr>
              <w:autoSpaceDE w:val="0"/>
              <w:autoSpaceDN w:val="0"/>
              <w:spacing w:line="240" w:lineRule="auto"/>
              <w:ind w:left="108"/>
              <w:jc w:val="left"/>
              <w:rPr>
                <w:rFonts w:ascii="宋体" w:hAnsi="宋体" w:cs="宋体"/>
                <w:bCs/>
                <w:color w:val="000000"/>
                <w:kern w:val="0"/>
                <w:sz w:val="18"/>
                <w:szCs w:val="18"/>
              </w:rPr>
            </w:pPr>
            <w:r>
              <w:rPr>
                <w:rFonts w:hint="eastAsia" w:ascii="宋体" w:hAnsi="宋体" w:cs="宋体"/>
                <w:bCs/>
                <w:color w:val="000000"/>
                <w:kern w:val="0"/>
                <w:sz w:val="18"/>
                <w:szCs w:val="18"/>
              </w:rPr>
              <w:t>企业因个人信息保护、数据安全问题受到行政处罚的，每次处罚减5分；受到刑事处罚的，每次处罚减10分；负面事件被省级以上媒体报道的，减5分</w:t>
            </w:r>
          </w:p>
        </w:tc>
      </w:tr>
    </w:tbl>
    <w:p>
      <w:pPr>
        <w:pStyle w:val="59"/>
        <w:ind w:firstLine="0" w:firstLineChars="0"/>
      </w:pPr>
    </w:p>
    <w:p>
      <w:pPr>
        <w:pStyle w:val="68"/>
        <w:spacing w:before="120" w:after="120"/>
      </w:pPr>
      <w:r>
        <w:rPr>
          <w:rFonts w:hint="eastAsia"/>
        </w:rPr>
        <w:t>治理维度评估指标</w:t>
      </w:r>
    </w:p>
    <w:p>
      <w:pPr>
        <w:pStyle w:val="59"/>
        <w:ind w:firstLine="420"/>
      </w:pPr>
      <w:r>
        <w:rPr>
          <w:rFonts w:hint="eastAsia"/>
        </w:rPr>
        <w:t>治理维度评估是指对互联网平台企业如何依据现行法律、行政法规等要求，将外在规范要求内化为企业内部的治理的对策和措施，进行跟踪监测的方法与制度，包括企业社会责任制度建设，企业商业道德治理，企业信息披露，企业内容治理，企业决策治理，治理负面事件六个一级指标。治理维度的评估指标见表</w:t>
      </w:r>
      <w:r>
        <w:t>3</w:t>
      </w:r>
      <w:r>
        <w:rPr>
          <w:rFonts w:hint="eastAsia"/>
        </w:rPr>
        <w:t>。</w:t>
      </w:r>
    </w:p>
    <w:p>
      <w:pPr>
        <w:pStyle w:val="115"/>
        <w:spacing w:before="120" w:after="120"/>
      </w:pPr>
      <w:r>
        <w:rPr>
          <w:rFonts w:hint="eastAsia"/>
        </w:rPr>
        <w:t>治理维度评估指标</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33"/>
        <w:gridCol w:w="1276"/>
        <w:gridCol w:w="2551"/>
        <w:gridCol w:w="36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33" w:type="dxa"/>
            <w:tcBorders>
              <w:top w:val="single" w:color="auto" w:sz="8" w:space="0"/>
              <w:bottom w:val="single" w:color="auto" w:sz="8" w:space="0"/>
            </w:tcBorders>
            <w:shd w:val="clear" w:color="auto" w:fill="auto"/>
            <w:vAlign w:val="center"/>
          </w:tcPr>
          <w:p>
            <w:pPr>
              <w:autoSpaceDE w:val="0"/>
              <w:autoSpaceDN w:val="0"/>
              <w:spacing w:before="35" w:line="209" w:lineRule="exact"/>
              <w:jc w:val="center"/>
              <w:rPr>
                <w:rFonts w:ascii="宋体" w:hAnsi="宋体" w:cs="宋体"/>
                <w:sz w:val="18"/>
                <w:szCs w:val="18"/>
              </w:rPr>
            </w:pPr>
            <w:r>
              <w:rPr>
                <w:rFonts w:ascii="宋体" w:hAnsi="宋体" w:cs="宋体"/>
                <w:b/>
                <w:bCs/>
                <w:color w:val="000000"/>
                <w:spacing w:val="5"/>
                <w:w w:val="97"/>
                <w:kern w:val="0"/>
                <w:sz w:val="18"/>
                <w:szCs w:val="18"/>
              </w:rPr>
              <w:t>一</w:t>
            </w:r>
            <w:r>
              <w:rPr>
                <w:rFonts w:ascii="宋体" w:hAnsi="宋体" w:cs="宋体"/>
                <w:b/>
                <w:bCs/>
                <w:color w:val="000000"/>
                <w:spacing w:val="19"/>
                <w:w w:val="89"/>
                <w:kern w:val="0"/>
                <w:sz w:val="18"/>
                <w:szCs w:val="18"/>
              </w:rPr>
              <w:t>级</w:t>
            </w:r>
            <w:r>
              <w:rPr>
                <w:rFonts w:ascii="宋体" w:hAnsi="宋体" w:cs="宋体"/>
                <w:b/>
                <w:bCs/>
                <w:color w:val="000000"/>
                <w:spacing w:val="5"/>
                <w:w w:val="89"/>
                <w:kern w:val="0"/>
                <w:sz w:val="18"/>
                <w:szCs w:val="18"/>
              </w:rPr>
              <w:t>指</w:t>
            </w:r>
            <w:r>
              <w:rPr>
                <w:rFonts w:ascii="宋体" w:hAnsi="宋体" w:cs="宋体"/>
                <w:b/>
                <w:bCs/>
                <w:color w:val="000000"/>
                <w:spacing w:val="19"/>
                <w:w w:val="89"/>
                <w:kern w:val="0"/>
                <w:sz w:val="18"/>
                <w:szCs w:val="18"/>
              </w:rPr>
              <w:t>标</w:t>
            </w:r>
          </w:p>
        </w:tc>
        <w:tc>
          <w:tcPr>
            <w:tcW w:w="1276" w:type="dxa"/>
            <w:tcBorders>
              <w:top w:val="single" w:color="auto" w:sz="8" w:space="0"/>
              <w:bottom w:val="single" w:color="auto" w:sz="8" w:space="0"/>
            </w:tcBorders>
            <w:shd w:val="clear" w:color="auto" w:fill="auto"/>
            <w:vAlign w:val="center"/>
          </w:tcPr>
          <w:p>
            <w:pPr>
              <w:autoSpaceDE w:val="0"/>
              <w:autoSpaceDN w:val="0"/>
              <w:spacing w:before="35" w:line="209" w:lineRule="exact"/>
              <w:jc w:val="center"/>
              <w:rPr>
                <w:rFonts w:ascii="宋体" w:hAnsi="宋体" w:cs="宋体"/>
                <w:sz w:val="18"/>
                <w:szCs w:val="18"/>
              </w:rPr>
            </w:pPr>
            <w:r>
              <w:rPr>
                <w:rFonts w:ascii="宋体" w:hAnsi="宋体" w:cs="宋体"/>
                <w:b/>
                <w:bCs/>
                <w:color w:val="000000"/>
                <w:spacing w:val="5"/>
                <w:w w:val="97"/>
                <w:kern w:val="0"/>
                <w:sz w:val="18"/>
                <w:szCs w:val="18"/>
              </w:rPr>
              <w:t>二</w:t>
            </w:r>
            <w:r>
              <w:rPr>
                <w:rFonts w:ascii="宋体" w:hAnsi="宋体" w:cs="宋体"/>
                <w:b/>
                <w:bCs/>
                <w:color w:val="000000"/>
                <w:spacing w:val="19"/>
                <w:w w:val="89"/>
                <w:kern w:val="0"/>
                <w:sz w:val="18"/>
                <w:szCs w:val="18"/>
              </w:rPr>
              <w:t>级</w:t>
            </w:r>
            <w:r>
              <w:rPr>
                <w:rFonts w:ascii="宋体" w:hAnsi="宋体" w:cs="宋体"/>
                <w:b/>
                <w:bCs/>
                <w:color w:val="000000"/>
                <w:spacing w:val="5"/>
                <w:w w:val="89"/>
                <w:kern w:val="0"/>
                <w:sz w:val="18"/>
                <w:szCs w:val="18"/>
              </w:rPr>
              <w:t>指</w:t>
            </w:r>
            <w:r>
              <w:rPr>
                <w:rFonts w:ascii="宋体" w:hAnsi="宋体" w:cs="宋体"/>
                <w:b/>
                <w:bCs/>
                <w:color w:val="000000"/>
                <w:spacing w:val="19"/>
                <w:w w:val="89"/>
                <w:kern w:val="0"/>
                <w:sz w:val="18"/>
                <w:szCs w:val="18"/>
              </w:rPr>
              <w:t>标</w:t>
            </w:r>
          </w:p>
        </w:tc>
        <w:tc>
          <w:tcPr>
            <w:tcW w:w="2551" w:type="dxa"/>
            <w:tcBorders>
              <w:top w:val="single" w:color="auto" w:sz="8" w:space="0"/>
              <w:bottom w:val="single" w:color="auto" w:sz="8" w:space="0"/>
            </w:tcBorders>
            <w:shd w:val="clear" w:color="auto" w:fill="auto"/>
            <w:vAlign w:val="center"/>
          </w:tcPr>
          <w:p>
            <w:pPr>
              <w:autoSpaceDE w:val="0"/>
              <w:autoSpaceDN w:val="0"/>
              <w:spacing w:before="35" w:line="209" w:lineRule="exact"/>
              <w:jc w:val="center"/>
              <w:rPr>
                <w:rFonts w:ascii="宋体" w:hAnsi="宋体" w:cs="宋体"/>
                <w:sz w:val="18"/>
                <w:szCs w:val="18"/>
              </w:rPr>
            </w:pPr>
            <w:r>
              <w:rPr>
                <w:rFonts w:hint="eastAsia" w:ascii="宋体" w:hAnsi="宋体" w:cs="宋体"/>
                <w:b/>
                <w:bCs/>
                <w:color w:val="000000"/>
                <w:spacing w:val="5"/>
                <w:w w:val="97"/>
                <w:kern w:val="0"/>
                <w:sz w:val="18"/>
                <w:szCs w:val="18"/>
              </w:rPr>
              <w:t>三级指标</w:t>
            </w:r>
          </w:p>
        </w:tc>
        <w:tc>
          <w:tcPr>
            <w:tcW w:w="3674" w:type="dxa"/>
            <w:tcBorders>
              <w:top w:val="single" w:color="auto" w:sz="8" w:space="0"/>
              <w:bottom w:val="single" w:color="auto" w:sz="8" w:space="0"/>
            </w:tcBorders>
            <w:shd w:val="clear" w:color="auto" w:fill="auto"/>
            <w:vAlign w:val="center"/>
          </w:tcPr>
          <w:p>
            <w:pPr>
              <w:autoSpaceDE w:val="0"/>
              <w:autoSpaceDN w:val="0"/>
              <w:spacing w:before="35" w:line="209" w:lineRule="exact"/>
              <w:jc w:val="center"/>
              <w:rPr>
                <w:rFonts w:ascii="宋体" w:hAnsi="宋体" w:cs="宋体"/>
                <w:sz w:val="18"/>
                <w:szCs w:val="18"/>
              </w:rPr>
            </w:pPr>
            <w:r>
              <w:rPr>
                <w:rFonts w:hint="eastAsia" w:ascii="宋体" w:hAnsi="宋体" w:cs="宋体"/>
                <w:b/>
                <w:bCs/>
                <w:color w:val="000000"/>
                <w:spacing w:val="5"/>
                <w:w w:val="97"/>
                <w:kern w:val="0"/>
                <w:sz w:val="18"/>
                <w:szCs w:val="18"/>
              </w:rPr>
              <w:t>评分细则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restart"/>
            <w:tcBorders>
              <w:top w:val="single" w:color="auto" w:sz="8" w:space="0"/>
            </w:tcBorders>
            <w:shd w:val="clear" w:color="auto" w:fill="auto"/>
            <w:vAlign w:val="center"/>
          </w:tcPr>
          <w:p>
            <w:pPr>
              <w:pStyle w:val="181"/>
            </w:pPr>
            <w:r>
              <w:rPr>
                <w:rFonts w:hint="eastAsia" w:hAnsi="宋体" w:cs="宋体"/>
                <w:bCs/>
                <w:color w:val="000000"/>
                <w:szCs w:val="18"/>
              </w:rPr>
              <w:t>企业E</w:t>
            </w:r>
            <w:r>
              <w:rPr>
                <w:rFonts w:hAnsi="宋体" w:cs="宋体"/>
                <w:bCs/>
                <w:color w:val="000000"/>
                <w:szCs w:val="18"/>
              </w:rPr>
              <w:t>SG</w:t>
            </w:r>
            <w:r>
              <w:rPr>
                <w:rFonts w:hint="eastAsia" w:hAnsi="宋体" w:cs="宋体"/>
                <w:bCs/>
                <w:color w:val="000000"/>
                <w:szCs w:val="18"/>
              </w:rPr>
              <w:t>制度建设（</w:t>
            </w:r>
            <w:r>
              <w:rPr>
                <w:rFonts w:hAnsi="宋体" w:cs="宋体"/>
                <w:bCs/>
                <w:color w:val="000000"/>
                <w:szCs w:val="18"/>
              </w:rPr>
              <w:t>10</w:t>
            </w:r>
            <w:r>
              <w:rPr>
                <w:rFonts w:hint="eastAsia" w:hAnsi="宋体" w:cs="宋体"/>
                <w:bCs/>
                <w:color w:val="000000"/>
                <w:szCs w:val="18"/>
              </w:rPr>
              <w:t>分）</w:t>
            </w:r>
          </w:p>
        </w:tc>
        <w:tc>
          <w:tcPr>
            <w:tcW w:w="1276" w:type="dxa"/>
            <w:tcBorders>
              <w:top w:val="single" w:color="auto" w:sz="8" w:space="0"/>
            </w:tcBorders>
            <w:shd w:val="clear" w:color="auto" w:fill="auto"/>
            <w:vAlign w:val="center"/>
          </w:tcPr>
          <w:p>
            <w:pPr>
              <w:autoSpaceDE w:val="0"/>
              <w:autoSpaceDN w:val="0"/>
              <w:spacing w:line="240" w:lineRule="auto"/>
              <w:ind w:left="107" w:right="25"/>
              <w:jc w:val="center"/>
              <w:rPr>
                <w:rFonts w:ascii="宋体" w:hAnsi="宋体" w:cs="宋体"/>
                <w:sz w:val="18"/>
                <w:szCs w:val="18"/>
              </w:rPr>
            </w:pPr>
            <w:r>
              <w:rPr>
                <w:rFonts w:hint="eastAsia" w:ascii="宋体" w:hAnsi="宋体" w:cs="宋体"/>
                <w:sz w:val="18"/>
                <w:szCs w:val="18"/>
              </w:rPr>
              <w:t>战略与文化建设（</w:t>
            </w:r>
            <w:r>
              <w:rPr>
                <w:rFonts w:ascii="宋体" w:hAnsi="宋体" w:cs="宋体"/>
                <w:sz w:val="18"/>
                <w:szCs w:val="18"/>
              </w:rPr>
              <w:t>4</w:t>
            </w:r>
            <w:r>
              <w:rPr>
                <w:rFonts w:hint="eastAsia" w:ascii="宋体" w:hAnsi="宋体" w:cs="宋体"/>
                <w:sz w:val="18"/>
                <w:szCs w:val="18"/>
              </w:rPr>
              <w:t>分）</w:t>
            </w:r>
          </w:p>
        </w:tc>
        <w:tc>
          <w:tcPr>
            <w:tcW w:w="2551" w:type="dxa"/>
            <w:tcBorders>
              <w:top w:val="single" w:color="auto" w:sz="8" w:space="0"/>
            </w:tcBorders>
            <w:shd w:val="clear" w:color="auto" w:fill="auto"/>
            <w:vAlign w:val="center"/>
          </w:tcPr>
          <w:p>
            <w:pPr>
              <w:autoSpaceDE w:val="0"/>
              <w:autoSpaceDN w:val="0"/>
              <w:spacing w:line="240" w:lineRule="auto"/>
              <w:ind w:left="107" w:right="25"/>
              <w:jc w:val="left"/>
              <w:rPr>
                <w:rFonts w:ascii="宋体" w:hAnsi="宋体" w:cs="宋体"/>
                <w:sz w:val="18"/>
                <w:szCs w:val="18"/>
              </w:rPr>
            </w:pPr>
            <w:r>
              <w:rPr>
                <w:rFonts w:hint="eastAsia" w:ascii="宋体" w:hAnsi="宋体" w:cs="宋体"/>
                <w:sz w:val="18"/>
                <w:szCs w:val="18"/>
              </w:rPr>
              <w:t>树立了可持续发展的企业价值观，制定了ESG战略，将</w:t>
            </w:r>
            <w:r>
              <w:rPr>
                <w:rFonts w:hint="eastAsia" w:hAnsi="宋体" w:cs="宋体"/>
                <w:bCs/>
                <w:color w:val="000000"/>
                <w:szCs w:val="18"/>
              </w:rPr>
              <w:t>E</w:t>
            </w:r>
            <w:r>
              <w:rPr>
                <w:rFonts w:hAnsi="宋体" w:cs="宋体"/>
                <w:bCs/>
                <w:color w:val="000000"/>
                <w:szCs w:val="18"/>
              </w:rPr>
              <w:t>SG</w:t>
            </w:r>
            <w:r>
              <w:rPr>
                <w:rFonts w:hint="eastAsia" w:ascii="宋体" w:hAnsi="宋体" w:cs="宋体"/>
                <w:sz w:val="18"/>
                <w:szCs w:val="18"/>
              </w:rPr>
              <w:t>纳入企业文化建设工作（</w:t>
            </w:r>
            <w:r>
              <w:rPr>
                <w:rFonts w:ascii="宋体" w:hAnsi="宋体" w:cs="宋体"/>
                <w:sz w:val="18"/>
                <w:szCs w:val="18"/>
              </w:rPr>
              <w:t>4</w:t>
            </w:r>
            <w:r>
              <w:rPr>
                <w:rFonts w:hint="eastAsia" w:ascii="宋体" w:hAnsi="宋体" w:cs="宋体"/>
                <w:sz w:val="18"/>
                <w:szCs w:val="18"/>
              </w:rPr>
              <w:t>分）</w:t>
            </w:r>
          </w:p>
        </w:tc>
        <w:tc>
          <w:tcPr>
            <w:tcW w:w="3674" w:type="dxa"/>
            <w:tcBorders>
              <w:top w:val="single" w:color="auto" w:sz="8" w:space="0"/>
            </w:tcBorders>
            <w:shd w:val="clear" w:color="auto" w:fill="auto"/>
            <w:vAlign w:val="center"/>
          </w:tcPr>
          <w:p>
            <w:pPr>
              <w:autoSpaceDE w:val="0"/>
              <w:autoSpaceDN w:val="0"/>
              <w:spacing w:line="240" w:lineRule="auto"/>
              <w:ind w:left="108" w:right="5"/>
              <w:jc w:val="left"/>
              <w:rPr>
                <w:rFonts w:ascii="宋体" w:hAnsi="宋体" w:cs="宋体"/>
                <w:sz w:val="18"/>
                <w:szCs w:val="18"/>
              </w:rPr>
            </w:pPr>
            <w:r>
              <w:rPr>
                <w:rFonts w:hint="eastAsia" w:ascii="宋体" w:hAnsi="宋体" w:cs="宋体"/>
                <w:sz w:val="18"/>
                <w:szCs w:val="18"/>
              </w:rPr>
              <w:t>树立了可持续发展的企业价值观，制定符合公司情况的ESG战略，得</w:t>
            </w:r>
            <w:r>
              <w:rPr>
                <w:rFonts w:ascii="宋体" w:hAnsi="宋体" w:cs="宋体"/>
                <w:sz w:val="18"/>
                <w:szCs w:val="18"/>
              </w:rPr>
              <w:t>3</w:t>
            </w:r>
            <w:r>
              <w:rPr>
                <w:rFonts w:hint="eastAsia" w:ascii="宋体" w:hAnsi="宋体" w:cs="宋体"/>
                <w:sz w:val="18"/>
                <w:szCs w:val="18"/>
              </w:rPr>
              <w:t>分；定期进行企业文化建设，深化对</w:t>
            </w:r>
            <w:r>
              <w:rPr>
                <w:rFonts w:hint="eastAsia" w:hAnsi="宋体" w:cs="宋体"/>
                <w:bCs/>
                <w:color w:val="000000"/>
                <w:szCs w:val="18"/>
              </w:rPr>
              <w:t>E</w:t>
            </w:r>
            <w:r>
              <w:rPr>
                <w:rFonts w:hAnsi="宋体" w:cs="宋体"/>
                <w:bCs/>
                <w:color w:val="000000"/>
                <w:szCs w:val="18"/>
              </w:rPr>
              <w:t>SG</w:t>
            </w:r>
            <w:r>
              <w:rPr>
                <w:rFonts w:hint="eastAsia" w:ascii="宋体" w:hAnsi="宋体" w:cs="宋体"/>
                <w:sz w:val="18"/>
                <w:szCs w:val="18"/>
              </w:rPr>
              <w:t>的理解与认可，加1分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shd w:val="clear" w:color="auto" w:fill="auto"/>
            <w:vAlign w:val="center"/>
          </w:tcPr>
          <w:p>
            <w:pPr>
              <w:autoSpaceDE w:val="0"/>
              <w:autoSpaceDN w:val="0"/>
              <w:spacing w:line="240" w:lineRule="auto"/>
              <w:ind w:left="107" w:right="25"/>
              <w:jc w:val="center"/>
              <w:rPr>
                <w:rFonts w:ascii="宋体" w:hAnsi="宋体" w:cs="宋体"/>
                <w:sz w:val="18"/>
                <w:szCs w:val="18"/>
              </w:rPr>
            </w:pPr>
            <w:r>
              <w:rPr>
                <w:rFonts w:hint="eastAsia" w:ascii="宋体" w:hAnsi="宋体" w:cs="宋体"/>
                <w:sz w:val="18"/>
                <w:szCs w:val="18"/>
              </w:rPr>
              <w:t>操作制度建设（</w:t>
            </w:r>
            <w:r>
              <w:rPr>
                <w:rFonts w:ascii="宋体" w:hAnsi="宋体" w:cs="宋体"/>
                <w:sz w:val="18"/>
                <w:szCs w:val="18"/>
              </w:rPr>
              <w:t>4</w:t>
            </w:r>
            <w:r>
              <w:rPr>
                <w:rFonts w:hint="eastAsia" w:ascii="宋体" w:hAnsi="宋体" w:cs="宋体"/>
                <w:sz w:val="18"/>
                <w:szCs w:val="18"/>
              </w:rPr>
              <w:t>分）</w:t>
            </w:r>
          </w:p>
        </w:tc>
        <w:tc>
          <w:tcPr>
            <w:tcW w:w="2551" w:type="dxa"/>
            <w:shd w:val="clear" w:color="auto" w:fill="auto"/>
            <w:vAlign w:val="center"/>
          </w:tcPr>
          <w:p>
            <w:pPr>
              <w:autoSpaceDE w:val="0"/>
              <w:autoSpaceDN w:val="0"/>
              <w:spacing w:line="240" w:lineRule="auto"/>
              <w:ind w:left="107" w:right="25"/>
              <w:jc w:val="left"/>
              <w:rPr>
                <w:rFonts w:ascii="宋体" w:hAnsi="宋体" w:cs="宋体"/>
                <w:sz w:val="18"/>
                <w:szCs w:val="18"/>
              </w:rPr>
            </w:pPr>
            <w:r>
              <w:rPr>
                <w:rFonts w:hint="eastAsia" w:ascii="宋体" w:hAnsi="宋体" w:cs="宋体"/>
                <w:sz w:val="18"/>
                <w:szCs w:val="18"/>
              </w:rPr>
              <w:t>具象化企业</w:t>
            </w:r>
            <w:r>
              <w:rPr>
                <w:rFonts w:hint="eastAsia" w:hAnsi="宋体" w:cs="宋体"/>
                <w:bCs/>
                <w:color w:val="000000"/>
                <w:szCs w:val="18"/>
              </w:rPr>
              <w:t>E</w:t>
            </w:r>
            <w:r>
              <w:rPr>
                <w:rFonts w:hAnsi="宋体" w:cs="宋体"/>
                <w:bCs/>
                <w:color w:val="000000"/>
                <w:szCs w:val="18"/>
              </w:rPr>
              <w:t>SG</w:t>
            </w:r>
            <w:r>
              <w:rPr>
                <w:rFonts w:hint="eastAsia" w:ascii="宋体" w:hAnsi="宋体" w:cs="宋体"/>
                <w:sz w:val="18"/>
                <w:szCs w:val="18"/>
              </w:rPr>
              <w:t>落实在各部门工作中的操作要求，并形成了成文的操作规则（</w:t>
            </w:r>
            <w:r>
              <w:rPr>
                <w:rFonts w:ascii="宋体" w:hAnsi="宋体" w:cs="宋体"/>
                <w:sz w:val="18"/>
                <w:szCs w:val="18"/>
              </w:rPr>
              <w:t>4</w:t>
            </w:r>
            <w:r>
              <w:rPr>
                <w:rFonts w:hint="eastAsia" w:ascii="宋体" w:hAnsi="宋体" w:cs="宋体"/>
                <w:sz w:val="18"/>
                <w:szCs w:val="18"/>
              </w:rPr>
              <w:t>分）</w:t>
            </w:r>
          </w:p>
        </w:tc>
        <w:tc>
          <w:tcPr>
            <w:tcW w:w="3674" w:type="dxa"/>
            <w:shd w:val="clear" w:color="auto" w:fill="auto"/>
            <w:vAlign w:val="center"/>
          </w:tcPr>
          <w:p>
            <w:pPr>
              <w:autoSpaceDE w:val="0"/>
              <w:autoSpaceDN w:val="0"/>
              <w:spacing w:line="240" w:lineRule="auto"/>
              <w:ind w:left="108" w:right="5"/>
              <w:jc w:val="left"/>
              <w:rPr>
                <w:rFonts w:ascii="宋体" w:hAnsi="宋体" w:cs="宋体"/>
                <w:sz w:val="18"/>
                <w:szCs w:val="18"/>
              </w:rPr>
            </w:pPr>
            <w:r>
              <w:rPr>
                <w:rFonts w:hint="eastAsia" w:ascii="宋体" w:hAnsi="宋体" w:cs="宋体"/>
                <w:sz w:val="18"/>
                <w:szCs w:val="18"/>
              </w:rPr>
              <w:t>企业各部门有成文的企业</w:t>
            </w:r>
            <w:r>
              <w:rPr>
                <w:rFonts w:hint="eastAsia" w:hAnsi="宋体" w:cs="宋体"/>
                <w:bCs/>
                <w:color w:val="000000"/>
                <w:szCs w:val="18"/>
              </w:rPr>
              <w:t>E</w:t>
            </w:r>
            <w:r>
              <w:rPr>
                <w:rFonts w:hAnsi="宋体" w:cs="宋体"/>
                <w:bCs/>
                <w:color w:val="000000"/>
                <w:szCs w:val="18"/>
              </w:rPr>
              <w:t>SG</w:t>
            </w:r>
            <w:r>
              <w:rPr>
                <w:rFonts w:hint="eastAsia" w:ascii="宋体" w:hAnsi="宋体" w:cs="宋体"/>
                <w:sz w:val="18"/>
                <w:szCs w:val="18"/>
              </w:rPr>
              <w:t>操作规则的，得</w:t>
            </w:r>
            <w:r>
              <w:rPr>
                <w:rFonts w:ascii="宋体" w:hAnsi="宋体" w:cs="宋体"/>
                <w:sz w:val="18"/>
                <w:szCs w:val="18"/>
              </w:rPr>
              <w:t>4</w:t>
            </w:r>
            <w:r>
              <w:rPr>
                <w:rFonts w:hint="eastAsia" w:ascii="宋体" w:hAnsi="宋体" w:cs="宋体"/>
                <w:sz w:val="18"/>
                <w:szCs w:val="18"/>
              </w:rPr>
              <w:t>分；没有成文规则，但有符合企业</w:t>
            </w:r>
            <w:r>
              <w:rPr>
                <w:rFonts w:hint="eastAsia" w:hAnsi="宋体" w:cs="宋体"/>
                <w:bCs/>
                <w:color w:val="000000"/>
                <w:szCs w:val="18"/>
              </w:rPr>
              <w:t>E</w:t>
            </w:r>
            <w:r>
              <w:rPr>
                <w:rFonts w:hAnsi="宋体" w:cs="宋体"/>
                <w:bCs/>
                <w:color w:val="000000"/>
                <w:szCs w:val="18"/>
              </w:rPr>
              <w:t>SG</w:t>
            </w:r>
            <w:r>
              <w:rPr>
                <w:rFonts w:hint="eastAsia" w:ascii="宋体" w:hAnsi="宋体" w:cs="宋体"/>
                <w:sz w:val="18"/>
                <w:szCs w:val="18"/>
              </w:rPr>
              <w:t>的典型案例示范的，得</w:t>
            </w:r>
            <w:r>
              <w:rPr>
                <w:rFonts w:ascii="宋体" w:hAnsi="宋体" w:cs="宋体"/>
                <w:sz w:val="18"/>
                <w:szCs w:val="18"/>
              </w:rPr>
              <w:t>2</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shd w:val="clear" w:color="auto" w:fill="auto"/>
            <w:vAlign w:val="center"/>
          </w:tcPr>
          <w:p>
            <w:pPr>
              <w:autoSpaceDE w:val="0"/>
              <w:autoSpaceDN w:val="0"/>
              <w:spacing w:line="240" w:lineRule="auto"/>
              <w:ind w:left="107" w:right="25"/>
              <w:jc w:val="center"/>
              <w:rPr>
                <w:rFonts w:ascii="宋体" w:hAnsi="宋体" w:cs="宋体"/>
                <w:sz w:val="18"/>
                <w:szCs w:val="18"/>
              </w:rPr>
            </w:pPr>
            <w:r>
              <w:rPr>
                <w:rFonts w:hint="eastAsia" w:ascii="宋体" w:hAnsi="宋体" w:cs="宋体"/>
                <w:sz w:val="18"/>
                <w:szCs w:val="18"/>
              </w:rPr>
              <w:t>人事管理制度建设（</w:t>
            </w:r>
            <w:r>
              <w:rPr>
                <w:rFonts w:ascii="宋体" w:hAnsi="宋体" w:cs="宋体"/>
                <w:sz w:val="18"/>
                <w:szCs w:val="18"/>
              </w:rPr>
              <w:t>2</w:t>
            </w:r>
            <w:r>
              <w:rPr>
                <w:rFonts w:hint="eastAsia" w:ascii="宋体" w:hAnsi="宋体" w:cs="宋体"/>
                <w:sz w:val="18"/>
                <w:szCs w:val="18"/>
              </w:rPr>
              <w:t>分）</w:t>
            </w:r>
          </w:p>
        </w:tc>
        <w:tc>
          <w:tcPr>
            <w:tcW w:w="2551" w:type="dxa"/>
            <w:shd w:val="clear" w:color="auto" w:fill="auto"/>
            <w:vAlign w:val="center"/>
          </w:tcPr>
          <w:p>
            <w:pPr>
              <w:autoSpaceDE w:val="0"/>
              <w:autoSpaceDN w:val="0"/>
              <w:spacing w:line="240" w:lineRule="auto"/>
              <w:ind w:left="107" w:right="25"/>
              <w:jc w:val="left"/>
              <w:rPr>
                <w:rFonts w:ascii="宋体" w:hAnsi="宋体" w:cs="宋体"/>
                <w:sz w:val="18"/>
                <w:szCs w:val="18"/>
              </w:rPr>
            </w:pPr>
            <w:r>
              <w:rPr>
                <w:rFonts w:hint="eastAsia" w:ascii="宋体" w:hAnsi="宋体" w:cs="宋体"/>
                <w:sz w:val="18"/>
                <w:szCs w:val="18"/>
              </w:rPr>
              <w:t>建立了包含企业</w:t>
            </w:r>
            <w:r>
              <w:rPr>
                <w:rFonts w:hint="eastAsia" w:hAnsi="宋体" w:cs="宋体"/>
                <w:bCs/>
                <w:color w:val="000000"/>
                <w:szCs w:val="18"/>
              </w:rPr>
              <w:t>E</w:t>
            </w:r>
            <w:r>
              <w:rPr>
                <w:rFonts w:hAnsi="宋体" w:cs="宋体"/>
                <w:bCs/>
                <w:color w:val="000000"/>
                <w:szCs w:val="18"/>
              </w:rPr>
              <w:t>SG</w:t>
            </w:r>
            <w:r>
              <w:rPr>
                <w:rFonts w:hint="eastAsia" w:ascii="宋体" w:hAnsi="宋体" w:cs="宋体"/>
                <w:sz w:val="18"/>
                <w:szCs w:val="18"/>
              </w:rPr>
              <w:t>理念内容的培训制度（</w:t>
            </w:r>
            <w:r>
              <w:rPr>
                <w:rFonts w:ascii="宋体" w:hAnsi="宋体" w:cs="宋体"/>
                <w:sz w:val="18"/>
                <w:szCs w:val="18"/>
              </w:rPr>
              <w:t>2</w:t>
            </w:r>
            <w:r>
              <w:rPr>
                <w:rFonts w:hint="eastAsia" w:ascii="宋体" w:hAnsi="宋体" w:cs="宋体"/>
                <w:sz w:val="18"/>
                <w:szCs w:val="18"/>
              </w:rPr>
              <w:t>分）</w:t>
            </w:r>
          </w:p>
        </w:tc>
        <w:tc>
          <w:tcPr>
            <w:tcW w:w="3674" w:type="dxa"/>
            <w:shd w:val="clear" w:color="auto" w:fill="auto"/>
            <w:vAlign w:val="center"/>
          </w:tcPr>
          <w:p>
            <w:pPr>
              <w:autoSpaceDE w:val="0"/>
              <w:autoSpaceDN w:val="0"/>
              <w:spacing w:line="240" w:lineRule="auto"/>
              <w:ind w:left="108" w:right="5"/>
              <w:jc w:val="left"/>
              <w:rPr>
                <w:rFonts w:ascii="宋体" w:hAnsi="宋体" w:cs="宋体"/>
                <w:sz w:val="18"/>
                <w:szCs w:val="18"/>
              </w:rPr>
            </w:pPr>
            <w:r>
              <w:rPr>
                <w:rFonts w:hint="eastAsia" w:ascii="宋体" w:hAnsi="宋体" w:cs="宋体"/>
                <w:sz w:val="18"/>
                <w:szCs w:val="18"/>
              </w:rPr>
              <w:t>建立了包含企业</w:t>
            </w:r>
            <w:r>
              <w:rPr>
                <w:rFonts w:hint="eastAsia" w:hAnsi="宋体" w:cs="宋体"/>
                <w:bCs/>
                <w:color w:val="000000"/>
                <w:szCs w:val="18"/>
              </w:rPr>
              <w:t>E</w:t>
            </w:r>
            <w:r>
              <w:rPr>
                <w:rFonts w:hAnsi="宋体" w:cs="宋体"/>
                <w:bCs/>
                <w:color w:val="000000"/>
                <w:szCs w:val="18"/>
              </w:rPr>
              <w:t>SG</w:t>
            </w:r>
            <w:r>
              <w:rPr>
                <w:rFonts w:hint="eastAsia" w:ascii="宋体" w:hAnsi="宋体" w:cs="宋体"/>
                <w:sz w:val="18"/>
                <w:szCs w:val="18"/>
              </w:rPr>
              <w:t>理念内容的培训制度的，得</w:t>
            </w:r>
            <w:r>
              <w:rPr>
                <w:rFonts w:ascii="宋体" w:hAnsi="宋体" w:cs="宋体"/>
                <w:sz w:val="18"/>
                <w:szCs w:val="18"/>
              </w:rPr>
              <w:t>2</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7501" w:type="dxa"/>
            <w:gridSpan w:val="3"/>
            <w:shd w:val="clear" w:color="auto" w:fill="auto"/>
            <w:vAlign w:val="center"/>
          </w:tcPr>
          <w:p>
            <w:pPr>
              <w:pStyle w:val="181"/>
            </w:pPr>
            <w:r>
              <w:rPr>
                <w:rFonts w:hint="eastAsia"/>
              </w:rPr>
              <w:t>加分项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89" w:hRule="atLeast"/>
          <w:jc w:val="center"/>
        </w:trPr>
        <w:tc>
          <w:tcPr>
            <w:tcW w:w="1833" w:type="dxa"/>
            <w:vMerge w:val="continue"/>
            <w:shd w:val="clear" w:color="auto" w:fill="auto"/>
            <w:vAlign w:val="center"/>
          </w:tcPr>
          <w:p>
            <w:pPr>
              <w:pStyle w:val="181"/>
            </w:pPr>
          </w:p>
        </w:tc>
        <w:tc>
          <w:tcPr>
            <w:tcW w:w="3827" w:type="dxa"/>
            <w:gridSpan w:val="2"/>
            <w:shd w:val="clear" w:color="auto" w:fill="auto"/>
            <w:vAlign w:val="center"/>
          </w:tcPr>
          <w:p>
            <w:pPr>
              <w:autoSpaceDE w:val="0"/>
              <w:autoSpaceDN w:val="0"/>
              <w:spacing w:line="240" w:lineRule="auto"/>
              <w:ind w:left="107" w:right="25"/>
              <w:jc w:val="left"/>
              <w:rPr>
                <w:rFonts w:ascii="宋体" w:hAnsi="宋体" w:cs="宋体"/>
                <w:sz w:val="18"/>
                <w:szCs w:val="18"/>
              </w:rPr>
            </w:pPr>
            <w:r>
              <w:rPr>
                <w:rFonts w:hint="eastAsia" w:ascii="宋体" w:hAnsi="宋体" w:cs="宋体"/>
                <w:sz w:val="18"/>
                <w:szCs w:val="18"/>
              </w:rPr>
              <w:t>将企业</w:t>
            </w:r>
            <w:r>
              <w:rPr>
                <w:rFonts w:hint="eastAsia" w:hAnsi="宋体" w:cs="宋体"/>
                <w:bCs/>
                <w:color w:val="000000"/>
                <w:szCs w:val="18"/>
              </w:rPr>
              <w:t>E</w:t>
            </w:r>
            <w:r>
              <w:rPr>
                <w:rFonts w:hAnsi="宋体" w:cs="宋体"/>
                <w:bCs/>
                <w:color w:val="000000"/>
                <w:szCs w:val="18"/>
              </w:rPr>
              <w:t>SG</w:t>
            </w:r>
            <w:r>
              <w:rPr>
                <w:rFonts w:hint="eastAsia" w:ascii="宋体" w:hAnsi="宋体" w:cs="宋体"/>
                <w:sz w:val="18"/>
                <w:szCs w:val="18"/>
              </w:rPr>
              <w:t>践行情况纳入企业考核，设置与企业</w:t>
            </w:r>
            <w:r>
              <w:rPr>
                <w:rFonts w:hint="eastAsia" w:hAnsi="宋体" w:cs="宋体"/>
                <w:bCs/>
                <w:color w:val="000000"/>
                <w:szCs w:val="18"/>
              </w:rPr>
              <w:t>E</w:t>
            </w:r>
            <w:r>
              <w:rPr>
                <w:rFonts w:hAnsi="宋体" w:cs="宋体"/>
                <w:bCs/>
                <w:color w:val="000000"/>
                <w:szCs w:val="18"/>
              </w:rPr>
              <w:t>SG</w:t>
            </w:r>
            <w:r>
              <w:rPr>
                <w:rFonts w:hint="eastAsia" w:ascii="宋体" w:hAnsi="宋体" w:cs="宋体"/>
                <w:sz w:val="18"/>
                <w:szCs w:val="18"/>
              </w:rPr>
              <w:t>践行情况相关的激励措施（</w:t>
            </w:r>
            <w:r>
              <w:rPr>
                <w:rFonts w:ascii="宋体" w:hAnsi="宋体" w:cs="宋体"/>
                <w:sz w:val="18"/>
                <w:szCs w:val="18"/>
              </w:rPr>
              <w:t>2</w:t>
            </w:r>
            <w:r>
              <w:rPr>
                <w:rFonts w:hint="eastAsia" w:ascii="宋体" w:hAnsi="宋体" w:cs="宋体"/>
                <w:sz w:val="18"/>
                <w:szCs w:val="18"/>
              </w:rPr>
              <w:t>分）</w:t>
            </w:r>
          </w:p>
        </w:tc>
        <w:tc>
          <w:tcPr>
            <w:tcW w:w="3674" w:type="dxa"/>
            <w:shd w:val="clear" w:color="auto" w:fill="auto"/>
            <w:vAlign w:val="center"/>
          </w:tcPr>
          <w:p>
            <w:pPr>
              <w:autoSpaceDE w:val="0"/>
              <w:autoSpaceDN w:val="0"/>
              <w:spacing w:line="240" w:lineRule="auto"/>
              <w:ind w:left="108" w:right="5"/>
              <w:jc w:val="left"/>
              <w:rPr>
                <w:rFonts w:ascii="宋体" w:hAnsi="宋体" w:cs="宋体"/>
                <w:sz w:val="18"/>
                <w:szCs w:val="18"/>
              </w:rPr>
            </w:pPr>
            <w:r>
              <w:rPr>
                <w:rFonts w:hint="eastAsia" w:ascii="宋体" w:hAnsi="宋体" w:cs="宋体"/>
                <w:sz w:val="18"/>
                <w:szCs w:val="18"/>
              </w:rPr>
              <w:t>将企业</w:t>
            </w:r>
            <w:r>
              <w:rPr>
                <w:rFonts w:hint="eastAsia" w:hAnsi="宋体" w:cs="宋体"/>
                <w:bCs/>
                <w:color w:val="000000"/>
                <w:szCs w:val="18"/>
              </w:rPr>
              <w:t>E</w:t>
            </w:r>
            <w:r>
              <w:rPr>
                <w:rFonts w:hAnsi="宋体" w:cs="宋体"/>
                <w:bCs/>
                <w:color w:val="000000"/>
                <w:szCs w:val="18"/>
              </w:rPr>
              <w:t>SG</w:t>
            </w:r>
            <w:r>
              <w:rPr>
                <w:rFonts w:hint="eastAsia" w:ascii="宋体" w:hAnsi="宋体" w:cs="宋体"/>
                <w:sz w:val="18"/>
                <w:szCs w:val="18"/>
              </w:rPr>
              <w:t>的履行情况定量化，构建多元考核指标的，加1分；对企业</w:t>
            </w:r>
            <w:r>
              <w:rPr>
                <w:rFonts w:hint="eastAsia" w:hAnsi="宋体" w:cs="宋体"/>
                <w:bCs/>
                <w:color w:val="000000"/>
                <w:szCs w:val="18"/>
              </w:rPr>
              <w:t>E</w:t>
            </w:r>
            <w:r>
              <w:rPr>
                <w:rFonts w:hAnsi="宋体" w:cs="宋体"/>
                <w:bCs/>
                <w:color w:val="000000"/>
                <w:szCs w:val="18"/>
              </w:rPr>
              <w:t>SG</w:t>
            </w:r>
            <w:r>
              <w:rPr>
                <w:rFonts w:hint="eastAsia" w:ascii="宋体" w:hAnsi="宋体" w:cs="宋体"/>
                <w:sz w:val="18"/>
                <w:szCs w:val="18"/>
              </w:rPr>
              <w:t>践行情况不一的员工采取合理激励的，加1分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restart"/>
            <w:shd w:val="clear" w:color="auto" w:fill="auto"/>
            <w:vAlign w:val="center"/>
          </w:tcPr>
          <w:p>
            <w:pPr>
              <w:pStyle w:val="181"/>
              <w:rPr>
                <w:rFonts w:hAnsi="宋体" w:cs="宋体"/>
                <w:bCs/>
                <w:color w:val="000000"/>
                <w:szCs w:val="18"/>
              </w:rPr>
            </w:pPr>
            <w:r>
              <w:rPr>
                <w:rFonts w:hint="eastAsia" w:hAnsi="宋体" w:cs="宋体"/>
                <w:bCs/>
                <w:color w:val="000000"/>
                <w:szCs w:val="18"/>
              </w:rPr>
              <w:t>企业商业道德治理</w:t>
            </w:r>
          </w:p>
          <w:p>
            <w:pPr>
              <w:pStyle w:val="181"/>
            </w:pPr>
            <w:r>
              <w:rPr>
                <w:rFonts w:hAnsi="宋体" w:cs="宋体"/>
                <w:bCs/>
                <w:color w:val="000000"/>
                <w:szCs w:val="18"/>
              </w:rPr>
              <w:t>（20 分）</w:t>
            </w:r>
          </w:p>
        </w:tc>
        <w:tc>
          <w:tcPr>
            <w:tcW w:w="1276" w:type="dxa"/>
            <w:vMerge w:val="restart"/>
            <w:shd w:val="clear" w:color="auto" w:fill="auto"/>
            <w:vAlign w:val="center"/>
          </w:tcPr>
          <w:p>
            <w:pPr>
              <w:autoSpaceDE w:val="0"/>
              <w:autoSpaceDN w:val="0"/>
              <w:spacing w:line="240" w:lineRule="auto"/>
              <w:ind w:left="107" w:right="25"/>
              <w:jc w:val="center"/>
              <w:rPr>
                <w:rFonts w:ascii="宋体" w:hAnsi="宋体" w:cs="宋体"/>
                <w:sz w:val="18"/>
                <w:szCs w:val="18"/>
              </w:rPr>
            </w:pPr>
            <w:r>
              <w:rPr>
                <w:rFonts w:hint="eastAsia" w:ascii="宋体" w:hAnsi="宋体" w:cs="宋体"/>
                <w:sz w:val="18"/>
                <w:szCs w:val="18"/>
              </w:rPr>
              <w:t>反垄断和反不正当竞争</w:t>
            </w:r>
          </w:p>
          <w:p>
            <w:pPr>
              <w:autoSpaceDE w:val="0"/>
              <w:autoSpaceDN w:val="0"/>
              <w:spacing w:line="240" w:lineRule="auto"/>
              <w:ind w:left="107" w:right="25"/>
              <w:jc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6</w:t>
            </w:r>
            <w:r>
              <w:rPr>
                <w:rFonts w:hint="eastAsia" w:ascii="宋体" w:hAnsi="宋体" w:cs="宋体"/>
                <w:sz w:val="18"/>
                <w:szCs w:val="18"/>
              </w:rPr>
              <w:t>分）</w:t>
            </w:r>
          </w:p>
        </w:tc>
        <w:tc>
          <w:tcPr>
            <w:tcW w:w="2551" w:type="dxa"/>
            <w:shd w:val="clear" w:color="auto" w:fill="auto"/>
            <w:vAlign w:val="center"/>
          </w:tcPr>
          <w:p>
            <w:pPr>
              <w:autoSpaceDE w:val="0"/>
              <w:autoSpaceDN w:val="0"/>
              <w:spacing w:line="240" w:lineRule="auto"/>
              <w:ind w:left="107" w:right="25"/>
              <w:jc w:val="left"/>
              <w:rPr>
                <w:rFonts w:ascii="宋体" w:hAnsi="宋体" w:cs="宋体"/>
                <w:sz w:val="18"/>
                <w:szCs w:val="18"/>
              </w:rPr>
            </w:pPr>
            <w:r>
              <w:rPr>
                <w:rFonts w:hint="eastAsia" w:ascii="宋体" w:hAnsi="宋体" w:cs="宋体"/>
                <w:sz w:val="18"/>
                <w:szCs w:val="18"/>
              </w:rPr>
              <w:t>健全了企业反垄断体系及工作规范，收到不正当竞争投诉时能够48小时内启动处理程序（</w:t>
            </w:r>
            <w:r>
              <w:rPr>
                <w:rFonts w:ascii="宋体" w:hAnsi="宋体" w:cs="宋体"/>
                <w:sz w:val="18"/>
                <w:szCs w:val="18"/>
              </w:rPr>
              <w:t>2</w:t>
            </w:r>
            <w:r>
              <w:rPr>
                <w:rFonts w:hint="eastAsia" w:ascii="宋体" w:hAnsi="宋体" w:cs="宋体"/>
                <w:sz w:val="18"/>
                <w:szCs w:val="18"/>
              </w:rPr>
              <w:t>分）</w:t>
            </w:r>
          </w:p>
        </w:tc>
        <w:tc>
          <w:tcPr>
            <w:tcW w:w="3674" w:type="dxa"/>
            <w:shd w:val="clear" w:color="auto" w:fill="auto"/>
            <w:vAlign w:val="center"/>
          </w:tcPr>
          <w:p>
            <w:pPr>
              <w:autoSpaceDE w:val="0"/>
              <w:autoSpaceDN w:val="0"/>
              <w:spacing w:line="240" w:lineRule="auto"/>
              <w:ind w:left="108" w:right="5"/>
              <w:jc w:val="left"/>
              <w:rPr>
                <w:rFonts w:ascii="宋体" w:hAnsi="宋体" w:cs="宋体"/>
                <w:sz w:val="18"/>
                <w:szCs w:val="18"/>
              </w:rPr>
            </w:pPr>
            <w:r>
              <w:rPr>
                <w:rFonts w:hint="eastAsia" w:ascii="宋体" w:hAnsi="宋体" w:cs="宋体"/>
                <w:sz w:val="18"/>
                <w:szCs w:val="18"/>
              </w:rPr>
              <w:t>健全企业反垄断体系及工作规范的，得1分；企业反垄断体系执行有效，收到不正当竞争投诉时能够48小时启动处理程序的，得2分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autoSpaceDE w:val="0"/>
              <w:autoSpaceDN w:val="0"/>
              <w:spacing w:line="240" w:lineRule="auto"/>
              <w:ind w:left="107" w:right="25"/>
              <w:jc w:val="left"/>
              <w:rPr>
                <w:rFonts w:ascii="宋体" w:hAnsi="宋体" w:cs="宋体"/>
                <w:sz w:val="18"/>
                <w:szCs w:val="18"/>
              </w:rPr>
            </w:pPr>
          </w:p>
        </w:tc>
        <w:tc>
          <w:tcPr>
            <w:tcW w:w="2551" w:type="dxa"/>
            <w:shd w:val="clear" w:color="auto" w:fill="auto"/>
            <w:vAlign w:val="center"/>
          </w:tcPr>
          <w:p>
            <w:pPr>
              <w:autoSpaceDE w:val="0"/>
              <w:autoSpaceDN w:val="0"/>
              <w:spacing w:line="240" w:lineRule="auto"/>
              <w:ind w:left="107" w:right="25"/>
              <w:jc w:val="left"/>
              <w:rPr>
                <w:rFonts w:ascii="宋体" w:hAnsi="宋体" w:cs="宋体"/>
                <w:sz w:val="18"/>
                <w:szCs w:val="18"/>
              </w:rPr>
            </w:pPr>
            <w:r>
              <w:rPr>
                <w:rFonts w:hint="eastAsia" w:ascii="宋体" w:hAnsi="宋体" w:cs="宋体"/>
                <w:sz w:val="18"/>
                <w:szCs w:val="18"/>
              </w:rPr>
              <w:t>明确反垄断合规相关负责人或相关团队（1分）</w:t>
            </w:r>
          </w:p>
        </w:tc>
        <w:tc>
          <w:tcPr>
            <w:tcW w:w="3674" w:type="dxa"/>
            <w:shd w:val="clear" w:color="auto" w:fill="auto"/>
            <w:vAlign w:val="center"/>
          </w:tcPr>
          <w:p>
            <w:pPr>
              <w:autoSpaceDE w:val="0"/>
              <w:autoSpaceDN w:val="0"/>
              <w:spacing w:line="240" w:lineRule="auto"/>
              <w:ind w:left="108" w:right="5"/>
              <w:jc w:val="left"/>
              <w:rPr>
                <w:rFonts w:ascii="宋体" w:hAnsi="宋体" w:cs="宋体"/>
                <w:sz w:val="18"/>
                <w:szCs w:val="18"/>
              </w:rPr>
            </w:pPr>
            <w:r>
              <w:rPr>
                <w:rFonts w:hint="eastAsia" w:ascii="宋体" w:hAnsi="宋体" w:cs="宋体"/>
                <w:sz w:val="18"/>
                <w:szCs w:val="18"/>
              </w:rPr>
              <w:t>企业设置专门的反垄断合规管理机构，由法务、风险防控等部门履行反垄断合规管理职责，配备专职的反垄断合规专员的，得</w:t>
            </w:r>
            <w:r>
              <w:rPr>
                <w:rFonts w:ascii="宋体" w:hAnsi="宋体" w:cs="宋体"/>
                <w:sz w:val="18"/>
                <w:szCs w:val="18"/>
              </w:rPr>
              <w:t>1</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autoSpaceDE w:val="0"/>
              <w:autoSpaceDN w:val="0"/>
              <w:spacing w:line="240" w:lineRule="auto"/>
              <w:ind w:left="107" w:right="25"/>
              <w:jc w:val="left"/>
              <w:rPr>
                <w:rFonts w:ascii="宋体" w:hAnsi="宋体" w:cs="宋体"/>
                <w:sz w:val="18"/>
                <w:szCs w:val="18"/>
              </w:rPr>
            </w:pPr>
          </w:p>
        </w:tc>
        <w:tc>
          <w:tcPr>
            <w:tcW w:w="2551" w:type="dxa"/>
            <w:shd w:val="clear" w:color="auto" w:fill="auto"/>
            <w:vAlign w:val="center"/>
          </w:tcPr>
          <w:p>
            <w:pPr>
              <w:autoSpaceDE w:val="0"/>
              <w:autoSpaceDN w:val="0"/>
              <w:spacing w:line="240" w:lineRule="auto"/>
              <w:ind w:left="107" w:right="25"/>
              <w:jc w:val="left"/>
              <w:rPr>
                <w:rFonts w:ascii="宋体" w:hAnsi="宋体" w:cs="宋体"/>
                <w:sz w:val="18"/>
                <w:szCs w:val="18"/>
              </w:rPr>
            </w:pPr>
            <w:r>
              <w:rPr>
                <w:rFonts w:hint="eastAsia" w:ascii="宋体" w:hAnsi="宋体" w:cs="宋体"/>
                <w:sz w:val="18"/>
                <w:szCs w:val="18"/>
              </w:rPr>
              <w:t>定期开展反垄断和反不正当竞争相关培训（1分）</w:t>
            </w:r>
          </w:p>
        </w:tc>
        <w:tc>
          <w:tcPr>
            <w:tcW w:w="3674" w:type="dxa"/>
            <w:shd w:val="clear" w:color="auto" w:fill="auto"/>
            <w:vAlign w:val="center"/>
          </w:tcPr>
          <w:p>
            <w:pPr>
              <w:autoSpaceDE w:val="0"/>
              <w:autoSpaceDN w:val="0"/>
              <w:spacing w:line="240" w:lineRule="auto"/>
              <w:ind w:left="108" w:right="5"/>
              <w:jc w:val="left"/>
              <w:rPr>
                <w:rFonts w:ascii="宋体" w:hAnsi="宋体" w:cs="宋体"/>
                <w:sz w:val="18"/>
                <w:szCs w:val="18"/>
              </w:rPr>
            </w:pPr>
            <w:r>
              <w:rPr>
                <w:rFonts w:hint="eastAsia" w:ascii="宋体" w:hAnsi="宋体" w:cs="宋体"/>
                <w:sz w:val="18"/>
                <w:szCs w:val="18"/>
              </w:rPr>
              <w:t>企业定期开展反垄断和反不当竞争的相关培训，确保企业相关负责人具备足够专业性，保障合规管理有效实施的，得</w:t>
            </w:r>
            <w:r>
              <w:rPr>
                <w:rFonts w:ascii="宋体" w:hAnsi="宋体" w:cs="宋体"/>
                <w:sz w:val="18"/>
                <w:szCs w:val="18"/>
              </w:rPr>
              <w:t>1</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autoSpaceDE w:val="0"/>
              <w:autoSpaceDN w:val="0"/>
              <w:spacing w:line="240" w:lineRule="auto"/>
              <w:ind w:left="107" w:right="25"/>
              <w:jc w:val="left"/>
              <w:rPr>
                <w:rFonts w:ascii="宋体" w:hAnsi="宋体" w:cs="宋体"/>
                <w:sz w:val="18"/>
                <w:szCs w:val="18"/>
              </w:rPr>
            </w:pPr>
          </w:p>
        </w:tc>
        <w:tc>
          <w:tcPr>
            <w:tcW w:w="2551" w:type="dxa"/>
            <w:shd w:val="clear" w:color="auto" w:fill="auto"/>
            <w:vAlign w:val="center"/>
          </w:tcPr>
          <w:p>
            <w:pPr>
              <w:autoSpaceDE w:val="0"/>
              <w:autoSpaceDN w:val="0"/>
              <w:spacing w:line="240" w:lineRule="auto"/>
              <w:ind w:left="107" w:right="25"/>
              <w:jc w:val="left"/>
              <w:rPr>
                <w:rFonts w:ascii="宋体" w:hAnsi="宋体" w:cs="宋体"/>
                <w:sz w:val="18"/>
                <w:szCs w:val="18"/>
              </w:rPr>
            </w:pPr>
            <w:r>
              <w:rPr>
                <w:rFonts w:hint="eastAsia" w:ascii="宋体" w:hAnsi="宋体" w:cs="宋体"/>
                <w:sz w:val="18"/>
                <w:szCs w:val="18"/>
              </w:rPr>
              <w:t>不实施《反不正当竞争法》规定的商业混淆、商业贿赂，虚假宣传，侵犯商业秘密、不正当有奖销售、诋毁商誉等不正当竞争行为（1分）</w:t>
            </w:r>
          </w:p>
        </w:tc>
        <w:tc>
          <w:tcPr>
            <w:tcW w:w="3674" w:type="dxa"/>
            <w:shd w:val="clear" w:color="auto" w:fill="auto"/>
            <w:vAlign w:val="center"/>
          </w:tcPr>
          <w:p>
            <w:pPr>
              <w:autoSpaceDE w:val="0"/>
              <w:autoSpaceDN w:val="0"/>
              <w:spacing w:line="240" w:lineRule="auto"/>
              <w:ind w:left="108" w:right="5"/>
              <w:jc w:val="left"/>
              <w:rPr>
                <w:rFonts w:ascii="宋体" w:hAnsi="宋体" w:cs="宋体"/>
                <w:sz w:val="18"/>
                <w:szCs w:val="18"/>
              </w:rPr>
            </w:pPr>
            <w:r>
              <w:rPr>
                <w:rFonts w:hint="eastAsia" w:ascii="宋体" w:hAnsi="宋体" w:cs="宋体"/>
                <w:sz w:val="18"/>
                <w:szCs w:val="18"/>
              </w:rPr>
              <w:t>未实施《反不正当竞争法》规定的商业混淆、商业贿赂，虚假宣传，侵犯商业秘密、不正当有奖销售、诋毁商誉等不正当竞争行为的，得</w:t>
            </w:r>
            <w:r>
              <w:rPr>
                <w:rFonts w:ascii="宋体" w:hAnsi="宋体" w:cs="宋体"/>
                <w:sz w:val="18"/>
                <w:szCs w:val="18"/>
              </w:rPr>
              <w:t>1</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autoSpaceDE w:val="0"/>
              <w:autoSpaceDN w:val="0"/>
              <w:spacing w:line="240" w:lineRule="auto"/>
              <w:ind w:left="107" w:right="25"/>
              <w:jc w:val="left"/>
              <w:rPr>
                <w:rFonts w:ascii="宋体" w:hAnsi="宋体" w:cs="宋体"/>
                <w:sz w:val="18"/>
                <w:szCs w:val="18"/>
              </w:rPr>
            </w:pPr>
          </w:p>
        </w:tc>
        <w:tc>
          <w:tcPr>
            <w:tcW w:w="2551" w:type="dxa"/>
            <w:shd w:val="clear" w:color="auto" w:fill="auto"/>
            <w:vAlign w:val="center"/>
          </w:tcPr>
          <w:p>
            <w:pPr>
              <w:autoSpaceDE w:val="0"/>
              <w:autoSpaceDN w:val="0"/>
              <w:spacing w:line="240" w:lineRule="auto"/>
              <w:ind w:left="107" w:right="25"/>
              <w:jc w:val="left"/>
              <w:rPr>
                <w:rFonts w:ascii="宋体" w:hAnsi="宋体" w:cs="宋体"/>
                <w:sz w:val="18"/>
                <w:szCs w:val="18"/>
              </w:rPr>
            </w:pPr>
            <w:r>
              <w:rPr>
                <w:rFonts w:hint="eastAsia" w:ascii="宋体" w:hAnsi="宋体" w:cs="宋体"/>
                <w:sz w:val="18"/>
                <w:szCs w:val="18"/>
              </w:rPr>
              <w:t>由于与垄断行为有关的法律诉讼而造成的货币损失总额不超过上一年度销售额的3%，由于与反竞争行为有关的法律诉讼而造成的货币损失总额不超过人民币50万元（1分）</w:t>
            </w:r>
          </w:p>
        </w:tc>
        <w:tc>
          <w:tcPr>
            <w:tcW w:w="3674" w:type="dxa"/>
            <w:shd w:val="clear" w:color="auto" w:fill="auto"/>
            <w:vAlign w:val="center"/>
          </w:tcPr>
          <w:p>
            <w:pPr>
              <w:autoSpaceDE w:val="0"/>
              <w:autoSpaceDN w:val="0"/>
              <w:spacing w:line="240" w:lineRule="auto"/>
              <w:ind w:left="108" w:right="5"/>
              <w:jc w:val="left"/>
              <w:rPr>
                <w:rFonts w:ascii="宋体" w:hAnsi="宋体" w:cs="宋体"/>
                <w:sz w:val="18"/>
                <w:szCs w:val="18"/>
              </w:rPr>
            </w:pPr>
            <w:r>
              <w:rPr>
                <w:rFonts w:hint="eastAsia" w:ascii="宋体" w:hAnsi="宋体" w:cs="宋体"/>
                <w:sz w:val="18"/>
                <w:szCs w:val="18"/>
              </w:rPr>
              <w:t>企业与垄断行为有关的法律诉讼而造成的货币损失总额不超过上一年度销售额的</w:t>
            </w:r>
            <w:r>
              <w:rPr>
                <w:rFonts w:ascii="宋体" w:hAnsi="宋体" w:cs="宋体"/>
                <w:sz w:val="18"/>
                <w:szCs w:val="18"/>
              </w:rPr>
              <w:t>5</w:t>
            </w:r>
            <w:r>
              <w:rPr>
                <w:rFonts w:hint="eastAsia" w:ascii="宋体" w:hAnsi="宋体" w:cs="宋体"/>
                <w:sz w:val="18"/>
                <w:szCs w:val="18"/>
              </w:rPr>
              <w:t>%，与反竞争行为有关的法律诉讼而造成的货币损失总额不超过人民币50万元，得</w:t>
            </w:r>
            <w:r>
              <w:rPr>
                <w:rFonts w:ascii="宋体" w:hAnsi="宋体" w:cs="宋体"/>
                <w:sz w:val="18"/>
                <w:szCs w:val="18"/>
              </w:rPr>
              <w:t>1</w:t>
            </w:r>
            <w:r>
              <w:rPr>
                <w:rFonts w:hint="eastAsia" w:ascii="宋体" w:hAnsi="宋体" w:cs="宋体"/>
                <w:sz w:val="18"/>
                <w:szCs w:val="18"/>
              </w:rPr>
              <w:t>分</w:t>
            </w:r>
          </w:p>
          <w:p>
            <w:pPr>
              <w:autoSpaceDE w:val="0"/>
              <w:autoSpaceDN w:val="0"/>
              <w:spacing w:line="240" w:lineRule="auto"/>
              <w:ind w:left="108" w:right="5"/>
              <w:jc w:val="left"/>
              <w:rPr>
                <w:rFonts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restart"/>
            <w:shd w:val="clear" w:color="auto" w:fill="auto"/>
            <w:vAlign w:val="center"/>
          </w:tcPr>
          <w:p>
            <w:pPr>
              <w:autoSpaceDE w:val="0"/>
              <w:autoSpaceDN w:val="0"/>
              <w:spacing w:line="240" w:lineRule="auto"/>
              <w:ind w:left="107" w:right="25"/>
              <w:jc w:val="center"/>
              <w:rPr>
                <w:rFonts w:ascii="宋体" w:hAnsi="宋体" w:cs="宋体"/>
                <w:sz w:val="18"/>
                <w:szCs w:val="18"/>
              </w:rPr>
            </w:pPr>
            <w:r>
              <w:rPr>
                <w:rFonts w:hint="eastAsia" w:ascii="宋体" w:hAnsi="宋体" w:cs="宋体"/>
                <w:sz w:val="18"/>
                <w:szCs w:val="18"/>
              </w:rPr>
              <w:t>反腐败管理（5分）</w:t>
            </w:r>
          </w:p>
        </w:tc>
        <w:tc>
          <w:tcPr>
            <w:tcW w:w="2551" w:type="dxa"/>
            <w:shd w:val="clear" w:color="auto" w:fill="auto"/>
            <w:vAlign w:val="center"/>
          </w:tcPr>
          <w:p>
            <w:pPr>
              <w:autoSpaceDE w:val="0"/>
              <w:autoSpaceDN w:val="0"/>
              <w:spacing w:line="240" w:lineRule="auto"/>
              <w:ind w:left="107" w:right="25"/>
              <w:jc w:val="left"/>
              <w:rPr>
                <w:rFonts w:ascii="宋体" w:hAnsi="宋体" w:cs="宋体"/>
                <w:sz w:val="18"/>
                <w:szCs w:val="18"/>
              </w:rPr>
            </w:pPr>
            <w:r>
              <w:rPr>
                <w:rFonts w:hint="eastAsia" w:ascii="宋体" w:hAnsi="宋体" w:cs="宋体"/>
                <w:sz w:val="18"/>
                <w:szCs w:val="18"/>
              </w:rPr>
              <w:t>建立健全反腐败的制度和措施，完善腐败行为识别标准，制定腐败行为预防措施并融入平台经营全流程（</w:t>
            </w:r>
            <w:r>
              <w:rPr>
                <w:rFonts w:ascii="宋体" w:hAnsi="宋体" w:cs="宋体"/>
                <w:sz w:val="18"/>
                <w:szCs w:val="18"/>
              </w:rPr>
              <w:t>2</w:t>
            </w:r>
            <w:r>
              <w:rPr>
                <w:rFonts w:hint="eastAsia" w:ascii="宋体" w:hAnsi="宋体" w:cs="宋体"/>
                <w:sz w:val="18"/>
                <w:szCs w:val="18"/>
              </w:rPr>
              <w:t>分）</w:t>
            </w:r>
          </w:p>
        </w:tc>
        <w:tc>
          <w:tcPr>
            <w:tcW w:w="3674" w:type="dxa"/>
            <w:shd w:val="clear" w:color="auto" w:fill="auto"/>
            <w:vAlign w:val="center"/>
          </w:tcPr>
          <w:p>
            <w:pPr>
              <w:autoSpaceDE w:val="0"/>
              <w:autoSpaceDN w:val="0"/>
              <w:spacing w:before="135" w:line="240" w:lineRule="auto"/>
              <w:ind w:left="108"/>
              <w:jc w:val="left"/>
              <w:rPr>
                <w:rFonts w:ascii="宋体" w:hAnsi="宋体" w:cs="宋体"/>
                <w:sz w:val="18"/>
                <w:szCs w:val="18"/>
              </w:rPr>
            </w:pPr>
            <w:r>
              <w:rPr>
                <w:rFonts w:hint="eastAsia" w:ascii="宋体" w:hAnsi="宋体" w:cs="宋体"/>
                <w:sz w:val="18"/>
                <w:szCs w:val="18"/>
              </w:rPr>
              <w:t>企业建立健全反腐败的制度和措施，包括反腐败风险识别、防范措施、事件处置流程、部门联动、教育培训、举报监督等，得</w:t>
            </w:r>
            <w:r>
              <w:rPr>
                <w:rFonts w:ascii="宋体" w:hAnsi="宋体" w:cs="宋体"/>
                <w:sz w:val="18"/>
                <w:szCs w:val="18"/>
              </w:rPr>
              <w:t>1</w:t>
            </w:r>
            <w:r>
              <w:rPr>
                <w:rFonts w:hint="eastAsia" w:ascii="宋体" w:hAnsi="宋体" w:cs="宋体"/>
                <w:sz w:val="18"/>
                <w:szCs w:val="18"/>
              </w:rPr>
              <w:t>分；设立专门得反腐败监督机构，明确监督机构的岗位职责等确保反腐败制度的落地执行，得2分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autoSpaceDE w:val="0"/>
              <w:autoSpaceDN w:val="0"/>
              <w:spacing w:line="240" w:lineRule="auto"/>
              <w:ind w:left="107" w:right="25"/>
              <w:jc w:val="center"/>
              <w:rPr>
                <w:rFonts w:ascii="宋体" w:hAnsi="宋体" w:cs="宋体"/>
                <w:sz w:val="18"/>
                <w:szCs w:val="18"/>
              </w:rPr>
            </w:pPr>
          </w:p>
        </w:tc>
        <w:tc>
          <w:tcPr>
            <w:tcW w:w="2551" w:type="dxa"/>
            <w:shd w:val="clear" w:color="auto" w:fill="auto"/>
            <w:vAlign w:val="center"/>
          </w:tcPr>
          <w:p>
            <w:pPr>
              <w:autoSpaceDE w:val="0"/>
              <w:autoSpaceDN w:val="0"/>
              <w:spacing w:line="240" w:lineRule="auto"/>
              <w:ind w:left="107" w:right="25"/>
              <w:jc w:val="left"/>
              <w:rPr>
                <w:rFonts w:ascii="宋体" w:hAnsi="宋体" w:cs="宋体"/>
                <w:sz w:val="18"/>
                <w:szCs w:val="18"/>
              </w:rPr>
            </w:pPr>
            <w:r>
              <w:rPr>
                <w:rFonts w:hint="eastAsia" w:ascii="宋体" w:hAnsi="宋体" w:cs="宋体"/>
                <w:sz w:val="18"/>
                <w:szCs w:val="18"/>
              </w:rPr>
              <w:t>坚决处置企业员工、平台内经营者腐败行为，涉及违法的及时向执法机关移交处理，并在处置完成后及时公示处置结果（1分）</w:t>
            </w:r>
          </w:p>
        </w:tc>
        <w:tc>
          <w:tcPr>
            <w:tcW w:w="3674" w:type="dxa"/>
            <w:shd w:val="clear" w:color="auto" w:fill="auto"/>
            <w:vAlign w:val="center"/>
          </w:tcPr>
          <w:p>
            <w:pPr>
              <w:autoSpaceDE w:val="0"/>
              <w:autoSpaceDN w:val="0"/>
              <w:spacing w:before="135" w:line="240" w:lineRule="auto"/>
              <w:ind w:left="108"/>
              <w:jc w:val="left"/>
              <w:rPr>
                <w:rFonts w:ascii="宋体" w:hAnsi="宋体" w:cs="宋体"/>
                <w:sz w:val="18"/>
                <w:szCs w:val="18"/>
              </w:rPr>
            </w:pPr>
            <w:r>
              <w:rPr>
                <w:rFonts w:hint="eastAsia" w:ascii="宋体" w:hAnsi="宋体" w:cs="宋体"/>
                <w:sz w:val="18"/>
                <w:szCs w:val="18"/>
              </w:rPr>
              <w:t>企业可以对汇报、监视或怀疑的任何腐败行为进行调查，调查情况属实的，采取相应处置措施（涉及违法行为的及时向执法机关移交处理），对调查和处置过程形成文件留档，并将结果向外部利益方汇报的，得1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autoSpaceDE w:val="0"/>
              <w:autoSpaceDN w:val="0"/>
              <w:spacing w:line="240" w:lineRule="auto"/>
              <w:jc w:val="center"/>
              <w:rPr>
                <w:rFonts w:ascii="宋体" w:hAnsi="宋体" w:cs="宋体"/>
                <w:sz w:val="18"/>
                <w:szCs w:val="18"/>
              </w:rPr>
            </w:pPr>
          </w:p>
        </w:tc>
        <w:tc>
          <w:tcPr>
            <w:tcW w:w="2551" w:type="dxa"/>
            <w:shd w:val="clear" w:color="auto" w:fill="auto"/>
            <w:vAlign w:val="center"/>
          </w:tcPr>
          <w:p>
            <w:pPr>
              <w:autoSpaceDE w:val="0"/>
              <w:autoSpaceDN w:val="0"/>
              <w:spacing w:line="240" w:lineRule="auto"/>
              <w:ind w:left="107" w:right="25"/>
              <w:jc w:val="left"/>
              <w:rPr>
                <w:rFonts w:ascii="宋体" w:hAnsi="宋体" w:cs="宋体"/>
                <w:sz w:val="18"/>
                <w:szCs w:val="18"/>
              </w:rPr>
            </w:pPr>
            <w:r>
              <w:rPr>
                <w:rFonts w:hint="eastAsia" w:ascii="宋体" w:hAnsi="宋体" w:cs="宋体"/>
                <w:sz w:val="18"/>
                <w:szCs w:val="18"/>
              </w:rPr>
              <w:t>完善面向企业员工、平台内经营者、企业供应商的反腐败行为奖惩措施（1分）</w:t>
            </w:r>
          </w:p>
        </w:tc>
        <w:tc>
          <w:tcPr>
            <w:tcW w:w="3674" w:type="dxa"/>
            <w:shd w:val="clear" w:color="auto" w:fill="auto"/>
            <w:vAlign w:val="center"/>
          </w:tcPr>
          <w:p>
            <w:pPr>
              <w:autoSpaceDE w:val="0"/>
              <w:autoSpaceDN w:val="0"/>
              <w:spacing w:before="135" w:line="240" w:lineRule="auto"/>
              <w:ind w:left="108"/>
              <w:jc w:val="left"/>
              <w:rPr>
                <w:rFonts w:ascii="宋体" w:hAnsi="宋体" w:cs="宋体"/>
                <w:sz w:val="18"/>
                <w:szCs w:val="18"/>
              </w:rPr>
            </w:pPr>
            <w:r>
              <w:rPr>
                <w:rFonts w:hint="eastAsia" w:ascii="宋体" w:hAnsi="宋体" w:cs="宋体"/>
                <w:sz w:val="18"/>
                <w:szCs w:val="18"/>
              </w:rPr>
              <w:t>企业根据自身管理体系将反腐败纳入合规考核体系，视具体情节，对相关的反腐败工作责任人进行奖惩，对第三方商业合作伙伴定期尽职调查，对商业信誉好的商业合作伙伴予以优先合作，不与腐败舞弊的商业合作伙伴合作，得</w:t>
            </w:r>
            <w:r>
              <w:rPr>
                <w:rFonts w:ascii="宋体" w:hAnsi="宋体" w:cs="宋体"/>
                <w:sz w:val="18"/>
                <w:szCs w:val="18"/>
              </w:rPr>
              <w:t>1</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autoSpaceDE w:val="0"/>
              <w:autoSpaceDN w:val="0"/>
              <w:spacing w:line="240" w:lineRule="auto"/>
              <w:jc w:val="center"/>
              <w:rPr>
                <w:rFonts w:ascii="宋体" w:hAnsi="宋体" w:cs="宋体"/>
                <w:sz w:val="18"/>
                <w:szCs w:val="18"/>
              </w:rPr>
            </w:pPr>
          </w:p>
        </w:tc>
        <w:tc>
          <w:tcPr>
            <w:tcW w:w="2551" w:type="dxa"/>
            <w:shd w:val="clear" w:color="auto" w:fill="auto"/>
            <w:vAlign w:val="center"/>
          </w:tcPr>
          <w:p>
            <w:pPr>
              <w:autoSpaceDE w:val="0"/>
              <w:autoSpaceDN w:val="0"/>
              <w:spacing w:line="240" w:lineRule="auto"/>
              <w:ind w:left="107" w:right="25"/>
              <w:jc w:val="left"/>
              <w:rPr>
                <w:rFonts w:ascii="宋体" w:hAnsi="宋体" w:cs="宋体"/>
                <w:sz w:val="18"/>
                <w:szCs w:val="18"/>
              </w:rPr>
            </w:pPr>
            <w:r>
              <w:rPr>
                <w:rFonts w:hint="eastAsia" w:ascii="宋体" w:hAnsi="宋体" w:cs="宋体"/>
                <w:sz w:val="18"/>
                <w:szCs w:val="18"/>
              </w:rPr>
              <w:t>每年至少分别开展一次面向全体员工、平台内经营者、企业供应商的反腐败宣传和培训工作（1分）</w:t>
            </w:r>
          </w:p>
        </w:tc>
        <w:tc>
          <w:tcPr>
            <w:tcW w:w="3674" w:type="dxa"/>
            <w:shd w:val="clear" w:color="auto" w:fill="auto"/>
            <w:vAlign w:val="center"/>
          </w:tcPr>
          <w:p>
            <w:pPr>
              <w:autoSpaceDE w:val="0"/>
              <w:autoSpaceDN w:val="0"/>
              <w:spacing w:before="135" w:line="240" w:lineRule="auto"/>
              <w:ind w:left="108"/>
              <w:jc w:val="left"/>
              <w:rPr>
                <w:rFonts w:ascii="宋体" w:hAnsi="宋体" w:cs="宋体"/>
                <w:sz w:val="18"/>
                <w:szCs w:val="18"/>
              </w:rPr>
            </w:pPr>
            <w:r>
              <w:rPr>
                <w:rFonts w:hint="eastAsia" w:ascii="宋体" w:hAnsi="宋体" w:cs="宋体"/>
                <w:sz w:val="18"/>
                <w:szCs w:val="18"/>
              </w:rPr>
              <w:t>企业根据员工岗位、面临的腐败风险以及不断变化的内外部环境，定期（每年至少一次）提供反腐败宣传和培训，通过合同或类似文件与商业伙伴沟通，由企业、商业伙伴或第三方合格机构对商业伙伴定期（每年至少一次）进行反腐败培训，得</w:t>
            </w:r>
            <w:r>
              <w:rPr>
                <w:rFonts w:ascii="宋体" w:hAnsi="宋体" w:cs="宋体"/>
                <w:sz w:val="18"/>
                <w:szCs w:val="18"/>
              </w:rPr>
              <w:t>1</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restart"/>
            <w:shd w:val="clear" w:color="auto" w:fill="auto"/>
            <w:vAlign w:val="center"/>
          </w:tcPr>
          <w:p>
            <w:pPr>
              <w:autoSpaceDE w:val="0"/>
              <w:autoSpaceDN w:val="0"/>
              <w:spacing w:line="240" w:lineRule="auto"/>
              <w:ind w:left="109"/>
              <w:jc w:val="center"/>
              <w:rPr>
                <w:rFonts w:ascii="宋体" w:hAnsi="宋体" w:cs="宋体"/>
                <w:bCs/>
                <w:color w:val="000000"/>
                <w:spacing w:val="5"/>
                <w:w w:val="97"/>
                <w:kern w:val="0"/>
                <w:sz w:val="18"/>
                <w:szCs w:val="18"/>
              </w:rPr>
            </w:pPr>
            <w:r>
              <w:rPr>
                <w:rFonts w:hint="eastAsia" w:ascii="宋体" w:hAnsi="宋体" w:cs="宋体"/>
                <w:sz w:val="18"/>
                <w:szCs w:val="18"/>
              </w:rPr>
              <w:t>知识产权保护（4分）</w:t>
            </w:r>
          </w:p>
        </w:tc>
        <w:tc>
          <w:tcPr>
            <w:tcW w:w="2551" w:type="dxa"/>
            <w:shd w:val="clear" w:color="auto" w:fill="auto"/>
            <w:vAlign w:val="center"/>
          </w:tcPr>
          <w:p>
            <w:pPr>
              <w:autoSpaceDE w:val="0"/>
              <w:autoSpaceDN w:val="0"/>
              <w:spacing w:line="240" w:lineRule="auto"/>
              <w:ind w:left="107" w:right="25"/>
              <w:jc w:val="left"/>
              <w:rPr>
                <w:rFonts w:ascii="宋体" w:hAnsi="宋体" w:cs="宋体"/>
                <w:sz w:val="18"/>
                <w:szCs w:val="18"/>
              </w:rPr>
            </w:pPr>
            <w:r>
              <w:rPr>
                <w:rFonts w:hint="eastAsia" w:ascii="宋体" w:hAnsi="宋体" w:cs="宋体"/>
                <w:sz w:val="18"/>
                <w:szCs w:val="18"/>
              </w:rPr>
              <w:t>建立健全知识产权保护机制，制定知识产权保护规则，积极开展与知识产权权利人的合作（1分）</w:t>
            </w:r>
          </w:p>
        </w:tc>
        <w:tc>
          <w:tcPr>
            <w:tcW w:w="3674" w:type="dxa"/>
            <w:shd w:val="clear" w:color="auto" w:fill="auto"/>
            <w:vAlign w:val="center"/>
          </w:tcPr>
          <w:p>
            <w:pPr>
              <w:autoSpaceDE w:val="0"/>
              <w:autoSpaceDN w:val="0"/>
              <w:spacing w:line="240" w:lineRule="auto"/>
              <w:ind w:left="108"/>
              <w:jc w:val="left"/>
              <w:rPr>
                <w:rFonts w:ascii="宋体" w:hAnsi="宋体" w:cs="宋体"/>
                <w:sz w:val="18"/>
                <w:szCs w:val="18"/>
              </w:rPr>
            </w:pPr>
            <w:r>
              <w:rPr>
                <w:rFonts w:hint="eastAsia" w:ascii="宋体" w:hAnsi="宋体" w:cs="宋体"/>
                <w:sz w:val="18"/>
                <w:szCs w:val="18"/>
              </w:rPr>
              <w:t>企业选择科学的组织架构、分配专业人力资源发展适合企业的知识产权管理模式，健全知识产权保护机制，如在法务部门下设知识产权管理的团队，对知识产权进行全方面的保护，得</w:t>
            </w:r>
            <w:r>
              <w:rPr>
                <w:rFonts w:ascii="宋体" w:hAnsi="宋体" w:cs="宋体"/>
                <w:sz w:val="18"/>
                <w:szCs w:val="18"/>
              </w:rPr>
              <w:t>1</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autoSpaceDE w:val="0"/>
              <w:autoSpaceDN w:val="0"/>
              <w:spacing w:line="240" w:lineRule="auto"/>
              <w:ind w:left="107" w:right="25"/>
              <w:jc w:val="center"/>
              <w:rPr>
                <w:rFonts w:ascii="宋体" w:hAnsi="宋体" w:cs="宋体"/>
                <w:bCs/>
                <w:color w:val="000000"/>
                <w:spacing w:val="5"/>
                <w:w w:val="97"/>
                <w:kern w:val="0"/>
                <w:sz w:val="18"/>
                <w:szCs w:val="18"/>
              </w:rPr>
            </w:pPr>
          </w:p>
        </w:tc>
        <w:tc>
          <w:tcPr>
            <w:tcW w:w="2551" w:type="dxa"/>
            <w:shd w:val="clear" w:color="auto" w:fill="auto"/>
            <w:vAlign w:val="center"/>
          </w:tcPr>
          <w:p>
            <w:pPr>
              <w:autoSpaceDE w:val="0"/>
              <w:autoSpaceDN w:val="0"/>
              <w:spacing w:line="240" w:lineRule="auto"/>
              <w:ind w:left="107" w:right="25"/>
              <w:jc w:val="left"/>
              <w:rPr>
                <w:rFonts w:ascii="宋体" w:hAnsi="宋体" w:cs="宋体"/>
                <w:sz w:val="18"/>
                <w:szCs w:val="18"/>
              </w:rPr>
            </w:pPr>
            <w:r>
              <w:rPr>
                <w:rFonts w:hint="eastAsia" w:ascii="宋体" w:hAnsi="宋体" w:cs="宋体"/>
                <w:sz w:val="18"/>
                <w:szCs w:val="18"/>
              </w:rPr>
              <w:t>针对平台内发现的涉及知识产权侵权的信息、商品及服务，对依法需要上报监管部门的，及时上报监管部门，并采取屏蔽、断开链接、终止交易和服务等必要措施（</w:t>
            </w:r>
            <w:r>
              <w:rPr>
                <w:rFonts w:ascii="宋体" w:hAnsi="宋体" w:cs="宋体"/>
                <w:sz w:val="18"/>
                <w:szCs w:val="18"/>
              </w:rPr>
              <w:t>2</w:t>
            </w:r>
            <w:r>
              <w:rPr>
                <w:rFonts w:hint="eastAsia" w:ascii="宋体" w:hAnsi="宋体" w:cs="宋体"/>
                <w:sz w:val="18"/>
                <w:szCs w:val="18"/>
              </w:rPr>
              <w:t>分）</w:t>
            </w:r>
          </w:p>
        </w:tc>
        <w:tc>
          <w:tcPr>
            <w:tcW w:w="3674" w:type="dxa"/>
            <w:shd w:val="clear" w:color="auto" w:fill="auto"/>
            <w:vAlign w:val="center"/>
          </w:tcPr>
          <w:p>
            <w:pPr>
              <w:autoSpaceDE w:val="0"/>
              <w:autoSpaceDN w:val="0"/>
              <w:spacing w:line="240" w:lineRule="auto"/>
              <w:ind w:left="108"/>
              <w:jc w:val="left"/>
              <w:rPr>
                <w:rFonts w:ascii="宋体" w:hAnsi="宋体" w:cs="宋体"/>
                <w:sz w:val="18"/>
                <w:szCs w:val="18"/>
              </w:rPr>
            </w:pPr>
            <w:r>
              <w:rPr>
                <w:rFonts w:hint="eastAsia" w:ascii="宋体" w:hAnsi="宋体" w:cs="宋体"/>
                <w:sz w:val="18"/>
                <w:szCs w:val="18"/>
              </w:rPr>
              <w:t>企业创建并保持知识产权实施和使用的成文信息，包括实施场景、成熟度、所需配套条件等，得</w:t>
            </w:r>
            <w:r>
              <w:rPr>
                <w:rFonts w:ascii="宋体" w:hAnsi="宋体" w:cs="宋体"/>
                <w:sz w:val="18"/>
                <w:szCs w:val="18"/>
              </w:rPr>
              <w:t>1</w:t>
            </w:r>
            <w:r>
              <w:rPr>
                <w:rFonts w:hint="eastAsia" w:ascii="宋体" w:hAnsi="宋体" w:cs="宋体"/>
                <w:sz w:val="18"/>
                <w:szCs w:val="18"/>
              </w:rPr>
              <w:t>分；将知识产权纳入企业风险管理范围，及时发现和监控知识产权侵犯的风险，配合监管部门，提出应对方案等，得</w:t>
            </w:r>
            <w:r>
              <w:rPr>
                <w:rFonts w:ascii="宋体" w:hAnsi="宋体" w:cs="宋体"/>
                <w:sz w:val="18"/>
                <w:szCs w:val="18"/>
              </w:rPr>
              <w:t>1</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autoSpaceDE w:val="0"/>
              <w:autoSpaceDN w:val="0"/>
              <w:spacing w:line="240" w:lineRule="auto"/>
              <w:ind w:left="107" w:right="25"/>
              <w:jc w:val="center"/>
              <w:rPr>
                <w:rFonts w:ascii="宋体" w:hAnsi="宋体" w:cs="宋体"/>
                <w:bCs/>
                <w:color w:val="000000"/>
                <w:spacing w:val="5"/>
                <w:w w:val="97"/>
                <w:kern w:val="0"/>
                <w:sz w:val="18"/>
                <w:szCs w:val="18"/>
              </w:rPr>
            </w:pPr>
          </w:p>
        </w:tc>
        <w:tc>
          <w:tcPr>
            <w:tcW w:w="2551" w:type="dxa"/>
            <w:shd w:val="clear" w:color="auto" w:fill="auto"/>
            <w:vAlign w:val="center"/>
          </w:tcPr>
          <w:p>
            <w:pPr>
              <w:autoSpaceDE w:val="0"/>
              <w:autoSpaceDN w:val="0"/>
              <w:spacing w:line="240" w:lineRule="auto"/>
              <w:ind w:left="107" w:right="25"/>
              <w:jc w:val="left"/>
              <w:rPr>
                <w:rFonts w:ascii="宋体" w:hAnsi="宋体" w:cs="宋体"/>
                <w:sz w:val="18"/>
                <w:szCs w:val="18"/>
              </w:rPr>
            </w:pPr>
            <w:r>
              <w:rPr>
                <w:rFonts w:hint="eastAsia" w:ascii="宋体" w:hAnsi="宋体" w:cs="宋体"/>
                <w:sz w:val="18"/>
                <w:szCs w:val="18"/>
              </w:rPr>
              <w:t>平台经营者接到权利人符合法律要求的侵权通知后，应依法及时进行转通知，并视情况采取侵权信息、商品及服务的屏蔽、断开链接、终止等必要措施（1分）</w:t>
            </w:r>
          </w:p>
        </w:tc>
        <w:tc>
          <w:tcPr>
            <w:tcW w:w="3674" w:type="dxa"/>
            <w:shd w:val="clear" w:color="auto" w:fill="auto"/>
            <w:vAlign w:val="center"/>
          </w:tcPr>
          <w:p>
            <w:pPr>
              <w:autoSpaceDE w:val="0"/>
              <w:autoSpaceDN w:val="0"/>
              <w:spacing w:line="240" w:lineRule="auto"/>
              <w:ind w:left="108"/>
              <w:jc w:val="left"/>
              <w:rPr>
                <w:rFonts w:ascii="宋体" w:hAnsi="宋体" w:cs="宋体"/>
                <w:sz w:val="18"/>
                <w:szCs w:val="18"/>
              </w:rPr>
            </w:pPr>
            <w:r>
              <w:rPr>
                <w:rFonts w:hint="eastAsia" w:ascii="宋体" w:hAnsi="宋体" w:cs="宋体"/>
                <w:sz w:val="18"/>
                <w:szCs w:val="18"/>
              </w:rPr>
              <w:t>平台经营者接到通知后及时进行转通知，并视情况采取侵权信息、商品及服务的屏蔽、断开链接、终止等必要措施的，得</w:t>
            </w:r>
            <w:r>
              <w:rPr>
                <w:rFonts w:ascii="宋体" w:hAnsi="宋体" w:cs="宋体"/>
                <w:sz w:val="18"/>
                <w:szCs w:val="18"/>
              </w:rPr>
              <w:t>1</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restart"/>
            <w:shd w:val="clear" w:color="auto" w:fill="auto"/>
            <w:vAlign w:val="center"/>
          </w:tcPr>
          <w:p>
            <w:pPr>
              <w:autoSpaceDE w:val="0"/>
              <w:autoSpaceDN w:val="0"/>
              <w:spacing w:line="240" w:lineRule="auto"/>
              <w:ind w:left="109"/>
              <w:jc w:val="center"/>
              <w:rPr>
                <w:rFonts w:ascii="宋体" w:hAnsi="宋体" w:cs="宋体"/>
                <w:sz w:val="18"/>
                <w:szCs w:val="18"/>
              </w:rPr>
            </w:pPr>
            <w:r>
              <w:rPr>
                <w:rFonts w:hint="eastAsia" w:ascii="宋体" w:hAnsi="宋体" w:cs="宋体"/>
                <w:sz w:val="18"/>
                <w:szCs w:val="18"/>
              </w:rPr>
              <w:t>纳税透明性（5分）</w:t>
            </w:r>
          </w:p>
          <w:p>
            <w:pPr>
              <w:autoSpaceDE w:val="0"/>
              <w:autoSpaceDN w:val="0"/>
              <w:spacing w:before="30" w:line="240" w:lineRule="auto"/>
              <w:ind w:left="107"/>
              <w:jc w:val="center"/>
              <w:rPr>
                <w:rFonts w:ascii="宋体" w:hAnsi="宋体" w:cs="宋体"/>
                <w:bCs/>
                <w:color w:val="000000"/>
                <w:spacing w:val="5"/>
                <w:w w:val="97"/>
                <w:kern w:val="0"/>
                <w:sz w:val="18"/>
                <w:szCs w:val="18"/>
              </w:rPr>
            </w:pPr>
          </w:p>
        </w:tc>
        <w:tc>
          <w:tcPr>
            <w:tcW w:w="2551"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平台企业一个会计年度至少向社会公示和说明一次非敏感纳税数据（1分）</w:t>
            </w:r>
          </w:p>
        </w:tc>
        <w:tc>
          <w:tcPr>
            <w:tcW w:w="3674" w:type="dxa"/>
            <w:shd w:val="clear" w:color="auto" w:fill="auto"/>
            <w:vAlign w:val="center"/>
          </w:tcPr>
          <w:p>
            <w:pPr>
              <w:autoSpaceDE w:val="0"/>
              <w:autoSpaceDN w:val="0"/>
              <w:spacing w:line="240" w:lineRule="auto"/>
              <w:ind w:left="108"/>
              <w:jc w:val="left"/>
              <w:rPr>
                <w:rFonts w:ascii="宋体" w:hAnsi="宋体" w:cs="宋体"/>
                <w:sz w:val="18"/>
                <w:szCs w:val="18"/>
              </w:rPr>
            </w:pPr>
            <w:r>
              <w:rPr>
                <w:rFonts w:hint="eastAsia" w:ascii="宋体" w:hAnsi="宋体" w:cs="宋体"/>
                <w:sz w:val="18"/>
                <w:szCs w:val="18"/>
              </w:rPr>
              <w:t>平台一个会计年度至少在官网上公示和说明一次非敏感纳税数据，可包括委托独立的第三方机构对其税务合规性审计并出具报告，及时披露企业税务筹划、税务优惠等事项，公开税务申报信息、展示企业纳税贡献等，得</w:t>
            </w:r>
            <w:r>
              <w:rPr>
                <w:rFonts w:ascii="宋体" w:hAnsi="宋体" w:cs="宋体"/>
                <w:sz w:val="18"/>
                <w:szCs w:val="18"/>
              </w:rPr>
              <w:t>1</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autoSpaceDE w:val="0"/>
              <w:autoSpaceDN w:val="0"/>
              <w:spacing w:before="30" w:line="240" w:lineRule="auto"/>
              <w:ind w:left="107"/>
              <w:jc w:val="left"/>
              <w:rPr>
                <w:rFonts w:ascii="宋体" w:hAnsi="宋体" w:cs="宋体"/>
                <w:sz w:val="18"/>
                <w:szCs w:val="18"/>
              </w:rPr>
            </w:pPr>
          </w:p>
        </w:tc>
        <w:tc>
          <w:tcPr>
            <w:tcW w:w="2551"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针对平台内经营者依法纳税情况，及时停止与存在纳税违法违规行为的平台内经营者的合作（2分）</w:t>
            </w:r>
          </w:p>
        </w:tc>
        <w:tc>
          <w:tcPr>
            <w:tcW w:w="3674" w:type="dxa"/>
            <w:shd w:val="clear" w:color="auto" w:fill="auto"/>
            <w:vAlign w:val="center"/>
          </w:tcPr>
          <w:p>
            <w:pPr>
              <w:autoSpaceDE w:val="0"/>
              <w:autoSpaceDN w:val="0"/>
              <w:spacing w:line="240" w:lineRule="auto"/>
              <w:ind w:left="108"/>
              <w:jc w:val="left"/>
              <w:rPr>
                <w:rFonts w:ascii="宋体" w:hAnsi="宋体" w:cs="宋体"/>
                <w:sz w:val="18"/>
                <w:szCs w:val="18"/>
              </w:rPr>
            </w:pPr>
            <w:r>
              <w:rPr>
                <w:rFonts w:hint="eastAsia" w:ascii="宋体" w:hAnsi="宋体" w:cs="宋体"/>
                <w:sz w:val="18"/>
                <w:szCs w:val="18"/>
              </w:rPr>
              <w:t>平台建立与平台内经营者间得纳税数据共享平台，鼓励经营者与平台公示纳税信息、接受纳税信用评估等，鼓励平台内经营者提高纳税透明度，得</w:t>
            </w:r>
            <w:r>
              <w:rPr>
                <w:rFonts w:ascii="宋体" w:hAnsi="宋体" w:cs="宋体"/>
                <w:sz w:val="18"/>
                <w:szCs w:val="18"/>
              </w:rPr>
              <w:t>1</w:t>
            </w:r>
            <w:r>
              <w:rPr>
                <w:rFonts w:hint="eastAsia" w:ascii="宋体" w:hAnsi="宋体" w:cs="宋体"/>
                <w:sz w:val="18"/>
                <w:szCs w:val="18"/>
              </w:rPr>
              <w:t>分；若平台发现平台内经营者存在纳税违法违规行为，依法上报并及时停止与其合作，得</w:t>
            </w:r>
            <w:r>
              <w:rPr>
                <w:rFonts w:ascii="宋体" w:hAnsi="宋体" w:cs="宋体"/>
                <w:sz w:val="18"/>
                <w:szCs w:val="18"/>
              </w:rPr>
              <w:t>1</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autoSpaceDE w:val="0"/>
              <w:autoSpaceDN w:val="0"/>
              <w:spacing w:before="30" w:line="240" w:lineRule="auto"/>
              <w:ind w:left="107"/>
              <w:jc w:val="left"/>
              <w:rPr>
                <w:rFonts w:ascii="宋体" w:hAnsi="宋体" w:cs="宋体"/>
                <w:sz w:val="18"/>
                <w:szCs w:val="18"/>
              </w:rPr>
            </w:pPr>
          </w:p>
        </w:tc>
        <w:tc>
          <w:tcPr>
            <w:tcW w:w="2551"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鼓励员工诚信纳税行为，依法依规建立代扣代缴制度，如实进行纳税收支申报（2分）</w:t>
            </w:r>
          </w:p>
        </w:tc>
        <w:tc>
          <w:tcPr>
            <w:tcW w:w="3674" w:type="dxa"/>
            <w:shd w:val="clear" w:color="auto" w:fill="auto"/>
            <w:vAlign w:val="center"/>
          </w:tcPr>
          <w:p>
            <w:pPr>
              <w:autoSpaceDE w:val="0"/>
              <w:autoSpaceDN w:val="0"/>
              <w:spacing w:line="240" w:lineRule="auto"/>
              <w:ind w:left="108"/>
              <w:jc w:val="left"/>
              <w:rPr>
                <w:rFonts w:ascii="宋体" w:hAnsi="宋体" w:cs="宋体"/>
                <w:sz w:val="18"/>
                <w:szCs w:val="18"/>
              </w:rPr>
            </w:pPr>
            <w:r>
              <w:rPr>
                <w:rFonts w:hint="eastAsia" w:ascii="宋体" w:hAnsi="宋体" w:cs="宋体"/>
                <w:sz w:val="18"/>
                <w:szCs w:val="18"/>
              </w:rPr>
              <w:t>平台依法建立代扣代缴制度，鼓励员工诚信纳税的，得1分；平台建立纳税咨询机制，为员工提供纳税咨询和其他辅助服务的，得1分；企业与专业税务机构合作，积极开展宣传诚信纳税的，得1分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7501" w:type="dxa"/>
            <w:gridSpan w:val="3"/>
            <w:shd w:val="clear" w:color="auto" w:fill="auto"/>
            <w:vAlign w:val="center"/>
          </w:tcPr>
          <w:p>
            <w:pPr>
              <w:pStyle w:val="181"/>
            </w:pPr>
            <w:r>
              <w:rPr>
                <w:rFonts w:hint="eastAsia"/>
              </w:rPr>
              <w:t>加分项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3827" w:type="dxa"/>
            <w:gridSpan w:val="2"/>
            <w:shd w:val="clear" w:color="auto" w:fill="auto"/>
            <w:vAlign w:val="center"/>
          </w:tcPr>
          <w:p>
            <w:pPr>
              <w:autoSpaceDE w:val="0"/>
              <w:autoSpaceDN w:val="0"/>
              <w:spacing w:before="37" w:line="240" w:lineRule="auto"/>
              <w:ind w:left="107"/>
              <w:jc w:val="left"/>
              <w:rPr>
                <w:rFonts w:ascii="宋体" w:hAnsi="宋体" w:cs="宋体"/>
                <w:sz w:val="18"/>
                <w:szCs w:val="18"/>
              </w:rPr>
            </w:pPr>
            <w:r>
              <w:rPr>
                <w:rFonts w:hint="eastAsia" w:ascii="宋体" w:hAnsi="宋体" w:cs="宋体"/>
                <w:sz w:val="18"/>
                <w:szCs w:val="18"/>
              </w:rPr>
              <w:t>公司获得国际级商业道德奖项，如ETHISPHERE“全球最具商业道德企业” （</w:t>
            </w:r>
            <w:r>
              <w:rPr>
                <w:rFonts w:ascii="宋体" w:hAnsi="宋体" w:cs="宋体"/>
                <w:sz w:val="18"/>
                <w:szCs w:val="18"/>
              </w:rPr>
              <w:t>3</w:t>
            </w:r>
            <w:r>
              <w:rPr>
                <w:rFonts w:hint="eastAsia" w:ascii="宋体" w:hAnsi="宋体" w:cs="宋体"/>
                <w:sz w:val="18"/>
                <w:szCs w:val="18"/>
              </w:rPr>
              <w:t>分）</w:t>
            </w:r>
          </w:p>
        </w:tc>
        <w:tc>
          <w:tcPr>
            <w:tcW w:w="3674" w:type="dxa"/>
            <w:shd w:val="clear" w:color="auto" w:fill="auto"/>
            <w:vAlign w:val="center"/>
          </w:tcPr>
          <w:p>
            <w:pPr>
              <w:autoSpaceDE w:val="0"/>
              <w:autoSpaceDN w:val="0"/>
              <w:spacing w:line="240" w:lineRule="auto"/>
              <w:ind w:left="108"/>
              <w:jc w:val="left"/>
              <w:rPr>
                <w:rFonts w:ascii="宋体" w:hAnsi="宋体" w:cs="宋体"/>
                <w:sz w:val="18"/>
                <w:szCs w:val="18"/>
              </w:rPr>
            </w:pPr>
            <w:r>
              <w:rPr>
                <w:rFonts w:hint="eastAsia" w:ascii="宋体" w:hAnsi="宋体" w:cs="宋体"/>
                <w:sz w:val="18"/>
                <w:szCs w:val="18"/>
              </w:rPr>
              <w:t>企业获得可信度高的国际级商业道德奖项的，加3分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3827" w:type="dxa"/>
            <w:gridSpan w:val="2"/>
            <w:shd w:val="clear" w:color="auto" w:fill="auto"/>
            <w:vAlign w:val="center"/>
          </w:tcPr>
          <w:p>
            <w:pPr>
              <w:autoSpaceDE w:val="0"/>
              <w:autoSpaceDN w:val="0"/>
              <w:spacing w:before="37" w:line="240" w:lineRule="auto"/>
              <w:ind w:left="107"/>
              <w:jc w:val="left"/>
              <w:rPr>
                <w:rFonts w:ascii="宋体" w:hAnsi="宋体" w:cs="宋体"/>
                <w:sz w:val="18"/>
                <w:szCs w:val="18"/>
              </w:rPr>
            </w:pPr>
            <w:r>
              <w:rPr>
                <w:rFonts w:hint="eastAsia" w:ascii="宋体" w:hAnsi="宋体" w:cs="宋体"/>
                <w:sz w:val="18"/>
                <w:szCs w:val="18"/>
              </w:rPr>
              <w:t>加强员工反不正当竞争、知识产权保护等相关法律法规的培训，每年相关培训超过2次（2分）</w:t>
            </w:r>
          </w:p>
        </w:tc>
        <w:tc>
          <w:tcPr>
            <w:tcW w:w="3674" w:type="dxa"/>
            <w:shd w:val="clear" w:color="auto" w:fill="auto"/>
            <w:vAlign w:val="center"/>
          </w:tcPr>
          <w:p>
            <w:pPr>
              <w:autoSpaceDE w:val="0"/>
              <w:autoSpaceDN w:val="0"/>
              <w:spacing w:line="240" w:lineRule="auto"/>
              <w:ind w:left="108"/>
              <w:jc w:val="left"/>
              <w:rPr>
                <w:rFonts w:ascii="宋体" w:hAnsi="宋体" w:cs="宋体"/>
                <w:bCs/>
                <w:color w:val="000000"/>
                <w:kern w:val="0"/>
                <w:sz w:val="18"/>
                <w:szCs w:val="18"/>
              </w:rPr>
            </w:pPr>
            <w:r>
              <w:rPr>
                <w:rFonts w:hint="eastAsia" w:ascii="宋体" w:hAnsi="宋体" w:cs="宋体"/>
                <w:bCs/>
                <w:color w:val="000000"/>
                <w:kern w:val="0"/>
                <w:sz w:val="18"/>
                <w:szCs w:val="18"/>
              </w:rPr>
              <w:t>符合加分项细则的，加2分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3827" w:type="dxa"/>
            <w:gridSpan w:val="2"/>
            <w:shd w:val="clear" w:color="auto" w:fill="auto"/>
            <w:vAlign w:val="center"/>
          </w:tcPr>
          <w:p>
            <w:pPr>
              <w:autoSpaceDE w:val="0"/>
              <w:autoSpaceDN w:val="0"/>
              <w:spacing w:before="37" w:line="240" w:lineRule="auto"/>
              <w:ind w:left="107"/>
              <w:jc w:val="left"/>
              <w:rPr>
                <w:rFonts w:ascii="宋体" w:hAnsi="宋体" w:cs="宋体"/>
                <w:sz w:val="18"/>
                <w:szCs w:val="18"/>
              </w:rPr>
            </w:pPr>
            <w:r>
              <w:rPr>
                <w:rFonts w:hint="eastAsia" w:ascii="宋体" w:hAnsi="宋体" w:cs="宋体"/>
                <w:sz w:val="18"/>
                <w:szCs w:val="18"/>
              </w:rPr>
              <w:t>及时跟进知识产权侵权举报事项，建立平台内经营者申诉机制，并在收到知识产权侵权举报后，法定期限内未收到权利人发出的已经向有关部门投诉或提起诉讼通知的，及时终止已针对平台内经营者的限制措施（2分）</w:t>
            </w:r>
          </w:p>
        </w:tc>
        <w:tc>
          <w:tcPr>
            <w:tcW w:w="3674" w:type="dxa"/>
            <w:shd w:val="clear" w:color="auto" w:fill="auto"/>
            <w:vAlign w:val="center"/>
          </w:tcPr>
          <w:p>
            <w:pPr>
              <w:autoSpaceDE w:val="0"/>
              <w:autoSpaceDN w:val="0"/>
              <w:spacing w:line="240" w:lineRule="auto"/>
              <w:ind w:left="108"/>
              <w:jc w:val="left"/>
              <w:rPr>
                <w:rFonts w:ascii="宋体" w:hAnsi="宋体" w:cs="宋体"/>
                <w:bCs/>
                <w:color w:val="000000"/>
                <w:kern w:val="0"/>
                <w:sz w:val="18"/>
                <w:szCs w:val="18"/>
              </w:rPr>
            </w:pPr>
            <w:r>
              <w:rPr>
                <w:rFonts w:hint="eastAsia" w:ascii="宋体" w:hAnsi="宋体" w:cs="宋体"/>
                <w:bCs/>
                <w:color w:val="000000"/>
                <w:kern w:val="0"/>
                <w:sz w:val="18"/>
                <w:szCs w:val="18"/>
              </w:rPr>
              <w:t>符合加分项细则的，加2分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3827" w:type="dxa"/>
            <w:gridSpan w:val="2"/>
            <w:shd w:val="clear" w:color="auto" w:fill="auto"/>
            <w:vAlign w:val="center"/>
          </w:tcPr>
          <w:p>
            <w:pPr>
              <w:autoSpaceDE w:val="0"/>
              <w:autoSpaceDN w:val="0"/>
              <w:spacing w:before="37" w:line="240" w:lineRule="auto"/>
              <w:ind w:left="107"/>
              <w:jc w:val="left"/>
              <w:rPr>
                <w:rFonts w:ascii="宋体" w:hAnsi="宋体" w:cs="宋体"/>
                <w:sz w:val="18"/>
                <w:szCs w:val="18"/>
              </w:rPr>
            </w:pPr>
            <w:r>
              <w:rPr>
                <w:rFonts w:hint="eastAsia" w:ascii="宋体" w:hAnsi="宋体" w:cs="宋体"/>
                <w:sz w:val="18"/>
                <w:szCs w:val="18"/>
              </w:rPr>
              <w:t>建立了能够有效保护举报人隐私的反腐败举报机制（2分）</w:t>
            </w:r>
          </w:p>
        </w:tc>
        <w:tc>
          <w:tcPr>
            <w:tcW w:w="3674" w:type="dxa"/>
            <w:shd w:val="clear" w:color="auto" w:fill="auto"/>
            <w:vAlign w:val="center"/>
          </w:tcPr>
          <w:p>
            <w:pPr>
              <w:autoSpaceDE w:val="0"/>
              <w:autoSpaceDN w:val="0"/>
              <w:spacing w:line="240" w:lineRule="auto"/>
              <w:ind w:left="108"/>
              <w:jc w:val="left"/>
              <w:rPr>
                <w:rFonts w:ascii="宋体" w:hAnsi="宋体" w:cs="宋体"/>
                <w:bCs/>
                <w:color w:val="000000"/>
                <w:kern w:val="0"/>
                <w:sz w:val="18"/>
                <w:szCs w:val="18"/>
              </w:rPr>
            </w:pPr>
            <w:r>
              <w:rPr>
                <w:rFonts w:hint="eastAsia" w:ascii="宋体" w:hAnsi="宋体" w:cs="宋体"/>
                <w:bCs/>
                <w:color w:val="000000"/>
                <w:kern w:val="0"/>
                <w:sz w:val="18"/>
                <w:szCs w:val="18"/>
              </w:rPr>
              <w:t>符合加分项细则的，加2分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restart"/>
            <w:shd w:val="clear" w:color="auto" w:fill="auto"/>
            <w:vAlign w:val="center"/>
          </w:tcPr>
          <w:p>
            <w:pPr>
              <w:pStyle w:val="181"/>
              <w:rPr>
                <w:rFonts w:hAnsi="宋体" w:cs="宋体"/>
                <w:bCs/>
                <w:color w:val="000000"/>
                <w:szCs w:val="18"/>
              </w:rPr>
            </w:pPr>
            <w:r>
              <w:rPr>
                <w:rFonts w:hint="eastAsia" w:hAnsi="宋体" w:cs="宋体"/>
                <w:bCs/>
                <w:color w:val="000000"/>
                <w:szCs w:val="18"/>
              </w:rPr>
              <w:t>企业信息披露</w:t>
            </w:r>
          </w:p>
          <w:p>
            <w:pPr>
              <w:pStyle w:val="181"/>
            </w:pPr>
            <w:r>
              <w:rPr>
                <w:rFonts w:hAnsi="宋体" w:cs="宋体"/>
                <w:bCs/>
                <w:color w:val="000000"/>
                <w:szCs w:val="18"/>
              </w:rPr>
              <w:t>（25</w:t>
            </w:r>
            <w:r>
              <w:rPr>
                <w:rFonts w:hint="eastAsia" w:hAnsi="宋体" w:cs="宋体"/>
                <w:bCs/>
                <w:color w:val="000000"/>
                <w:szCs w:val="18"/>
                <w:lang w:eastAsia="zh-TW"/>
              </w:rPr>
              <w:t xml:space="preserve"> </w:t>
            </w:r>
            <w:r>
              <w:rPr>
                <w:rFonts w:hAnsi="宋体" w:cs="宋体"/>
                <w:bCs/>
                <w:color w:val="000000"/>
                <w:szCs w:val="18"/>
              </w:rPr>
              <w:t>分）</w:t>
            </w:r>
          </w:p>
        </w:tc>
        <w:tc>
          <w:tcPr>
            <w:tcW w:w="1276" w:type="dxa"/>
            <w:vMerge w:val="restart"/>
            <w:shd w:val="clear" w:color="auto" w:fill="auto"/>
            <w:vAlign w:val="center"/>
          </w:tcPr>
          <w:p>
            <w:pPr>
              <w:autoSpaceDE w:val="0"/>
              <w:autoSpaceDN w:val="0"/>
              <w:spacing w:before="2" w:line="240" w:lineRule="auto"/>
              <w:ind w:left="107"/>
              <w:jc w:val="center"/>
              <w:rPr>
                <w:rFonts w:ascii="宋体" w:hAnsi="宋体" w:cs="宋体"/>
                <w:sz w:val="18"/>
                <w:szCs w:val="18"/>
              </w:rPr>
            </w:pPr>
            <w:r>
              <w:rPr>
                <w:rFonts w:hint="eastAsia" w:ascii="宋体" w:hAnsi="宋体" w:cs="宋体"/>
                <w:sz w:val="18"/>
                <w:szCs w:val="18"/>
              </w:rPr>
              <w:t>平台内经营者选取及信息公示(</w:t>
            </w:r>
            <w:r>
              <w:rPr>
                <w:rFonts w:ascii="宋体" w:hAnsi="宋体" w:cs="宋体"/>
                <w:sz w:val="18"/>
                <w:szCs w:val="18"/>
              </w:rPr>
              <w:t>10</w:t>
            </w:r>
            <w:r>
              <w:rPr>
                <w:rFonts w:hint="eastAsia" w:ascii="宋体" w:hAnsi="宋体" w:cs="宋体"/>
                <w:sz w:val="18"/>
                <w:szCs w:val="18"/>
              </w:rPr>
              <w:t>分)</w:t>
            </w:r>
          </w:p>
        </w:tc>
        <w:tc>
          <w:tcPr>
            <w:tcW w:w="2551"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电子商务平台经营者应当制定平台服务协议和交易规则，明确进入和退出平台等相关方面的权利和义务（2分）</w:t>
            </w:r>
          </w:p>
        </w:tc>
        <w:tc>
          <w:tcPr>
            <w:tcW w:w="3674" w:type="dxa"/>
            <w:vMerge w:val="restart"/>
            <w:shd w:val="clear" w:color="auto" w:fill="auto"/>
            <w:vAlign w:val="center"/>
          </w:tcPr>
          <w:p>
            <w:pPr>
              <w:autoSpaceDE w:val="0"/>
              <w:autoSpaceDN w:val="0"/>
              <w:spacing w:line="240" w:lineRule="auto"/>
              <w:ind w:left="108" w:right="5"/>
              <w:jc w:val="left"/>
              <w:rPr>
                <w:rFonts w:ascii="宋体" w:hAnsi="宋体" w:cs="宋体"/>
                <w:sz w:val="18"/>
                <w:szCs w:val="18"/>
              </w:rPr>
            </w:pPr>
            <w:r>
              <w:rPr>
                <w:rFonts w:hint="eastAsia" w:ascii="宋体" w:hAnsi="宋体" w:cs="宋体"/>
                <w:sz w:val="18"/>
                <w:szCs w:val="18"/>
              </w:rPr>
              <w:t>平台制定服务协议，明确进入和退出平台的权利和义务的，得</w:t>
            </w:r>
            <w:r>
              <w:rPr>
                <w:rFonts w:ascii="宋体" w:hAnsi="宋体" w:cs="宋体"/>
                <w:sz w:val="18"/>
                <w:szCs w:val="18"/>
              </w:rPr>
              <w:t>1</w:t>
            </w:r>
            <w:r>
              <w:rPr>
                <w:rFonts w:hint="eastAsia" w:ascii="宋体" w:hAnsi="宋体" w:cs="宋体"/>
                <w:sz w:val="18"/>
                <w:szCs w:val="18"/>
              </w:rPr>
              <w:t>分；建立定期评估和淘汰机制的，得</w:t>
            </w:r>
            <w:r>
              <w:rPr>
                <w:rFonts w:ascii="宋体" w:hAnsi="宋体" w:cs="宋体"/>
                <w:sz w:val="18"/>
                <w:szCs w:val="18"/>
              </w:rPr>
              <w:t>1</w:t>
            </w:r>
            <w:r>
              <w:rPr>
                <w:rFonts w:hint="eastAsia" w:ascii="宋体" w:hAnsi="宋体" w:cs="宋体"/>
                <w:sz w:val="18"/>
                <w:szCs w:val="18"/>
              </w:rPr>
              <w:t>分；完善平台内经营者商品/服务评估机制的，得</w:t>
            </w:r>
            <w:r>
              <w:rPr>
                <w:rFonts w:ascii="宋体" w:hAnsi="宋体" w:cs="宋体"/>
                <w:sz w:val="18"/>
                <w:szCs w:val="18"/>
              </w:rPr>
              <w:t>2</w:t>
            </w:r>
            <w:r>
              <w:rPr>
                <w:rFonts w:hint="eastAsia" w:ascii="宋体" w:hAnsi="宋体" w:cs="宋体"/>
                <w:sz w:val="18"/>
                <w:szCs w:val="18"/>
              </w:rPr>
              <w:t>分。将相关规定在报告、平台官网或其他信息披露平台上公示的，得2分；将平台内企业非敏感且依法可以公开的信息（如基本情况、经营情况、治理结构）披露的，得2分；建立用户投诉和监管机制，允许用户和其他相关方匿名或实名举报不当情况的，得2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autoSpaceDE w:val="0"/>
              <w:autoSpaceDN w:val="0"/>
              <w:spacing w:before="2" w:line="240" w:lineRule="auto"/>
              <w:ind w:left="107" w:right="25"/>
              <w:jc w:val="center"/>
              <w:rPr>
                <w:rFonts w:ascii="宋体" w:hAnsi="宋体" w:cs="宋体"/>
                <w:bCs/>
                <w:color w:val="000000"/>
                <w:spacing w:val="5"/>
                <w:w w:val="97"/>
                <w:kern w:val="0"/>
                <w:sz w:val="18"/>
                <w:szCs w:val="18"/>
              </w:rPr>
            </w:pPr>
          </w:p>
        </w:tc>
        <w:tc>
          <w:tcPr>
            <w:tcW w:w="2551" w:type="dxa"/>
            <w:shd w:val="clear" w:color="auto" w:fill="auto"/>
            <w:vAlign w:val="center"/>
          </w:tcPr>
          <w:p>
            <w:pPr>
              <w:autoSpaceDE w:val="0"/>
              <w:autoSpaceDN w:val="0"/>
              <w:spacing w:line="240" w:lineRule="auto"/>
              <w:ind w:left="109" w:right="5"/>
              <w:jc w:val="left"/>
              <w:rPr>
                <w:rFonts w:ascii="宋体" w:hAnsi="宋体" w:cs="宋体"/>
                <w:sz w:val="18"/>
                <w:szCs w:val="18"/>
              </w:rPr>
            </w:pPr>
            <w:r>
              <w:rPr>
                <w:rFonts w:hint="eastAsia" w:ascii="宋体" w:hAnsi="宋体" w:cs="宋体"/>
                <w:sz w:val="18"/>
                <w:szCs w:val="18"/>
              </w:rPr>
              <w:t>电子商务平台经营者建立平台内经营者准入及经营中定期评估、淘汰机制，评估内容涵盖诚信经营、履行社会责任等情况，并进行平台内评估及淘汰结果公示（4分）</w:t>
            </w:r>
          </w:p>
        </w:tc>
        <w:tc>
          <w:tcPr>
            <w:tcW w:w="3674" w:type="dxa"/>
            <w:vMerge w:val="continue"/>
            <w:shd w:val="clear" w:color="auto" w:fill="auto"/>
            <w:vAlign w:val="center"/>
          </w:tcPr>
          <w:p>
            <w:pPr>
              <w:autoSpaceDE w:val="0"/>
              <w:autoSpaceDN w:val="0"/>
              <w:spacing w:line="240" w:lineRule="auto"/>
              <w:ind w:left="108" w:right="5"/>
              <w:jc w:val="left"/>
              <w:rPr>
                <w:rFonts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autoSpaceDE w:val="0"/>
              <w:autoSpaceDN w:val="0"/>
              <w:spacing w:before="2" w:line="240" w:lineRule="auto"/>
              <w:ind w:left="107"/>
              <w:jc w:val="center"/>
              <w:rPr>
                <w:rFonts w:ascii="宋体" w:hAnsi="宋体" w:cs="宋体"/>
                <w:bCs/>
                <w:color w:val="000000"/>
                <w:spacing w:val="5"/>
                <w:w w:val="97"/>
                <w:kern w:val="0"/>
                <w:sz w:val="18"/>
                <w:szCs w:val="18"/>
              </w:rPr>
            </w:pPr>
          </w:p>
        </w:tc>
        <w:tc>
          <w:tcPr>
            <w:tcW w:w="2551" w:type="dxa"/>
            <w:shd w:val="clear" w:color="auto" w:fill="auto"/>
            <w:vAlign w:val="center"/>
          </w:tcPr>
          <w:p>
            <w:pPr>
              <w:autoSpaceDE w:val="0"/>
              <w:autoSpaceDN w:val="0"/>
              <w:spacing w:line="240" w:lineRule="auto"/>
              <w:ind w:left="109" w:right="5"/>
              <w:jc w:val="left"/>
              <w:rPr>
                <w:rFonts w:ascii="宋体" w:hAnsi="宋体" w:cs="宋体"/>
                <w:sz w:val="18"/>
                <w:szCs w:val="18"/>
              </w:rPr>
            </w:pPr>
            <w:r>
              <w:rPr>
                <w:rFonts w:hint="eastAsia" w:ascii="宋体" w:hAnsi="宋体" w:cs="宋体"/>
                <w:sz w:val="18"/>
                <w:szCs w:val="18"/>
              </w:rPr>
              <w:t>电子商务平台经营者完善平台内经营者提供的商品/服务真实评估机制（4分）</w:t>
            </w:r>
          </w:p>
        </w:tc>
        <w:tc>
          <w:tcPr>
            <w:tcW w:w="3674" w:type="dxa"/>
            <w:vMerge w:val="continue"/>
            <w:shd w:val="clear" w:color="auto" w:fill="auto"/>
            <w:vAlign w:val="center"/>
          </w:tcPr>
          <w:p>
            <w:pPr>
              <w:autoSpaceDE w:val="0"/>
              <w:autoSpaceDN w:val="0"/>
              <w:spacing w:line="240" w:lineRule="auto"/>
              <w:ind w:left="108" w:right="5"/>
              <w:jc w:val="left"/>
              <w:rPr>
                <w:rFonts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restart"/>
            <w:shd w:val="clear" w:color="auto" w:fill="auto"/>
            <w:vAlign w:val="center"/>
          </w:tcPr>
          <w:p>
            <w:pPr>
              <w:autoSpaceDE w:val="0"/>
              <w:autoSpaceDN w:val="0"/>
              <w:spacing w:before="2" w:line="240" w:lineRule="auto"/>
              <w:ind w:left="107"/>
              <w:jc w:val="center"/>
              <w:rPr>
                <w:rFonts w:ascii="宋体" w:hAnsi="宋体" w:cs="宋体"/>
                <w:bCs/>
                <w:color w:val="000000"/>
                <w:spacing w:val="5"/>
                <w:w w:val="97"/>
                <w:kern w:val="0"/>
                <w:sz w:val="18"/>
                <w:szCs w:val="18"/>
                <w:lang w:eastAsia="zh-TW"/>
              </w:rPr>
            </w:pPr>
            <w:r>
              <w:rPr>
                <w:rFonts w:hint="eastAsia" w:ascii="宋体" w:hAnsi="宋体" w:cs="宋体"/>
                <w:bCs/>
                <w:color w:val="000000"/>
                <w:spacing w:val="5"/>
                <w:w w:val="97"/>
                <w:kern w:val="0"/>
                <w:sz w:val="18"/>
                <w:szCs w:val="18"/>
              </w:rPr>
              <w:t>企业重大事项透明</w:t>
            </w:r>
            <w:r>
              <w:rPr>
                <w:rFonts w:hint="eastAsia" w:ascii="宋体" w:hAnsi="宋体" w:cs="宋体"/>
                <w:bCs/>
                <w:color w:val="000000"/>
                <w:spacing w:val="5"/>
                <w:w w:val="97"/>
                <w:kern w:val="0"/>
                <w:sz w:val="18"/>
                <w:szCs w:val="18"/>
                <w:lang w:eastAsia="zh-TW"/>
              </w:rPr>
              <w:t>(</w:t>
            </w:r>
            <w:r>
              <w:rPr>
                <w:rFonts w:ascii="宋体" w:hAnsi="宋体" w:cs="宋体"/>
                <w:bCs/>
                <w:color w:val="000000"/>
                <w:spacing w:val="5"/>
                <w:w w:val="97"/>
                <w:kern w:val="0"/>
                <w:sz w:val="18"/>
                <w:szCs w:val="18"/>
                <w:lang w:eastAsia="zh-TW"/>
              </w:rPr>
              <w:t>10</w:t>
            </w:r>
            <w:r>
              <w:rPr>
                <w:rFonts w:hint="eastAsia" w:ascii="宋体" w:hAnsi="宋体" w:cs="宋体"/>
                <w:bCs/>
                <w:color w:val="000000"/>
                <w:spacing w:val="5"/>
                <w:w w:val="97"/>
                <w:kern w:val="0"/>
                <w:sz w:val="18"/>
                <w:szCs w:val="18"/>
                <w:lang w:eastAsia="zh-TW"/>
              </w:rPr>
              <w:t>分)</w:t>
            </w:r>
          </w:p>
        </w:tc>
        <w:tc>
          <w:tcPr>
            <w:tcW w:w="2551"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电子商务平台经营者在平台规则改变时合理征询平台内经营者的意见，在平台规则改变后公示、提示平台内经营者，并向平台内经营者解释可能减损其权利的更改内容（2分）</w:t>
            </w:r>
          </w:p>
        </w:tc>
        <w:tc>
          <w:tcPr>
            <w:tcW w:w="3674" w:type="dxa"/>
            <w:shd w:val="clear" w:color="auto" w:fill="auto"/>
            <w:vAlign w:val="center"/>
          </w:tcPr>
          <w:p>
            <w:pPr>
              <w:autoSpaceDE w:val="0"/>
              <w:autoSpaceDN w:val="0"/>
              <w:spacing w:line="240" w:lineRule="auto"/>
              <w:ind w:left="108"/>
              <w:jc w:val="left"/>
              <w:rPr>
                <w:rFonts w:ascii="宋体" w:hAnsi="宋体" w:cs="宋体"/>
                <w:sz w:val="18"/>
                <w:szCs w:val="18"/>
              </w:rPr>
            </w:pPr>
            <w:r>
              <w:rPr>
                <w:rFonts w:hint="eastAsia" w:ascii="宋体" w:hAnsi="宋体" w:cs="宋体"/>
                <w:sz w:val="18"/>
                <w:szCs w:val="18"/>
              </w:rPr>
              <w:t>平台规则改变后公示、提示平台经营者的，得2分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autoSpaceDE w:val="0"/>
              <w:autoSpaceDN w:val="0"/>
              <w:spacing w:before="30" w:line="240" w:lineRule="auto"/>
              <w:ind w:left="107"/>
              <w:jc w:val="center"/>
              <w:rPr>
                <w:rFonts w:ascii="宋体" w:hAnsi="宋体" w:cs="宋体"/>
                <w:sz w:val="18"/>
                <w:szCs w:val="18"/>
              </w:rPr>
            </w:pPr>
          </w:p>
        </w:tc>
        <w:tc>
          <w:tcPr>
            <w:tcW w:w="2551"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电子商务平台规则改变后公示、提示消费者，并向消费者重点解释可能影响其权利义务的更改内容（2分）</w:t>
            </w:r>
          </w:p>
        </w:tc>
        <w:tc>
          <w:tcPr>
            <w:tcW w:w="3674" w:type="dxa"/>
            <w:shd w:val="clear" w:color="auto" w:fill="auto"/>
            <w:vAlign w:val="center"/>
          </w:tcPr>
          <w:p>
            <w:pPr>
              <w:autoSpaceDE w:val="0"/>
              <w:autoSpaceDN w:val="0"/>
              <w:spacing w:line="240" w:lineRule="auto"/>
              <w:ind w:left="108"/>
              <w:jc w:val="left"/>
              <w:rPr>
                <w:rFonts w:ascii="宋体" w:hAnsi="宋体" w:cs="宋体"/>
                <w:sz w:val="18"/>
                <w:szCs w:val="18"/>
              </w:rPr>
            </w:pPr>
            <w:r>
              <w:rPr>
                <w:rFonts w:hint="eastAsia" w:ascii="宋体" w:hAnsi="宋体" w:cs="宋体"/>
                <w:sz w:val="18"/>
                <w:szCs w:val="18"/>
              </w:rPr>
              <w:t>平台规则改变后公示、提示平台消费者的，得2分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autoSpaceDE w:val="0"/>
              <w:autoSpaceDN w:val="0"/>
              <w:spacing w:before="2" w:line="240" w:lineRule="auto"/>
              <w:ind w:left="107"/>
              <w:jc w:val="center"/>
              <w:rPr>
                <w:rFonts w:ascii="宋体" w:hAnsi="宋体" w:cs="宋体"/>
                <w:bCs/>
                <w:color w:val="000000"/>
                <w:spacing w:val="5"/>
                <w:w w:val="97"/>
                <w:kern w:val="0"/>
                <w:sz w:val="18"/>
                <w:szCs w:val="18"/>
              </w:rPr>
            </w:pPr>
          </w:p>
        </w:tc>
        <w:tc>
          <w:tcPr>
            <w:tcW w:w="2551"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电子商务平台经营者应公示平台消费者权利保护机制、程序和具体措施，提供消费者权利响应方式及渠道，并及时向消费者更新其权利诉请的处理进度（</w:t>
            </w:r>
            <w:r>
              <w:rPr>
                <w:rFonts w:ascii="宋体" w:hAnsi="宋体" w:cs="宋体"/>
                <w:sz w:val="18"/>
                <w:szCs w:val="18"/>
              </w:rPr>
              <w:t>6</w:t>
            </w:r>
            <w:r>
              <w:rPr>
                <w:rFonts w:hint="eastAsia" w:ascii="宋体" w:hAnsi="宋体" w:cs="宋体"/>
                <w:sz w:val="18"/>
                <w:szCs w:val="18"/>
              </w:rPr>
              <w:t>分）</w:t>
            </w:r>
          </w:p>
        </w:tc>
        <w:tc>
          <w:tcPr>
            <w:tcW w:w="3674" w:type="dxa"/>
            <w:shd w:val="clear" w:color="auto" w:fill="auto"/>
            <w:vAlign w:val="center"/>
          </w:tcPr>
          <w:p>
            <w:pPr>
              <w:autoSpaceDE w:val="0"/>
              <w:autoSpaceDN w:val="0"/>
              <w:spacing w:line="240" w:lineRule="auto"/>
              <w:ind w:left="108"/>
              <w:jc w:val="left"/>
              <w:rPr>
                <w:rFonts w:ascii="宋体" w:hAnsi="宋体" w:cs="宋体"/>
                <w:sz w:val="18"/>
                <w:szCs w:val="18"/>
              </w:rPr>
            </w:pPr>
            <w:r>
              <w:rPr>
                <w:rFonts w:hint="eastAsia" w:ascii="宋体" w:hAnsi="宋体" w:cs="宋体"/>
                <w:sz w:val="18"/>
                <w:szCs w:val="18"/>
              </w:rPr>
              <w:t>平台公示消费者权利保护机制、程序和具体措施的，得2分；将消费者维权途径设计在平台APP等确保其易于使用的，得2分；相关维权功能设计人性化、响应快、效率高的，得2分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restart"/>
            <w:shd w:val="clear" w:color="auto" w:fill="auto"/>
            <w:vAlign w:val="center"/>
          </w:tcPr>
          <w:p>
            <w:pPr>
              <w:autoSpaceDE w:val="0"/>
              <w:autoSpaceDN w:val="0"/>
              <w:spacing w:before="2" w:line="240" w:lineRule="auto"/>
              <w:ind w:left="107"/>
              <w:jc w:val="center"/>
              <w:rPr>
                <w:rFonts w:ascii="宋体" w:hAnsi="宋体" w:cs="宋体"/>
                <w:sz w:val="18"/>
                <w:szCs w:val="18"/>
              </w:rPr>
            </w:pPr>
            <w:r>
              <w:rPr>
                <w:rFonts w:hint="eastAsia" w:ascii="宋体" w:hAnsi="宋体" w:cs="宋体"/>
                <w:bCs/>
                <w:color w:val="000000"/>
                <w:spacing w:val="5"/>
                <w:w w:val="97"/>
                <w:kern w:val="0"/>
                <w:sz w:val="18"/>
                <w:szCs w:val="18"/>
              </w:rPr>
              <w:t>企业会计信息披露（</w:t>
            </w:r>
            <w:r>
              <w:rPr>
                <w:rFonts w:ascii="宋体" w:hAnsi="宋体" w:cs="宋体"/>
                <w:bCs/>
                <w:color w:val="000000"/>
                <w:spacing w:val="5"/>
                <w:w w:val="97"/>
                <w:kern w:val="0"/>
                <w:sz w:val="18"/>
                <w:szCs w:val="18"/>
              </w:rPr>
              <w:t>5</w:t>
            </w:r>
            <w:r>
              <w:rPr>
                <w:rFonts w:hint="eastAsia" w:ascii="宋体" w:hAnsi="宋体" w:cs="宋体"/>
                <w:bCs/>
                <w:color w:val="000000"/>
                <w:spacing w:val="5"/>
                <w:w w:val="97"/>
                <w:kern w:val="0"/>
                <w:sz w:val="18"/>
                <w:szCs w:val="18"/>
              </w:rPr>
              <w:t>分）</w:t>
            </w:r>
          </w:p>
        </w:tc>
        <w:tc>
          <w:tcPr>
            <w:tcW w:w="2551" w:type="dxa"/>
            <w:shd w:val="clear" w:color="auto" w:fill="auto"/>
            <w:vAlign w:val="center"/>
          </w:tcPr>
          <w:p>
            <w:pPr>
              <w:autoSpaceDE w:val="0"/>
              <w:autoSpaceDN w:val="0"/>
              <w:spacing w:line="240" w:lineRule="auto"/>
              <w:jc w:val="left"/>
              <w:rPr>
                <w:rFonts w:ascii="宋体" w:hAnsi="宋体" w:cs="宋体"/>
                <w:sz w:val="18"/>
                <w:szCs w:val="18"/>
              </w:rPr>
            </w:pPr>
            <w:r>
              <w:rPr>
                <w:rFonts w:hint="eastAsia" w:ascii="宋体" w:hAnsi="宋体" w:cs="宋体"/>
                <w:sz w:val="18"/>
                <w:szCs w:val="18"/>
              </w:rPr>
              <w:t>在上一个财政年度，公司向其外部审计公司支付的审计和审计相关服务费用（3分）</w:t>
            </w:r>
          </w:p>
        </w:tc>
        <w:tc>
          <w:tcPr>
            <w:tcW w:w="3674" w:type="dxa"/>
            <w:shd w:val="clear" w:color="auto" w:fill="auto"/>
            <w:vAlign w:val="center"/>
          </w:tcPr>
          <w:p>
            <w:pPr>
              <w:autoSpaceDE w:val="0"/>
              <w:autoSpaceDN w:val="0"/>
              <w:spacing w:line="240" w:lineRule="auto"/>
              <w:jc w:val="left"/>
              <w:rPr>
                <w:rFonts w:ascii="宋体" w:hAnsi="宋体" w:cs="宋体"/>
                <w:sz w:val="18"/>
                <w:szCs w:val="18"/>
              </w:rPr>
            </w:pPr>
            <w:r>
              <w:rPr>
                <w:rFonts w:hint="eastAsia" w:ascii="宋体" w:hAnsi="宋体" w:cs="宋体"/>
                <w:sz w:val="18"/>
                <w:szCs w:val="18"/>
              </w:rPr>
              <w:t>企业披露其向外部审计公司支付的审计相关服务费用的，得</w:t>
            </w:r>
            <w:r>
              <w:rPr>
                <w:rFonts w:ascii="宋体" w:hAnsi="宋体" w:cs="宋体"/>
                <w:sz w:val="18"/>
                <w:szCs w:val="18"/>
              </w:rPr>
              <w:t>3</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autoSpaceDE w:val="0"/>
              <w:autoSpaceDN w:val="0"/>
              <w:spacing w:before="2" w:line="240" w:lineRule="auto"/>
              <w:ind w:left="107"/>
              <w:jc w:val="left"/>
              <w:rPr>
                <w:rFonts w:ascii="宋体" w:hAnsi="宋体" w:cs="宋体"/>
                <w:bCs/>
                <w:color w:val="000000"/>
                <w:spacing w:val="5"/>
                <w:w w:val="97"/>
                <w:kern w:val="0"/>
                <w:sz w:val="18"/>
                <w:szCs w:val="18"/>
              </w:rPr>
            </w:pPr>
          </w:p>
        </w:tc>
        <w:tc>
          <w:tcPr>
            <w:tcW w:w="2551"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公司会计师发表了保留意见、不利意见或无法表示意见的审计意见。（2分）</w:t>
            </w:r>
          </w:p>
        </w:tc>
        <w:tc>
          <w:tcPr>
            <w:tcW w:w="3674" w:type="dxa"/>
            <w:shd w:val="clear" w:color="auto" w:fill="auto"/>
            <w:vAlign w:val="center"/>
          </w:tcPr>
          <w:p>
            <w:pPr>
              <w:autoSpaceDE w:val="0"/>
              <w:autoSpaceDN w:val="0"/>
              <w:spacing w:line="240" w:lineRule="auto"/>
              <w:ind w:left="108"/>
              <w:jc w:val="left"/>
              <w:rPr>
                <w:rFonts w:ascii="宋体" w:hAnsi="宋体" w:cs="宋体"/>
                <w:sz w:val="18"/>
                <w:szCs w:val="18"/>
              </w:rPr>
            </w:pPr>
            <w:r>
              <w:rPr>
                <w:rFonts w:hint="eastAsia" w:ascii="宋体" w:hAnsi="宋体" w:cs="宋体"/>
                <w:sz w:val="18"/>
                <w:szCs w:val="18"/>
              </w:rPr>
              <w:t>审计师发表了保留意见、不利意见或无法表示意见的不得分，否则得2分。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7501" w:type="dxa"/>
            <w:gridSpan w:val="3"/>
            <w:shd w:val="clear" w:color="auto" w:fill="auto"/>
            <w:vAlign w:val="center"/>
          </w:tcPr>
          <w:p>
            <w:pPr>
              <w:pStyle w:val="181"/>
            </w:pPr>
            <w:r>
              <w:rPr>
                <w:rFonts w:hint="eastAsia"/>
              </w:rPr>
              <w:t>加分项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3827" w:type="dxa"/>
            <w:gridSpan w:val="2"/>
            <w:shd w:val="clear" w:color="auto" w:fill="auto"/>
            <w:vAlign w:val="center"/>
          </w:tcPr>
          <w:p>
            <w:pPr>
              <w:autoSpaceDE w:val="0"/>
              <w:autoSpaceDN w:val="0"/>
              <w:spacing w:before="37" w:line="240" w:lineRule="auto"/>
              <w:ind w:left="107"/>
              <w:jc w:val="left"/>
              <w:rPr>
                <w:rFonts w:ascii="宋体" w:hAnsi="宋体" w:cs="宋体"/>
                <w:sz w:val="18"/>
                <w:szCs w:val="18"/>
              </w:rPr>
            </w:pPr>
            <w:r>
              <w:rPr>
                <w:rFonts w:hint="eastAsia" w:ascii="宋体" w:hAnsi="宋体" w:cs="宋体"/>
                <w:sz w:val="18"/>
                <w:szCs w:val="18"/>
              </w:rPr>
              <w:t>因违反信息披露规定而受到的处罚事件为0（</w:t>
            </w:r>
            <w:r>
              <w:rPr>
                <w:rFonts w:ascii="宋体" w:hAnsi="宋体" w:cs="宋体"/>
                <w:sz w:val="18"/>
                <w:szCs w:val="18"/>
              </w:rPr>
              <w:t>1</w:t>
            </w:r>
            <w:r>
              <w:rPr>
                <w:rFonts w:hint="eastAsia" w:ascii="宋体" w:hAnsi="宋体" w:cs="宋体"/>
                <w:sz w:val="18"/>
                <w:szCs w:val="18"/>
              </w:rPr>
              <w:t>分）</w:t>
            </w:r>
          </w:p>
        </w:tc>
        <w:tc>
          <w:tcPr>
            <w:tcW w:w="3674" w:type="dxa"/>
            <w:shd w:val="clear" w:color="auto" w:fill="auto"/>
            <w:vAlign w:val="center"/>
          </w:tcPr>
          <w:p>
            <w:pPr>
              <w:autoSpaceDE w:val="0"/>
              <w:autoSpaceDN w:val="0"/>
              <w:spacing w:line="240" w:lineRule="auto"/>
              <w:ind w:left="108"/>
              <w:jc w:val="left"/>
              <w:rPr>
                <w:rFonts w:ascii="宋体" w:hAnsi="宋体" w:cs="宋体"/>
                <w:sz w:val="18"/>
                <w:szCs w:val="18"/>
              </w:rPr>
            </w:pPr>
            <w:r>
              <w:rPr>
                <w:rFonts w:hint="eastAsia" w:ascii="宋体" w:hAnsi="宋体" w:cs="宋体"/>
                <w:sz w:val="18"/>
                <w:szCs w:val="18"/>
              </w:rPr>
              <w:t>企业不存在因违反信息披露规定而受到处罚的，加1分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3827" w:type="dxa"/>
            <w:gridSpan w:val="2"/>
            <w:shd w:val="clear" w:color="auto" w:fill="auto"/>
            <w:vAlign w:val="center"/>
          </w:tcPr>
          <w:p>
            <w:pPr>
              <w:autoSpaceDE w:val="0"/>
              <w:autoSpaceDN w:val="0"/>
              <w:spacing w:before="37" w:line="240" w:lineRule="auto"/>
              <w:ind w:left="107"/>
              <w:jc w:val="left"/>
              <w:rPr>
                <w:rFonts w:ascii="宋体" w:hAnsi="宋体" w:cs="宋体"/>
                <w:sz w:val="18"/>
                <w:szCs w:val="18"/>
              </w:rPr>
            </w:pPr>
            <w:r>
              <w:rPr>
                <w:rFonts w:hint="eastAsia" w:ascii="宋体" w:hAnsi="宋体" w:cs="宋体"/>
                <w:sz w:val="18"/>
                <w:szCs w:val="18"/>
              </w:rPr>
              <w:t>定期披露ESG架构具体情况（</w:t>
            </w:r>
            <w:r>
              <w:rPr>
                <w:rFonts w:ascii="宋体" w:hAnsi="宋体" w:cs="宋体"/>
                <w:sz w:val="18"/>
                <w:szCs w:val="18"/>
              </w:rPr>
              <w:t>1</w:t>
            </w:r>
            <w:r>
              <w:rPr>
                <w:rFonts w:hint="eastAsia" w:ascii="宋体" w:hAnsi="宋体" w:cs="宋体"/>
                <w:sz w:val="18"/>
                <w:szCs w:val="18"/>
              </w:rPr>
              <w:t>分）</w:t>
            </w:r>
          </w:p>
        </w:tc>
        <w:tc>
          <w:tcPr>
            <w:tcW w:w="3674" w:type="dxa"/>
            <w:shd w:val="clear" w:color="auto" w:fill="auto"/>
            <w:vAlign w:val="center"/>
          </w:tcPr>
          <w:p>
            <w:pPr>
              <w:autoSpaceDE w:val="0"/>
              <w:autoSpaceDN w:val="0"/>
              <w:spacing w:line="240" w:lineRule="auto"/>
              <w:ind w:left="108"/>
              <w:jc w:val="left"/>
              <w:rPr>
                <w:rFonts w:ascii="宋体" w:hAnsi="宋体" w:cs="宋体"/>
                <w:sz w:val="18"/>
                <w:szCs w:val="18"/>
              </w:rPr>
            </w:pPr>
            <w:r>
              <w:rPr>
                <w:rFonts w:hint="eastAsia" w:ascii="宋体" w:hAnsi="宋体" w:cs="宋体"/>
                <w:sz w:val="18"/>
                <w:szCs w:val="18"/>
              </w:rPr>
              <w:t>企业定期在公司官网、财务报表等披露ESG框架具体情况的，加1分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3827" w:type="dxa"/>
            <w:gridSpan w:val="2"/>
            <w:shd w:val="clear" w:color="auto" w:fill="auto"/>
            <w:vAlign w:val="center"/>
          </w:tcPr>
          <w:p>
            <w:pPr>
              <w:autoSpaceDE w:val="0"/>
              <w:autoSpaceDN w:val="0"/>
              <w:spacing w:before="37" w:line="240" w:lineRule="auto"/>
              <w:ind w:left="107"/>
              <w:jc w:val="left"/>
              <w:rPr>
                <w:rFonts w:ascii="宋体" w:hAnsi="宋体" w:cs="宋体"/>
                <w:bCs/>
                <w:color w:val="000000"/>
                <w:spacing w:val="5"/>
                <w:w w:val="97"/>
                <w:kern w:val="0"/>
                <w:sz w:val="18"/>
                <w:szCs w:val="18"/>
              </w:rPr>
            </w:pPr>
            <w:r>
              <w:rPr>
                <w:rFonts w:hint="eastAsia" w:ascii="宋体" w:hAnsi="宋体" w:cs="宋体"/>
                <w:sz w:val="18"/>
                <w:szCs w:val="18"/>
              </w:rPr>
              <w:t>电子商务平台经营者收到针对平台内经营者的投诉后，能够在法律法规规定的期限内给予用户反馈结果并及时处理（</w:t>
            </w:r>
            <w:r>
              <w:rPr>
                <w:rFonts w:ascii="宋体" w:hAnsi="宋体" w:cs="宋体"/>
                <w:sz w:val="18"/>
                <w:szCs w:val="18"/>
              </w:rPr>
              <w:t>1</w:t>
            </w:r>
            <w:r>
              <w:rPr>
                <w:rFonts w:hint="eastAsia" w:ascii="宋体" w:hAnsi="宋体" w:cs="宋体"/>
                <w:sz w:val="18"/>
                <w:szCs w:val="18"/>
              </w:rPr>
              <w:t>分）</w:t>
            </w:r>
          </w:p>
        </w:tc>
        <w:tc>
          <w:tcPr>
            <w:tcW w:w="3674" w:type="dxa"/>
            <w:shd w:val="clear" w:color="auto" w:fill="auto"/>
            <w:vAlign w:val="center"/>
          </w:tcPr>
          <w:p>
            <w:pPr>
              <w:autoSpaceDE w:val="0"/>
              <w:autoSpaceDN w:val="0"/>
              <w:spacing w:line="240" w:lineRule="auto"/>
              <w:ind w:left="108"/>
              <w:jc w:val="left"/>
              <w:rPr>
                <w:rFonts w:ascii="宋体" w:hAnsi="宋体" w:cs="宋体"/>
                <w:bCs/>
                <w:color w:val="000000"/>
                <w:kern w:val="0"/>
                <w:sz w:val="18"/>
                <w:szCs w:val="18"/>
              </w:rPr>
            </w:pPr>
            <w:r>
              <w:rPr>
                <w:rFonts w:hint="eastAsia" w:ascii="宋体" w:hAnsi="宋体" w:cs="宋体"/>
                <w:bCs/>
                <w:color w:val="000000"/>
                <w:kern w:val="0"/>
                <w:sz w:val="18"/>
                <w:szCs w:val="18"/>
              </w:rPr>
              <w:t>符合加分项细则的，加1分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restart"/>
            <w:shd w:val="clear" w:color="auto" w:fill="auto"/>
            <w:vAlign w:val="center"/>
          </w:tcPr>
          <w:p>
            <w:pPr>
              <w:pStyle w:val="181"/>
              <w:rPr>
                <w:rFonts w:hAnsi="宋体" w:cs="宋体"/>
                <w:bCs/>
                <w:color w:val="000000"/>
                <w:szCs w:val="18"/>
              </w:rPr>
            </w:pPr>
            <w:r>
              <w:rPr>
                <w:rFonts w:hint="eastAsia" w:hAnsi="宋体" w:cs="宋体"/>
                <w:bCs/>
                <w:color w:val="000000"/>
                <w:szCs w:val="18"/>
              </w:rPr>
              <w:t>企业内容治理</w:t>
            </w:r>
          </w:p>
          <w:p>
            <w:pPr>
              <w:pStyle w:val="181"/>
            </w:pPr>
            <w:r>
              <w:rPr>
                <w:rFonts w:hAnsi="宋体" w:cs="宋体"/>
                <w:bCs/>
                <w:color w:val="000000"/>
                <w:szCs w:val="18"/>
              </w:rPr>
              <w:t>（20 分）</w:t>
            </w:r>
          </w:p>
        </w:tc>
        <w:tc>
          <w:tcPr>
            <w:tcW w:w="1276" w:type="dxa"/>
            <w:vMerge w:val="restart"/>
            <w:shd w:val="clear" w:color="auto" w:fill="auto"/>
            <w:vAlign w:val="center"/>
          </w:tcPr>
          <w:p>
            <w:pPr>
              <w:autoSpaceDE w:val="0"/>
              <w:autoSpaceDN w:val="0"/>
              <w:spacing w:line="240" w:lineRule="auto"/>
              <w:ind w:left="107" w:right="25"/>
              <w:jc w:val="center"/>
              <w:rPr>
                <w:rFonts w:ascii="宋体" w:hAnsi="宋体" w:cs="宋体"/>
                <w:sz w:val="18"/>
                <w:szCs w:val="18"/>
              </w:rPr>
            </w:pPr>
            <w:r>
              <w:rPr>
                <w:rFonts w:hint="eastAsia" w:ascii="宋体" w:hAnsi="宋体" w:cs="宋体"/>
                <w:sz w:val="18"/>
                <w:szCs w:val="18"/>
              </w:rPr>
              <w:t>平台内容治理制度建设</w:t>
            </w:r>
          </w:p>
          <w:p>
            <w:pPr>
              <w:autoSpaceDE w:val="0"/>
              <w:autoSpaceDN w:val="0"/>
              <w:spacing w:line="240" w:lineRule="auto"/>
              <w:ind w:left="107" w:right="25"/>
              <w:jc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分）</w:t>
            </w:r>
          </w:p>
          <w:p>
            <w:pPr>
              <w:autoSpaceDE w:val="0"/>
              <w:autoSpaceDN w:val="0"/>
              <w:spacing w:line="240" w:lineRule="auto"/>
              <w:ind w:left="107" w:right="25"/>
              <w:jc w:val="center"/>
              <w:rPr>
                <w:rFonts w:ascii="宋体" w:hAnsi="宋体" w:cs="宋体"/>
                <w:sz w:val="18"/>
                <w:szCs w:val="18"/>
              </w:rPr>
            </w:pPr>
          </w:p>
        </w:tc>
        <w:tc>
          <w:tcPr>
            <w:tcW w:w="2551" w:type="dxa"/>
            <w:shd w:val="clear" w:color="auto" w:fill="auto"/>
            <w:vAlign w:val="center"/>
          </w:tcPr>
          <w:p>
            <w:pPr>
              <w:autoSpaceDE w:val="0"/>
              <w:autoSpaceDN w:val="0"/>
              <w:spacing w:line="240" w:lineRule="auto"/>
              <w:ind w:left="107" w:right="25"/>
              <w:jc w:val="left"/>
              <w:rPr>
                <w:rFonts w:ascii="宋体" w:hAnsi="宋体" w:cs="宋体"/>
                <w:sz w:val="18"/>
                <w:szCs w:val="18"/>
              </w:rPr>
            </w:pPr>
            <w:r>
              <w:rPr>
                <w:rFonts w:hint="eastAsia" w:ascii="宋体" w:hAnsi="宋体" w:cs="宋体"/>
                <w:sz w:val="18"/>
                <w:szCs w:val="18"/>
              </w:rPr>
              <w:t>网络信息内容服务平台应当设立网络信息内容生态治理机制，配备与业务范围和服务规模相适应的专业人员（</w:t>
            </w:r>
            <w:r>
              <w:rPr>
                <w:rFonts w:ascii="宋体" w:hAnsi="宋体" w:cs="宋体"/>
                <w:sz w:val="18"/>
                <w:szCs w:val="18"/>
              </w:rPr>
              <w:t>1</w:t>
            </w:r>
            <w:r>
              <w:rPr>
                <w:rFonts w:hint="eastAsia" w:ascii="宋体" w:hAnsi="宋体" w:cs="宋体"/>
                <w:sz w:val="18"/>
                <w:szCs w:val="18"/>
              </w:rPr>
              <w:t>分）</w:t>
            </w:r>
          </w:p>
        </w:tc>
        <w:tc>
          <w:tcPr>
            <w:tcW w:w="3674" w:type="dxa"/>
            <w:vMerge w:val="restart"/>
            <w:shd w:val="clear" w:color="auto" w:fill="auto"/>
            <w:vAlign w:val="center"/>
          </w:tcPr>
          <w:p>
            <w:pPr>
              <w:autoSpaceDE w:val="0"/>
              <w:autoSpaceDN w:val="0"/>
              <w:spacing w:line="240" w:lineRule="auto"/>
              <w:ind w:left="108" w:right="5"/>
              <w:jc w:val="left"/>
              <w:rPr>
                <w:rFonts w:ascii="宋体" w:hAnsi="宋体" w:cs="宋体"/>
                <w:sz w:val="18"/>
                <w:szCs w:val="18"/>
              </w:rPr>
            </w:pPr>
            <w:r>
              <w:rPr>
                <w:rFonts w:hint="eastAsia" w:ascii="宋体" w:hAnsi="宋体" w:cs="宋体"/>
                <w:sz w:val="18"/>
                <w:szCs w:val="18"/>
              </w:rPr>
              <w:t>企业采取人工和技术治理结合的手段，配备与业务范围和规模适配的专业人员，得1分；创新研发可靠有效的审查技术手段，确保有效的账户管理、稿源管理、内容审核、申诉反馈、奖惩机制及算法规范等的，得2分；企业制定清晰的网络生态治理规则并公示，确保平台首屏首页、 热搜榜单、弹窗推送、网络直播、知识社区等重要环节符合平台内容的标准和限制，得</w:t>
            </w:r>
            <w:r>
              <w:rPr>
                <w:rFonts w:ascii="宋体" w:hAnsi="宋体" w:cs="宋体"/>
                <w:sz w:val="18"/>
                <w:szCs w:val="18"/>
              </w:rPr>
              <w:t>2</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autoSpaceDE w:val="0"/>
              <w:autoSpaceDN w:val="0"/>
              <w:spacing w:line="240" w:lineRule="auto"/>
              <w:ind w:left="107" w:right="25"/>
              <w:jc w:val="center"/>
              <w:rPr>
                <w:rFonts w:ascii="宋体" w:hAnsi="宋体" w:cs="宋体"/>
                <w:sz w:val="18"/>
                <w:szCs w:val="18"/>
              </w:rPr>
            </w:pPr>
          </w:p>
        </w:tc>
        <w:tc>
          <w:tcPr>
            <w:tcW w:w="2551" w:type="dxa"/>
            <w:shd w:val="clear" w:color="auto" w:fill="auto"/>
            <w:vAlign w:val="center"/>
          </w:tcPr>
          <w:p>
            <w:pPr>
              <w:autoSpaceDE w:val="0"/>
              <w:autoSpaceDN w:val="0"/>
              <w:spacing w:line="240" w:lineRule="auto"/>
              <w:ind w:left="107" w:right="25"/>
              <w:jc w:val="left"/>
              <w:rPr>
                <w:rFonts w:ascii="宋体" w:hAnsi="宋体" w:cs="宋体"/>
                <w:sz w:val="18"/>
                <w:szCs w:val="18"/>
              </w:rPr>
            </w:pPr>
            <w:r>
              <w:rPr>
                <w:rFonts w:hint="eastAsia" w:ascii="宋体" w:hAnsi="宋体" w:cs="宋体"/>
                <w:sz w:val="18"/>
                <w:szCs w:val="18"/>
              </w:rPr>
              <w:t>建立有效的账户管理、 稿源管理、 内容审核、申诉反馈、 诚信管理、 奖惩机制以及规范算法推荐等（2分）</w:t>
            </w:r>
          </w:p>
        </w:tc>
        <w:tc>
          <w:tcPr>
            <w:tcW w:w="3674" w:type="dxa"/>
            <w:vMerge w:val="continue"/>
            <w:shd w:val="clear" w:color="auto" w:fill="auto"/>
            <w:vAlign w:val="center"/>
          </w:tcPr>
          <w:p>
            <w:pPr>
              <w:autoSpaceDE w:val="0"/>
              <w:autoSpaceDN w:val="0"/>
              <w:spacing w:line="240" w:lineRule="auto"/>
              <w:ind w:left="108" w:right="5"/>
              <w:jc w:val="left"/>
              <w:rPr>
                <w:rFonts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autoSpaceDE w:val="0"/>
              <w:autoSpaceDN w:val="0"/>
              <w:spacing w:line="240" w:lineRule="auto"/>
              <w:ind w:left="107" w:right="25"/>
              <w:jc w:val="center"/>
              <w:rPr>
                <w:rFonts w:ascii="宋体" w:hAnsi="宋体" w:cs="宋体"/>
                <w:sz w:val="18"/>
                <w:szCs w:val="18"/>
              </w:rPr>
            </w:pPr>
          </w:p>
        </w:tc>
        <w:tc>
          <w:tcPr>
            <w:tcW w:w="2551" w:type="dxa"/>
            <w:shd w:val="clear" w:color="auto" w:fill="auto"/>
            <w:vAlign w:val="center"/>
          </w:tcPr>
          <w:p>
            <w:pPr>
              <w:autoSpaceDE w:val="0"/>
              <w:autoSpaceDN w:val="0"/>
              <w:spacing w:line="240" w:lineRule="auto"/>
              <w:ind w:left="107" w:right="25"/>
              <w:jc w:val="left"/>
              <w:rPr>
                <w:rFonts w:ascii="宋体" w:hAnsi="宋体" w:cs="宋体"/>
                <w:sz w:val="18"/>
                <w:szCs w:val="18"/>
              </w:rPr>
            </w:pPr>
            <w:r>
              <w:rPr>
                <w:rFonts w:hint="eastAsia" w:ascii="宋体" w:hAnsi="宋体" w:cs="宋体"/>
                <w:sz w:val="18"/>
                <w:szCs w:val="18"/>
              </w:rPr>
              <w:t>有完善的网络生态治理具体措施，重点针对首屏首页、 热搜榜单、弹窗推送、网络直播、知识社区等环节（2分）</w:t>
            </w:r>
          </w:p>
        </w:tc>
        <w:tc>
          <w:tcPr>
            <w:tcW w:w="3674" w:type="dxa"/>
            <w:vMerge w:val="continue"/>
            <w:shd w:val="clear" w:color="auto" w:fill="auto"/>
            <w:vAlign w:val="center"/>
          </w:tcPr>
          <w:p>
            <w:pPr>
              <w:autoSpaceDE w:val="0"/>
              <w:autoSpaceDN w:val="0"/>
              <w:spacing w:line="240" w:lineRule="auto"/>
              <w:ind w:left="108" w:right="5"/>
              <w:jc w:val="left"/>
              <w:rPr>
                <w:rFonts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restart"/>
            <w:shd w:val="clear" w:color="auto" w:fill="auto"/>
            <w:vAlign w:val="center"/>
          </w:tcPr>
          <w:p>
            <w:pPr>
              <w:autoSpaceDE w:val="0"/>
              <w:autoSpaceDN w:val="0"/>
              <w:spacing w:line="240" w:lineRule="auto"/>
              <w:ind w:left="107" w:right="25"/>
              <w:jc w:val="center"/>
              <w:rPr>
                <w:rFonts w:ascii="宋体" w:hAnsi="宋体" w:cs="宋体"/>
                <w:sz w:val="18"/>
                <w:szCs w:val="18"/>
              </w:rPr>
            </w:pPr>
            <w:r>
              <w:rPr>
                <w:rFonts w:hint="eastAsia" w:ascii="宋体" w:hAnsi="宋体" w:cs="宋体"/>
                <w:sz w:val="18"/>
                <w:szCs w:val="18"/>
              </w:rPr>
              <w:t>平台科技伦理治理</w:t>
            </w:r>
          </w:p>
          <w:p>
            <w:pPr>
              <w:autoSpaceDE w:val="0"/>
              <w:autoSpaceDN w:val="0"/>
              <w:spacing w:line="240" w:lineRule="auto"/>
              <w:ind w:left="107" w:right="25"/>
              <w:jc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15</w:t>
            </w:r>
            <w:r>
              <w:rPr>
                <w:rFonts w:hint="eastAsia" w:ascii="宋体" w:hAnsi="宋体" w:cs="宋体"/>
                <w:sz w:val="18"/>
                <w:szCs w:val="18"/>
              </w:rPr>
              <w:t>分）</w:t>
            </w:r>
          </w:p>
        </w:tc>
        <w:tc>
          <w:tcPr>
            <w:tcW w:w="2551" w:type="dxa"/>
            <w:shd w:val="clear" w:color="auto" w:fill="auto"/>
            <w:vAlign w:val="center"/>
          </w:tcPr>
          <w:p>
            <w:pPr>
              <w:autoSpaceDE w:val="0"/>
              <w:autoSpaceDN w:val="0"/>
              <w:spacing w:line="240" w:lineRule="auto"/>
              <w:ind w:left="107" w:right="25"/>
              <w:jc w:val="left"/>
              <w:rPr>
                <w:rFonts w:ascii="宋体" w:hAnsi="宋体" w:cs="宋体"/>
                <w:sz w:val="18"/>
                <w:szCs w:val="18"/>
              </w:rPr>
            </w:pPr>
            <w:r>
              <w:rPr>
                <w:rFonts w:hint="eastAsia" w:ascii="宋体" w:hAnsi="宋体" w:cs="宋体"/>
                <w:sz w:val="18"/>
                <w:szCs w:val="18"/>
              </w:rPr>
              <w:t>设立了科技伦理原则（2分）</w:t>
            </w:r>
          </w:p>
        </w:tc>
        <w:tc>
          <w:tcPr>
            <w:tcW w:w="3674" w:type="dxa"/>
            <w:shd w:val="clear" w:color="auto" w:fill="auto"/>
            <w:vAlign w:val="center"/>
          </w:tcPr>
          <w:p>
            <w:pPr>
              <w:autoSpaceDE w:val="0"/>
              <w:autoSpaceDN w:val="0"/>
              <w:spacing w:before="135" w:line="240" w:lineRule="auto"/>
              <w:ind w:left="108"/>
              <w:jc w:val="left"/>
              <w:rPr>
                <w:rFonts w:ascii="宋体" w:hAnsi="宋体" w:cs="宋体"/>
                <w:sz w:val="18"/>
                <w:szCs w:val="18"/>
              </w:rPr>
            </w:pPr>
            <w:r>
              <w:rPr>
                <w:rFonts w:hint="eastAsia" w:ascii="宋体" w:hAnsi="宋体" w:cs="宋体"/>
                <w:sz w:val="18"/>
                <w:szCs w:val="18"/>
              </w:rPr>
              <w:t>企业根据自身情况，有针对性设立和深化科技伦理原则，包括增进人类福祉、尊重生命权利、坚持公平公正、合理控制风险、保持公开透明等，得2分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autoSpaceDE w:val="0"/>
              <w:autoSpaceDN w:val="0"/>
              <w:spacing w:line="240" w:lineRule="auto"/>
              <w:ind w:left="107" w:right="25"/>
              <w:jc w:val="left"/>
              <w:rPr>
                <w:rFonts w:ascii="宋体" w:hAnsi="宋体" w:cs="宋体"/>
                <w:sz w:val="18"/>
                <w:szCs w:val="18"/>
              </w:rPr>
            </w:pPr>
          </w:p>
        </w:tc>
        <w:tc>
          <w:tcPr>
            <w:tcW w:w="2551" w:type="dxa"/>
            <w:shd w:val="clear" w:color="auto" w:fill="auto"/>
            <w:vAlign w:val="center"/>
          </w:tcPr>
          <w:p>
            <w:pPr>
              <w:autoSpaceDE w:val="0"/>
              <w:autoSpaceDN w:val="0"/>
              <w:spacing w:line="240" w:lineRule="auto"/>
              <w:ind w:left="107" w:right="25"/>
              <w:jc w:val="left"/>
              <w:rPr>
                <w:rFonts w:ascii="宋体" w:hAnsi="宋体" w:cs="宋体"/>
                <w:sz w:val="18"/>
                <w:szCs w:val="18"/>
              </w:rPr>
            </w:pPr>
            <w:r>
              <w:rPr>
                <w:rFonts w:hint="eastAsia" w:ascii="宋体" w:hAnsi="宋体" w:cs="宋体"/>
                <w:sz w:val="18"/>
                <w:szCs w:val="18"/>
              </w:rPr>
              <w:t>具备相关的科技伦理治理制度（</w:t>
            </w:r>
            <w:r>
              <w:rPr>
                <w:rFonts w:ascii="宋体" w:hAnsi="宋体" w:cs="宋体"/>
                <w:sz w:val="18"/>
                <w:szCs w:val="18"/>
              </w:rPr>
              <w:t>3</w:t>
            </w:r>
            <w:r>
              <w:rPr>
                <w:rFonts w:hint="eastAsia" w:ascii="宋体" w:hAnsi="宋体" w:cs="宋体"/>
                <w:sz w:val="18"/>
                <w:szCs w:val="18"/>
              </w:rPr>
              <w:t>分）</w:t>
            </w:r>
          </w:p>
        </w:tc>
        <w:tc>
          <w:tcPr>
            <w:tcW w:w="3674" w:type="dxa"/>
            <w:shd w:val="clear" w:color="auto" w:fill="auto"/>
            <w:vAlign w:val="center"/>
          </w:tcPr>
          <w:p>
            <w:pPr>
              <w:autoSpaceDE w:val="0"/>
              <w:autoSpaceDN w:val="0"/>
              <w:spacing w:before="135" w:line="240" w:lineRule="auto"/>
              <w:ind w:left="108"/>
              <w:jc w:val="left"/>
              <w:rPr>
                <w:rFonts w:ascii="宋体" w:hAnsi="宋体" w:cs="宋体"/>
                <w:sz w:val="18"/>
                <w:szCs w:val="18"/>
              </w:rPr>
            </w:pPr>
            <w:r>
              <w:rPr>
                <w:rFonts w:hint="eastAsia" w:ascii="宋体" w:hAnsi="宋体" w:cs="宋体"/>
                <w:sz w:val="18"/>
                <w:szCs w:val="18"/>
              </w:rPr>
              <w:t>企业有完备的科技伦理治理制度的，得</w:t>
            </w:r>
            <w:r>
              <w:rPr>
                <w:rFonts w:ascii="宋体" w:hAnsi="宋体" w:cs="宋体"/>
                <w:sz w:val="18"/>
                <w:szCs w:val="18"/>
              </w:rPr>
              <w:t>3</w:t>
            </w:r>
            <w:r>
              <w:rPr>
                <w:rFonts w:hint="eastAsia" w:ascii="宋体" w:hAnsi="宋体" w:cs="宋体"/>
                <w:sz w:val="18"/>
                <w:szCs w:val="18"/>
              </w:rPr>
              <w:t>分；注：相关制度如建立科技伦理委员会，聘请跨部门的专家和学者，与企业其他部门或第三方机构密切合作，制定公司的科技伦理政策和指南、监督科技项目和产品的伦理合规性的合规性，主动与公众和利益相关方沟通，并建立透明机制接受社会监督和反馈、推动科技伦理议题的公共讨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autoSpaceDE w:val="0"/>
              <w:autoSpaceDN w:val="0"/>
              <w:spacing w:line="240" w:lineRule="auto"/>
              <w:ind w:left="107" w:right="25"/>
              <w:jc w:val="left"/>
              <w:rPr>
                <w:rFonts w:ascii="宋体" w:hAnsi="宋体" w:cs="宋体"/>
                <w:sz w:val="18"/>
                <w:szCs w:val="18"/>
              </w:rPr>
            </w:pPr>
          </w:p>
        </w:tc>
        <w:tc>
          <w:tcPr>
            <w:tcW w:w="2551" w:type="dxa"/>
            <w:shd w:val="clear" w:color="auto" w:fill="auto"/>
            <w:vAlign w:val="center"/>
          </w:tcPr>
          <w:p>
            <w:pPr>
              <w:autoSpaceDE w:val="0"/>
              <w:autoSpaceDN w:val="0"/>
              <w:spacing w:line="240" w:lineRule="auto"/>
              <w:ind w:left="107" w:right="25"/>
              <w:jc w:val="left"/>
              <w:rPr>
                <w:rFonts w:ascii="宋体" w:hAnsi="宋体" w:cs="宋体"/>
                <w:sz w:val="18"/>
                <w:szCs w:val="18"/>
              </w:rPr>
            </w:pPr>
            <w:r>
              <w:rPr>
                <w:rFonts w:hint="eastAsia" w:ascii="宋体" w:hAnsi="宋体" w:cs="宋体"/>
                <w:sz w:val="18"/>
                <w:szCs w:val="18"/>
              </w:rPr>
              <w:t>使用算法推荐服务时坚持主流价值导向，采取措施防范和抵制传播不良信息（2分）</w:t>
            </w:r>
          </w:p>
        </w:tc>
        <w:tc>
          <w:tcPr>
            <w:tcW w:w="3674" w:type="dxa"/>
            <w:shd w:val="clear" w:color="auto" w:fill="auto"/>
            <w:vAlign w:val="center"/>
          </w:tcPr>
          <w:p>
            <w:pPr>
              <w:autoSpaceDE w:val="0"/>
              <w:autoSpaceDN w:val="0"/>
              <w:spacing w:before="135" w:line="240" w:lineRule="auto"/>
              <w:ind w:left="108"/>
              <w:jc w:val="left"/>
              <w:rPr>
                <w:rFonts w:ascii="宋体" w:hAnsi="宋体" w:cs="宋体"/>
                <w:sz w:val="18"/>
                <w:szCs w:val="18"/>
              </w:rPr>
            </w:pPr>
            <w:r>
              <w:rPr>
                <w:rFonts w:hint="eastAsia" w:ascii="宋体" w:hAnsi="宋体" w:cs="宋体"/>
                <w:sz w:val="18"/>
                <w:szCs w:val="18"/>
              </w:rPr>
              <w:t>企业对其算法进行伦理评估和检测，坚持主流价值导向的，得</w:t>
            </w:r>
            <w:r>
              <w:rPr>
                <w:rFonts w:ascii="宋体" w:hAnsi="宋体" w:cs="宋体"/>
                <w:sz w:val="18"/>
                <w:szCs w:val="18"/>
              </w:rPr>
              <w:t>1</w:t>
            </w:r>
            <w:r>
              <w:rPr>
                <w:rFonts w:hint="eastAsia" w:ascii="宋体" w:hAnsi="宋体" w:cs="宋体"/>
                <w:sz w:val="18"/>
                <w:szCs w:val="18"/>
              </w:rPr>
              <w:t>分；企业设计机制识别算法的潜在伦理问题（如传播不良信息、产生有害歧视）并采取相关措施解决的，得</w:t>
            </w:r>
            <w:r>
              <w:rPr>
                <w:rFonts w:ascii="宋体" w:hAnsi="宋体" w:cs="宋体"/>
                <w:sz w:val="18"/>
                <w:szCs w:val="18"/>
              </w:rPr>
              <w:t>1</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autoSpaceDE w:val="0"/>
              <w:autoSpaceDN w:val="0"/>
              <w:spacing w:line="240" w:lineRule="auto"/>
              <w:ind w:left="107" w:right="25"/>
              <w:jc w:val="left"/>
              <w:rPr>
                <w:rFonts w:ascii="宋体" w:hAnsi="宋体" w:cs="宋体"/>
                <w:sz w:val="18"/>
                <w:szCs w:val="18"/>
              </w:rPr>
            </w:pPr>
          </w:p>
        </w:tc>
        <w:tc>
          <w:tcPr>
            <w:tcW w:w="2551" w:type="dxa"/>
            <w:shd w:val="clear" w:color="auto" w:fill="auto"/>
            <w:vAlign w:val="center"/>
          </w:tcPr>
          <w:p>
            <w:pPr>
              <w:autoSpaceDE w:val="0"/>
              <w:autoSpaceDN w:val="0"/>
              <w:spacing w:line="240" w:lineRule="auto"/>
              <w:ind w:left="107" w:right="25"/>
              <w:jc w:val="left"/>
              <w:rPr>
                <w:rFonts w:ascii="宋体" w:hAnsi="宋体" w:cs="宋体"/>
                <w:sz w:val="18"/>
                <w:szCs w:val="18"/>
              </w:rPr>
            </w:pPr>
            <w:r>
              <w:rPr>
                <w:rFonts w:hint="eastAsia" w:ascii="宋体" w:hAnsi="宋体" w:cs="宋体"/>
                <w:sz w:val="18"/>
                <w:szCs w:val="18"/>
              </w:rPr>
              <w:t>建立算法机制机理审核、科技伦理审查、算法投诉受理等制度和措施（2分）</w:t>
            </w:r>
          </w:p>
        </w:tc>
        <w:tc>
          <w:tcPr>
            <w:tcW w:w="3674" w:type="dxa"/>
            <w:shd w:val="clear" w:color="auto" w:fill="auto"/>
            <w:vAlign w:val="center"/>
          </w:tcPr>
          <w:p>
            <w:pPr>
              <w:autoSpaceDE w:val="0"/>
              <w:autoSpaceDN w:val="0"/>
              <w:spacing w:before="135" w:line="240" w:lineRule="auto"/>
              <w:ind w:left="108"/>
              <w:jc w:val="left"/>
              <w:rPr>
                <w:rFonts w:ascii="宋体" w:hAnsi="宋体" w:cs="宋体"/>
                <w:sz w:val="18"/>
                <w:szCs w:val="18"/>
              </w:rPr>
            </w:pPr>
            <w:r>
              <w:rPr>
                <w:rFonts w:hint="eastAsia" w:ascii="宋体" w:hAnsi="宋体" w:cs="宋体"/>
                <w:sz w:val="18"/>
                <w:szCs w:val="18"/>
              </w:rPr>
              <w:t>企业建立明确的责任制度，涵盖算法的机制审核、算法运行结果的评估、算法投诉受理等，得</w:t>
            </w:r>
            <w:r>
              <w:rPr>
                <w:rFonts w:ascii="宋体" w:hAnsi="宋体" w:cs="宋体"/>
                <w:sz w:val="18"/>
                <w:szCs w:val="18"/>
              </w:rPr>
              <w:t>2</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autoSpaceDE w:val="0"/>
              <w:autoSpaceDN w:val="0"/>
              <w:spacing w:line="240" w:lineRule="auto"/>
              <w:jc w:val="left"/>
              <w:rPr>
                <w:rFonts w:ascii="宋体" w:hAnsi="宋体" w:cs="宋体"/>
                <w:sz w:val="18"/>
                <w:szCs w:val="18"/>
              </w:rPr>
            </w:pPr>
          </w:p>
        </w:tc>
        <w:tc>
          <w:tcPr>
            <w:tcW w:w="2551" w:type="dxa"/>
            <w:shd w:val="clear" w:color="auto" w:fill="auto"/>
            <w:vAlign w:val="center"/>
          </w:tcPr>
          <w:p>
            <w:pPr>
              <w:autoSpaceDE w:val="0"/>
              <w:autoSpaceDN w:val="0"/>
              <w:spacing w:line="240" w:lineRule="auto"/>
              <w:ind w:left="107" w:right="25"/>
              <w:jc w:val="left"/>
              <w:rPr>
                <w:rFonts w:ascii="宋体" w:hAnsi="宋体" w:cs="宋体"/>
                <w:sz w:val="18"/>
                <w:szCs w:val="18"/>
              </w:rPr>
            </w:pPr>
            <w:r>
              <w:rPr>
                <w:rFonts w:hint="eastAsia" w:ascii="宋体" w:hAnsi="宋体" w:cs="宋体"/>
                <w:sz w:val="18"/>
                <w:szCs w:val="18"/>
              </w:rPr>
              <w:t>算法推荐服务提供者应当以显著方式告知用户其提供算法推荐服务的情况，以适当方式公示算法推荐服务的基本原理、目的意图和主要运行机制等（2分）</w:t>
            </w:r>
          </w:p>
        </w:tc>
        <w:tc>
          <w:tcPr>
            <w:tcW w:w="3674" w:type="dxa"/>
            <w:shd w:val="clear" w:color="auto" w:fill="auto"/>
            <w:vAlign w:val="center"/>
          </w:tcPr>
          <w:p>
            <w:pPr>
              <w:autoSpaceDE w:val="0"/>
              <w:autoSpaceDN w:val="0"/>
              <w:spacing w:before="135" w:line="240" w:lineRule="auto"/>
              <w:ind w:left="108"/>
              <w:jc w:val="left"/>
              <w:rPr>
                <w:rFonts w:ascii="宋体" w:hAnsi="宋体" w:cs="宋体"/>
                <w:sz w:val="18"/>
                <w:szCs w:val="18"/>
              </w:rPr>
            </w:pPr>
            <w:r>
              <w:rPr>
                <w:rFonts w:hint="eastAsia" w:ascii="宋体" w:hAnsi="宋体" w:cs="宋体"/>
                <w:sz w:val="18"/>
                <w:szCs w:val="18"/>
              </w:rPr>
              <w:t>企业向用户和利益相关方公示平台算法的基本原则、主要运行机制、可供查看和调整的个性化设计、使用算法服务的情况等信息，提高算法透明度和可解释性的，得</w:t>
            </w:r>
            <w:r>
              <w:rPr>
                <w:rFonts w:ascii="宋体" w:hAnsi="宋体" w:cs="宋体"/>
                <w:sz w:val="18"/>
                <w:szCs w:val="18"/>
              </w:rPr>
              <w:t>2</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autoSpaceDE w:val="0"/>
              <w:autoSpaceDN w:val="0"/>
              <w:spacing w:line="240" w:lineRule="auto"/>
              <w:jc w:val="left"/>
              <w:rPr>
                <w:rFonts w:ascii="宋体" w:hAnsi="宋体" w:cs="宋体"/>
                <w:sz w:val="18"/>
                <w:szCs w:val="18"/>
              </w:rPr>
            </w:pPr>
          </w:p>
        </w:tc>
        <w:tc>
          <w:tcPr>
            <w:tcW w:w="2551" w:type="dxa"/>
            <w:shd w:val="clear" w:color="auto" w:fill="auto"/>
            <w:vAlign w:val="center"/>
          </w:tcPr>
          <w:p>
            <w:pPr>
              <w:autoSpaceDE w:val="0"/>
              <w:autoSpaceDN w:val="0"/>
              <w:spacing w:line="240" w:lineRule="auto"/>
              <w:ind w:left="107" w:right="25"/>
              <w:jc w:val="left"/>
              <w:rPr>
                <w:rFonts w:ascii="宋体" w:hAnsi="宋体" w:cs="宋体"/>
                <w:sz w:val="18"/>
                <w:szCs w:val="18"/>
              </w:rPr>
            </w:pPr>
            <w:r>
              <w:rPr>
                <w:rFonts w:hint="eastAsia" w:ascii="宋体" w:hAnsi="宋体" w:cs="宋体"/>
                <w:sz w:val="18"/>
                <w:szCs w:val="18"/>
              </w:rPr>
              <w:t>算法推荐服务提供者向用户提供不针对其个人特征的选项，或者向用户提供便捷的关闭算法推荐服务的选项（2分）</w:t>
            </w:r>
          </w:p>
        </w:tc>
        <w:tc>
          <w:tcPr>
            <w:tcW w:w="3674" w:type="dxa"/>
            <w:shd w:val="clear" w:color="auto" w:fill="auto"/>
            <w:vAlign w:val="center"/>
          </w:tcPr>
          <w:p>
            <w:pPr>
              <w:autoSpaceDE w:val="0"/>
              <w:autoSpaceDN w:val="0"/>
              <w:spacing w:before="135" w:line="240" w:lineRule="auto"/>
              <w:ind w:left="108"/>
              <w:jc w:val="left"/>
              <w:rPr>
                <w:rFonts w:ascii="宋体" w:hAnsi="宋体" w:cs="宋体"/>
                <w:sz w:val="18"/>
                <w:szCs w:val="18"/>
              </w:rPr>
            </w:pPr>
            <w:r>
              <w:rPr>
                <w:rFonts w:hint="eastAsia" w:ascii="宋体" w:hAnsi="宋体" w:cs="宋体"/>
                <w:sz w:val="18"/>
                <w:szCs w:val="18"/>
              </w:rPr>
              <w:t>符合细则的，得</w:t>
            </w:r>
            <w:r>
              <w:rPr>
                <w:rFonts w:ascii="宋体" w:hAnsi="宋体" w:cs="宋体"/>
                <w:sz w:val="18"/>
                <w:szCs w:val="18"/>
              </w:rPr>
              <w:t>2</w:t>
            </w:r>
            <w:r>
              <w:rPr>
                <w:rFonts w:hint="eastAsia" w:ascii="宋体" w:hAnsi="宋体" w:cs="宋体"/>
                <w:sz w:val="18"/>
                <w:szCs w:val="18"/>
              </w:rPr>
              <w:t>分</w:t>
            </w:r>
          </w:p>
        </w:tc>
      </w:tr>
      <w:tr>
        <w:tblPrEx>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autoSpaceDE w:val="0"/>
              <w:autoSpaceDN w:val="0"/>
              <w:spacing w:line="240" w:lineRule="auto"/>
              <w:jc w:val="left"/>
              <w:rPr>
                <w:rFonts w:ascii="宋体" w:hAnsi="宋体" w:cs="宋体"/>
                <w:sz w:val="18"/>
                <w:szCs w:val="18"/>
              </w:rPr>
            </w:pPr>
          </w:p>
        </w:tc>
        <w:tc>
          <w:tcPr>
            <w:tcW w:w="2551" w:type="dxa"/>
            <w:shd w:val="clear" w:color="auto" w:fill="auto"/>
            <w:vAlign w:val="center"/>
          </w:tcPr>
          <w:p>
            <w:pPr>
              <w:autoSpaceDE w:val="0"/>
              <w:autoSpaceDN w:val="0"/>
              <w:spacing w:line="240" w:lineRule="auto"/>
              <w:ind w:left="107" w:right="25"/>
              <w:jc w:val="left"/>
              <w:rPr>
                <w:rFonts w:ascii="宋体" w:hAnsi="宋体" w:cs="宋体"/>
                <w:sz w:val="18"/>
                <w:szCs w:val="18"/>
              </w:rPr>
            </w:pPr>
            <w:r>
              <w:rPr>
                <w:rFonts w:hint="eastAsia" w:ascii="宋体" w:hAnsi="宋体" w:cs="宋体"/>
                <w:sz w:val="18"/>
                <w:szCs w:val="18"/>
              </w:rPr>
              <w:t>建立利用算法设置保障灵活就业者劳动权益的机制（2分）</w:t>
            </w:r>
          </w:p>
        </w:tc>
        <w:tc>
          <w:tcPr>
            <w:tcW w:w="3674" w:type="dxa"/>
            <w:shd w:val="clear" w:color="auto" w:fill="auto"/>
            <w:vAlign w:val="center"/>
          </w:tcPr>
          <w:p>
            <w:pPr>
              <w:autoSpaceDE w:val="0"/>
              <w:autoSpaceDN w:val="0"/>
              <w:spacing w:before="135" w:line="240" w:lineRule="auto"/>
              <w:ind w:left="108"/>
              <w:jc w:val="left"/>
              <w:rPr>
                <w:rFonts w:ascii="宋体" w:hAnsi="宋体" w:cs="宋体"/>
                <w:sz w:val="18"/>
                <w:szCs w:val="18"/>
              </w:rPr>
            </w:pPr>
            <w:r>
              <w:rPr>
                <w:rFonts w:hint="eastAsia" w:ascii="宋体" w:hAnsi="宋体" w:cs="宋体"/>
                <w:sz w:val="18"/>
                <w:szCs w:val="18"/>
              </w:rPr>
              <w:t>利用算法建立了保障灵活就业者劳动权益的机制的，得2分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7501" w:type="dxa"/>
            <w:gridSpan w:val="3"/>
            <w:shd w:val="clear" w:color="auto" w:fill="auto"/>
            <w:vAlign w:val="center"/>
          </w:tcPr>
          <w:p>
            <w:pPr>
              <w:pStyle w:val="181"/>
            </w:pPr>
            <w:r>
              <w:rPr>
                <w:rFonts w:hint="eastAsia"/>
              </w:rPr>
              <w:t xml:space="preserve"> 加分项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3827" w:type="dxa"/>
            <w:gridSpan w:val="2"/>
            <w:shd w:val="clear" w:color="auto" w:fill="auto"/>
            <w:vAlign w:val="center"/>
          </w:tcPr>
          <w:p>
            <w:pPr>
              <w:autoSpaceDE w:val="0"/>
              <w:autoSpaceDN w:val="0"/>
              <w:spacing w:before="37" w:line="240" w:lineRule="auto"/>
              <w:ind w:left="107"/>
              <w:jc w:val="left"/>
              <w:rPr>
                <w:rFonts w:ascii="宋体" w:hAnsi="宋体" w:cs="宋体"/>
                <w:sz w:val="18"/>
                <w:szCs w:val="18"/>
              </w:rPr>
            </w:pPr>
            <w:r>
              <w:rPr>
                <w:rFonts w:hint="eastAsia" w:ascii="宋体" w:hAnsi="宋体" w:cs="宋体"/>
                <w:sz w:val="18"/>
                <w:szCs w:val="18"/>
              </w:rPr>
              <w:t>已完成算法适老化改造或未成年人保护，保障、便利老年人或未成年人安全使用算法推荐服务（</w:t>
            </w:r>
            <w:r>
              <w:rPr>
                <w:rFonts w:ascii="宋体" w:hAnsi="宋体" w:cs="宋体"/>
                <w:sz w:val="18"/>
                <w:szCs w:val="18"/>
              </w:rPr>
              <w:t>2</w:t>
            </w:r>
            <w:r>
              <w:rPr>
                <w:rFonts w:hint="eastAsia" w:ascii="宋体" w:hAnsi="宋体" w:cs="宋体"/>
                <w:sz w:val="18"/>
                <w:szCs w:val="18"/>
              </w:rPr>
              <w:t>分）</w:t>
            </w:r>
          </w:p>
        </w:tc>
        <w:tc>
          <w:tcPr>
            <w:tcW w:w="3674" w:type="dxa"/>
            <w:shd w:val="clear" w:color="auto" w:fill="auto"/>
            <w:vAlign w:val="center"/>
          </w:tcPr>
          <w:p>
            <w:pPr>
              <w:autoSpaceDE w:val="0"/>
              <w:autoSpaceDN w:val="0"/>
              <w:spacing w:line="240" w:lineRule="auto"/>
              <w:ind w:left="108"/>
              <w:jc w:val="left"/>
              <w:rPr>
                <w:rFonts w:ascii="宋体" w:hAnsi="宋体" w:cs="宋体"/>
                <w:sz w:val="18"/>
                <w:szCs w:val="18"/>
              </w:rPr>
            </w:pPr>
            <w:r>
              <w:rPr>
                <w:rFonts w:hint="eastAsia" w:ascii="宋体" w:hAnsi="宋体" w:cs="宋体"/>
                <w:sz w:val="18"/>
                <w:szCs w:val="18"/>
              </w:rPr>
              <w:t>符合加分项细则的，加2分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3827" w:type="dxa"/>
            <w:gridSpan w:val="2"/>
            <w:shd w:val="clear" w:color="auto" w:fill="auto"/>
            <w:vAlign w:val="center"/>
          </w:tcPr>
          <w:p>
            <w:pPr>
              <w:autoSpaceDE w:val="0"/>
              <w:autoSpaceDN w:val="0"/>
              <w:spacing w:before="37" w:line="240" w:lineRule="auto"/>
              <w:ind w:left="107"/>
              <w:jc w:val="left"/>
              <w:rPr>
                <w:rFonts w:ascii="宋体" w:hAnsi="宋体" w:cs="宋体"/>
                <w:bCs/>
                <w:color w:val="000000"/>
                <w:spacing w:val="5"/>
                <w:w w:val="97"/>
                <w:kern w:val="0"/>
                <w:sz w:val="18"/>
                <w:szCs w:val="18"/>
              </w:rPr>
            </w:pPr>
            <w:r>
              <w:rPr>
                <w:rFonts w:hint="eastAsia" w:ascii="宋体" w:hAnsi="宋体" w:cs="宋体"/>
                <w:sz w:val="18"/>
                <w:szCs w:val="18"/>
              </w:rPr>
              <w:t>利用算法设置促进网络创业和就业环境改善，为弱势群体的网络创业和就业提供便利（</w:t>
            </w:r>
            <w:r>
              <w:rPr>
                <w:rFonts w:ascii="宋体" w:hAnsi="宋体" w:cs="宋体"/>
                <w:sz w:val="18"/>
                <w:szCs w:val="18"/>
              </w:rPr>
              <w:t>2</w:t>
            </w:r>
            <w:r>
              <w:rPr>
                <w:rFonts w:hint="eastAsia" w:ascii="宋体" w:hAnsi="宋体" w:cs="宋体"/>
                <w:sz w:val="18"/>
                <w:szCs w:val="18"/>
              </w:rPr>
              <w:t>分）</w:t>
            </w:r>
          </w:p>
        </w:tc>
        <w:tc>
          <w:tcPr>
            <w:tcW w:w="3674" w:type="dxa"/>
            <w:shd w:val="clear" w:color="auto" w:fill="auto"/>
            <w:vAlign w:val="center"/>
          </w:tcPr>
          <w:p>
            <w:pPr>
              <w:autoSpaceDE w:val="0"/>
              <w:autoSpaceDN w:val="0"/>
              <w:spacing w:line="240" w:lineRule="auto"/>
              <w:ind w:left="108"/>
              <w:jc w:val="left"/>
              <w:rPr>
                <w:rFonts w:ascii="宋体" w:hAnsi="宋体" w:cs="宋体"/>
                <w:bCs/>
                <w:color w:val="000000"/>
                <w:kern w:val="0"/>
                <w:sz w:val="18"/>
                <w:szCs w:val="18"/>
              </w:rPr>
            </w:pPr>
            <w:r>
              <w:rPr>
                <w:rFonts w:hint="eastAsia" w:ascii="宋体" w:hAnsi="宋体" w:cs="宋体"/>
                <w:sz w:val="18"/>
                <w:szCs w:val="18"/>
              </w:rPr>
              <w:t>符合加分项细则的，加2分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3827" w:type="dxa"/>
            <w:gridSpan w:val="2"/>
            <w:shd w:val="clear" w:color="auto" w:fill="auto"/>
            <w:vAlign w:val="center"/>
          </w:tcPr>
          <w:p>
            <w:pPr>
              <w:autoSpaceDE w:val="0"/>
              <w:autoSpaceDN w:val="0"/>
              <w:spacing w:before="37" w:line="240" w:lineRule="auto"/>
              <w:ind w:left="107"/>
              <w:jc w:val="left"/>
              <w:rPr>
                <w:rFonts w:ascii="宋体" w:hAnsi="宋体" w:cs="宋体"/>
                <w:bCs/>
                <w:color w:val="000000"/>
                <w:spacing w:val="5"/>
                <w:w w:val="97"/>
                <w:kern w:val="0"/>
                <w:sz w:val="18"/>
                <w:szCs w:val="18"/>
              </w:rPr>
            </w:pPr>
            <w:r>
              <w:rPr>
                <w:rFonts w:hint="eastAsia" w:ascii="宋体" w:hAnsi="宋体" w:cs="宋体"/>
                <w:sz w:val="18"/>
                <w:szCs w:val="18"/>
              </w:rPr>
              <w:t>利用算法设置推荐符合可持续发展理念的信息、商品和服务（</w:t>
            </w:r>
            <w:r>
              <w:rPr>
                <w:rFonts w:ascii="宋体" w:hAnsi="宋体" w:cs="宋体"/>
                <w:sz w:val="18"/>
                <w:szCs w:val="18"/>
              </w:rPr>
              <w:t>2</w:t>
            </w:r>
            <w:r>
              <w:rPr>
                <w:rFonts w:hint="eastAsia" w:ascii="宋体" w:hAnsi="宋体" w:cs="宋体"/>
                <w:sz w:val="18"/>
                <w:szCs w:val="18"/>
              </w:rPr>
              <w:t>分）</w:t>
            </w:r>
          </w:p>
        </w:tc>
        <w:tc>
          <w:tcPr>
            <w:tcW w:w="3674" w:type="dxa"/>
            <w:shd w:val="clear" w:color="auto" w:fill="auto"/>
            <w:vAlign w:val="center"/>
          </w:tcPr>
          <w:p>
            <w:pPr>
              <w:autoSpaceDE w:val="0"/>
              <w:autoSpaceDN w:val="0"/>
              <w:spacing w:line="240" w:lineRule="auto"/>
              <w:ind w:left="108"/>
              <w:jc w:val="left"/>
              <w:rPr>
                <w:rFonts w:ascii="宋体" w:hAnsi="宋体" w:cs="宋体"/>
                <w:bCs/>
                <w:color w:val="000000"/>
                <w:kern w:val="0"/>
                <w:sz w:val="18"/>
                <w:szCs w:val="18"/>
              </w:rPr>
            </w:pPr>
            <w:r>
              <w:rPr>
                <w:rFonts w:hint="eastAsia" w:ascii="宋体" w:hAnsi="宋体" w:cs="宋体"/>
                <w:sz w:val="18"/>
                <w:szCs w:val="18"/>
              </w:rPr>
              <w:t>符合加分项细则的，加2分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restart"/>
            <w:shd w:val="clear" w:color="auto" w:fill="auto"/>
            <w:vAlign w:val="center"/>
          </w:tcPr>
          <w:p>
            <w:pPr>
              <w:pStyle w:val="181"/>
            </w:pPr>
            <w:r>
              <w:rPr>
                <w:rFonts w:hint="eastAsia" w:hAnsi="宋体" w:cs="宋体"/>
                <w:bCs/>
                <w:color w:val="000000"/>
                <w:szCs w:val="18"/>
              </w:rPr>
              <w:t>企业决策治理</w:t>
            </w:r>
            <w:r>
              <w:rPr>
                <w:rFonts w:hAnsi="宋体" w:cs="宋体"/>
                <w:bCs/>
                <w:color w:val="000000"/>
                <w:szCs w:val="18"/>
              </w:rPr>
              <w:t>（</w:t>
            </w:r>
            <w:r>
              <w:rPr>
                <w:rFonts w:hint="eastAsia" w:hAnsi="宋体" w:cs="宋体"/>
                <w:bCs/>
                <w:color w:val="000000"/>
                <w:szCs w:val="18"/>
                <w:lang w:eastAsia="zh-TW"/>
              </w:rPr>
              <w:t>1</w:t>
            </w:r>
            <w:r>
              <w:rPr>
                <w:rFonts w:hAnsi="宋体" w:cs="宋体"/>
                <w:bCs/>
                <w:color w:val="000000"/>
                <w:szCs w:val="18"/>
                <w:lang w:eastAsia="zh-TW"/>
              </w:rPr>
              <w:t>5</w:t>
            </w:r>
            <w:r>
              <w:rPr>
                <w:rFonts w:hint="eastAsia" w:hAnsi="宋体" w:cs="宋体"/>
                <w:bCs/>
                <w:color w:val="000000"/>
                <w:szCs w:val="18"/>
                <w:lang w:eastAsia="zh-TW"/>
              </w:rPr>
              <w:t xml:space="preserve"> </w:t>
            </w:r>
            <w:r>
              <w:rPr>
                <w:rFonts w:hAnsi="宋体" w:cs="宋体"/>
                <w:bCs/>
                <w:color w:val="000000"/>
                <w:szCs w:val="18"/>
              </w:rPr>
              <w:t>分）</w:t>
            </w:r>
          </w:p>
        </w:tc>
        <w:tc>
          <w:tcPr>
            <w:tcW w:w="1276" w:type="dxa"/>
            <w:vMerge w:val="restart"/>
            <w:shd w:val="clear" w:color="auto" w:fill="auto"/>
            <w:vAlign w:val="center"/>
          </w:tcPr>
          <w:p>
            <w:pPr>
              <w:autoSpaceDE w:val="0"/>
              <w:autoSpaceDN w:val="0"/>
              <w:spacing w:line="240" w:lineRule="auto"/>
              <w:ind w:left="107" w:right="25"/>
              <w:jc w:val="center"/>
              <w:rPr>
                <w:rFonts w:ascii="宋体" w:hAnsi="宋体" w:cs="宋体"/>
                <w:sz w:val="18"/>
                <w:szCs w:val="18"/>
              </w:rPr>
            </w:pPr>
            <w:r>
              <w:rPr>
                <w:rFonts w:hint="eastAsia" w:ascii="宋体" w:hAnsi="宋体" w:cs="宋体"/>
                <w:sz w:val="18"/>
                <w:szCs w:val="18"/>
              </w:rPr>
              <w:t>股东参与常规</w:t>
            </w:r>
          </w:p>
          <w:p>
            <w:pPr>
              <w:autoSpaceDE w:val="0"/>
              <w:autoSpaceDN w:val="0"/>
              <w:spacing w:line="240" w:lineRule="auto"/>
              <w:ind w:left="107" w:right="25"/>
              <w:jc w:val="center"/>
              <w:rPr>
                <w:rFonts w:ascii="宋体" w:hAnsi="宋体" w:cs="宋体"/>
                <w:sz w:val="18"/>
                <w:szCs w:val="18"/>
              </w:rPr>
            </w:pPr>
            <w:r>
              <w:rPr>
                <w:rFonts w:hint="eastAsia" w:ascii="宋体" w:hAnsi="宋体" w:cs="宋体"/>
                <w:sz w:val="18"/>
                <w:szCs w:val="18"/>
                <w:lang w:eastAsia="zh-TW"/>
              </w:rPr>
              <w:t>（</w:t>
            </w:r>
            <w:r>
              <w:rPr>
                <w:rFonts w:ascii="宋体" w:hAnsi="宋体" w:cs="宋体"/>
                <w:sz w:val="18"/>
                <w:szCs w:val="18"/>
                <w:lang w:eastAsia="zh-TW"/>
              </w:rPr>
              <w:t>3</w:t>
            </w:r>
            <w:r>
              <w:rPr>
                <w:rFonts w:hint="eastAsia" w:ascii="宋体" w:hAnsi="宋体" w:cs="宋体"/>
                <w:sz w:val="18"/>
                <w:szCs w:val="18"/>
                <w:lang w:eastAsia="zh-TW"/>
              </w:rPr>
              <w:t>分）</w:t>
            </w:r>
          </w:p>
        </w:tc>
        <w:tc>
          <w:tcPr>
            <w:tcW w:w="2551"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在会计年度内所召开的股东（大）会会议符合公司章程要求，包括召开情形、次数、议事方式、表决程序（</w:t>
            </w:r>
            <w:r>
              <w:rPr>
                <w:rFonts w:ascii="宋体" w:hAnsi="宋体" w:cs="宋体"/>
                <w:sz w:val="18"/>
                <w:szCs w:val="18"/>
              </w:rPr>
              <w:t>2</w:t>
            </w:r>
            <w:r>
              <w:rPr>
                <w:rFonts w:hint="eastAsia" w:ascii="宋体" w:hAnsi="宋体" w:cs="宋体"/>
                <w:sz w:val="18"/>
                <w:szCs w:val="18"/>
              </w:rPr>
              <w:t>分）</w:t>
            </w:r>
          </w:p>
        </w:tc>
        <w:tc>
          <w:tcPr>
            <w:tcW w:w="3674" w:type="dxa"/>
            <w:shd w:val="clear" w:color="auto" w:fill="auto"/>
            <w:vAlign w:val="center"/>
          </w:tcPr>
          <w:p>
            <w:pPr>
              <w:autoSpaceDE w:val="0"/>
              <w:autoSpaceDN w:val="0"/>
              <w:spacing w:line="240" w:lineRule="auto"/>
              <w:ind w:left="108" w:right="5"/>
              <w:jc w:val="left"/>
              <w:rPr>
                <w:rFonts w:ascii="宋体" w:hAnsi="宋体" w:cs="宋体"/>
                <w:sz w:val="18"/>
                <w:szCs w:val="18"/>
              </w:rPr>
            </w:pPr>
            <w:r>
              <w:rPr>
                <w:rFonts w:hint="eastAsia" w:ascii="宋体" w:hAnsi="宋体" w:cs="宋体"/>
                <w:sz w:val="18"/>
                <w:szCs w:val="18"/>
              </w:rPr>
              <w:t>企业在会计年度内按照公司章程召开股东（大）会的，得2分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autoSpaceDE w:val="0"/>
              <w:autoSpaceDN w:val="0"/>
              <w:spacing w:line="240" w:lineRule="auto"/>
              <w:ind w:left="107" w:right="25"/>
              <w:jc w:val="center"/>
              <w:rPr>
                <w:rFonts w:ascii="宋体" w:hAnsi="宋体" w:cs="宋体"/>
                <w:sz w:val="18"/>
                <w:szCs w:val="18"/>
              </w:rPr>
            </w:pPr>
          </w:p>
        </w:tc>
        <w:tc>
          <w:tcPr>
            <w:tcW w:w="2551"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企业投资者关系管理工作符合法律、法规以及公司章程要求。（1分）</w:t>
            </w:r>
          </w:p>
        </w:tc>
        <w:tc>
          <w:tcPr>
            <w:tcW w:w="3674" w:type="dxa"/>
            <w:shd w:val="clear" w:color="auto" w:fill="auto"/>
            <w:vAlign w:val="center"/>
          </w:tcPr>
          <w:p>
            <w:pPr>
              <w:autoSpaceDE w:val="0"/>
              <w:autoSpaceDN w:val="0"/>
              <w:spacing w:line="240" w:lineRule="auto"/>
              <w:ind w:left="108" w:right="5"/>
              <w:jc w:val="left"/>
              <w:rPr>
                <w:rFonts w:ascii="宋体" w:hAnsi="宋体" w:cs="宋体"/>
                <w:sz w:val="18"/>
                <w:szCs w:val="18"/>
              </w:rPr>
            </w:pPr>
            <w:r>
              <w:rPr>
                <w:rFonts w:hint="eastAsia" w:ascii="宋体" w:hAnsi="宋体" w:cs="宋体"/>
                <w:sz w:val="18"/>
                <w:szCs w:val="18"/>
              </w:rPr>
              <w:t>企业按照公司章程开展投资者关系管理的，得</w:t>
            </w:r>
            <w:r>
              <w:rPr>
                <w:rFonts w:ascii="宋体" w:hAnsi="宋体" w:cs="宋体"/>
                <w:sz w:val="18"/>
                <w:szCs w:val="18"/>
              </w:rPr>
              <w:t>1</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restart"/>
            <w:shd w:val="clear" w:color="auto" w:fill="auto"/>
            <w:vAlign w:val="center"/>
          </w:tcPr>
          <w:p>
            <w:pPr>
              <w:autoSpaceDE w:val="0"/>
              <w:autoSpaceDN w:val="0"/>
              <w:spacing w:line="240" w:lineRule="auto"/>
              <w:ind w:left="107" w:right="25"/>
              <w:jc w:val="center"/>
              <w:rPr>
                <w:rFonts w:ascii="宋体" w:hAnsi="宋体" w:cs="宋体"/>
                <w:sz w:val="18"/>
                <w:szCs w:val="18"/>
              </w:rPr>
            </w:pPr>
            <w:r>
              <w:rPr>
                <w:rFonts w:hint="eastAsia" w:ascii="宋体" w:hAnsi="宋体" w:cs="宋体"/>
                <w:sz w:val="18"/>
                <w:szCs w:val="18"/>
              </w:rPr>
              <w:t>董事会决策常规（</w:t>
            </w:r>
            <w:r>
              <w:rPr>
                <w:rFonts w:ascii="宋体" w:hAnsi="宋体" w:cs="宋体"/>
                <w:sz w:val="18"/>
                <w:szCs w:val="18"/>
              </w:rPr>
              <w:t>3</w:t>
            </w:r>
            <w:r>
              <w:rPr>
                <w:rFonts w:hint="eastAsia" w:ascii="宋体" w:hAnsi="宋体" w:cs="宋体"/>
                <w:sz w:val="18"/>
                <w:szCs w:val="18"/>
              </w:rPr>
              <w:t>分）</w:t>
            </w:r>
          </w:p>
        </w:tc>
        <w:tc>
          <w:tcPr>
            <w:tcW w:w="2551"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在会计年度内所召开的董事会会议符合公司章程要求，包括召开情形、次数、议事方式、表决程序（1分）</w:t>
            </w:r>
          </w:p>
        </w:tc>
        <w:tc>
          <w:tcPr>
            <w:tcW w:w="3674" w:type="dxa"/>
            <w:shd w:val="clear" w:color="auto" w:fill="auto"/>
            <w:vAlign w:val="center"/>
          </w:tcPr>
          <w:p>
            <w:pPr>
              <w:autoSpaceDE w:val="0"/>
              <w:autoSpaceDN w:val="0"/>
              <w:spacing w:line="240" w:lineRule="auto"/>
              <w:ind w:left="108" w:right="5"/>
              <w:jc w:val="left"/>
              <w:rPr>
                <w:rFonts w:ascii="宋体" w:hAnsi="宋体" w:cs="宋体"/>
                <w:sz w:val="18"/>
                <w:szCs w:val="18"/>
              </w:rPr>
            </w:pPr>
            <w:r>
              <w:rPr>
                <w:rFonts w:hint="eastAsia" w:ascii="宋体" w:hAnsi="宋体" w:cs="宋体"/>
                <w:sz w:val="18"/>
                <w:szCs w:val="18"/>
              </w:rPr>
              <w:t>企业在会计年度内按照公司章程召开董事会会议的，得</w:t>
            </w:r>
            <w:r>
              <w:rPr>
                <w:rFonts w:ascii="宋体" w:hAnsi="宋体" w:cs="宋体"/>
                <w:sz w:val="18"/>
                <w:szCs w:val="18"/>
              </w:rPr>
              <w:t>1</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autoSpaceDE w:val="0"/>
              <w:autoSpaceDN w:val="0"/>
              <w:spacing w:line="240" w:lineRule="auto"/>
              <w:ind w:left="107" w:right="25"/>
              <w:jc w:val="center"/>
              <w:rPr>
                <w:rFonts w:ascii="宋体" w:hAnsi="宋体" w:cs="宋体"/>
                <w:sz w:val="18"/>
                <w:szCs w:val="18"/>
              </w:rPr>
            </w:pPr>
          </w:p>
        </w:tc>
        <w:tc>
          <w:tcPr>
            <w:tcW w:w="2551"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董事会不存在贪腐、违纪等情况（1分）</w:t>
            </w:r>
          </w:p>
        </w:tc>
        <w:tc>
          <w:tcPr>
            <w:tcW w:w="3674" w:type="dxa"/>
            <w:shd w:val="clear" w:color="auto" w:fill="auto"/>
            <w:vAlign w:val="center"/>
          </w:tcPr>
          <w:p>
            <w:pPr>
              <w:autoSpaceDE w:val="0"/>
              <w:autoSpaceDN w:val="0"/>
              <w:spacing w:line="240" w:lineRule="auto"/>
              <w:ind w:left="108" w:right="5"/>
              <w:jc w:val="left"/>
              <w:rPr>
                <w:rFonts w:ascii="宋体" w:hAnsi="宋体" w:cs="宋体"/>
                <w:sz w:val="18"/>
                <w:szCs w:val="18"/>
              </w:rPr>
            </w:pPr>
            <w:r>
              <w:rPr>
                <w:rFonts w:hint="eastAsia" w:ascii="宋体" w:hAnsi="宋体" w:cs="宋体"/>
                <w:sz w:val="18"/>
                <w:szCs w:val="18"/>
              </w:rPr>
              <w:t>企业为董事会成员和高级管理人员开展合规培训，建立内部合规制度，确保董事会不存在贪腐、违纪等情况的，得</w:t>
            </w:r>
            <w:r>
              <w:rPr>
                <w:rFonts w:ascii="宋体" w:hAnsi="宋体" w:cs="宋体"/>
                <w:sz w:val="18"/>
                <w:szCs w:val="18"/>
              </w:rPr>
              <w:t>1</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autoSpaceDE w:val="0"/>
              <w:autoSpaceDN w:val="0"/>
              <w:spacing w:line="240" w:lineRule="auto"/>
              <w:ind w:left="107" w:right="25"/>
              <w:jc w:val="center"/>
              <w:rPr>
                <w:rFonts w:ascii="宋体" w:hAnsi="宋体" w:cs="宋体"/>
                <w:sz w:val="18"/>
                <w:szCs w:val="18"/>
              </w:rPr>
            </w:pPr>
          </w:p>
        </w:tc>
        <w:tc>
          <w:tcPr>
            <w:tcW w:w="2551"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董事会及下属专门委员会履职情况符合法律、法规以及公司章程要求（1分）</w:t>
            </w:r>
          </w:p>
        </w:tc>
        <w:tc>
          <w:tcPr>
            <w:tcW w:w="3674" w:type="dxa"/>
            <w:shd w:val="clear" w:color="auto" w:fill="auto"/>
            <w:vAlign w:val="center"/>
          </w:tcPr>
          <w:p>
            <w:pPr>
              <w:autoSpaceDE w:val="0"/>
              <w:autoSpaceDN w:val="0"/>
              <w:spacing w:line="240" w:lineRule="auto"/>
              <w:ind w:left="108" w:right="5"/>
              <w:jc w:val="left"/>
              <w:rPr>
                <w:rFonts w:ascii="宋体" w:hAnsi="宋体" w:cs="宋体"/>
                <w:sz w:val="18"/>
                <w:szCs w:val="18"/>
              </w:rPr>
            </w:pPr>
            <w:r>
              <w:rPr>
                <w:rFonts w:hint="eastAsia" w:ascii="宋体" w:hAnsi="宋体" w:cs="宋体"/>
                <w:sz w:val="18"/>
                <w:szCs w:val="18"/>
              </w:rPr>
              <w:t>企业设立内部合规制度，加强与外部监管的合作，同时有委托独立第三方审核等举措，确保董事会及下属委员会合法履职、符合公司章程要求的，得</w:t>
            </w:r>
            <w:r>
              <w:rPr>
                <w:rFonts w:ascii="宋体" w:hAnsi="宋体" w:cs="宋体"/>
                <w:sz w:val="18"/>
                <w:szCs w:val="18"/>
              </w:rPr>
              <w:t>1</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restart"/>
            <w:shd w:val="clear" w:color="auto" w:fill="auto"/>
            <w:vAlign w:val="center"/>
          </w:tcPr>
          <w:p>
            <w:pPr>
              <w:autoSpaceDE w:val="0"/>
              <w:autoSpaceDN w:val="0"/>
              <w:spacing w:line="240" w:lineRule="auto"/>
              <w:ind w:left="107" w:right="25"/>
              <w:jc w:val="center"/>
              <w:rPr>
                <w:rFonts w:ascii="宋体" w:hAnsi="宋体" w:cs="宋体"/>
                <w:sz w:val="18"/>
                <w:szCs w:val="18"/>
              </w:rPr>
            </w:pPr>
            <w:r>
              <w:rPr>
                <w:rFonts w:hint="eastAsia" w:ascii="宋体" w:hAnsi="宋体" w:cs="宋体"/>
                <w:sz w:val="18"/>
                <w:szCs w:val="18"/>
              </w:rPr>
              <w:t>决策人员多元化（3分）</w:t>
            </w:r>
          </w:p>
        </w:tc>
        <w:tc>
          <w:tcPr>
            <w:tcW w:w="2551"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董事会中至少有三分之一的女性董事（2分）</w:t>
            </w:r>
          </w:p>
        </w:tc>
        <w:tc>
          <w:tcPr>
            <w:tcW w:w="3674" w:type="dxa"/>
            <w:vMerge w:val="restart"/>
            <w:shd w:val="clear" w:color="auto" w:fill="auto"/>
            <w:vAlign w:val="center"/>
          </w:tcPr>
          <w:p>
            <w:pPr>
              <w:autoSpaceDE w:val="0"/>
              <w:autoSpaceDN w:val="0"/>
              <w:spacing w:line="240" w:lineRule="auto"/>
              <w:ind w:left="108" w:right="5"/>
              <w:jc w:val="left"/>
              <w:rPr>
                <w:rFonts w:ascii="宋体" w:hAnsi="宋体" w:cs="宋体"/>
                <w:sz w:val="18"/>
                <w:szCs w:val="18"/>
              </w:rPr>
            </w:pPr>
            <w:r>
              <w:rPr>
                <w:rFonts w:hint="eastAsia" w:ascii="宋体" w:hAnsi="宋体" w:cs="宋体"/>
                <w:sz w:val="18"/>
                <w:szCs w:val="18"/>
              </w:rPr>
              <w:t>企业董事会中至少有三分之一得女性董事，得2分；董事会有符合法律规定的外部董事数量的，得</w:t>
            </w:r>
            <w:r>
              <w:rPr>
                <w:rFonts w:ascii="宋体" w:hAnsi="宋体" w:cs="宋体"/>
                <w:sz w:val="18"/>
                <w:szCs w:val="18"/>
              </w:rPr>
              <w:t>1</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autoSpaceDE w:val="0"/>
              <w:autoSpaceDN w:val="0"/>
              <w:spacing w:line="240" w:lineRule="auto"/>
              <w:ind w:left="107" w:right="25"/>
              <w:jc w:val="center"/>
              <w:rPr>
                <w:rFonts w:ascii="宋体" w:hAnsi="宋体" w:cs="宋体"/>
                <w:sz w:val="18"/>
                <w:szCs w:val="18"/>
              </w:rPr>
            </w:pPr>
          </w:p>
        </w:tc>
        <w:tc>
          <w:tcPr>
            <w:tcW w:w="2551" w:type="dxa"/>
            <w:shd w:val="clear" w:color="auto" w:fill="auto"/>
            <w:vAlign w:val="center"/>
          </w:tcPr>
          <w:p>
            <w:pPr>
              <w:autoSpaceDE w:val="0"/>
              <w:autoSpaceDN w:val="0"/>
              <w:spacing w:line="240" w:lineRule="auto"/>
              <w:ind w:left="109" w:right="5"/>
              <w:jc w:val="left"/>
              <w:rPr>
                <w:rFonts w:ascii="宋体" w:hAnsi="宋体" w:cs="宋体"/>
                <w:sz w:val="18"/>
                <w:szCs w:val="18"/>
              </w:rPr>
            </w:pPr>
            <w:r>
              <w:rPr>
                <w:rFonts w:hint="eastAsia" w:ascii="宋体" w:hAnsi="宋体" w:cs="宋体"/>
                <w:sz w:val="18"/>
                <w:szCs w:val="18"/>
              </w:rPr>
              <w:t>董事会中有符合法律规定的外部独立董事数量（1分）</w:t>
            </w:r>
          </w:p>
        </w:tc>
        <w:tc>
          <w:tcPr>
            <w:tcW w:w="3674" w:type="dxa"/>
            <w:vMerge w:val="continue"/>
            <w:shd w:val="clear" w:color="auto" w:fill="auto"/>
            <w:vAlign w:val="center"/>
          </w:tcPr>
          <w:p>
            <w:pPr>
              <w:autoSpaceDE w:val="0"/>
              <w:autoSpaceDN w:val="0"/>
              <w:spacing w:line="240" w:lineRule="auto"/>
              <w:ind w:left="108" w:right="5"/>
              <w:jc w:val="left"/>
              <w:rPr>
                <w:rFonts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restart"/>
            <w:shd w:val="clear" w:color="auto" w:fill="auto"/>
            <w:vAlign w:val="center"/>
          </w:tcPr>
          <w:p>
            <w:pPr>
              <w:autoSpaceDE w:val="0"/>
              <w:autoSpaceDN w:val="0"/>
              <w:spacing w:before="30" w:line="240" w:lineRule="auto"/>
              <w:ind w:left="107"/>
              <w:jc w:val="center"/>
              <w:rPr>
                <w:rFonts w:ascii="宋体" w:hAnsi="宋体" w:cs="宋体"/>
                <w:sz w:val="18"/>
                <w:szCs w:val="18"/>
              </w:rPr>
            </w:pPr>
            <w:r>
              <w:rPr>
                <w:rFonts w:hint="eastAsia" w:ascii="宋体" w:hAnsi="宋体" w:cs="宋体"/>
                <w:sz w:val="18"/>
                <w:szCs w:val="18"/>
              </w:rPr>
              <w:t>平台决策可预见性（</w:t>
            </w:r>
            <w:r>
              <w:rPr>
                <w:rFonts w:ascii="宋体" w:hAnsi="宋体" w:cs="宋体"/>
                <w:sz w:val="18"/>
                <w:szCs w:val="18"/>
              </w:rPr>
              <w:t>6</w:t>
            </w:r>
            <w:r>
              <w:rPr>
                <w:rFonts w:hint="eastAsia" w:ascii="宋体" w:hAnsi="宋体" w:cs="宋体"/>
                <w:sz w:val="18"/>
                <w:szCs w:val="18"/>
              </w:rPr>
              <w:t>分）</w:t>
            </w:r>
          </w:p>
          <w:p>
            <w:pPr>
              <w:autoSpaceDE w:val="0"/>
              <w:autoSpaceDN w:val="0"/>
              <w:spacing w:before="2" w:line="240" w:lineRule="auto"/>
              <w:ind w:left="107"/>
              <w:jc w:val="center"/>
              <w:rPr>
                <w:rFonts w:ascii="宋体" w:hAnsi="宋体" w:cs="宋体"/>
                <w:sz w:val="18"/>
                <w:szCs w:val="18"/>
              </w:rPr>
            </w:pPr>
          </w:p>
        </w:tc>
        <w:tc>
          <w:tcPr>
            <w:tcW w:w="2551"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在过去三年内平台实际控制人保持稳定，对实控人有良好的制约机制（3分）</w:t>
            </w:r>
          </w:p>
        </w:tc>
        <w:tc>
          <w:tcPr>
            <w:tcW w:w="3674" w:type="dxa"/>
            <w:shd w:val="clear" w:color="auto" w:fill="auto"/>
            <w:vAlign w:val="center"/>
          </w:tcPr>
          <w:p>
            <w:pPr>
              <w:autoSpaceDE w:val="0"/>
              <w:autoSpaceDN w:val="0"/>
              <w:spacing w:line="240" w:lineRule="auto"/>
              <w:ind w:left="108"/>
              <w:jc w:val="left"/>
              <w:rPr>
                <w:rFonts w:ascii="宋体" w:hAnsi="宋体" w:cs="宋体"/>
                <w:sz w:val="18"/>
                <w:szCs w:val="18"/>
              </w:rPr>
            </w:pPr>
            <w:r>
              <w:rPr>
                <w:rFonts w:hint="eastAsia" w:ascii="宋体" w:hAnsi="宋体" w:cs="宋体"/>
                <w:sz w:val="18"/>
                <w:szCs w:val="18"/>
              </w:rPr>
              <w:t>平台实际控制人在过去三年内保持稳定，且平台具有良好的实控人制约机制，例如建立了健全的公司治理结构、明确管理层职责和权利，对实控人所属公司的经营、处罚、社会评价情况综合评估监控，根据实控人实际情况和影响力、将实控人纳入企业信息披露范畴，建立完善的实控人退出机制，最高可得</w:t>
            </w:r>
            <w:r>
              <w:rPr>
                <w:rFonts w:ascii="宋体" w:hAnsi="宋体" w:cs="宋体"/>
                <w:sz w:val="18"/>
                <w:szCs w:val="18"/>
              </w:rPr>
              <w:t>3</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autoSpaceDE w:val="0"/>
              <w:autoSpaceDN w:val="0"/>
              <w:spacing w:before="2" w:line="240" w:lineRule="auto"/>
              <w:ind w:left="107"/>
              <w:jc w:val="center"/>
              <w:rPr>
                <w:rFonts w:ascii="宋体" w:hAnsi="宋体" w:cs="宋体"/>
                <w:sz w:val="18"/>
                <w:szCs w:val="18"/>
              </w:rPr>
            </w:pPr>
          </w:p>
        </w:tc>
        <w:tc>
          <w:tcPr>
            <w:tcW w:w="2551" w:type="dxa"/>
            <w:shd w:val="clear" w:color="auto" w:fill="auto"/>
            <w:vAlign w:val="center"/>
          </w:tcPr>
          <w:p>
            <w:pPr>
              <w:autoSpaceDE w:val="0"/>
              <w:autoSpaceDN w:val="0"/>
              <w:spacing w:line="240" w:lineRule="auto"/>
              <w:ind w:left="109"/>
              <w:jc w:val="left"/>
              <w:rPr>
                <w:rFonts w:ascii="宋体" w:hAnsi="宋体" w:cs="宋体"/>
                <w:sz w:val="18"/>
                <w:szCs w:val="18"/>
              </w:rPr>
            </w:pPr>
            <w:r>
              <w:rPr>
                <w:rFonts w:hint="eastAsia" w:ascii="宋体" w:hAnsi="宋体" w:cs="宋体"/>
                <w:sz w:val="18"/>
                <w:szCs w:val="18"/>
              </w:rPr>
              <w:t>建立了平台决策一贯性机制，对于存在变化的决策内容能够提前进行说明（3分）</w:t>
            </w:r>
          </w:p>
        </w:tc>
        <w:tc>
          <w:tcPr>
            <w:tcW w:w="3674" w:type="dxa"/>
            <w:shd w:val="clear" w:color="auto" w:fill="auto"/>
            <w:vAlign w:val="center"/>
          </w:tcPr>
          <w:p>
            <w:pPr>
              <w:autoSpaceDE w:val="0"/>
              <w:autoSpaceDN w:val="0"/>
              <w:spacing w:line="240" w:lineRule="auto"/>
              <w:ind w:left="108"/>
              <w:jc w:val="left"/>
              <w:rPr>
                <w:rFonts w:ascii="宋体" w:hAnsi="宋体" w:cs="宋体"/>
                <w:sz w:val="18"/>
                <w:szCs w:val="18"/>
              </w:rPr>
            </w:pPr>
            <w:r>
              <w:rPr>
                <w:rFonts w:hint="eastAsia" w:ascii="宋体" w:hAnsi="宋体" w:cs="宋体"/>
                <w:sz w:val="18"/>
                <w:szCs w:val="18"/>
              </w:rPr>
              <w:t>平台有相关举措确保决策一致性的，按照举措完善性，最高可得</w:t>
            </w:r>
            <w:r>
              <w:rPr>
                <w:rFonts w:ascii="宋体" w:hAnsi="宋体" w:cs="宋体"/>
                <w:sz w:val="18"/>
                <w:szCs w:val="18"/>
              </w:rPr>
              <w:t>3</w:t>
            </w:r>
            <w:r>
              <w:rPr>
                <w:rFonts w:hint="eastAsia" w:ascii="宋体" w:hAnsi="宋体" w:cs="宋体"/>
                <w:sz w:val="18"/>
                <w:szCs w:val="18"/>
              </w:rPr>
              <w:t>分。相关举措举例：建立自动化办公决策流程，记录决策的责任人和参与者、决策环节和时间节点等；设立高级管理人员和相关人员的决策委员会，定期召开会议决定平台重大决策，并将会议结果公示说明；确定用户利益优先、风险控制的决策标准和原则作为指导方针，鼓励平台各类决策的一贯性；通过办公软件加强平台内部信息共享和沟通，消除信息壁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7501" w:type="dxa"/>
            <w:gridSpan w:val="3"/>
            <w:shd w:val="clear" w:color="auto" w:fill="auto"/>
            <w:vAlign w:val="center"/>
          </w:tcPr>
          <w:p>
            <w:pPr>
              <w:pStyle w:val="181"/>
            </w:pPr>
            <w:r>
              <w:rPr>
                <w:rFonts w:hint="eastAsia"/>
              </w:rPr>
              <w:t>加分项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3827" w:type="dxa"/>
            <w:gridSpan w:val="2"/>
            <w:shd w:val="clear" w:color="auto" w:fill="auto"/>
            <w:vAlign w:val="center"/>
          </w:tcPr>
          <w:p>
            <w:pPr>
              <w:autoSpaceDE w:val="0"/>
              <w:autoSpaceDN w:val="0"/>
              <w:spacing w:before="37" w:line="240" w:lineRule="auto"/>
              <w:ind w:left="107"/>
              <w:jc w:val="left"/>
              <w:rPr>
                <w:rFonts w:ascii="宋体" w:hAnsi="宋体" w:cs="宋体"/>
                <w:sz w:val="18"/>
                <w:szCs w:val="18"/>
              </w:rPr>
            </w:pPr>
            <w:r>
              <w:rPr>
                <w:rFonts w:hint="eastAsia" w:ascii="宋体" w:hAnsi="宋体" w:cs="宋体"/>
                <w:sz w:val="18"/>
                <w:szCs w:val="18"/>
              </w:rPr>
              <w:t>企业高级管理人员中有超过30%（含30%）的女性高级管理人员（</w:t>
            </w:r>
            <w:r>
              <w:rPr>
                <w:rFonts w:ascii="宋体" w:hAnsi="宋体" w:cs="宋体"/>
                <w:sz w:val="18"/>
                <w:szCs w:val="18"/>
              </w:rPr>
              <w:t>1</w:t>
            </w:r>
            <w:r>
              <w:rPr>
                <w:rFonts w:hint="eastAsia" w:ascii="宋体" w:hAnsi="宋体" w:cs="宋体"/>
                <w:sz w:val="18"/>
                <w:szCs w:val="18"/>
              </w:rPr>
              <w:t>分）</w:t>
            </w:r>
          </w:p>
        </w:tc>
        <w:tc>
          <w:tcPr>
            <w:tcW w:w="3674" w:type="dxa"/>
            <w:shd w:val="clear" w:color="auto" w:fill="auto"/>
            <w:vAlign w:val="center"/>
          </w:tcPr>
          <w:p>
            <w:pPr>
              <w:autoSpaceDE w:val="0"/>
              <w:autoSpaceDN w:val="0"/>
              <w:spacing w:line="240" w:lineRule="auto"/>
              <w:ind w:left="108"/>
              <w:jc w:val="left"/>
              <w:rPr>
                <w:rFonts w:ascii="宋体" w:hAnsi="宋体" w:cs="宋体"/>
                <w:sz w:val="18"/>
                <w:szCs w:val="18"/>
              </w:rPr>
            </w:pPr>
            <w:r>
              <w:rPr>
                <w:rFonts w:hint="eastAsia" w:ascii="宋体" w:hAnsi="宋体" w:cs="宋体"/>
                <w:sz w:val="18"/>
                <w:szCs w:val="18"/>
              </w:rPr>
              <w:t>企业满足加分项细则的，加1分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restart"/>
            <w:shd w:val="clear" w:color="auto" w:fill="auto"/>
            <w:vAlign w:val="center"/>
          </w:tcPr>
          <w:p>
            <w:pPr>
              <w:pStyle w:val="181"/>
              <w:rPr>
                <w:rFonts w:hAnsi="宋体" w:cs="宋体"/>
                <w:bCs/>
                <w:color w:val="000000"/>
                <w:szCs w:val="18"/>
              </w:rPr>
            </w:pPr>
            <w:r>
              <w:rPr>
                <w:rFonts w:hint="eastAsia" w:hAnsi="宋体" w:cs="宋体"/>
                <w:bCs/>
                <w:color w:val="000000"/>
                <w:szCs w:val="18"/>
              </w:rPr>
              <w:t>治理负面事件</w:t>
            </w:r>
          </w:p>
          <w:p>
            <w:pPr>
              <w:pStyle w:val="181"/>
            </w:pPr>
            <w:r>
              <w:rPr>
                <w:rFonts w:hAnsi="宋体" w:cs="宋体"/>
                <w:bCs/>
                <w:color w:val="000000"/>
                <w:szCs w:val="18"/>
              </w:rPr>
              <w:t>（</w:t>
            </w:r>
            <w:r>
              <w:rPr>
                <w:rFonts w:hint="eastAsia" w:hAnsi="宋体" w:cs="宋体"/>
                <w:bCs/>
                <w:color w:val="000000"/>
                <w:szCs w:val="18"/>
                <w:lang w:eastAsia="zh-TW"/>
              </w:rPr>
              <w:t>1</w:t>
            </w:r>
            <w:r>
              <w:rPr>
                <w:rFonts w:hAnsi="宋体" w:cs="宋体"/>
                <w:bCs/>
                <w:color w:val="000000"/>
                <w:szCs w:val="18"/>
                <w:lang w:eastAsia="zh-TW"/>
              </w:rPr>
              <w:t>0</w:t>
            </w:r>
            <w:r>
              <w:rPr>
                <w:rFonts w:hAnsi="宋体" w:cs="宋体"/>
                <w:bCs/>
                <w:color w:val="000000"/>
                <w:szCs w:val="18"/>
              </w:rPr>
              <w:t xml:space="preserve"> 分）</w:t>
            </w:r>
          </w:p>
        </w:tc>
        <w:tc>
          <w:tcPr>
            <w:tcW w:w="1276" w:type="dxa"/>
            <w:vMerge w:val="restart"/>
            <w:shd w:val="clear" w:color="auto" w:fill="auto"/>
            <w:vAlign w:val="center"/>
          </w:tcPr>
          <w:p>
            <w:pPr>
              <w:autoSpaceDE w:val="0"/>
              <w:autoSpaceDN w:val="0"/>
              <w:spacing w:line="260" w:lineRule="exact"/>
              <w:ind w:left="107" w:right="25"/>
              <w:jc w:val="center"/>
              <w:rPr>
                <w:rFonts w:ascii="宋体" w:hAnsi="宋体" w:cs="宋体"/>
                <w:sz w:val="18"/>
                <w:szCs w:val="18"/>
              </w:rPr>
            </w:pPr>
            <w:r>
              <w:rPr>
                <w:rFonts w:hint="eastAsia" w:ascii="宋体" w:hAnsi="宋体" w:cs="宋体"/>
                <w:sz w:val="18"/>
                <w:szCs w:val="18"/>
              </w:rPr>
              <w:t>违法处理</w:t>
            </w:r>
          </w:p>
          <w:p>
            <w:pPr>
              <w:autoSpaceDE w:val="0"/>
              <w:autoSpaceDN w:val="0"/>
              <w:spacing w:line="260" w:lineRule="exact"/>
              <w:ind w:right="25"/>
              <w:jc w:val="center"/>
              <w:rPr>
                <w:rFonts w:ascii="宋体" w:hAnsi="宋体" w:cs="宋体"/>
                <w:sz w:val="18"/>
                <w:szCs w:val="18"/>
                <w:lang w:eastAsia="zh-TW"/>
              </w:rPr>
            </w:pPr>
            <w:r>
              <w:rPr>
                <w:rFonts w:hint="eastAsia" w:ascii="宋体" w:hAnsi="宋体" w:cs="宋体"/>
                <w:bCs/>
                <w:color w:val="000000"/>
                <w:spacing w:val="5"/>
                <w:w w:val="97"/>
                <w:kern w:val="0"/>
                <w:sz w:val="18"/>
                <w:szCs w:val="18"/>
              </w:rPr>
              <w:t>（</w:t>
            </w:r>
            <w:r>
              <w:rPr>
                <w:rFonts w:hint="eastAsia" w:ascii="宋体" w:hAnsi="宋体" w:cs="宋体"/>
                <w:bCs/>
                <w:color w:val="000000"/>
                <w:spacing w:val="5"/>
                <w:w w:val="97"/>
                <w:kern w:val="0"/>
                <w:sz w:val="18"/>
                <w:szCs w:val="18"/>
                <w:lang w:eastAsia="zh-TW"/>
              </w:rPr>
              <w:t>5分）</w:t>
            </w:r>
          </w:p>
        </w:tc>
        <w:tc>
          <w:tcPr>
            <w:tcW w:w="2551" w:type="dxa"/>
            <w:shd w:val="clear" w:color="auto" w:fill="auto"/>
            <w:vAlign w:val="center"/>
          </w:tcPr>
          <w:p>
            <w:pPr>
              <w:autoSpaceDE w:val="0"/>
              <w:autoSpaceDN w:val="0"/>
              <w:ind w:left="107" w:right="25"/>
              <w:jc w:val="left"/>
              <w:rPr>
                <w:rFonts w:ascii="宋体" w:hAnsi="宋体" w:cs="宋体"/>
                <w:sz w:val="18"/>
                <w:szCs w:val="18"/>
              </w:rPr>
            </w:pPr>
            <w:r>
              <w:rPr>
                <w:rFonts w:hint="eastAsia" w:ascii="宋体" w:hAnsi="宋体" w:cs="宋体"/>
                <w:sz w:val="18"/>
                <w:szCs w:val="18"/>
              </w:rPr>
              <w:t>1年内受到行政处罚少于</w:t>
            </w:r>
            <w:r>
              <w:rPr>
                <w:rFonts w:ascii="宋体" w:hAnsi="宋体" w:cs="宋体"/>
                <w:sz w:val="18"/>
                <w:szCs w:val="18"/>
              </w:rPr>
              <w:t>3</w:t>
            </w:r>
            <w:r>
              <w:rPr>
                <w:rFonts w:hint="eastAsia" w:ascii="宋体" w:hAnsi="宋体" w:cs="宋体"/>
                <w:sz w:val="18"/>
                <w:szCs w:val="18"/>
              </w:rPr>
              <w:t>次（2分）</w:t>
            </w:r>
          </w:p>
        </w:tc>
        <w:tc>
          <w:tcPr>
            <w:tcW w:w="3674" w:type="dxa"/>
            <w:shd w:val="clear" w:color="auto" w:fill="auto"/>
            <w:vAlign w:val="center"/>
          </w:tcPr>
          <w:p>
            <w:pPr>
              <w:autoSpaceDE w:val="0"/>
              <w:autoSpaceDN w:val="0"/>
              <w:spacing w:line="277" w:lineRule="exact"/>
              <w:ind w:left="108" w:right="5"/>
              <w:jc w:val="left"/>
              <w:rPr>
                <w:rFonts w:ascii="宋体" w:hAnsi="宋体" w:cs="宋体"/>
                <w:sz w:val="18"/>
                <w:szCs w:val="18"/>
              </w:rPr>
            </w:pPr>
            <w:r>
              <w:rPr>
                <w:rFonts w:hint="eastAsia" w:ascii="宋体" w:hAnsi="宋体" w:cs="宋体"/>
                <w:sz w:val="18"/>
                <w:szCs w:val="18"/>
              </w:rPr>
              <w:t>企业满足评分细则的，得</w:t>
            </w:r>
            <w:r>
              <w:rPr>
                <w:rFonts w:ascii="宋体" w:hAnsi="宋体" w:cs="宋体"/>
                <w:sz w:val="18"/>
                <w:szCs w:val="18"/>
              </w:rPr>
              <w:t>2</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autoSpaceDE w:val="0"/>
              <w:autoSpaceDN w:val="0"/>
              <w:spacing w:line="1127" w:lineRule="exact"/>
              <w:jc w:val="center"/>
              <w:rPr>
                <w:rFonts w:ascii="宋体" w:hAnsi="宋体" w:cs="宋体"/>
                <w:sz w:val="18"/>
                <w:szCs w:val="18"/>
              </w:rPr>
            </w:pPr>
          </w:p>
        </w:tc>
        <w:tc>
          <w:tcPr>
            <w:tcW w:w="2551" w:type="dxa"/>
            <w:shd w:val="clear" w:color="auto" w:fill="auto"/>
            <w:vAlign w:val="center"/>
          </w:tcPr>
          <w:p>
            <w:pPr>
              <w:autoSpaceDE w:val="0"/>
              <w:autoSpaceDN w:val="0"/>
              <w:spacing w:line="260" w:lineRule="exact"/>
              <w:ind w:left="107" w:right="25"/>
              <w:jc w:val="left"/>
              <w:rPr>
                <w:rFonts w:ascii="宋体" w:hAnsi="宋体" w:cs="宋体"/>
                <w:sz w:val="18"/>
                <w:szCs w:val="18"/>
              </w:rPr>
            </w:pPr>
            <w:r>
              <w:rPr>
                <w:rFonts w:hint="eastAsia" w:ascii="宋体" w:hAnsi="宋体" w:cs="宋体"/>
                <w:sz w:val="18"/>
                <w:szCs w:val="18"/>
              </w:rPr>
              <w:t>未因财务、会计工作受到行政或刑事处罚；或者公司的审计师因与公司审计工作有关的问题而受到行政处罚（3分）</w:t>
            </w:r>
          </w:p>
        </w:tc>
        <w:tc>
          <w:tcPr>
            <w:tcW w:w="3674" w:type="dxa"/>
            <w:shd w:val="clear" w:color="auto" w:fill="auto"/>
            <w:vAlign w:val="center"/>
          </w:tcPr>
          <w:p>
            <w:pPr>
              <w:autoSpaceDE w:val="0"/>
              <w:autoSpaceDN w:val="0"/>
              <w:spacing w:line="277" w:lineRule="exact"/>
              <w:ind w:left="108" w:right="5"/>
              <w:jc w:val="left"/>
              <w:rPr>
                <w:rFonts w:ascii="宋体" w:hAnsi="宋体" w:cs="宋体"/>
                <w:sz w:val="18"/>
                <w:szCs w:val="18"/>
              </w:rPr>
            </w:pPr>
            <w:r>
              <w:rPr>
                <w:rFonts w:hint="eastAsia" w:ascii="宋体" w:hAnsi="宋体" w:cs="宋体"/>
                <w:sz w:val="18"/>
                <w:szCs w:val="18"/>
              </w:rPr>
              <w:t>企业未因财务、会计工作受到行政或刑事处罚的，得1分；企业未因审计工作受到行政处罚或不适用审计机构的，得</w:t>
            </w:r>
            <w:r>
              <w:rPr>
                <w:rFonts w:ascii="宋体" w:hAnsi="宋体" w:cs="宋体"/>
                <w:sz w:val="18"/>
                <w:szCs w:val="18"/>
              </w:rPr>
              <w:t>3</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restart"/>
            <w:shd w:val="clear" w:color="auto" w:fill="auto"/>
            <w:vAlign w:val="center"/>
          </w:tcPr>
          <w:p>
            <w:pPr>
              <w:keepNext/>
              <w:autoSpaceDE w:val="0"/>
              <w:autoSpaceDN w:val="0"/>
              <w:spacing w:line="260" w:lineRule="exact"/>
              <w:ind w:left="107" w:right="25"/>
              <w:jc w:val="center"/>
              <w:rPr>
                <w:rFonts w:ascii="宋体" w:hAnsi="宋体" w:cs="宋体"/>
                <w:sz w:val="18"/>
                <w:szCs w:val="18"/>
              </w:rPr>
            </w:pPr>
            <w:r>
              <w:rPr>
                <w:rFonts w:hint="eastAsia" w:ascii="宋体" w:hAnsi="宋体" w:cs="宋体"/>
                <w:sz w:val="18"/>
                <w:szCs w:val="18"/>
              </w:rPr>
              <w:t>监管处罚与舆论风险</w:t>
            </w:r>
          </w:p>
          <w:p>
            <w:pPr>
              <w:keepNext/>
              <w:autoSpaceDE w:val="0"/>
              <w:autoSpaceDN w:val="0"/>
              <w:spacing w:line="260" w:lineRule="exact"/>
              <w:ind w:left="107" w:right="25"/>
              <w:jc w:val="center"/>
              <w:rPr>
                <w:rFonts w:ascii="宋体" w:hAnsi="宋体" w:cs="宋体"/>
                <w:sz w:val="18"/>
                <w:szCs w:val="18"/>
              </w:rPr>
            </w:pPr>
            <w:r>
              <w:rPr>
                <w:rFonts w:hint="eastAsia" w:ascii="宋体" w:hAnsi="宋体" w:cs="宋体"/>
                <w:sz w:val="18"/>
                <w:szCs w:val="18"/>
              </w:rPr>
              <w:t>（5分）</w:t>
            </w:r>
          </w:p>
        </w:tc>
        <w:tc>
          <w:tcPr>
            <w:tcW w:w="2551" w:type="dxa"/>
            <w:shd w:val="clear" w:color="auto" w:fill="auto"/>
            <w:vAlign w:val="center"/>
          </w:tcPr>
          <w:p>
            <w:pPr>
              <w:keepNext/>
              <w:autoSpaceDE w:val="0"/>
              <w:autoSpaceDN w:val="0"/>
              <w:spacing w:line="260" w:lineRule="exact"/>
              <w:ind w:left="107" w:right="25"/>
              <w:jc w:val="left"/>
              <w:rPr>
                <w:rFonts w:ascii="宋体" w:hAnsi="宋体" w:cs="宋体"/>
                <w:sz w:val="18"/>
                <w:szCs w:val="18"/>
              </w:rPr>
            </w:pPr>
            <w:r>
              <w:rPr>
                <w:rFonts w:hint="eastAsia" w:ascii="宋体" w:hAnsi="宋体" w:cs="宋体"/>
                <w:sz w:val="18"/>
                <w:szCs w:val="18"/>
              </w:rPr>
              <w:t>未因治理缺失被监管机构警告或处罚（1分）</w:t>
            </w:r>
          </w:p>
        </w:tc>
        <w:tc>
          <w:tcPr>
            <w:tcW w:w="3674" w:type="dxa"/>
            <w:shd w:val="clear" w:color="auto" w:fill="auto"/>
            <w:vAlign w:val="center"/>
          </w:tcPr>
          <w:p>
            <w:pPr>
              <w:keepNext/>
              <w:autoSpaceDE w:val="0"/>
              <w:autoSpaceDN w:val="0"/>
              <w:spacing w:before="135" w:line="281" w:lineRule="exact"/>
              <w:ind w:left="108"/>
              <w:jc w:val="left"/>
              <w:rPr>
                <w:rFonts w:ascii="宋体" w:hAnsi="宋体" w:cs="宋体"/>
                <w:sz w:val="18"/>
                <w:szCs w:val="18"/>
              </w:rPr>
            </w:pPr>
            <w:r>
              <w:rPr>
                <w:rFonts w:hint="eastAsia" w:ascii="宋体" w:hAnsi="宋体" w:cs="宋体"/>
                <w:sz w:val="18"/>
                <w:szCs w:val="18"/>
              </w:rPr>
              <w:t>企业未因内部治理缺失被监管机构调查、警告或处罚的，得</w:t>
            </w:r>
            <w:r>
              <w:rPr>
                <w:rFonts w:ascii="宋体" w:hAnsi="宋体" w:cs="宋体"/>
                <w:sz w:val="18"/>
                <w:szCs w:val="18"/>
              </w:rPr>
              <w:t>1</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keepNext/>
              <w:autoSpaceDE w:val="0"/>
              <w:autoSpaceDN w:val="0"/>
              <w:spacing w:line="260" w:lineRule="exact"/>
              <w:ind w:left="107" w:right="25"/>
              <w:jc w:val="left"/>
              <w:rPr>
                <w:rFonts w:ascii="宋体" w:hAnsi="宋体" w:cs="宋体"/>
                <w:sz w:val="18"/>
                <w:szCs w:val="18"/>
              </w:rPr>
            </w:pPr>
          </w:p>
        </w:tc>
        <w:tc>
          <w:tcPr>
            <w:tcW w:w="2551" w:type="dxa"/>
            <w:shd w:val="clear" w:color="auto" w:fill="auto"/>
            <w:vAlign w:val="center"/>
          </w:tcPr>
          <w:p>
            <w:pPr>
              <w:keepNext/>
              <w:autoSpaceDE w:val="0"/>
              <w:autoSpaceDN w:val="0"/>
              <w:spacing w:line="260" w:lineRule="exact"/>
              <w:ind w:left="107" w:right="25"/>
              <w:jc w:val="left"/>
              <w:rPr>
                <w:rFonts w:ascii="宋体" w:hAnsi="宋体" w:cs="宋体"/>
                <w:sz w:val="18"/>
                <w:szCs w:val="18"/>
              </w:rPr>
            </w:pPr>
            <w:r>
              <w:rPr>
                <w:rFonts w:hint="eastAsia" w:ascii="宋体" w:hAnsi="宋体" w:cs="宋体"/>
                <w:sz w:val="18"/>
                <w:szCs w:val="18"/>
              </w:rPr>
              <w:t>未发生对员工造成重大伤害等产生社会不良影响的事件（1分）</w:t>
            </w:r>
          </w:p>
        </w:tc>
        <w:tc>
          <w:tcPr>
            <w:tcW w:w="3674" w:type="dxa"/>
            <w:shd w:val="clear" w:color="auto" w:fill="auto"/>
            <w:vAlign w:val="center"/>
          </w:tcPr>
          <w:p>
            <w:pPr>
              <w:keepNext/>
              <w:autoSpaceDE w:val="0"/>
              <w:autoSpaceDN w:val="0"/>
              <w:spacing w:before="135" w:line="281" w:lineRule="exact"/>
              <w:ind w:left="108"/>
              <w:jc w:val="left"/>
              <w:rPr>
                <w:rFonts w:ascii="宋体" w:hAnsi="宋体" w:cs="宋体"/>
                <w:sz w:val="18"/>
                <w:szCs w:val="18"/>
              </w:rPr>
            </w:pPr>
            <w:r>
              <w:rPr>
                <w:rFonts w:hint="eastAsia" w:ascii="宋体" w:hAnsi="宋体" w:cs="宋体"/>
                <w:sz w:val="18"/>
                <w:szCs w:val="18"/>
              </w:rPr>
              <w:t>企业未发生对员工造成重大伤害等产生社会不良影响事件的，得</w:t>
            </w:r>
            <w:r>
              <w:rPr>
                <w:rFonts w:ascii="宋体" w:hAnsi="宋体" w:cs="宋体"/>
                <w:sz w:val="18"/>
                <w:szCs w:val="18"/>
              </w:rPr>
              <w:t>1</w:t>
            </w:r>
            <w:r>
              <w:rPr>
                <w:rFonts w:hint="eastAsia" w:ascii="宋体" w:hAnsi="宋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keepNext/>
              <w:autoSpaceDE w:val="0"/>
              <w:autoSpaceDN w:val="0"/>
              <w:spacing w:line="828" w:lineRule="exact"/>
              <w:jc w:val="left"/>
              <w:rPr>
                <w:rFonts w:ascii="宋体" w:hAnsi="宋体" w:cs="宋体"/>
                <w:sz w:val="18"/>
                <w:szCs w:val="18"/>
              </w:rPr>
            </w:pPr>
          </w:p>
        </w:tc>
        <w:tc>
          <w:tcPr>
            <w:tcW w:w="2551" w:type="dxa"/>
            <w:shd w:val="clear" w:color="auto" w:fill="auto"/>
            <w:vAlign w:val="center"/>
          </w:tcPr>
          <w:p>
            <w:pPr>
              <w:keepNext/>
              <w:autoSpaceDE w:val="0"/>
              <w:autoSpaceDN w:val="0"/>
              <w:spacing w:line="260" w:lineRule="exact"/>
              <w:ind w:left="107" w:right="25"/>
              <w:jc w:val="left"/>
              <w:rPr>
                <w:rFonts w:ascii="宋体" w:hAnsi="宋体" w:cs="宋体"/>
                <w:sz w:val="18"/>
                <w:szCs w:val="18"/>
              </w:rPr>
            </w:pPr>
            <w:r>
              <w:rPr>
                <w:rFonts w:hint="eastAsia" w:ascii="宋体" w:hAnsi="宋体" w:cs="宋体"/>
                <w:sz w:val="18"/>
                <w:szCs w:val="18"/>
              </w:rPr>
              <w:t>未因平台经营行为发生显著舆论风险事件（1分）</w:t>
            </w:r>
          </w:p>
        </w:tc>
        <w:tc>
          <w:tcPr>
            <w:tcW w:w="3674" w:type="dxa"/>
            <w:shd w:val="clear" w:color="auto" w:fill="auto"/>
            <w:vAlign w:val="center"/>
          </w:tcPr>
          <w:p>
            <w:pPr>
              <w:keepNext/>
              <w:autoSpaceDE w:val="0"/>
              <w:autoSpaceDN w:val="0"/>
              <w:spacing w:before="135" w:line="281" w:lineRule="exact"/>
              <w:ind w:left="108"/>
              <w:jc w:val="left"/>
              <w:rPr>
                <w:rFonts w:ascii="宋体" w:hAnsi="宋体" w:cs="宋体"/>
                <w:sz w:val="18"/>
                <w:szCs w:val="18"/>
              </w:rPr>
            </w:pPr>
            <w:r>
              <w:rPr>
                <w:rFonts w:hint="eastAsia" w:ascii="宋体" w:hAnsi="宋体" w:cs="宋体"/>
                <w:sz w:val="18"/>
                <w:szCs w:val="18"/>
              </w:rPr>
              <w:t>企业未因平台经营管理行为导致显著舆论风险的，得</w:t>
            </w:r>
            <w:r>
              <w:rPr>
                <w:rFonts w:ascii="宋体" w:hAnsi="宋体" w:cs="宋体"/>
                <w:sz w:val="18"/>
                <w:szCs w:val="18"/>
              </w:rPr>
              <w:t>1</w:t>
            </w:r>
            <w:r>
              <w:rPr>
                <w:rFonts w:hint="eastAsia" w:ascii="宋体" w:hAnsi="宋体" w:cs="宋体"/>
                <w:sz w:val="18"/>
                <w:szCs w:val="18"/>
              </w:rPr>
              <w:t>分</w:t>
            </w:r>
          </w:p>
          <w:p>
            <w:pPr>
              <w:keepNext/>
              <w:autoSpaceDE w:val="0"/>
              <w:autoSpaceDN w:val="0"/>
              <w:spacing w:before="135" w:line="281" w:lineRule="exact"/>
              <w:ind w:left="108"/>
              <w:jc w:val="left"/>
              <w:rPr>
                <w:rFonts w:ascii="宋体" w:hAnsi="宋体" w:cs="宋体"/>
                <w:sz w:val="18"/>
                <w:szCs w:val="18"/>
              </w:rPr>
            </w:pPr>
            <w:r>
              <w:rPr>
                <w:rFonts w:hint="eastAsia" w:ascii="宋体" w:hAnsi="宋体" w:cs="宋体"/>
                <w:sz w:val="18"/>
                <w:szCs w:val="18"/>
              </w:rPr>
              <w:t>注：显著舆论风险事件应满足舆论覆盖地域范围广、舆论数量增长趋势明显、引发多家主流媒体关注、点击率高、跟帖评论量大等条件。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pPr>
              <w:pStyle w:val="181"/>
            </w:pPr>
          </w:p>
        </w:tc>
        <w:tc>
          <w:tcPr>
            <w:tcW w:w="1276" w:type="dxa"/>
            <w:vMerge w:val="continue"/>
            <w:shd w:val="clear" w:color="auto" w:fill="auto"/>
            <w:vAlign w:val="center"/>
          </w:tcPr>
          <w:p>
            <w:pPr>
              <w:keepNext/>
              <w:autoSpaceDE w:val="0"/>
              <w:autoSpaceDN w:val="0"/>
              <w:spacing w:line="828" w:lineRule="exact"/>
              <w:jc w:val="left"/>
              <w:rPr>
                <w:rFonts w:ascii="宋体" w:hAnsi="宋体" w:cs="宋体"/>
                <w:sz w:val="18"/>
                <w:szCs w:val="18"/>
              </w:rPr>
            </w:pPr>
          </w:p>
        </w:tc>
        <w:tc>
          <w:tcPr>
            <w:tcW w:w="2551" w:type="dxa"/>
            <w:shd w:val="clear" w:color="auto" w:fill="auto"/>
            <w:vAlign w:val="center"/>
          </w:tcPr>
          <w:p>
            <w:pPr>
              <w:keepNext/>
              <w:autoSpaceDE w:val="0"/>
              <w:autoSpaceDN w:val="0"/>
              <w:spacing w:line="260" w:lineRule="exact"/>
              <w:ind w:left="107" w:right="25"/>
              <w:jc w:val="left"/>
              <w:rPr>
                <w:rFonts w:ascii="宋体" w:hAnsi="宋体" w:cs="宋体"/>
                <w:sz w:val="18"/>
                <w:szCs w:val="18"/>
              </w:rPr>
            </w:pPr>
            <w:r>
              <w:rPr>
                <w:rFonts w:hint="eastAsia" w:ascii="宋体" w:hAnsi="宋体" w:cs="宋体"/>
                <w:sz w:val="18"/>
                <w:szCs w:val="18"/>
              </w:rPr>
              <w:t>未因平台内经营者违法违规行为发生显著舆论风险事件（</w:t>
            </w:r>
            <w:r>
              <w:rPr>
                <w:rFonts w:ascii="宋体" w:hAnsi="宋体" w:cs="宋体"/>
                <w:sz w:val="18"/>
                <w:szCs w:val="18"/>
              </w:rPr>
              <w:t>2</w:t>
            </w:r>
            <w:r>
              <w:rPr>
                <w:rFonts w:hint="eastAsia" w:ascii="宋体" w:hAnsi="宋体" w:cs="宋体"/>
                <w:sz w:val="18"/>
                <w:szCs w:val="18"/>
              </w:rPr>
              <w:t>分）</w:t>
            </w:r>
          </w:p>
        </w:tc>
        <w:tc>
          <w:tcPr>
            <w:tcW w:w="3674" w:type="dxa"/>
            <w:shd w:val="clear" w:color="auto" w:fill="auto"/>
            <w:vAlign w:val="center"/>
          </w:tcPr>
          <w:p>
            <w:pPr>
              <w:keepNext/>
              <w:autoSpaceDE w:val="0"/>
              <w:autoSpaceDN w:val="0"/>
              <w:spacing w:before="135" w:line="281" w:lineRule="exact"/>
              <w:ind w:left="108"/>
              <w:jc w:val="left"/>
              <w:rPr>
                <w:rFonts w:ascii="宋体" w:hAnsi="宋体" w:cs="宋体"/>
                <w:sz w:val="18"/>
                <w:szCs w:val="18"/>
              </w:rPr>
            </w:pPr>
            <w:r>
              <w:rPr>
                <w:rFonts w:hint="eastAsia" w:ascii="宋体" w:hAnsi="宋体" w:cs="宋体"/>
                <w:sz w:val="18"/>
                <w:szCs w:val="18"/>
              </w:rPr>
              <w:t>企业未因平台内经营者违法违规行为导致显著舆论风险的，得2分</w:t>
            </w:r>
          </w:p>
        </w:tc>
      </w:tr>
    </w:tbl>
    <w:p>
      <w:pPr>
        <w:pStyle w:val="115"/>
        <w:numPr>
          <w:ilvl w:val="0"/>
          <w:numId w:val="0"/>
        </w:numPr>
        <w:spacing w:before="120" w:after="120"/>
        <w:jc w:val="both"/>
      </w:pPr>
    </w:p>
    <w:p>
      <w:pPr>
        <w:pStyle w:val="108"/>
        <w:spacing w:before="120" w:after="120"/>
      </w:pPr>
      <w:bookmarkStart w:id="96" w:name="_Toc130801060"/>
      <w:bookmarkEnd w:id="96"/>
      <w:bookmarkStart w:id="97" w:name="_Toc148363863"/>
      <w:bookmarkStart w:id="98" w:name="_Toc148363723"/>
      <w:bookmarkStart w:id="99" w:name="_Toc148362925"/>
      <w:r>
        <w:rPr>
          <w:rFonts w:hint="eastAsia"/>
        </w:rPr>
        <w:t>评估等</w:t>
      </w:r>
      <w:r>
        <w:t>级</w:t>
      </w:r>
      <w:r>
        <w:rPr>
          <w:rFonts w:hint="eastAsia"/>
        </w:rPr>
        <w:t>划分</w:t>
      </w:r>
      <w:bookmarkEnd w:id="97"/>
      <w:bookmarkEnd w:id="98"/>
      <w:bookmarkEnd w:id="99"/>
    </w:p>
    <w:p>
      <w:pPr>
        <w:pStyle w:val="233"/>
        <w:ind w:firstLine="420"/>
      </w:pPr>
      <w:r>
        <w:rPr>
          <w:rFonts w:hint="eastAsia"/>
        </w:rPr>
        <w:t>评估结果按照评估分（E）分为5个等级，由高到低分别用“五星级” “四星级” “三星级” “二星级” “一星级”表示，见表4。评估分的计算规则如下：</w:t>
      </w:r>
    </w:p>
    <w:p>
      <w:pPr>
        <w:pStyle w:val="177"/>
        <w:numPr>
          <w:ilvl w:val="0"/>
          <w:numId w:val="33"/>
        </w:numPr>
      </w:pPr>
      <w:r>
        <w:rPr>
          <w:rFonts w:hint="eastAsia"/>
        </w:rPr>
        <w:t>评估分为5</w:t>
      </w:r>
      <w:r>
        <w:t>.1</w:t>
      </w:r>
      <w:r>
        <w:rPr>
          <w:rFonts w:hint="eastAsia"/>
        </w:rPr>
        <w:t>中三个维度的评估指标分数之和，每个维度</w:t>
      </w:r>
      <w:r>
        <w:rPr>
          <w:rFonts w:hint="eastAsia" w:hAnsi="宋体" w:cs="宋体"/>
          <w:bCs/>
          <w:color w:val="000000"/>
          <w:spacing w:val="5"/>
          <w:w w:val="97"/>
        </w:rPr>
        <w:t>评估</w:t>
      </w:r>
      <w:r>
        <w:t>指标</w:t>
      </w:r>
      <w:r>
        <w:rPr>
          <w:rFonts w:hint="eastAsia"/>
        </w:rPr>
        <w:t>的初始分数为</w:t>
      </w:r>
      <w:r>
        <w:t>0</w:t>
      </w:r>
      <w:r>
        <w:rPr>
          <w:rFonts w:hint="eastAsia"/>
        </w:rPr>
        <w:t>分，满分1</w:t>
      </w:r>
      <w:r>
        <w:t>00</w:t>
      </w:r>
      <w:r>
        <w:rPr>
          <w:rFonts w:hint="eastAsia"/>
        </w:rPr>
        <w:t>分，总计</w:t>
      </w:r>
      <w:r>
        <w:t>300</w:t>
      </w:r>
      <w:r>
        <w:rPr>
          <w:rFonts w:hint="eastAsia"/>
        </w:rPr>
        <w:t>分；</w:t>
      </w:r>
    </w:p>
    <w:p>
      <w:pPr>
        <w:pStyle w:val="177"/>
        <w:numPr>
          <w:ilvl w:val="0"/>
          <w:numId w:val="33"/>
        </w:numPr>
      </w:pPr>
      <w:r>
        <w:rPr>
          <w:rFonts w:hint="eastAsia"/>
        </w:rPr>
        <w:t>每个一级指标的分数由三部分组成：基本得分项、加分项和减分项；基本得分项、加分项和减分项之和不得超过该一级指标的得分上限；</w:t>
      </w:r>
    </w:p>
    <w:p>
      <w:pPr>
        <w:pStyle w:val="177"/>
        <w:numPr>
          <w:ilvl w:val="0"/>
          <w:numId w:val="33"/>
        </w:numPr>
      </w:pPr>
      <w:r>
        <w:rPr>
          <w:rFonts w:hint="eastAsia"/>
        </w:rPr>
        <w:t>加分项、减分项如按次计算，则根据企业的行为频次累计计算，但基本得分项、加分项、减分项之和不得超过该一级指标的得分上限；</w:t>
      </w:r>
    </w:p>
    <w:p>
      <w:pPr>
        <w:pStyle w:val="177"/>
      </w:pPr>
      <w:r>
        <w:rPr>
          <w:rFonts w:hint="eastAsia"/>
        </w:rPr>
        <w:t>若同时符合某个三级指标的多项描述，则选择最高分作为计分标准。</w:t>
      </w:r>
    </w:p>
    <w:p>
      <w:pPr>
        <w:pStyle w:val="115"/>
        <w:spacing w:before="120" w:after="120"/>
      </w:pPr>
      <w:r>
        <w:rPr>
          <w:rFonts w:hint="eastAsia" w:hAnsi="黑体"/>
        </w:rPr>
        <w:t>评估等级划分与分值</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0" w:type="dxa"/>
            <w:tcBorders>
              <w:top w:val="single" w:color="auto" w:sz="8" w:space="0"/>
              <w:bottom w:val="single" w:color="auto" w:sz="8" w:space="0"/>
            </w:tcBorders>
            <w:shd w:val="clear" w:color="auto" w:fill="auto"/>
            <w:vAlign w:val="center"/>
          </w:tcPr>
          <w:p>
            <w:pPr>
              <w:pStyle w:val="181"/>
            </w:pPr>
            <w:r>
              <w:rPr>
                <w:rFonts w:hint="eastAsia"/>
              </w:rPr>
              <w:t>评估等级</w:t>
            </w:r>
          </w:p>
        </w:tc>
        <w:tc>
          <w:tcPr>
            <w:tcW w:w="3112" w:type="dxa"/>
            <w:tcBorders>
              <w:top w:val="single" w:color="auto" w:sz="8" w:space="0"/>
              <w:bottom w:val="single" w:color="auto" w:sz="8" w:space="0"/>
            </w:tcBorders>
            <w:shd w:val="clear" w:color="auto" w:fill="auto"/>
            <w:vAlign w:val="center"/>
          </w:tcPr>
          <w:p>
            <w:pPr>
              <w:pStyle w:val="181"/>
            </w:pPr>
            <w:r>
              <w:rPr>
                <w:rFonts w:hint="eastAsia"/>
              </w:rPr>
              <w:t>符号</w:t>
            </w:r>
          </w:p>
        </w:tc>
        <w:tc>
          <w:tcPr>
            <w:tcW w:w="3112" w:type="dxa"/>
            <w:tcBorders>
              <w:top w:val="single" w:color="auto" w:sz="8" w:space="0"/>
              <w:bottom w:val="single" w:color="auto" w:sz="8" w:space="0"/>
            </w:tcBorders>
            <w:shd w:val="clear" w:color="auto" w:fill="auto"/>
            <w:vAlign w:val="center"/>
          </w:tcPr>
          <w:p>
            <w:pPr>
              <w:pStyle w:val="181"/>
            </w:pPr>
            <w:r>
              <w:rPr>
                <w:rFonts w:hint="eastAsia"/>
              </w:rPr>
              <w:t>评估分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top w:val="single" w:color="auto" w:sz="8" w:space="0"/>
            </w:tcBorders>
            <w:shd w:val="clear" w:color="auto" w:fill="auto"/>
            <w:vAlign w:val="center"/>
          </w:tcPr>
          <w:p>
            <w:pPr>
              <w:pStyle w:val="181"/>
            </w:pPr>
            <w:r>
              <w:rPr>
                <w:rFonts w:hint="eastAsia"/>
              </w:rPr>
              <w:t>五星级</w:t>
            </w:r>
          </w:p>
        </w:tc>
        <w:tc>
          <w:tcPr>
            <w:tcW w:w="3112" w:type="dxa"/>
            <w:tcBorders>
              <w:top w:val="single" w:color="auto" w:sz="8" w:space="0"/>
            </w:tcBorders>
            <w:shd w:val="clear" w:color="auto" w:fill="auto"/>
            <w:vAlign w:val="center"/>
          </w:tcPr>
          <w:p>
            <w:pPr>
              <w:pStyle w:val="181"/>
            </w:pPr>
            <w:r>
              <w:rPr>
                <w:rFonts w:hint="eastAsia"/>
              </w:rPr>
              <w:t>★★★★★</w:t>
            </w:r>
          </w:p>
        </w:tc>
        <w:tc>
          <w:tcPr>
            <w:tcW w:w="3112" w:type="dxa"/>
            <w:tcBorders>
              <w:top w:val="single" w:color="auto" w:sz="8" w:space="0"/>
            </w:tcBorders>
            <w:shd w:val="clear" w:color="auto" w:fill="auto"/>
            <w:vAlign w:val="center"/>
          </w:tcPr>
          <w:p>
            <w:pPr>
              <w:pStyle w:val="181"/>
            </w:pPr>
            <w:r>
              <w:t>3</w:t>
            </w:r>
            <w:r>
              <w:rPr>
                <w:rFonts w:hint="eastAsia"/>
              </w:rPr>
              <w:t>00分≥</w:t>
            </w:r>
            <w:r>
              <w:t>E</w:t>
            </w:r>
            <w:r>
              <w:rPr>
                <w:rFonts w:hint="eastAsia"/>
              </w:rPr>
              <w:t>＞</w:t>
            </w:r>
            <w:r>
              <w:t>270分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181"/>
            </w:pPr>
            <w:r>
              <w:rPr>
                <w:rFonts w:hint="eastAsia"/>
              </w:rPr>
              <w:t>四星级</w:t>
            </w:r>
          </w:p>
        </w:tc>
        <w:tc>
          <w:tcPr>
            <w:tcW w:w="3112" w:type="dxa"/>
            <w:shd w:val="clear" w:color="auto" w:fill="auto"/>
            <w:vAlign w:val="center"/>
          </w:tcPr>
          <w:p>
            <w:pPr>
              <w:pStyle w:val="181"/>
            </w:pPr>
            <w:r>
              <w:rPr>
                <w:rFonts w:hint="eastAsia"/>
              </w:rPr>
              <w:t>★★★★</w:t>
            </w:r>
          </w:p>
        </w:tc>
        <w:tc>
          <w:tcPr>
            <w:tcW w:w="3112" w:type="dxa"/>
            <w:shd w:val="clear" w:color="auto" w:fill="auto"/>
            <w:vAlign w:val="center"/>
          </w:tcPr>
          <w:p>
            <w:pPr>
              <w:pStyle w:val="181"/>
            </w:pPr>
            <w:r>
              <w:t>270分</w:t>
            </w:r>
            <w:r>
              <w:rPr>
                <w:rFonts w:hint="eastAsia"/>
              </w:rPr>
              <w:t>≥</w:t>
            </w:r>
            <w:r>
              <w:t>E</w:t>
            </w:r>
            <w:r>
              <w:rPr>
                <w:rFonts w:hint="eastAsia"/>
              </w:rPr>
              <w:t>＞</w:t>
            </w:r>
            <w:r>
              <w:t>240</w:t>
            </w:r>
            <w:r>
              <w:rPr>
                <w:rFonts w:hint="eastAsia"/>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181"/>
            </w:pPr>
            <w:r>
              <w:rPr>
                <w:rFonts w:hint="eastAsia"/>
              </w:rPr>
              <w:t>三星级</w:t>
            </w:r>
          </w:p>
        </w:tc>
        <w:tc>
          <w:tcPr>
            <w:tcW w:w="3112" w:type="dxa"/>
            <w:shd w:val="clear" w:color="auto" w:fill="auto"/>
            <w:vAlign w:val="center"/>
          </w:tcPr>
          <w:p>
            <w:pPr>
              <w:pStyle w:val="181"/>
            </w:pPr>
            <w:r>
              <w:rPr>
                <w:rFonts w:hint="eastAsia"/>
              </w:rPr>
              <w:t>★★★</w:t>
            </w:r>
          </w:p>
        </w:tc>
        <w:tc>
          <w:tcPr>
            <w:tcW w:w="3112" w:type="dxa"/>
            <w:shd w:val="clear" w:color="auto" w:fill="auto"/>
          </w:tcPr>
          <w:p>
            <w:pPr>
              <w:pStyle w:val="181"/>
            </w:pPr>
            <w:r>
              <w:rPr>
                <w:rFonts w:hint="eastAsia"/>
              </w:rPr>
              <w:t>240分≥E＞210分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181"/>
            </w:pPr>
            <w:r>
              <w:rPr>
                <w:rFonts w:hint="eastAsia"/>
              </w:rPr>
              <w:t>二星级</w:t>
            </w:r>
          </w:p>
        </w:tc>
        <w:tc>
          <w:tcPr>
            <w:tcW w:w="3112" w:type="dxa"/>
            <w:shd w:val="clear" w:color="auto" w:fill="auto"/>
            <w:vAlign w:val="center"/>
          </w:tcPr>
          <w:p>
            <w:pPr>
              <w:pStyle w:val="181"/>
            </w:pPr>
            <w:r>
              <w:rPr>
                <w:rFonts w:hint="eastAsia"/>
              </w:rPr>
              <w:t>★★</w:t>
            </w:r>
          </w:p>
        </w:tc>
        <w:tc>
          <w:tcPr>
            <w:tcW w:w="3112" w:type="dxa"/>
            <w:shd w:val="clear" w:color="auto" w:fill="auto"/>
          </w:tcPr>
          <w:p>
            <w:pPr>
              <w:pStyle w:val="181"/>
            </w:pPr>
            <w:r>
              <w:rPr>
                <w:rFonts w:hint="eastAsia"/>
              </w:rPr>
              <w:t>210分≥E＞180分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181"/>
            </w:pPr>
            <w:r>
              <w:rPr>
                <w:rFonts w:hint="eastAsia"/>
              </w:rPr>
              <w:t>一星级</w:t>
            </w:r>
          </w:p>
        </w:tc>
        <w:tc>
          <w:tcPr>
            <w:tcW w:w="3112" w:type="dxa"/>
            <w:shd w:val="clear" w:color="auto" w:fill="auto"/>
            <w:vAlign w:val="center"/>
          </w:tcPr>
          <w:p>
            <w:pPr>
              <w:pStyle w:val="181"/>
            </w:pPr>
            <w:r>
              <w:rPr>
                <w:rFonts w:hint="eastAsia"/>
              </w:rPr>
              <w:t>★</w:t>
            </w:r>
          </w:p>
        </w:tc>
        <w:tc>
          <w:tcPr>
            <w:tcW w:w="3112" w:type="dxa"/>
            <w:shd w:val="clear" w:color="auto" w:fill="auto"/>
          </w:tcPr>
          <w:p>
            <w:pPr>
              <w:pStyle w:val="181"/>
            </w:pPr>
            <w:r>
              <w:rPr>
                <w:rFonts w:hint="eastAsia"/>
              </w:rPr>
              <w:t>180分≥E＞0分</w:t>
            </w:r>
          </w:p>
        </w:tc>
      </w:tr>
    </w:tbl>
    <w:p>
      <w:pPr>
        <w:pStyle w:val="59"/>
        <w:ind w:firstLine="420"/>
      </w:pPr>
    </w:p>
    <w:p>
      <w:pPr>
        <w:pStyle w:val="108"/>
        <w:spacing w:before="120" w:after="120"/>
      </w:pPr>
      <w:bookmarkStart w:id="100" w:name="_Toc148363864"/>
      <w:bookmarkStart w:id="101" w:name="_Toc148339340"/>
      <w:bookmarkStart w:id="102" w:name="_Toc148363724"/>
      <w:r>
        <w:rPr>
          <w:rFonts w:hint="eastAsia"/>
        </w:rPr>
        <w:t>评估结果有效期</w:t>
      </w:r>
      <w:bookmarkEnd w:id="100"/>
      <w:bookmarkEnd w:id="101"/>
      <w:bookmarkEnd w:id="102"/>
    </w:p>
    <w:p>
      <w:pPr>
        <w:pStyle w:val="233"/>
        <w:ind w:firstLine="420"/>
        <w:rPr>
          <w:szCs w:val="21"/>
        </w:rPr>
      </w:pPr>
      <w:r>
        <w:rPr>
          <w:rFonts w:hint="eastAsia"/>
          <w:szCs w:val="21"/>
        </w:rPr>
        <w:t>评估结果为长期有效。</w:t>
      </w:r>
    </w:p>
    <w:bookmarkEnd w:id="27"/>
    <w:p>
      <w:pPr>
        <w:pStyle w:val="201"/>
        <w:rPr>
          <w:vanish w:val="0"/>
        </w:rPr>
      </w:pPr>
      <w:bookmarkStart w:id="103" w:name="BookMark5"/>
    </w:p>
    <w:p>
      <w:pPr>
        <w:pStyle w:val="202"/>
        <w:rPr>
          <w:vanish w:val="0"/>
        </w:rPr>
      </w:pPr>
    </w:p>
    <w:bookmarkEnd w:id="103"/>
    <w:p>
      <w:pPr>
        <w:pStyle w:val="59"/>
        <w:ind w:firstLine="420"/>
        <w:sectPr>
          <w:pgSz w:w="11906" w:h="16838"/>
          <w:pgMar w:top="1928" w:right="1134" w:bottom="1134" w:left="1134" w:header="1418" w:footer="1134" w:gutter="284"/>
          <w:cols w:space="425" w:num="1"/>
          <w:formProt w:val="0"/>
          <w:docGrid w:linePitch="312" w:charSpace="0"/>
        </w:sectPr>
      </w:pPr>
      <w:bookmarkStart w:id="104" w:name="BookMark6"/>
    </w:p>
    <w:p>
      <w:pPr>
        <w:pStyle w:val="66"/>
        <w:spacing w:after="120"/>
      </w:pPr>
      <w:bookmarkStart w:id="105" w:name="_Toc148362926"/>
      <w:bookmarkStart w:id="106" w:name="_Toc130801062"/>
      <w:bookmarkStart w:id="107" w:name="_Toc148363725"/>
      <w:bookmarkStart w:id="108" w:name="_Toc130801070"/>
      <w:bookmarkStart w:id="109" w:name="_Toc130801407"/>
      <w:bookmarkStart w:id="110" w:name="_Toc148363865"/>
      <w:r>
        <w:rPr>
          <w:rFonts w:hint="eastAsia"/>
          <w:spacing w:val="105"/>
        </w:rPr>
        <w:t>参考文</w:t>
      </w:r>
      <w:r>
        <w:rPr>
          <w:rFonts w:hint="eastAsia"/>
        </w:rPr>
        <w:t>献</w:t>
      </w:r>
      <w:bookmarkEnd w:id="105"/>
      <w:bookmarkEnd w:id="106"/>
      <w:bookmarkEnd w:id="107"/>
      <w:bookmarkEnd w:id="108"/>
      <w:bookmarkEnd w:id="109"/>
      <w:bookmarkEnd w:id="110"/>
    </w:p>
    <w:p>
      <w:pPr>
        <w:pStyle w:val="59"/>
        <w:ind w:firstLine="420"/>
        <w:rPr>
          <w:rFonts w:ascii="Times New Roman"/>
        </w:rPr>
      </w:pPr>
      <w:r>
        <w:rPr>
          <w:rFonts w:ascii="Times New Roman"/>
        </w:rPr>
        <w:t>[1]  T/CERDS 2—2022  企业ESG披露指南</w:t>
      </w:r>
    </w:p>
    <w:p>
      <w:pPr>
        <w:pStyle w:val="59"/>
        <w:ind w:firstLine="420"/>
        <w:rPr>
          <w:rFonts w:ascii="Times New Roman"/>
        </w:rPr>
      </w:pPr>
      <w:r>
        <w:rPr>
          <w:rFonts w:ascii="Times New Roman"/>
        </w:rPr>
        <w:t>[2]  T/CAQ 10118—2022  企业ESG评价指南</w:t>
      </w:r>
    </w:p>
    <w:p>
      <w:pPr>
        <w:pStyle w:val="59"/>
        <w:ind w:firstLine="420"/>
        <w:rPr>
          <w:rFonts w:ascii="Times New Roman"/>
        </w:rPr>
      </w:pPr>
      <w:r>
        <w:rPr>
          <w:rFonts w:ascii="Times New Roman"/>
        </w:rPr>
        <w:t>[3]  T/CGDF 00011—2021  ESG评价标准</w:t>
      </w:r>
    </w:p>
    <w:p>
      <w:pPr>
        <w:pStyle w:val="59"/>
        <w:ind w:firstLine="420"/>
        <w:rPr>
          <w:rFonts w:ascii="Times New Roman"/>
        </w:rPr>
      </w:pPr>
      <w:r>
        <w:rPr>
          <w:rFonts w:ascii="Times New Roman"/>
        </w:rPr>
        <w:t>[4]  T/CAQ 10117—2022  企业ESG管理体系</w:t>
      </w:r>
    </w:p>
    <w:p>
      <w:pPr>
        <w:pStyle w:val="59"/>
        <w:ind w:firstLine="420"/>
      </w:pPr>
    </w:p>
    <w:p>
      <w:pPr>
        <w:pStyle w:val="59"/>
        <w:ind w:firstLine="420"/>
      </w:pPr>
    </w:p>
    <w:p>
      <w:pPr>
        <w:pStyle w:val="59"/>
        <w:ind w:firstLine="420"/>
      </w:pPr>
    </w:p>
    <w:bookmarkEnd w:id="104"/>
    <w:p>
      <w:pPr>
        <w:pStyle w:val="59"/>
        <w:ind w:firstLine="0" w:firstLineChars="0"/>
        <w:jc w:val="center"/>
      </w:pPr>
      <w:bookmarkStart w:id="111" w:name="BookMark8"/>
      <w:r>
        <w:rPr>
          <w:rFonts w:hint="eastAsia"/>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11"/>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T/CFIS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fldChar w:fldCharType="begin"/>
    </w:r>
    <w:r>
      <w:instrText xml:space="preserve"> STYLEREF  标准文件_文件编号  \* MERGEFORMAT </w:instrText>
    </w:r>
    <w:r>
      <w:fldChar w:fldCharType="separate"/>
    </w:r>
    <w:r>
      <w:t>T/CFIS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2E564ED"/>
    <w:multiLevelType w:val="multilevel"/>
    <w:tmpl w:val="22E564ED"/>
    <w:lvl w:ilvl="0" w:tentative="0">
      <w:start w:val="1"/>
      <w:numFmt w:val="lowerLetter"/>
      <w:pStyle w:val="239"/>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38"/>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BlOGEwOTA4ZGQwYWViNjkxNGE3NDZiYTJjYzhmNmQifQ=="/>
  </w:docVars>
  <w:rsids>
    <w:rsidRoot w:val="00003E78"/>
    <w:rsid w:val="0000040A"/>
    <w:rsid w:val="00000A94"/>
    <w:rsid w:val="00001972"/>
    <w:rsid w:val="00001D9A"/>
    <w:rsid w:val="00003E78"/>
    <w:rsid w:val="00007B3A"/>
    <w:rsid w:val="000107E0"/>
    <w:rsid w:val="00011FDE"/>
    <w:rsid w:val="00012FFD"/>
    <w:rsid w:val="00014162"/>
    <w:rsid w:val="00014340"/>
    <w:rsid w:val="00016A9C"/>
    <w:rsid w:val="00022184"/>
    <w:rsid w:val="00022762"/>
    <w:rsid w:val="000238E0"/>
    <w:rsid w:val="000249DB"/>
    <w:rsid w:val="0002541F"/>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418D"/>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07DA"/>
    <w:rsid w:val="000B1592"/>
    <w:rsid w:val="000B1FF2"/>
    <w:rsid w:val="000B3CDA"/>
    <w:rsid w:val="000B6A0B"/>
    <w:rsid w:val="000C0A78"/>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4925"/>
    <w:rsid w:val="0011711C"/>
    <w:rsid w:val="00124E4F"/>
    <w:rsid w:val="001260B7"/>
    <w:rsid w:val="001265CB"/>
    <w:rsid w:val="001321C6"/>
    <w:rsid w:val="0013224F"/>
    <w:rsid w:val="001325C4"/>
    <w:rsid w:val="00133010"/>
    <w:rsid w:val="001338EE"/>
    <w:rsid w:val="00133AAE"/>
    <w:rsid w:val="00133D15"/>
    <w:rsid w:val="00134607"/>
    <w:rsid w:val="00135323"/>
    <w:rsid w:val="001356C4"/>
    <w:rsid w:val="00137565"/>
    <w:rsid w:val="00141114"/>
    <w:rsid w:val="00142969"/>
    <w:rsid w:val="001446C2"/>
    <w:rsid w:val="0014473B"/>
    <w:rsid w:val="001457E7"/>
    <w:rsid w:val="00145D9D"/>
    <w:rsid w:val="00146388"/>
    <w:rsid w:val="001517C5"/>
    <w:rsid w:val="001523F5"/>
    <w:rsid w:val="001529E5"/>
    <w:rsid w:val="00152FB3"/>
    <w:rsid w:val="00153C7E"/>
    <w:rsid w:val="00156B25"/>
    <w:rsid w:val="00156E1A"/>
    <w:rsid w:val="00157894"/>
    <w:rsid w:val="00157B55"/>
    <w:rsid w:val="001618E9"/>
    <w:rsid w:val="001642FA"/>
    <w:rsid w:val="001649EB"/>
    <w:rsid w:val="00164BAF"/>
    <w:rsid w:val="00164FA8"/>
    <w:rsid w:val="00165065"/>
    <w:rsid w:val="00165434"/>
    <w:rsid w:val="0016580B"/>
    <w:rsid w:val="00165F49"/>
    <w:rsid w:val="00166B88"/>
    <w:rsid w:val="001675F9"/>
    <w:rsid w:val="0016770A"/>
    <w:rsid w:val="00170804"/>
    <w:rsid w:val="001708E9"/>
    <w:rsid w:val="0017340B"/>
    <w:rsid w:val="00173FB1"/>
    <w:rsid w:val="00176DFD"/>
    <w:rsid w:val="00182EB9"/>
    <w:rsid w:val="001852C9"/>
    <w:rsid w:val="00187A0B"/>
    <w:rsid w:val="00190087"/>
    <w:rsid w:val="001913C4"/>
    <w:rsid w:val="0019348F"/>
    <w:rsid w:val="00193A07"/>
    <w:rsid w:val="00194C95"/>
    <w:rsid w:val="00195C34"/>
    <w:rsid w:val="00196EF5"/>
    <w:rsid w:val="00197261"/>
    <w:rsid w:val="001A1A53"/>
    <w:rsid w:val="001A234A"/>
    <w:rsid w:val="001A4CF3"/>
    <w:rsid w:val="001A6696"/>
    <w:rsid w:val="001B06E8"/>
    <w:rsid w:val="001B28EB"/>
    <w:rsid w:val="001B71D0"/>
    <w:rsid w:val="001B71EE"/>
    <w:rsid w:val="001C04A8"/>
    <w:rsid w:val="001C1E26"/>
    <w:rsid w:val="001C2C03"/>
    <w:rsid w:val="001C3372"/>
    <w:rsid w:val="001C42F7"/>
    <w:rsid w:val="001C49E5"/>
    <w:rsid w:val="001C55C4"/>
    <w:rsid w:val="001C680C"/>
    <w:rsid w:val="001C7FEA"/>
    <w:rsid w:val="001D0499"/>
    <w:rsid w:val="001D0BBE"/>
    <w:rsid w:val="001D0ED4"/>
    <w:rsid w:val="001D1E73"/>
    <w:rsid w:val="001D212F"/>
    <w:rsid w:val="001D29D7"/>
    <w:rsid w:val="001D2DE7"/>
    <w:rsid w:val="001D411C"/>
    <w:rsid w:val="001E1B6A"/>
    <w:rsid w:val="001E2484"/>
    <w:rsid w:val="001E355C"/>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E40"/>
    <w:rsid w:val="00205F2C"/>
    <w:rsid w:val="00210B15"/>
    <w:rsid w:val="002142EA"/>
    <w:rsid w:val="00215ADD"/>
    <w:rsid w:val="00220262"/>
    <w:rsid w:val="002204BB"/>
    <w:rsid w:val="00221B79"/>
    <w:rsid w:val="00221C6B"/>
    <w:rsid w:val="00222FB3"/>
    <w:rsid w:val="002253A1"/>
    <w:rsid w:val="00225CF8"/>
    <w:rsid w:val="0022794E"/>
    <w:rsid w:val="00233D64"/>
    <w:rsid w:val="0023482A"/>
    <w:rsid w:val="002359CB"/>
    <w:rsid w:val="00241948"/>
    <w:rsid w:val="00243540"/>
    <w:rsid w:val="0024497B"/>
    <w:rsid w:val="0024515B"/>
    <w:rsid w:val="0024545A"/>
    <w:rsid w:val="00246021"/>
    <w:rsid w:val="0024666E"/>
    <w:rsid w:val="00247F52"/>
    <w:rsid w:val="00250B25"/>
    <w:rsid w:val="00250BBE"/>
    <w:rsid w:val="002515C2"/>
    <w:rsid w:val="0025194F"/>
    <w:rsid w:val="00254258"/>
    <w:rsid w:val="0026148A"/>
    <w:rsid w:val="00262696"/>
    <w:rsid w:val="00263D25"/>
    <w:rsid w:val="002643C3"/>
    <w:rsid w:val="00264A0C"/>
    <w:rsid w:val="00266EEB"/>
    <w:rsid w:val="00267EF4"/>
    <w:rsid w:val="00270CB8"/>
    <w:rsid w:val="00272B08"/>
    <w:rsid w:val="0027375D"/>
    <w:rsid w:val="00281BB8"/>
    <w:rsid w:val="00281E9E"/>
    <w:rsid w:val="00282101"/>
    <w:rsid w:val="00282405"/>
    <w:rsid w:val="00285170"/>
    <w:rsid w:val="00285361"/>
    <w:rsid w:val="00292D60"/>
    <w:rsid w:val="00293B30"/>
    <w:rsid w:val="00294D34"/>
    <w:rsid w:val="00294E3B"/>
    <w:rsid w:val="00296193"/>
    <w:rsid w:val="00296C66"/>
    <w:rsid w:val="00296EBE"/>
    <w:rsid w:val="002974E3"/>
    <w:rsid w:val="00297528"/>
    <w:rsid w:val="002A084B"/>
    <w:rsid w:val="002A1260"/>
    <w:rsid w:val="002A1589"/>
    <w:rsid w:val="002A1608"/>
    <w:rsid w:val="002A25DC"/>
    <w:rsid w:val="002A3AAB"/>
    <w:rsid w:val="002A4CEA"/>
    <w:rsid w:val="002A4D4E"/>
    <w:rsid w:val="002A550A"/>
    <w:rsid w:val="002A5977"/>
    <w:rsid w:val="002A5A13"/>
    <w:rsid w:val="002A757F"/>
    <w:rsid w:val="002A7F44"/>
    <w:rsid w:val="002B0C40"/>
    <w:rsid w:val="002B1966"/>
    <w:rsid w:val="002B3024"/>
    <w:rsid w:val="002B4508"/>
    <w:rsid w:val="002B5779"/>
    <w:rsid w:val="002B646B"/>
    <w:rsid w:val="002B7332"/>
    <w:rsid w:val="002B7F51"/>
    <w:rsid w:val="002C09E7"/>
    <w:rsid w:val="002C1E06"/>
    <w:rsid w:val="002C3F07"/>
    <w:rsid w:val="002C4E33"/>
    <w:rsid w:val="002C5278"/>
    <w:rsid w:val="002C7EBB"/>
    <w:rsid w:val="002D06C1"/>
    <w:rsid w:val="002D20BE"/>
    <w:rsid w:val="002D42B5"/>
    <w:rsid w:val="002D4F1A"/>
    <w:rsid w:val="002D5E09"/>
    <w:rsid w:val="002D6EC6"/>
    <w:rsid w:val="002D79AC"/>
    <w:rsid w:val="002E039D"/>
    <w:rsid w:val="002E07E8"/>
    <w:rsid w:val="002E2BE0"/>
    <w:rsid w:val="002E4D5A"/>
    <w:rsid w:val="002E6326"/>
    <w:rsid w:val="002F30E0"/>
    <w:rsid w:val="002F35E4"/>
    <w:rsid w:val="002F3730"/>
    <w:rsid w:val="002F38E1"/>
    <w:rsid w:val="002F7AF6"/>
    <w:rsid w:val="0030007D"/>
    <w:rsid w:val="00300E63"/>
    <w:rsid w:val="00302F5F"/>
    <w:rsid w:val="0030441D"/>
    <w:rsid w:val="00306063"/>
    <w:rsid w:val="003066B4"/>
    <w:rsid w:val="00313B85"/>
    <w:rsid w:val="00317988"/>
    <w:rsid w:val="003221B4"/>
    <w:rsid w:val="0032258D"/>
    <w:rsid w:val="00322E62"/>
    <w:rsid w:val="00324D13"/>
    <w:rsid w:val="00324EDD"/>
    <w:rsid w:val="003331E4"/>
    <w:rsid w:val="00336C64"/>
    <w:rsid w:val="00337162"/>
    <w:rsid w:val="0034194F"/>
    <w:rsid w:val="00343F0F"/>
    <w:rsid w:val="00344605"/>
    <w:rsid w:val="003474AA"/>
    <w:rsid w:val="00350D1D"/>
    <w:rsid w:val="00352C83"/>
    <w:rsid w:val="00352F1A"/>
    <w:rsid w:val="0035440D"/>
    <w:rsid w:val="0036107C"/>
    <w:rsid w:val="003615D2"/>
    <w:rsid w:val="0036429C"/>
    <w:rsid w:val="00364A53"/>
    <w:rsid w:val="003654CB"/>
    <w:rsid w:val="00365AA9"/>
    <w:rsid w:val="00365F86"/>
    <w:rsid w:val="00365F87"/>
    <w:rsid w:val="00366E89"/>
    <w:rsid w:val="003705F4"/>
    <w:rsid w:val="00370D58"/>
    <w:rsid w:val="00371316"/>
    <w:rsid w:val="00376713"/>
    <w:rsid w:val="003803DD"/>
    <w:rsid w:val="00380B72"/>
    <w:rsid w:val="00381815"/>
    <w:rsid w:val="003819AF"/>
    <w:rsid w:val="003820E9"/>
    <w:rsid w:val="00382A5D"/>
    <w:rsid w:val="00382DE7"/>
    <w:rsid w:val="00384FFC"/>
    <w:rsid w:val="003872FC"/>
    <w:rsid w:val="00387ADC"/>
    <w:rsid w:val="00390020"/>
    <w:rsid w:val="003903D6"/>
    <w:rsid w:val="00390EE6"/>
    <w:rsid w:val="0039118F"/>
    <w:rsid w:val="00392AD7"/>
    <w:rsid w:val="003938D9"/>
    <w:rsid w:val="00394376"/>
    <w:rsid w:val="003943FF"/>
    <w:rsid w:val="00395958"/>
    <w:rsid w:val="003974EB"/>
    <w:rsid w:val="00397CC5"/>
    <w:rsid w:val="003A11D1"/>
    <w:rsid w:val="003A1582"/>
    <w:rsid w:val="003A3D9C"/>
    <w:rsid w:val="003A4077"/>
    <w:rsid w:val="003A4AA7"/>
    <w:rsid w:val="003B09AD"/>
    <w:rsid w:val="003B1F18"/>
    <w:rsid w:val="003B2E9F"/>
    <w:rsid w:val="003B5BF0"/>
    <w:rsid w:val="003B60BF"/>
    <w:rsid w:val="003B6BE3"/>
    <w:rsid w:val="003C010C"/>
    <w:rsid w:val="003C0A6C"/>
    <w:rsid w:val="003C14F8"/>
    <w:rsid w:val="003C5A43"/>
    <w:rsid w:val="003D0519"/>
    <w:rsid w:val="003D0FF6"/>
    <w:rsid w:val="003D262C"/>
    <w:rsid w:val="003D35DC"/>
    <w:rsid w:val="003D6D61"/>
    <w:rsid w:val="003E019F"/>
    <w:rsid w:val="003E091D"/>
    <w:rsid w:val="003E1C53"/>
    <w:rsid w:val="003E2A69"/>
    <w:rsid w:val="003E2D49"/>
    <w:rsid w:val="003E2FD4"/>
    <w:rsid w:val="003E49F6"/>
    <w:rsid w:val="003E660F"/>
    <w:rsid w:val="003F0841"/>
    <w:rsid w:val="003F23D3"/>
    <w:rsid w:val="003F3F08"/>
    <w:rsid w:val="003F40F1"/>
    <w:rsid w:val="003F49F1"/>
    <w:rsid w:val="003F6272"/>
    <w:rsid w:val="00400E72"/>
    <w:rsid w:val="00401400"/>
    <w:rsid w:val="00404869"/>
    <w:rsid w:val="00405884"/>
    <w:rsid w:val="00407D39"/>
    <w:rsid w:val="0041477A"/>
    <w:rsid w:val="004167A3"/>
    <w:rsid w:val="0043278C"/>
    <w:rsid w:val="00432DAA"/>
    <w:rsid w:val="00434305"/>
    <w:rsid w:val="00435DF7"/>
    <w:rsid w:val="0044083F"/>
    <w:rsid w:val="00441AE7"/>
    <w:rsid w:val="004450A4"/>
    <w:rsid w:val="00445574"/>
    <w:rsid w:val="004467FB"/>
    <w:rsid w:val="00447FFB"/>
    <w:rsid w:val="00452D6B"/>
    <w:rsid w:val="00454484"/>
    <w:rsid w:val="0045517B"/>
    <w:rsid w:val="00463B77"/>
    <w:rsid w:val="00463C7B"/>
    <w:rsid w:val="004644A6"/>
    <w:rsid w:val="004659BD"/>
    <w:rsid w:val="00470775"/>
    <w:rsid w:val="00473ADC"/>
    <w:rsid w:val="004746B1"/>
    <w:rsid w:val="0047583F"/>
    <w:rsid w:val="00475DE8"/>
    <w:rsid w:val="00481C44"/>
    <w:rsid w:val="00484936"/>
    <w:rsid w:val="00485C89"/>
    <w:rsid w:val="00486BE3"/>
    <w:rsid w:val="004905E4"/>
    <w:rsid w:val="00490A89"/>
    <w:rsid w:val="00490AB4"/>
    <w:rsid w:val="00492F02"/>
    <w:rsid w:val="004939AE"/>
    <w:rsid w:val="004954CD"/>
    <w:rsid w:val="00496FE5"/>
    <w:rsid w:val="004974E4"/>
    <w:rsid w:val="004A12DF"/>
    <w:rsid w:val="004A1BA8"/>
    <w:rsid w:val="004A2382"/>
    <w:rsid w:val="004A4B57"/>
    <w:rsid w:val="004A63FA"/>
    <w:rsid w:val="004A6A3D"/>
    <w:rsid w:val="004B0272"/>
    <w:rsid w:val="004B0886"/>
    <w:rsid w:val="004B2701"/>
    <w:rsid w:val="004B2E1B"/>
    <w:rsid w:val="004B3AA8"/>
    <w:rsid w:val="004B3E93"/>
    <w:rsid w:val="004B60DD"/>
    <w:rsid w:val="004C0D28"/>
    <w:rsid w:val="004C1FBC"/>
    <w:rsid w:val="004C25A2"/>
    <w:rsid w:val="004C3F1D"/>
    <w:rsid w:val="004C458D"/>
    <w:rsid w:val="004C7556"/>
    <w:rsid w:val="004C7E8B"/>
    <w:rsid w:val="004C7E9D"/>
    <w:rsid w:val="004C7F67"/>
    <w:rsid w:val="004D076D"/>
    <w:rsid w:val="004D0EF1"/>
    <w:rsid w:val="004D2253"/>
    <w:rsid w:val="004D3EED"/>
    <w:rsid w:val="004D4406"/>
    <w:rsid w:val="004D7C42"/>
    <w:rsid w:val="004E0465"/>
    <w:rsid w:val="004E127B"/>
    <w:rsid w:val="004E1C0A"/>
    <w:rsid w:val="004E2EC9"/>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253"/>
    <w:rsid w:val="005073F0"/>
    <w:rsid w:val="00507FAF"/>
    <w:rsid w:val="00510A7B"/>
    <w:rsid w:val="00510F6D"/>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0330"/>
    <w:rsid w:val="00541853"/>
    <w:rsid w:val="00543BDA"/>
    <w:rsid w:val="005441CC"/>
    <w:rsid w:val="005479DA"/>
    <w:rsid w:val="00547BCC"/>
    <w:rsid w:val="0055013B"/>
    <w:rsid w:val="00551F6F"/>
    <w:rsid w:val="00555044"/>
    <w:rsid w:val="00561475"/>
    <w:rsid w:val="00562308"/>
    <w:rsid w:val="0056487B"/>
    <w:rsid w:val="00564FB9"/>
    <w:rsid w:val="00571B15"/>
    <w:rsid w:val="00573D9E"/>
    <w:rsid w:val="005801E3"/>
    <w:rsid w:val="00581802"/>
    <w:rsid w:val="00581806"/>
    <w:rsid w:val="005836A8"/>
    <w:rsid w:val="0058409C"/>
    <w:rsid w:val="00584262"/>
    <w:rsid w:val="00586630"/>
    <w:rsid w:val="00587ADD"/>
    <w:rsid w:val="00593A49"/>
    <w:rsid w:val="00595604"/>
    <w:rsid w:val="00596160"/>
    <w:rsid w:val="005966E2"/>
    <w:rsid w:val="00597007"/>
    <w:rsid w:val="005A0966"/>
    <w:rsid w:val="005A11B7"/>
    <w:rsid w:val="005A260B"/>
    <w:rsid w:val="005A4A1B"/>
    <w:rsid w:val="005A7830"/>
    <w:rsid w:val="005A7FCE"/>
    <w:rsid w:val="005B0F3F"/>
    <w:rsid w:val="005B191C"/>
    <w:rsid w:val="005B385E"/>
    <w:rsid w:val="005B4903"/>
    <w:rsid w:val="005B51CE"/>
    <w:rsid w:val="005B5885"/>
    <w:rsid w:val="005B5CD7"/>
    <w:rsid w:val="005B6CF6"/>
    <w:rsid w:val="005B7422"/>
    <w:rsid w:val="005C147D"/>
    <w:rsid w:val="005C29B8"/>
    <w:rsid w:val="005C5F21"/>
    <w:rsid w:val="005C7156"/>
    <w:rsid w:val="005D0C75"/>
    <w:rsid w:val="005D4171"/>
    <w:rsid w:val="005D6A95"/>
    <w:rsid w:val="005D6B2C"/>
    <w:rsid w:val="005D6D9C"/>
    <w:rsid w:val="005E13EF"/>
    <w:rsid w:val="005E2335"/>
    <w:rsid w:val="005E34CA"/>
    <w:rsid w:val="005E3C18"/>
    <w:rsid w:val="005E4250"/>
    <w:rsid w:val="005E6812"/>
    <w:rsid w:val="005E7881"/>
    <w:rsid w:val="005E78E0"/>
    <w:rsid w:val="005F0D9C"/>
    <w:rsid w:val="005F284E"/>
    <w:rsid w:val="005F4DC8"/>
    <w:rsid w:val="005F5171"/>
    <w:rsid w:val="006015CE"/>
    <w:rsid w:val="00603B8B"/>
    <w:rsid w:val="00604784"/>
    <w:rsid w:val="0060551F"/>
    <w:rsid w:val="00606419"/>
    <w:rsid w:val="00607D29"/>
    <w:rsid w:val="00612952"/>
    <w:rsid w:val="00613B93"/>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790"/>
    <w:rsid w:val="00641A1F"/>
    <w:rsid w:val="00642A63"/>
    <w:rsid w:val="00645904"/>
    <w:rsid w:val="00651ACB"/>
    <w:rsid w:val="00651C47"/>
    <w:rsid w:val="006528E7"/>
    <w:rsid w:val="00652AB2"/>
    <w:rsid w:val="00653FED"/>
    <w:rsid w:val="00654EC0"/>
    <w:rsid w:val="0065525B"/>
    <w:rsid w:val="00655D4F"/>
    <w:rsid w:val="00656D29"/>
    <w:rsid w:val="006640E5"/>
    <w:rsid w:val="006646F1"/>
    <w:rsid w:val="00664929"/>
    <w:rsid w:val="00664F62"/>
    <w:rsid w:val="006655E1"/>
    <w:rsid w:val="006707C4"/>
    <w:rsid w:val="00672060"/>
    <w:rsid w:val="00672BFD"/>
    <w:rsid w:val="006770F4"/>
    <w:rsid w:val="00677A84"/>
    <w:rsid w:val="0068026D"/>
    <w:rsid w:val="00680A27"/>
    <w:rsid w:val="00681597"/>
    <w:rsid w:val="006816A4"/>
    <w:rsid w:val="006819B8"/>
    <w:rsid w:val="00681B3E"/>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3BCC"/>
    <w:rsid w:val="006C5A62"/>
    <w:rsid w:val="006C5D68"/>
    <w:rsid w:val="006C6976"/>
    <w:rsid w:val="006C6DD0"/>
    <w:rsid w:val="006D04EA"/>
    <w:rsid w:val="006D16C4"/>
    <w:rsid w:val="006D2E71"/>
    <w:rsid w:val="006D3E96"/>
    <w:rsid w:val="006D4515"/>
    <w:rsid w:val="006D4A38"/>
    <w:rsid w:val="006D4BB1"/>
    <w:rsid w:val="006D5EDC"/>
    <w:rsid w:val="006D6359"/>
    <w:rsid w:val="006D6593"/>
    <w:rsid w:val="006D663E"/>
    <w:rsid w:val="006E3305"/>
    <w:rsid w:val="006E6137"/>
    <w:rsid w:val="006F03A8"/>
    <w:rsid w:val="006F2ACA"/>
    <w:rsid w:val="006F2ADC"/>
    <w:rsid w:val="006F2BFE"/>
    <w:rsid w:val="006F31E9"/>
    <w:rsid w:val="006F6284"/>
    <w:rsid w:val="007002C5"/>
    <w:rsid w:val="00704387"/>
    <w:rsid w:val="0070624D"/>
    <w:rsid w:val="00707669"/>
    <w:rsid w:val="00711CBA"/>
    <w:rsid w:val="00711FB5"/>
    <w:rsid w:val="00712A01"/>
    <w:rsid w:val="00714F58"/>
    <w:rsid w:val="00722FBF"/>
    <w:rsid w:val="00722FC2"/>
    <w:rsid w:val="00724E1B"/>
    <w:rsid w:val="00725949"/>
    <w:rsid w:val="00727CB6"/>
    <w:rsid w:val="00727FA2"/>
    <w:rsid w:val="007322D9"/>
    <w:rsid w:val="00732BC0"/>
    <w:rsid w:val="00735F85"/>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56F7"/>
    <w:rsid w:val="00776599"/>
    <w:rsid w:val="0078114B"/>
    <w:rsid w:val="00781DD2"/>
    <w:rsid w:val="00783ECF"/>
    <w:rsid w:val="0078413A"/>
    <w:rsid w:val="00787489"/>
    <w:rsid w:val="007959E8"/>
    <w:rsid w:val="00795E9C"/>
    <w:rsid w:val="007A0521"/>
    <w:rsid w:val="007A2E12"/>
    <w:rsid w:val="007A3475"/>
    <w:rsid w:val="007A41C8"/>
    <w:rsid w:val="007A54CE"/>
    <w:rsid w:val="007A5D3A"/>
    <w:rsid w:val="007A6FD9"/>
    <w:rsid w:val="007A74EC"/>
    <w:rsid w:val="007A7FFA"/>
    <w:rsid w:val="007B04EB"/>
    <w:rsid w:val="007B0D4F"/>
    <w:rsid w:val="007B5A3D"/>
    <w:rsid w:val="007B5B95"/>
    <w:rsid w:val="007B6032"/>
    <w:rsid w:val="007B68EA"/>
    <w:rsid w:val="007B7453"/>
    <w:rsid w:val="007C2CA9"/>
    <w:rsid w:val="007C2D89"/>
    <w:rsid w:val="007C4593"/>
    <w:rsid w:val="007C5309"/>
    <w:rsid w:val="007C6069"/>
    <w:rsid w:val="007C7F50"/>
    <w:rsid w:val="007D06C4"/>
    <w:rsid w:val="007D104A"/>
    <w:rsid w:val="007D1352"/>
    <w:rsid w:val="007D1C7F"/>
    <w:rsid w:val="007D2508"/>
    <w:rsid w:val="007D346A"/>
    <w:rsid w:val="007D6518"/>
    <w:rsid w:val="007D76BD"/>
    <w:rsid w:val="007E0BF1"/>
    <w:rsid w:val="007E1774"/>
    <w:rsid w:val="007F0ED8"/>
    <w:rsid w:val="007F0F63"/>
    <w:rsid w:val="007F75CE"/>
    <w:rsid w:val="008013A4"/>
    <w:rsid w:val="008027CE"/>
    <w:rsid w:val="00802F42"/>
    <w:rsid w:val="00804383"/>
    <w:rsid w:val="00804BB7"/>
    <w:rsid w:val="00804D41"/>
    <w:rsid w:val="00807268"/>
    <w:rsid w:val="00810257"/>
    <w:rsid w:val="008104F5"/>
    <w:rsid w:val="00811072"/>
    <w:rsid w:val="00811369"/>
    <w:rsid w:val="00815419"/>
    <w:rsid w:val="008163C8"/>
    <w:rsid w:val="008164A1"/>
    <w:rsid w:val="00817325"/>
    <w:rsid w:val="008209E6"/>
    <w:rsid w:val="00821D19"/>
    <w:rsid w:val="008223B0"/>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47283"/>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4546"/>
    <w:rsid w:val="008A57E6"/>
    <w:rsid w:val="008A6F81"/>
    <w:rsid w:val="008A769A"/>
    <w:rsid w:val="008A7F4C"/>
    <w:rsid w:val="008B0C9C"/>
    <w:rsid w:val="008B166D"/>
    <w:rsid w:val="008B17F4"/>
    <w:rsid w:val="008B31A2"/>
    <w:rsid w:val="008B3615"/>
    <w:rsid w:val="008B4AC4"/>
    <w:rsid w:val="008B50C8"/>
    <w:rsid w:val="008B5281"/>
    <w:rsid w:val="008B7E05"/>
    <w:rsid w:val="008C1797"/>
    <w:rsid w:val="008C219C"/>
    <w:rsid w:val="008C475E"/>
    <w:rsid w:val="008C619A"/>
    <w:rsid w:val="008D0CE8"/>
    <w:rsid w:val="008D2D1D"/>
    <w:rsid w:val="008D4351"/>
    <w:rsid w:val="008D453D"/>
    <w:rsid w:val="008D53AD"/>
    <w:rsid w:val="008D562B"/>
    <w:rsid w:val="008D5733"/>
    <w:rsid w:val="008D622B"/>
    <w:rsid w:val="008D666C"/>
    <w:rsid w:val="008D7B54"/>
    <w:rsid w:val="008E06DE"/>
    <w:rsid w:val="008E0C9D"/>
    <w:rsid w:val="008E1648"/>
    <w:rsid w:val="008E1B3E"/>
    <w:rsid w:val="008E2319"/>
    <w:rsid w:val="008E4BB6"/>
    <w:rsid w:val="008E5518"/>
    <w:rsid w:val="008E6A84"/>
    <w:rsid w:val="008E7B96"/>
    <w:rsid w:val="008F0CDC"/>
    <w:rsid w:val="008F17A3"/>
    <w:rsid w:val="008F1ED3"/>
    <w:rsid w:val="008F4C29"/>
    <w:rsid w:val="008F70BD"/>
    <w:rsid w:val="008F788F"/>
    <w:rsid w:val="008F7EA2"/>
    <w:rsid w:val="00901AD8"/>
    <w:rsid w:val="00902607"/>
    <w:rsid w:val="00902722"/>
    <w:rsid w:val="009027BC"/>
    <w:rsid w:val="009062E6"/>
    <w:rsid w:val="00911BE5"/>
    <w:rsid w:val="00912CDD"/>
    <w:rsid w:val="00913CA9"/>
    <w:rsid w:val="009145AE"/>
    <w:rsid w:val="009146CE"/>
    <w:rsid w:val="00914CA7"/>
    <w:rsid w:val="00915C3E"/>
    <w:rsid w:val="009161A8"/>
    <w:rsid w:val="009245AE"/>
    <w:rsid w:val="009245F5"/>
    <w:rsid w:val="009249EC"/>
    <w:rsid w:val="009273B3"/>
    <w:rsid w:val="009305B5"/>
    <w:rsid w:val="0093313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184A"/>
    <w:rsid w:val="0098364B"/>
    <w:rsid w:val="009908A3"/>
    <w:rsid w:val="009911AF"/>
    <w:rsid w:val="00991875"/>
    <w:rsid w:val="00991F92"/>
    <w:rsid w:val="00992985"/>
    <w:rsid w:val="00993889"/>
    <w:rsid w:val="0099551B"/>
    <w:rsid w:val="00996A51"/>
    <w:rsid w:val="00996BD2"/>
    <w:rsid w:val="00997BF1"/>
    <w:rsid w:val="009A089C"/>
    <w:rsid w:val="009A118E"/>
    <w:rsid w:val="009A21CD"/>
    <w:rsid w:val="009A278C"/>
    <w:rsid w:val="009A2BC2"/>
    <w:rsid w:val="009A42C1"/>
    <w:rsid w:val="009A5429"/>
    <w:rsid w:val="009A6CED"/>
    <w:rsid w:val="009A7143"/>
    <w:rsid w:val="009A72AD"/>
    <w:rsid w:val="009B024A"/>
    <w:rsid w:val="009B0328"/>
    <w:rsid w:val="009B09E0"/>
    <w:rsid w:val="009B0BC5"/>
    <w:rsid w:val="009B1247"/>
    <w:rsid w:val="009B6029"/>
    <w:rsid w:val="009B6971"/>
    <w:rsid w:val="009C1706"/>
    <w:rsid w:val="009C27F1"/>
    <w:rsid w:val="009C3152"/>
    <w:rsid w:val="009C3257"/>
    <w:rsid w:val="009C4CFA"/>
    <w:rsid w:val="009C5070"/>
    <w:rsid w:val="009D112C"/>
    <w:rsid w:val="009D1385"/>
    <w:rsid w:val="009D47FA"/>
    <w:rsid w:val="009D4C5B"/>
    <w:rsid w:val="009D50D2"/>
    <w:rsid w:val="009D6BCA"/>
    <w:rsid w:val="009D79A2"/>
    <w:rsid w:val="009E02D0"/>
    <w:rsid w:val="009E0F62"/>
    <w:rsid w:val="009E4A58"/>
    <w:rsid w:val="009E4FC9"/>
    <w:rsid w:val="009E5A2D"/>
    <w:rsid w:val="009E5AB2"/>
    <w:rsid w:val="009E6219"/>
    <w:rsid w:val="009F03B3"/>
    <w:rsid w:val="00A0096C"/>
    <w:rsid w:val="00A01757"/>
    <w:rsid w:val="00A028C0"/>
    <w:rsid w:val="00A0295A"/>
    <w:rsid w:val="00A02BAE"/>
    <w:rsid w:val="00A06A6B"/>
    <w:rsid w:val="00A07E47"/>
    <w:rsid w:val="00A129D0"/>
    <w:rsid w:val="00A12C33"/>
    <w:rsid w:val="00A138BA"/>
    <w:rsid w:val="00A1422E"/>
    <w:rsid w:val="00A14C8E"/>
    <w:rsid w:val="00A153D9"/>
    <w:rsid w:val="00A15F09"/>
    <w:rsid w:val="00A169B6"/>
    <w:rsid w:val="00A2052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3205"/>
    <w:rsid w:val="00A4452E"/>
    <w:rsid w:val="00A4472C"/>
    <w:rsid w:val="00A44E69"/>
    <w:rsid w:val="00A4661E"/>
    <w:rsid w:val="00A47942"/>
    <w:rsid w:val="00A55BD6"/>
    <w:rsid w:val="00A55D50"/>
    <w:rsid w:val="00A57142"/>
    <w:rsid w:val="00A648CD"/>
    <w:rsid w:val="00A6537A"/>
    <w:rsid w:val="00A67866"/>
    <w:rsid w:val="00A70B07"/>
    <w:rsid w:val="00A723F8"/>
    <w:rsid w:val="00A77CCB"/>
    <w:rsid w:val="00A83D8D"/>
    <w:rsid w:val="00A83EC9"/>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A7DD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48CF"/>
    <w:rsid w:val="00AE5EB4"/>
    <w:rsid w:val="00AF0C18"/>
    <w:rsid w:val="00AF47C5"/>
    <w:rsid w:val="00AF5398"/>
    <w:rsid w:val="00B049AF"/>
    <w:rsid w:val="00B07242"/>
    <w:rsid w:val="00B10534"/>
    <w:rsid w:val="00B113DB"/>
    <w:rsid w:val="00B11D8A"/>
    <w:rsid w:val="00B12981"/>
    <w:rsid w:val="00B147DD"/>
    <w:rsid w:val="00B1555C"/>
    <w:rsid w:val="00B156FD"/>
    <w:rsid w:val="00B16457"/>
    <w:rsid w:val="00B21F61"/>
    <w:rsid w:val="00B261F1"/>
    <w:rsid w:val="00B265BC"/>
    <w:rsid w:val="00B31FB1"/>
    <w:rsid w:val="00B32E66"/>
    <w:rsid w:val="00B33952"/>
    <w:rsid w:val="00B33C5E"/>
    <w:rsid w:val="00B342F4"/>
    <w:rsid w:val="00B34369"/>
    <w:rsid w:val="00B34DC2"/>
    <w:rsid w:val="00B378E5"/>
    <w:rsid w:val="00B40C64"/>
    <w:rsid w:val="00B4346D"/>
    <w:rsid w:val="00B440F4"/>
    <w:rsid w:val="00B447A5"/>
    <w:rsid w:val="00B4654C"/>
    <w:rsid w:val="00B47293"/>
    <w:rsid w:val="00B50E50"/>
    <w:rsid w:val="00B52120"/>
    <w:rsid w:val="00B54ABC"/>
    <w:rsid w:val="00B56FBE"/>
    <w:rsid w:val="00B60ACF"/>
    <w:rsid w:val="00B62B58"/>
    <w:rsid w:val="00B63999"/>
    <w:rsid w:val="00B65149"/>
    <w:rsid w:val="00B66567"/>
    <w:rsid w:val="00B66F52"/>
    <w:rsid w:val="00B66FE5"/>
    <w:rsid w:val="00B72880"/>
    <w:rsid w:val="00B758BF"/>
    <w:rsid w:val="00B77EC8"/>
    <w:rsid w:val="00B827A6"/>
    <w:rsid w:val="00B831CE"/>
    <w:rsid w:val="00B86677"/>
    <w:rsid w:val="00B87131"/>
    <w:rsid w:val="00B939B1"/>
    <w:rsid w:val="00B958AD"/>
    <w:rsid w:val="00B96D40"/>
    <w:rsid w:val="00B97386"/>
    <w:rsid w:val="00BA13EC"/>
    <w:rsid w:val="00BA263B"/>
    <w:rsid w:val="00BA42B2"/>
    <w:rsid w:val="00BA58D4"/>
    <w:rsid w:val="00BA5B9E"/>
    <w:rsid w:val="00BA755F"/>
    <w:rsid w:val="00BA7C9A"/>
    <w:rsid w:val="00BB59CA"/>
    <w:rsid w:val="00BB5F8F"/>
    <w:rsid w:val="00BB657A"/>
    <w:rsid w:val="00BC1A4E"/>
    <w:rsid w:val="00BC5DC7"/>
    <w:rsid w:val="00BC6B8B"/>
    <w:rsid w:val="00BC73D8"/>
    <w:rsid w:val="00BD2D6B"/>
    <w:rsid w:val="00BD52D7"/>
    <w:rsid w:val="00BD5AD2"/>
    <w:rsid w:val="00BE22F3"/>
    <w:rsid w:val="00BE5B52"/>
    <w:rsid w:val="00BE7B8D"/>
    <w:rsid w:val="00BF0993"/>
    <w:rsid w:val="00BF10A9"/>
    <w:rsid w:val="00BF1703"/>
    <w:rsid w:val="00BF231C"/>
    <w:rsid w:val="00BF3E10"/>
    <w:rsid w:val="00BF51E5"/>
    <w:rsid w:val="00BF74A6"/>
    <w:rsid w:val="00C013AD"/>
    <w:rsid w:val="00C04904"/>
    <w:rsid w:val="00C056B3"/>
    <w:rsid w:val="00C10272"/>
    <w:rsid w:val="00C103E5"/>
    <w:rsid w:val="00C10F74"/>
    <w:rsid w:val="00C13319"/>
    <w:rsid w:val="00C13777"/>
    <w:rsid w:val="00C13EE9"/>
    <w:rsid w:val="00C21540"/>
    <w:rsid w:val="00C21906"/>
    <w:rsid w:val="00C21BFA"/>
    <w:rsid w:val="00C24C8D"/>
    <w:rsid w:val="00C25A2C"/>
    <w:rsid w:val="00C25FC7"/>
    <w:rsid w:val="00C25FE2"/>
    <w:rsid w:val="00C26B53"/>
    <w:rsid w:val="00C26CFA"/>
    <w:rsid w:val="00C279B2"/>
    <w:rsid w:val="00C31AE5"/>
    <w:rsid w:val="00C31B0B"/>
    <w:rsid w:val="00C33E50"/>
    <w:rsid w:val="00C34C20"/>
    <w:rsid w:val="00C35A3E"/>
    <w:rsid w:val="00C3600B"/>
    <w:rsid w:val="00C42130"/>
    <w:rsid w:val="00C423A4"/>
    <w:rsid w:val="00C423E3"/>
    <w:rsid w:val="00C43B6E"/>
    <w:rsid w:val="00C44BF5"/>
    <w:rsid w:val="00C521D6"/>
    <w:rsid w:val="00C5340A"/>
    <w:rsid w:val="00C55232"/>
    <w:rsid w:val="00C553A4"/>
    <w:rsid w:val="00C55A06"/>
    <w:rsid w:val="00C55D03"/>
    <w:rsid w:val="00C601BC"/>
    <w:rsid w:val="00C6329F"/>
    <w:rsid w:val="00C63340"/>
    <w:rsid w:val="00C643F9"/>
    <w:rsid w:val="00C64E95"/>
    <w:rsid w:val="00C70ABB"/>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967F1"/>
    <w:rsid w:val="00CA2D1B"/>
    <w:rsid w:val="00CA375D"/>
    <w:rsid w:val="00CA662A"/>
    <w:rsid w:val="00CA7AFD"/>
    <w:rsid w:val="00CA7C3C"/>
    <w:rsid w:val="00CB0189"/>
    <w:rsid w:val="00CB0712"/>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63B4"/>
    <w:rsid w:val="00CF048A"/>
    <w:rsid w:val="00CF074D"/>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0D43"/>
    <w:rsid w:val="00D32719"/>
    <w:rsid w:val="00D33333"/>
    <w:rsid w:val="00D352A2"/>
    <w:rsid w:val="00D4162B"/>
    <w:rsid w:val="00D4514F"/>
    <w:rsid w:val="00D451E2"/>
    <w:rsid w:val="00D45E89"/>
    <w:rsid w:val="00D45E8D"/>
    <w:rsid w:val="00D466AE"/>
    <w:rsid w:val="00D4734F"/>
    <w:rsid w:val="00D51BF3"/>
    <w:rsid w:val="00D56070"/>
    <w:rsid w:val="00D66846"/>
    <w:rsid w:val="00D675FB"/>
    <w:rsid w:val="00D71F25"/>
    <w:rsid w:val="00D72A9C"/>
    <w:rsid w:val="00D77031"/>
    <w:rsid w:val="00D84941"/>
    <w:rsid w:val="00D84FA1"/>
    <w:rsid w:val="00D851F0"/>
    <w:rsid w:val="00D86DB7"/>
    <w:rsid w:val="00D87BF5"/>
    <w:rsid w:val="00D90721"/>
    <w:rsid w:val="00D90887"/>
    <w:rsid w:val="00D926D0"/>
    <w:rsid w:val="00D93030"/>
    <w:rsid w:val="00D94476"/>
    <w:rsid w:val="00D950E1"/>
    <w:rsid w:val="00D952A6"/>
    <w:rsid w:val="00D97F99"/>
    <w:rsid w:val="00DA1E08"/>
    <w:rsid w:val="00DA24F8"/>
    <w:rsid w:val="00DA28E8"/>
    <w:rsid w:val="00DA38D3"/>
    <w:rsid w:val="00DA3932"/>
    <w:rsid w:val="00DA3AFC"/>
    <w:rsid w:val="00DA64F8"/>
    <w:rsid w:val="00DA6C15"/>
    <w:rsid w:val="00DA7331"/>
    <w:rsid w:val="00DB0258"/>
    <w:rsid w:val="00DB38EE"/>
    <w:rsid w:val="00DB498B"/>
    <w:rsid w:val="00DB66CA"/>
    <w:rsid w:val="00DB6BCA"/>
    <w:rsid w:val="00DB6F54"/>
    <w:rsid w:val="00DB73F7"/>
    <w:rsid w:val="00DB7670"/>
    <w:rsid w:val="00DC0321"/>
    <w:rsid w:val="00DC3067"/>
    <w:rsid w:val="00DC370B"/>
    <w:rsid w:val="00DC56CD"/>
    <w:rsid w:val="00DC5B90"/>
    <w:rsid w:val="00DD00FF"/>
    <w:rsid w:val="00DD012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9D3"/>
    <w:rsid w:val="00E01138"/>
    <w:rsid w:val="00E02DFB"/>
    <w:rsid w:val="00E02E5F"/>
    <w:rsid w:val="00E030F9"/>
    <w:rsid w:val="00E0311A"/>
    <w:rsid w:val="00E03138"/>
    <w:rsid w:val="00E06404"/>
    <w:rsid w:val="00E0680A"/>
    <w:rsid w:val="00E11A85"/>
    <w:rsid w:val="00E12495"/>
    <w:rsid w:val="00E15CCD"/>
    <w:rsid w:val="00E202EF"/>
    <w:rsid w:val="00E210B5"/>
    <w:rsid w:val="00E2552F"/>
    <w:rsid w:val="00E3137A"/>
    <w:rsid w:val="00E32CCF"/>
    <w:rsid w:val="00E34A98"/>
    <w:rsid w:val="00E35D1E"/>
    <w:rsid w:val="00E364F9"/>
    <w:rsid w:val="00E365FA"/>
    <w:rsid w:val="00E36789"/>
    <w:rsid w:val="00E41520"/>
    <w:rsid w:val="00E44A83"/>
    <w:rsid w:val="00E46E19"/>
    <w:rsid w:val="00E502C1"/>
    <w:rsid w:val="00E502DD"/>
    <w:rsid w:val="00E508CC"/>
    <w:rsid w:val="00E50D3A"/>
    <w:rsid w:val="00E51387"/>
    <w:rsid w:val="00E51E68"/>
    <w:rsid w:val="00E52EFD"/>
    <w:rsid w:val="00E532FD"/>
    <w:rsid w:val="00E53B2A"/>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768"/>
    <w:rsid w:val="00E95D13"/>
    <w:rsid w:val="00E95DD3"/>
    <w:rsid w:val="00E969D5"/>
    <w:rsid w:val="00EA345C"/>
    <w:rsid w:val="00EA58D1"/>
    <w:rsid w:val="00EA61BC"/>
    <w:rsid w:val="00EA681A"/>
    <w:rsid w:val="00EA735B"/>
    <w:rsid w:val="00EB1E69"/>
    <w:rsid w:val="00EB2086"/>
    <w:rsid w:val="00EB31ED"/>
    <w:rsid w:val="00EB5EDF"/>
    <w:rsid w:val="00EB60FE"/>
    <w:rsid w:val="00EB74DB"/>
    <w:rsid w:val="00EC5359"/>
    <w:rsid w:val="00EC562A"/>
    <w:rsid w:val="00ED067A"/>
    <w:rsid w:val="00ED0B87"/>
    <w:rsid w:val="00ED2B50"/>
    <w:rsid w:val="00ED67BB"/>
    <w:rsid w:val="00EE0350"/>
    <w:rsid w:val="00EE0719"/>
    <w:rsid w:val="00EE0E80"/>
    <w:rsid w:val="00EE613F"/>
    <w:rsid w:val="00EE6FB1"/>
    <w:rsid w:val="00EE7295"/>
    <w:rsid w:val="00EE7869"/>
    <w:rsid w:val="00EF054A"/>
    <w:rsid w:val="00EF3235"/>
    <w:rsid w:val="00EF7A68"/>
    <w:rsid w:val="00EF7E72"/>
    <w:rsid w:val="00F06D37"/>
    <w:rsid w:val="00F07B9D"/>
    <w:rsid w:val="00F11586"/>
    <w:rsid w:val="00F1183B"/>
    <w:rsid w:val="00F11C9F"/>
    <w:rsid w:val="00F11DBA"/>
    <w:rsid w:val="00F12263"/>
    <w:rsid w:val="00F1409D"/>
    <w:rsid w:val="00F140B3"/>
    <w:rsid w:val="00F14214"/>
    <w:rsid w:val="00F157A9"/>
    <w:rsid w:val="00F16F00"/>
    <w:rsid w:val="00F25BB6"/>
    <w:rsid w:val="00F26B7E"/>
    <w:rsid w:val="00F27A3B"/>
    <w:rsid w:val="00F32780"/>
    <w:rsid w:val="00F33817"/>
    <w:rsid w:val="00F37588"/>
    <w:rsid w:val="00F420D5"/>
    <w:rsid w:val="00F451EA"/>
    <w:rsid w:val="00F45447"/>
    <w:rsid w:val="00F456C6"/>
    <w:rsid w:val="00F4577B"/>
    <w:rsid w:val="00F46496"/>
    <w:rsid w:val="00F474D0"/>
    <w:rsid w:val="00F50179"/>
    <w:rsid w:val="00F515EE"/>
    <w:rsid w:val="00F56511"/>
    <w:rsid w:val="00F57891"/>
    <w:rsid w:val="00F6194E"/>
    <w:rsid w:val="00F623AC"/>
    <w:rsid w:val="00F6412A"/>
    <w:rsid w:val="00F65893"/>
    <w:rsid w:val="00F66A4A"/>
    <w:rsid w:val="00F71E22"/>
    <w:rsid w:val="00F72142"/>
    <w:rsid w:val="00F72AE7"/>
    <w:rsid w:val="00F833BA"/>
    <w:rsid w:val="00F84FD0"/>
    <w:rsid w:val="00F859A8"/>
    <w:rsid w:val="00F86D87"/>
    <w:rsid w:val="00F90A79"/>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0F8F"/>
    <w:rsid w:val="00FF3E7D"/>
    <w:rsid w:val="00FF45B3"/>
    <w:rsid w:val="00FF5B99"/>
    <w:rsid w:val="00FF730C"/>
    <w:rsid w:val="00FF73F4"/>
    <w:rsid w:val="00FF7CE4"/>
    <w:rsid w:val="00FF7E39"/>
    <w:rsid w:val="333F1EC1"/>
    <w:rsid w:val="43040332"/>
    <w:rsid w:val="7DCB3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6"/>
    <w:semiHidden/>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7"/>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b/>
      <w:bCs/>
      <w:kern w:val="44"/>
      <w:sz w:val="44"/>
      <w:szCs w:val="44"/>
    </w:rPr>
  </w:style>
  <w:style w:type="character" w:customStyle="1" w:styleId="38">
    <w:name w:val="标题 2 字符"/>
    <w:link w:val="3"/>
    <w:qFormat/>
    <w:uiPriority w:val="0"/>
    <w:rPr>
      <w:rFonts w:ascii="Arial" w:hAnsi="Arial" w:eastAsia="黑体"/>
      <w:b/>
      <w:bCs/>
      <w:kern w:val="2"/>
      <w:sz w:val="32"/>
      <w:szCs w:val="32"/>
    </w:rPr>
  </w:style>
  <w:style w:type="character" w:customStyle="1" w:styleId="39">
    <w:name w:val="标题 3 字符"/>
    <w:link w:val="4"/>
    <w:qFormat/>
    <w:uiPriority w:val="0"/>
    <w:rPr>
      <w:b/>
      <w:bCs/>
      <w:kern w:val="2"/>
      <w:sz w:val="32"/>
      <w:szCs w:val="32"/>
    </w:rPr>
  </w:style>
  <w:style w:type="character" w:customStyle="1" w:styleId="40">
    <w:name w:val="标题 4 字符"/>
    <w:link w:val="5"/>
    <w:qFormat/>
    <w:uiPriority w:val="0"/>
    <w:rPr>
      <w:rFonts w:ascii="Arial" w:hAnsi="Arial" w:eastAsia="黑体"/>
      <w:b/>
      <w:bCs/>
      <w:kern w:val="2"/>
      <w:sz w:val="28"/>
      <w:szCs w:val="28"/>
    </w:rPr>
  </w:style>
  <w:style w:type="character" w:customStyle="1" w:styleId="41">
    <w:name w:val="标题 5 字符"/>
    <w:link w:val="6"/>
    <w:qFormat/>
    <w:uiPriority w:val="0"/>
    <w:rPr>
      <w:b/>
      <w:bCs/>
      <w:kern w:val="2"/>
      <w:sz w:val="28"/>
      <w:szCs w:val="28"/>
    </w:rPr>
  </w:style>
  <w:style w:type="character" w:customStyle="1" w:styleId="42">
    <w:name w:val="标题 6 字符"/>
    <w:link w:val="7"/>
    <w:qFormat/>
    <w:uiPriority w:val="0"/>
    <w:rPr>
      <w:rFonts w:ascii="Arial" w:hAnsi="Arial" w:eastAsia="黑体"/>
      <w:b/>
      <w:bCs/>
      <w:kern w:val="2"/>
      <w:sz w:val="24"/>
      <w:szCs w:val="24"/>
    </w:rPr>
  </w:style>
  <w:style w:type="character" w:customStyle="1" w:styleId="43">
    <w:name w:val="标题 7 字符"/>
    <w:link w:val="8"/>
    <w:qFormat/>
    <w:uiPriority w:val="0"/>
    <w:rPr>
      <w:b/>
      <w:bCs/>
      <w:kern w:val="2"/>
      <w:sz w:val="24"/>
      <w:szCs w:val="24"/>
    </w:rPr>
  </w:style>
  <w:style w:type="character" w:customStyle="1" w:styleId="44">
    <w:name w:val="标题 8 字符"/>
    <w:link w:val="9"/>
    <w:qFormat/>
    <w:uiPriority w:val="0"/>
    <w:rPr>
      <w:rFonts w:ascii="Arial" w:hAnsi="Arial" w:eastAsia="黑体"/>
      <w:kern w:val="2"/>
      <w:sz w:val="24"/>
      <w:szCs w:val="24"/>
    </w:rPr>
  </w:style>
  <w:style w:type="character" w:customStyle="1" w:styleId="45">
    <w:name w:val="标题 9 字符"/>
    <w:link w:val="10"/>
    <w:qFormat/>
    <w:uiPriority w:val="0"/>
    <w:rPr>
      <w:rFonts w:ascii="Arial" w:hAnsi="Arial" w:eastAsia="黑体"/>
      <w:kern w:val="2"/>
      <w:sz w:val="21"/>
      <w:szCs w:val="21"/>
    </w:rPr>
  </w:style>
  <w:style w:type="character" w:customStyle="1" w:styleId="46">
    <w:name w:val="页眉 字符"/>
    <w:link w:val="19"/>
    <w:qFormat/>
    <w:uiPriority w:val="99"/>
    <w:rPr>
      <w:kern w:val="2"/>
      <w:sz w:val="18"/>
      <w:szCs w:val="18"/>
    </w:rPr>
  </w:style>
  <w:style w:type="character" w:customStyle="1" w:styleId="47">
    <w:name w:val="页脚 字符"/>
    <w:link w:val="18"/>
    <w:qFormat/>
    <w:uiPriority w:val="99"/>
    <w:rPr>
      <w:rFonts w:ascii="宋体"/>
      <w:kern w:val="2"/>
      <w:sz w:val="18"/>
      <w:szCs w:val="18"/>
    </w:rPr>
  </w:style>
  <w:style w:type="character" w:customStyle="1" w:styleId="48">
    <w:name w:val="批注框文本 字符"/>
    <w:link w:val="17"/>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kern w:val="2"/>
      <w:sz w:val="21"/>
      <w:szCs w:val="21"/>
    </w:rPr>
  </w:style>
  <w:style w:type="character" w:customStyle="1" w:styleId="51">
    <w:name w:val="标题 字符"/>
    <w:link w:val="26"/>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kern w:val="2"/>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numPr>
        <w:numId w:val="0"/>
      </w:num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paragraph" w:customStyle="1" w:styleId="233">
    <w:name w:val="段"/>
    <w:link w:val="23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34">
    <w:name w:val="段 Char"/>
    <w:link w:val="233"/>
    <w:qFormat/>
    <w:uiPriority w:val="0"/>
    <w:rPr>
      <w:rFonts w:ascii="宋体" w:hAnsi="Times New Roman"/>
      <w:sz w:val="21"/>
    </w:rPr>
  </w:style>
  <w:style w:type="table" w:customStyle="1" w:styleId="235">
    <w:name w:val="网格型2"/>
    <w:basedOn w:val="28"/>
    <w:qFormat/>
    <w:uiPriority w:val="0"/>
    <w:pPr>
      <w:numPr>
        <w:numId w:val="23"/>
      </w:numPr>
    </w:pPr>
    <w:rPr>
      <w:rFonts w:ascii="宋体" w:hAnsi="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36">
    <w:name w:val="批注文字 字符"/>
    <w:basedOn w:val="30"/>
    <w:link w:val="13"/>
    <w:semiHidden/>
    <w:qFormat/>
    <w:uiPriority w:val="99"/>
    <w:rPr>
      <w:kern w:val="2"/>
      <w:sz w:val="21"/>
      <w:szCs w:val="21"/>
    </w:rPr>
  </w:style>
  <w:style w:type="character" w:customStyle="1" w:styleId="237">
    <w:name w:val="批注主题 字符"/>
    <w:basedOn w:val="236"/>
    <w:link w:val="27"/>
    <w:semiHidden/>
    <w:qFormat/>
    <w:uiPriority w:val="99"/>
    <w:rPr>
      <w:b/>
      <w:bCs/>
      <w:kern w:val="2"/>
      <w:sz w:val="21"/>
      <w:szCs w:val="21"/>
    </w:rPr>
  </w:style>
  <w:style w:type="paragraph" w:customStyle="1" w:styleId="238">
    <w:name w:val="数字编号列项（二级）"/>
    <w:qFormat/>
    <w:uiPriority w:val="0"/>
    <w:pPr>
      <w:numPr>
        <w:ilvl w:val="1"/>
        <w:numId w:val="32"/>
      </w:numPr>
      <w:jc w:val="both"/>
    </w:pPr>
    <w:rPr>
      <w:rFonts w:ascii="宋体" w:hAnsi="Times New Roman" w:eastAsia="宋体" w:cs="Times New Roman"/>
      <w:sz w:val="21"/>
      <w:lang w:val="en-US" w:eastAsia="zh-CN" w:bidi="ar-SA"/>
    </w:rPr>
  </w:style>
  <w:style w:type="paragraph" w:customStyle="1" w:styleId="239">
    <w:name w:val="字母编号列项（一级）"/>
    <w:link w:val="240"/>
    <w:qFormat/>
    <w:uiPriority w:val="0"/>
    <w:pPr>
      <w:numPr>
        <w:ilvl w:val="0"/>
        <w:numId w:val="32"/>
      </w:numPr>
      <w:jc w:val="both"/>
    </w:pPr>
    <w:rPr>
      <w:rFonts w:ascii="宋体" w:hAnsi="Times New Roman" w:eastAsia="宋体" w:cs="Times New Roman"/>
      <w:sz w:val="21"/>
      <w:lang w:val="en-US" w:eastAsia="zh-CN" w:bidi="ar-SA"/>
    </w:rPr>
  </w:style>
  <w:style w:type="character" w:customStyle="1" w:styleId="240">
    <w:name w:val="字母编号列项（一级） Char"/>
    <w:link w:val="239"/>
    <w:qFormat/>
    <w:uiPriority w:val="0"/>
    <w:rPr>
      <w:rFonts w:ascii="宋体" w:hAnsi="Times New Roman"/>
      <w:sz w:val="21"/>
    </w:rPr>
  </w:style>
  <w:style w:type="paragraph" w:customStyle="1" w:styleId="241">
    <w:name w:val="修订1"/>
    <w:hidden/>
    <w:semiHidden/>
    <w:qFormat/>
    <w:uiPriority w:val="99"/>
    <w:rPr>
      <w:rFonts w:ascii="Calibri" w:hAnsi="Calibri" w:eastAsia="宋体" w:cs="Times New Roman"/>
      <w:kern w:val="2"/>
      <w:sz w:val="21"/>
      <w:szCs w:val="21"/>
      <w:lang w:val="en-US" w:eastAsia="zh-CN" w:bidi="ar-SA"/>
    </w:rPr>
  </w:style>
  <w:style w:type="paragraph" w:customStyle="1" w:styleId="242">
    <w:name w:val="Revision"/>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8F679772FFB4E31B7CC59A0C1BCD73D"/>
        <w:style w:val=""/>
        <w:category>
          <w:name w:val="常规"/>
          <w:gallery w:val="placeholder"/>
        </w:category>
        <w:types>
          <w:type w:val="bbPlcHdr"/>
        </w:types>
        <w:behaviors>
          <w:behavior w:val="content"/>
        </w:behaviors>
        <w:description w:val=""/>
        <w:guid w:val="{3D71C0DF-8ABF-46F7-83F7-EBFA552F4592}"/>
      </w:docPartPr>
      <w:docPartBody>
        <w:p>
          <w:pPr>
            <w:pStyle w:val="5"/>
          </w:pPr>
          <w:r>
            <w:rPr>
              <w:rStyle w:val="4"/>
              <w:rFonts w:hint="eastAsia"/>
            </w:rPr>
            <w:t>单击或点击此处输入文字。</w:t>
          </w:r>
        </w:p>
      </w:docPartBody>
    </w:docPart>
    <w:docPart>
      <w:docPartPr>
        <w:name w:val="C8EEFA9B7EC7458AB9102B3086573F99"/>
        <w:style w:val=""/>
        <w:category>
          <w:name w:val="常规"/>
          <w:gallery w:val="placeholder"/>
        </w:category>
        <w:types>
          <w:type w:val="bbPlcHdr"/>
        </w:types>
        <w:behaviors>
          <w:behavior w:val="content"/>
        </w:behaviors>
        <w:description w:val=""/>
        <w:guid w:val="{27315097-7C0C-4FC5-BC2B-BB17D2AF9604}"/>
      </w:docPartPr>
      <w:docPartBody>
        <w:p>
          <w:pPr>
            <w:pStyle w:val="6"/>
          </w:pPr>
          <w:r>
            <w:rPr>
              <w:rStyle w:val="4"/>
              <w:rFonts w:hint="eastAsia"/>
            </w:rPr>
            <w:t>选择一项。</w:t>
          </w:r>
        </w:p>
      </w:docPartBody>
    </w:docPart>
    <w:docPart>
      <w:docPartPr>
        <w:name w:val="DF45317F6CA94790B27EBEA0F57C2044"/>
        <w:style w:val=""/>
        <w:category>
          <w:name w:val="常规"/>
          <w:gallery w:val="placeholder"/>
        </w:category>
        <w:types>
          <w:type w:val="bbPlcHdr"/>
        </w:types>
        <w:behaviors>
          <w:behavior w:val="content"/>
        </w:behaviors>
        <w:description w:val=""/>
        <w:guid w:val="{B69254E6-41B2-4B7B-80ED-B3780EB5AEAE}"/>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C5C"/>
    <w:rsid w:val="0008187F"/>
    <w:rsid w:val="001136BC"/>
    <w:rsid w:val="00152BF2"/>
    <w:rsid w:val="00347A8A"/>
    <w:rsid w:val="00396DCE"/>
    <w:rsid w:val="00486D36"/>
    <w:rsid w:val="00493EBC"/>
    <w:rsid w:val="00504186"/>
    <w:rsid w:val="005A7AB0"/>
    <w:rsid w:val="005F2C5C"/>
    <w:rsid w:val="00627742"/>
    <w:rsid w:val="006C4276"/>
    <w:rsid w:val="007C3E32"/>
    <w:rsid w:val="007D1291"/>
    <w:rsid w:val="0081353E"/>
    <w:rsid w:val="00823018"/>
    <w:rsid w:val="008540E6"/>
    <w:rsid w:val="009C7929"/>
    <w:rsid w:val="009D4017"/>
    <w:rsid w:val="009E2587"/>
    <w:rsid w:val="00A24207"/>
    <w:rsid w:val="00B026DD"/>
    <w:rsid w:val="00BC075B"/>
    <w:rsid w:val="00CF7069"/>
    <w:rsid w:val="00D16D55"/>
    <w:rsid w:val="00DB16BB"/>
    <w:rsid w:val="00ED63DD"/>
    <w:rsid w:val="00EF5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18F679772FFB4E31B7CC59A0C1BCD73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C8EEFA9B7EC7458AB9102B3086573F9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F45317F6CA94790B27EBEA0F57C2044"/>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17D85B-D6C3-48F9-BD20-225FAC457FEE}">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20</Pages>
  <Words>3086</Words>
  <Characters>17594</Characters>
  <Lines>146</Lines>
  <Paragraphs>41</Paragraphs>
  <TotalTime>0</TotalTime>
  <ScaleCrop>false</ScaleCrop>
  <LinksUpToDate>false</LinksUpToDate>
  <CharactersWithSpaces>20639</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2023-10-31T14:21:00Z</dcterms:created>
  <dc:creator>王双</dc:creator>
  <dc:description>&lt;config cover="true" show_menu="true" version="1.0.0" doctype="SDKXY"&gt;_x000d_
&lt;/config&gt;</dc:description>
  <cp:lastModifiedBy>颜超逸</cp:lastModifiedBy>
  <cp:lastPrinted>2023-10-23T03:05:00Z</cp:lastPrinted>
  <dcterms:modified xsi:type="dcterms:W3CDTF">2023-11-10T08:07:11Z</dcterms:modified>
  <dc:title>团体标准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2052-12.1.0.15933</vt:lpwstr>
  </property>
  <property fmtid="{D5CDD505-2E9C-101B-9397-08002B2CF9AE}" pid="15" name="ICV">
    <vt:lpwstr>238237255C2844AA90A515C87F7543F2</vt:lpwstr>
  </property>
</Properties>
</file>