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0"/>
        <w:framePr w:vAnchor="page" w:hAnchor="page" w:x="1437" w:y="62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ICS 67.140.10</w:t>
      </w:r>
    </w:p>
    <w:p>
      <w:pPr>
        <w:pStyle w:val="120"/>
        <w:framePr w:vAnchor="page" w:hAnchor="page" w:x="1437" w:y="62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extAlignment w:val="center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</w:rPr>
        <w:t>X 55</w:t>
      </w:r>
    </w:p>
    <w:tbl>
      <w:tblPr>
        <w:tblStyle w:val="31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120"/>
              <w:framePr w:vAnchor="page" w:hAnchor="page" w:x="1437" w:y="627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pStyle w:val="107"/>
        <w:rPr>
          <w:rFonts w:hint="default" w:ascii="Times New Roman" w:hAnsi="Times New Roman" w:eastAsia="黑体" w:cs="Times New Roman"/>
          <w:b w:val="0"/>
          <w:bCs w:val="0"/>
          <w:color w:val="auto"/>
          <w:sz w:val="84"/>
          <w:szCs w:val="8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84"/>
          <w:szCs w:val="84"/>
          <w:lang w:val="en-US" w:eastAsia="zh-CN"/>
        </w:rPr>
        <w:t>团体标准</w:t>
      </w:r>
    </w:p>
    <w:p>
      <w:pPr>
        <w:pStyle w:val="44"/>
        <w:framePr w:x="1701" w:y="3255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—</w:t>
      </w:r>
    </w:p>
    <w:tbl>
      <w:tblPr>
        <w:tblStyle w:val="31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3"/>
              <w:framePr w:x="1701" w:y="325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pStyle w:val="44"/>
        <w:framePr w:x="1701" w:y="3255"/>
        <w:rPr>
          <w:rFonts w:hint="default" w:ascii="Times New Roman" w:hAnsi="Times New Roman" w:cs="Times New Roman"/>
          <w:color w:val="auto"/>
        </w:rPr>
      </w:pPr>
    </w:p>
    <w:p>
      <w:pPr>
        <w:pStyle w:val="44"/>
        <w:framePr w:x="1701" w:y="3255"/>
        <w:rPr>
          <w:rFonts w:hint="default" w:ascii="Times New Roman" w:hAnsi="Times New Roman" w:cs="Times New Roman"/>
          <w:color w:val="auto"/>
        </w:rPr>
      </w:pPr>
    </w:p>
    <w:p>
      <w:pPr>
        <w:pStyle w:val="75"/>
        <w:framePr w:x="1357" w:y="6282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52"/>
          <w:szCs w:val="52"/>
          <w:lang w:val="en-US" w:eastAsia="zh-CN"/>
        </w:rPr>
        <w:t>凉都高山茶 第</w:t>
      </w:r>
      <w:r>
        <w:rPr>
          <w:rFonts w:hint="eastAsia" w:ascii="Times New Roman" w:cs="Times New Roman"/>
          <w:b w:val="0"/>
          <w:bCs w:val="0"/>
          <w:color w:val="auto"/>
          <w:sz w:val="52"/>
          <w:szCs w:val="52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color w:val="auto"/>
          <w:sz w:val="52"/>
          <w:szCs w:val="52"/>
          <w:lang w:val="en-US" w:eastAsia="zh-CN"/>
        </w:rPr>
        <w:t>部分:</w:t>
      </w:r>
      <w:r>
        <w:rPr>
          <w:rFonts w:hint="eastAsia" w:ascii="Times New Roman" w:hAnsi="Times New Roman" w:cs="Times New Roman"/>
          <w:b w:val="0"/>
          <w:bCs w:val="0"/>
          <w:color w:val="auto"/>
          <w:sz w:val="52"/>
          <w:szCs w:val="52"/>
          <w:lang w:val="en-US" w:eastAsia="zh-CN"/>
        </w:rPr>
        <w:t>红</w:t>
      </w:r>
      <w:r>
        <w:rPr>
          <w:rFonts w:hint="default" w:ascii="Times New Roman" w:hAnsi="Times New Roman" w:cs="Times New Roman"/>
          <w:b w:val="0"/>
          <w:bCs w:val="0"/>
          <w:color w:val="auto"/>
          <w:sz w:val="52"/>
          <w:szCs w:val="52"/>
          <w:lang w:val="en-US" w:eastAsia="zh-CN"/>
        </w:rPr>
        <w:t>茶</w:t>
      </w:r>
      <w:r>
        <w:rPr>
          <w:rFonts w:hint="eastAsia" w:ascii="Times New Roman" w:hAnsi="Times New Roman" w:cs="Times New Roman"/>
          <w:b w:val="0"/>
          <w:bCs w:val="0"/>
          <w:color w:val="auto"/>
          <w:sz w:val="52"/>
          <w:szCs w:val="52"/>
          <w:lang w:val="en-US" w:eastAsia="zh-CN"/>
        </w:rPr>
        <w:t>加工技术规程</w:t>
      </w:r>
    </w:p>
    <w:p>
      <w:pPr>
        <w:pStyle w:val="76"/>
        <w:framePr w:x="1357" w:y="6282"/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Li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angdu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h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 xml:space="preserve">igh grown tea Part </w:t>
      </w:r>
      <w:r>
        <w:rPr>
          <w:rFonts w:hint="eastAsia" w:cs="Times New Roman"/>
          <w:b w:val="0"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:</w:t>
      </w:r>
      <w:r>
        <w:rPr>
          <w:rFonts w:hint="eastAsia" w:eastAsia="黑体"/>
          <w:b w:val="0"/>
          <w:bCs w:val="0"/>
          <w:color w:val="auto"/>
          <w:lang w:val="en-US" w:eastAsia="zh-CN"/>
        </w:rPr>
        <w:t>Processing technical specification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of black tea</w:t>
      </w:r>
    </w:p>
    <w:p>
      <w:pPr>
        <w:pStyle w:val="77"/>
        <w:framePr w:x="1357" w:y="628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tbl>
      <w:tblPr>
        <w:tblStyle w:val="31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8"/>
              <w:framePr w:x="1357" w:y="6282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5715" b="508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337.15pt;height:20pt;width:150pt;z-index:-251653120;mso-width-relative:page;mso-height-relative:page;" fillcolor="#FFFFFF" filled="t" stroked="f" coordsize="21600,21600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BEFlAZjwEAABkDAAAOAAAAZHJzL2Uyb0RvYy54bWytUk1v&#10;2zAMvQ/YfxB0X+QES9EZcXpYkV2KfqzdD1BkyRagr5FKnPz7UkqWdtttmA80KVJPfI9c3Ry8Y3sN&#10;aGPo+HzWcKaDir0NQ8d/vGw+XXOGWYZeuhh0x48a+c3644fVlFq9iGN0vQZGIAHbKXV8zDm1QqAa&#10;tZc4i0kHSpoIXmYKYRA9yInQvROLprkSU4Q+QVQakU5vT0m+rvjGaJUfjEGdmes49ZarhWq3xYr1&#10;SrYDyDRadW5D/kMXXtpAj16gbmWWbAf2LyhvFUSMJs9U9CIaY5WuHIjNvPmDzfMok65cSBxMF5nw&#10;/8Gq+/0jMNt3fMlZkJ5G9P2pqDIlbCn5nB7hHCG5heLBgC9/ap4dqpLHi5L6kJmiw/mXZtk0JLii&#10;3GL5ufgEI95uJ8D8TUfPitNxoElVAeX+DvOp9FdJeQyjs/3GOlcDGLZfHbC9pKlu6ndG/63MhVIc&#10;Yrl2QiwnojA7cSneNvZHUmCiFeg4/txJ0JztEthhpLbmFbfUkf61//OulAG/jyvu20avX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f1/fg1wAAAAsBAAAPAAAAAAAAAAEAIAAAACIAAABkcnMvZG93&#10;bnJldi54bWxQSwECFAAUAAAACACHTuJARBZQGY8BAAAZAwAADgAAAAAAAAABACAAAAAmAQAAZHJz&#10;L2Uyb0RvYy54bWxQSwUGAAAAAAYABgBZAQAAJw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9"/>
              <w:framePr w:x="1357" w:y="6282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pStyle w:val="127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发布</w:t>
      </w: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H/KAznMAQAAjgMAAA4AAABkcnMvZTJvRG9jLnhtbK1TS27b&#10;MBDdF8gdCO5jWS4StILlLOImm6A10PYAY34kAvyBw1j2WXqNrrrpcXKNDunE7mdTFPWCHnKGj++9&#10;GS1v9s6ynUpogu95O5tzprwI0vih558/3V2+4QwzeAk2eNXzg0J+s7p4tZxipxZhDFaqxAjEYzfF&#10;no85x65pUIzKAc5CVJ6SOiQHmbZpaGSCidCdbRbz+XUzhSRjCkIh0un6mOSriq+1EvmD1qgysz0n&#10;brmuqa7bsjarJXRDgjga8UwD/oGFA+Pp0RPUGjKwx2T+gHJGpIBB55kIrglaG6GqBlLTzn9T83GE&#10;qKoWMgfjySb8f7Di/W6TmJHUO848OGrR05evT9++s7aaM0XsqObWbxJZVXYYN6ko3evkyj9pYPtq&#10;6OFkqNpnJujwuiVVr8l38ZJrzhdjwnyvgmMl6Lk1vmiFDnYPmOkxKn0pKcfWs6nnb68WVwQHNCra&#10;QqbQRSKPfqh3MVgj74y15QamYXtrE9tBaX79lX4T7i9l5ZE14Hisq6njWIwK5DsvWT5EssXT/PJC&#10;wSnJmVU07iWqA5TB2L+ppKetJwZnH0u0DfJATXiMyQwjOdFWliVDTa98nwe0TNXP+4p0/ox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lh2s81gAAAAsBAAAPAAAAAAAAAAEAIAAAACIAAABkcnMv&#10;ZG93bnJldi54bWxQSwECFAAUAAAACACHTuJAf8oDOcwBAACO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8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实施</w:t>
      </w:r>
    </w:p>
    <w:p>
      <w:pPr>
        <w:pStyle w:val="108"/>
        <w:rPr>
          <w:rFonts w:hint="default" w:ascii="Times New Roman" w:hAnsi="Times New Roman" w:cs="Times New Roman"/>
          <w:color w:val="auto"/>
        </w:rPr>
      </w:pPr>
      <w:bookmarkStart w:id="0" w:name="fm"/>
      <w:r>
        <w:rPr>
          <w:rFonts w:hint="default" w:ascii="Times New Roman" w:hAnsi="Times New Roman" w:eastAsia="宋体" w:cs="Times New Roman"/>
          <w:b/>
          <w:bCs/>
          <w:color w:val="auto"/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3810" b="8255"/>
                <wp:wrapNone/>
                <wp:docPr id="4" name="L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LB" o:spid="_x0000_s1026" o:spt="1" style="position:absolute;left:0pt;margin-left:142.55pt;margin-top:-310.45pt;height:24pt;width:100pt;z-index:-251654144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NyrLTaPAQAAGQMAAA4AAABkcnMvZTJvRG9jLnhtbK1S&#10;TU8bMRC9V+p/sHxvvEkRoFU2SIDSC6JItD/A8dq7lvzVGSeb/PuOnRBauCF8sGc84+d5b2Z5s/eO&#10;7TSgjaHj81nDmQ4q9jYMHf/9a/3tmjPMMvTSxaA7ftDIb1Zfvyyn1OpFHKPrNTACCdhOqeNjzqkV&#10;AtWovcRZTDpQ0ETwMpMLg+hBToTunVg0zaWYIvQJotKIdHt/DPJVxTdGq/zTGNSZuY5TbbnuUPdN&#10;2cVqKdsBZBqtOpUhP1CFlzbQp2eoe5kl24J9B+WtgojR5JmKXkRjrNKVA7GZN2/YPI8y6cqFxMF0&#10;lgk/D1Y97p6A2b7jF5wF6alFD7dFlSlhS8Hn9AQnD8ksFPcGfDmpeLavSh7OSup9Zoou54urhhZn&#10;imLfm4trsglGvL5OgPmHjp4Vo+NAnaoCyt0D5mPqS0r5DKOz/do6Vx0YNncO2E5SV9d1ndD/S3Oh&#10;JIdYnh0Ry40ozI5cirWJ/YEUmGgEOo5/thI0Z9sEdhiprHnFLXmkf63/NCulwf/6Ffd1ol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m17tbZAAAADQEAAA8AAAAAAAAAAQAgAAAAIgAAAGRycy9k&#10;b3ducmV2LnhtbFBLAQIUABQAAAAIAIdO4kDcqy02jwEAABkDAAAOAAAAAAAAAAEAIAAAACgBAABk&#10;cnMvZTJvRG9jLnhtbFBLBQYAAAAABgAGAFkBAAAp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color w:val="auto"/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1270" b="8890"/>
                <wp:wrapNone/>
                <wp:docPr id="3" name="D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DT" o:spid="_x0000_s1026" o:spt="1" style="position:absolute;left:0pt;margin-left:347.55pt;margin-top:-585.45pt;height:18pt;width:90pt;z-index:-251655168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BDflTJjwEAABkDAAAOAAAAZHJzL2Uyb0RvYy54bWyt&#10;Uk1v2zAMvQ/ofxB0b2SnQ1EYcXpYkF2KrUC7H6DIki1AXyOVOPn3o5QsXbvbMB9oUqSe+B65ejx6&#10;xw4a0MbQ83bRcKaDioMNY89/vG5vHzjDLMMgXQy65yeN/HF982k1p04v4xTdoIERSMBuTj2fck6d&#10;EKgm7SUuYtKBkiaCl5lCGMUAciZ078Syae7FHGFIEJVGpNPNOcnXFd8YrfJ3Y1Bn5npOveVqodpd&#10;sWK9kt0IMk1WXdqQ/9CFlzbQo1eojcyS7cH+BeWtgojR5IWKXkRjrNKVA7Fpmw9sXiaZdOVC4mC6&#10;yoT/D1Z9OzwDs0PP7zgL0tOINq9FlTlhR8mX9AyXCMktFI8GfPlT8+xYlTxdldTHzBQdtu3nu6Yh&#10;wRXllsuHe/IJRrzdToD5q46eFafnQJOqAsrDE+Zz6e+S8hhGZ4etda4GMO6+OGAHSVPd1u+C/q7M&#10;hVIcYrl2RiwnojA7cyneLg4nUmCmFeg5/txL0JztE9hxorbailvqSP/a/2VXyoD/jCvu20av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fyYoR2gAAAA8BAAAPAAAAAAAAAAEAIAAAACIAAABkcnMv&#10;ZG93bnJldi54bWxQSwECFAAUAAAACACHTuJAQ35UyY8BAAAZAwAADgAAAAAAAAABACAAAAApAQAA&#10;ZHJzL2Uyb0RvYy54bWxQSwUGAAAAAAYABgBZAQAAK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color w:val="auto"/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ge">
                  <wp:posOffset>2788920</wp:posOffset>
                </wp:positionV>
                <wp:extent cx="6120130" cy="0"/>
                <wp:effectExtent l="0" t="0" r="0" b="0"/>
                <wp:wrapNone/>
                <wp:docPr id="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71.1pt;margin-top:219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57y7HtcAAAAM&#10;AQAADwAAAGRycy9kb3ducmV2LnhtbE2PzU7DQAyE70i8w8pIXKp2N2lVlZBND0BuXGhBXN3EJBFZ&#10;b5rd/sDT40pIcPPYo/E3+frsenWkMXSeLSQzA4q48nXHjYXXbTldgQoRucbeM1n4ogDr4voqx6z2&#10;J36h4yY2SkI4ZGihjXHItA5VSw7DzA/Ecvvwo8Mocmx0PeJJwl2vU2OW2mHH8qHFgR5aqj43B2ch&#10;lG+0L78n1cS8zxtP6f7x+Qmtvb1JzD2oSOf4Z4YLvqBDIUw7f+A6qF70Ik3FamExv5Ph4kjMUurt&#10;fle6yPX/EsUPUEsDBBQAAAAIAIdO4kBJcGetzQEAAI4DAAAOAAAAZHJzL2Uyb0RvYy54bWytU0tu&#10;GzEM3RfIHQTt4/G4SNAOPM4ibrIJWgNtD0DrMyNAP4iKxz5Lr9FVNz1OrlFKdpx+NkXRWWgokXrk&#10;e6SWN3tn2U4lNMH3vJ3NOVNeBGn80PPPn+4u33CGGbwEG7zq+UEhv1ldvFpOsVOLMAYrVWIE4rGb&#10;Ys/HnGPXNChG5QBnISpPTh2Sg0zbNDQywUTozjaL+fy6mUKSMQWhEOl0fXTyVcXXWon8QWtUmdme&#10;U225rqmu27I2qyV0Q4I4GnEqA/6hCgfGU9Iz1BoysMdk/oByRqSAQeeZCK4JWhuhKgdi085/Y/Nx&#10;hKgqFxIH41km/H+w4v1uk5iRPV9w5sFRi56+fH369p21bRFnithRzK3fpNMO4yYVpnudXPkTB7av&#10;gh7Ogqp9ZoIOr1ti9Zp0F8++5uViTJjvVXCsGD23xheu0MHuATMlo9DnkHJsPZt6/vZqcUVwQKOi&#10;LWQyXaTi0Q/1LgZr5J2xttzANGxvbWI7KM2vX6FEuL+ElSRrwPEYV13HsRgVyHdesnyIJIun+eWl&#10;BKckZ1bRuBeLAKHLYOzfRFJq66mCoupRx2JtgzxQEx5jMsNISlThaww1vdZ7GtAyVT/vK9LLM1r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e8ux7XAAAADAEAAA8AAAAAAAAAAQAgAAAAIgAAAGRy&#10;cy9kb3ducmV2LnhtbFBLAQIUABQAAAAIAIdO4kBJcGetzQEAAI4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贵 州 省 茶 叶 学 会</w:t>
      </w:r>
      <w:r>
        <w:rPr>
          <w:rFonts w:hint="default" w:ascii="Times New Roman" w:hAnsi="Times New Roman" w:cs="Times New Roman"/>
          <w:color w:val="auto"/>
        </w:rPr>
        <w:t>   </w:t>
      </w:r>
      <w:r>
        <w:rPr>
          <w:rStyle w:val="70"/>
          <w:rFonts w:hint="default" w:ascii="Times New Roman" w:hAnsi="Times New Roman" w:cs="Times New Roman"/>
          <w:b/>
          <w:bCs/>
          <w:color w:val="auto"/>
          <w:sz w:val="30"/>
          <w:szCs w:val="30"/>
        </w:rPr>
        <w:t>发布</w:t>
      </w:r>
    </w:p>
    <w:p>
      <w:pPr>
        <w:jc w:val="left"/>
        <w:rPr>
          <w:rFonts w:hint="default" w:ascii="Times New Roman" w:hAnsi="Times New Roman" w:cs="Times New Roman"/>
          <w:color w:val="auto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567" w:right="1134" w:bottom="1134" w:left="141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pStyle w:val="47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bookmarkStart w:id="1" w:name="_Toc21481"/>
      <w:bookmarkStart w:id="2" w:name="_Toc23810"/>
      <w:bookmarkStart w:id="3" w:name="_Toc19459"/>
      <w:bookmarkStart w:id="4" w:name="_Toc23574"/>
      <w:r>
        <w:rPr>
          <w:rFonts w:hint="default" w:ascii="Times New Roman" w:hAnsi="Times New Roman" w:cs="Times New Roman"/>
          <w:color w:val="auto"/>
        </w:rPr>
        <w:t>目</w:t>
      </w:r>
      <w:bookmarkStart w:id="5" w:name="BKML"/>
      <w:r>
        <w:rPr>
          <w:rFonts w:hint="default" w:ascii="Times New Roman" w:hAnsi="Times New Roman" w:cs="Times New Roman"/>
          <w:color w:val="auto"/>
        </w:rPr>
        <w:t>  次</w:t>
      </w:r>
      <w:bookmarkEnd w:id="1"/>
      <w:bookmarkEnd w:id="2"/>
      <w:bookmarkEnd w:id="3"/>
      <w:bookmarkEnd w:id="4"/>
      <w:bookmarkEnd w:id="5"/>
      <w:r>
        <w:rPr>
          <w:rFonts w:hint="default" w:ascii="Times New Roman" w:hAnsi="Times New Roman" w:cs="Times New Roman"/>
          <w:color w:val="auto"/>
        </w:rPr>
        <w:fldChar w:fldCharType="begin" w:fldLock="1"/>
      </w:r>
      <w:r>
        <w:rPr>
          <w:rFonts w:hint="default" w:ascii="Times New Roman" w:hAnsi="Times New Roman" w:cs="Times New Roman"/>
          <w:color w:val="auto"/>
        </w:rPr>
        <w:instrText xml:space="preserve"> TOC \h \z \t"前言、引言标题,1,参考文献、索引标题,1,章标题,1,参考文献,1,附录标识,1,一级条标题, 3,二级条标题, 4,附录章标题, 3" \* MERGEFORMAT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eastAsia="zh-CN" w:bidi="ar-SA"/>
        </w:rPr>
      </w:pP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TOC \* MERGEFORMAT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TOC \* MERGEFORMAT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</w:rPr>
        <w:fldChar w:fldCharType="end"/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TOC \* MERGEFORMAT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</w:p>
    <w:p>
      <w:pPr>
        <w:pStyle w:val="17"/>
        <w:tabs>
          <w:tab w:val="right" w:leader="dot" w:pos="9354"/>
          <w:tab w:val="clear" w:pos="9241"/>
        </w:tabs>
      </w:pPr>
      <w:r>
        <w:rPr>
          <w:rFonts w:hint="eastAsia" w:ascii="Times New Roman" w:cs="Times New Roman"/>
          <w:color w:val="auto"/>
          <w:lang w:eastAsia="zh-CN"/>
        </w:rPr>
        <w:t>前言</w:t>
      </w:r>
      <w:r>
        <w:tab/>
      </w:r>
      <w:r>
        <w:rPr>
          <w:rFonts w:hint="eastAsia"/>
          <w:lang w:val="en-US" w:eastAsia="zh-CN"/>
        </w:rPr>
        <w:t>I</w:t>
      </w:r>
      <w:r>
        <w:fldChar w:fldCharType="begin"/>
      </w:r>
      <w:r>
        <w:instrText xml:space="preserve"> PAGEREF _Toc21481 \h </w:instrText>
      </w:r>
      <w:r>
        <w:fldChar w:fldCharType="separate"/>
      </w:r>
      <w:r>
        <w:t>I</w:t>
      </w:r>
      <w: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 w:ascii="Times New Roman" w:hAnsi="Times New Roman" w:eastAsia="宋体" w:cs="Times New Roman"/>
          <w:bCs/>
          <w:color w:val="auto"/>
          <w:szCs w:val="21"/>
        </w:rPr>
        <w:t>1 范围</w:t>
      </w:r>
      <w:r>
        <w:tab/>
      </w:r>
      <w:r>
        <w:fldChar w:fldCharType="begin"/>
      </w:r>
      <w:r>
        <w:instrText xml:space="preserve"> PAGEREF _Toc15257 \h </w:instrText>
      </w:r>
      <w:r>
        <w:fldChar w:fldCharType="separate"/>
      </w:r>
      <w:r>
        <w:t>1</w:t>
      </w:r>
      <w: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 w:ascii="Times New Roman" w:hAnsi="Times New Roman" w:eastAsia="宋体" w:cs="Times New Roman"/>
          <w:bCs/>
          <w:color w:val="auto"/>
          <w:szCs w:val="21"/>
        </w:rPr>
        <w:t>2 规范性引用文件</w:t>
      </w:r>
      <w:r>
        <w:tab/>
      </w:r>
      <w:r>
        <w:fldChar w:fldCharType="begin"/>
      </w:r>
      <w:r>
        <w:instrText xml:space="preserve"> PAGEREF _Toc32353 \h </w:instrText>
      </w:r>
      <w:r>
        <w:fldChar w:fldCharType="separate"/>
      </w:r>
      <w:r>
        <w:t>1</w:t>
      </w:r>
      <w: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 w:ascii="Times New Roman" w:hAnsi="Times New Roman" w:eastAsia="宋体" w:cs="Times New Roman"/>
          <w:bCs/>
          <w:color w:val="auto"/>
          <w:szCs w:val="21"/>
        </w:rPr>
        <w:t>3 术语和定义</w:t>
      </w:r>
      <w:r>
        <w:tab/>
      </w:r>
      <w:r>
        <w:fldChar w:fldCharType="begin"/>
      </w:r>
      <w:r>
        <w:instrText xml:space="preserve"> PAGEREF _Toc21043 \h </w:instrText>
      </w:r>
      <w:r>
        <w:fldChar w:fldCharType="separate"/>
      </w:r>
      <w:r>
        <w:t>1</w:t>
      </w:r>
      <w: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 xml:space="preserve">4 </w:t>
      </w:r>
      <w:r>
        <w:rPr>
          <w:rFonts w:hint="eastAsia" w:ascii="Times New Roman" w:cs="Times New Roman"/>
          <w:bCs/>
          <w:color w:val="auto"/>
          <w:szCs w:val="21"/>
          <w:lang w:val="en-US" w:eastAsia="zh-CN"/>
        </w:rPr>
        <w:t>加工场所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要求</w:t>
      </w:r>
      <w:r>
        <w:tab/>
      </w:r>
      <w:r>
        <w:fldChar w:fldCharType="begin"/>
      </w:r>
      <w:r>
        <w:instrText xml:space="preserve"> PAGEREF _Toc9514 \h </w:instrText>
      </w:r>
      <w:r>
        <w:fldChar w:fldCharType="separate"/>
      </w:r>
      <w:r>
        <w:t>1</w:t>
      </w:r>
      <w: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 w:ascii="Times New Roman" w:hAnsi="Times New Roman" w:eastAsia="宋体" w:cs="Times New Roman"/>
          <w:bCs/>
          <w:color w:val="auto"/>
          <w:szCs w:val="21"/>
        </w:rPr>
        <w:t>5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 xml:space="preserve"> 鲜叶采摘技术与管理技术</w:t>
      </w:r>
      <w:r>
        <w:tab/>
      </w:r>
      <w:r>
        <w:fldChar w:fldCharType="begin"/>
      </w:r>
      <w:r>
        <w:instrText xml:space="preserve"> PAGEREF _Toc6193 \h </w:instrText>
      </w:r>
      <w:r>
        <w:fldChar w:fldCharType="separate"/>
      </w:r>
      <w:r>
        <w:t>2</w:t>
      </w:r>
      <w: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6 加工工艺</w:t>
      </w:r>
      <w:r>
        <w:tab/>
      </w:r>
      <w:r>
        <w:fldChar w:fldCharType="begin"/>
      </w:r>
      <w:r>
        <w:instrText xml:space="preserve"> PAGEREF _Toc13768 \h </w:instrText>
      </w:r>
      <w:r>
        <w:fldChar w:fldCharType="separate"/>
      </w:r>
      <w:r>
        <w:t>3</w:t>
      </w:r>
      <w: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  <w:rPr>
          <w:rFonts w:hint="default"/>
        </w:rPr>
      </w:pPr>
      <w:r>
        <w:rPr>
          <w:rFonts w:hint="default" w:ascii="Times New Roman" w:hAnsi="Times New Roman" w:cs="Times New Roman"/>
          <w:color w:val="auto"/>
        </w:rPr>
        <w:fldChar w:fldCharType="end"/>
      </w:r>
    </w:p>
    <w:p>
      <w:pPr>
        <w:pStyle w:val="21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fldChar w:fldCharType="end"/>
      </w:r>
    </w:p>
    <w:p>
      <w:pPr>
        <w:pStyle w:val="17"/>
        <w:spacing w:before="78" w:after="78"/>
        <w:rPr>
          <w:rFonts w:hint="default" w:ascii="Times New Roman" w:hAnsi="Times New Roman" w:cs="Times New Roman"/>
          <w:color w:val="auto"/>
          <w:szCs w:val="24"/>
        </w:rPr>
      </w:pPr>
    </w:p>
    <w:p>
      <w:pPr>
        <w:rPr>
          <w:rFonts w:hint="default" w:ascii="Times New Roman" w:hAnsi="Times New Roman" w:cs="Times New Roman"/>
          <w:color w:val="auto"/>
          <w:szCs w:val="24"/>
        </w:rPr>
      </w:pPr>
    </w:p>
    <w:p>
      <w:pPr>
        <w:rPr>
          <w:rFonts w:hint="default" w:ascii="Times New Roman" w:hAnsi="Times New Roman" w:cs="Times New Roman"/>
          <w:color w:val="auto"/>
          <w:szCs w:val="24"/>
        </w:rPr>
      </w:pPr>
    </w:p>
    <w:p>
      <w:pPr>
        <w:rPr>
          <w:rFonts w:hint="default" w:ascii="Times New Roman" w:hAnsi="Times New Roman" w:cs="Times New Roman"/>
          <w:color w:val="auto"/>
          <w:szCs w:val="24"/>
        </w:rPr>
      </w:pPr>
    </w:p>
    <w:p>
      <w:pPr>
        <w:rPr>
          <w:rFonts w:hint="default" w:ascii="Times New Roman" w:hAnsi="Times New Roman" w:cs="Times New Roman"/>
          <w:color w:val="auto"/>
          <w:szCs w:val="24"/>
        </w:rPr>
      </w:pPr>
    </w:p>
    <w:p>
      <w:pPr>
        <w:rPr>
          <w:rFonts w:hint="default" w:ascii="Times New Roman" w:hAnsi="Times New Roman" w:cs="Times New Roman"/>
          <w:color w:val="auto"/>
          <w:szCs w:val="24"/>
        </w:rPr>
      </w:pPr>
    </w:p>
    <w:p>
      <w:pPr>
        <w:rPr>
          <w:rFonts w:hint="default" w:ascii="Times New Roman" w:hAnsi="Times New Roman" w:cs="Times New Roman"/>
          <w:color w:val="auto"/>
          <w:szCs w:val="24"/>
        </w:rPr>
      </w:pPr>
    </w:p>
    <w:p>
      <w:pPr>
        <w:rPr>
          <w:rFonts w:hint="default" w:ascii="Times New Roman" w:hAnsi="Times New Roman" w:cs="Times New Roman"/>
          <w:color w:val="auto"/>
          <w:szCs w:val="24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0" w:after="560" w:line="240" w:lineRule="auto"/>
        <w:jc w:val="center"/>
        <w:textAlignment w:val="auto"/>
        <w:rPr>
          <w:rStyle w:val="137"/>
          <w:rFonts w:hint="default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fldChar w:fldCharType="end"/>
      </w:r>
      <w:bookmarkStart w:id="6" w:name="_Toc18425"/>
      <w:bookmarkStart w:id="7" w:name="_Toc259280369"/>
      <w:bookmarkStart w:id="8" w:name="_Toc17301"/>
      <w:r>
        <w:rPr>
          <w:rStyle w:val="137"/>
          <w:rFonts w:hint="default"/>
          <w:sz w:val="44"/>
          <w:szCs w:val="44"/>
          <w:lang w:val="en-US" w:eastAsia="zh-CN"/>
        </w:rPr>
        <w:t>前</w:t>
      </w:r>
      <w:bookmarkStart w:id="9" w:name="BKQY"/>
      <w:r>
        <w:rPr>
          <w:rStyle w:val="137"/>
          <w:rFonts w:hint="default"/>
          <w:sz w:val="44"/>
          <w:szCs w:val="44"/>
          <w:lang w:val="en-US" w:eastAsia="zh-CN"/>
        </w:rPr>
        <w:t>  言</w:t>
      </w:r>
      <w:bookmarkEnd w:id="6"/>
      <w:bookmarkEnd w:id="7"/>
      <w:bookmarkEnd w:id="8"/>
      <w:bookmarkEnd w:id="9"/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</w:rPr>
      </w:pPr>
      <w:bookmarkStart w:id="10" w:name="_Toc19020477"/>
      <w:bookmarkStart w:id="11" w:name="_Toc21425258"/>
      <w:bookmarkStart w:id="12" w:name="StandardName"/>
      <w:r>
        <w:rPr>
          <w:rFonts w:hint="default" w:ascii="Times New Roman" w:hAnsi="Times New Roman" w:cs="Times New Roman"/>
          <w:color w:val="auto"/>
        </w:rPr>
        <w:t>本标准按照GB/T 1.1-2020《标准化工作导则 第1部分 标准化文件的结构和起草规则》而制定。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本标准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</w:rPr>
        <w:t>《</w:t>
      </w:r>
      <w:r>
        <w:rPr>
          <w:rFonts w:hint="default" w:ascii="Times New Roman" w:hAnsi="Times New Roman" w:cs="Times New Roman"/>
          <w:szCs w:val="21"/>
          <w:lang w:eastAsia="zh-CN"/>
        </w:rPr>
        <w:t>凉都高山茶综合标准体系</w:t>
      </w:r>
      <w:r>
        <w:rPr>
          <w:rFonts w:hint="default" w:ascii="Times New Roman" w:hAnsi="Times New Roman" w:cs="Times New Roman"/>
          <w:color w:val="auto"/>
        </w:rPr>
        <w:t>》按部分发布，分为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>部分：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凉都高山茶 </w:t>
      </w:r>
      <w:r>
        <w:rPr>
          <w:rFonts w:hint="default" w:ascii="Times New Roman" w:hAnsi="Times New Roman" w:cs="Times New Roman"/>
          <w:color w:val="auto"/>
        </w:rPr>
        <w:t>第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</w:rPr>
        <w:t xml:space="preserve">部分 </w:t>
      </w:r>
      <w:r>
        <w:rPr>
          <w:rFonts w:hint="default" w:ascii="Times New Roman" w:hAnsi="Times New Roman" w:cs="Times New Roman"/>
          <w:color w:val="auto"/>
          <w:lang w:eastAsia="zh-CN"/>
        </w:rPr>
        <w:t>绿茶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凉都高山茶 </w:t>
      </w:r>
      <w:r>
        <w:rPr>
          <w:rFonts w:hint="default" w:ascii="Times New Roman" w:hAnsi="Times New Roman" w:cs="Times New Roman"/>
          <w:color w:val="auto"/>
        </w:rPr>
        <w:t>第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</w:rPr>
        <w:t xml:space="preserve">部分 </w:t>
      </w:r>
      <w:r>
        <w:rPr>
          <w:rFonts w:hint="default" w:ascii="Times New Roman" w:hAnsi="Times New Roman" w:cs="Times New Roman"/>
          <w:color w:val="auto"/>
          <w:lang w:eastAsia="zh-CN"/>
        </w:rPr>
        <w:t>红茶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凉都高山茶 </w:t>
      </w:r>
      <w:r>
        <w:rPr>
          <w:rFonts w:hint="default" w:ascii="Times New Roman" w:hAnsi="Times New Roman" w:cs="Times New Roman"/>
          <w:color w:val="auto"/>
        </w:rPr>
        <w:t>第</w:t>
      </w:r>
      <w:r>
        <w:rPr>
          <w:rFonts w:hint="default" w:ascii="Times New Roman" w:hAnsi="Times New Roman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</w:rPr>
        <w:t xml:space="preserve">部分 </w:t>
      </w:r>
      <w:r>
        <w:rPr>
          <w:rFonts w:hint="default" w:ascii="Times New Roman" w:hAnsi="Times New Roman" w:cs="Times New Roman"/>
          <w:color w:val="auto"/>
          <w:lang w:eastAsia="zh-CN"/>
        </w:rPr>
        <w:t>绿茶加工技术规程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凉都高山茶 </w:t>
      </w:r>
      <w:r>
        <w:rPr>
          <w:rFonts w:hint="default" w:ascii="Times New Roman" w:hAnsi="Times New Roman" w:cs="Times New Roman"/>
          <w:color w:val="auto"/>
        </w:rPr>
        <w:t>第</w:t>
      </w:r>
      <w:r>
        <w:rPr>
          <w:rFonts w:hint="default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 xml:space="preserve">部分 </w:t>
      </w:r>
      <w:r>
        <w:rPr>
          <w:rFonts w:hint="default" w:ascii="Times New Roman" w:hAnsi="Times New Roman" w:cs="Times New Roman"/>
          <w:color w:val="auto"/>
          <w:lang w:eastAsia="zh-CN"/>
        </w:rPr>
        <w:t>红茶加工技术规程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本部分为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</w:rPr>
        <w:t>第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>部分。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本标准由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六盘水市农业科学研究院</w:t>
      </w:r>
      <w:r>
        <w:rPr>
          <w:rFonts w:hint="default" w:ascii="Times New Roman" w:hAnsi="Times New Roman" w:cs="Times New Roman"/>
          <w:color w:val="auto"/>
        </w:rPr>
        <w:t>提出。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本标准由贵州省茶叶学会归口。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本标准起草单位：六盘水市农业科学研究院、贵州凉都春惠农产业（集团）股份有限公司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六枝特区</w:t>
      </w:r>
      <w:r>
        <w:rPr>
          <w:rFonts w:hint="eastAsia" w:ascii="Times New Roman" w:hAnsi="Times New Roman" w:cs="Times New Roman"/>
          <w:color w:val="auto"/>
          <w:lang w:eastAsia="zh-CN"/>
        </w:rPr>
        <w:t>农业农村局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盘州市</w:t>
      </w:r>
      <w:r>
        <w:rPr>
          <w:rFonts w:hint="eastAsia" w:ascii="Times New Roman" w:hAnsi="Times New Roman" w:cs="Times New Roman"/>
          <w:color w:val="auto"/>
          <w:lang w:eastAsia="zh-CN"/>
        </w:rPr>
        <w:t>农业农村局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水城区</w:t>
      </w:r>
      <w:r>
        <w:rPr>
          <w:rFonts w:hint="eastAsia" w:ascii="Times New Roman" w:hAnsi="Times New Roman" w:cs="Times New Roman"/>
          <w:color w:val="auto"/>
          <w:lang w:eastAsia="zh-CN"/>
        </w:rPr>
        <w:t>农业农村局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贵州鸿森茶业发展有限公司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六枝特区九层山土特产开发有限公司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贵州隆易农业科技有限公司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六枝特区双文种养殖农民专业合作社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贵州多彩黔情生态农业有限公司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六枝特区钰铭源农业发展有限公司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盘州市沁心生态茶叶种植农民专业合作社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盘州市大众创业种养殖农民专业合作社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贵州茗品源生态农业科技开发有限责任公司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盘州市保基茶叶种植农民专业合作社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水城区茶叶发展有限公司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六盘水国顺农业科技发展有限公司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水城区万众一心种养殖农民专业合作社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六盘水聚亨投资有限责任公司。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本标准主要起草人：</w:t>
      </w:r>
      <w:r>
        <w:rPr>
          <w:rFonts w:hint="default" w:ascii="Times New Roman" w:hAnsi="Times New Roman" w:cs="Times New Roman"/>
          <w:color w:val="auto"/>
          <w:lang w:eastAsia="zh-CN"/>
        </w:rPr>
        <w:t>张冬莲、刘彦、吕金丽、贺浩、罗浩、杨旭、邓春梅、</w:t>
      </w:r>
      <w:r>
        <w:rPr>
          <w:rFonts w:hint="eastAsia" w:ascii="Times New Roman" w:hAnsi="Times New Roman" w:cs="Times New Roman"/>
          <w:color w:val="auto"/>
          <w:lang w:eastAsia="zh-CN"/>
        </w:rPr>
        <w:t>詹红、陈健、冯永祥、陈燕青、万红、</w:t>
      </w:r>
      <w:r>
        <w:rPr>
          <w:rFonts w:hint="default" w:ascii="Times New Roman" w:hAnsi="Times New Roman" w:cs="Times New Roman"/>
          <w:color w:val="auto"/>
          <w:lang w:eastAsia="zh-CN"/>
        </w:rPr>
        <w:t>张双文、叶芳、</w:t>
      </w:r>
      <w:r>
        <w:rPr>
          <w:rFonts w:hint="eastAsia" w:ascii="Times New Roman" w:hAnsi="Times New Roman" w:cs="Times New Roman"/>
          <w:color w:val="auto"/>
          <w:lang w:eastAsia="zh-CN"/>
        </w:rPr>
        <w:t>龚华、余志虎、许正东、施波、范洪精、</w:t>
      </w:r>
      <w:r>
        <w:rPr>
          <w:rFonts w:hint="default" w:ascii="Times New Roman" w:hAnsi="Times New Roman" w:cs="Times New Roman"/>
          <w:color w:val="auto"/>
          <w:lang w:eastAsia="zh-CN"/>
        </w:rPr>
        <w:t>张琨、刘兴、王剑、徐祥辉</w:t>
      </w:r>
      <w:r>
        <w:rPr>
          <w:rFonts w:hint="eastAsia" w:ascii="Times New Roman" w:hAnsi="Times New Roman" w:cs="Times New Roman"/>
          <w:color w:val="auto"/>
          <w:lang w:eastAsia="zh-CN"/>
        </w:rPr>
        <w:t>、甘大国、曹阳</w:t>
      </w:r>
      <w:r>
        <w:rPr>
          <w:rFonts w:hint="default" w:ascii="Times New Roman" w:hAnsi="Times New Roman" w:cs="Times New Roman"/>
          <w:color w:val="auto"/>
        </w:rPr>
        <w:t>。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eastAsia="宋体" w:cs="Times New Roman"/>
          <w:color w:val="auto"/>
          <w:lang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</w:p>
    <w:bookmarkEnd w:id="10"/>
    <w:bookmarkEnd w:id="11"/>
    <w:p>
      <w:pPr>
        <w:pStyle w:val="47"/>
        <w:rPr>
          <w:rFonts w:hint="default" w:ascii="Times New Roman" w:hAnsi="Times New Roman" w:cs="Times New Roman"/>
          <w:color w:val="auto"/>
        </w:rPr>
        <w:sectPr>
          <w:headerReference r:id="rId6" w:type="default"/>
          <w:footerReference r:id="rId7" w:type="default"/>
          <w:pgSz w:w="11906" w:h="16838"/>
          <w:pgMar w:top="567" w:right="1134" w:bottom="1134" w:left="1418" w:header="1418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425" w:num="1"/>
          <w:formProt w:val="0"/>
          <w:docGrid w:type="lines" w:linePitch="312" w:charSpace="0"/>
        </w:sectPr>
      </w:pPr>
    </w:p>
    <w:bookmarkEnd w:id="12"/>
    <w:p>
      <w:pPr>
        <w:jc w:val="center"/>
        <w:rPr>
          <w:rFonts w:hint="default" w:ascii="Times New Roman" w:hAnsi="Times New Roman" w:eastAsia="黑体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 xml:space="preserve">凉都高山茶 </w:t>
      </w:r>
      <w:r>
        <w:rPr>
          <w:rFonts w:hint="default" w:ascii="Times New Roman" w:hAnsi="Times New Roman" w:eastAsia="黑体" w:cs="Times New Roman"/>
          <w:color w:val="auto"/>
          <w:sz w:val="32"/>
          <w:lang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lang w:eastAsia="zh-CN"/>
        </w:rPr>
        <w:t>部分：</w:t>
      </w:r>
      <w:r>
        <w:rPr>
          <w:rFonts w:hint="eastAsia" w:ascii="Times New Roman" w:hAnsi="Times New Roman" w:eastAsia="黑体" w:cs="Times New Roman"/>
          <w:color w:val="auto"/>
          <w:sz w:val="32"/>
          <w:lang w:eastAsia="zh-CN"/>
        </w:rPr>
        <w:t>红</w:t>
      </w:r>
      <w:r>
        <w:rPr>
          <w:rFonts w:hint="default" w:ascii="Times New Roman" w:hAnsi="Times New Roman" w:eastAsia="黑体" w:cs="Times New Roman"/>
          <w:color w:val="auto"/>
          <w:sz w:val="32"/>
          <w:lang w:eastAsia="zh-CN"/>
        </w:rPr>
        <w:t>茶</w:t>
      </w:r>
      <w:r>
        <w:rPr>
          <w:rFonts w:hint="eastAsia" w:ascii="Times New Roman" w:hAnsi="Times New Roman" w:eastAsia="黑体" w:cs="Times New Roman"/>
          <w:color w:val="auto"/>
          <w:sz w:val="32"/>
          <w:lang w:eastAsia="zh-CN"/>
        </w:rPr>
        <w:t>加工技术规程</w:t>
      </w:r>
    </w:p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color w:val="auto"/>
          <w:szCs w:val="21"/>
        </w:rPr>
      </w:pPr>
      <w:bookmarkStart w:id="13" w:name="_Toc28721"/>
      <w:bookmarkStart w:id="14" w:name="_Toc91324049"/>
      <w:bookmarkStart w:id="15" w:name="_Toc14053"/>
      <w:bookmarkStart w:id="16" w:name="_Toc15257"/>
      <w:bookmarkStart w:id="17" w:name="_Toc19799"/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1 范围</w:t>
      </w:r>
      <w:bookmarkEnd w:id="13"/>
      <w:bookmarkEnd w:id="14"/>
      <w:bookmarkEnd w:id="15"/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Cs w:val="21"/>
          <w:lang w:eastAsia="zh-CN"/>
        </w:rPr>
      </w:pPr>
      <w:bookmarkStart w:id="18" w:name="_Toc91324050"/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本部分规定了凉都高山茶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第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 xml:space="preserve">部分 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红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茶加工技术规程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的术语和定义、</w:t>
      </w:r>
      <w:r>
        <w:rPr>
          <w:rFonts w:hint="eastAsia" w:cs="Times New Roman"/>
          <w:color w:val="auto"/>
          <w:szCs w:val="21"/>
          <w:lang w:eastAsia="zh-CN"/>
        </w:rPr>
        <w:t>加工场所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要求、加工工艺</w:t>
      </w:r>
      <w:r>
        <w:rPr>
          <w:rFonts w:hint="eastAsia" w:cs="Times New Roman"/>
          <w:color w:val="auto"/>
          <w:szCs w:val="21"/>
          <w:lang w:eastAsia="zh-CN"/>
        </w:rPr>
        <w:t>要求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本标准适用于</w:t>
      </w:r>
      <w:r>
        <w:rPr>
          <w:rFonts w:hint="default" w:ascii="Times New Roman" w:hAnsi="Times New Roman" w:eastAsia="宋体" w:cs="Times New Roman"/>
          <w:color w:val="auto"/>
          <w:szCs w:val="21"/>
          <w:lang w:val="zh-TW" w:eastAsia="zh-CN"/>
        </w:rPr>
        <w:t>凉都高山</w:t>
      </w:r>
      <w:r>
        <w:rPr>
          <w:rFonts w:hint="eastAsia" w:ascii="Times New Roman" w:hAnsi="Times New Roman" w:eastAsia="宋体" w:cs="Times New Roman"/>
          <w:color w:val="auto"/>
          <w:szCs w:val="21"/>
          <w:lang w:eastAsia="zh-CN"/>
        </w:rPr>
        <w:t>红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茶的加工生产</w:t>
      </w:r>
      <w:r>
        <w:rPr>
          <w:rFonts w:hint="default" w:ascii="Times New Roman" w:hAnsi="Times New Roman" w:eastAsia="宋体" w:cs="Times New Roman"/>
          <w:color w:val="auto"/>
          <w:szCs w:val="21"/>
        </w:rPr>
        <w:t>。</w:t>
      </w:r>
    </w:p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/>
          <w:bCs/>
          <w:color w:val="auto"/>
          <w:szCs w:val="21"/>
        </w:rPr>
      </w:pPr>
      <w:bookmarkStart w:id="19" w:name="_Toc1167"/>
      <w:bookmarkStart w:id="20" w:name="_Toc17136"/>
      <w:bookmarkStart w:id="21" w:name="_Toc32353"/>
      <w:bookmarkStart w:id="22" w:name="_Toc4783"/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2 规范性引用文件</w:t>
      </w:r>
      <w:bookmarkEnd w:id="18"/>
      <w:bookmarkEnd w:id="19"/>
      <w:bookmarkEnd w:id="20"/>
      <w:bookmarkEnd w:id="21"/>
      <w:bookmarkEnd w:id="22"/>
    </w:p>
    <w:p>
      <w:pPr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bookmarkStart w:id="23" w:name="_Toc21043"/>
      <w:bookmarkStart w:id="24" w:name="_Toc1875"/>
      <w:bookmarkStart w:id="25" w:name="_Toc16058"/>
      <w:bookmarkStart w:id="26" w:name="_Toc19288"/>
      <w:bookmarkStart w:id="27" w:name="_Toc91324051"/>
      <w:r>
        <w:rPr>
          <w:rFonts w:hint="default" w:ascii="Times New Roman" w:hAnsi="Times New Roman" w:cs="Times New Roman"/>
          <w:color w:val="auto"/>
          <w:szCs w:val="21"/>
        </w:rPr>
        <w:t xml:space="preserve">下列文件对于本文件的应用是必不可少的。凡是注日期的引用文件，仅所注日期的版本适用于本文 件。凡是不注日期的引用文件，其最新版本（包括所有的修改单）适用于本文件。 </w:t>
      </w:r>
    </w:p>
    <w:p>
      <w:pPr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GB/T 40633-2021 茶叶加工术语</w:t>
      </w:r>
    </w:p>
    <w:p>
      <w:pPr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DB52/T 630 贵州茶叶加工场所基本条件</w:t>
      </w:r>
    </w:p>
    <w:p>
      <w:pPr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DB52/T 632 贵州茶叶加工技术要求 </w:t>
      </w:r>
    </w:p>
    <w:p>
      <w:pPr>
        <w:ind w:firstLine="420" w:firstLineChars="200"/>
        <w:rPr>
          <w:rFonts w:hint="eastAsia" w:cs="Times New Roman"/>
          <w:color w:val="auto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DB52/T </w:t>
      </w:r>
      <w:r>
        <w:rPr>
          <w:rFonts w:hint="eastAsia" w:cs="Times New Roman"/>
          <w:color w:val="auto"/>
          <w:szCs w:val="21"/>
          <w:lang w:val="en-US" w:eastAsia="zh-CN"/>
        </w:rPr>
        <w:t>639</w:t>
      </w:r>
      <w:r>
        <w:rPr>
          <w:rFonts w:hint="default" w:ascii="Times New Roman" w:hAnsi="Times New Roman" w:cs="Times New Roman"/>
          <w:color w:val="auto"/>
          <w:szCs w:val="21"/>
        </w:rPr>
        <w:t xml:space="preserve"> 贵州</w:t>
      </w:r>
      <w:r>
        <w:rPr>
          <w:rFonts w:hint="eastAsia" w:cs="Times New Roman"/>
          <w:color w:val="auto"/>
          <w:szCs w:val="21"/>
          <w:lang w:eastAsia="zh-CN"/>
        </w:rPr>
        <w:t>红茶</w:t>
      </w:r>
      <w:r>
        <w:rPr>
          <w:rFonts w:hint="eastAsia" w:cs="Times New Roman"/>
          <w:color w:val="auto"/>
          <w:szCs w:val="21"/>
          <w:lang w:val="en-US" w:eastAsia="zh-CN"/>
        </w:rPr>
        <w:t xml:space="preserve"> 工夫红茶</w:t>
      </w:r>
      <w:r>
        <w:rPr>
          <w:rFonts w:hint="default" w:ascii="Times New Roman" w:hAnsi="Times New Roman" w:cs="Times New Roman"/>
          <w:color w:val="auto"/>
          <w:szCs w:val="21"/>
        </w:rPr>
        <w:t>加工技术</w:t>
      </w:r>
      <w:r>
        <w:rPr>
          <w:rFonts w:hint="eastAsia" w:cs="Times New Roman"/>
          <w:color w:val="auto"/>
          <w:szCs w:val="21"/>
          <w:lang w:eastAsia="zh-CN"/>
        </w:rPr>
        <w:t>规程</w:t>
      </w:r>
      <w:bookmarkStart w:id="39" w:name="_GoBack"/>
      <w:bookmarkEnd w:id="39"/>
    </w:p>
    <w:p>
      <w:pPr>
        <w:ind w:firstLine="420" w:firstLineChars="200"/>
        <w:rPr>
          <w:rFonts w:hint="default" w:ascii="Times New Roman" w:hAnsi="Times New Roman" w:cs="Times New Roman"/>
          <w:color w:val="auto"/>
          <w:szCs w:val="21"/>
          <w:lang w:val="en-US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GB/T 31748</w:t>
      </w:r>
      <w:r>
        <w:rPr>
          <w:rFonts w:hint="eastAsia" w:cs="Times New Roman"/>
          <w:color w:val="auto"/>
          <w:szCs w:val="21"/>
          <w:lang w:val="en-US" w:eastAsia="zh-CN"/>
        </w:rPr>
        <w:t xml:space="preserve"> 茶鲜叶处理要求</w:t>
      </w:r>
    </w:p>
    <w:p>
      <w:pPr>
        <w:ind w:firstLine="420" w:firstLineChars="200"/>
        <w:rPr>
          <w:rFonts w:hint="eastAsia" w:cs="Times New Roman"/>
          <w:color w:val="auto"/>
          <w:szCs w:val="21"/>
          <w:lang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</w:p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3 术语和定义</w:t>
      </w:r>
      <w:bookmarkEnd w:id="23"/>
      <w:bookmarkEnd w:id="24"/>
      <w:bookmarkEnd w:id="25"/>
      <w:bookmarkEnd w:id="26"/>
      <w:bookmarkEnd w:id="27"/>
    </w:p>
    <w:p>
      <w:pPr>
        <w:bidi w:val="0"/>
        <w:rPr>
          <w:rFonts w:hint="eastAsia"/>
          <w:lang w:val="en-US" w:eastAsia="zh-CN"/>
        </w:rPr>
      </w:pPr>
      <w:bookmarkStart w:id="28" w:name="_Toc2121"/>
      <w:bookmarkStart w:id="29" w:name="_Toc28776"/>
      <w:bookmarkStart w:id="30" w:name="_Toc30356"/>
      <w:bookmarkStart w:id="31" w:name="_Toc91324053"/>
      <w:r>
        <w:rPr>
          <w:rFonts w:hint="eastAsia"/>
          <w:lang w:val="en-US" w:eastAsia="zh-CN"/>
        </w:rPr>
        <w:t>GB/T 40633确定的术语和定义适用于本文件。</w:t>
      </w:r>
    </w:p>
    <w:p>
      <w:pPr>
        <w:pStyle w:val="39"/>
        <w:numPr>
          <w:ilvl w:val="1"/>
          <w:numId w:val="0"/>
        </w:numPr>
        <w:spacing w:before="156" w:after="156" w:line="360" w:lineRule="auto"/>
        <w:rPr>
          <w:rFonts w:hint="eastAsia" w:ascii="Times New Roman" w:hAnsi="Times New Roman" w:eastAsia="宋体" w:cs="Times New Roman"/>
          <w:b/>
          <w:bCs/>
          <w:color w:val="auto"/>
          <w:szCs w:val="21"/>
          <w:lang w:eastAsia="zh-CN"/>
        </w:rPr>
      </w:pPr>
      <w:bookmarkStart w:id="32" w:name="_Toc9514"/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eastAsia="zh-CN"/>
        </w:rPr>
        <w:t>4 加工场所要求</w:t>
      </w:r>
    </w:p>
    <w:p>
      <w:pPr>
        <w:pStyle w:val="39"/>
        <w:numPr>
          <w:ilvl w:val="1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应符合DB52/T 630的规定</w:t>
      </w:r>
    </w:p>
    <w:bookmarkEnd w:id="32"/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bookmarkStart w:id="33" w:name="_Toc6193"/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 xml:space="preserve"> </w:t>
      </w:r>
      <w:bookmarkEnd w:id="28"/>
      <w:bookmarkEnd w:id="29"/>
      <w:bookmarkEnd w:id="30"/>
      <w:bookmarkEnd w:id="31"/>
      <w:bookmarkStart w:id="34" w:name="_Toc20639"/>
      <w:bookmarkStart w:id="35" w:name="_Toc21556"/>
      <w:bookmarkStart w:id="36" w:name="_Toc19902"/>
      <w:bookmarkStart w:id="37" w:name="_Toc91324054"/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鲜叶采摘技术与管理技术</w:t>
      </w:r>
      <w:bookmarkEnd w:id="33"/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5.1 鲜叶采摘等级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严格按照产品分级的原料要求进行，单芽、一芽一叶初展至一芽三叶，鲜叶分级见表1。 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 1  卷曲形红茶鲜叶分级</w:t>
      </w:r>
    </w:p>
    <w:tbl>
      <w:tblPr>
        <w:tblStyle w:val="31"/>
        <w:tblW w:w="862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63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芽叶组成</w:t>
            </w:r>
          </w:p>
        </w:tc>
        <w:tc>
          <w:tcPr>
            <w:tcW w:w="2925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芽叶长度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特级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单芽＞50%， 一芽一叶初展＞50%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2.0～2.5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一芽一叶初展&gt;80%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2.5～3.5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一芽二叶＞80%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.5</w:t>
            </w:r>
            <w:r>
              <w:rPr>
                <w:rFonts w:hint="default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一芽三叶＞80%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</w:t>
            </w:r>
            <w:r>
              <w:rPr>
                <w:rFonts w:hint="default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7.5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5.2 鲜叶采摘技术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5.2.1茶园中30%茶树新梢达标应开采；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5.2.2要分批勤采，要提采，不掐采；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5.3 鲜叶采摘质量要求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5.3.1鲜叶要求保持鲜芽叶的完整、鲜嫩、匀净；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5.3.2不采雨水叶、露水叶、紫芽叶、破碎叶、病虫害叶及剥芽苞。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5.4 鲜叶管理技术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5.4.1 在鲜叶盛装与贮藏、运输过程中，注意轻压、轻放。鲜叶盛装容器必须采用洁净、透气的竹编篮、筐、篓等专用工具。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5.4.2鲜叶采下后要及时运抵加工厂，运输、验收，鲜叶运输必须是清洁卫生、无异味、无污染的车辆,车厢底部和厢壁必须垫隔离板，避免鲜叶与车厢直接接触，避免日晒雨淋。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5.4.3 运输过程要避免机械损伤、混杂和污染,并完整准确地记录鲜叶的来源和流转情况。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5.4.4 鲜叶进厂后，按不同品种的鲜叶分开、不同级别的鲜叶分开、上午叶和下午叶分开的原则及时摊放。摊放于洁净卫生、设施完好的贮藏室。薄摊、轻翻，以减少机械损伤。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5.4.5 其他符合GB/T 31748 的规定。</w:t>
      </w:r>
    </w:p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bookmarkStart w:id="38" w:name="_Toc13768"/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 xml:space="preserve">6 </w:t>
      </w:r>
      <w:bookmarkEnd w:id="34"/>
      <w:bookmarkEnd w:id="35"/>
      <w:bookmarkEnd w:id="36"/>
      <w:bookmarkEnd w:id="37"/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加工工艺</w:t>
      </w:r>
      <w:bookmarkEnd w:id="38"/>
    </w:p>
    <w:p>
      <w:pPr>
        <w:bidi w:val="0"/>
        <w:ind w:firstLine="422" w:firstLineChars="200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6.1工艺流程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摊青→萎调→揉捻→发酵→</w:t>
      </w:r>
      <w:r>
        <w:rPr>
          <w:rFonts w:hint="eastAsia"/>
          <w:lang w:val="en-US" w:eastAsia="zh-CN"/>
        </w:rPr>
        <w:t>初烘</w:t>
      </w:r>
      <w:r>
        <w:rPr>
          <w:rFonts w:hint="default"/>
          <w:lang w:val="en-US" w:eastAsia="zh-CN"/>
        </w:rPr>
        <w:t>→</w:t>
      </w:r>
      <w:r>
        <w:rPr>
          <w:rFonts w:hint="eastAsia"/>
          <w:lang w:val="en-US" w:eastAsia="zh-CN"/>
        </w:rPr>
        <w:t>摊凉</w:t>
      </w:r>
      <w:r>
        <w:rPr>
          <w:rFonts w:hint="default"/>
          <w:lang w:val="en-US" w:eastAsia="zh-CN"/>
        </w:rPr>
        <w:t>→</w:t>
      </w:r>
      <w:r>
        <w:rPr>
          <w:rFonts w:hint="eastAsia"/>
          <w:lang w:val="en-US" w:eastAsia="zh-CN"/>
        </w:rPr>
        <w:t>足干</w:t>
      </w:r>
      <w:r>
        <w:rPr>
          <w:rFonts w:hint="default"/>
          <w:lang w:val="en-US" w:eastAsia="zh-CN"/>
        </w:rPr>
        <w:t>→精加工</w:t>
      </w:r>
    </w:p>
    <w:p>
      <w:pPr>
        <w:bidi w:val="0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6.2技术要求</w:t>
      </w:r>
    </w:p>
    <w:p>
      <w:pPr>
        <w:bidi w:val="0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6.2.1 摊青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鲜叶运送到厂后，及时摊放于萎凋槽中，摊放厚度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0cm～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0cm，打开鼓风机，冷风30min再静置4h～6h后进入萎凋工序。摊青场所要求清洁卫生、阴凉、空气流通、避免阳光直射。</w:t>
      </w:r>
    </w:p>
    <w:p>
      <w:pPr>
        <w:bidi w:val="0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6.2.2萎凋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6.2.2.1 萎凋槽萎凋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a) 摊叶：将鲜叶摊放在萎凋槽中，摊叶厚度15cm～20cm，摊叶时要抖散摊平呈蓬松状态，保持厚薄一致；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b) 环境温度、湿度：温度15℃～25℃，湿度（75±5）%；  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)热风萎凋：打开萎凋槽加热控制开关，萎凋叶温度控制25℃～35℃，要求槽体前后部温度相对一致，鼓风机气流温度应随萎凋进程逐渐降低。鼓风要求风量大小根据叶层厚薄和叶质柔软程度适当调节，以不吹散叶层、出现“空洞”为标准。每隔0.5h～1h 停止鼓风10min，期间进行翻抖，翻抖时手势要轻，避免损伤，芽叶。下叶前停止鼓热风，改为鼓冷风吹15min～30min后进入一下步揉捻；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d) 时间：4h～6h；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e) 感官特征：调叶含水量降至60%左右，叶面失去光泽，青草味减少，叶形皱缩，叶质柔软，紧握成团，松手可缓慢松散；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6.2.2.2 萎凋室萎凋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a) 摊叶：将茶青摊于篾质簸盘，摊叶厚度 3cm～6cm，摊叶时要抖散摊平呈蓬松状态，保持厚薄一致；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b) 温度、湿度：萎凋室温度（25±2）℃；相对湿度（65±5）%；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c) 翻抖：每隔 2h 翻抖一次，翻抖时手势要轻，避免损伤芽叶；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d) 时间：8h～12h；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e) 程度：叶面失去光泽，叶色暗绿，青草气减退，透出萎凋叶特有的清香；叶形皱缩，茎脉失水柔软，弯曲而不易折断，紧握成团，松手可缓慢松散为适度。萎凋叶的含水率60%～64%。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6.2.2.3 综合萎凋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a) 晒青：萎凋一级和二级鲜叶原料可以采用综合萎凋，鲜叶宜利用早上或傍晚的阳光进行晒青，时间15min～20min，鲜叶减重5%～6%；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b) 萎凋室萎凋：晒青后将鲜叶移入萎凋室，薄摊于篾盘上，厚度2cm～3cm，保持厚薄一致，萎凋室温度20℃～25℃，相对湿度60%～75%，保持室内空气流动；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c) 摇青：萎凋过程中采用摇青机摇青3～4 次，摇青时间3min～10min，每次摇青后凉青1h～4h，随摇青次数增加单次摇青时间和凉青时间逐步加长；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d) 时间：宜控制在6h～10h；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e) 程度：萎凋叶含水率以60%～65%为宜，叶面失去光泽，叶色转为暗绿,稍显褐色，青草气减退；叶形皱缩、叶质柔软、折梗不断、紧握成团，松手可缓慢散开。</w:t>
      </w:r>
    </w:p>
    <w:p>
      <w:pPr>
        <w:bidi w:val="0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6.2.3揉捻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6.2.3.1</w:t>
      </w:r>
      <w:r>
        <w:rPr>
          <w:rFonts w:hint="default"/>
          <w:lang w:val="en-US" w:eastAsia="zh-CN"/>
        </w:rPr>
        <w:t>设备：选用40型、45 型、55 型等中大型揉捻机，装叶量以自然装满揉桶为宜</w:t>
      </w:r>
      <w:r>
        <w:rPr>
          <w:rFonts w:hint="eastAsia"/>
          <w:lang w:val="en-US" w:eastAsia="zh-CN"/>
        </w:rPr>
        <w:t>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6.2.3.2</w:t>
      </w:r>
      <w:r>
        <w:rPr>
          <w:rFonts w:hint="default"/>
          <w:lang w:val="en-US" w:eastAsia="zh-CN"/>
        </w:rPr>
        <w:t>原则：揉捻加压应掌握轻、重、轻的原则，揉捻时间与加压方式技术要求应符合表2的规定。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表2 揉捻与加压方式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                         单位：min</w:t>
      </w:r>
    </w:p>
    <w:tbl>
      <w:tblPr>
        <w:tblStyle w:val="31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005"/>
        <w:gridCol w:w="1035"/>
        <w:gridCol w:w="1110"/>
        <w:gridCol w:w="1200"/>
        <w:gridCol w:w="1005"/>
        <w:gridCol w:w="930"/>
        <w:gridCol w:w="93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tcBorders>
              <w:tl2br w:val="single" w:color="auto" w:sz="4" w:space="0"/>
            </w:tcBorders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项目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鲜叶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级别</w:t>
            </w:r>
          </w:p>
        </w:tc>
        <w:tc>
          <w:tcPr>
            <w:tcW w:w="100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不加压(贴面揉)</w:t>
            </w:r>
          </w:p>
        </w:tc>
        <w:tc>
          <w:tcPr>
            <w:tcW w:w="103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轻压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(桶盖下降距离为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桶高的1/5～1/4)</w:t>
            </w:r>
          </w:p>
        </w:tc>
        <w:tc>
          <w:tcPr>
            <w:tcW w:w="111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中压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(桶盖下降距离为桶高的1/3)</w:t>
            </w: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重压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(桶盖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下降距离为桶高的2/5～1/2)</w:t>
            </w:r>
          </w:p>
        </w:tc>
        <w:tc>
          <w:tcPr>
            <w:tcW w:w="100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中压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(桶盖下降距离为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桶高的1/5～1/4)</w:t>
            </w:r>
          </w:p>
        </w:tc>
        <w:tc>
          <w:tcPr>
            <w:tcW w:w="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轻压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(桶盖下降距离为桶高的1/3)</w:t>
            </w:r>
          </w:p>
        </w:tc>
        <w:tc>
          <w:tcPr>
            <w:tcW w:w="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不加压(贴面揉)</w:t>
            </w:r>
          </w:p>
        </w:tc>
        <w:tc>
          <w:tcPr>
            <w:tcW w:w="6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特级</w:t>
            </w:r>
          </w:p>
        </w:tc>
        <w:tc>
          <w:tcPr>
            <w:tcW w:w="100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03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11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00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6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</w:t>
            </w:r>
          </w:p>
        </w:tc>
        <w:tc>
          <w:tcPr>
            <w:tcW w:w="100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03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11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00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6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</w:t>
            </w:r>
          </w:p>
        </w:tc>
        <w:tc>
          <w:tcPr>
            <w:tcW w:w="100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03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11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005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93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6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766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三级</w:t>
            </w:r>
          </w:p>
        </w:tc>
        <w:tc>
          <w:tcPr>
            <w:tcW w:w="1005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035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11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20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005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93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93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660" w:type="dxa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6.2.3.3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程度：揉捻叶紧卷成条，茶汁外溢，粘附于茶条表面为适度，成条率90%以上；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6.2.3.4  </w:t>
      </w:r>
      <w:r>
        <w:rPr>
          <w:rFonts w:hint="default"/>
          <w:lang w:val="en-US" w:eastAsia="zh-CN"/>
        </w:rPr>
        <w:t>揉捻后产生的团块宜采用解块机解块。解块后的筛面茶条索不够紧结的可进行复揉，复揉装叶量以装至揉桶的2/3为宜。</w:t>
      </w:r>
    </w:p>
    <w:p>
      <w:pPr>
        <w:bidi w:val="0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6.2.4发酵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6.2.4.1 发酵机发酵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a)将揉捻叶摊放于盛叶盘内，摊叶厚度8cm～10cm，厚薄均匀，不要紧压，放入发酵机发酵；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b) 发酵机温度宜在28℃～32℃，相对湿度控制在95%以上，每隔30min～45min 通风4min～5min，发酵时间4h～6h。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6.2.4.2发酵室发酵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a) 发酵框装叶厚度10cm～15cm，嫩叶薄摊，老叶原摊，叶层厚薄均匀，不应紧压；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b) 发酵室室温（26±2）℃，相对湿度≥95%，以喷雾或洒水调节，保持空气流通；每间隔30min 吹冷风一次，鼓风时间3min～5min，或用设备定时增氧； 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c) 发酵时间：5h～8h。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6.2.4.3程度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发酵叶叶色变为红黄色，青草味消失，呈现清香或花果香为适度。发酵叶象：四级为适度，具体发酵叶象详见表 3。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表3 红茶发酵叶象</w:t>
      </w:r>
    </w:p>
    <w:tbl>
      <w:tblPr>
        <w:tblStyle w:val="3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5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 目</w:t>
            </w:r>
          </w:p>
        </w:tc>
        <w:tc>
          <w:tcPr>
            <w:tcW w:w="568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一级叶象</w:t>
            </w:r>
          </w:p>
        </w:tc>
        <w:tc>
          <w:tcPr>
            <w:tcW w:w="568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青色，浓烈青草气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二级叶象</w:t>
            </w:r>
          </w:p>
        </w:tc>
        <w:tc>
          <w:tcPr>
            <w:tcW w:w="568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青黄色，有青草气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三级叶象</w:t>
            </w:r>
          </w:p>
        </w:tc>
        <w:tc>
          <w:tcPr>
            <w:tcW w:w="568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黄色，微清香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四级叶象</w:t>
            </w:r>
          </w:p>
        </w:tc>
        <w:tc>
          <w:tcPr>
            <w:tcW w:w="568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黄红色，花果香、果香明显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五级叶象</w:t>
            </w:r>
          </w:p>
        </w:tc>
        <w:tc>
          <w:tcPr>
            <w:tcW w:w="568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红色，熟香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六级叶象</w:t>
            </w:r>
          </w:p>
        </w:tc>
        <w:tc>
          <w:tcPr>
            <w:tcW w:w="5686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暗红色，低香，发酵过度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6.2.5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default"/>
          <w:b/>
          <w:bCs/>
          <w:lang w:val="en-US" w:eastAsia="zh-CN"/>
        </w:rPr>
        <w:t>初</w:t>
      </w:r>
      <w:r>
        <w:rPr>
          <w:rFonts w:hint="eastAsia"/>
          <w:b/>
          <w:bCs/>
          <w:lang w:val="en-US" w:eastAsia="zh-CN"/>
        </w:rPr>
        <w:t>烘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6.2.5.1  采用</w:t>
      </w:r>
      <w:r>
        <w:rPr>
          <w:rFonts w:hint="eastAsia"/>
          <w:lang w:val="en-US" w:eastAsia="zh-CN"/>
        </w:rPr>
        <w:t>自动</w:t>
      </w:r>
      <w:r>
        <w:rPr>
          <w:rFonts w:hint="default"/>
          <w:lang w:val="en-US" w:eastAsia="zh-CN"/>
        </w:rPr>
        <w:t>链板式烘干机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箱内热风温度110℃～120℃，摊叶厚度2cm～3cm，含水率达20%～25%，条索收紧，有较强刺手感为适度。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6.2.5.2 滚炒初干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a) 采用50 型或60 型电热杀青机（过红锅）进行初干。温度控制在200℃～220℃，含水率达30%～40%。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b) 再利用茶叶炒干机进行初干和造型，温度控制在120℃～200℃，投叶量根据机子型号来确定，筒装1/4左右为适，时间15min～30min，含水率达15%～20%，条索卷曲收紧，有较强刺手感为适度。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6.2.5.3热风初干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采用烘焙机进行初干，初干温度控制在80℃～100℃，摊叶厚度2cm～3cm，时间4h左右，至条索收紧，有较强刺手感为适度含水率达10%～25%。</w:t>
      </w:r>
    </w:p>
    <w:p>
      <w:pPr>
        <w:bidi w:val="0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6.2.6</w:t>
      </w:r>
      <w:r>
        <w:rPr>
          <w:rFonts w:hint="default"/>
          <w:b/>
          <w:bCs/>
          <w:lang w:val="en-US" w:eastAsia="zh-CN"/>
        </w:rPr>
        <w:t xml:space="preserve"> 摊凉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将茶叶均匀摊开，冷却至室温后继续摊凉回潮50min～60min。</w:t>
      </w:r>
    </w:p>
    <w:p>
      <w:pPr>
        <w:bidi w:val="0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6.2.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default"/>
          <w:b/>
          <w:bCs/>
          <w:lang w:val="en-US" w:eastAsia="zh-CN"/>
        </w:rPr>
        <w:t xml:space="preserve"> 足干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6.2.7.1</w:t>
      </w:r>
      <w:r>
        <w:rPr>
          <w:rFonts w:hint="default"/>
          <w:lang w:val="en-US" w:eastAsia="zh-CN"/>
        </w:rPr>
        <w:t xml:space="preserve"> 采用提香机进行足干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温度控制在90℃～100℃，摊叶厚度2cm～3cm，时间60min～90min。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6.2.7.2</w:t>
      </w:r>
      <w:r>
        <w:rPr>
          <w:rFonts w:hint="default"/>
          <w:lang w:val="en-US" w:eastAsia="zh-CN"/>
        </w:rPr>
        <w:t xml:space="preserve"> 足干程度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足干至含水率4%～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%，梗折即断，用手指捻茶条即成粉末为适度。足干后冷却至室温。</w:t>
      </w:r>
    </w:p>
    <w:p>
      <w:pPr>
        <w:bidi w:val="0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6.2.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default"/>
          <w:b/>
          <w:bCs/>
          <w:lang w:val="en-US" w:eastAsia="zh-CN"/>
        </w:rPr>
        <w:t>精加工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按DB52/T 632标准中精加工技术要求进行，割除碎茶和片末，剔除暗条，使成茶净度、匀度及色泽一致。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</w:p>
    <w:p>
      <w:pPr>
        <w:pStyle w:val="126"/>
        <w:framePr w:vAnchor="text" w:hAnchor="page" w:x="4248" w:y="805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______________________</w:t>
      </w:r>
    </w:p>
    <w:p>
      <w:pPr>
        <w:ind w:firstLine="420" w:firstLineChars="200"/>
        <w:rPr>
          <w:rFonts w:hint="default" w:ascii="Times New Roman" w:hAnsi="Times New Roman" w:cs="Times New Roman"/>
          <w:color w:val="auto"/>
        </w:rPr>
      </w:pPr>
    </w:p>
    <w:sectPr>
      <w:headerReference r:id="rId8" w:type="default"/>
      <w:footerReference r:id="rId9" w:type="default"/>
      <w:pgSz w:w="11906" w:h="16838"/>
      <w:pgMar w:top="567" w:right="1134" w:bottom="1134" w:left="1417" w:header="1418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5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spacing w:after="120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0"/>
                            <w:spacing w:after="120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  <w:spacing w:after="120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34330" cy="1828800"/>
          <wp:effectExtent l="0" t="0" r="13970" b="0"/>
          <wp:wrapNone/>
          <wp:docPr id="23" name="WordPictureWatermark355760" descr="536412e2a92574c54e3a6fb17ed307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WordPictureWatermark355760" descr="536412e2a92574c54e3a6fb17ed307a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433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  <w:rPr>
        <w:rFonts w:hint="default" w:ascii="Times New Roman" w:hAnsi="Times New Roman" w:eastAsia="宋体" w:cs="Times New Roman"/>
        <w:b/>
        <w:bCs/>
        <w:lang w:val="en-US" w:eastAsia="zh-CN"/>
      </w:rPr>
    </w:pPr>
    <w:r>
      <w:rPr>
        <w:rFonts w:hint="default" w:ascii="Times New Roman" w:hAnsi="Times New Roman" w:eastAsia="宋体" w:cs="Times New Roman"/>
        <w:b/>
        <w:bCs/>
        <w:sz w:val="21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34330" cy="1828800"/>
          <wp:effectExtent l="0" t="0" r="13970" b="0"/>
          <wp:wrapNone/>
          <wp:docPr id="28" name="WordPictureWatermark471594" descr="536412e2a92574c54e3a6fb17ed307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WordPictureWatermark471594" descr="536412e2a92574c54e3a6fb17ed307a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433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34330" cy="1828800"/>
          <wp:effectExtent l="0" t="0" r="13970" b="0"/>
          <wp:wrapNone/>
          <wp:docPr id="25" name="WordPictureWatermark393908" descr="536412e2a92574c54e3a6fb17ed307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PictureWatermark393908" descr="536412e2a92574c54e3a6fb17ed307a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433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rPr>
        <w:rFonts w:hint="default" w:ascii="Times New Roman" w:hAnsi="Times New Roman" w:eastAsia="宋体" w:cs="Times New Roman"/>
        <w:b/>
        <w:bCs/>
        <w:lang w:val="en-US" w:eastAsia="zh-CN"/>
      </w:rPr>
    </w:pPr>
    <w:r>
      <w:rPr>
        <w:rFonts w:hint="default" w:ascii="Times New Roman" w:hAnsi="Times New Roman" w:eastAsia="宋体" w:cs="Times New Roman"/>
        <w:b/>
        <w:bCs/>
        <w:sz w:val="21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34330" cy="1828800"/>
          <wp:effectExtent l="0" t="0" r="13970" b="0"/>
          <wp:wrapNone/>
          <wp:docPr id="27" name="WordPictureWatermark430614" descr="536412e2a92574c54e3a6fb17ed307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WordPictureWatermark430614" descr="536412e2a92574c54e3a6fb17ed307a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433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5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vertAlign w:val="baseline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3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8"/>
      <w:suff w:val="nothing"/>
      <w:lvlText w:val="%1   "/>
      <w:lvlJc w:val="left"/>
      <w:pPr>
        <w:ind w:left="544" w:hanging="181"/>
      </w:pPr>
      <w:rPr>
        <w:rFonts w:hint="eastAsia" w:ascii="宋体" w:hAns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2"/>
      <w:suff w:val="nothing"/>
      <w:lvlText w:val="%1　"/>
      <w:lvlJc w:val="left"/>
      <w:pPr>
        <w:ind w:left="42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3"/>
      <w:suff w:val="nothing"/>
      <w:lvlText w:val="%1.%2.%3　"/>
      <w:lvlJc w:val="left"/>
      <w:pPr>
        <w:ind w:left="147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1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8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9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3"/>
      <w:suff w:val="nothing"/>
      <w:lvlText w:val="表%1　"/>
      <w:lvlJc w:val="left"/>
      <w:pPr>
        <w:ind w:left="378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9"/>
      <w:suff w:val="nothing"/>
      <w:lvlText w:val="%1.%2　"/>
      <w:lvlJc w:val="left"/>
      <w:pPr>
        <w:ind w:left="1785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8D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4406E"/>
    <w:rsid w:val="00067CDF"/>
    <w:rsid w:val="00074FBE"/>
    <w:rsid w:val="00083A09"/>
    <w:rsid w:val="0009005E"/>
    <w:rsid w:val="00092857"/>
    <w:rsid w:val="0009756B"/>
    <w:rsid w:val="000A20A9"/>
    <w:rsid w:val="000A48B1"/>
    <w:rsid w:val="000B3143"/>
    <w:rsid w:val="000C6B05"/>
    <w:rsid w:val="000C6DD6"/>
    <w:rsid w:val="000C73D4"/>
    <w:rsid w:val="000C77A3"/>
    <w:rsid w:val="000D3D4C"/>
    <w:rsid w:val="000D4F51"/>
    <w:rsid w:val="000D718B"/>
    <w:rsid w:val="000E0C46"/>
    <w:rsid w:val="000F030C"/>
    <w:rsid w:val="000F129C"/>
    <w:rsid w:val="000F5F26"/>
    <w:rsid w:val="001056DE"/>
    <w:rsid w:val="001124C0"/>
    <w:rsid w:val="0013175F"/>
    <w:rsid w:val="00134658"/>
    <w:rsid w:val="00134DC9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2853"/>
    <w:rsid w:val="00193037"/>
    <w:rsid w:val="00193A2C"/>
    <w:rsid w:val="001A288E"/>
    <w:rsid w:val="001B6DC2"/>
    <w:rsid w:val="001C149C"/>
    <w:rsid w:val="001C21AC"/>
    <w:rsid w:val="001C47BA"/>
    <w:rsid w:val="001C59EA"/>
    <w:rsid w:val="001C6463"/>
    <w:rsid w:val="001D357E"/>
    <w:rsid w:val="001D406C"/>
    <w:rsid w:val="001D41EE"/>
    <w:rsid w:val="001E0380"/>
    <w:rsid w:val="001E13B1"/>
    <w:rsid w:val="001F3A19"/>
    <w:rsid w:val="002015C5"/>
    <w:rsid w:val="00234467"/>
    <w:rsid w:val="00237D8D"/>
    <w:rsid w:val="00241DA2"/>
    <w:rsid w:val="00247FEE"/>
    <w:rsid w:val="00250E7D"/>
    <w:rsid w:val="00252F8D"/>
    <w:rsid w:val="002565D5"/>
    <w:rsid w:val="002617FC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1542"/>
    <w:rsid w:val="002B4554"/>
    <w:rsid w:val="002C4067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0A7E"/>
    <w:rsid w:val="00301F39"/>
    <w:rsid w:val="00325926"/>
    <w:rsid w:val="00327A8A"/>
    <w:rsid w:val="00330C48"/>
    <w:rsid w:val="00336610"/>
    <w:rsid w:val="00343F73"/>
    <w:rsid w:val="00345060"/>
    <w:rsid w:val="0035323B"/>
    <w:rsid w:val="0035447B"/>
    <w:rsid w:val="003546DF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2EA0"/>
    <w:rsid w:val="00425082"/>
    <w:rsid w:val="00431DEB"/>
    <w:rsid w:val="00446B29"/>
    <w:rsid w:val="00453F9A"/>
    <w:rsid w:val="00466D4F"/>
    <w:rsid w:val="00471E91"/>
    <w:rsid w:val="00474675"/>
    <w:rsid w:val="0047470C"/>
    <w:rsid w:val="00475B9D"/>
    <w:rsid w:val="004A0737"/>
    <w:rsid w:val="004A35F9"/>
    <w:rsid w:val="004B24C1"/>
    <w:rsid w:val="004C292F"/>
    <w:rsid w:val="004E5E13"/>
    <w:rsid w:val="004F5ABD"/>
    <w:rsid w:val="0050228E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53665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5E2D19"/>
    <w:rsid w:val="00607255"/>
    <w:rsid w:val="0061716C"/>
    <w:rsid w:val="006243A1"/>
    <w:rsid w:val="00625EA7"/>
    <w:rsid w:val="00632E56"/>
    <w:rsid w:val="00635CBA"/>
    <w:rsid w:val="00642CA6"/>
    <w:rsid w:val="0064338B"/>
    <w:rsid w:val="00646542"/>
    <w:rsid w:val="006504F4"/>
    <w:rsid w:val="00654BC9"/>
    <w:rsid w:val="006552FD"/>
    <w:rsid w:val="00663AF3"/>
    <w:rsid w:val="00665426"/>
    <w:rsid w:val="00666B6C"/>
    <w:rsid w:val="00682682"/>
    <w:rsid w:val="00682702"/>
    <w:rsid w:val="00684CB7"/>
    <w:rsid w:val="00692368"/>
    <w:rsid w:val="006A2EBC"/>
    <w:rsid w:val="006A5EA0"/>
    <w:rsid w:val="006A783B"/>
    <w:rsid w:val="006A7B33"/>
    <w:rsid w:val="006B4E13"/>
    <w:rsid w:val="006B75DD"/>
    <w:rsid w:val="006C22F6"/>
    <w:rsid w:val="006C67E0"/>
    <w:rsid w:val="006C7ABA"/>
    <w:rsid w:val="006D0D60"/>
    <w:rsid w:val="006D1122"/>
    <w:rsid w:val="006D3C00"/>
    <w:rsid w:val="006E3675"/>
    <w:rsid w:val="006E4A7F"/>
    <w:rsid w:val="006F6313"/>
    <w:rsid w:val="00704DF6"/>
    <w:rsid w:val="0070651C"/>
    <w:rsid w:val="00706EE9"/>
    <w:rsid w:val="007132A3"/>
    <w:rsid w:val="00716421"/>
    <w:rsid w:val="00724EFB"/>
    <w:rsid w:val="007419C3"/>
    <w:rsid w:val="00741A19"/>
    <w:rsid w:val="00743EB4"/>
    <w:rsid w:val="00745029"/>
    <w:rsid w:val="007467A7"/>
    <w:rsid w:val="007469DD"/>
    <w:rsid w:val="0074741B"/>
    <w:rsid w:val="0074759E"/>
    <w:rsid w:val="007478EA"/>
    <w:rsid w:val="0075415C"/>
    <w:rsid w:val="00763502"/>
    <w:rsid w:val="00765026"/>
    <w:rsid w:val="007913AB"/>
    <w:rsid w:val="007914F7"/>
    <w:rsid w:val="007A0EAD"/>
    <w:rsid w:val="007B1625"/>
    <w:rsid w:val="007B331B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40DCE"/>
    <w:rsid w:val="008504A8"/>
    <w:rsid w:val="0085282E"/>
    <w:rsid w:val="00852BE1"/>
    <w:rsid w:val="0087198C"/>
    <w:rsid w:val="00872C1F"/>
    <w:rsid w:val="00873B42"/>
    <w:rsid w:val="008856D8"/>
    <w:rsid w:val="00892E82"/>
    <w:rsid w:val="008C1618"/>
    <w:rsid w:val="008C1B58"/>
    <w:rsid w:val="008C39AE"/>
    <w:rsid w:val="008C41E7"/>
    <w:rsid w:val="008C590D"/>
    <w:rsid w:val="008D5557"/>
    <w:rsid w:val="008E031B"/>
    <w:rsid w:val="008E2F9E"/>
    <w:rsid w:val="008E7029"/>
    <w:rsid w:val="008E7EF6"/>
    <w:rsid w:val="008F1F98"/>
    <w:rsid w:val="008F2E9D"/>
    <w:rsid w:val="008F360E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381D"/>
    <w:rsid w:val="00A25C38"/>
    <w:rsid w:val="00A303BD"/>
    <w:rsid w:val="00A36BBE"/>
    <w:rsid w:val="00A4307A"/>
    <w:rsid w:val="00A47EBB"/>
    <w:rsid w:val="00A51CDD"/>
    <w:rsid w:val="00A6730D"/>
    <w:rsid w:val="00A71625"/>
    <w:rsid w:val="00A71B9B"/>
    <w:rsid w:val="00A751C7"/>
    <w:rsid w:val="00A7670A"/>
    <w:rsid w:val="00A87844"/>
    <w:rsid w:val="00AA038C"/>
    <w:rsid w:val="00AA0F92"/>
    <w:rsid w:val="00AA15FB"/>
    <w:rsid w:val="00AA7A09"/>
    <w:rsid w:val="00AB3B50"/>
    <w:rsid w:val="00AC05B1"/>
    <w:rsid w:val="00AC7C2A"/>
    <w:rsid w:val="00AD08DE"/>
    <w:rsid w:val="00AD1FC2"/>
    <w:rsid w:val="00AD356C"/>
    <w:rsid w:val="00AE2914"/>
    <w:rsid w:val="00AE6D15"/>
    <w:rsid w:val="00AF4E7C"/>
    <w:rsid w:val="00AF65CA"/>
    <w:rsid w:val="00AF6EF1"/>
    <w:rsid w:val="00B04182"/>
    <w:rsid w:val="00B050B5"/>
    <w:rsid w:val="00B07AE3"/>
    <w:rsid w:val="00B11430"/>
    <w:rsid w:val="00B353EB"/>
    <w:rsid w:val="00B439C4"/>
    <w:rsid w:val="00B4535E"/>
    <w:rsid w:val="00B476DE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1CA4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66C8D"/>
    <w:rsid w:val="00C8691C"/>
    <w:rsid w:val="00CA168A"/>
    <w:rsid w:val="00CA357E"/>
    <w:rsid w:val="00CA44F9"/>
    <w:rsid w:val="00CA4A69"/>
    <w:rsid w:val="00CB18F2"/>
    <w:rsid w:val="00CC3E0C"/>
    <w:rsid w:val="00CC58D3"/>
    <w:rsid w:val="00CC784D"/>
    <w:rsid w:val="00D0337B"/>
    <w:rsid w:val="00D079B2"/>
    <w:rsid w:val="00D114E9"/>
    <w:rsid w:val="00D214BC"/>
    <w:rsid w:val="00D33A7C"/>
    <w:rsid w:val="00D429C6"/>
    <w:rsid w:val="00D47748"/>
    <w:rsid w:val="00D54CC3"/>
    <w:rsid w:val="00D5717D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E7824"/>
    <w:rsid w:val="00DF21E9"/>
    <w:rsid w:val="00E00F14"/>
    <w:rsid w:val="00E06386"/>
    <w:rsid w:val="00E10A4C"/>
    <w:rsid w:val="00E1682F"/>
    <w:rsid w:val="00E24EB4"/>
    <w:rsid w:val="00E320ED"/>
    <w:rsid w:val="00E33AFB"/>
    <w:rsid w:val="00E34218"/>
    <w:rsid w:val="00E36601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0CC"/>
    <w:rsid w:val="00F1417B"/>
    <w:rsid w:val="00F34B99"/>
    <w:rsid w:val="00F37579"/>
    <w:rsid w:val="00F52DAB"/>
    <w:rsid w:val="00F543F0"/>
    <w:rsid w:val="00F81D29"/>
    <w:rsid w:val="00F91C4D"/>
    <w:rsid w:val="00F92FD9"/>
    <w:rsid w:val="00FA6684"/>
    <w:rsid w:val="00FA6B47"/>
    <w:rsid w:val="00FA731E"/>
    <w:rsid w:val="00FB2B38"/>
    <w:rsid w:val="00FB5953"/>
    <w:rsid w:val="00FC6358"/>
    <w:rsid w:val="00FD320D"/>
    <w:rsid w:val="00FE23DE"/>
    <w:rsid w:val="00FE5CB9"/>
    <w:rsid w:val="00FF00FA"/>
    <w:rsid w:val="02352A0E"/>
    <w:rsid w:val="02602B00"/>
    <w:rsid w:val="028823DA"/>
    <w:rsid w:val="02A3276F"/>
    <w:rsid w:val="02C9203B"/>
    <w:rsid w:val="03135543"/>
    <w:rsid w:val="034723E2"/>
    <w:rsid w:val="03FF23A9"/>
    <w:rsid w:val="055A53DC"/>
    <w:rsid w:val="057F3208"/>
    <w:rsid w:val="0589143A"/>
    <w:rsid w:val="05C070E5"/>
    <w:rsid w:val="0619517D"/>
    <w:rsid w:val="06732DD2"/>
    <w:rsid w:val="069B7AE1"/>
    <w:rsid w:val="06C55750"/>
    <w:rsid w:val="07907947"/>
    <w:rsid w:val="079162A2"/>
    <w:rsid w:val="07FA703C"/>
    <w:rsid w:val="0847192C"/>
    <w:rsid w:val="08B952DA"/>
    <w:rsid w:val="092D689B"/>
    <w:rsid w:val="0A8657E3"/>
    <w:rsid w:val="0AA057F7"/>
    <w:rsid w:val="0B4C4EB1"/>
    <w:rsid w:val="0C7C238D"/>
    <w:rsid w:val="0CDE6377"/>
    <w:rsid w:val="0DFF6648"/>
    <w:rsid w:val="0E9B2EC6"/>
    <w:rsid w:val="0F1C3BCD"/>
    <w:rsid w:val="0FB12275"/>
    <w:rsid w:val="1154780A"/>
    <w:rsid w:val="12503995"/>
    <w:rsid w:val="126856BF"/>
    <w:rsid w:val="12933073"/>
    <w:rsid w:val="13DD09B1"/>
    <w:rsid w:val="157F12B0"/>
    <w:rsid w:val="1683496B"/>
    <w:rsid w:val="16974F74"/>
    <w:rsid w:val="172123D6"/>
    <w:rsid w:val="18F2402A"/>
    <w:rsid w:val="1B1A7C03"/>
    <w:rsid w:val="1BE0460E"/>
    <w:rsid w:val="1CC0638D"/>
    <w:rsid w:val="1CE935E4"/>
    <w:rsid w:val="1D727D31"/>
    <w:rsid w:val="1DE011DF"/>
    <w:rsid w:val="1DF83E91"/>
    <w:rsid w:val="1EBF71D8"/>
    <w:rsid w:val="1FF8153B"/>
    <w:rsid w:val="20690733"/>
    <w:rsid w:val="20D80B16"/>
    <w:rsid w:val="20E579F2"/>
    <w:rsid w:val="215C516C"/>
    <w:rsid w:val="21B62846"/>
    <w:rsid w:val="22F6550C"/>
    <w:rsid w:val="23DC34F9"/>
    <w:rsid w:val="251775DD"/>
    <w:rsid w:val="262A3CFE"/>
    <w:rsid w:val="26D51186"/>
    <w:rsid w:val="26DC6F2B"/>
    <w:rsid w:val="26DD689C"/>
    <w:rsid w:val="27071C0A"/>
    <w:rsid w:val="2729340F"/>
    <w:rsid w:val="29B716E2"/>
    <w:rsid w:val="2A68560E"/>
    <w:rsid w:val="2BE66FD6"/>
    <w:rsid w:val="2BF429FB"/>
    <w:rsid w:val="2C94740A"/>
    <w:rsid w:val="2CE311F4"/>
    <w:rsid w:val="2D263ADB"/>
    <w:rsid w:val="2DFE33F6"/>
    <w:rsid w:val="2E5E18B0"/>
    <w:rsid w:val="2E7B522D"/>
    <w:rsid w:val="2F3C4B2C"/>
    <w:rsid w:val="2F6A722B"/>
    <w:rsid w:val="30335D1B"/>
    <w:rsid w:val="30520327"/>
    <w:rsid w:val="327F64D7"/>
    <w:rsid w:val="32B902B8"/>
    <w:rsid w:val="32D307CE"/>
    <w:rsid w:val="32EE540A"/>
    <w:rsid w:val="33EC6E1D"/>
    <w:rsid w:val="33FA5C75"/>
    <w:rsid w:val="341D672D"/>
    <w:rsid w:val="345D3E8A"/>
    <w:rsid w:val="34C06223"/>
    <w:rsid w:val="350510A9"/>
    <w:rsid w:val="35212C65"/>
    <w:rsid w:val="3648701C"/>
    <w:rsid w:val="36AB5ED7"/>
    <w:rsid w:val="37C16C4A"/>
    <w:rsid w:val="37FA1725"/>
    <w:rsid w:val="39AD2B38"/>
    <w:rsid w:val="3A264154"/>
    <w:rsid w:val="3AA37C41"/>
    <w:rsid w:val="3B647A02"/>
    <w:rsid w:val="3CE16D4B"/>
    <w:rsid w:val="3D1A044E"/>
    <w:rsid w:val="3D2B5D50"/>
    <w:rsid w:val="3E6F4AD1"/>
    <w:rsid w:val="3FE34FFB"/>
    <w:rsid w:val="402F396D"/>
    <w:rsid w:val="409F3C41"/>
    <w:rsid w:val="41051C8D"/>
    <w:rsid w:val="41707EC5"/>
    <w:rsid w:val="42870FAC"/>
    <w:rsid w:val="42CB3072"/>
    <w:rsid w:val="434020E3"/>
    <w:rsid w:val="47D95488"/>
    <w:rsid w:val="48DF5D98"/>
    <w:rsid w:val="49AD34D2"/>
    <w:rsid w:val="4A377D11"/>
    <w:rsid w:val="4B332897"/>
    <w:rsid w:val="4BDE61AD"/>
    <w:rsid w:val="4EE63744"/>
    <w:rsid w:val="4F585C8E"/>
    <w:rsid w:val="4FD0602A"/>
    <w:rsid w:val="4FEC0C22"/>
    <w:rsid w:val="500D40BD"/>
    <w:rsid w:val="500F0276"/>
    <w:rsid w:val="52233BBA"/>
    <w:rsid w:val="526C7711"/>
    <w:rsid w:val="52842D66"/>
    <w:rsid w:val="532D4537"/>
    <w:rsid w:val="53A02262"/>
    <w:rsid w:val="53A70821"/>
    <w:rsid w:val="54CF51E4"/>
    <w:rsid w:val="553E4663"/>
    <w:rsid w:val="559A7000"/>
    <w:rsid w:val="55D14D39"/>
    <w:rsid w:val="561A3111"/>
    <w:rsid w:val="56E248B5"/>
    <w:rsid w:val="570C21D1"/>
    <w:rsid w:val="571862B9"/>
    <w:rsid w:val="57592CB3"/>
    <w:rsid w:val="579E5E7A"/>
    <w:rsid w:val="596B3016"/>
    <w:rsid w:val="59D54562"/>
    <w:rsid w:val="5AE1323D"/>
    <w:rsid w:val="5D074C6E"/>
    <w:rsid w:val="5D937742"/>
    <w:rsid w:val="5EC450EE"/>
    <w:rsid w:val="5EF7285C"/>
    <w:rsid w:val="5FF54D89"/>
    <w:rsid w:val="611D1F05"/>
    <w:rsid w:val="621F117E"/>
    <w:rsid w:val="6257728D"/>
    <w:rsid w:val="62EF570F"/>
    <w:rsid w:val="63526FB1"/>
    <w:rsid w:val="63D43E74"/>
    <w:rsid w:val="646A23A6"/>
    <w:rsid w:val="65072CA8"/>
    <w:rsid w:val="6509385A"/>
    <w:rsid w:val="65AF09CE"/>
    <w:rsid w:val="662238C9"/>
    <w:rsid w:val="669941C1"/>
    <w:rsid w:val="687C3BE0"/>
    <w:rsid w:val="68A30504"/>
    <w:rsid w:val="69E35563"/>
    <w:rsid w:val="69EA5E50"/>
    <w:rsid w:val="6AEA4C20"/>
    <w:rsid w:val="6B5742CE"/>
    <w:rsid w:val="6CE27C96"/>
    <w:rsid w:val="6D397B2E"/>
    <w:rsid w:val="6DF7217F"/>
    <w:rsid w:val="6E145AAB"/>
    <w:rsid w:val="6F357A23"/>
    <w:rsid w:val="70AC1D35"/>
    <w:rsid w:val="70DD7FB2"/>
    <w:rsid w:val="71361BB8"/>
    <w:rsid w:val="71DF7086"/>
    <w:rsid w:val="72154454"/>
    <w:rsid w:val="72715730"/>
    <w:rsid w:val="744304F4"/>
    <w:rsid w:val="74A26DC0"/>
    <w:rsid w:val="75232439"/>
    <w:rsid w:val="75942E2C"/>
    <w:rsid w:val="75AC726F"/>
    <w:rsid w:val="76EA7B05"/>
    <w:rsid w:val="78433FF2"/>
    <w:rsid w:val="7A721A4A"/>
    <w:rsid w:val="7B186DD1"/>
    <w:rsid w:val="7B770DBB"/>
    <w:rsid w:val="7C4C1BFC"/>
    <w:rsid w:val="7CDB6007"/>
    <w:rsid w:val="7CFE6C00"/>
    <w:rsid w:val="7DDC05A9"/>
    <w:rsid w:val="7FB05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endnote text"/>
    <w:basedOn w:val="1"/>
    <w:semiHidden/>
    <w:qFormat/>
    <w:uiPriority w:val="0"/>
    <w:pPr>
      <w:snapToGrid w:val="0"/>
      <w:jc w:val="left"/>
    </w:p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1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3840" w:lineRule="auto"/>
      <w:ind w:firstLine="420" w:firstLineChars="20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9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1">
    <w:name w:val="Table Grid"/>
    <w:basedOn w:val="30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33">
    <w:name w:val="endnote reference"/>
    <w:basedOn w:val="32"/>
    <w:semiHidden/>
    <w:qFormat/>
    <w:uiPriority w:val="0"/>
    <w:rPr>
      <w:vertAlign w:val="superscript"/>
    </w:rPr>
  </w:style>
  <w:style w:type="character" w:styleId="34">
    <w:name w:val="page number"/>
    <w:basedOn w:val="32"/>
    <w:qFormat/>
    <w:uiPriority w:val="0"/>
    <w:rPr>
      <w:rFonts w:ascii="Times New Roman" w:hAnsi="Times New Roman" w:eastAsia="宋体"/>
      <w:sz w:val="18"/>
    </w:rPr>
  </w:style>
  <w:style w:type="character" w:styleId="35">
    <w:name w:val="FollowedHyperlink"/>
    <w:basedOn w:val="32"/>
    <w:qFormat/>
    <w:uiPriority w:val="0"/>
    <w:rPr>
      <w:color w:val="800080"/>
      <w:u w:val="single"/>
    </w:rPr>
  </w:style>
  <w:style w:type="character" w:styleId="36">
    <w:name w:val="Hyperlink"/>
    <w:basedOn w:val="32"/>
    <w:qFormat/>
    <w:uiPriority w:val="0"/>
    <w:rPr>
      <w:color w:val="0000FF"/>
      <w:spacing w:val="0"/>
      <w:w w:val="100"/>
      <w:szCs w:val="21"/>
      <w:u w:val="single"/>
    </w:rPr>
  </w:style>
  <w:style w:type="character" w:styleId="37">
    <w:name w:val="footnote reference"/>
    <w:basedOn w:val="32"/>
    <w:semiHidden/>
    <w:qFormat/>
    <w:uiPriority w:val="0"/>
    <w:rPr>
      <w:vertAlign w:val="superscript"/>
    </w:rPr>
  </w:style>
  <w:style w:type="character" w:customStyle="1" w:styleId="38">
    <w:name w:val="段 Char"/>
    <w:basedOn w:val="32"/>
    <w:link w:val="21"/>
    <w:qFormat/>
    <w:uiPriority w:val="0"/>
    <w:rPr>
      <w:rFonts w:ascii="宋体" w:hAnsi="宋体" w:eastAsia="宋体"/>
      <w:sz w:val="21"/>
      <w:lang w:val="en-US" w:eastAsia="zh-CN" w:bidi="ar-SA"/>
    </w:rPr>
  </w:style>
  <w:style w:type="paragraph" w:customStyle="1" w:styleId="39">
    <w:name w:val="一级条标题"/>
    <w:next w:val="21"/>
    <w:link w:val="137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章标题"/>
    <w:next w:val="21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二级条标题"/>
    <w:basedOn w:val="39"/>
    <w:next w:val="21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4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5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目次、标准名称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8">
    <w:name w:val="三级条标题"/>
    <w:basedOn w:val="43"/>
    <w:next w:val="21"/>
    <w:qFormat/>
    <w:uiPriority w:val="0"/>
    <w:pPr>
      <w:numPr>
        <w:ilvl w:val="3"/>
        <w:numId w:val="2"/>
      </w:numPr>
      <w:outlineLvl w:val="4"/>
    </w:pPr>
  </w:style>
  <w:style w:type="paragraph" w:customStyle="1" w:styleId="49">
    <w:name w:val="示例"/>
    <w:next w:val="50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1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四级条标题"/>
    <w:basedOn w:val="48"/>
    <w:next w:val="21"/>
    <w:qFormat/>
    <w:uiPriority w:val="0"/>
    <w:pPr>
      <w:numPr>
        <w:ilvl w:val="4"/>
        <w:numId w:val="2"/>
      </w:numPr>
      <w:outlineLvl w:val="5"/>
    </w:pPr>
  </w:style>
  <w:style w:type="paragraph" w:customStyle="1" w:styleId="53">
    <w:name w:val="五级条标题"/>
    <w:basedOn w:val="52"/>
    <w:next w:val="21"/>
    <w:qFormat/>
    <w:uiPriority w:val="0"/>
    <w:pPr>
      <w:numPr>
        <w:ilvl w:val="5"/>
        <w:numId w:val="2"/>
      </w:numPr>
      <w:outlineLvl w:val="6"/>
    </w:pPr>
  </w:style>
  <w:style w:type="paragraph" w:customStyle="1" w:styleId="54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8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示例×："/>
    <w:basedOn w:val="42"/>
    <w:qFormat/>
    <w:uiPriority w:val="0"/>
    <w:pPr>
      <w:numPr>
        <w:ilvl w:val="0"/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60">
    <w:name w:val="二级无"/>
    <w:basedOn w:val="43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61">
    <w:name w:val="注：（正文）"/>
    <w:basedOn w:val="54"/>
    <w:next w:val="21"/>
    <w:qFormat/>
    <w:uiPriority w:val="0"/>
  </w:style>
  <w:style w:type="paragraph" w:customStyle="1" w:styleId="62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4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5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标准书眉_偶数页"/>
    <w:basedOn w:val="41"/>
    <w:next w:val="1"/>
    <w:qFormat/>
    <w:uiPriority w:val="0"/>
    <w:pPr>
      <w:jc w:val="left"/>
    </w:pPr>
    <w:rPr>
      <w:rFonts w:ascii="黑体" w:eastAsia="黑体"/>
    </w:rPr>
  </w:style>
  <w:style w:type="paragraph" w:customStyle="1" w:styleId="6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8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9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0">
    <w:name w:val="发布"/>
    <w:basedOn w:val="32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1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2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3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6">
    <w:name w:val="封面标准英文名称"/>
    <w:basedOn w:val="75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7">
    <w:name w:val="封面一致性程度标识"/>
    <w:basedOn w:val="76"/>
    <w:qFormat/>
    <w:uiPriority w:val="0"/>
    <w:pPr>
      <w:spacing w:before="440"/>
    </w:pPr>
    <w:rPr>
      <w:rFonts w:ascii="宋体" w:eastAsia="宋体"/>
    </w:rPr>
  </w:style>
  <w:style w:type="paragraph" w:customStyle="1" w:styleId="78">
    <w:name w:val="封面标准文稿类别"/>
    <w:basedOn w:val="77"/>
    <w:qFormat/>
    <w:uiPriority w:val="0"/>
    <w:pPr>
      <w:spacing w:after="160" w:line="240" w:lineRule="auto"/>
    </w:pPr>
    <w:rPr>
      <w:sz w:val="24"/>
    </w:rPr>
  </w:style>
  <w:style w:type="paragraph" w:customStyle="1" w:styleId="79">
    <w:name w:val="封面标准文稿编辑信息"/>
    <w:basedOn w:val="78"/>
    <w:qFormat/>
    <w:uiPriority w:val="0"/>
    <w:pPr>
      <w:spacing w:before="180" w:line="180" w:lineRule="exact"/>
    </w:pPr>
    <w:rPr>
      <w:sz w:val="21"/>
    </w:rPr>
  </w:style>
  <w:style w:type="paragraph" w:customStyle="1" w:styleId="8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1">
    <w:name w:val="附录标识"/>
    <w:basedOn w:val="1"/>
    <w:next w:val="21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2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3">
    <w:name w:val="附录表标号"/>
    <w:basedOn w:val="1"/>
    <w:next w:val="21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4">
    <w:name w:val="附录表标题"/>
    <w:basedOn w:val="1"/>
    <w:next w:val="21"/>
    <w:qFormat/>
    <w:uiPriority w:val="0"/>
    <w:pPr>
      <w:numPr>
        <w:ilvl w:val="1"/>
        <w:numId w:val="1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5">
    <w:name w:val="附录二级条标题"/>
    <w:basedOn w:val="1"/>
    <w:next w:val="21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6">
    <w:name w:val="附录二级无"/>
    <w:basedOn w:val="85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7">
    <w:name w:val="附录公式"/>
    <w:basedOn w:val="21"/>
    <w:next w:val="21"/>
    <w:link w:val="88"/>
    <w:qFormat/>
    <w:uiPriority w:val="0"/>
  </w:style>
  <w:style w:type="character" w:customStyle="1" w:styleId="88">
    <w:name w:val="附录公式 Char"/>
    <w:basedOn w:val="38"/>
    <w:link w:val="87"/>
    <w:qFormat/>
    <w:uiPriority w:val="0"/>
  </w:style>
  <w:style w:type="paragraph" w:customStyle="1" w:styleId="89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0">
    <w:name w:val="附录三级条标题"/>
    <w:basedOn w:val="85"/>
    <w:next w:val="21"/>
    <w:qFormat/>
    <w:uiPriority w:val="0"/>
    <w:pPr>
      <w:numPr>
        <w:ilvl w:val="4"/>
        <w:numId w:val="10"/>
      </w:numPr>
      <w:outlineLvl w:val="4"/>
    </w:pPr>
  </w:style>
  <w:style w:type="paragraph" w:customStyle="1" w:styleId="91">
    <w:name w:val="附录三级无"/>
    <w:basedOn w:val="90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2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附录四级条标题"/>
    <w:basedOn w:val="90"/>
    <w:next w:val="21"/>
    <w:qFormat/>
    <w:uiPriority w:val="0"/>
    <w:pPr>
      <w:numPr>
        <w:ilvl w:val="5"/>
        <w:numId w:val="10"/>
      </w:numPr>
      <w:outlineLvl w:val="5"/>
    </w:pPr>
  </w:style>
  <w:style w:type="paragraph" w:customStyle="1" w:styleId="94">
    <w:name w:val="附录四级无"/>
    <w:basedOn w:val="93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5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6">
    <w:name w:val="附录图标题"/>
    <w:basedOn w:val="1"/>
    <w:next w:val="21"/>
    <w:qFormat/>
    <w:uiPriority w:val="0"/>
    <w:pPr>
      <w:numPr>
        <w:ilvl w:val="1"/>
        <w:numId w:val="13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7">
    <w:name w:val="附录五级条标题"/>
    <w:basedOn w:val="93"/>
    <w:next w:val="21"/>
    <w:qFormat/>
    <w:uiPriority w:val="0"/>
    <w:pPr>
      <w:numPr>
        <w:ilvl w:val="6"/>
        <w:numId w:val="10"/>
      </w:numPr>
      <w:outlineLvl w:val="6"/>
    </w:pPr>
  </w:style>
  <w:style w:type="paragraph" w:customStyle="1" w:styleId="98">
    <w:name w:val="附录五级无"/>
    <w:basedOn w:val="9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9">
    <w:name w:val="附录章标题"/>
    <w:next w:val="21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0">
    <w:name w:val="附录一级条标题"/>
    <w:basedOn w:val="99"/>
    <w:next w:val="21"/>
    <w:qFormat/>
    <w:uiPriority w:val="0"/>
    <w:pPr>
      <w:numPr>
        <w:ilvl w:val="2"/>
        <w:numId w:val="10"/>
      </w:numPr>
      <w:autoSpaceDN w:val="0"/>
      <w:spacing w:before="50" w:beforeLines="50" w:after="50" w:afterLines="50"/>
      <w:outlineLvl w:val="2"/>
    </w:pPr>
  </w:style>
  <w:style w:type="paragraph" w:customStyle="1" w:styleId="101">
    <w:name w:val="附录一级无"/>
    <w:basedOn w:val="100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2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4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其他标准标志"/>
    <w:basedOn w:val="63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7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8">
    <w:name w:val="其他发布部门"/>
    <w:basedOn w:val="71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9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三级无"/>
    <w:basedOn w:val="4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1">
    <w:name w:val="实施日期"/>
    <w:basedOn w:val="72"/>
    <w:qFormat/>
    <w:uiPriority w:val="0"/>
    <w:pPr>
      <w:framePr w:vAnchor="page" w:hAnchor="page"/>
      <w:jc w:val="right"/>
    </w:pPr>
  </w:style>
  <w:style w:type="paragraph" w:customStyle="1" w:styleId="112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3">
    <w:name w:val="首示例"/>
    <w:next w:val="21"/>
    <w:link w:val="114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4">
    <w:name w:val="首示例 Char"/>
    <w:basedOn w:val="32"/>
    <w:link w:val="113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5">
    <w:name w:val="四级无"/>
    <w:basedOn w:val="5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6">
    <w:name w:val="条文脚注"/>
    <w:basedOn w:val="22"/>
    <w:qFormat/>
    <w:uiPriority w:val="0"/>
    <w:pPr>
      <w:numPr>
        <w:ilvl w:val="0"/>
        <w:numId w:val="0"/>
      </w:numPr>
      <w:tabs>
        <w:tab w:val="clear" w:pos="0"/>
      </w:tabs>
      <w:jc w:val="both"/>
    </w:pPr>
    <w:rPr>
      <w:rFonts w:ascii="宋体"/>
    </w:rPr>
  </w:style>
  <w:style w:type="paragraph" w:customStyle="1" w:styleId="117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8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9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1">
    <w:name w:val="五级无"/>
    <w:basedOn w:val="5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2">
    <w:name w:val="一级无"/>
    <w:basedOn w:val="3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3">
    <w:name w:val="正文表标题"/>
    <w:next w:val="21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5">
    <w:name w:val="正文图标题"/>
    <w:next w:val="21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7">
    <w:name w:val="其他发布日期"/>
    <w:basedOn w:val="72"/>
    <w:qFormat/>
    <w:uiPriority w:val="0"/>
    <w:pPr>
      <w:framePr w:vAnchor="page" w:hAnchor="page" w:x="1419"/>
    </w:pPr>
  </w:style>
  <w:style w:type="paragraph" w:customStyle="1" w:styleId="128">
    <w:name w:val="其他实施日期"/>
    <w:basedOn w:val="111"/>
    <w:qFormat/>
    <w:uiPriority w:val="0"/>
  </w:style>
  <w:style w:type="paragraph" w:customStyle="1" w:styleId="129">
    <w:name w:val="封面标准名称2"/>
    <w:basedOn w:val="75"/>
    <w:qFormat/>
    <w:uiPriority w:val="0"/>
    <w:pPr>
      <w:framePr w:y="4469"/>
      <w:spacing w:before="630" w:beforeLines="630"/>
    </w:pPr>
  </w:style>
  <w:style w:type="paragraph" w:customStyle="1" w:styleId="130">
    <w:name w:val="封面标准英文名称2"/>
    <w:basedOn w:val="76"/>
    <w:qFormat/>
    <w:uiPriority w:val="0"/>
    <w:pPr>
      <w:framePr w:y="4469"/>
    </w:pPr>
  </w:style>
  <w:style w:type="paragraph" w:customStyle="1" w:styleId="131">
    <w:name w:val="封面一致性程度标识2"/>
    <w:basedOn w:val="77"/>
    <w:qFormat/>
    <w:uiPriority w:val="0"/>
    <w:pPr>
      <w:framePr w:y="4469"/>
    </w:pPr>
  </w:style>
  <w:style w:type="paragraph" w:customStyle="1" w:styleId="132">
    <w:name w:val="封面标准文稿类别2"/>
    <w:basedOn w:val="78"/>
    <w:qFormat/>
    <w:uiPriority w:val="0"/>
    <w:pPr>
      <w:framePr w:y="4469"/>
    </w:pPr>
  </w:style>
  <w:style w:type="paragraph" w:customStyle="1" w:styleId="133">
    <w:name w:val="封面标准文稿编辑信息2"/>
    <w:basedOn w:val="79"/>
    <w:qFormat/>
    <w:uiPriority w:val="0"/>
    <w:pPr>
      <w:framePr w:y="4469"/>
    </w:pPr>
  </w:style>
  <w:style w:type="character" w:customStyle="1" w:styleId="134">
    <w:name w:val=" Char Char10"/>
    <w:basedOn w:val="32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35">
    <w:name w:val="fontstyle01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136">
    <w:name w:val="fontstyle21"/>
    <w:qFormat/>
    <w:uiPriority w:val="0"/>
    <w:rPr>
      <w:rFonts w:hint="eastAsia" w:ascii="黑体" w:hAnsi="黑体" w:eastAsia="黑体"/>
      <w:color w:val="000000"/>
      <w:sz w:val="22"/>
      <w:szCs w:val="22"/>
    </w:rPr>
  </w:style>
  <w:style w:type="character" w:customStyle="1" w:styleId="137">
    <w:name w:val="一级条标题 Char"/>
    <w:link w:val="39"/>
    <w:qFormat/>
    <w:uiPriority w:val="0"/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3590;&#31185;&#25152;4&#26376;12\&#24449;&#27714;&#24847;&#35265;&#31295;\&#36149;&#24030;&#26080;&#20844;&#23475;&#33590;&#21494;&#20135;&#22320;&#29615;&#22659;&#26465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贵州无公害茶叶产地环境条件</Template>
  <Company>zle</Company>
  <Pages>7</Pages>
  <Words>2014</Words>
  <Characters>2765</Characters>
  <Lines>35</Lines>
  <Paragraphs>10</Paragraphs>
  <TotalTime>0</TotalTime>
  <ScaleCrop>false</ScaleCrop>
  <LinksUpToDate>false</LinksUpToDate>
  <CharactersWithSpaces>2881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2010-04-26T03:09:00Z</dcterms:created>
  <dc:creator>许礼静</dc:creator>
  <cp:lastModifiedBy>Administrator</cp:lastModifiedBy>
  <cp:lastPrinted>2023-06-26T01:43:00Z</cp:lastPrinted>
  <dcterms:modified xsi:type="dcterms:W3CDTF">2023-06-27T03:02:45Z</dcterms:modified>
  <dc:title>标准名称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070E1158325B4928A0F07170161087CE</vt:lpwstr>
  </property>
</Properties>
</file>