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77.120.60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H13</w:t>
            </w:r>
            <w:r>
              <w:rPr>
                <w:rFonts w:ascii="黑体" w:hAnsi="黑体" w:eastAsia="黑体"/>
                <w:sz w:val="21"/>
                <w:szCs w:val="21"/>
              </w:rPr>
              <w:fldChar w:fldCharType="end"/>
            </w:r>
            <w:bookmarkEnd w:id="1"/>
          </w:p>
        </w:tc>
      </w:tr>
    </w:tbl>
    <w:p>
      <w:pPr>
        <w:pStyle w:val="51"/>
        <w:framePr w:w="9639" w:h="624" w:hRule="exact" w:hSpace="181" w:vSpace="181" w:wrap="around" w:hAnchor="page" w:x="1305" w:y="2269"/>
        <w:rPr>
          <w:rFonts w:ascii="黑体" w:hAnsi="黑体" w:eastAsia="黑体"/>
          <w:b w:val="0"/>
          <w:bCs w:val="0"/>
          <w:w w:val="100"/>
          <w:szCs w:val="52"/>
        </w:rPr>
      </w:pPr>
      <w:bookmarkStart w:id="2" w:name="_Hlk26473981"/>
      <w:r>
        <w:rPr>
          <w:rFonts w:hint="eastAsia" w:ascii="黑体" w:eastAsia="黑体"/>
          <w:b w:val="0"/>
          <w:w w:val="100"/>
          <w:szCs w:val="52"/>
        </w:rPr>
        <w:t>团体</w:t>
      </w:r>
      <w:r>
        <w:rPr>
          <w:rFonts w:hint="eastAsia" w:ascii="黑体" w:hAnsi="黑体" w:eastAsia="黑体"/>
          <w:b w:val="0"/>
          <w:bCs w:val="0"/>
          <w:w w:val="100"/>
          <w:szCs w:val="52"/>
        </w:rPr>
        <w:t>标准</w:t>
      </w:r>
    </w:p>
    <w:bookmarkEnd w:id="2"/>
    <w:p>
      <w:pPr>
        <w:pStyle w:val="196"/>
        <w:framePr/>
      </w:pPr>
    </w:p>
    <w:p>
      <w:pPr>
        <w:pStyle w:val="196"/>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HNNMIA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rPr>
        <w:t>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202X</w:t>
      </w:r>
      <w:r>
        <w:fldChar w:fldCharType="end"/>
      </w:r>
      <w:bookmarkEnd w:id="5"/>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锌精矿化学分析方法</w:t>
      </w:r>
      <w:r>
        <w:cr/>
      </w:r>
      <w:r>
        <w:t>氯含量的测定</w:t>
      </w:r>
      <w:r>
        <w:cr/>
      </w:r>
      <w:r>
        <w:t>氯化银比浊法</w:t>
      </w:r>
      <w:r>
        <w:fldChar w:fldCharType="end"/>
      </w:r>
      <w:bookmarkEnd w:id="6"/>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 xml:space="preserve">Chemical analysis methods for zinc concentrates - </w:t>
      </w:r>
    </w:p>
    <w:p>
      <w:pPr>
        <w:pStyle w:val="126"/>
        <w:framePr w:w="9639" w:h="6974" w:hRule="exact" w:wrap="around" w:vAnchor="page" w:hAnchor="page" w:x="1419" w:y="6408" w:anchorLock="1"/>
        <w:textAlignment w:val="bottom"/>
        <w:rPr>
          <w:rFonts w:eastAsia="黑体"/>
          <w:szCs w:val="28"/>
        </w:rPr>
      </w:pPr>
      <w:r>
        <w:rPr>
          <w:rFonts w:eastAsia="黑体"/>
          <w:szCs w:val="28"/>
        </w:rPr>
        <w:t xml:space="preserve">Determination of chlorine content - </w:t>
      </w:r>
    </w:p>
    <w:p>
      <w:pPr>
        <w:pStyle w:val="126"/>
        <w:framePr w:w="9639" w:h="6974" w:hRule="exact" w:wrap="around" w:vAnchor="page" w:hAnchor="page" w:x="1419" w:y="6408" w:anchorLock="1"/>
        <w:textAlignment w:val="bottom"/>
        <w:rPr>
          <w:rFonts w:eastAsia="黑体"/>
          <w:szCs w:val="28"/>
        </w:rPr>
      </w:pPr>
      <w:r>
        <w:rPr>
          <w:rFonts w:eastAsia="黑体"/>
          <w:szCs w:val="28"/>
        </w:rPr>
        <w:t>Silver chloride turbidimetric method</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9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河南省有色金属行业协会</w:t>
      </w:r>
      <w:r>
        <w:rPr>
          <w:rFonts w:hAnsi="黑体"/>
          <w:w w:val="100"/>
          <w:sz w:val="28"/>
        </w:rPr>
        <w:fldChar w:fldCharType="end"/>
      </w:r>
      <w:bookmarkEnd w:id="15"/>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360"/>
      </w:pPr>
      <w:bookmarkStart w:id="16"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本文件由河南豫光锌业有限公司提出。</w:t>
      </w:r>
    </w:p>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本文件由河南省有色金属行业协会归口。</w:t>
      </w:r>
    </w:p>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本文件起草单位：河南豫光锌业有限公司、河南豫光金铅股份有限公司、中州铝业有限公司</w:t>
      </w:r>
    </w:p>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本文件主要起草人：徐淑敏、李艳晶、牛鹏波、周玲、耿翠翠、赵晓文、周君玲、张海丽、王阳阳、贾青、贺婕。</w:t>
      </w:r>
    </w:p>
    <w:p>
      <w:pPr>
        <w:pStyle w:val="57"/>
        <w:ind w:firstLine="420"/>
      </w:pPr>
    </w:p>
    <w:p>
      <w:pPr>
        <w:pStyle w:val="57"/>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16"/>
    <w:p>
      <w:pPr>
        <w:spacing w:line="20" w:lineRule="exact"/>
        <w:jc w:val="center"/>
        <w:rPr>
          <w:rFonts w:ascii="黑体" w:hAnsi="黑体" w:eastAsia="黑体"/>
          <w:sz w:val="32"/>
          <w:szCs w:val="32"/>
        </w:rPr>
      </w:pPr>
      <w:bookmarkStart w:id="17" w:name="BookMark4"/>
    </w:p>
    <w:p>
      <w:pPr>
        <w:spacing w:line="20" w:lineRule="exact"/>
        <w:jc w:val="center"/>
        <w:rPr>
          <w:rFonts w:ascii="黑体" w:hAnsi="黑体" w:eastAsia="黑体"/>
          <w:sz w:val="32"/>
          <w:szCs w:val="32"/>
        </w:rPr>
      </w:pPr>
    </w:p>
    <w:sdt>
      <w:sdtPr>
        <w:tag w:val="NEW_STAND_NAME"/>
        <w:id w:val="595910757"/>
        <w:lock w:val="sdtLocked"/>
        <w:placeholder>
          <w:docPart w:val="0E2B182A2D4D4CE8A0A6E4FF476FF90E"/>
        </w:placeholder>
      </w:sdtPr>
      <w:sdtContent>
        <w:p>
          <w:pPr>
            <w:pStyle w:val="178"/>
            <w:spacing w:before="240" w:beforeLines="100" w:after="2" w:afterLines="1"/>
          </w:pPr>
          <w:bookmarkStart w:id="18" w:name="NEW_STAND_NAME"/>
          <w:r>
            <w:rPr>
              <w:rFonts w:hint="eastAsia"/>
            </w:rPr>
            <w:t>锌精矿化学分析方法</w:t>
          </w:r>
        </w:p>
        <w:p>
          <w:pPr>
            <w:pStyle w:val="178"/>
            <w:spacing w:before="2" w:beforeLines="1" w:after="2" w:afterLines="1"/>
          </w:pPr>
          <w:r>
            <w:rPr>
              <w:rFonts w:hint="eastAsia"/>
            </w:rPr>
            <w:t>氯含量的测定</w:t>
          </w:r>
        </w:p>
        <w:p>
          <w:pPr>
            <w:pStyle w:val="178"/>
            <w:spacing w:before="2" w:beforeLines="1" w:after="680"/>
          </w:pPr>
          <w:r>
            <w:rPr>
              <w:rFonts w:hint="eastAsia"/>
            </w:rPr>
            <w:t>氯化银比浊法</w:t>
          </w:r>
        </w:p>
      </w:sdtContent>
    </w:sdt>
    <w:bookmarkEnd w:id="18"/>
    <w:p>
      <w:pPr>
        <w:pStyle w:val="105"/>
        <w:spacing w:before="240" w:after="240"/>
      </w:pPr>
      <w:bookmarkStart w:id="19" w:name="_Toc26718930"/>
      <w:bookmarkStart w:id="20" w:name="_Toc97192964"/>
      <w:bookmarkStart w:id="21" w:name="_Toc26986530"/>
      <w:bookmarkStart w:id="22" w:name="_Toc24884211"/>
      <w:bookmarkStart w:id="23" w:name="_Toc26648465"/>
      <w:bookmarkStart w:id="24" w:name="_Toc26986771"/>
      <w:bookmarkStart w:id="25" w:name="_Toc17233333"/>
      <w:bookmarkStart w:id="26" w:name="_Toc24884218"/>
      <w:bookmarkStart w:id="27" w:name="_Toc17233325"/>
      <w:r>
        <w:rPr>
          <w:rFonts w:hint="eastAsia"/>
        </w:rPr>
        <w:t>范围</w:t>
      </w:r>
      <w:bookmarkEnd w:id="19"/>
      <w:bookmarkEnd w:id="20"/>
      <w:bookmarkEnd w:id="21"/>
      <w:bookmarkEnd w:id="22"/>
      <w:bookmarkEnd w:id="23"/>
      <w:bookmarkEnd w:id="24"/>
      <w:bookmarkEnd w:id="25"/>
      <w:bookmarkEnd w:id="26"/>
      <w:bookmarkEnd w:id="27"/>
    </w:p>
    <w:p>
      <w:pPr>
        <w:pStyle w:val="57"/>
        <w:ind w:firstLine="420"/>
      </w:pPr>
      <w:bookmarkStart w:id="28" w:name="_Toc17233326"/>
      <w:bookmarkStart w:id="29" w:name="_Toc24884212"/>
      <w:bookmarkStart w:id="30" w:name="_Toc26648466"/>
      <w:bookmarkStart w:id="31" w:name="_Toc24884219"/>
      <w:bookmarkStart w:id="32" w:name="_Toc17233334"/>
      <w:r>
        <w:rPr>
          <w:rFonts w:hint="eastAsia" w:hAnsi="宋体"/>
        </w:rPr>
        <w:t>本文件描述了</w:t>
      </w:r>
      <w:r>
        <w:rPr>
          <w:rFonts w:hint="eastAsia"/>
        </w:rPr>
        <w:t>锌精矿中氯含量</w:t>
      </w:r>
      <w:r>
        <w:rPr>
          <w:rFonts w:hint="eastAsia" w:hAnsi="宋体"/>
        </w:rPr>
        <w:t>的测定方法。</w:t>
      </w:r>
    </w:p>
    <w:p>
      <w:pPr>
        <w:pStyle w:val="57"/>
        <w:ind w:firstLine="420"/>
      </w:pPr>
      <w:r>
        <w:rPr>
          <w:rFonts w:hint="eastAsia" w:hAnsi="宋体"/>
        </w:rPr>
        <w:t>本文件适用于</w:t>
      </w:r>
      <w:r>
        <w:rPr>
          <w:rFonts w:hint="eastAsia"/>
        </w:rPr>
        <w:t>锌精矿中氯含量</w:t>
      </w:r>
      <w:r>
        <w:rPr>
          <w:rFonts w:hint="eastAsia" w:hAnsi="宋体"/>
        </w:rPr>
        <w:t>的测定。测定范围∶0.01%～0.20%。</w:t>
      </w:r>
    </w:p>
    <w:p>
      <w:pPr>
        <w:pStyle w:val="57"/>
        <w:ind w:firstLine="420"/>
      </w:pPr>
    </w:p>
    <w:p>
      <w:pPr>
        <w:pStyle w:val="105"/>
        <w:spacing w:before="240" w:after="240"/>
      </w:pPr>
      <w:bookmarkStart w:id="33" w:name="_Toc26986531"/>
      <w:bookmarkStart w:id="34" w:name="_Toc26986772"/>
      <w:bookmarkStart w:id="35" w:name="_Toc26718931"/>
      <w:bookmarkStart w:id="36" w:name="_Toc97192965"/>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2C810707AB3C46FCBEB1D6EC837EA0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GB/T 6682 分析实验室用水规格和试验方法</w:t>
      </w:r>
    </w:p>
    <w:p>
      <w:pPr>
        <w:widowControl/>
        <w:autoSpaceDE w:val="0"/>
        <w:autoSpaceDN w:val="0"/>
        <w:adjustRightInd/>
        <w:spacing w:line="240" w:lineRule="auto"/>
        <w:ind w:firstLine="420" w:firstLineChars="200"/>
        <w:rPr>
          <w:rFonts w:ascii="宋体" w:hAnsi="宋体"/>
          <w:kern w:val="0"/>
        </w:rPr>
      </w:pPr>
      <w:r>
        <w:rPr>
          <w:rFonts w:hint="eastAsia" w:ascii="宋体" w:hAnsi="宋体"/>
          <w:kern w:val="0"/>
        </w:rPr>
        <w:t>GB/T 8170 数值修约规则与极限数值的表示和判定</w:t>
      </w:r>
    </w:p>
    <w:p>
      <w:pPr>
        <w:pStyle w:val="105"/>
        <w:spacing w:before="240" w:after="240"/>
      </w:pPr>
      <w:r>
        <w:t>术语和定义</w:t>
      </w:r>
    </w:p>
    <w:p>
      <w:pPr>
        <w:pStyle w:val="57"/>
        <w:ind w:firstLine="420"/>
      </w:pPr>
      <w:r>
        <w:rPr>
          <w:rFonts w:hint="eastAsia"/>
        </w:rPr>
        <w:t>本文件没有需要界定的术语和定义。</w:t>
      </w:r>
    </w:p>
    <w:p>
      <w:pPr>
        <w:pStyle w:val="105"/>
        <w:spacing w:before="240" w:after="240"/>
      </w:pPr>
      <w:r>
        <w:t>方法原理</w:t>
      </w:r>
    </w:p>
    <w:p>
      <w:pPr>
        <w:widowControl/>
        <w:autoSpaceDE w:val="0"/>
        <w:autoSpaceDN w:val="0"/>
        <w:adjustRightInd/>
        <w:spacing w:line="240" w:lineRule="auto"/>
        <w:ind w:firstLine="420" w:firstLineChars="200"/>
        <w:rPr>
          <w:rFonts w:ascii="宋体" w:hAnsi="宋体"/>
          <w:kern w:val="0"/>
        </w:rPr>
      </w:pPr>
      <w:r>
        <w:rPr>
          <w:rFonts w:hint="eastAsia" w:ascii="宋体" w:hAnsi="宋体"/>
          <w:kern w:val="0"/>
        </w:rPr>
        <w:t>试样用硝酸振荡浸出，水浴加热，用硝酸银与氯离子与银离子生成氯化银悬浊液，于波长460nm处测其吸光度进行比浊测定，计算含量，用硝酸钡消除硫干扰。</w:t>
      </w:r>
    </w:p>
    <w:p>
      <w:pPr>
        <w:pStyle w:val="105"/>
        <w:spacing w:before="240" w:after="240"/>
      </w:pPr>
      <w:r>
        <w:rPr>
          <w:rFonts w:hint="eastAsia"/>
        </w:rPr>
        <w:t>试剂与材料</w:t>
      </w:r>
    </w:p>
    <w:p>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除非另有说明外,在分析中仅使用确认为分析纯的试剂，所用水符合GB/T6682规定的二级及以上纯度的水。</w:t>
      </w:r>
    </w:p>
    <w:p>
      <w:pPr>
        <w:pStyle w:val="163"/>
      </w:pPr>
      <w:r>
        <w:rPr>
          <w:rFonts w:hint="eastAsia"/>
        </w:rPr>
        <w:t>硝酸：（1+5）</w:t>
      </w:r>
    </w:p>
    <w:p>
      <w:pPr>
        <w:pStyle w:val="163"/>
      </w:pPr>
      <w:r>
        <w:rPr>
          <w:rFonts w:hint="eastAsia"/>
        </w:rPr>
        <w:t>硝酸：（2+1）</w:t>
      </w:r>
    </w:p>
    <w:p>
      <w:pPr>
        <w:pStyle w:val="163"/>
      </w:pPr>
      <w:r>
        <w:rPr>
          <w:rFonts w:hint="eastAsia"/>
        </w:rPr>
        <w:t>硝酸银溶液（20 g/L）</w:t>
      </w:r>
    </w:p>
    <w:p>
      <w:pPr>
        <w:pStyle w:val="163"/>
      </w:pPr>
      <w:r>
        <w:rPr>
          <w:rFonts w:hint="eastAsia"/>
        </w:rPr>
        <w:t>硝酸钡溶液（200 g/L）</w:t>
      </w:r>
    </w:p>
    <w:p>
      <w:pPr>
        <w:pStyle w:val="163"/>
      </w:pPr>
      <w:r>
        <w:rPr>
          <w:rFonts w:hint="eastAsia"/>
        </w:rPr>
        <w:t>氯标准贮存溶液：称取1.6487 g优级纯氯化钠（预先在500 ℃灼烧2h并冷却）于300mL烧杯中，加入100 mL水溶解，移入1000 mL容量瓶中，用水稀释至刻度，摇匀。此液1mL含1 mg氯。</w:t>
      </w:r>
    </w:p>
    <w:p>
      <w:pPr>
        <w:pStyle w:val="163"/>
      </w:pPr>
      <w:r>
        <w:rPr>
          <w:rFonts w:hint="eastAsia" w:hAnsi="宋体"/>
        </w:rPr>
        <w:t>氯标准溶液：移取5.00mL氯标准贮存溶液（5.5）于100 mL容量瓶中，以水定容。此溶液1 mL含50 μg氯。</w:t>
      </w:r>
    </w:p>
    <w:p>
      <w:pPr>
        <w:pStyle w:val="105"/>
        <w:spacing w:before="240" w:after="240"/>
      </w:pPr>
      <w:r>
        <w:rPr>
          <w:rFonts w:hint="eastAsia"/>
        </w:rPr>
        <w:t>仪器设备</w:t>
      </w:r>
    </w:p>
    <w:p>
      <w:pPr>
        <w:pStyle w:val="163"/>
      </w:pPr>
      <w:r>
        <w:rPr>
          <w:rFonts w:hint="eastAsia"/>
        </w:rPr>
        <w:t>分光光度计。</w:t>
      </w:r>
    </w:p>
    <w:p>
      <w:pPr>
        <w:pStyle w:val="163"/>
      </w:pPr>
      <w:r>
        <w:rPr>
          <w:rFonts w:hint="eastAsia"/>
        </w:rPr>
        <w:t>电子天平 ，精度0.0001 g。</w:t>
      </w:r>
    </w:p>
    <w:p>
      <w:pPr>
        <w:pStyle w:val="163"/>
      </w:pPr>
      <w:r>
        <w:rPr>
          <w:rFonts w:hint="eastAsia"/>
        </w:rPr>
        <w:t xml:space="preserve">振荡器，振荡频率：300次/min，振动幅度：20-30mm。 </w:t>
      </w:r>
    </w:p>
    <w:p>
      <w:pPr>
        <w:pStyle w:val="105"/>
        <w:spacing w:before="240" w:after="240"/>
      </w:pPr>
      <w:r>
        <w:rPr>
          <w:rFonts w:hint="eastAsia"/>
        </w:rPr>
        <w:t>试样</w:t>
      </w:r>
    </w:p>
    <w:p>
      <w:pPr>
        <w:pStyle w:val="163"/>
      </w:pPr>
      <w:r>
        <w:rPr>
          <w:rFonts w:hint="eastAsia"/>
        </w:rPr>
        <w:t>样品粒度应通过100目的标准筛。</w:t>
      </w:r>
    </w:p>
    <w:p>
      <w:pPr>
        <w:pStyle w:val="163"/>
      </w:pPr>
      <w:r>
        <w:rPr>
          <w:rFonts w:hint="eastAsia"/>
        </w:rPr>
        <w:t>样品在100 ℃～105 ℃的烘箱中烘2 h后置于干燥器中，冷却至室温。</w:t>
      </w:r>
    </w:p>
    <w:p>
      <w:pPr>
        <w:pStyle w:val="105"/>
        <w:spacing w:before="240" w:after="240"/>
      </w:pPr>
      <w:r>
        <w:rPr>
          <w:rFonts w:hint="eastAsia"/>
        </w:rPr>
        <w:t>分析步骤</w:t>
      </w:r>
    </w:p>
    <w:p>
      <w:pPr>
        <w:pStyle w:val="106"/>
        <w:spacing w:before="120" w:after="120"/>
      </w:pPr>
      <w:r>
        <w:rPr>
          <w:rFonts w:hint="eastAsia"/>
        </w:rPr>
        <w:t>试料</w:t>
      </w:r>
    </w:p>
    <w:p>
      <w:pPr>
        <w:pStyle w:val="106"/>
        <w:numPr>
          <w:ilvl w:val="0"/>
          <w:numId w:val="0"/>
        </w:numPr>
        <w:spacing w:before="120" w:after="120"/>
        <w:ind w:firstLine="525" w:firstLineChars="250"/>
        <w:rPr>
          <w:rFonts w:ascii="宋体" w:eastAsia="宋体"/>
        </w:rPr>
      </w:pPr>
      <w:r>
        <w:rPr>
          <w:rFonts w:hint="eastAsia" w:ascii="宋体" w:eastAsia="宋体"/>
        </w:rPr>
        <w:t>称取1.0000 g的样品，精确到0.0001 g。</w:t>
      </w:r>
    </w:p>
    <w:p>
      <w:pPr>
        <w:pStyle w:val="106"/>
        <w:spacing w:before="120" w:after="120"/>
      </w:pPr>
      <w:r>
        <w:rPr>
          <w:rFonts w:hint="eastAsia"/>
        </w:rPr>
        <w:t>平行试验</w:t>
      </w:r>
    </w:p>
    <w:p>
      <w:pPr>
        <w:pStyle w:val="106"/>
        <w:numPr>
          <w:ilvl w:val="0"/>
          <w:numId w:val="0"/>
        </w:numPr>
        <w:spacing w:before="120" w:after="120"/>
        <w:ind w:firstLine="525" w:firstLineChars="250"/>
        <w:rPr>
          <w:rFonts w:ascii="宋体" w:eastAsia="宋体"/>
        </w:rPr>
      </w:pPr>
      <w:r>
        <w:rPr>
          <w:rFonts w:hint="eastAsia" w:ascii="宋体" w:eastAsia="宋体"/>
        </w:rPr>
        <w:t>平行做两份试验，取其平均值。</w:t>
      </w:r>
    </w:p>
    <w:p>
      <w:pPr>
        <w:pStyle w:val="106"/>
        <w:spacing w:before="120" w:after="120"/>
      </w:pPr>
      <w:r>
        <w:rPr>
          <w:rFonts w:hint="eastAsia"/>
        </w:rPr>
        <w:t>空白试验</w:t>
      </w:r>
    </w:p>
    <w:p>
      <w:pPr>
        <w:pStyle w:val="106"/>
        <w:numPr>
          <w:ilvl w:val="0"/>
          <w:numId w:val="0"/>
        </w:numPr>
        <w:spacing w:before="120" w:after="120"/>
        <w:ind w:firstLine="525" w:firstLineChars="250"/>
        <w:rPr>
          <w:rFonts w:ascii="宋体" w:eastAsia="宋体"/>
        </w:rPr>
      </w:pPr>
      <w:r>
        <w:rPr>
          <w:rFonts w:hint="eastAsia" w:ascii="宋体" w:eastAsia="宋体"/>
        </w:rPr>
        <w:t>随同试料（7.1）做空白试验。</w:t>
      </w:r>
    </w:p>
    <w:p>
      <w:pPr>
        <w:pStyle w:val="106"/>
        <w:spacing w:before="120" w:after="120"/>
      </w:pPr>
      <w:r>
        <w:rPr>
          <w:rFonts w:hint="eastAsia"/>
        </w:rPr>
        <w:t>测定</w:t>
      </w:r>
    </w:p>
    <w:p>
      <w:pPr>
        <w:pStyle w:val="166"/>
      </w:pPr>
      <w:r>
        <w:rPr>
          <w:rFonts w:hint="eastAsia"/>
        </w:rPr>
        <w:t>称取试料（8.1）置于300 mL三角瓶中，加入100mL硝酸（5.1），在振荡器上振荡浸出1 h，取下。</w:t>
      </w:r>
    </w:p>
    <w:p>
      <w:pPr>
        <w:pStyle w:val="166"/>
      </w:pPr>
      <w:r>
        <w:rPr>
          <w:rFonts w:hint="eastAsia"/>
        </w:rPr>
        <w:t>在水浴锅中加热至60 ℃，加入20 mL硝酸钡溶液（5.4），将溶液移入200 mL容量瓶中，用水稀释至刻度，混匀，静置1 h后过滤。</w:t>
      </w:r>
    </w:p>
    <w:p>
      <w:pPr>
        <w:pStyle w:val="166"/>
      </w:pPr>
      <w:r>
        <w:rPr>
          <w:rFonts w:hint="eastAsia"/>
        </w:rPr>
        <w:t>移取20.00mL滤液至50mL容量瓶中，加入10 mL硝酸（5.2），摇匀后，加入2 mL硝酸银溶液（5.3），用水稀释至刻度，混匀，于暗处放置30 min。</w:t>
      </w:r>
    </w:p>
    <w:p>
      <w:pPr>
        <w:pStyle w:val="166"/>
      </w:pPr>
      <w:r>
        <w:rPr>
          <w:rFonts w:hint="eastAsia"/>
        </w:rPr>
        <w:t>移取溶液于3cm比色皿中，以空白溶液为参比，于分光光度计波长460nm处测量吸光度。从工作曲线上查得相应的氯量。</w:t>
      </w:r>
    </w:p>
    <w:p>
      <w:pPr>
        <w:pStyle w:val="106"/>
        <w:spacing w:before="120" w:after="120"/>
      </w:pPr>
      <w:r>
        <w:rPr>
          <w:rFonts w:hint="eastAsia"/>
        </w:rPr>
        <w:t>工作曲线的绘制</w:t>
      </w:r>
    </w:p>
    <w:p>
      <w:pPr>
        <w:pStyle w:val="166"/>
      </w:pPr>
      <w:r>
        <w:rPr>
          <w:rFonts w:hint="eastAsia"/>
        </w:rPr>
        <w:t xml:space="preserve">移取0 </w:t>
      </w:r>
      <w:r>
        <w:t>mL</w:t>
      </w:r>
      <w:r>
        <w:rPr>
          <w:rFonts w:hint="eastAsia"/>
        </w:rPr>
        <w:t xml:space="preserve">、0.20 </w:t>
      </w:r>
      <w:r>
        <w:t>mL</w:t>
      </w:r>
      <w:r>
        <w:rPr>
          <w:rFonts w:hint="eastAsia"/>
        </w:rPr>
        <w:t xml:space="preserve">、0.50 </w:t>
      </w:r>
      <w:r>
        <w:t>mL</w:t>
      </w:r>
      <w:r>
        <w:rPr>
          <w:rFonts w:hint="eastAsia"/>
        </w:rPr>
        <w:t xml:space="preserve">、1.00 </w:t>
      </w:r>
      <w:r>
        <w:t>mL</w:t>
      </w:r>
      <w:r>
        <w:rPr>
          <w:rFonts w:hint="eastAsia"/>
        </w:rPr>
        <w:t xml:space="preserve">、3.00 </w:t>
      </w:r>
      <w:r>
        <w:t>mL</w:t>
      </w:r>
      <w:r>
        <w:rPr>
          <w:rFonts w:hint="eastAsia"/>
        </w:rPr>
        <w:t>、5.00 mL氯标准溶液（5.6）于</w:t>
      </w:r>
      <w:r>
        <w:rPr>
          <w:rFonts w:hint="eastAsia"/>
          <w:lang w:val="en-US" w:eastAsia="zh-CN"/>
        </w:rPr>
        <w:t>一</w:t>
      </w:r>
      <w:bookmarkStart w:id="38" w:name="_GoBack"/>
      <w:bookmarkEnd w:id="38"/>
      <w:r>
        <w:rPr>
          <w:rFonts w:hint="eastAsia"/>
        </w:rPr>
        <w:t>组50 mL容量瓶中, 以下按8.4.3进行。</w:t>
      </w:r>
    </w:p>
    <w:p>
      <w:pPr>
        <w:pStyle w:val="166"/>
      </w:pPr>
      <w:r>
        <w:rPr>
          <w:rFonts w:hint="eastAsia"/>
        </w:rPr>
        <w:t>移取部分溶液（8.5.1）于3cm比色皿中，以试剂空白为参比，于分光光度计波长460nm处测量吸光度，以氯量为横坐标，相应的吸光度为纵坐标，绘制工作曲线。</w:t>
      </w:r>
    </w:p>
    <w:p>
      <w:pPr>
        <w:pStyle w:val="105"/>
        <w:spacing w:before="240" w:after="240"/>
      </w:pPr>
      <w:r>
        <w:rPr>
          <w:rFonts w:hint="eastAsia"/>
        </w:rPr>
        <w:t>试验数据处理</w:t>
      </w:r>
    </w:p>
    <w:p>
      <w:pPr>
        <w:pStyle w:val="56"/>
        <w:ind w:firstLine="420"/>
      </w:pPr>
      <w:r>
        <w:rPr>
          <w:rFonts w:hint="eastAsia"/>
        </w:rPr>
        <w:t>氯的含量以氯的质量分数</w:t>
      </w:r>
      <m:oMath>
        <m:sSub>
          <m:sSubPr>
            <m:ctrlPr>
              <w:rPr>
                <w:rFonts w:ascii="Cambria Math" w:hAnsi="Cambria Math"/>
              </w:rPr>
            </m:ctrlPr>
          </m:sSubPr>
          <m:e>
            <m:r>
              <m:rPr/>
              <w:rPr>
                <w:rFonts w:ascii="Cambria Math" w:hAnsi="Cambria Math"/>
              </w:rPr>
              <m:t>ω</m:t>
            </m:r>
            <m:ctrlPr>
              <w:rPr>
                <w:rFonts w:ascii="Cambria Math" w:hAnsi="Cambria Math"/>
              </w:rPr>
            </m:ctrlPr>
          </m:e>
          <m:sub>
            <m:r>
              <m:rPr/>
              <w:rPr>
                <w:rFonts w:ascii="Cambria Math" w:hAnsi="Cambria Math"/>
              </w:rPr>
              <m:t>cl</m:t>
            </m:r>
            <m:ctrlPr>
              <w:rPr>
                <w:rFonts w:ascii="Cambria Math" w:hAnsi="Cambria Math"/>
              </w:rPr>
            </m:ctrlPr>
          </m:sub>
        </m:sSub>
      </m:oMath>
      <w:r>
        <w:rPr>
          <w:rFonts w:hint="eastAsia"/>
        </w:rPr>
        <w:t>计，数值以%表示，按式（1）计算</w:t>
      </w:r>
    </w:p>
    <w:p>
      <w:pPr>
        <w:pStyle w:val="57"/>
        <w:ind w:firstLine="0" w:firstLineChars="0"/>
      </w:pPr>
    </w:p>
    <w:p>
      <w:pPr>
        <w:pStyle w:val="114"/>
      </w:pPr>
      <w:r>
        <w:tab/>
      </w:r>
      <m:oMath>
        <m:sSub>
          <m:sSubPr>
            <m:ctrlPr>
              <w:rPr>
                <w:rFonts w:ascii="Cambria Math" w:hAnsi="Cambria Math"/>
              </w:rPr>
            </m:ctrlPr>
          </m:sSubPr>
          <m:e>
            <m:r>
              <m:rPr/>
              <w:rPr>
                <w:rFonts w:hint="eastAsia" w:ascii="Cambria Math" w:hAnsi="Cambria Math"/>
              </w:rPr>
              <m:t>ω</m:t>
            </m:r>
            <m:ctrlPr>
              <w:rPr>
                <w:rFonts w:ascii="Cambria Math" w:hAnsi="Cambria Math"/>
              </w:rPr>
            </m:ctrlPr>
          </m:e>
          <m:sub>
            <m:r>
              <m:rPr/>
              <w:rPr>
                <w:rFonts w:ascii="Cambria Math" w:hAnsi="Cambria Math"/>
              </w:rPr>
              <m:t>cl</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den>
        </m:f>
        <m:r>
          <m:rPr/>
          <w:rPr>
            <w:rFonts w:ascii="Cambria Math" w:hAnsi="Cambria Math"/>
          </w:rPr>
          <m:t>×100</m:t>
        </m:r>
        <m:r>
          <m:rPr/>
          <w:rPr>
            <w:rFonts w:hint="eastAsia" w:ascii="Cambria Math" w:hAnsi="Cambria Math"/>
          </w:rPr>
          <m:t>%</m:t>
        </m:r>
      </m:oMath>
      <w:r>
        <w:rPr>
          <w:rFonts w:ascii="微软雅黑" w:eastAsia="微软雅黑"/>
        </w:rPr>
        <w:tab/>
      </w:r>
      <w:r>
        <w:t>(</w:t>
      </w:r>
      <w:r>
        <w:fldChar w:fldCharType="begin"/>
      </w:r>
      <w:r>
        <w:instrText xml:space="preserve"> AUTONUM </w:instrText>
      </w:r>
      <w:r>
        <w:fldChar w:fldCharType="end"/>
      </w:r>
      <w:r>
        <w:t>)</w:t>
      </w:r>
    </w:p>
    <w:p>
      <w:pPr>
        <w:pStyle w:val="56"/>
        <w:ind w:firstLine="42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式中：</w:t>
      </w:r>
    </w:p>
    <w:p>
      <w:pPr>
        <w:pStyle w:val="26"/>
        <w:adjustRightInd/>
        <w:spacing w:after="0"/>
        <w:ind w:firstLineChars="20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m</w:t>
      </w:r>
      <w:r>
        <w:rPr>
          <w:rFonts w:hint="eastAsia" w:ascii="宋体" w:hAnsi="Times New Roman" w:eastAsia="宋体" w:cs="Times New Roman"/>
          <w:kern w:val="0"/>
          <w:sz w:val="21"/>
          <w:vertAlign w:val="subscript"/>
          <w:lang w:val="en-US" w:eastAsia="zh-CN" w:bidi="ar-SA"/>
        </w:rPr>
        <w:t>1</w:t>
      </w:r>
      <w:r>
        <w:rPr>
          <w:rFonts w:hint="eastAsia" w:ascii="宋体" w:hAnsi="Times New Roman" w:eastAsia="宋体" w:cs="Times New Roman"/>
          <w:kern w:val="0"/>
          <w:sz w:val="21"/>
          <w:lang w:val="en-US" w:eastAsia="zh-CN" w:bidi="ar-SA"/>
        </w:rPr>
        <w:t>——自工作曲线上查得的氯量，单位为微克（μg）；</w:t>
      </w:r>
    </w:p>
    <w:p>
      <w:pPr>
        <w:pStyle w:val="26"/>
        <w:adjustRightInd/>
        <w:spacing w:after="0"/>
        <w:ind w:firstLineChars="20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V</w:t>
      </w:r>
      <w:r>
        <w:rPr>
          <w:rFonts w:hint="eastAsia" w:ascii="宋体" w:hAnsi="Times New Roman" w:eastAsia="宋体" w:cs="Times New Roman"/>
          <w:kern w:val="0"/>
          <w:sz w:val="21"/>
          <w:vertAlign w:val="subscript"/>
          <w:lang w:val="en-US" w:eastAsia="zh-CN" w:bidi="ar-SA"/>
        </w:rPr>
        <w:t>0</w:t>
      </w:r>
      <w:r>
        <w:rPr>
          <w:rFonts w:hint="eastAsia" w:ascii="宋体" w:hAnsi="Times New Roman" w:eastAsia="宋体" w:cs="Times New Roman"/>
          <w:kern w:val="0"/>
          <w:sz w:val="21"/>
          <w:lang w:val="en-US" w:eastAsia="zh-CN" w:bidi="ar-SA"/>
        </w:rPr>
        <w:t>——试液的总体积，单位为毫升（mL）；</w:t>
      </w:r>
    </w:p>
    <w:p>
      <w:pPr>
        <w:pStyle w:val="26"/>
        <w:adjustRightInd/>
        <w:spacing w:after="0"/>
        <w:ind w:firstLineChars="20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V</w:t>
      </w:r>
      <w:r>
        <w:rPr>
          <w:rFonts w:hint="eastAsia" w:ascii="宋体" w:hAnsi="Times New Roman" w:eastAsia="宋体" w:cs="Times New Roman"/>
          <w:kern w:val="0"/>
          <w:sz w:val="21"/>
          <w:vertAlign w:val="subscript"/>
          <w:lang w:val="en-US" w:eastAsia="zh-CN" w:bidi="ar-SA"/>
        </w:rPr>
        <w:t>1</w:t>
      </w:r>
      <w:r>
        <w:rPr>
          <w:rFonts w:hint="eastAsia" w:ascii="宋体" w:hAnsi="Times New Roman" w:eastAsia="宋体" w:cs="Times New Roman"/>
          <w:kern w:val="0"/>
          <w:sz w:val="21"/>
          <w:lang w:val="en-US" w:eastAsia="zh-CN" w:bidi="ar-SA"/>
        </w:rPr>
        <w:t>——分取试液的体积，单位为毫升（mL）；</w:t>
      </w:r>
    </w:p>
    <w:p>
      <w:pPr>
        <w:pStyle w:val="26"/>
        <w:adjustRightInd/>
        <w:spacing w:after="0"/>
        <w:ind w:firstLineChars="20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m</w:t>
      </w:r>
      <w:r>
        <w:rPr>
          <w:rFonts w:hint="eastAsia" w:ascii="宋体" w:hAnsi="Times New Roman" w:eastAsia="宋体" w:cs="Times New Roman"/>
          <w:kern w:val="0"/>
          <w:sz w:val="21"/>
          <w:vertAlign w:val="subscript"/>
          <w:lang w:val="en-US" w:eastAsia="zh-CN" w:bidi="ar-SA"/>
        </w:rPr>
        <w:t>0</w:t>
      </w:r>
      <w:r>
        <w:rPr>
          <w:rFonts w:hint="eastAsia" w:ascii="宋体" w:hAnsi="Times New Roman" w:eastAsia="宋体" w:cs="Times New Roman"/>
          <w:kern w:val="0"/>
          <w:sz w:val="21"/>
          <w:lang w:val="en-US" w:eastAsia="zh-CN" w:bidi="ar-SA"/>
        </w:rPr>
        <w:t>——试样量，单位为克（g）；</w:t>
      </w:r>
    </w:p>
    <w:p>
      <w:pPr>
        <w:pStyle w:val="26"/>
        <w:adjustRightInd/>
        <w:spacing w:after="0"/>
        <w:ind w:firstLineChars="200"/>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计算结果表示至小数点后三位，数值修约按GB/T 8170的规定执行。</w:t>
      </w:r>
    </w:p>
    <w:p>
      <w:pPr>
        <w:pStyle w:val="105"/>
        <w:spacing w:before="240" w:after="240"/>
      </w:pPr>
      <w:r>
        <w:rPr>
          <w:rFonts w:hint="eastAsia"/>
        </w:rPr>
        <w:t>精密度</w:t>
      </w:r>
    </w:p>
    <w:p>
      <w:pPr>
        <w:pStyle w:val="106"/>
        <w:spacing w:before="120" w:after="120"/>
      </w:pPr>
      <w:r>
        <w:rPr>
          <w:rFonts w:hint="eastAsia"/>
        </w:rPr>
        <w:t>重复性</w:t>
      </w:r>
    </w:p>
    <w:p>
      <w:pPr>
        <w:pStyle w:val="57"/>
        <w:ind w:firstLine="420"/>
      </w:pPr>
      <w:r>
        <w:rPr>
          <w:rFonts w:hint="eastAsia"/>
        </w:rPr>
        <w:t>在重复性条件下获得的两次独立测试结果的测定值，在以下给出的平均值范围内，这两个测试结果的绝对差值不超过重复性限（r），超过重复性限（r）的情况不超过5%，重复性限（r）按表1数据采用线性内插法求得:</w:t>
      </w:r>
    </w:p>
    <w:p>
      <w:pPr>
        <w:pStyle w:val="113"/>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重复性限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9"/>
        <w:gridCol w:w="1339"/>
        <w:gridCol w:w="1339"/>
        <w:gridCol w:w="1339"/>
        <w:gridCol w:w="1339"/>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9" w:type="dxa"/>
            <w:tcBorders>
              <w:top w:val="single" w:color="auto" w:sz="8" w:space="0"/>
              <w:bottom w:val="single" w:color="auto" w:sz="8" w:space="0"/>
            </w:tcBorders>
            <w:shd w:val="clear" w:color="auto" w:fill="auto"/>
            <w:vAlign w:val="center"/>
          </w:tcPr>
          <w:p>
            <w:pPr>
              <w:pStyle w:val="179"/>
            </w:pPr>
            <w:r>
              <w:rPr>
                <w:rFonts w:hint="eastAsia" w:hAnsi="宋体"/>
              </w:rPr>
              <w:t>ω</w:t>
            </w:r>
            <w:r>
              <w:rPr>
                <w:rFonts w:hint="eastAsia" w:hAnsi="宋体"/>
                <w:vertAlign w:val="subscript"/>
              </w:rPr>
              <w:t>Cl</w:t>
            </w:r>
          </w:p>
        </w:tc>
        <w:tc>
          <w:tcPr>
            <w:tcW w:w="1339" w:type="dxa"/>
            <w:tcBorders>
              <w:top w:val="single" w:color="auto" w:sz="8" w:space="0"/>
              <w:bottom w:val="single" w:color="auto" w:sz="8" w:space="0"/>
            </w:tcBorders>
            <w:shd w:val="clear" w:color="auto" w:fill="auto"/>
            <w:vAlign w:val="center"/>
          </w:tcPr>
          <w:p>
            <w:pPr>
              <w:pStyle w:val="179"/>
            </w:pPr>
            <w:r>
              <w:rPr>
                <w:rFonts w:hint="eastAsia"/>
              </w:rPr>
              <w:t>0.024</w:t>
            </w:r>
          </w:p>
        </w:tc>
        <w:tc>
          <w:tcPr>
            <w:tcW w:w="1339" w:type="dxa"/>
            <w:tcBorders>
              <w:top w:val="single" w:color="auto" w:sz="8" w:space="0"/>
              <w:bottom w:val="single" w:color="auto" w:sz="8" w:space="0"/>
            </w:tcBorders>
            <w:shd w:val="clear" w:color="auto" w:fill="auto"/>
            <w:vAlign w:val="center"/>
          </w:tcPr>
          <w:p>
            <w:pPr>
              <w:pStyle w:val="179"/>
            </w:pPr>
            <w:r>
              <w:rPr>
                <w:rFonts w:hint="eastAsia"/>
              </w:rPr>
              <w:t>0.059</w:t>
            </w:r>
          </w:p>
        </w:tc>
        <w:tc>
          <w:tcPr>
            <w:tcW w:w="1339" w:type="dxa"/>
            <w:tcBorders>
              <w:top w:val="single" w:color="auto" w:sz="8" w:space="0"/>
              <w:bottom w:val="single" w:color="auto" w:sz="8" w:space="0"/>
            </w:tcBorders>
            <w:shd w:val="clear" w:color="auto" w:fill="auto"/>
            <w:vAlign w:val="center"/>
          </w:tcPr>
          <w:p>
            <w:pPr>
              <w:pStyle w:val="179"/>
            </w:pPr>
            <w:r>
              <w:rPr>
                <w:rFonts w:hint="eastAsia"/>
              </w:rPr>
              <w:t>0.075</w:t>
            </w:r>
          </w:p>
        </w:tc>
        <w:tc>
          <w:tcPr>
            <w:tcW w:w="1339" w:type="dxa"/>
            <w:tcBorders>
              <w:top w:val="single" w:color="auto" w:sz="8" w:space="0"/>
              <w:bottom w:val="single" w:color="auto" w:sz="8" w:space="0"/>
            </w:tcBorders>
            <w:shd w:val="clear" w:color="auto" w:fill="auto"/>
            <w:vAlign w:val="center"/>
          </w:tcPr>
          <w:p>
            <w:pPr>
              <w:pStyle w:val="179"/>
            </w:pPr>
            <w:r>
              <w:rPr>
                <w:rFonts w:hint="eastAsia"/>
              </w:rPr>
              <w:t>0.11</w:t>
            </w:r>
          </w:p>
        </w:tc>
        <w:tc>
          <w:tcPr>
            <w:tcW w:w="1339" w:type="dxa"/>
            <w:tcBorders>
              <w:top w:val="single" w:color="auto" w:sz="8" w:space="0"/>
              <w:bottom w:val="single" w:color="auto" w:sz="8" w:space="0"/>
            </w:tcBorders>
            <w:shd w:val="clear" w:color="auto" w:fill="auto"/>
            <w:vAlign w:val="center"/>
          </w:tcPr>
          <w:p>
            <w:pPr>
              <w:pStyle w:val="179"/>
            </w:pPr>
            <w:r>
              <w:rPr>
                <w:rFonts w:hint="eastAsia"/>
              </w:rPr>
              <w:t>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tcBorders>
              <w:top w:val="single" w:color="auto" w:sz="8" w:space="0"/>
            </w:tcBorders>
            <w:shd w:val="clear" w:color="auto" w:fill="auto"/>
            <w:vAlign w:val="center"/>
          </w:tcPr>
          <w:p>
            <w:pPr>
              <w:pStyle w:val="179"/>
            </w:pPr>
            <w:r>
              <w:rPr>
                <w:rFonts w:hint="eastAsia"/>
              </w:rPr>
              <w:t>r</w:t>
            </w:r>
            <w:r>
              <w:rPr>
                <w:rFonts w:hint="eastAsia" w:hAnsi="宋体"/>
              </w:rPr>
              <w:t>（%）</w:t>
            </w:r>
          </w:p>
        </w:tc>
        <w:tc>
          <w:tcPr>
            <w:tcW w:w="1339" w:type="dxa"/>
            <w:tcBorders>
              <w:top w:val="single" w:color="auto" w:sz="8" w:space="0"/>
            </w:tcBorders>
            <w:shd w:val="clear" w:color="auto" w:fill="auto"/>
            <w:vAlign w:val="center"/>
          </w:tcPr>
          <w:p>
            <w:pPr>
              <w:pStyle w:val="179"/>
            </w:pPr>
            <w:r>
              <w:t>0.00</w:t>
            </w:r>
            <w:r>
              <w:rPr>
                <w:rFonts w:hint="eastAsia"/>
              </w:rPr>
              <w:t>1</w:t>
            </w:r>
          </w:p>
        </w:tc>
        <w:tc>
          <w:tcPr>
            <w:tcW w:w="1339" w:type="dxa"/>
            <w:tcBorders>
              <w:top w:val="single" w:color="auto" w:sz="8" w:space="0"/>
            </w:tcBorders>
            <w:shd w:val="clear" w:color="auto" w:fill="auto"/>
            <w:vAlign w:val="center"/>
          </w:tcPr>
          <w:p>
            <w:pPr>
              <w:pStyle w:val="179"/>
            </w:pPr>
            <w:r>
              <w:rPr>
                <w:rFonts w:hint="eastAsia"/>
              </w:rPr>
              <w:t>0.004</w:t>
            </w:r>
          </w:p>
        </w:tc>
        <w:tc>
          <w:tcPr>
            <w:tcW w:w="1339" w:type="dxa"/>
            <w:tcBorders>
              <w:top w:val="single" w:color="auto" w:sz="8" w:space="0"/>
            </w:tcBorders>
            <w:shd w:val="clear" w:color="auto" w:fill="auto"/>
            <w:vAlign w:val="center"/>
          </w:tcPr>
          <w:p>
            <w:pPr>
              <w:pStyle w:val="179"/>
            </w:pPr>
            <w:r>
              <w:rPr>
                <w:rFonts w:hint="eastAsia"/>
              </w:rPr>
              <w:t>0.007</w:t>
            </w:r>
          </w:p>
        </w:tc>
        <w:tc>
          <w:tcPr>
            <w:tcW w:w="1339" w:type="dxa"/>
            <w:tcBorders>
              <w:top w:val="single" w:color="auto" w:sz="8" w:space="0"/>
            </w:tcBorders>
            <w:shd w:val="clear" w:color="auto" w:fill="auto"/>
            <w:vAlign w:val="center"/>
          </w:tcPr>
          <w:p>
            <w:pPr>
              <w:pStyle w:val="179"/>
            </w:pPr>
            <w:r>
              <w:t>0.0</w:t>
            </w:r>
            <w:r>
              <w:rPr>
                <w:rFonts w:hint="eastAsia"/>
              </w:rPr>
              <w:t>1</w:t>
            </w:r>
          </w:p>
        </w:tc>
        <w:tc>
          <w:tcPr>
            <w:tcW w:w="1339" w:type="dxa"/>
            <w:tcBorders>
              <w:top w:val="single" w:color="auto" w:sz="8" w:space="0"/>
            </w:tcBorders>
            <w:shd w:val="clear" w:color="auto" w:fill="auto"/>
            <w:vAlign w:val="center"/>
          </w:tcPr>
          <w:p>
            <w:pPr>
              <w:pStyle w:val="179"/>
            </w:pPr>
            <w:r>
              <w:rPr>
                <w:rFonts w:hint="eastAsia"/>
              </w:rPr>
              <w:t>0.02</w:t>
            </w:r>
          </w:p>
        </w:tc>
      </w:tr>
    </w:tbl>
    <w:p>
      <w:pPr>
        <w:pStyle w:val="106"/>
        <w:spacing w:before="120" w:after="120"/>
      </w:pPr>
      <w:r>
        <w:rPr>
          <w:rFonts w:hint="eastAsia"/>
        </w:rPr>
        <w:t xml:space="preserve">再现性 </w:t>
      </w:r>
    </w:p>
    <w:p>
      <w:pPr>
        <w:pStyle w:val="57"/>
        <w:ind w:firstLine="420"/>
      </w:pPr>
      <w:r>
        <w:rPr>
          <w:rFonts w:hint="eastAsia"/>
        </w:rPr>
        <w:t>在再现性条件下获得的两次独立测试结果的测定值，在以下给出的平均值范围内，这两个测试结果的绝对差值不超过再现性限（R），超过再现性限（R）的情况不超过5%，再现性限（R）按表2数据采用线性内插法求得。</w:t>
      </w:r>
    </w:p>
    <w:p>
      <w:pPr>
        <w:pStyle w:val="113"/>
        <w:spacing w:before="120" w:after="120"/>
      </w:pPr>
      <w:r>
        <w:rPr>
          <w:rFonts w:hint="eastAsia"/>
        </w:rPr>
        <w:t>再现性限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9"/>
        <w:gridCol w:w="1339"/>
        <w:gridCol w:w="1339"/>
        <w:gridCol w:w="1339"/>
        <w:gridCol w:w="1339"/>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9" w:type="dxa"/>
            <w:tcBorders>
              <w:top w:val="single" w:color="auto" w:sz="8" w:space="0"/>
              <w:bottom w:val="single" w:color="auto" w:sz="8" w:space="0"/>
            </w:tcBorders>
            <w:shd w:val="clear" w:color="auto" w:fill="auto"/>
            <w:vAlign w:val="center"/>
          </w:tcPr>
          <w:p>
            <w:pPr>
              <w:pStyle w:val="179"/>
              <w:ind w:firstLine="540" w:firstLineChars="300"/>
              <w:jc w:val="both"/>
            </w:pPr>
            <w:r>
              <w:rPr>
                <w:rFonts w:hint="eastAsia" w:hAnsi="宋体"/>
              </w:rPr>
              <w:t>ω</w:t>
            </w:r>
            <w:r>
              <w:rPr>
                <w:rFonts w:hint="eastAsia" w:hAnsi="宋体"/>
                <w:vertAlign w:val="subscript"/>
              </w:rPr>
              <w:t>Cl</w:t>
            </w:r>
          </w:p>
        </w:tc>
        <w:tc>
          <w:tcPr>
            <w:tcW w:w="1339" w:type="dxa"/>
            <w:tcBorders>
              <w:top w:val="single" w:color="auto" w:sz="8" w:space="0"/>
              <w:bottom w:val="single" w:color="auto" w:sz="8" w:space="0"/>
            </w:tcBorders>
            <w:shd w:val="clear" w:color="auto" w:fill="auto"/>
            <w:vAlign w:val="center"/>
          </w:tcPr>
          <w:p>
            <w:pPr>
              <w:pStyle w:val="179"/>
            </w:pPr>
            <w:r>
              <w:rPr>
                <w:rFonts w:hint="eastAsia"/>
              </w:rPr>
              <w:t>0.024</w:t>
            </w:r>
          </w:p>
        </w:tc>
        <w:tc>
          <w:tcPr>
            <w:tcW w:w="1339" w:type="dxa"/>
            <w:tcBorders>
              <w:top w:val="single" w:color="auto" w:sz="8" w:space="0"/>
              <w:bottom w:val="single" w:color="auto" w:sz="8" w:space="0"/>
            </w:tcBorders>
            <w:shd w:val="clear" w:color="auto" w:fill="auto"/>
            <w:vAlign w:val="center"/>
          </w:tcPr>
          <w:p>
            <w:pPr>
              <w:pStyle w:val="179"/>
            </w:pPr>
            <w:r>
              <w:rPr>
                <w:rFonts w:hint="eastAsia"/>
              </w:rPr>
              <w:t>0.059</w:t>
            </w:r>
          </w:p>
        </w:tc>
        <w:tc>
          <w:tcPr>
            <w:tcW w:w="1339" w:type="dxa"/>
            <w:tcBorders>
              <w:top w:val="single" w:color="auto" w:sz="8" w:space="0"/>
              <w:bottom w:val="single" w:color="auto" w:sz="8" w:space="0"/>
            </w:tcBorders>
            <w:shd w:val="clear" w:color="auto" w:fill="auto"/>
            <w:vAlign w:val="center"/>
          </w:tcPr>
          <w:p>
            <w:pPr>
              <w:pStyle w:val="179"/>
            </w:pPr>
            <w:r>
              <w:rPr>
                <w:rFonts w:hint="eastAsia"/>
              </w:rPr>
              <w:t>0.075</w:t>
            </w:r>
          </w:p>
        </w:tc>
        <w:tc>
          <w:tcPr>
            <w:tcW w:w="1339" w:type="dxa"/>
            <w:tcBorders>
              <w:top w:val="single" w:color="auto" w:sz="8" w:space="0"/>
              <w:bottom w:val="single" w:color="auto" w:sz="8" w:space="0"/>
            </w:tcBorders>
            <w:shd w:val="clear" w:color="auto" w:fill="auto"/>
            <w:vAlign w:val="center"/>
          </w:tcPr>
          <w:p>
            <w:pPr>
              <w:pStyle w:val="179"/>
            </w:pPr>
            <w:r>
              <w:rPr>
                <w:rFonts w:hint="eastAsia"/>
              </w:rPr>
              <w:t>0.11</w:t>
            </w:r>
          </w:p>
        </w:tc>
        <w:tc>
          <w:tcPr>
            <w:tcW w:w="1339" w:type="dxa"/>
            <w:tcBorders>
              <w:top w:val="single" w:color="auto" w:sz="8" w:space="0"/>
              <w:bottom w:val="single" w:color="auto" w:sz="8" w:space="0"/>
            </w:tcBorders>
            <w:shd w:val="clear" w:color="auto" w:fill="auto"/>
            <w:vAlign w:val="center"/>
          </w:tcPr>
          <w:p>
            <w:pPr>
              <w:pStyle w:val="179"/>
            </w:pPr>
            <w:r>
              <w:rPr>
                <w:rFonts w:hint="eastAsia"/>
              </w:rPr>
              <w:t>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tcBorders>
              <w:top w:val="single" w:color="auto" w:sz="8" w:space="0"/>
            </w:tcBorders>
            <w:shd w:val="clear" w:color="auto" w:fill="auto"/>
            <w:vAlign w:val="center"/>
          </w:tcPr>
          <w:p>
            <w:pPr>
              <w:pStyle w:val="179"/>
            </w:pPr>
            <w:r>
              <w:rPr>
                <w:rFonts w:hint="eastAsia" w:hAnsi="宋体"/>
              </w:rPr>
              <w:t>R（%）</w:t>
            </w:r>
          </w:p>
        </w:tc>
        <w:tc>
          <w:tcPr>
            <w:tcW w:w="1339" w:type="dxa"/>
            <w:tcBorders>
              <w:top w:val="single" w:color="auto" w:sz="8" w:space="0"/>
            </w:tcBorders>
            <w:shd w:val="clear" w:color="auto" w:fill="auto"/>
            <w:vAlign w:val="center"/>
          </w:tcPr>
          <w:p>
            <w:pPr>
              <w:pStyle w:val="179"/>
            </w:pPr>
            <w:r>
              <w:rPr>
                <w:rFonts w:hint="eastAsia"/>
              </w:rPr>
              <w:t>0.002</w:t>
            </w:r>
          </w:p>
        </w:tc>
        <w:tc>
          <w:tcPr>
            <w:tcW w:w="1339" w:type="dxa"/>
            <w:tcBorders>
              <w:top w:val="single" w:color="auto" w:sz="8" w:space="0"/>
            </w:tcBorders>
            <w:shd w:val="clear" w:color="auto" w:fill="auto"/>
            <w:vAlign w:val="center"/>
          </w:tcPr>
          <w:p>
            <w:pPr>
              <w:pStyle w:val="179"/>
            </w:pPr>
            <w:r>
              <w:rPr>
                <w:rFonts w:hint="eastAsia"/>
              </w:rPr>
              <w:t>0.005</w:t>
            </w:r>
          </w:p>
        </w:tc>
        <w:tc>
          <w:tcPr>
            <w:tcW w:w="1339" w:type="dxa"/>
            <w:tcBorders>
              <w:top w:val="single" w:color="auto" w:sz="8" w:space="0"/>
            </w:tcBorders>
            <w:shd w:val="clear" w:color="auto" w:fill="auto"/>
            <w:vAlign w:val="center"/>
          </w:tcPr>
          <w:p>
            <w:pPr>
              <w:pStyle w:val="179"/>
            </w:pPr>
            <w:r>
              <w:rPr>
                <w:rFonts w:hint="eastAsia"/>
              </w:rPr>
              <w:t>0.008</w:t>
            </w:r>
          </w:p>
        </w:tc>
        <w:tc>
          <w:tcPr>
            <w:tcW w:w="1339" w:type="dxa"/>
            <w:tcBorders>
              <w:top w:val="single" w:color="auto" w:sz="8" w:space="0"/>
            </w:tcBorders>
            <w:shd w:val="clear" w:color="auto" w:fill="auto"/>
            <w:vAlign w:val="center"/>
          </w:tcPr>
          <w:p>
            <w:pPr>
              <w:pStyle w:val="179"/>
            </w:pPr>
            <w:r>
              <w:rPr>
                <w:rFonts w:hint="eastAsia"/>
              </w:rPr>
              <w:t>0.02</w:t>
            </w:r>
          </w:p>
        </w:tc>
        <w:tc>
          <w:tcPr>
            <w:tcW w:w="1339" w:type="dxa"/>
            <w:tcBorders>
              <w:top w:val="single" w:color="auto" w:sz="8" w:space="0"/>
            </w:tcBorders>
            <w:shd w:val="clear" w:color="auto" w:fill="auto"/>
            <w:vAlign w:val="center"/>
          </w:tcPr>
          <w:p>
            <w:pPr>
              <w:pStyle w:val="179"/>
            </w:pPr>
            <w:r>
              <w:rPr>
                <w:rFonts w:hint="eastAsia"/>
              </w:rPr>
              <w:t>0.03</w:t>
            </w:r>
          </w:p>
        </w:tc>
      </w:tr>
    </w:tbl>
    <w:p>
      <w:pPr>
        <w:pStyle w:val="105"/>
        <w:spacing w:before="240" w:after="240"/>
      </w:pPr>
      <w:r>
        <w:rPr>
          <w:rFonts w:hint="eastAsia"/>
        </w:rPr>
        <w:t>试验报告</w:t>
      </w:r>
    </w:p>
    <w:p>
      <w:pPr>
        <w:pStyle w:val="57"/>
        <w:ind w:firstLine="420"/>
      </w:pPr>
      <w:r>
        <w:rPr>
          <w:rFonts w:hint="eastAsia"/>
        </w:rPr>
        <w:t>试验报告应包括下列内容：</w:t>
      </w:r>
    </w:p>
    <w:p>
      <w:pPr>
        <w:pStyle w:val="57"/>
        <w:ind w:firstLine="840" w:firstLineChars="400"/>
      </w:pPr>
      <w:r>
        <w:rPr>
          <w:rFonts w:hint="eastAsia"/>
        </w:rPr>
        <w:t>—试样；</w:t>
      </w:r>
    </w:p>
    <w:p>
      <w:pPr>
        <w:pStyle w:val="57"/>
        <w:ind w:firstLine="420"/>
      </w:pPr>
      <w:r>
        <w:rPr>
          <w:rFonts w:hint="eastAsia"/>
        </w:rPr>
        <w:t xml:space="preserve">    —使用的标准（包括发布或出版年号）；</w:t>
      </w:r>
    </w:p>
    <w:p>
      <w:pPr>
        <w:pStyle w:val="57"/>
        <w:ind w:firstLine="420"/>
      </w:pPr>
      <w:r>
        <w:rPr>
          <w:rFonts w:hint="eastAsia"/>
        </w:rPr>
        <w:t xml:space="preserve">    —使用的方法（如果标准中包括几个方法）；</w:t>
      </w:r>
    </w:p>
    <w:p>
      <w:pPr>
        <w:pStyle w:val="57"/>
        <w:ind w:firstLine="420"/>
      </w:pPr>
      <w:r>
        <w:rPr>
          <w:rFonts w:hint="eastAsia"/>
        </w:rPr>
        <w:t xml:space="preserve">    —分析结果及其表示；</w:t>
      </w:r>
    </w:p>
    <w:p>
      <w:pPr>
        <w:pStyle w:val="57"/>
        <w:ind w:firstLine="420"/>
      </w:pPr>
      <w:r>
        <w:rPr>
          <w:rFonts w:hint="eastAsia"/>
        </w:rPr>
        <w:t xml:space="preserve">    —与基本分析步骤的差异；</w:t>
      </w:r>
    </w:p>
    <w:p>
      <w:pPr>
        <w:pStyle w:val="57"/>
        <w:ind w:firstLine="420"/>
      </w:pPr>
      <w:r>
        <w:rPr>
          <w:rFonts w:hint="eastAsia"/>
        </w:rPr>
        <w:t xml:space="preserve">    —测定中观察到的异常现象；</w:t>
      </w:r>
    </w:p>
    <w:p>
      <w:pPr>
        <w:pStyle w:val="57"/>
        <w:ind w:firstLine="420"/>
      </w:pPr>
      <w:r>
        <w:rPr>
          <w:rFonts w:hint="eastAsia"/>
        </w:rPr>
        <w:t xml:space="preserve">    —试验日期。</w:t>
      </w:r>
    </w:p>
    <w:bookmarkEnd w:id="17"/>
    <w:p>
      <w:pPr>
        <w:pStyle w:val="57"/>
        <w:ind w:firstLine="0" w:firstLineChars="0"/>
        <w:jc w:val="center"/>
      </w:pPr>
      <w:bookmarkStart w:id="3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1485900" cy="317500"/>
                    </a:xfrm>
                    <a:prstGeom prst="rect">
                      <a:avLst/>
                    </a:prstGeom>
                  </pic:spPr>
                </pic:pic>
              </a:graphicData>
            </a:graphic>
          </wp:inline>
        </w:drawing>
      </w:r>
      <w:bookmarkEnd w:id="3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T/HNNMIA 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T/HNNMIA 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Full" w:cryptAlgorithmClass="hash" w:cryptAlgorithmType="typeAny" w:cryptAlgorithmSid="4" w:cryptSpinCount="100000" w:hash="muOeG1fn1FyG4x4/vS4hdfuacS0=" w:salt="VaHf15rvyRVcQRr8vQjwQ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YzFiZjgxYmI3MmExZTgwOGMwNGQwNmFkZmVjY2EifQ=="/>
  </w:docVars>
  <w:rsids>
    <w:rsidRoot w:val="002929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BD6"/>
    <w:rsid w:val="000331D3"/>
    <w:rsid w:val="000346A5"/>
    <w:rsid w:val="000359C3"/>
    <w:rsid w:val="00035A7D"/>
    <w:rsid w:val="000365ED"/>
    <w:rsid w:val="0004045B"/>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366"/>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D39"/>
    <w:rsid w:val="000C0F6C"/>
    <w:rsid w:val="000C11DB"/>
    <w:rsid w:val="000C1492"/>
    <w:rsid w:val="000C2FBD"/>
    <w:rsid w:val="000C3971"/>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32E0"/>
    <w:rsid w:val="00104926"/>
    <w:rsid w:val="00105F93"/>
    <w:rsid w:val="0011100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CBB"/>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0AE"/>
    <w:rsid w:val="001A1A53"/>
    <w:rsid w:val="001A207D"/>
    <w:rsid w:val="001A234A"/>
    <w:rsid w:val="001A4CF3"/>
    <w:rsid w:val="001A6696"/>
    <w:rsid w:val="001A7E5F"/>
    <w:rsid w:val="001B06E8"/>
    <w:rsid w:val="001B71D0"/>
    <w:rsid w:val="001B71EE"/>
    <w:rsid w:val="001C04A8"/>
    <w:rsid w:val="001C2C03"/>
    <w:rsid w:val="001C42F7"/>
    <w:rsid w:val="001C49E5"/>
    <w:rsid w:val="001C680C"/>
    <w:rsid w:val="001C7AD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B2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418"/>
    <w:rsid w:val="0029297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967"/>
    <w:rsid w:val="002C3F07"/>
    <w:rsid w:val="002C5278"/>
    <w:rsid w:val="002C7EBB"/>
    <w:rsid w:val="002D06C1"/>
    <w:rsid w:val="002D42B5"/>
    <w:rsid w:val="002D4F1A"/>
    <w:rsid w:val="002D6EC6"/>
    <w:rsid w:val="002D79AC"/>
    <w:rsid w:val="002E039D"/>
    <w:rsid w:val="002E1D79"/>
    <w:rsid w:val="002E4D5A"/>
    <w:rsid w:val="002E6326"/>
    <w:rsid w:val="002F30E0"/>
    <w:rsid w:val="002F35E4"/>
    <w:rsid w:val="002F3730"/>
    <w:rsid w:val="002F38E1"/>
    <w:rsid w:val="002F7AF6"/>
    <w:rsid w:val="00300E63"/>
    <w:rsid w:val="00302F5F"/>
    <w:rsid w:val="0030441D"/>
    <w:rsid w:val="00306063"/>
    <w:rsid w:val="00306D5B"/>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5A4D"/>
    <w:rsid w:val="003D0519"/>
    <w:rsid w:val="003D0FF6"/>
    <w:rsid w:val="003D1AC7"/>
    <w:rsid w:val="003D262C"/>
    <w:rsid w:val="003D6D61"/>
    <w:rsid w:val="003E019F"/>
    <w:rsid w:val="003E07FD"/>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020"/>
    <w:rsid w:val="004F391A"/>
    <w:rsid w:val="004F3CFB"/>
    <w:rsid w:val="004F6456"/>
    <w:rsid w:val="004F696E"/>
    <w:rsid w:val="004F6C71"/>
    <w:rsid w:val="00501139"/>
    <w:rsid w:val="0050363E"/>
    <w:rsid w:val="005039BC"/>
    <w:rsid w:val="005043BB"/>
    <w:rsid w:val="00504A3D"/>
    <w:rsid w:val="00505767"/>
    <w:rsid w:val="005073F0"/>
    <w:rsid w:val="00510A7B"/>
    <w:rsid w:val="0051270B"/>
    <w:rsid w:val="00512F6E"/>
    <w:rsid w:val="00513038"/>
    <w:rsid w:val="00514174"/>
    <w:rsid w:val="00516088"/>
    <w:rsid w:val="00516B0B"/>
    <w:rsid w:val="005220EC"/>
    <w:rsid w:val="00523F95"/>
    <w:rsid w:val="00524D65"/>
    <w:rsid w:val="00525B16"/>
    <w:rsid w:val="00532C4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B9F"/>
    <w:rsid w:val="00573D9E"/>
    <w:rsid w:val="00574F94"/>
    <w:rsid w:val="005801E3"/>
    <w:rsid w:val="00581802"/>
    <w:rsid w:val="005836A8"/>
    <w:rsid w:val="0058409C"/>
    <w:rsid w:val="00584262"/>
    <w:rsid w:val="00586630"/>
    <w:rsid w:val="0058730B"/>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9AE"/>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2DD9"/>
    <w:rsid w:val="006770F4"/>
    <w:rsid w:val="00677A84"/>
    <w:rsid w:val="0068026D"/>
    <w:rsid w:val="00680A27"/>
    <w:rsid w:val="006816A4"/>
    <w:rsid w:val="006819B8"/>
    <w:rsid w:val="006829F8"/>
    <w:rsid w:val="006840A6"/>
    <w:rsid w:val="006850CD"/>
    <w:rsid w:val="00685AAB"/>
    <w:rsid w:val="00691C6F"/>
    <w:rsid w:val="00693962"/>
    <w:rsid w:val="0069778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B44"/>
    <w:rsid w:val="006D6593"/>
    <w:rsid w:val="006E43D1"/>
    <w:rsid w:val="006F03A8"/>
    <w:rsid w:val="006F2ACA"/>
    <w:rsid w:val="006F2ADC"/>
    <w:rsid w:val="006F2BFE"/>
    <w:rsid w:val="006F31E9"/>
    <w:rsid w:val="006F6284"/>
    <w:rsid w:val="007002C5"/>
    <w:rsid w:val="00704387"/>
    <w:rsid w:val="00707669"/>
    <w:rsid w:val="00707770"/>
    <w:rsid w:val="00707BA6"/>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1F65"/>
    <w:rsid w:val="00742C35"/>
    <w:rsid w:val="007432CA"/>
    <w:rsid w:val="007439EB"/>
    <w:rsid w:val="00743CB4"/>
    <w:rsid w:val="00743F0A"/>
    <w:rsid w:val="007444E8"/>
    <w:rsid w:val="0074548E"/>
    <w:rsid w:val="00745773"/>
    <w:rsid w:val="00746800"/>
    <w:rsid w:val="007501A8"/>
    <w:rsid w:val="00750D61"/>
    <w:rsid w:val="00750EE1"/>
    <w:rsid w:val="00750F5B"/>
    <w:rsid w:val="00752B4D"/>
    <w:rsid w:val="00755402"/>
    <w:rsid w:val="00756B26"/>
    <w:rsid w:val="00756EDF"/>
    <w:rsid w:val="007600E3"/>
    <w:rsid w:val="007657C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786"/>
    <w:rsid w:val="007F0ED8"/>
    <w:rsid w:val="007F0F63"/>
    <w:rsid w:val="007F75CE"/>
    <w:rsid w:val="008013A4"/>
    <w:rsid w:val="008027CE"/>
    <w:rsid w:val="00802F42"/>
    <w:rsid w:val="00804383"/>
    <w:rsid w:val="00804BB7"/>
    <w:rsid w:val="00804D41"/>
    <w:rsid w:val="008059EB"/>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6A5"/>
    <w:rsid w:val="00860165"/>
    <w:rsid w:val="008603CE"/>
    <w:rsid w:val="008620FC"/>
    <w:rsid w:val="008627A5"/>
    <w:rsid w:val="00863E05"/>
    <w:rsid w:val="00865ACA"/>
    <w:rsid w:val="00865D28"/>
    <w:rsid w:val="00865F85"/>
    <w:rsid w:val="00867C10"/>
    <w:rsid w:val="00870439"/>
    <w:rsid w:val="00870DA1"/>
    <w:rsid w:val="00876A14"/>
    <w:rsid w:val="00883F93"/>
    <w:rsid w:val="00884DB3"/>
    <w:rsid w:val="00885A9D"/>
    <w:rsid w:val="008864F6"/>
    <w:rsid w:val="0089049D"/>
    <w:rsid w:val="008928C9"/>
    <w:rsid w:val="008930CB"/>
    <w:rsid w:val="008938DC"/>
    <w:rsid w:val="00893FD1"/>
    <w:rsid w:val="00894836"/>
    <w:rsid w:val="00895172"/>
    <w:rsid w:val="00895680"/>
    <w:rsid w:val="00895F9B"/>
    <w:rsid w:val="00896DFF"/>
    <w:rsid w:val="0089762C"/>
    <w:rsid w:val="008A173B"/>
    <w:rsid w:val="008A1893"/>
    <w:rsid w:val="008A57E6"/>
    <w:rsid w:val="008A6F81"/>
    <w:rsid w:val="008A769A"/>
    <w:rsid w:val="008B0C9C"/>
    <w:rsid w:val="008B166D"/>
    <w:rsid w:val="008B17F4"/>
    <w:rsid w:val="008B3615"/>
    <w:rsid w:val="008B3CDA"/>
    <w:rsid w:val="008B4AC4"/>
    <w:rsid w:val="008B50C8"/>
    <w:rsid w:val="008B5281"/>
    <w:rsid w:val="008B7E05"/>
    <w:rsid w:val="008C1797"/>
    <w:rsid w:val="008C219C"/>
    <w:rsid w:val="008C475E"/>
    <w:rsid w:val="008C619A"/>
    <w:rsid w:val="008D0CE8"/>
    <w:rsid w:val="008D149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7EC"/>
    <w:rsid w:val="00953604"/>
    <w:rsid w:val="009545D0"/>
    <w:rsid w:val="0095496B"/>
    <w:rsid w:val="00960F1E"/>
    <w:rsid w:val="009610DC"/>
    <w:rsid w:val="00961490"/>
    <w:rsid w:val="0096381A"/>
    <w:rsid w:val="009640C3"/>
    <w:rsid w:val="00965E04"/>
    <w:rsid w:val="009674AD"/>
    <w:rsid w:val="00970CDC"/>
    <w:rsid w:val="00975727"/>
    <w:rsid w:val="00977010"/>
    <w:rsid w:val="00977D02"/>
    <w:rsid w:val="00977FF9"/>
    <w:rsid w:val="009809BB"/>
    <w:rsid w:val="0098364B"/>
    <w:rsid w:val="00984A54"/>
    <w:rsid w:val="009908A3"/>
    <w:rsid w:val="009911AF"/>
    <w:rsid w:val="00991875"/>
    <w:rsid w:val="00991F92"/>
    <w:rsid w:val="00992985"/>
    <w:rsid w:val="00993889"/>
    <w:rsid w:val="0099551B"/>
    <w:rsid w:val="00996BD2"/>
    <w:rsid w:val="00997BF1"/>
    <w:rsid w:val="00997D79"/>
    <w:rsid w:val="009A0572"/>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991"/>
    <w:rsid w:val="009E4A58"/>
    <w:rsid w:val="009E5A2D"/>
    <w:rsid w:val="009E5AB2"/>
    <w:rsid w:val="009E6219"/>
    <w:rsid w:val="009F03B3"/>
    <w:rsid w:val="009F408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FF8"/>
    <w:rsid w:val="00A26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15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E81"/>
    <w:rsid w:val="00B049AF"/>
    <w:rsid w:val="00B07242"/>
    <w:rsid w:val="00B10534"/>
    <w:rsid w:val="00B106F9"/>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190"/>
    <w:rsid w:val="00BC5DC7"/>
    <w:rsid w:val="00BC6B8B"/>
    <w:rsid w:val="00BC73D8"/>
    <w:rsid w:val="00BD52D7"/>
    <w:rsid w:val="00BD5AD2"/>
    <w:rsid w:val="00BE22F3"/>
    <w:rsid w:val="00BE5B52"/>
    <w:rsid w:val="00BE640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539"/>
    <w:rsid w:val="00C279B2"/>
    <w:rsid w:val="00C33E50"/>
    <w:rsid w:val="00C34C20"/>
    <w:rsid w:val="00C35A3E"/>
    <w:rsid w:val="00C42130"/>
    <w:rsid w:val="00C423A4"/>
    <w:rsid w:val="00C423E3"/>
    <w:rsid w:val="00C44BF5"/>
    <w:rsid w:val="00C521D6"/>
    <w:rsid w:val="00C5244F"/>
    <w:rsid w:val="00C55232"/>
    <w:rsid w:val="00C553A4"/>
    <w:rsid w:val="00C55A06"/>
    <w:rsid w:val="00C55D03"/>
    <w:rsid w:val="00C601BC"/>
    <w:rsid w:val="00C608F4"/>
    <w:rsid w:val="00C60EB6"/>
    <w:rsid w:val="00C6329F"/>
    <w:rsid w:val="00C63340"/>
    <w:rsid w:val="00C643F9"/>
    <w:rsid w:val="00C64E95"/>
    <w:rsid w:val="00C71372"/>
    <w:rsid w:val="00C72410"/>
    <w:rsid w:val="00C7287F"/>
    <w:rsid w:val="00C80CB8"/>
    <w:rsid w:val="00C819F8"/>
    <w:rsid w:val="00C8248C"/>
    <w:rsid w:val="00C82A4B"/>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FE9"/>
    <w:rsid w:val="00CF2947"/>
    <w:rsid w:val="00CF686F"/>
    <w:rsid w:val="00CF6E60"/>
    <w:rsid w:val="00CF7159"/>
    <w:rsid w:val="00CF7BCA"/>
    <w:rsid w:val="00D008FD"/>
    <w:rsid w:val="00D0321C"/>
    <w:rsid w:val="00D035EC"/>
    <w:rsid w:val="00D06AB1"/>
    <w:rsid w:val="00D06FC1"/>
    <w:rsid w:val="00D072ED"/>
    <w:rsid w:val="00D07A16"/>
    <w:rsid w:val="00D1067E"/>
    <w:rsid w:val="00D10F50"/>
    <w:rsid w:val="00D11272"/>
    <w:rsid w:val="00D126F5"/>
    <w:rsid w:val="00D1489E"/>
    <w:rsid w:val="00D17F2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593"/>
    <w:rsid w:val="00D86DB7"/>
    <w:rsid w:val="00D87BF5"/>
    <w:rsid w:val="00D90721"/>
    <w:rsid w:val="00D926D0"/>
    <w:rsid w:val="00D93030"/>
    <w:rsid w:val="00D950E1"/>
    <w:rsid w:val="00D952A6"/>
    <w:rsid w:val="00D963FC"/>
    <w:rsid w:val="00D97F99"/>
    <w:rsid w:val="00DA1E08"/>
    <w:rsid w:val="00DA24F8"/>
    <w:rsid w:val="00DA28E8"/>
    <w:rsid w:val="00DA38D3"/>
    <w:rsid w:val="00DA3932"/>
    <w:rsid w:val="00DA3AFC"/>
    <w:rsid w:val="00DA64F8"/>
    <w:rsid w:val="00DA6C15"/>
    <w:rsid w:val="00DB0258"/>
    <w:rsid w:val="00DB38EE"/>
    <w:rsid w:val="00DB498B"/>
    <w:rsid w:val="00DB4F7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525"/>
    <w:rsid w:val="00DF1961"/>
    <w:rsid w:val="00DF249F"/>
    <w:rsid w:val="00DF44DE"/>
    <w:rsid w:val="00E01138"/>
    <w:rsid w:val="00E02DFB"/>
    <w:rsid w:val="00E030F9"/>
    <w:rsid w:val="00E0311A"/>
    <w:rsid w:val="00E03138"/>
    <w:rsid w:val="00E06404"/>
    <w:rsid w:val="00E11A85"/>
    <w:rsid w:val="00E12495"/>
    <w:rsid w:val="00E15CCD"/>
    <w:rsid w:val="00E202EF"/>
    <w:rsid w:val="00E210B5"/>
    <w:rsid w:val="00E2498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136"/>
    <w:rsid w:val="00E74313"/>
    <w:rsid w:val="00E74C54"/>
    <w:rsid w:val="00E77A03"/>
    <w:rsid w:val="00E822E8"/>
    <w:rsid w:val="00E82554"/>
    <w:rsid w:val="00E82606"/>
    <w:rsid w:val="00E831C1"/>
    <w:rsid w:val="00E835E6"/>
    <w:rsid w:val="00E846C8"/>
    <w:rsid w:val="00E84957"/>
    <w:rsid w:val="00E84A55"/>
    <w:rsid w:val="00E85BFF"/>
    <w:rsid w:val="00E90391"/>
    <w:rsid w:val="00E906C2"/>
    <w:rsid w:val="00E9311F"/>
    <w:rsid w:val="00E934D1"/>
    <w:rsid w:val="00E94AF0"/>
    <w:rsid w:val="00E95D13"/>
    <w:rsid w:val="00E95DD3"/>
    <w:rsid w:val="00E969D5"/>
    <w:rsid w:val="00EA221C"/>
    <w:rsid w:val="00EA58D1"/>
    <w:rsid w:val="00EA61BC"/>
    <w:rsid w:val="00EA681A"/>
    <w:rsid w:val="00EA735B"/>
    <w:rsid w:val="00EB1E69"/>
    <w:rsid w:val="00EB2086"/>
    <w:rsid w:val="00EB31ED"/>
    <w:rsid w:val="00EB32D3"/>
    <w:rsid w:val="00EB5EDF"/>
    <w:rsid w:val="00EB60FE"/>
    <w:rsid w:val="00EB74DB"/>
    <w:rsid w:val="00EC5359"/>
    <w:rsid w:val="00EC562A"/>
    <w:rsid w:val="00ED067A"/>
    <w:rsid w:val="00ED2B50"/>
    <w:rsid w:val="00ED7BDD"/>
    <w:rsid w:val="00EE0350"/>
    <w:rsid w:val="00EE0719"/>
    <w:rsid w:val="00EE0E80"/>
    <w:rsid w:val="00EE613F"/>
    <w:rsid w:val="00EE7295"/>
    <w:rsid w:val="00EE7869"/>
    <w:rsid w:val="00EF054A"/>
    <w:rsid w:val="00EF3235"/>
    <w:rsid w:val="00EF6E07"/>
    <w:rsid w:val="00EF7E72"/>
    <w:rsid w:val="00F06D37"/>
    <w:rsid w:val="00F07B9D"/>
    <w:rsid w:val="00F114F6"/>
    <w:rsid w:val="00F11586"/>
    <w:rsid w:val="00F1183B"/>
    <w:rsid w:val="00F11C9F"/>
    <w:rsid w:val="00F12263"/>
    <w:rsid w:val="00F1409D"/>
    <w:rsid w:val="00F14214"/>
    <w:rsid w:val="00F157A9"/>
    <w:rsid w:val="00F16F00"/>
    <w:rsid w:val="00F25BB6"/>
    <w:rsid w:val="00F26B7E"/>
    <w:rsid w:val="00F27A3B"/>
    <w:rsid w:val="00F32780"/>
    <w:rsid w:val="00F33817"/>
    <w:rsid w:val="00F33C64"/>
    <w:rsid w:val="00F420D5"/>
    <w:rsid w:val="00F451EA"/>
    <w:rsid w:val="00F45447"/>
    <w:rsid w:val="00F456C6"/>
    <w:rsid w:val="00F4577B"/>
    <w:rsid w:val="00F46496"/>
    <w:rsid w:val="00F474D0"/>
    <w:rsid w:val="00F50179"/>
    <w:rsid w:val="00F515EE"/>
    <w:rsid w:val="00F52B65"/>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D2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4C3"/>
    <w:rsid w:val="00FC17B7"/>
    <w:rsid w:val="00FC2CB7"/>
    <w:rsid w:val="00FC4090"/>
    <w:rsid w:val="00FC4C45"/>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823C24"/>
    <w:rsid w:val="102D2243"/>
    <w:rsid w:val="11EA5475"/>
    <w:rsid w:val="14847102"/>
    <w:rsid w:val="1BF41E67"/>
    <w:rsid w:val="20197A0D"/>
    <w:rsid w:val="212136FE"/>
    <w:rsid w:val="23905F23"/>
    <w:rsid w:val="2AEE1659"/>
    <w:rsid w:val="2B424078"/>
    <w:rsid w:val="30B324B7"/>
    <w:rsid w:val="31051009"/>
    <w:rsid w:val="3B843933"/>
    <w:rsid w:val="3E860BED"/>
    <w:rsid w:val="4A040EB6"/>
    <w:rsid w:val="4A6718D3"/>
    <w:rsid w:val="53837051"/>
    <w:rsid w:val="59590B28"/>
    <w:rsid w:val="5CEA3EA6"/>
    <w:rsid w:val="5EC273D6"/>
    <w:rsid w:val="617F2279"/>
    <w:rsid w:val="668F10F3"/>
    <w:rsid w:val="67A55272"/>
    <w:rsid w:val="6974345D"/>
    <w:rsid w:val="6EF32E85"/>
    <w:rsid w:val="75330480"/>
    <w:rsid w:val="76F679B7"/>
    <w:rsid w:val="7970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paragraph" w:styleId="26">
    <w:name w:val="Body Text First Indent"/>
    <w:basedOn w:val="13"/>
    <w:uiPriority w:val="0"/>
    <w:pPr>
      <w:spacing w:after="120" w:line="240" w:lineRule="auto"/>
      <w:ind w:firstLine="420" w:firstLineChars="100"/>
    </w:pPr>
    <w:rPr>
      <w:rFonts w:ascii="Calibri" w:hAnsi="Calibri" w:eastAsia="宋体" w:cs="Times New Roman"/>
      <w:spacing w:val="0"/>
      <w:w w:val="100"/>
      <w:sz w:val="21"/>
      <w:szCs w:val="24"/>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2B182A2D4D4CE8A0A6E4FF476FF90E"/>
        <w:style w:val=""/>
        <w:category>
          <w:name w:val="常规"/>
          <w:gallery w:val="placeholder"/>
        </w:category>
        <w:types>
          <w:type w:val="bbPlcHdr"/>
        </w:types>
        <w:behaviors>
          <w:behavior w:val="content"/>
        </w:behaviors>
        <w:description w:val=""/>
        <w:guid w:val="{204DCB59-3BE7-4BD4-A14C-FFC6ACAC4349}"/>
      </w:docPartPr>
      <w:docPartBody>
        <w:p>
          <w:pPr>
            <w:pStyle w:val="5"/>
          </w:pPr>
          <w:r>
            <w:rPr>
              <w:rStyle w:val="4"/>
              <w:rFonts w:hint="eastAsia"/>
            </w:rPr>
            <w:t>单击或点击此处输入文字。</w:t>
          </w:r>
        </w:p>
      </w:docPartBody>
    </w:docPart>
    <w:docPart>
      <w:docPartPr>
        <w:name w:val="2C810707AB3C46FCBEB1D6EC837EA00C"/>
        <w:style w:val=""/>
        <w:category>
          <w:name w:val="常规"/>
          <w:gallery w:val="placeholder"/>
        </w:category>
        <w:types>
          <w:type w:val="bbPlcHdr"/>
        </w:types>
        <w:behaviors>
          <w:behavior w:val="content"/>
        </w:behaviors>
        <w:description w:val=""/>
        <w:guid w:val="{363498B9-9891-4BA6-B62F-B5601390BD9C}"/>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0E"/>
    <w:rsid w:val="000660F4"/>
    <w:rsid w:val="00246A0F"/>
    <w:rsid w:val="003A0E57"/>
    <w:rsid w:val="003F180E"/>
    <w:rsid w:val="006D2E13"/>
    <w:rsid w:val="00776D0C"/>
    <w:rsid w:val="007E6308"/>
    <w:rsid w:val="008E0E80"/>
    <w:rsid w:val="00A47134"/>
    <w:rsid w:val="00A80AA6"/>
    <w:rsid w:val="00BD0EA3"/>
    <w:rsid w:val="00C11885"/>
    <w:rsid w:val="00E16413"/>
    <w:rsid w:val="00E24512"/>
    <w:rsid w:val="00E8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E2B182A2D4D4CE8A0A6E4FF476FF9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C810707AB3C46FCBEB1D6EC837EA0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BF066DC2E94E54942551F60867BF7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16FDB-E9EC-4C86-8CD9-07B8C9863D3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410</Words>
  <Characters>2338</Characters>
  <Lines>19</Lines>
  <Paragraphs>5</Paragraphs>
  <TotalTime>4</TotalTime>
  <ScaleCrop>false</ScaleCrop>
  <LinksUpToDate>false</LinksUpToDate>
  <CharactersWithSpaces>2743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2023-10-13T08:50:00Z</dcterms:created>
  <dc:creator>H</dc:creator>
  <cp:lastModifiedBy>静禪</cp:lastModifiedBy>
  <cp:lastPrinted>2023-10-14T02:17:00Z</cp:lastPrinted>
  <dcterms:modified xsi:type="dcterms:W3CDTF">2023-10-27T08:02:38Z</dcterms:modified>
  <dc:title>团体标准</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1E00E9048D9541BA9390152A3C04459F_12</vt:lpwstr>
  </property>
</Properties>
</file>