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08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广东省化妆品学会团体标准《化妆品用原料 红茶发酵产物》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</w:t>
      </w:r>
      <w:bookmarkStart w:id="0" w:name="_GoBack"/>
      <w:bookmarkEnd w:id="0"/>
      <w:r>
        <w:rPr>
          <w:rFonts w:hint="eastAsia"/>
        </w:rPr>
        <w:t xml:space="preserve">          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2C162C47"/>
    <w:rsid w:val="3A492C67"/>
    <w:rsid w:val="491D214E"/>
    <w:rsid w:val="5E530AD4"/>
    <w:rsid w:val="610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2023-11-01T09:03:01Z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875064F7216847C08A8AFD13B17645FB_13</vt:lpwstr>
  </property>
</Properties>
</file>