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衢州市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预防医学</w:t>
      </w:r>
      <w:r>
        <w:rPr>
          <w:rFonts w:hint="eastAsia" w:ascii="黑体" w:hAnsi="黑体" w:eastAsia="黑体"/>
          <w:sz w:val="32"/>
          <w:szCs w:val="32"/>
        </w:rPr>
        <w:t>会团体标准</w:t>
      </w:r>
    </w:p>
    <w:p>
      <w:pPr>
        <w:spacing w:after="0"/>
        <w:jc w:val="center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eastAsia="zh-CN"/>
        </w:rPr>
        <w:t>学龄前儿童集体供餐营养指南</w:t>
      </w:r>
      <w:r>
        <w:rPr>
          <w:rFonts w:hint="eastAsia" w:ascii="黑体" w:hAnsi="黑体" w:eastAsia="黑体"/>
          <w:sz w:val="32"/>
          <w:szCs w:val="32"/>
        </w:rPr>
        <w:t>》编</w:t>
      </w:r>
      <w:r>
        <w:rPr>
          <w:rFonts w:hint="eastAsia" w:ascii="方正小标宋_GBK" w:hAnsi="宋体" w:eastAsia="方正小标宋_GBK"/>
          <w:sz w:val="32"/>
          <w:szCs w:val="32"/>
        </w:rPr>
        <w:t xml:space="preserve">制说明   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both"/>
              <w:rPr>
                <w:rFonts w:ascii="方正小标宋_GBK" w:hAnsi="宋体" w:eastAsia="方正小标宋_GBK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(一)工作简况，包括任务来源、协作单位、主要工作过程、标准主要起草人及其所做的工作等；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1、任务来源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6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满2周岁至未满6周岁的学龄前儿童，他们生长发育速率与婴幼儿相比略有下降，但仍然处于迅速生长发育阶段，新陈代谢旺盛，这也是一个人饮食行为和生活方式形成的关键时期。合理膳食，均衡营养对于保证儿童身体和智力正常发育以及预防疾病，提高健康水平起着重要作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6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龄前儿童随着年龄增长，咀嚼能力和消化功能逐渐增强，他们的饮食逐渐由软到硬、由半流质到接近成人食物，完成从奶类食物为主到谷类食物为主的过渡，而且食物的种类也逐渐增多。但无论如何，都不能和成人的饮食同样对待，以免导致消化功能紊乱，造成营养不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6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龄前儿童的膳食组成应多样化，以满足儿童对各种营养成分的要求，3-6岁儿童的膳食应注意食物品种的选择和变换，如荤菜素菜的合理搭配，粗粮细粮的交替使用，食物的软硬应适中，温度要适宜，香味形状要能引起儿童的兴趣，以促进食欲，并与其消化能力相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6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我国学龄前儿童营养与健康状况有了很大的改善，但仍面临诸多问题。一方面，学龄前儿童营养不良依然存在，钙、铁、维生素 A 等微量营养素摄入不足还十分常见；另一方面，超重、肥胖检出率持续上升，增长趋势明显，高脂血症、高血压病、糖尿病等慢性非传染疾病低龄化问题日益凸显，并悄然威胁着他们的健康。同时，不少儿童及其家长和学校教职员工的营养健康素养普遍偏低，不健康的饮食行为常见，如不吃早餐或早餐营养不充足；喝含糖饮料现象普遍，这些都阻碍了学龄前儿童的健康成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6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我国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学龄前儿童集体供餐营养管理尚无国家标准和行业标准，浙江省也无相关的地方标准，仅中国营养学会制定的《学龄前儿童集体餐营养要求》团体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可作参考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亟需制定相应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的营养供餐营养管理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，对学龄前儿童集体供餐进行营养指导。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准制定将规范衢州市区域内幼托机构集体供餐的营养管理，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部门加强对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幼托机构集体供餐监管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提供技术依据，有助于规范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幼托机构对学龄前儿童集体供餐要求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，确保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学龄前儿童集体餐营养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，利于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打造衢州营养健康特色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，扩大“健康衢州”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影响力。</w:t>
            </w:r>
          </w:p>
          <w:p>
            <w:pPr>
              <w:widowControl/>
              <w:spacing w:line="376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衢州市疾病预防控制中心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作为标准第一起草单位向衢州市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预防医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学会提出了学会团体标准《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学龄前儿童集体供餐营养指南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》的制定立项申请，</w:t>
            </w:r>
            <w:bookmarkStart w:id="1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经过专家材料初审通过了立项申请</w:t>
            </w:r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，根据衢州市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预防医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学会“关于同意立项制定《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学龄前儿童集体供餐营养指南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团体标准”的要求，确定由衢州市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疾病预防控制中心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柯城区市场监督管理局、衢江区市场监督管理局、衢江区教育局、衢江区疾病预防控制中心、衢州市机关幼儿园、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衢州市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菜篮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子食品有限公司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起草制定《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学龄前儿童集体供餐营养指南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》标准。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2、起草单位和协作单位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起草单位：衢州市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疾病预防控制中心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协作单位：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柯城区市场监督管理局、衢江区市场监督管理局、衢江区教育局、衢江区疾病预防控制中心、衢州市机关幼儿园、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衢州市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菜篮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子食品有限公司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3、主要工作过程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（1）制订工作计划。根据立项要求，衢州市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疾病预防控制中心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柯城区市场监督管理局、衢江区市场监督管理局、衢江区教育局、衢江区疾病预防控制中心、衢州市机关幼儿园、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衢州市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菜篮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  <w:t>子食品有限公司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组成标准起草小组，明确责任分工，并制定了相应工作计划。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（2）收集整理相关资料。在已有资料的基础上，进一步收集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学龄前儿童营养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的技术资料，并对相关技术内容进行梳理。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（3）现场调研。标准起草小组成员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在为学龄前儿童提供集体餐食的机构或单位就食物种类、食物质量、带量食谱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等内容开展了广泛的调研。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（4）起草标准初稿。在充分考虑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幼托机构营养保健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人员意见建议的基础上，结合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学龄前儿童集体供餐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实际，形成了标准初稿。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（5）征求意见。202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月--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月。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（6）文本的修改、送审、报批。按照标准制定流程在征求意见稿的基础上，对标准文本进行进一步修改，形成送审稿进而形成报批稿。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4、标准主要起草人及其所做的工作</w:t>
            </w:r>
          </w:p>
          <w:p>
            <w:pPr>
              <w:widowControl/>
              <w:spacing w:line="376" w:lineRule="exact"/>
              <w:ind w:firstLine="420" w:firstLineChars="150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任斐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负责标准的基本材料收集、整理、起草、格式编排、修改校对、标准初稿征求意见及归纳整理等工作，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程丹丹、赵瑞芳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调研工作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及带量食谱分析制定等工作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方正小标宋_GBK" w:hAnsi="宋体" w:eastAsia="方正小标宋_GBK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(二)标准编制原则和确定标准主要内容(如技术指标、参数、公式、性能要求、试验方法、检验规则等)的论据(包括试验、统计数据)，修订标准时，应增列新旧标准水平的对比；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9" w:type="dxa"/>
          </w:tcPr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1、标准编制原则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76" w:lineRule="exact"/>
              <w:ind w:firstLine="560" w:firstLineChars="200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本标准的制定坚持规范性、先进性、科学性的原则，严格按照GB/T 1.1-2020《标准化工作导则 第1部分：标准化文件的结构和起草规则》进行编写工作。编写过程中，广泛征求和采纳同行专家的意见，确保内容和条款的规范性和先进性。</w:t>
            </w:r>
          </w:p>
          <w:p>
            <w:pPr>
              <w:widowControl/>
              <w:spacing w:line="376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2、确定标准内容的论据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200" w:line="3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本标准结合衢州市学龄前儿童机构或单位的实际集体供餐情况，参考WS/T 554—2017 学生餐营养指南、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餐饮服务食品安全操作规范（国家市场监督管理总局公告2018年 第12号）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、中国居民膳食指南（2022）等标准要求进行了规定。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方正小标宋_GBK" w:hAnsi="宋体" w:eastAsia="方正小标宋_GBK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(三)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主要试验(或验证)的分析、综述报告，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"http://baike.baidu.com/view/403371.htm" \t "_blank"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技术经济论证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预期的</w:t>
            </w:r>
            <w:r>
              <w:fldChar w:fldCharType="begin"/>
            </w:r>
            <w:r>
              <w:instrText xml:space="preserve"> HYPERLINK "http://baike.baidu.com/view/1277218.htm"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经济效果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9" w:type="dxa"/>
          </w:tcPr>
          <w:p>
            <w:pPr>
              <w:widowControl w:val="0"/>
              <w:spacing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学龄前儿童集体供餐基本要求、食物种类及食物质量要求、营养素供给量要求、带量食谱举例均参考WS/T 554—2017《学生餐营养指南》、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餐饮服务食品安全操作规范（国家市场监督管理总局公告2018年 第12号）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、中国居民膳食指南（2022）、T/CNSS 006-2020《学龄前儿童集体餐营养要求》等标准要求进行了规定。</w:t>
            </w:r>
          </w:p>
          <w:p>
            <w:pPr>
              <w:widowControl w:val="0"/>
              <w:adjustRightInd/>
              <w:snapToGrid/>
              <w:spacing w:line="400" w:lineRule="exact"/>
              <w:ind w:firstLine="44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周岁至未满6周岁的学龄前儿童处于迅速生长发育阶段，新陈代谢旺盛，是一个人饮食行为和生活方式形成的关键时期。合理膳食，均衡营养对于保证儿童身体和智力正常发育以及预防疾病，提高健康水平起着重要作用。</w:t>
            </w:r>
          </w:p>
          <w:p>
            <w:pPr>
              <w:widowControl w:val="0"/>
              <w:adjustRightInd/>
              <w:snapToGrid/>
              <w:spacing w:line="400" w:lineRule="exact"/>
              <w:ind w:firstLine="44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准制定将规范衢州市区域内幼托机构集体供餐的营养管理，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部门加强对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幼托机构集体供餐监管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提供技术依据，有助于规范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幼托机构对学龄前儿童集体供餐要求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，确保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学龄前儿童集体餐营养，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通过营养改善的方式减少健康风险，降低个人、家庭及社会医疗经济损失。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方正小标宋_GBK" w:hAnsi="宋体" w:eastAsia="方正小标宋_GBK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(四)</w:t>
            </w:r>
            <w:r>
              <w:fldChar w:fldCharType="begin"/>
            </w:r>
            <w:r>
              <w:instrText xml:space="preserve"> HYPERLINK "http://baike.baidu.com/view/872143.htm"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采用国际标准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和</w:t>
            </w:r>
            <w:r>
              <w:fldChar w:fldCharType="begin"/>
            </w:r>
            <w:r>
              <w:instrText xml:space="preserve"> HYPERLINK "http://baike.baidu.com/view/2114240.htm" \t "_blank" </w:instrText>
            </w:r>
            <w:r>
              <w:fldChar w:fldCharType="separate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国外先进标准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的程度，以及与国际、国外同类标准水平的对比情况，或与测试的国外样品、样机的有关数据对比情况；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8359" w:type="dxa"/>
          </w:tcPr>
          <w:p>
            <w:pPr>
              <w:widowControl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国家标准、行业标准和国外先进标准均无相关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学龄前儿童营养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，仅中国营养学会制定的《学龄前儿童集体餐营养要求》团体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可作参考。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文本中所采用的标准为现行行业标准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及规范，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技术要求与相应行业标准、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操作规范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相匹配， 主要引用的标准、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如下：</w:t>
            </w:r>
          </w:p>
          <w:p>
            <w:pPr>
              <w:pStyle w:val="11"/>
              <w:widowControl w:val="0"/>
              <w:rPr>
                <w:rFonts w:hint="default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WS/T 554—2017  学生餐营养指南</w:t>
            </w:r>
          </w:p>
          <w:p>
            <w:pPr>
              <w:pStyle w:val="11"/>
              <w:widowControl w:val="0"/>
              <w:rPr>
                <w:rFonts w:hint="default"/>
                <w:color w:val="000000"/>
                <w:lang w:eastAsia="zh-CN"/>
              </w:rPr>
            </w:pPr>
            <w:r>
              <w:rPr>
                <w:rFonts w:hint="default"/>
                <w:color w:val="000000"/>
                <w:lang w:eastAsia="zh-CN"/>
              </w:rPr>
              <w:t>餐饮服务食品安全操作规范（国家市场监督管理总局公告</w:t>
            </w:r>
            <w:r>
              <w:rPr>
                <w:rFonts w:hint="default"/>
                <w:color w:val="000000"/>
                <w:lang w:val="en-US" w:eastAsia="zh-CN"/>
              </w:rPr>
              <w:t>2018年 第12号</w:t>
            </w:r>
            <w:r>
              <w:rPr>
                <w:rFonts w:hint="default"/>
                <w:color w:val="000000"/>
                <w:lang w:eastAsia="zh-CN"/>
              </w:rPr>
              <w:t>）</w:t>
            </w:r>
          </w:p>
          <w:p>
            <w:pPr>
              <w:pStyle w:val="11"/>
              <w:widowControl w:val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中国居民膳食指南（2022）</w:t>
            </w:r>
          </w:p>
          <w:p>
            <w:pPr>
              <w:pStyle w:val="11"/>
              <w:widowControl w:val="0"/>
              <w:rPr>
                <w:rFonts w:hint="default" w:ascii="Times New Roman" w:hAnsi="Times New Roman" w:cs="Times New Roman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T/CNSS 006-2020  </w:t>
            </w:r>
            <w:r>
              <w:rPr>
                <w:rFonts w:hint="eastAsia"/>
                <w:color w:val="000000"/>
                <w:lang w:eastAsia="zh-CN"/>
              </w:rPr>
              <w:t>学龄前儿童集体餐营养要求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方正小标宋_GBK" w:hAnsi="宋体" w:eastAsia="方正小标宋_GBK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(五)与有关的现行法律、法规和强制性国家标准的关系；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359" w:type="dxa"/>
          </w:tcPr>
          <w:p>
            <w:pPr>
              <w:widowControl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本标准适用于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为学龄前儿童提供集体餐食的机构或单位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，本标准规定了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学龄前儿童集体供餐基本要求、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食物种类及食物质量要求、营养素供给量要求、带量食谱举例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，符合现行法律、法规和强制性国家标准。</w:t>
            </w:r>
          </w:p>
          <w:p>
            <w:pPr>
              <w:widowControl w:val="0"/>
              <w:spacing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本标准与现行法律、法规和强制性标准没有冲突。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方正小标宋_GBK" w:hAnsi="宋体" w:eastAsia="方正小标宋_GBK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(六)重大分歧意见的处理经过和依据；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359" w:type="dxa"/>
          </w:tcPr>
          <w:p>
            <w:pPr>
              <w:widowControl w:val="0"/>
              <w:spacing w:line="400" w:lineRule="exact"/>
              <w:ind w:firstLine="560" w:firstLineChars="200"/>
              <w:jc w:val="both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本标准符合我国有关现行法律、法规及相关标准要求。标准起草小组广泛征求了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卫生部门、市场监督管理部门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托幼机构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等单位代表的意见，在意见征求及处理过程中，未发生重大意见分歧。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方正小标宋_GBK" w:hAnsi="宋体" w:eastAsia="方正小标宋_GBK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(七)本标准低于同类国家（行业、地方）推荐性标准的理由和可行性；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方正小标宋_GBK" w:hAnsi="宋体" w:eastAsia="方正小标宋_GBK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方正小标宋_GBK" w:hAnsi="宋体" w:eastAsia="方正小标宋_GBK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(八)贯彻地方标准规范的要求和措施建议(包括组织措施、技术措施、过渡办法等内容)；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ind w:firstLine="56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4"/>
              </w:rPr>
              <w:t>本标准通过审定、发布后，将在衢州市行政区域范围内应用实施，培育标准化示范样板。通过示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范点的实施，在认真总结经验的基础上，编制标准化操作手册或相关课件，然后结合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教育、卫生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部门的技术培训、指导和标准宣贯，贯彻实施地方标准。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方正小标宋_GBK" w:hAnsi="宋体" w:eastAsia="方正小标宋_GBK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(九)废止现行有关标准的建议；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(十)其他应予说明的事项。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9" w:type="dxa"/>
          </w:tcPr>
          <w:p>
            <w:pPr>
              <w:widowControl w:val="0"/>
              <w:adjustRightInd/>
              <w:snapToGrid/>
              <w:spacing w:line="40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1076A"/>
    <w:multiLevelType w:val="multilevel"/>
    <w:tmpl w:val="18A1076A"/>
    <w:lvl w:ilvl="0" w:tentative="0">
      <w:start w:val="1"/>
      <w:numFmt w:val="decimal"/>
      <w:pStyle w:val="1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2"/>
      <w:suff w:val="nothing"/>
      <w:lvlText w:val="表%1　"/>
      <w:lvlJc w:val="left"/>
      <w:pPr>
        <w:ind w:left="4679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OWMzOGVjNGNiNmRkMWJiMWYyNjdjY2JmZDI1N2IifQ=="/>
  </w:docVars>
  <w:rsids>
    <w:rsidRoot w:val="00172A27"/>
    <w:rsid w:val="00021A45"/>
    <w:rsid w:val="00040809"/>
    <w:rsid w:val="0004139E"/>
    <w:rsid w:val="00172A27"/>
    <w:rsid w:val="001E4968"/>
    <w:rsid w:val="003004CC"/>
    <w:rsid w:val="003B7097"/>
    <w:rsid w:val="004139AD"/>
    <w:rsid w:val="00415A0E"/>
    <w:rsid w:val="004E510D"/>
    <w:rsid w:val="00516A55"/>
    <w:rsid w:val="005346A1"/>
    <w:rsid w:val="005B7AEE"/>
    <w:rsid w:val="00667E2E"/>
    <w:rsid w:val="0070302B"/>
    <w:rsid w:val="00733D6D"/>
    <w:rsid w:val="00775906"/>
    <w:rsid w:val="007D47BA"/>
    <w:rsid w:val="007E06AB"/>
    <w:rsid w:val="008119E9"/>
    <w:rsid w:val="008137FE"/>
    <w:rsid w:val="0086389A"/>
    <w:rsid w:val="008F1746"/>
    <w:rsid w:val="00900833"/>
    <w:rsid w:val="009A7843"/>
    <w:rsid w:val="009C1679"/>
    <w:rsid w:val="009D7871"/>
    <w:rsid w:val="00A2268B"/>
    <w:rsid w:val="00A26113"/>
    <w:rsid w:val="00AA769C"/>
    <w:rsid w:val="00B67935"/>
    <w:rsid w:val="00B971FB"/>
    <w:rsid w:val="00C36759"/>
    <w:rsid w:val="00C4551B"/>
    <w:rsid w:val="00CA38E1"/>
    <w:rsid w:val="00CE7884"/>
    <w:rsid w:val="00DC650F"/>
    <w:rsid w:val="00E01911"/>
    <w:rsid w:val="00E55B7B"/>
    <w:rsid w:val="00E93FB0"/>
    <w:rsid w:val="00F51F47"/>
    <w:rsid w:val="00F721D1"/>
    <w:rsid w:val="00F80818"/>
    <w:rsid w:val="01181E72"/>
    <w:rsid w:val="022B0E5C"/>
    <w:rsid w:val="026561FC"/>
    <w:rsid w:val="03F4702C"/>
    <w:rsid w:val="053F2338"/>
    <w:rsid w:val="060E1B99"/>
    <w:rsid w:val="08537402"/>
    <w:rsid w:val="090075E7"/>
    <w:rsid w:val="0A9A264B"/>
    <w:rsid w:val="0AAD4845"/>
    <w:rsid w:val="0AB6328D"/>
    <w:rsid w:val="0AF939A2"/>
    <w:rsid w:val="0D974848"/>
    <w:rsid w:val="0F4C0664"/>
    <w:rsid w:val="0FF641B7"/>
    <w:rsid w:val="100D616C"/>
    <w:rsid w:val="101E3DAE"/>
    <w:rsid w:val="11B87D8B"/>
    <w:rsid w:val="11DF5196"/>
    <w:rsid w:val="13785995"/>
    <w:rsid w:val="13CC1D73"/>
    <w:rsid w:val="13D22765"/>
    <w:rsid w:val="14D176B8"/>
    <w:rsid w:val="16A46AFB"/>
    <w:rsid w:val="171C30F7"/>
    <w:rsid w:val="173A305B"/>
    <w:rsid w:val="19036119"/>
    <w:rsid w:val="19287648"/>
    <w:rsid w:val="1A5403CD"/>
    <w:rsid w:val="1B1F2F74"/>
    <w:rsid w:val="1B47101C"/>
    <w:rsid w:val="1C47643B"/>
    <w:rsid w:val="1C717CE8"/>
    <w:rsid w:val="1C8B2050"/>
    <w:rsid w:val="1DC65F93"/>
    <w:rsid w:val="1EE460F3"/>
    <w:rsid w:val="1F8359DC"/>
    <w:rsid w:val="21040CF3"/>
    <w:rsid w:val="211A4953"/>
    <w:rsid w:val="21366A7E"/>
    <w:rsid w:val="21B80B68"/>
    <w:rsid w:val="21FE134A"/>
    <w:rsid w:val="220C1982"/>
    <w:rsid w:val="23A56F95"/>
    <w:rsid w:val="25A633B0"/>
    <w:rsid w:val="26F62F37"/>
    <w:rsid w:val="28060F58"/>
    <w:rsid w:val="280A3C38"/>
    <w:rsid w:val="29B109BC"/>
    <w:rsid w:val="29EE5042"/>
    <w:rsid w:val="29F052B7"/>
    <w:rsid w:val="2A151926"/>
    <w:rsid w:val="2C1546AF"/>
    <w:rsid w:val="2E6B420B"/>
    <w:rsid w:val="2E826F5F"/>
    <w:rsid w:val="2F3D699A"/>
    <w:rsid w:val="2FC166ED"/>
    <w:rsid w:val="306535C6"/>
    <w:rsid w:val="30DF2C8E"/>
    <w:rsid w:val="31570A76"/>
    <w:rsid w:val="3291620A"/>
    <w:rsid w:val="32D758F7"/>
    <w:rsid w:val="33017ED7"/>
    <w:rsid w:val="33895639"/>
    <w:rsid w:val="34853B4C"/>
    <w:rsid w:val="38065A5E"/>
    <w:rsid w:val="39207605"/>
    <w:rsid w:val="398244C0"/>
    <w:rsid w:val="3AA54601"/>
    <w:rsid w:val="3B236FAC"/>
    <w:rsid w:val="3B554279"/>
    <w:rsid w:val="3B9A55CE"/>
    <w:rsid w:val="3BC53123"/>
    <w:rsid w:val="3D097AD7"/>
    <w:rsid w:val="3FFB4F07"/>
    <w:rsid w:val="3FFF2A05"/>
    <w:rsid w:val="40AA2C4B"/>
    <w:rsid w:val="414F7058"/>
    <w:rsid w:val="422C13AE"/>
    <w:rsid w:val="43036368"/>
    <w:rsid w:val="4340580E"/>
    <w:rsid w:val="448B1BFE"/>
    <w:rsid w:val="45D03A9B"/>
    <w:rsid w:val="460D4F56"/>
    <w:rsid w:val="464F7DA9"/>
    <w:rsid w:val="471D19C3"/>
    <w:rsid w:val="4778051F"/>
    <w:rsid w:val="480F16B5"/>
    <w:rsid w:val="484336AB"/>
    <w:rsid w:val="4A7F683C"/>
    <w:rsid w:val="4DA15FEB"/>
    <w:rsid w:val="4DAE7818"/>
    <w:rsid w:val="4F0C1EFC"/>
    <w:rsid w:val="4F920A5A"/>
    <w:rsid w:val="500D71DF"/>
    <w:rsid w:val="50967919"/>
    <w:rsid w:val="510A5AAD"/>
    <w:rsid w:val="530323B4"/>
    <w:rsid w:val="53542C10"/>
    <w:rsid w:val="539A2E1F"/>
    <w:rsid w:val="53FB3447"/>
    <w:rsid w:val="543C16DA"/>
    <w:rsid w:val="55C93441"/>
    <w:rsid w:val="56FA0671"/>
    <w:rsid w:val="57911D3D"/>
    <w:rsid w:val="57D91936"/>
    <w:rsid w:val="59374B66"/>
    <w:rsid w:val="59451E18"/>
    <w:rsid w:val="5B3C2907"/>
    <w:rsid w:val="5CFE5E65"/>
    <w:rsid w:val="5FE07E7C"/>
    <w:rsid w:val="60D00602"/>
    <w:rsid w:val="623205C0"/>
    <w:rsid w:val="623F476F"/>
    <w:rsid w:val="62791D4B"/>
    <w:rsid w:val="634F5CF7"/>
    <w:rsid w:val="664A412A"/>
    <w:rsid w:val="67271327"/>
    <w:rsid w:val="699629B8"/>
    <w:rsid w:val="6B6E7A4D"/>
    <w:rsid w:val="6BD65FE5"/>
    <w:rsid w:val="6C0E3AE1"/>
    <w:rsid w:val="6C2C6080"/>
    <w:rsid w:val="6C320923"/>
    <w:rsid w:val="6CDA3200"/>
    <w:rsid w:val="6CF05300"/>
    <w:rsid w:val="6E9C129B"/>
    <w:rsid w:val="6EA73325"/>
    <w:rsid w:val="6F9A1FB5"/>
    <w:rsid w:val="70B476A9"/>
    <w:rsid w:val="71115F5A"/>
    <w:rsid w:val="71904398"/>
    <w:rsid w:val="72507F7A"/>
    <w:rsid w:val="73AA4A47"/>
    <w:rsid w:val="744F0B5E"/>
    <w:rsid w:val="75907680"/>
    <w:rsid w:val="78C22413"/>
    <w:rsid w:val="79295E21"/>
    <w:rsid w:val="79C618C2"/>
    <w:rsid w:val="7A030258"/>
    <w:rsid w:val="7A195E96"/>
    <w:rsid w:val="7A242E89"/>
    <w:rsid w:val="7B456F30"/>
    <w:rsid w:val="7B7F040A"/>
    <w:rsid w:val="7C6333F8"/>
    <w:rsid w:val="7DAE4CC6"/>
    <w:rsid w:val="7E045A8F"/>
    <w:rsid w:val="7ECF1219"/>
    <w:rsid w:val="7F3F255F"/>
    <w:rsid w:val="7F514C84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Tahoma" w:hAnsi="Tahoma" w:eastAsia="宋体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Tahoma" w:hAnsi="Tahoma" w:eastAsia="宋体"/>
      <w:sz w:val="18"/>
      <w:szCs w:val="18"/>
    </w:rPr>
  </w:style>
  <w:style w:type="paragraph" w:customStyle="1" w:styleId="10">
    <w:name w:val="正文表标题"/>
    <w:next w:val="11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">
    <w:name w:val="正文图标题"/>
    <w:next w:val="1"/>
    <w:qFormat/>
    <w:uiPriority w:val="0"/>
    <w:pPr>
      <w:numPr>
        <w:ilvl w:val="0"/>
        <w:numId w:val="1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一级条标题"/>
    <w:next w:val="11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二级条标题"/>
    <w:basedOn w:val="13"/>
    <w:next w:val="11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15">
    <w:name w:val="段 Char"/>
    <w:basedOn w:val="7"/>
    <w:link w:val="11"/>
    <w:qFormat/>
    <w:uiPriority w:val="0"/>
    <w:rPr>
      <w:rFonts w:ascii="宋体"/>
      <w:sz w:val="21"/>
    </w:rPr>
  </w:style>
  <w:style w:type="paragraph" w:customStyle="1" w:styleId="16">
    <w:name w:val="章标题"/>
    <w:next w:val="11"/>
    <w:qFormat/>
    <w:uiPriority w:val="0"/>
    <w:pPr>
      <w:numPr>
        <w:ilvl w:val="0"/>
        <w:numId w:val="3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3085</Words>
  <Characters>3168</Characters>
  <Lines>33</Lines>
  <Paragraphs>9</Paragraphs>
  <TotalTime>6</TotalTime>
  <ScaleCrop>false</ScaleCrop>
  <LinksUpToDate>false</LinksUpToDate>
  <CharactersWithSpaces>3200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2017-09-29T11:23:00Z</dcterms:created>
  <dc:creator>zhaoxinlei</dc:creator>
  <cp:lastModifiedBy>renfei</cp:lastModifiedBy>
  <cp:lastPrinted>2019-12-23T06:37:00Z</cp:lastPrinted>
  <dcterms:modified xsi:type="dcterms:W3CDTF">2023-10-31T02:41:58Z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ECADD63CEB54401A96C0243FEEA79A38</vt:lpwstr>
  </property>
</Properties>
</file>