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framePr w:wrap="around" w:x="1787" w:y="3526"/>
        <w:pBdr>
          <w:bottom w:val="single" w:color="auto" w:sz="4" w:space="1"/>
        </w:pBdr>
        <w:rPr>
          <w:rFonts w:hAnsi="黑体"/>
        </w:rPr>
      </w:pPr>
      <w:r>
        <w:rPr>
          <w:rFonts w:hAnsi="黑体"/>
        </w:rPr>
        <w:t xml:space="preserve">T/SSEA </w:t>
      </w:r>
      <w:r>
        <w:rPr>
          <w:rFonts w:hint="eastAsia" w:hAnsi="黑体"/>
        </w:rPr>
        <w:t>XXXX</w:t>
      </w:r>
      <w:r>
        <w:rPr>
          <w:rFonts w:hAnsi="黑体"/>
        </w:rPr>
        <w:t>—</w:t>
      </w:r>
      <w:r>
        <w:rPr>
          <w:rFonts w:hint="eastAsia" w:hAnsi="黑体"/>
        </w:rPr>
        <w:t>2022</w:t>
      </w:r>
    </w:p>
    <w:p>
      <w:pPr>
        <w:pStyle w:val="45"/>
        <w:framePr w:wrap="around" w:x="1787" w:y="3526"/>
        <w:rPr>
          <w:rFonts w:ascii="宋体" w:hAnsi="宋体" w:eastAsia="宋体"/>
        </w:rPr>
      </w:pPr>
    </w:p>
    <w:p>
      <w:pPr>
        <w:pStyle w:val="45"/>
        <w:framePr w:wrap="around" w:x="1787" w:y="3526"/>
        <w:rPr>
          <w:rFonts w:ascii="宋体" w:hAnsi="宋体" w:eastAsia="宋体"/>
        </w:rPr>
      </w:pPr>
    </w:p>
    <w:p>
      <w:pPr>
        <w:pStyle w:val="76"/>
        <w:framePr w:wrap="around" w:x="1335" w:y="6192"/>
      </w:pPr>
      <w:r>
        <w:rPr>
          <w:rFonts w:hint="eastAsia"/>
        </w:rPr>
        <w:t>结构用连续热镀锌铝镁合金镀层钢带</w:t>
      </w:r>
    </w:p>
    <w:p>
      <w:pPr>
        <w:pStyle w:val="77"/>
        <w:framePr w:wrap="around" w:x="1335" w:y="6192"/>
      </w:pPr>
      <w:r>
        <w:rPr>
          <w:rFonts w:hint="eastAsia"/>
        </w:rPr>
        <w:t xml:space="preserve">Continuously hot-dip zinc-aluminium-magnesium alloy coated steel strip for structure </w:t>
      </w:r>
    </w:p>
    <w:p>
      <w:pPr>
        <w:pStyle w:val="78"/>
        <w:framePr w:wrap="around" w:x="1335" w:y="6192"/>
        <w:spacing w:before="156" w:after="156"/>
        <w:rPr>
          <w:rFonts w:hAnsi="宋体"/>
        </w:rPr>
      </w:pPr>
      <w:r>
        <w:rPr>
          <w:rFonts w:hint="eastAsia"/>
        </w:rPr>
        <w:t>（草稿）</w:t>
      </w:r>
    </w:p>
    <w:p>
      <w:pPr>
        <w:pStyle w:val="129"/>
        <w:framePr w:wrap="around" w:hAnchor="page" w:x="1561" w:y="13816"/>
      </w:pPr>
      <w:r>
        <w:rPr>
          <w:rFonts w:ascii="黑体"/>
        </w:rPr>
        <w:fldChar w:fldCharType="begin">
          <w:ffData>
            <w:name w:val="FY"/>
            <w:enabled/>
            <w:calcOnExit w:val="0"/>
            <w:textInput>
              <w:default w:val="XXXX"/>
              <w:maxLength w:val="4"/>
            </w:textInput>
          </w:ffData>
        </w:fldChar>
      </w:r>
      <w:bookmarkStart w:id="0"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0"/>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r>
        <w:rPr>
          <w:rFonts w:ascii="黑体"/>
        </w:rPr>
        <w:fldChar w:fldCharType="begin">
          <w:ffData>
            <w:name w:val="FD"/>
            <w:enabled/>
            <w:calcOnExit w:val="0"/>
            <w:textInput>
              <w:default w:val="XX"/>
              <w:maxLength w:val="2"/>
            </w:textInput>
          </w:ffData>
        </w:fldChar>
      </w:r>
      <w:bookmarkStart w:id="1"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1"/>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5887085" cy="0"/>
                <wp:effectExtent l="8890" t="12700" r="9525" b="6350"/>
                <wp:wrapNone/>
                <wp:docPr id="1347395842" name="Line 4"/>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0.05pt;margin-top:728.5pt;height:0pt;width:463.55pt;mso-position-vertical-relative:page;z-index:251659264;mso-width-relative:page;mso-height-relative:page;" filled="f" stroked="t" coordsize="21600,21600" o:gfxdata="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ERBNYAAAALAQAADwAAAAAAAAABACAAAAAi&#10;AAAAZHJzL2Rvd25yZXYueG1sUEsBAhQAFAAAAAgAh07iQCnudtPTAQAAqAMAAA4AAAAAAAAAAQAg&#10;AAAAJQEAAGRycy9lMm9Eb2MueG1sUEsFBgAAAAAGAAYAWQEAAGoFAAAAAA==&#10;">
                <v:fill on="f" focussize="0,0"/>
                <v:stroke color="#000000" joinstyle="round"/>
                <v:imagedata o:title=""/>
                <o:lock v:ext="edit" aspectratio="f"/>
                <w10:anchorlock/>
              </v:line>
            </w:pict>
          </mc:Fallback>
        </mc:AlternateContent>
      </w:r>
    </w:p>
    <w:p>
      <w:pPr>
        <w:pStyle w:val="130"/>
        <w:framePr w:wrap="around" w:hAnchor="page" w:x="6931" w:y="13891"/>
      </w:pPr>
      <w:r>
        <w:rPr>
          <w:rFonts w:ascii="黑体"/>
        </w:rPr>
        <w:fldChar w:fldCharType="begin">
          <w:ffData>
            <w:name w:val="SY"/>
            <w:enabled/>
            <w:calcOnExit w:val="0"/>
            <w:textInput>
              <w:default w:val="XXXX"/>
              <w:maxLength w:val="4"/>
            </w:textInput>
          </w:ffData>
        </w:fldChar>
      </w:r>
      <w:bookmarkStart w:id="2"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2"/>
      <w:r>
        <w:rPr>
          <w:rFonts w:ascii="黑体"/>
        </w:rPr>
        <w:t>-</w:t>
      </w:r>
      <w:r>
        <w:rPr>
          <w:rFonts w:ascii="黑体"/>
        </w:rPr>
        <w:fldChar w:fldCharType="begin">
          <w:ffData>
            <w:name w:val="SM"/>
            <w:enabled/>
            <w:calcOnExit w:val="0"/>
            <w:textInput>
              <w:default w:val="XX"/>
              <w:maxLength w:val="2"/>
            </w:textInput>
          </w:ffData>
        </w:fldChar>
      </w:r>
      <w:bookmarkStart w:id="3"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rPr>
          <w:rFonts w:ascii="黑体"/>
        </w:rPr>
        <w:t>-</w:t>
      </w:r>
      <w:r>
        <w:rPr>
          <w:rFonts w:ascii="黑体"/>
        </w:rPr>
        <w:fldChar w:fldCharType="begin">
          <w:ffData>
            <w:name w:val="SD"/>
            <w:enabled/>
            <w:calcOnExit w:val="0"/>
            <w:textInput>
              <w:default w:val="XX"/>
              <w:maxLength w:val="2"/>
            </w:textInput>
          </w:ffData>
        </w:fldChar>
      </w:r>
      <w:bookmarkStart w:id="4"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实施</w:t>
      </w:r>
    </w:p>
    <w:p>
      <w:pPr>
        <w:pStyle w:val="72"/>
        <w:framePr w:wrap="around" w:x="2300" w:y="14629"/>
        <w:rPr>
          <w:rFonts w:hAnsi="宋体"/>
        </w:rPr>
      </w:pPr>
      <w:r>
        <w:rPr>
          <w:rFonts w:hAnsi="宋体"/>
          <w:sz w:val="36"/>
          <w:szCs w:val="36"/>
        </w:rPr>
        <w:t>中国特钢企业协会</w:t>
      </w:r>
      <w:r>
        <w:rPr>
          <w:rFonts w:hAnsi="宋体"/>
        </w:rPr>
        <w:t>发布</w:t>
      </w:r>
    </w:p>
    <w:p>
      <w:pPr>
        <w:pStyle w:val="22"/>
        <w:spacing w:line="340" w:lineRule="exact"/>
        <w:rPr>
          <w:rFonts w:hAnsi="宋体"/>
        </w:rPr>
      </w:pPr>
    </w:p>
    <w:p>
      <w:pPr>
        <w:pStyle w:val="65"/>
        <w:framePr w:w="0" w:hRule="auto" w:wrap="around" w:x="1635" w:y="2590"/>
        <w:rPr>
          <w:rFonts w:ascii="Times New Roman"/>
        </w:rPr>
      </w:pPr>
      <w:r>
        <w:rPr>
          <w:rFonts w:ascii="Times New Roman"/>
        </w:rPr>
        <w:t>团体标准</w:t>
      </w:r>
    </w:p>
    <w:p>
      <w:pPr>
        <w:pStyle w:val="22"/>
        <w:spacing w:line="340" w:lineRule="exact"/>
        <w:rPr>
          <w:rFonts w:hAnsi="宋体"/>
          <w:kern w:val="2"/>
          <w:sz w:val="22"/>
          <w:szCs w:val="22"/>
        </w:rPr>
      </w:pPr>
      <w:r>
        <w:rPr>
          <w:rFonts w:hAnsi="宋体"/>
        </w:rPr>
        <w:t>ICS</w:t>
      </w:r>
      <w:r>
        <w:rPr>
          <w:rFonts w:hAnsi="宋体"/>
          <w:kern w:val="2"/>
          <w:sz w:val="22"/>
          <w:szCs w:val="22"/>
        </w:rPr>
        <w:t xml:space="preserve"> 77.140.</w:t>
      </w:r>
      <w:r>
        <w:rPr>
          <w:rFonts w:hint="eastAsia" w:hAnsi="宋体"/>
          <w:kern w:val="2"/>
          <w:sz w:val="22"/>
          <w:szCs w:val="22"/>
        </w:rPr>
        <w:t>5</w:t>
      </w:r>
      <w:r>
        <w:rPr>
          <w:rFonts w:hAnsi="宋体"/>
          <w:kern w:val="2"/>
          <w:sz w:val="22"/>
          <w:szCs w:val="22"/>
        </w:rPr>
        <w:t>0</w:t>
      </w:r>
    </w:p>
    <w:p>
      <w:pPr>
        <w:pStyle w:val="22"/>
        <w:spacing w:line="340" w:lineRule="exact"/>
        <w:rPr>
          <w:rFonts w:hAnsi="宋体"/>
        </w:rPr>
      </w:pPr>
      <w:r>
        <w:rPr>
          <w:rFonts w:hint="eastAsia" w:hAnsi="宋体"/>
        </w:rPr>
        <w:t xml:space="preserve">CCS </w:t>
      </w:r>
      <w:r>
        <w:rPr>
          <w:rFonts w:hAnsi="宋体"/>
        </w:rPr>
        <w:t>H 4</w:t>
      </w:r>
      <w:r>
        <w:rPr>
          <w:rFonts w:hint="eastAsia" w:hAnsi="宋体"/>
        </w:rPr>
        <w:t>6</w:t>
      </w:r>
    </w:p>
    <w:p>
      <w:pPr>
        <w:pStyle w:val="22"/>
        <w:spacing w:line="340" w:lineRule="exact"/>
        <w:rPr>
          <w:rFonts w:hAnsi="宋体"/>
        </w:rPr>
      </w:pPr>
    </w:p>
    <w:p>
      <w:pPr>
        <w:jc w:val="center"/>
        <w:rPr>
          <w:rFonts w:ascii="宋体" w:hAnsi="宋体"/>
          <w:spacing w:val="20"/>
          <w:sz w:val="28"/>
          <w:szCs w:val="28"/>
        </w:rPr>
      </w:pPr>
    </w:p>
    <w:p>
      <w:pPr>
        <w:jc w:val="center"/>
        <w:rPr>
          <w:rFonts w:ascii="宋体" w:hAnsi="宋体"/>
          <w:spacing w:val="20"/>
          <w:sz w:val="28"/>
          <w:szCs w:val="28"/>
        </w:rPr>
      </w:pPr>
    </w:p>
    <w:p>
      <w:pPr>
        <w:jc w:val="center"/>
        <w:rPr>
          <w:rFonts w:ascii="宋体" w:hAnsi="宋体"/>
          <w:b/>
          <w:sz w:val="32"/>
        </w:rPr>
        <w:sectPr>
          <w:headerReference r:id="rId3" w:type="default"/>
          <w:pgSz w:w="11906" w:h="16838"/>
          <w:pgMar w:top="1134" w:right="1134" w:bottom="1134" w:left="1418" w:header="851" w:footer="992" w:gutter="0"/>
          <w:pgNumType w:start="0"/>
          <w:cols w:space="425" w:num="1"/>
          <w:docGrid w:type="lines" w:linePitch="312" w:charSpace="0"/>
        </w:sectPr>
      </w:pPr>
    </w:p>
    <w:p>
      <w:pPr>
        <w:pStyle w:val="48"/>
        <w:rPr>
          <w:rFonts w:ascii="Times New Roman"/>
        </w:rPr>
      </w:pPr>
      <w:bookmarkStart w:id="5" w:name="_Toc520380389"/>
      <w:r>
        <w:rPr>
          <w:rFonts w:ascii="Times New Roman"/>
        </w:rPr>
        <w:t>目</w:t>
      </w:r>
      <w:bookmarkStart w:id="6" w:name="BKML"/>
      <w:r>
        <w:rPr>
          <w:rFonts w:ascii="Times New Roman"/>
        </w:rPr>
        <w:t>  次</w:t>
      </w:r>
      <w:bookmarkEnd w:id="6"/>
    </w:p>
    <w:p>
      <w:pPr>
        <w:pStyle w:val="18"/>
        <w:tabs>
          <w:tab w:val="right" w:leader="dot" w:pos="9354"/>
          <w:tab w:val="clear" w:pos="9242"/>
        </w:tabs>
        <w:spacing w:before="78" w:after="78"/>
      </w:pPr>
      <w:r>
        <w:fldChar w:fldCharType="begin"/>
      </w:r>
      <w:r>
        <w:instrText xml:space="preserve"> TOC \h \z \t"前言、引言标题,1,参考文献、索引标题,1,章标题,1,参考文献,1,附录标识,1"</w:instrText>
      </w:r>
      <w:r>
        <w:fldChar w:fldCharType="separate"/>
      </w:r>
      <w:r>
        <w:fldChar w:fldCharType="begin"/>
      </w:r>
      <w:r>
        <w:instrText xml:space="preserve"> HYPERLINK \l "_Toc14720" </w:instrText>
      </w:r>
      <w:r>
        <w:fldChar w:fldCharType="separate"/>
      </w:r>
      <w:r>
        <w:t>前言</w:t>
      </w:r>
      <w:r>
        <w:tab/>
      </w:r>
      <w:r>
        <w:fldChar w:fldCharType="begin"/>
      </w:r>
      <w:r>
        <w:instrText xml:space="preserve"> PAGEREF _Toc14720 \h </w:instrText>
      </w:r>
      <w:r>
        <w:fldChar w:fldCharType="separate"/>
      </w:r>
      <w:r>
        <w:t>III</w:t>
      </w:r>
      <w:r>
        <w:fldChar w:fldCharType="end"/>
      </w:r>
      <w:r>
        <w:fldChar w:fldCharType="end"/>
      </w:r>
    </w:p>
    <w:p>
      <w:pPr>
        <w:pStyle w:val="18"/>
        <w:tabs>
          <w:tab w:val="right" w:leader="dot" w:pos="9354"/>
          <w:tab w:val="clear" w:pos="9242"/>
        </w:tabs>
        <w:spacing w:before="78" w:after="78"/>
      </w:pPr>
      <w:r>
        <w:fldChar w:fldCharType="begin"/>
      </w:r>
      <w:r>
        <w:instrText xml:space="preserve"> HYPERLINK \l "_Toc11919" </w:instrText>
      </w:r>
      <w:r>
        <w:fldChar w:fldCharType="separate"/>
      </w:r>
      <w:r>
        <w:rPr>
          <w:rFonts w:hint="eastAsia" w:ascii="黑体" w:eastAsia="黑体"/>
        </w:rPr>
        <w:t xml:space="preserve">1 </w:t>
      </w:r>
      <w:r>
        <w:rPr>
          <w:rFonts w:hint="eastAsia"/>
        </w:rPr>
        <w:t>范围</w:t>
      </w:r>
      <w:r>
        <w:tab/>
      </w:r>
      <w:r>
        <w:fldChar w:fldCharType="begin"/>
      </w:r>
      <w:r>
        <w:instrText xml:space="preserve"> PAGEREF _Toc11919 \h </w:instrText>
      </w:r>
      <w:r>
        <w:fldChar w:fldCharType="separate"/>
      </w:r>
      <w:r>
        <w:t>1</w:t>
      </w:r>
      <w:r>
        <w:fldChar w:fldCharType="end"/>
      </w:r>
      <w:r>
        <w:fldChar w:fldCharType="end"/>
      </w:r>
    </w:p>
    <w:p>
      <w:pPr>
        <w:pStyle w:val="18"/>
        <w:tabs>
          <w:tab w:val="right" w:leader="dot" w:pos="9354"/>
          <w:tab w:val="clear" w:pos="9242"/>
        </w:tabs>
        <w:spacing w:before="78" w:after="78"/>
      </w:pPr>
      <w:r>
        <w:fldChar w:fldCharType="begin"/>
      </w:r>
      <w:r>
        <w:instrText xml:space="preserve"> HYPERLINK \l "_Toc11457"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_Toc11457 \h </w:instrText>
      </w:r>
      <w:r>
        <w:fldChar w:fldCharType="separate"/>
      </w:r>
      <w:r>
        <w:t>1</w:t>
      </w:r>
      <w:r>
        <w:fldChar w:fldCharType="end"/>
      </w:r>
      <w:r>
        <w:fldChar w:fldCharType="end"/>
      </w:r>
    </w:p>
    <w:p>
      <w:pPr>
        <w:pStyle w:val="18"/>
        <w:tabs>
          <w:tab w:val="right" w:leader="dot" w:pos="9354"/>
          <w:tab w:val="clear" w:pos="9242"/>
        </w:tabs>
        <w:spacing w:before="78" w:after="78"/>
      </w:pPr>
      <w:r>
        <w:fldChar w:fldCharType="begin"/>
      </w:r>
      <w:r>
        <w:instrText xml:space="preserve"> HYPERLINK \l "_Toc6652"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_Toc6652 \h </w:instrText>
      </w:r>
      <w:r>
        <w:fldChar w:fldCharType="separate"/>
      </w:r>
      <w:r>
        <w:t>2</w:t>
      </w:r>
      <w:r>
        <w:fldChar w:fldCharType="end"/>
      </w:r>
      <w:r>
        <w:fldChar w:fldCharType="end"/>
      </w:r>
    </w:p>
    <w:p>
      <w:pPr>
        <w:pStyle w:val="18"/>
        <w:tabs>
          <w:tab w:val="right" w:leader="dot" w:pos="9354"/>
          <w:tab w:val="clear" w:pos="9242"/>
        </w:tabs>
        <w:spacing w:before="78" w:after="78"/>
      </w:pPr>
      <w:r>
        <w:fldChar w:fldCharType="begin"/>
      </w:r>
      <w:r>
        <w:instrText xml:space="preserve"> HYPERLINK \l "_Toc23300" </w:instrText>
      </w:r>
      <w:r>
        <w:fldChar w:fldCharType="separate"/>
      </w:r>
      <w:r>
        <w:rPr>
          <w:rFonts w:hint="eastAsia" w:ascii="黑体" w:eastAsia="黑体"/>
        </w:rPr>
        <w:t xml:space="preserve">4 </w:t>
      </w:r>
      <w:r>
        <w:rPr>
          <w:rFonts w:hint="eastAsia"/>
        </w:rPr>
        <w:t>分类和代号</w:t>
      </w:r>
      <w:r>
        <w:tab/>
      </w:r>
      <w:r>
        <w:fldChar w:fldCharType="begin"/>
      </w:r>
      <w:r>
        <w:instrText xml:space="preserve"> PAGEREF _Toc23300 \h </w:instrText>
      </w:r>
      <w:r>
        <w:fldChar w:fldCharType="separate"/>
      </w:r>
      <w:r>
        <w:t>2</w:t>
      </w:r>
      <w:r>
        <w:fldChar w:fldCharType="end"/>
      </w:r>
      <w:r>
        <w:fldChar w:fldCharType="end"/>
      </w:r>
    </w:p>
    <w:p>
      <w:pPr>
        <w:pStyle w:val="18"/>
        <w:tabs>
          <w:tab w:val="right" w:leader="dot" w:pos="9354"/>
          <w:tab w:val="clear" w:pos="9242"/>
        </w:tabs>
        <w:spacing w:before="78" w:after="78"/>
      </w:pPr>
      <w:r>
        <w:fldChar w:fldCharType="begin"/>
      </w:r>
      <w:r>
        <w:instrText xml:space="preserve"> HYPERLINK \l "_Toc32050" </w:instrText>
      </w:r>
      <w:r>
        <w:fldChar w:fldCharType="separate"/>
      </w:r>
      <w:r>
        <w:rPr>
          <w:rFonts w:hint="eastAsia" w:ascii="黑体" w:eastAsia="黑体"/>
        </w:rPr>
        <w:t xml:space="preserve">5 </w:t>
      </w:r>
      <w:r>
        <w:rPr>
          <w:rFonts w:hint="eastAsia"/>
        </w:rPr>
        <w:t>订货内容</w:t>
      </w:r>
      <w:r>
        <w:tab/>
      </w:r>
      <w:r>
        <w:fldChar w:fldCharType="begin"/>
      </w:r>
      <w:r>
        <w:instrText xml:space="preserve"> PAGEREF _Toc32050 \h </w:instrText>
      </w:r>
      <w:r>
        <w:fldChar w:fldCharType="separate"/>
      </w:r>
      <w:r>
        <w:t>3</w:t>
      </w:r>
      <w:r>
        <w:fldChar w:fldCharType="end"/>
      </w:r>
      <w:r>
        <w:fldChar w:fldCharType="end"/>
      </w:r>
    </w:p>
    <w:p>
      <w:pPr>
        <w:pStyle w:val="18"/>
        <w:tabs>
          <w:tab w:val="right" w:leader="dot" w:pos="9354"/>
          <w:tab w:val="clear" w:pos="9242"/>
        </w:tabs>
        <w:spacing w:before="78" w:after="78"/>
      </w:pPr>
      <w:r>
        <w:fldChar w:fldCharType="begin"/>
      </w:r>
      <w:r>
        <w:instrText xml:space="preserve"> HYPERLINK \l "_Toc10376" </w:instrText>
      </w:r>
      <w:r>
        <w:fldChar w:fldCharType="separate"/>
      </w:r>
      <w:r>
        <w:rPr>
          <w:rFonts w:hint="eastAsia" w:ascii="黑体" w:eastAsia="黑体"/>
        </w:rPr>
        <w:t xml:space="preserve">6 </w:t>
      </w:r>
      <w:r>
        <w:rPr>
          <w:rFonts w:hint="eastAsia"/>
        </w:rPr>
        <w:t>尺寸、外形、重量</w:t>
      </w:r>
      <w:r>
        <w:tab/>
      </w:r>
      <w:r>
        <w:fldChar w:fldCharType="begin"/>
      </w:r>
      <w:r>
        <w:instrText xml:space="preserve"> PAGEREF _Toc10376 \h </w:instrText>
      </w:r>
      <w:r>
        <w:fldChar w:fldCharType="separate"/>
      </w:r>
      <w:r>
        <w:t>3</w:t>
      </w:r>
      <w:r>
        <w:fldChar w:fldCharType="end"/>
      </w:r>
      <w:r>
        <w:fldChar w:fldCharType="end"/>
      </w:r>
    </w:p>
    <w:p>
      <w:pPr>
        <w:pStyle w:val="18"/>
        <w:tabs>
          <w:tab w:val="right" w:leader="dot" w:pos="9354"/>
          <w:tab w:val="clear" w:pos="9242"/>
        </w:tabs>
        <w:spacing w:before="78" w:after="78"/>
      </w:pPr>
      <w:r>
        <w:fldChar w:fldCharType="begin"/>
      </w:r>
      <w:r>
        <w:instrText xml:space="preserve"> HYPERLINK \l "_Toc27601" </w:instrText>
      </w:r>
      <w:r>
        <w:fldChar w:fldCharType="separate"/>
      </w:r>
      <w:r>
        <w:rPr>
          <w:rFonts w:hint="eastAsia" w:ascii="黑体" w:eastAsia="黑体"/>
        </w:rPr>
        <w:t xml:space="preserve">7 </w:t>
      </w:r>
      <w:r>
        <w:rPr>
          <w:rFonts w:hint="eastAsia"/>
        </w:rPr>
        <w:t>技术要求</w:t>
      </w:r>
      <w:r>
        <w:tab/>
      </w:r>
      <w:r>
        <w:fldChar w:fldCharType="begin"/>
      </w:r>
      <w:r>
        <w:instrText xml:space="preserve"> PAGEREF _Toc27601 \h </w:instrText>
      </w:r>
      <w:r>
        <w:fldChar w:fldCharType="separate"/>
      </w:r>
      <w:r>
        <w:t>4</w:t>
      </w:r>
      <w:r>
        <w:fldChar w:fldCharType="end"/>
      </w:r>
      <w:r>
        <w:fldChar w:fldCharType="end"/>
      </w:r>
    </w:p>
    <w:p>
      <w:pPr>
        <w:pStyle w:val="18"/>
        <w:tabs>
          <w:tab w:val="right" w:leader="dot" w:pos="9354"/>
          <w:tab w:val="clear" w:pos="9242"/>
        </w:tabs>
        <w:spacing w:before="78" w:after="78"/>
      </w:pPr>
      <w:r>
        <w:fldChar w:fldCharType="begin"/>
      </w:r>
      <w:r>
        <w:instrText xml:space="preserve"> HYPERLINK \l "_Toc8521" </w:instrText>
      </w:r>
      <w:r>
        <w:fldChar w:fldCharType="separate"/>
      </w:r>
      <w:r>
        <w:rPr>
          <w:rFonts w:hint="eastAsia" w:ascii="黑体" w:eastAsia="黑体"/>
        </w:rPr>
        <w:t xml:space="preserve">8 </w:t>
      </w:r>
      <w:r>
        <w:rPr>
          <w:rFonts w:hint="eastAsia"/>
        </w:rPr>
        <w:t>试验方法</w:t>
      </w:r>
      <w:r>
        <w:tab/>
      </w:r>
      <w:r>
        <w:fldChar w:fldCharType="begin"/>
      </w:r>
      <w:r>
        <w:instrText xml:space="preserve"> PAGEREF _Toc8521 \h </w:instrText>
      </w:r>
      <w:r>
        <w:fldChar w:fldCharType="separate"/>
      </w:r>
      <w:r>
        <w:t>7</w:t>
      </w:r>
      <w:r>
        <w:fldChar w:fldCharType="end"/>
      </w:r>
      <w:r>
        <w:fldChar w:fldCharType="end"/>
      </w:r>
    </w:p>
    <w:p>
      <w:pPr>
        <w:pStyle w:val="18"/>
        <w:tabs>
          <w:tab w:val="right" w:leader="dot" w:pos="9354"/>
          <w:tab w:val="clear" w:pos="9242"/>
        </w:tabs>
        <w:spacing w:before="78" w:after="78"/>
      </w:pPr>
      <w:r>
        <w:fldChar w:fldCharType="begin"/>
      </w:r>
      <w:r>
        <w:instrText xml:space="preserve"> HYPERLINK \l "_Toc21851" </w:instrText>
      </w:r>
      <w:r>
        <w:fldChar w:fldCharType="separate"/>
      </w:r>
      <w:r>
        <w:rPr>
          <w:rFonts w:hint="eastAsia" w:ascii="黑体" w:eastAsia="黑体"/>
        </w:rPr>
        <w:t xml:space="preserve">9 </w:t>
      </w:r>
      <w:r>
        <w:rPr>
          <w:rFonts w:hint="eastAsia"/>
        </w:rPr>
        <w:t>检验规则</w:t>
      </w:r>
      <w:r>
        <w:tab/>
      </w:r>
      <w:r>
        <w:fldChar w:fldCharType="begin"/>
      </w:r>
      <w:r>
        <w:instrText xml:space="preserve"> PAGEREF _Toc21851 \h </w:instrText>
      </w:r>
      <w:r>
        <w:fldChar w:fldCharType="separate"/>
      </w:r>
      <w:r>
        <w:t>8</w:t>
      </w:r>
      <w:r>
        <w:fldChar w:fldCharType="end"/>
      </w:r>
      <w:r>
        <w:fldChar w:fldCharType="end"/>
      </w:r>
    </w:p>
    <w:p>
      <w:pPr>
        <w:pStyle w:val="18"/>
        <w:tabs>
          <w:tab w:val="right" w:leader="dot" w:pos="9354"/>
          <w:tab w:val="clear" w:pos="9242"/>
        </w:tabs>
        <w:spacing w:before="78" w:after="78"/>
      </w:pPr>
      <w:r>
        <w:fldChar w:fldCharType="begin"/>
      </w:r>
      <w:r>
        <w:instrText xml:space="preserve"> HYPERLINK \l "_Toc1126" </w:instrText>
      </w:r>
      <w:r>
        <w:fldChar w:fldCharType="separate"/>
      </w:r>
      <w:r>
        <w:rPr>
          <w:rFonts w:hint="eastAsia" w:ascii="黑体" w:eastAsia="黑体"/>
        </w:rPr>
        <w:t xml:space="preserve">10 </w:t>
      </w:r>
      <w:r>
        <w:rPr>
          <w:rFonts w:hint="eastAsia"/>
        </w:rPr>
        <w:t>包装、标志及质量证明书</w:t>
      </w:r>
      <w:r>
        <w:tab/>
      </w:r>
      <w:r>
        <w:fldChar w:fldCharType="begin"/>
      </w:r>
      <w:r>
        <w:instrText xml:space="preserve"> PAGEREF _Toc1126 \h </w:instrText>
      </w:r>
      <w:r>
        <w:fldChar w:fldCharType="separate"/>
      </w:r>
      <w:r>
        <w:t>8</w:t>
      </w:r>
      <w:r>
        <w:fldChar w:fldCharType="end"/>
      </w:r>
      <w:r>
        <w:fldChar w:fldCharType="end"/>
      </w:r>
    </w:p>
    <w:p>
      <w:pPr>
        <w:pStyle w:val="22"/>
      </w:pPr>
      <w:r>
        <w:fldChar w:fldCharType="end"/>
      </w:r>
      <w:bookmarkEnd w:id="5"/>
    </w:p>
    <w:p>
      <w:pPr>
        <w:pStyle w:val="22"/>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pPr>
        <w:pStyle w:val="22"/>
        <w:rPr>
          <w:rFonts w:hAnsi="宋体"/>
        </w:rPr>
      </w:pPr>
    </w:p>
    <w:p>
      <w:bookmarkStart w:id="7" w:name="_Toc14720"/>
    </w:p>
    <w:p/>
    <w:p/>
    <w:p/>
    <w:p/>
    <w:p/>
    <w:p/>
    <w:p/>
    <w:p/>
    <w:p/>
    <w:p/>
    <w:p/>
    <w:p/>
    <w:p/>
    <w:p/>
    <w:p/>
    <w:p/>
    <w:p/>
    <w:p/>
    <w:p/>
    <w:p/>
    <w:p/>
    <w:p/>
    <w:p/>
    <w:p/>
    <w:p/>
    <w:p>
      <w:r>
        <w:drawing>
          <wp:inline distT="0" distB="0" distL="114300" distR="114300">
            <wp:extent cx="808990" cy="765175"/>
            <wp:effectExtent l="0" t="0" r="1397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808990" cy="765175"/>
                    </a:xfrm>
                    <a:prstGeom prst="rect">
                      <a:avLst/>
                    </a:prstGeom>
                    <a:noFill/>
                    <a:ln>
                      <a:noFill/>
                    </a:ln>
                  </pic:spPr>
                </pic:pic>
              </a:graphicData>
            </a:graphic>
          </wp:inline>
        </w:drawing>
      </w:r>
      <w:r>
        <w:t>版权保护文件</w:t>
      </w:r>
    </w:p>
    <w:p>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110"/>
      </w:pPr>
      <w:r>
        <w:t>前言</w:t>
      </w:r>
      <w:bookmarkEnd w:id="7"/>
    </w:p>
    <w:p>
      <w:pPr>
        <w:pStyle w:val="22"/>
        <w:rPr>
          <w:rFonts w:ascii="Times New Roman"/>
        </w:rPr>
      </w:pPr>
      <w:r>
        <w:rPr>
          <w:rFonts w:hint="eastAsia"/>
        </w:rPr>
        <w:t>本文件按照GB/T 1.1-2020《标准化工作导则 第1部分：标准化文件的结构和起草规则》</w:t>
      </w:r>
      <w:r>
        <w:rPr>
          <w:rFonts w:ascii="Times New Roman"/>
        </w:rPr>
        <w:t>的</w:t>
      </w:r>
      <w:r>
        <w:rPr>
          <w:rFonts w:hint="eastAsia" w:ascii="Times New Roman"/>
        </w:rPr>
        <w:t>规定</w:t>
      </w:r>
      <w:r>
        <w:rPr>
          <w:rFonts w:ascii="Times New Roman"/>
        </w:rPr>
        <w:t>起草。</w:t>
      </w:r>
    </w:p>
    <w:p>
      <w:pPr>
        <w:pStyle w:val="22"/>
        <w:rPr>
          <w:rFonts w:ascii="Times New Roman"/>
        </w:rPr>
      </w:pPr>
      <w:r>
        <w:rPr>
          <w:rFonts w:ascii="Times New Roman"/>
        </w:rPr>
        <w:t>请注意本文件的某些内容可能涉及专利。本文件的发布机构不承担识别专利的责任。</w:t>
      </w:r>
    </w:p>
    <w:p>
      <w:pPr>
        <w:pStyle w:val="22"/>
      </w:pPr>
      <w:r>
        <w:rPr>
          <w:rFonts w:hint="eastAsia"/>
        </w:rPr>
        <w:t>本文件</w:t>
      </w:r>
      <w:r>
        <w:t>由中国特钢企业协会团体标准化工作委员会提出并归口。</w:t>
      </w:r>
    </w:p>
    <w:p>
      <w:pPr>
        <w:pStyle w:val="22"/>
      </w:pPr>
      <w:r>
        <w:rPr>
          <w:rFonts w:hint="eastAsia"/>
        </w:rPr>
        <w:t>本文件</w:t>
      </w:r>
      <w:r>
        <w:t>主要起草单位：</w:t>
      </w:r>
      <w:r>
        <w:rPr>
          <w:rFonts w:hint="eastAsia"/>
        </w:rPr>
        <w:t>山西建龙实业有限公司。</w:t>
      </w:r>
    </w:p>
    <w:p>
      <w:pPr>
        <w:pStyle w:val="22"/>
      </w:pPr>
      <w:r>
        <w:rPr>
          <w:rFonts w:hint="eastAsia"/>
        </w:rPr>
        <w:t>本文件</w:t>
      </w:r>
      <w:r>
        <w:t>主要起草人：</w:t>
      </w:r>
    </w:p>
    <w:p>
      <w:pPr>
        <w:pStyle w:val="22"/>
      </w:pPr>
    </w:p>
    <w:p>
      <w:pPr>
        <w:pStyle w:val="22"/>
        <w:rPr>
          <w:rFonts w:hAnsi="宋体"/>
        </w:rPr>
        <w:sectPr>
          <w:headerReference r:id="rId6" w:type="default"/>
          <w:footerReference r:id="rId7" w:type="default"/>
          <w:pgSz w:w="11906" w:h="16838"/>
          <w:pgMar w:top="1134" w:right="1134" w:bottom="1134" w:left="1418" w:header="851" w:footer="992" w:gutter="0"/>
          <w:pgNumType w:fmt="upperRoman" w:start="3"/>
          <w:cols w:space="425" w:num="1"/>
          <w:docGrid w:type="lines" w:linePitch="312" w:charSpace="0"/>
        </w:sectPr>
      </w:pPr>
    </w:p>
    <w:p>
      <w:pPr>
        <w:pStyle w:val="48"/>
        <w:spacing w:after="624" w:afterLines="200"/>
        <w:rPr>
          <w:rFonts w:hAnsi="宋体"/>
        </w:rPr>
      </w:pPr>
      <w:r>
        <w:rPr>
          <w:rFonts w:hint="eastAsia" w:hAnsi="宋体"/>
        </w:rPr>
        <w:t>结构用连续热镀锌铝镁合金镀层钢带</w:t>
      </w:r>
    </w:p>
    <w:p>
      <w:pPr>
        <w:pStyle w:val="43"/>
        <w:spacing w:before="312" w:after="312"/>
      </w:pPr>
      <w:bookmarkStart w:id="8" w:name="_Toc520380391"/>
      <w:bookmarkStart w:id="9" w:name="_Toc11919"/>
      <w:r>
        <w:rPr>
          <w:rFonts w:hint="eastAsia"/>
        </w:rPr>
        <w:t>范围</w:t>
      </w:r>
      <w:bookmarkEnd w:id="8"/>
      <w:bookmarkEnd w:id="9"/>
    </w:p>
    <w:p>
      <w:pPr>
        <w:ind w:firstLine="420" w:firstLineChars="200"/>
      </w:pPr>
      <w:bookmarkStart w:id="10" w:name="_Toc520380392"/>
      <w:r>
        <w:rPr>
          <w:rFonts w:hint="eastAsia" w:hAnsi="宋体"/>
        </w:rPr>
        <w:t>本文件规定了结构用连续热镀锌铝镁合金镀层钢带的牌号表示方法、分类及代号、订货内容、尺寸、外形、重量、技术要求、试验方法、检验规则、包装标志和质量证明书等内容。</w:t>
      </w:r>
    </w:p>
    <w:p>
      <w:pPr>
        <w:ind w:firstLine="420" w:firstLineChars="200"/>
        <w:rPr>
          <w:rFonts w:hAnsi="宋体"/>
        </w:rPr>
      </w:pPr>
      <w:r>
        <w:rPr>
          <w:rFonts w:hint="eastAsia" w:hAnsi="宋体"/>
        </w:rPr>
        <w:t>本文件</w:t>
      </w:r>
      <w:r>
        <w:rPr>
          <w:rFonts w:hAnsi="宋体"/>
        </w:rPr>
        <w:t>适用于</w:t>
      </w:r>
      <w:r>
        <w:rPr>
          <w:rFonts w:hint="eastAsia"/>
        </w:rPr>
        <w:t>厚度为</w:t>
      </w:r>
      <w:r>
        <w:t>0.5</w:t>
      </w:r>
      <w:r>
        <w:rPr>
          <w:rFonts w:hint="eastAsia"/>
        </w:rPr>
        <w:t>0mm</w:t>
      </w:r>
      <w:r>
        <w:t>~2.75mm</w:t>
      </w:r>
      <w:r>
        <w:rPr>
          <w:rFonts w:hint="eastAsia"/>
        </w:rPr>
        <w:t>的</w:t>
      </w:r>
      <w:r>
        <w:rPr>
          <w:rFonts w:hint="eastAsia" w:hAnsi="宋体"/>
        </w:rPr>
        <w:t>结构用连续热镀锌铝镁合金镀层钢</w:t>
      </w:r>
      <w:bookmarkStart w:id="11" w:name="_Hlk41253197"/>
      <w:r>
        <w:rPr>
          <w:rFonts w:hint="eastAsia" w:hAnsi="宋体"/>
        </w:rPr>
        <w:t>带</w:t>
      </w:r>
      <w:r>
        <w:rPr>
          <w:rFonts w:hint="eastAsia"/>
        </w:rPr>
        <w:t>（以下简称“钢带”）。</w:t>
      </w:r>
      <w:bookmarkEnd w:id="11"/>
    </w:p>
    <w:p>
      <w:pPr>
        <w:pStyle w:val="43"/>
        <w:spacing w:before="312" w:after="312"/>
      </w:pPr>
      <w:bookmarkStart w:id="12" w:name="_Toc11457"/>
      <w:r>
        <w:rPr>
          <w:rFonts w:hint="eastAsia"/>
        </w:rPr>
        <w:t>规范性引用文件</w:t>
      </w:r>
      <w:bookmarkEnd w:id="10"/>
      <w:bookmarkEnd w:id="12"/>
    </w:p>
    <w:p>
      <w:pPr>
        <w:ind w:firstLine="420" w:firstLineChars="200"/>
        <w:rPr>
          <w:rFonts w:hAnsi="宋体"/>
        </w:rPr>
      </w:pPr>
      <w:bookmarkStart w:id="13" w:name="_Toc520380393"/>
      <w:r>
        <w:rPr>
          <w:rFonts w:hint="eastAsia"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pPr>
      <w:r>
        <w:t>GB/T 222</w:t>
      </w:r>
      <w:r>
        <w:rPr>
          <w:rFonts w:hint="eastAsia"/>
        </w:rPr>
        <w:t xml:space="preserve"> </w:t>
      </w:r>
      <w:r>
        <w:t>钢的成品化学成分允许偏差</w:t>
      </w:r>
    </w:p>
    <w:p>
      <w:pPr>
        <w:pStyle w:val="22"/>
      </w:pPr>
      <w:r>
        <w:t>GB/T 223.</w:t>
      </w:r>
      <w:r>
        <w:rPr>
          <w:rFonts w:hint="eastAsia"/>
        </w:rPr>
        <w:t>5 钢铁酸溶硅和全被含量的测定还原型硅夺目酸盐分光光度法</w:t>
      </w:r>
    </w:p>
    <w:p>
      <w:pPr>
        <w:pStyle w:val="22"/>
      </w:pPr>
      <w:r>
        <w:t>GB/T 223.</w:t>
      </w:r>
      <w:r>
        <w:rPr>
          <w:rFonts w:hint="eastAsia"/>
        </w:rPr>
        <w:t>9 钢铁及合金 铝含量的测定铬天青S分光光度法</w:t>
      </w:r>
    </w:p>
    <w:p>
      <w:pPr>
        <w:pStyle w:val="22"/>
      </w:pPr>
      <w:r>
        <w:t>GB/T 223.1</w:t>
      </w:r>
      <w:r>
        <w:rPr>
          <w:rFonts w:hint="eastAsia"/>
        </w:rPr>
        <w:t>2</w:t>
      </w:r>
      <w:r>
        <w:t xml:space="preserve"> 钢铁及合金化学分析方法 </w:t>
      </w:r>
      <w:r>
        <w:rPr>
          <w:rFonts w:hint="eastAsia"/>
        </w:rPr>
        <w:t>碳酸钠分离—二苯碳酰二肼光度法测定铬量</w:t>
      </w:r>
    </w:p>
    <w:p>
      <w:pPr>
        <w:pStyle w:val="22"/>
      </w:pPr>
      <w:r>
        <w:t>GB/T 223.1</w:t>
      </w:r>
      <w:r>
        <w:rPr>
          <w:rFonts w:hint="eastAsia"/>
        </w:rPr>
        <w:t>4</w:t>
      </w:r>
      <w:r>
        <w:t xml:space="preserve"> 钢铁及合金化学分析方法 </w:t>
      </w:r>
      <w:r>
        <w:rPr>
          <w:rFonts w:hint="eastAsia"/>
        </w:rPr>
        <w:t>钽试剂萃取光度法测定钒含量</w:t>
      </w:r>
    </w:p>
    <w:p>
      <w:pPr>
        <w:pStyle w:val="22"/>
      </w:pPr>
      <w:r>
        <w:t>GB/T 223.1</w:t>
      </w:r>
      <w:r>
        <w:rPr>
          <w:rFonts w:hint="eastAsia"/>
        </w:rPr>
        <w:t>7</w:t>
      </w:r>
      <w:r>
        <w:t xml:space="preserve"> 钢铁及合金化学分析方法 </w:t>
      </w:r>
      <w:r>
        <w:rPr>
          <w:rFonts w:hint="eastAsia"/>
        </w:rPr>
        <w:t>二安替比林甲烷光度法测定钛量</w:t>
      </w:r>
    </w:p>
    <w:p>
      <w:pPr>
        <w:pStyle w:val="22"/>
      </w:pPr>
      <w:r>
        <w:t>GB/T 223.2</w:t>
      </w:r>
      <w:r>
        <w:rPr>
          <w:rFonts w:hint="eastAsia"/>
        </w:rPr>
        <w:t>6 钢铁及合金  钼含量的测定  硫氰酸盐分光光度法</w:t>
      </w:r>
    </w:p>
    <w:p>
      <w:pPr>
        <w:pStyle w:val="22"/>
      </w:pPr>
      <w:r>
        <w:t>GB/T 223.</w:t>
      </w:r>
      <w:r>
        <w:rPr>
          <w:rFonts w:hint="eastAsia"/>
        </w:rPr>
        <w:t>40 钢铁及合金 铌含量的测定 氯磺酚S分光光度法</w:t>
      </w:r>
    </w:p>
    <w:p>
      <w:pPr>
        <w:pStyle w:val="22"/>
      </w:pPr>
      <w:r>
        <w:t>GB/T 223.59 钢铁及合金 磷含量的测定 铋磷钼蓝分光光度法和锑磷钼蓝分光光度法</w:t>
      </w:r>
    </w:p>
    <w:p>
      <w:pPr>
        <w:pStyle w:val="22"/>
      </w:pPr>
      <w:r>
        <w:t>GB/T 223.60 钢铁及合金化学分析方法 高氯酸脱水重量法则定硅含量</w:t>
      </w:r>
    </w:p>
    <w:p>
      <w:pPr>
        <w:pStyle w:val="22"/>
      </w:pPr>
      <w:r>
        <w:t>GB/T 223.63 钢铁及合金锰含量的测定高碘酸钠(钾)分光光度法</w:t>
      </w:r>
    </w:p>
    <w:p>
      <w:pPr>
        <w:pStyle w:val="22"/>
      </w:pPr>
      <w:r>
        <w:t>GB/T 223.64 钢铁及合金 锰含量的测定 火焰原子吸收光谱法</w:t>
      </w:r>
    </w:p>
    <w:p>
      <w:pPr>
        <w:pStyle w:val="22"/>
      </w:pPr>
      <w:r>
        <w:t>GB/T 223.7</w:t>
      </w:r>
      <w:r>
        <w:rPr>
          <w:rFonts w:hint="eastAsia"/>
        </w:rPr>
        <w:t>8</w:t>
      </w:r>
      <w:r>
        <w:t xml:space="preserve"> 钢铁及合金化学分析方法 </w:t>
      </w:r>
      <w:r>
        <w:rPr>
          <w:rFonts w:hint="eastAsia"/>
        </w:rPr>
        <w:t>姜黄素直接光度法测定硼含量</w:t>
      </w:r>
    </w:p>
    <w:p>
      <w:pPr>
        <w:pStyle w:val="22"/>
      </w:pPr>
      <w:r>
        <w:t xml:space="preserve">GB/T 228.1 </w:t>
      </w:r>
      <w:r>
        <w:rPr>
          <w:rFonts w:hint="eastAsia"/>
        </w:rPr>
        <w:t>金属材料 拉伸试验第 1 部分:室温试验方法</w:t>
      </w:r>
    </w:p>
    <w:p>
      <w:pPr>
        <w:pStyle w:val="22"/>
      </w:pPr>
      <w:r>
        <w:t>GB/T 247 钢板和钢带包装、标志及质量证明书的一般规定</w:t>
      </w:r>
    </w:p>
    <w:p>
      <w:pPr>
        <w:pStyle w:val="22"/>
      </w:pPr>
      <w:r>
        <w:t xml:space="preserve">GB/T </w:t>
      </w:r>
      <w:r>
        <w:rPr>
          <w:rFonts w:hint="eastAsia"/>
        </w:rPr>
        <w:t>1839 钢产品镀锌层质量试验方法</w:t>
      </w:r>
    </w:p>
    <w:p>
      <w:pPr>
        <w:pStyle w:val="22"/>
      </w:pPr>
      <w:r>
        <w:rPr>
          <w:rFonts w:hint="eastAsia"/>
        </w:rPr>
        <w:t>GB/T</w:t>
      </w:r>
      <w:r>
        <w:t xml:space="preserve"> 2518</w:t>
      </w:r>
      <w:r>
        <w:rPr>
          <w:rFonts w:hint="eastAsia"/>
        </w:rPr>
        <w:t>-2019</w:t>
      </w:r>
      <w:r>
        <w:t xml:space="preserve"> </w:t>
      </w:r>
      <w:r>
        <w:rPr>
          <w:rFonts w:hint="eastAsia"/>
        </w:rPr>
        <w:t>连续热镀锌和锌合金镀层钢板及钢带</w:t>
      </w:r>
    </w:p>
    <w:p>
      <w:pPr>
        <w:pStyle w:val="22"/>
      </w:pPr>
      <w:r>
        <w:t xml:space="preserve">GB/T 4336 碳素钢和中低合金钢 </w:t>
      </w:r>
      <w:r>
        <w:rPr>
          <w:rFonts w:hint="eastAsia"/>
        </w:rPr>
        <w:t xml:space="preserve">多元素含量的测定  </w:t>
      </w:r>
      <w:r>
        <w:t>火花源原子发射光谱分析方法（常规法）</w:t>
      </w:r>
    </w:p>
    <w:p>
      <w:pPr>
        <w:pStyle w:val="22"/>
      </w:pPr>
      <w:r>
        <w:t>GB/T 8170 数值修约规则与极限数值的表示和判定</w:t>
      </w:r>
    </w:p>
    <w:p>
      <w:pPr>
        <w:pStyle w:val="22"/>
      </w:pPr>
      <w:r>
        <w:t>GB/T 17505 钢及钢产品交货一般技术要求</w:t>
      </w:r>
    </w:p>
    <w:p>
      <w:pPr>
        <w:pStyle w:val="22"/>
      </w:pPr>
      <w:r>
        <w:t>GB/T 20066</w:t>
      </w:r>
      <w:r>
        <w:rPr>
          <w:rFonts w:hint="eastAsia"/>
        </w:rPr>
        <w:t xml:space="preserve"> </w:t>
      </w:r>
      <w:r>
        <w:t>钢和铁 化学成分测定用试样的取样和制样方法</w:t>
      </w:r>
    </w:p>
    <w:p>
      <w:pPr>
        <w:pStyle w:val="22"/>
      </w:pPr>
      <w:r>
        <w:t>GB/T 20123</w:t>
      </w:r>
      <w:r>
        <w:rPr>
          <w:rFonts w:hint="eastAsia"/>
        </w:rPr>
        <w:t xml:space="preserve"> </w:t>
      </w:r>
      <w:r>
        <w:t>钢铁 总碳硫含量的测定 高频感应炉燃烧后红外吸收法（常规方法）</w:t>
      </w:r>
    </w:p>
    <w:p>
      <w:pPr>
        <w:pStyle w:val="22"/>
      </w:pPr>
      <w:r>
        <w:rPr>
          <w:rFonts w:hint="eastAsia"/>
        </w:rPr>
        <w:t>GB/T 20125 低合金钢  多元素含量的测定  电感耦合等离子体原子发射光谱法</w:t>
      </w:r>
    </w:p>
    <w:p>
      <w:pPr>
        <w:pStyle w:val="22"/>
      </w:pPr>
      <w:r>
        <w:rPr>
          <w:rFonts w:hint="eastAsia"/>
        </w:rPr>
        <w:t>GB/T 20126 非合金钢  低碳含量的测定  第2部分:感应炉（经预加热）内燃烧后红外吸收法</w:t>
      </w:r>
    </w:p>
    <w:p>
      <w:pPr>
        <w:pStyle w:val="22"/>
      </w:pPr>
      <w:r>
        <w:t>GB/T 2</w:t>
      </w:r>
      <w:r>
        <w:rPr>
          <w:rFonts w:hint="eastAsia"/>
        </w:rPr>
        <w:t>5052 连续热浸镀层钢板和钢带尺寸、外形、重量及允许偏差</w:t>
      </w:r>
    </w:p>
    <w:p>
      <w:pPr>
        <w:pStyle w:val="22"/>
      </w:pPr>
      <w:r>
        <w:rPr>
          <w:rFonts w:hint="eastAsia" w:hAnsi="宋体"/>
        </w:rPr>
        <w:t>YB/T 4761-</w:t>
      </w:r>
      <w:r>
        <w:rPr>
          <w:rFonts w:hAnsi="宋体"/>
        </w:rPr>
        <w:t>2019</w:t>
      </w:r>
      <w:r>
        <w:rPr>
          <w:rFonts w:hint="eastAsia" w:hAnsi="宋体"/>
        </w:rPr>
        <w:t xml:space="preserve">  连续热镀锌铝镁合金镀层钢板及钢带</w:t>
      </w:r>
    </w:p>
    <w:p>
      <w:pPr>
        <w:pStyle w:val="43"/>
        <w:spacing w:before="312" w:after="312"/>
      </w:pPr>
      <w:bookmarkStart w:id="14" w:name="_Toc6652"/>
      <w:r>
        <w:rPr>
          <w:rFonts w:hint="eastAsia"/>
        </w:rPr>
        <w:t>术语和定义</w:t>
      </w:r>
      <w:bookmarkEnd w:id="14"/>
    </w:p>
    <w:p>
      <w:pPr>
        <w:pStyle w:val="141"/>
        <w:ind w:left="375" w:firstLine="0" w:firstLineChars="0"/>
      </w:pPr>
      <w:r>
        <w:rPr>
          <w:rFonts w:hint="eastAsia"/>
        </w:rPr>
        <w:t>YB/T 4761规定的术语和定义适用于本文件。</w:t>
      </w:r>
    </w:p>
    <w:p>
      <w:pPr>
        <w:pStyle w:val="43"/>
        <w:spacing w:before="312" w:after="312"/>
      </w:pPr>
      <w:bookmarkStart w:id="15" w:name="_Hlk6946871"/>
      <w:r>
        <w:rPr>
          <w:rFonts w:hint="eastAsia"/>
        </w:rPr>
        <w:t>牌号表示方法</w:t>
      </w:r>
    </w:p>
    <w:p>
      <w:pPr>
        <w:pStyle w:val="22"/>
      </w:pPr>
      <w:r>
        <w:rPr>
          <w:rFonts w:hint="eastAsia"/>
        </w:rPr>
        <w:t>钢带的牌号由结构用钢代号S、规定最小上屈服强度值、钢种特性、热镀代号（D）和锌铝镁合金镀层种类代号ZM五个部分构成，其中热镀代号（D）和镀层种类代号之间用加号" + ”连接。</w:t>
      </w:r>
    </w:p>
    <w:p>
      <w:pPr>
        <w:pStyle w:val="51"/>
        <w:ind w:firstLine="360"/>
        <w:rPr>
          <w:rFonts w:ascii="Times New Roman" w:eastAsia="黑体"/>
        </w:rPr>
      </w:pPr>
      <w:r>
        <w:rPr>
          <w:rFonts w:hint="eastAsia" w:ascii="Times New Roman" w:eastAsia="黑体"/>
        </w:rPr>
        <w:t>示例1  S350GD+ZM</w:t>
      </w:r>
    </w:p>
    <w:p>
      <w:pPr>
        <w:pStyle w:val="51"/>
        <w:ind w:firstLine="360"/>
        <w:rPr>
          <w:rFonts w:hAnsi="宋体" w:cs="宋体"/>
        </w:rPr>
      </w:pPr>
      <w:r>
        <w:rPr>
          <w:rFonts w:hint="eastAsia" w:hAnsi="宋体" w:cs="宋体"/>
        </w:rPr>
        <w:t>表示产品用途为结构用，规定的最小上屈服强度值为35O MPa,钢种特性不规定，锌铝镁合金镀层热镀产品。</w:t>
      </w:r>
    </w:p>
    <w:p>
      <w:pPr>
        <w:pStyle w:val="43"/>
        <w:spacing w:before="312" w:after="312"/>
      </w:pPr>
      <w:bookmarkStart w:id="16" w:name="_Toc23300"/>
      <w:r>
        <w:rPr>
          <w:rFonts w:hint="eastAsia"/>
        </w:rPr>
        <w:t>分类及代号</w:t>
      </w:r>
      <w:bookmarkEnd w:id="16"/>
    </w:p>
    <w:p>
      <w:pPr>
        <w:pStyle w:val="40"/>
        <w:spacing w:before="156" w:after="156"/>
      </w:pPr>
      <w:r>
        <w:rPr>
          <w:rFonts w:hint="eastAsia"/>
        </w:rPr>
        <w:t>表面质量分类和代号</w:t>
      </w:r>
    </w:p>
    <w:p>
      <w:pPr>
        <w:pStyle w:val="141"/>
        <w:ind w:left="375" w:firstLine="0" w:firstLineChars="0"/>
      </w:pPr>
      <w:r>
        <w:rPr>
          <w:rFonts w:hint="eastAsia"/>
        </w:rPr>
        <w:t>钢带按表面质量分类和代号应符合表1的规定。</w:t>
      </w:r>
    </w:p>
    <w:p>
      <w:pPr>
        <w:pStyle w:val="125"/>
        <w:spacing w:before="156" w:after="156"/>
        <w:rPr>
          <w:szCs w:val="22"/>
        </w:rPr>
      </w:pPr>
      <w:r>
        <w:rPr>
          <w:rFonts w:hint="eastAsia"/>
          <w:szCs w:val="22"/>
        </w:rPr>
        <w:t>表1  表面质量分类和代号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522"/>
        <w:gridCol w:w="4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2" w:hRule="exact"/>
          <w:jc w:val="center"/>
        </w:trPr>
        <w:tc>
          <w:tcPr>
            <w:tcW w:w="4522" w:type="dxa"/>
            <w:shd w:val="clear" w:color="auto" w:fill="FFFFFF"/>
            <w:vAlign w:val="bottom"/>
          </w:tcPr>
          <w:p>
            <w:pPr>
              <w:jc w:val="center"/>
              <w:rPr>
                <w:sz w:val="18"/>
                <w:szCs w:val="18"/>
              </w:rPr>
            </w:pPr>
            <w:r>
              <w:rPr>
                <w:sz w:val="18"/>
                <w:szCs w:val="18"/>
                <w:lang w:val="zh-TW" w:eastAsia="zh-TW"/>
              </w:rPr>
              <w:t>级</w:t>
            </w:r>
            <w:r>
              <w:rPr>
                <w:rFonts w:hint="eastAsia"/>
                <w:sz w:val="18"/>
                <w:szCs w:val="18"/>
                <w:lang w:val="zh-TW"/>
              </w:rPr>
              <w:t>别</w:t>
            </w:r>
          </w:p>
        </w:tc>
        <w:tc>
          <w:tcPr>
            <w:tcW w:w="4718" w:type="dxa"/>
            <w:shd w:val="clear" w:color="auto" w:fill="FFFFFF"/>
            <w:vAlign w:val="bottom"/>
          </w:tcPr>
          <w:p>
            <w:pPr>
              <w:jc w:val="center"/>
              <w:rPr>
                <w:sz w:val="18"/>
                <w:szCs w:val="18"/>
              </w:rPr>
            </w:pPr>
            <w:r>
              <w:rPr>
                <w:sz w:val="18"/>
                <w:szCs w:val="18"/>
                <w:lang w:val="zh-TW" w:eastAsia="zh-TW"/>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7" w:hRule="exact"/>
          <w:jc w:val="center"/>
        </w:trPr>
        <w:tc>
          <w:tcPr>
            <w:tcW w:w="4522" w:type="dxa"/>
            <w:shd w:val="clear" w:color="auto" w:fill="FFFFFF"/>
          </w:tcPr>
          <w:p>
            <w:pPr>
              <w:jc w:val="center"/>
              <w:rPr>
                <w:sz w:val="18"/>
                <w:szCs w:val="18"/>
              </w:rPr>
            </w:pPr>
            <w:r>
              <w:rPr>
                <w:sz w:val="18"/>
                <w:szCs w:val="18"/>
                <w:lang w:val="zh-TW" w:eastAsia="zh-TW"/>
              </w:rPr>
              <w:t>普通级表面</w:t>
            </w:r>
          </w:p>
        </w:tc>
        <w:tc>
          <w:tcPr>
            <w:tcW w:w="4718" w:type="dxa"/>
            <w:shd w:val="clear" w:color="auto" w:fill="FFFFFF"/>
          </w:tcPr>
          <w:p>
            <w:pPr>
              <w:jc w:val="center"/>
              <w:rPr>
                <w:sz w:val="18"/>
                <w:szCs w:val="18"/>
              </w:rPr>
            </w:pPr>
            <w:r>
              <w:rPr>
                <w:sz w:val="18"/>
                <w:szCs w:val="18"/>
                <w:lang w:eastAsia="en-US"/>
              </w:rPr>
              <w:t>FA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7" w:hRule="exact"/>
          <w:jc w:val="center"/>
        </w:trPr>
        <w:tc>
          <w:tcPr>
            <w:tcW w:w="4522" w:type="dxa"/>
            <w:shd w:val="clear" w:color="auto" w:fill="FFFFFF"/>
          </w:tcPr>
          <w:p>
            <w:pPr>
              <w:jc w:val="center"/>
              <w:rPr>
                <w:sz w:val="18"/>
                <w:szCs w:val="18"/>
              </w:rPr>
            </w:pPr>
            <w:r>
              <w:rPr>
                <w:sz w:val="18"/>
                <w:szCs w:val="18"/>
                <w:lang w:val="zh-TW" w:eastAsia="zh-TW"/>
              </w:rPr>
              <w:t>较高级表面</w:t>
            </w:r>
          </w:p>
        </w:tc>
        <w:tc>
          <w:tcPr>
            <w:tcW w:w="4718" w:type="dxa"/>
            <w:shd w:val="clear" w:color="auto" w:fill="FFFFFF"/>
          </w:tcPr>
          <w:p>
            <w:pPr>
              <w:jc w:val="center"/>
              <w:rPr>
                <w:sz w:val="18"/>
                <w:szCs w:val="18"/>
              </w:rPr>
            </w:pPr>
            <w:r>
              <w:rPr>
                <w:sz w:val="18"/>
                <w:szCs w:val="18"/>
                <w:lang w:eastAsia="en-US"/>
              </w:rPr>
              <w:t>FB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7" w:hRule="exact"/>
          <w:jc w:val="center"/>
        </w:trPr>
        <w:tc>
          <w:tcPr>
            <w:tcW w:w="4522" w:type="dxa"/>
            <w:shd w:val="clear" w:color="auto" w:fill="FFFFFF"/>
          </w:tcPr>
          <w:p>
            <w:pPr>
              <w:jc w:val="center"/>
              <w:rPr>
                <w:sz w:val="18"/>
                <w:szCs w:val="18"/>
              </w:rPr>
            </w:pPr>
            <w:r>
              <w:rPr>
                <w:rFonts w:hint="eastAsia"/>
                <w:sz w:val="18"/>
                <w:szCs w:val="18"/>
              </w:rPr>
              <w:t>高级表面</w:t>
            </w:r>
          </w:p>
        </w:tc>
        <w:tc>
          <w:tcPr>
            <w:tcW w:w="4718" w:type="dxa"/>
            <w:shd w:val="clear" w:color="auto" w:fill="FFFFFF"/>
          </w:tcPr>
          <w:p>
            <w:pPr>
              <w:jc w:val="center"/>
              <w:rPr>
                <w:sz w:val="18"/>
                <w:szCs w:val="18"/>
              </w:rPr>
            </w:pPr>
            <w:r>
              <w:rPr>
                <w:rFonts w:hint="eastAsia"/>
                <w:sz w:val="18"/>
                <w:szCs w:val="18"/>
              </w:rPr>
              <w:t>FC</w:t>
            </w:r>
          </w:p>
        </w:tc>
      </w:tr>
    </w:tbl>
    <w:p>
      <w:pPr>
        <w:pStyle w:val="40"/>
        <w:spacing w:before="156" w:after="156"/>
      </w:pPr>
      <w:r>
        <w:rPr>
          <w:rFonts w:hint="eastAsia"/>
        </w:rPr>
        <w:t>镀层表面结构、表面处理的分类和代号</w:t>
      </w:r>
    </w:p>
    <w:p>
      <w:pPr>
        <w:pStyle w:val="141"/>
        <w:ind w:left="375" w:firstLine="0" w:firstLineChars="0"/>
      </w:pPr>
      <w:r>
        <w:rPr>
          <w:rFonts w:hint="eastAsia"/>
        </w:rPr>
        <w:t>钢带的镀层表面结构、表面处理的分类和代号应符合表2的规定。</w:t>
      </w:r>
    </w:p>
    <w:p>
      <w:pPr>
        <w:pStyle w:val="125"/>
        <w:spacing w:before="156" w:after="156"/>
        <w:rPr>
          <w:szCs w:val="22"/>
        </w:rPr>
      </w:pPr>
      <w:r>
        <w:rPr>
          <w:rFonts w:hint="eastAsia"/>
          <w:szCs w:val="22"/>
        </w:rPr>
        <w:t>表2  镀层表面结构、表面处理的分类和代号</w:t>
      </w:r>
    </w:p>
    <w:tbl>
      <w:tblPr>
        <w:tblStyle w:val="31"/>
        <w:tblpPr w:leftFromText="180" w:rightFromText="180" w:vertAnchor="text" w:horzAnchor="margin" w:tblpY="243"/>
        <w:tblOverlap w:val="never"/>
        <w:tblW w:w="0" w:type="auto"/>
        <w:tblInd w:w="0" w:type="dxa"/>
        <w:tblLayout w:type="fixed"/>
        <w:tblCellMar>
          <w:top w:w="0" w:type="dxa"/>
          <w:left w:w="10" w:type="dxa"/>
          <w:bottom w:w="0" w:type="dxa"/>
          <w:right w:w="10" w:type="dxa"/>
        </w:tblCellMar>
      </w:tblPr>
      <w:tblGrid>
        <w:gridCol w:w="2174"/>
        <w:gridCol w:w="4694"/>
        <w:gridCol w:w="2376"/>
      </w:tblGrid>
      <w:tr>
        <w:tblPrEx>
          <w:tblCellMar>
            <w:top w:w="0" w:type="dxa"/>
            <w:left w:w="10" w:type="dxa"/>
            <w:bottom w:w="0" w:type="dxa"/>
            <w:right w:w="10" w:type="dxa"/>
          </w:tblCellMar>
        </w:tblPrEx>
        <w:trPr>
          <w:trHeight w:val="360" w:hRule="exact"/>
        </w:trPr>
        <w:tc>
          <w:tcPr>
            <w:tcW w:w="2174" w:type="dxa"/>
            <w:tcBorders>
              <w:top w:val="single" w:color="auto" w:sz="4" w:space="0"/>
              <w:left w:val="single" w:color="auto" w:sz="4" w:space="0"/>
            </w:tcBorders>
            <w:shd w:val="clear" w:color="auto" w:fill="FFFFFF"/>
            <w:vAlign w:val="center"/>
          </w:tcPr>
          <w:p>
            <w:pPr>
              <w:jc w:val="center"/>
              <w:rPr>
                <w:rFonts w:eastAsia="PMingLiU"/>
                <w:sz w:val="18"/>
                <w:szCs w:val="18"/>
                <w:lang w:val="zh-TW" w:eastAsia="zh-TW"/>
              </w:rPr>
            </w:pPr>
            <w:r>
              <w:rPr>
                <w:rFonts w:hint="eastAsia"/>
                <w:sz w:val="18"/>
                <w:szCs w:val="18"/>
                <w:lang w:val="zh-TW" w:eastAsia="zh-TW"/>
              </w:rPr>
              <w:t>分类项目</w:t>
            </w:r>
          </w:p>
        </w:tc>
        <w:tc>
          <w:tcPr>
            <w:tcW w:w="4694" w:type="dxa"/>
            <w:tcBorders>
              <w:top w:val="single" w:color="auto" w:sz="4" w:space="0"/>
              <w:left w:val="single" w:color="auto" w:sz="4" w:space="0"/>
              <w:bottom w:val="single" w:color="auto" w:sz="4" w:space="0"/>
            </w:tcBorders>
            <w:shd w:val="clear" w:color="auto" w:fill="FFFFFF"/>
            <w:vAlign w:val="center"/>
          </w:tcPr>
          <w:p>
            <w:pPr>
              <w:jc w:val="center"/>
              <w:rPr>
                <w:sz w:val="18"/>
                <w:szCs w:val="18"/>
                <w:lang w:val="zh-TW"/>
              </w:rPr>
            </w:pPr>
            <w:r>
              <w:rPr>
                <w:rFonts w:hint="eastAsia"/>
                <w:sz w:val="18"/>
                <w:szCs w:val="18"/>
                <w:lang w:val="zh-TW"/>
              </w:rPr>
              <w:t>种类</w:t>
            </w:r>
          </w:p>
        </w:tc>
        <w:tc>
          <w:tcPr>
            <w:tcW w:w="23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代号</w:t>
            </w:r>
          </w:p>
        </w:tc>
      </w:tr>
      <w:tr>
        <w:tblPrEx>
          <w:tblCellMar>
            <w:top w:w="0" w:type="dxa"/>
            <w:left w:w="10" w:type="dxa"/>
            <w:bottom w:w="0" w:type="dxa"/>
            <w:right w:w="10" w:type="dxa"/>
          </w:tblCellMar>
        </w:tblPrEx>
        <w:trPr>
          <w:trHeight w:val="360" w:hRule="exact"/>
        </w:trPr>
        <w:tc>
          <w:tcPr>
            <w:tcW w:w="2174" w:type="dxa"/>
            <w:tcBorders>
              <w:top w:val="single" w:color="auto" w:sz="4" w:space="0"/>
              <w:left w:val="single" w:color="auto" w:sz="4" w:space="0"/>
            </w:tcBorders>
            <w:shd w:val="clear" w:color="auto" w:fill="FFFFFF"/>
            <w:vAlign w:val="center"/>
          </w:tcPr>
          <w:p>
            <w:pPr>
              <w:jc w:val="center"/>
              <w:rPr>
                <w:rFonts w:eastAsia="PMingLiU"/>
                <w:sz w:val="18"/>
                <w:szCs w:val="18"/>
                <w:lang w:val="zh-TW" w:eastAsia="zh-TW"/>
              </w:rPr>
            </w:pPr>
            <w:r>
              <w:rPr>
                <w:rFonts w:hint="eastAsia"/>
                <w:sz w:val="18"/>
                <w:szCs w:val="18"/>
                <w:lang w:val="zh-TW" w:eastAsia="zh-TW"/>
              </w:rPr>
              <w:t>镀层种类</w:t>
            </w:r>
          </w:p>
        </w:tc>
        <w:tc>
          <w:tcPr>
            <w:tcW w:w="4694" w:type="dxa"/>
            <w:tcBorders>
              <w:top w:val="single" w:color="auto" w:sz="4" w:space="0"/>
              <w:left w:val="single" w:color="auto" w:sz="4" w:space="0"/>
              <w:bottom w:val="single" w:color="auto" w:sz="4" w:space="0"/>
            </w:tcBorders>
            <w:shd w:val="clear" w:color="auto" w:fill="FFFFFF"/>
            <w:vAlign w:val="center"/>
          </w:tcPr>
          <w:p>
            <w:pPr>
              <w:jc w:val="center"/>
              <w:rPr>
                <w:sz w:val="18"/>
                <w:szCs w:val="18"/>
                <w:lang w:val="zh-TW"/>
              </w:rPr>
            </w:pPr>
            <w:r>
              <w:rPr>
                <w:rFonts w:hint="eastAsia"/>
                <w:sz w:val="18"/>
                <w:szCs w:val="18"/>
                <w:lang w:val="zh-TW"/>
              </w:rPr>
              <w:t>锌铝镁镀层</w:t>
            </w:r>
          </w:p>
        </w:tc>
        <w:tc>
          <w:tcPr>
            <w:tcW w:w="23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Z</w:t>
            </w:r>
            <w:r>
              <w:rPr>
                <w:sz w:val="18"/>
                <w:szCs w:val="18"/>
              </w:rPr>
              <w:t>M</w:t>
            </w:r>
          </w:p>
        </w:tc>
      </w:tr>
      <w:tr>
        <w:tblPrEx>
          <w:tblCellMar>
            <w:top w:w="0" w:type="dxa"/>
            <w:left w:w="10" w:type="dxa"/>
            <w:bottom w:w="0" w:type="dxa"/>
            <w:right w:w="10" w:type="dxa"/>
          </w:tblCellMar>
        </w:tblPrEx>
        <w:trPr>
          <w:trHeight w:val="360" w:hRule="exact"/>
        </w:trPr>
        <w:tc>
          <w:tcPr>
            <w:tcW w:w="2174" w:type="dxa"/>
            <w:vMerge w:val="restart"/>
            <w:tcBorders>
              <w:top w:val="single" w:color="auto" w:sz="4" w:space="0"/>
              <w:left w:val="single" w:color="auto" w:sz="4" w:space="0"/>
            </w:tcBorders>
            <w:shd w:val="clear" w:color="auto" w:fill="FFFFFF"/>
            <w:vAlign w:val="center"/>
          </w:tcPr>
          <w:p>
            <w:pPr>
              <w:jc w:val="center"/>
              <w:rPr>
                <w:sz w:val="18"/>
                <w:szCs w:val="18"/>
                <w:lang w:val="zh-TW" w:eastAsia="zh-TW"/>
              </w:rPr>
            </w:pPr>
            <w:r>
              <w:rPr>
                <w:sz w:val="18"/>
                <w:szCs w:val="18"/>
                <w:lang w:val="zh-TW" w:eastAsia="zh-TW"/>
              </w:rPr>
              <w:t>表面处理</w:t>
            </w:r>
          </w:p>
        </w:tc>
        <w:tc>
          <w:tcPr>
            <w:tcW w:w="4694" w:type="dxa"/>
            <w:tcBorders>
              <w:top w:val="single" w:color="auto" w:sz="4" w:space="0"/>
              <w:left w:val="single" w:color="auto" w:sz="4" w:space="0"/>
              <w:bottom w:val="single" w:color="auto" w:sz="4" w:space="0"/>
            </w:tcBorders>
            <w:shd w:val="clear" w:color="auto" w:fill="FFFFFF"/>
            <w:vAlign w:val="center"/>
          </w:tcPr>
          <w:p>
            <w:pPr>
              <w:jc w:val="center"/>
              <w:rPr>
                <w:sz w:val="18"/>
                <w:szCs w:val="18"/>
                <w:lang w:val="zh-TW" w:eastAsia="zh-TW"/>
              </w:rPr>
            </w:pPr>
            <w:r>
              <w:rPr>
                <w:rFonts w:hint="eastAsia"/>
                <w:sz w:val="18"/>
                <w:szCs w:val="18"/>
                <w:lang w:val="zh-TW"/>
              </w:rPr>
              <w:t>铬</w:t>
            </w:r>
            <w:r>
              <w:rPr>
                <w:sz w:val="18"/>
                <w:szCs w:val="18"/>
                <w:lang w:val="zh-TW" w:eastAsia="zh-TW"/>
              </w:rPr>
              <w:t>酸钝化</w:t>
            </w:r>
          </w:p>
        </w:tc>
        <w:tc>
          <w:tcPr>
            <w:tcW w:w="23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lang w:val="zh-TW" w:eastAsia="zh-TW"/>
              </w:rPr>
            </w:pPr>
            <w:r>
              <w:rPr>
                <w:sz w:val="18"/>
                <w:szCs w:val="18"/>
                <w:lang w:eastAsia="en-US"/>
              </w:rPr>
              <w:t>C</w:t>
            </w:r>
          </w:p>
        </w:tc>
      </w:tr>
      <w:tr>
        <w:tblPrEx>
          <w:tblCellMar>
            <w:top w:w="0" w:type="dxa"/>
            <w:left w:w="10" w:type="dxa"/>
            <w:bottom w:w="0" w:type="dxa"/>
            <w:right w:w="10" w:type="dxa"/>
          </w:tblCellMar>
        </w:tblPrEx>
        <w:trPr>
          <w:trHeight w:val="360" w:hRule="exact"/>
        </w:trPr>
        <w:tc>
          <w:tcPr>
            <w:tcW w:w="2174" w:type="dxa"/>
            <w:vMerge w:val="continue"/>
            <w:tcBorders>
              <w:left w:val="single" w:color="auto" w:sz="4" w:space="0"/>
            </w:tcBorders>
            <w:shd w:val="clear" w:color="auto" w:fill="FFFFFF"/>
            <w:vAlign w:val="center"/>
          </w:tcPr>
          <w:p>
            <w:pPr>
              <w:jc w:val="center"/>
              <w:rPr>
                <w:sz w:val="18"/>
                <w:szCs w:val="18"/>
                <w:lang w:val="zh-TW" w:eastAsia="zh-TW"/>
              </w:rPr>
            </w:pPr>
          </w:p>
        </w:tc>
        <w:tc>
          <w:tcPr>
            <w:tcW w:w="4694" w:type="dxa"/>
            <w:tcBorders>
              <w:top w:val="single" w:color="auto" w:sz="4" w:space="0"/>
              <w:left w:val="single" w:color="auto" w:sz="4" w:space="0"/>
              <w:bottom w:val="single" w:color="auto" w:sz="4" w:space="0"/>
            </w:tcBorders>
            <w:shd w:val="clear" w:color="auto" w:fill="FFFFFF"/>
            <w:vAlign w:val="center"/>
          </w:tcPr>
          <w:p>
            <w:pPr>
              <w:jc w:val="center"/>
              <w:rPr>
                <w:sz w:val="18"/>
                <w:szCs w:val="18"/>
                <w:lang w:val="zh-TW" w:eastAsia="zh-TW"/>
              </w:rPr>
            </w:pPr>
            <w:r>
              <w:rPr>
                <w:sz w:val="18"/>
                <w:szCs w:val="18"/>
                <w:lang w:val="zh-TW" w:eastAsia="zh-TW"/>
              </w:rPr>
              <w:t>涂油</w:t>
            </w:r>
          </w:p>
        </w:tc>
        <w:tc>
          <w:tcPr>
            <w:tcW w:w="23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lang w:val="zh-TW" w:eastAsia="zh-TW"/>
              </w:rPr>
            </w:pPr>
            <w:r>
              <w:rPr>
                <w:sz w:val="18"/>
                <w:szCs w:val="18"/>
                <w:lang w:eastAsia="en-US"/>
              </w:rPr>
              <w:t>O</w:t>
            </w:r>
          </w:p>
        </w:tc>
      </w:tr>
      <w:tr>
        <w:tblPrEx>
          <w:tblCellMar>
            <w:top w:w="0" w:type="dxa"/>
            <w:left w:w="10" w:type="dxa"/>
            <w:bottom w:w="0" w:type="dxa"/>
            <w:right w:w="10" w:type="dxa"/>
          </w:tblCellMar>
        </w:tblPrEx>
        <w:trPr>
          <w:trHeight w:val="360" w:hRule="exact"/>
        </w:trPr>
        <w:tc>
          <w:tcPr>
            <w:tcW w:w="2174" w:type="dxa"/>
            <w:vMerge w:val="continue"/>
            <w:tcBorders>
              <w:left w:val="single" w:color="auto" w:sz="4" w:space="0"/>
            </w:tcBorders>
            <w:shd w:val="clear" w:color="auto" w:fill="FFFFFF"/>
            <w:vAlign w:val="center"/>
          </w:tcPr>
          <w:p>
            <w:pPr>
              <w:jc w:val="center"/>
              <w:rPr>
                <w:sz w:val="18"/>
                <w:szCs w:val="18"/>
                <w:lang w:val="zh-TW" w:eastAsia="zh-TW"/>
              </w:rPr>
            </w:pPr>
          </w:p>
        </w:tc>
        <w:tc>
          <w:tcPr>
            <w:tcW w:w="4694" w:type="dxa"/>
            <w:tcBorders>
              <w:top w:val="single" w:color="auto" w:sz="4" w:space="0"/>
              <w:left w:val="single" w:color="auto" w:sz="4" w:space="0"/>
              <w:bottom w:val="single" w:color="auto" w:sz="4" w:space="0"/>
            </w:tcBorders>
            <w:shd w:val="clear" w:color="auto" w:fill="FFFFFF"/>
            <w:vAlign w:val="center"/>
          </w:tcPr>
          <w:p>
            <w:pPr>
              <w:jc w:val="center"/>
              <w:rPr>
                <w:sz w:val="18"/>
                <w:szCs w:val="18"/>
                <w:lang w:val="zh-TW" w:eastAsia="zh-TW"/>
              </w:rPr>
            </w:pPr>
            <w:r>
              <w:rPr>
                <w:rFonts w:hint="eastAsia"/>
                <w:sz w:val="18"/>
                <w:szCs w:val="18"/>
                <w:lang w:val="zh-TW"/>
              </w:rPr>
              <w:t>铬</w:t>
            </w:r>
            <w:r>
              <w:rPr>
                <w:sz w:val="18"/>
                <w:szCs w:val="18"/>
                <w:lang w:val="zh-TW" w:eastAsia="zh-TW"/>
              </w:rPr>
              <w:t>酸钝化+涂油</w:t>
            </w:r>
          </w:p>
        </w:tc>
        <w:tc>
          <w:tcPr>
            <w:tcW w:w="23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lang w:val="zh-TW" w:eastAsia="zh-TW"/>
              </w:rPr>
            </w:pPr>
            <w:r>
              <w:rPr>
                <w:sz w:val="18"/>
                <w:szCs w:val="18"/>
                <w:lang w:eastAsia="en-US"/>
              </w:rPr>
              <w:t>CO</w:t>
            </w:r>
          </w:p>
        </w:tc>
      </w:tr>
      <w:tr>
        <w:tblPrEx>
          <w:tblCellMar>
            <w:top w:w="0" w:type="dxa"/>
            <w:left w:w="10" w:type="dxa"/>
            <w:bottom w:w="0" w:type="dxa"/>
            <w:right w:w="10" w:type="dxa"/>
          </w:tblCellMar>
        </w:tblPrEx>
        <w:trPr>
          <w:trHeight w:val="365" w:hRule="exact"/>
        </w:trPr>
        <w:tc>
          <w:tcPr>
            <w:tcW w:w="2174" w:type="dxa"/>
            <w:vMerge w:val="continue"/>
            <w:tcBorders>
              <w:left w:val="single" w:color="auto" w:sz="4" w:space="0"/>
            </w:tcBorders>
            <w:shd w:val="clear" w:color="auto" w:fill="FFFFFF"/>
            <w:vAlign w:val="center"/>
          </w:tcPr>
          <w:p>
            <w:pPr>
              <w:jc w:val="center"/>
              <w:rPr>
                <w:sz w:val="18"/>
                <w:szCs w:val="18"/>
                <w:lang w:val="zh-TW" w:eastAsia="zh-TW"/>
              </w:rPr>
            </w:pPr>
          </w:p>
        </w:tc>
        <w:tc>
          <w:tcPr>
            <w:tcW w:w="4694" w:type="dxa"/>
            <w:tcBorders>
              <w:top w:val="single" w:color="auto" w:sz="4" w:space="0"/>
              <w:left w:val="single" w:color="auto" w:sz="4" w:space="0"/>
              <w:bottom w:val="single" w:color="auto" w:sz="4" w:space="0"/>
            </w:tcBorders>
            <w:shd w:val="clear" w:color="auto" w:fill="FFFFFF"/>
            <w:vAlign w:val="center"/>
          </w:tcPr>
          <w:p>
            <w:pPr>
              <w:jc w:val="center"/>
              <w:rPr>
                <w:sz w:val="18"/>
                <w:szCs w:val="18"/>
                <w:lang w:val="zh-TW" w:eastAsia="zh-TW"/>
              </w:rPr>
            </w:pPr>
            <w:r>
              <w:rPr>
                <w:sz w:val="18"/>
                <w:szCs w:val="18"/>
                <w:lang w:val="zh-TW" w:eastAsia="zh-TW"/>
              </w:rPr>
              <w:t>三价</w:t>
            </w:r>
            <w:r>
              <w:rPr>
                <w:rFonts w:hint="eastAsia"/>
                <w:sz w:val="18"/>
                <w:szCs w:val="18"/>
                <w:lang w:val="zh-TW"/>
              </w:rPr>
              <w:t>铬</w:t>
            </w:r>
            <w:r>
              <w:rPr>
                <w:sz w:val="18"/>
                <w:szCs w:val="18"/>
                <w:lang w:val="zh-TW" w:eastAsia="zh-TW"/>
              </w:rPr>
              <w:t>钝化</w:t>
            </w:r>
          </w:p>
        </w:tc>
        <w:tc>
          <w:tcPr>
            <w:tcW w:w="23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lang w:val="zh-TW" w:eastAsia="zh-TW"/>
              </w:rPr>
            </w:pPr>
            <w:r>
              <w:rPr>
                <w:sz w:val="18"/>
                <w:szCs w:val="18"/>
                <w:lang w:eastAsia="en-US"/>
              </w:rPr>
              <w:t>C3</w:t>
            </w:r>
          </w:p>
        </w:tc>
      </w:tr>
      <w:tr>
        <w:tblPrEx>
          <w:tblCellMar>
            <w:top w:w="0" w:type="dxa"/>
            <w:left w:w="10" w:type="dxa"/>
            <w:bottom w:w="0" w:type="dxa"/>
            <w:right w:w="10" w:type="dxa"/>
          </w:tblCellMar>
        </w:tblPrEx>
        <w:trPr>
          <w:trHeight w:val="360" w:hRule="exact"/>
        </w:trPr>
        <w:tc>
          <w:tcPr>
            <w:tcW w:w="2174" w:type="dxa"/>
            <w:vMerge w:val="continue"/>
            <w:tcBorders>
              <w:left w:val="single" w:color="auto" w:sz="4" w:space="0"/>
            </w:tcBorders>
            <w:shd w:val="clear" w:color="auto" w:fill="FFFFFF"/>
            <w:vAlign w:val="center"/>
          </w:tcPr>
          <w:p>
            <w:pPr>
              <w:jc w:val="center"/>
              <w:rPr>
                <w:sz w:val="18"/>
                <w:szCs w:val="18"/>
                <w:lang w:val="zh-TW" w:eastAsia="zh-TW"/>
              </w:rPr>
            </w:pPr>
          </w:p>
        </w:tc>
        <w:tc>
          <w:tcPr>
            <w:tcW w:w="4694" w:type="dxa"/>
            <w:tcBorders>
              <w:top w:val="single" w:color="auto" w:sz="4" w:space="0"/>
              <w:left w:val="single" w:color="auto" w:sz="4" w:space="0"/>
              <w:bottom w:val="single" w:color="auto" w:sz="4" w:space="0"/>
            </w:tcBorders>
            <w:shd w:val="clear" w:color="auto" w:fill="FFFFFF"/>
            <w:vAlign w:val="center"/>
          </w:tcPr>
          <w:p>
            <w:pPr>
              <w:jc w:val="center"/>
              <w:rPr>
                <w:sz w:val="18"/>
                <w:szCs w:val="18"/>
                <w:lang w:val="zh-TW" w:eastAsia="zh-TW"/>
              </w:rPr>
            </w:pPr>
            <w:r>
              <w:rPr>
                <w:sz w:val="18"/>
                <w:szCs w:val="18"/>
                <w:lang w:val="zh-TW" w:eastAsia="zh-TW"/>
              </w:rPr>
              <w:t>三价</w:t>
            </w:r>
            <w:r>
              <w:rPr>
                <w:rFonts w:hint="eastAsia"/>
                <w:sz w:val="18"/>
                <w:szCs w:val="18"/>
                <w:lang w:val="zh-TW"/>
              </w:rPr>
              <w:t>铬</w:t>
            </w:r>
            <w:r>
              <w:rPr>
                <w:sz w:val="18"/>
                <w:szCs w:val="18"/>
                <w:lang w:val="zh-TW" w:eastAsia="zh-TW"/>
              </w:rPr>
              <w:t>钝化+涂油</w:t>
            </w:r>
          </w:p>
        </w:tc>
        <w:tc>
          <w:tcPr>
            <w:tcW w:w="23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lang w:val="zh-TW" w:eastAsia="zh-TW"/>
              </w:rPr>
            </w:pPr>
            <w:r>
              <w:rPr>
                <w:sz w:val="18"/>
                <w:szCs w:val="18"/>
                <w:lang w:eastAsia="en-US"/>
              </w:rPr>
              <w:t>CO3</w:t>
            </w:r>
          </w:p>
        </w:tc>
      </w:tr>
      <w:tr>
        <w:tblPrEx>
          <w:tblCellMar>
            <w:top w:w="0" w:type="dxa"/>
            <w:left w:w="10" w:type="dxa"/>
            <w:bottom w:w="0" w:type="dxa"/>
            <w:right w:w="10" w:type="dxa"/>
          </w:tblCellMar>
        </w:tblPrEx>
        <w:trPr>
          <w:trHeight w:val="360" w:hRule="exact"/>
        </w:trPr>
        <w:tc>
          <w:tcPr>
            <w:tcW w:w="2174" w:type="dxa"/>
            <w:vMerge w:val="continue"/>
            <w:tcBorders>
              <w:left w:val="single" w:color="auto" w:sz="4" w:space="0"/>
            </w:tcBorders>
            <w:shd w:val="clear" w:color="auto" w:fill="FFFFFF"/>
            <w:vAlign w:val="center"/>
          </w:tcPr>
          <w:p>
            <w:pPr>
              <w:jc w:val="center"/>
              <w:rPr>
                <w:sz w:val="18"/>
                <w:szCs w:val="18"/>
                <w:lang w:val="zh-TW" w:eastAsia="zh-TW"/>
              </w:rPr>
            </w:pPr>
          </w:p>
        </w:tc>
        <w:tc>
          <w:tcPr>
            <w:tcW w:w="4694" w:type="dxa"/>
            <w:tcBorders>
              <w:top w:val="single" w:color="auto" w:sz="4" w:space="0"/>
              <w:left w:val="single" w:color="auto" w:sz="4" w:space="0"/>
              <w:bottom w:val="single" w:color="auto" w:sz="4" w:space="0"/>
            </w:tcBorders>
            <w:shd w:val="clear" w:color="auto" w:fill="FFFFFF"/>
            <w:vAlign w:val="center"/>
          </w:tcPr>
          <w:p>
            <w:pPr>
              <w:jc w:val="center"/>
              <w:rPr>
                <w:sz w:val="18"/>
                <w:szCs w:val="18"/>
                <w:lang w:val="zh-TW" w:eastAsia="zh-TW"/>
              </w:rPr>
            </w:pPr>
            <w:r>
              <w:rPr>
                <w:sz w:val="18"/>
                <w:szCs w:val="18"/>
                <w:lang w:val="zh-TW" w:eastAsia="zh-TW"/>
              </w:rPr>
              <w:t>无</w:t>
            </w:r>
            <w:r>
              <w:rPr>
                <w:rFonts w:hint="eastAsia"/>
                <w:sz w:val="18"/>
                <w:szCs w:val="18"/>
                <w:lang w:val="zh-TW"/>
              </w:rPr>
              <w:t>铬</w:t>
            </w:r>
            <w:r>
              <w:rPr>
                <w:sz w:val="18"/>
                <w:szCs w:val="18"/>
                <w:lang w:val="zh-TW" w:eastAsia="zh-TW"/>
              </w:rPr>
              <w:t>钝化</w:t>
            </w:r>
          </w:p>
        </w:tc>
        <w:tc>
          <w:tcPr>
            <w:tcW w:w="23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lang w:val="zh-TW" w:eastAsia="zh-TW"/>
              </w:rPr>
            </w:pPr>
            <w:r>
              <w:rPr>
                <w:rFonts w:hint="eastAsia"/>
                <w:sz w:val="18"/>
                <w:szCs w:val="18"/>
              </w:rPr>
              <w:t>CN</w:t>
            </w:r>
          </w:p>
        </w:tc>
      </w:tr>
      <w:tr>
        <w:tblPrEx>
          <w:tblCellMar>
            <w:top w:w="0" w:type="dxa"/>
            <w:left w:w="10" w:type="dxa"/>
            <w:bottom w:w="0" w:type="dxa"/>
            <w:right w:w="10" w:type="dxa"/>
          </w:tblCellMar>
        </w:tblPrEx>
        <w:trPr>
          <w:trHeight w:val="360" w:hRule="exact"/>
        </w:trPr>
        <w:tc>
          <w:tcPr>
            <w:tcW w:w="2174" w:type="dxa"/>
            <w:vMerge w:val="continue"/>
            <w:tcBorders>
              <w:left w:val="single" w:color="auto" w:sz="4" w:space="0"/>
            </w:tcBorders>
            <w:shd w:val="clear" w:color="auto" w:fill="FFFFFF"/>
            <w:vAlign w:val="center"/>
          </w:tcPr>
          <w:p>
            <w:pPr>
              <w:jc w:val="center"/>
              <w:rPr>
                <w:sz w:val="18"/>
                <w:szCs w:val="18"/>
                <w:lang w:val="zh-TW" w:eastAsia="zh-TW"/>
              </w:rPr>
            </w:pPr>
          </w:p>
        </w:tc>
        <w:tc>
          <w:tcPr>
            <w:tcW w:w="4694" w:type="dxa"/>
            <w:tcBorders>
              <w:top w:val="single" w:color="auto" w:sz="4" w:space="0"/>
              <w:left w:val="single" w:color="auto" w:sz="4" w:space="0"/>
              <w:bottom w:val="single" w:color="auto" w:sz="4" w:space="0"/>
            </w:tcBorders>
            <w:shd w:val="clear" w:color="auto" w:fill="FFFFFF"/>
            <w:vAlign w:val="center"/>
          </w:tcPr>
          <w:p>
            <w:pPr>
              <w:jc w:val="center"/>
              <w:rPr>
                <w:sz w:val="18"/>
                <w:szCs w:val="18"/>
                <w:lang w:val="zh-TW" w:eastAsia="zh-TW"/>
              </w:rPr>
            </w:pPr>
            <w:r>
              <w:rPr>
                <w:sz w:val="18"/>
                <w:szCs w:val="18"/>
                <w:lang w:val="zh-TW" w:eastAsia="zh-TW"/>
              </w:rPr>
              <w:t>无</w:t>
            </w:r>
            <w:r>
              <w:rPr>
                <w:rFonts w:hint="eastAsia"/>
                <w:sz w:val="18"/>
                <w:szCs w:val="18"/>
                <w:lang w:val="zh-TW"/>
              </w:rPr>
              <w:t>铬</w:t>
            </w:r>
            <w:r>
              <w:rPr>
                <w:sz w:val="18"/>
                <w:szCs w:val="18"/>
                <w:lang w:val="zh-TW" w:eastAsia="zh-TW"/>
              </w:rPr>
              <w:t>钝化+涂油</w:t>
            </w:r>
          </w:p>
        </w:tc>
        <w:tc>
          <w:tcPr>
            <w:tcW w:w="23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lang w:val="zh-TW" w:eastAsia="zh-TW"/>
              </w:rPr>
            </w:pPr>
            <w:r>
              <w:rPr>
                <w:rFonts w:hint="eastAsia"/>
                <w:sz w:val="18"/>
                <w:szCs w:val="18"/>
              </w:rPr>
              <w:t>CON</w:t>
            </w:r>
          </w:p>
        </w:tc>
      </w:tr>
      <w:tr>
        <w:tblPrEx>
          <w:tblCellMar>
            <w:top w:w="0" w:type="dxa"/>
            <w:left w:w="10" w:type="dxa"/>
            <w:bottom w:w="0" w:type="dxa"/>
            <w:right w:w="10" w:type="dxa"/>
          </w:tblCellMar>
        </w:tblPrEx>
        <w:trPr>
          <w:trHeight w:val="370" w:hRule="exact"/>
        </w:trPr>
        <w:tc>
          <w:tcPr>
            <w:tcW w:w="2174" w:type="dxa"/>
            <w:vMerge w:val="continue"/>
            <w:tcBorders>
              <w:left w:val="single" w:color="auto" w:sz="4" w:space="0"/>
              <w:bottom w:val="single" w:color="auto" w:sz="4" w:space="0"/>
            </w:tcBorders>
            <w:shd w:val="clear" w:color="auto" w:fill="FFFFFF"/>
            <w:vAlign w:val="center"/>
          </w:tcPr>
          <w:p>
            <w:pPr>
              <w:jc w:val="center"/>
              <w:rPr>
                <w:sz w:val="18"/>
                <w:szCs w:val="18"/>
                <w:lang w:val="zh-TW" w:eastAsia="zh-TW"/>
              </w:rPr>
            </w:pPr>
          </w:p>
        </w:tc>
        <w:tc>
          <w:tcPr>
            <w:tcW w:w="4694" w:type="dxa"/>
            <w:tcBorders>
              <w:top w:val="single" w:color="auto" w:sz="4" w:space="0"/>
              <w:left w:val="single" w:color="auto" w:sz="4" w:space="0"/>
              <w:bottom w:val="single" w:color="auto" w:sz="4" w:space="0"/>
            </w:tcBorders>
            <w:shd w:val="clear" w:color="auto" w:fill="FFFFFF"/>
            <w:vAlign w:val="center"/>
          </w:tcPr>
          <w:p>
            <w:pPr>
              <w:jc w:val="center"/>
              <w:rPr>
                <w:sz w:val="18"/>
                <w:szCs w:val="18"/>
                <w:lang w:val="zh-TW" w:eastAsia="zh-TW"/>
              </w:rPr>
            </w:pPr>
            <w:r>
              <w:rPr>
                <w:sz w:val="18"/>
                <w:szCs w:val="18"/>
                <w:lang w:val="zh-TW" w:eastAsia="zh-TW"/>
              </w:rPr>
              <w:t>不处理</w:t>
            </w:r>
          </w:p>
        </w:tc>
        <w:tc>
          <w:tcPr>
            <w:tcW w:w="23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lang w:val="zh-TW" w:eastAsia="zh-TW"/>
              </w:rPr>
            </w:pPr>
            <w:r>
              <w:rPr>
                <w:sz w:val="18"/>
                <w:szCs w:val="18"/>
                <w:lang w:eastAsia="en-US"/>
              </w:rPr>
              <w:t>U</w:t>
            </w:r>
          </w:p>
        </w:tc>
      </w:tr>
    </w:tbl>
    <w:p>
      <w:pPr>
        <w:pStyle w:val="57"/>
        <w:numPr>
          <w:ilvl w:val="0"/>
          <w:numId w:val="0"/>
        </w:numPr>
        <w:ind w:left="420"/>
      </w:pPr>
    </w:p>
    <w:bookmarkEnd w:id="13"/>
    <w:bookmarkEnd w:id="15"/>
    <w:p>
      <w:pPr>
        <w:pStyle w:val="43"/>
        <w:spacing w:before="312" w:after="312"/>
      </w:pPr>
      <w:bookmarkStart w:id="17" w:name="_Toc520380394"/>
      <w:bookmarkStart w:id="18" w:name="_Toc32050"/>
      <w:r>
        <w:rPr>
          <w:rFonts w:hint="eastAsia"/>
        </w:rPr>
        <w:t>订货内容</w:t>
      </w:r>
      <w:bookmarkEnd w:id="17"/>
      <w:bookmarkEnd w:id="18"/>
    </w:p>
    <w:p>
      <w:pPr>
        <w:pStyle w:val="40"/>
        <w:spacing w:before="156" w:after="156"/>
      </w:pPr>
      <w:r>
        <w:rPr>
          <w:rFonts w:hint="eastAsia"/>
        </w:rPr>
        <w:t>按本文件订货的合同或订单应包括下列内容：</w:t>
      </w:r>
    </w:p>
    <w:p>
      <w:pPr>
        <w:pStyle w:val="22"/>
        <w:rPr>
          <w:rFonts w:hAnsi="宋体"/>
          <w:szCs w:val="21"/>
        </w:rPr>
      </w:pPr>
      <w:r>
        <w:rPr>
          <w:rFonts w:hAnsi="宋体"/>
          <w:szCs w:val="21"/>
        </w:rPr>
        <w:t xml:space="preserve">a)  </w:t>
      </w:r>
      <w:r>
        <w:rPr>
          <w:rFonts w:hint="eastAsia" w:hAnsi="宋体"/>
          <w:szCs w:val="21"/>
        </w:rPr>
        <w:t>本文件编号</w:t>
      </w:r>
      <w:r>
        <w:rPr>
          <w:rFonts w:hAnsi="宋体"/>
          <w:szCs w:val="21"/>
        </w:rPr>
        <w:t>；</w:t>
      </w:r>
    </w:p>
    <w:p>
      <w:pPr>
        <w:pStyle w:val="22"/>
        <w:rPr>
          <w:rFonts w:hAnsi="宋体"/>
          <w:szCs w:val="21"/>
        </w:rPr>
      </w:pPr>
      <w:r>
        <w:rPr>
          <w:rFonts w:hAnsi="宋体"/>
          <w:szCs w:val="21"/>
        </w:rPr>
        <w:t>b)  产品</w:t>
      </w:r>
      <w:r>
        <w:rPr>
          <w:rFonts w:hint="eastAsia" w:hAnsi="宋体"/>
          <w:szCs w:val="21"/>
        </w:rPr>
        <w:t>名称</w:t>
      </w:r>
      <w:r>
        <w:rPr>
          <w:rFonts w:hAnsi="宋体"/>
          <w:szCs w:val="21"/>
        </w:rPr>
        <w:t>；</w:t>
      </w:r>
    </w:p>
    <w:p>
      <w:pPr>
        <w:pStyle w:val="22"/>
        <w:rPr>
          <w:rFonts w:hAnsi="宋体"/>
          <w:szCs w:val="21"/>
        </w:rPr>
      </w:pPr>
      <w:r>
        <w:rPr>
          <w:rFonts w:hAnsi="宋体"/>
          <w:szCs w:val="21"/>
        </w:rPr>
        <w:t>c)  牌号；</w:t>
      </w:r>
    </w:p>
    <w:p>
      <w:pPr>
        <w:pStyle w:val="22"/>
        <w:rPr>
          <w:rFonts w:hAnsi="宋体"/>
          <w:szCs w:val="21"/>
        </w:rPr>
      </w:pPr>
      <w:r>
        <w:rPr>
          <w:rFonts w:hint="eastAsia" w:hAnsi="宋体"/>
          <w:szCs w:val="21"/>
        </w:rPr>
        <w:t>d</w:t>
      </w:r>
      <w:r>
        <w:rPr>
          <w:rFonts w:hAnsi="宋体"/>
          <w:szCs w:val="21"/>
        </w:rPr>
        <w:t xml:space="preserve">)  </w:t>
      </w:r>
      <w:r>
        <w:rPr>
          <w:rFonts w:hint="eastAsia" w:hAnsi="宋体"/>
          <w:szCs w:val="21"/>
        </w:rPr>
        <w:t>镀层重量</w:t>
      </w:r>
      <w:r>
        <w:rPr>
          <w:rFonts w:hAnsi="宋体"/>
          <w:szCs w:val="21"/>
        </w:rPr>
        <w:t>；</w:t>
      </w:r>
    </w:p>
    <w:p>
      <w:pPr>
        <w:pStyle w:val="22"/>
        <w:rPr>
          <w:rFonts w:hAnsi="宋体"/>
          <w:szCs w:val="21"/>
        </w:rPr>
      </w:pPr>
      <w:r>
        <w:rPr>
          <w:rFonts w:hint="eastAsia" w:hAnsi="宋体"/>
          <w:szCs w:val="21"/>
        </w:rPr>
        <w:t>e</w:t>
      </w:r>
      <w:r>
        <w:rPr>
          <w:rFonts w:hAnsi="宋体"/>
          <w:szCs w:val="21"/>
        </w:rPr>
        <w:t xml:space="preserve">)  </w:t>
      </w:r>
      <w:r>
        <w:rPr>
          <w:rFonts w:hint="eastAsia" w:hAnsi="宋体"/>
          <w:szCs w:val="21"/>
        </w:rPr>
        <w:t>尺寸及精度</w:t>
      </w:r>
      <w:r>
        <w:rPr>
          <w:rFonts w:hAnsi="宋体"/>
          <w:szCs w:val="21"/>
        </w:rPr>
        <w:t>；</w:t>
      </w:r>
    </w:p>
    <w:p>
      <w:pPr>
        <w:pStyle w:val="22"/>
        <w:rPr>
          <w:rFonts w:hAnsi="宋体"/>
          <w:szCs w:val="21"/>
        </w:rPr>
      </w:pPr>
      <w:r>
        <w:rPr>
          <w:rFonts w:hint="eastAsia" w:hAnsi="宋体"/>
          <w:szCs w:val="21"/>
        </w:rPr>
        <w:t>f</w:t>
      </w:r>
      <w:r>
        <w:rPr>
          <w:rFonts w:hAnsi="宋体"/>
          <w:szCs w:val="21"/>
        </w:rPr>
        <w:t xml:space="preserve">)  </w:t>
      </w:r>
      <w:r>
        <w:rPr>
          <w:rFonts w:hint="eastAsia" w:hAnsi="宋体"/>
          <w:szCs w:val="21"/>
        </w:rPr>
        <w:t>不平度精度</w:t>
      </w:r>
      <w:r>
        <w:rPr>
          <w:rFonts w:hAnsi="宋体"/>
          <w:szCs w:val="21"/>
        </w:rPr>
        <w:t>；</w:t>
      </w:r>
    </w:p>
    <w:p>
      <w:pPr>
        <w:pStyle w:val="22"/>
        <w:rPr>
          <w:rFonts w:hAnsi="宋体"/>
          <w:szCs w:val="21"/>
        </w:rPr>
      </w:pPr>
      <w:r>
        <w:rPr>
          <w:rFonts w:hint="eastAsia" w:hAnsi="宋体"/>
          <w:szCs w:val="21"/>
        </w:rPr>
        <w:t>g</w:t>
      </w:r>
      <w:r>
        <w:rPr>
          <w:rFonts w:hAnsi="宋体"/>
          <w:szCs w:val="21"/>
        </w:rPr>
        <w:t xml:space="preserve">)  </w:t>
      </w:r>
      <w:r>
        <w:rPr>
          <w:rFonts w:hint="eastAsia" w:hAnsi="宋体"/>
          <w:szCs w:val="21"/>
        </w:rPr>
        <w:t>钢卷内径</w:t>
      </w:r>
      <w:r>
        <w:rPr>
          <w:rFonts w:hAnsi="宋体"/>
          <w:szCs w:val="21"/>
        </w:rPr>
        <w:t>；</w:t>
      </w:r>
    </w:p>
    <w:p>
      <w:pPr>
        <w:pStyle w:val="22"/>
        <w:rPr>
          <w:rFonts w:hAnsi="宋体"/>
          <w:szCs w:val="21"/>
        </w:rPr>
      </w:pPr>
      <w:r>
        <w:rPr>
          <w:rFonts w:hint="eastAsia" w:hAnsi="宋体"/>
          <w:szCs w:val="21"/>
        </w:rPr>
        <w:t>h)  表面处理；</w:t>
      </w:r>
    </w:p>
    <w:p>
      <w:pPr>
        <w:pStyle w:val="22"/>
        <w:rPr>
          <w:rFonts w:hAnsi="宋体"/>
          <w:szCs w:val="21"/>
        </w:rPr>
      </w:pPr>
      <w:r>
        <w:rPr>
          <w:rFonts w:hint="eastAsia" w:hAnsi="宋体"/>
          <w:szCs w:val="21"/>
        </w:rPr>
        <w:t>i</w:t>
      </w:r>
      <w:r>
        <w:rPr>
          <w:rFonts w:hAnsi="宋体"/>
          <w:szCs w:val="21"/>
        </w:rPr>
        <w:t xml:space="preserve">)  </w:t>
      </w:r>
      <w:r>
        <w:rPr>
          <w:rFonts w:hint="eastAsia" w:hAnsi="宋体"/>
          <w:szCs w:val="21"/>
        </w:rPr>
        <w:t>表面质量；</w:t>
      </w:r>
    </w:p>
    <w:p>
      <w:pPr>
        <w:pStyle w:val="22"/>
        <w:rPr>
          <w:rFonts w:hAnsi="宋体"/>
          <w:szCs w:val="21"/>
        </w:rPr>
      </w:pPr>
      <w:r>
        <w:rPr>
          <w:rFonts w:hint="eastAsia" w:hAnsi="宋体"/>
          <w:szCs w:val="21"/>
        </w:rPr>
        <w:t>j)  重量；</w:t>
      </w:r>
    </w:p>
    <w:p>
      <w:pPr>
        <w:pStyle w:val="22"/>
        <w:rPr>
          <w:rFonts w:hAnsi="宋体"/>
          <w:szCs w:val="21"/>
        </w:rPr>
      </w:pPr>
      <w:r>
        <w:rPr>
          <w:rFonts w:hint="eastAsia" w:hAnsi="宋体"/>
          <w:szCs w:val="21"/>
        </w:rPr>
        <w:t>k)  包装方式；</w:t>
      </w:r>
    </w:p>
    <w:p>
      <w:pPr>
        <w:pStyle w:val="22"/>
        <w:rPr>
          <w:rFonts w:hAnsi="宋体"/>
          <w:szCs w:val="21"/>
        </w:rPr>
      </w:pPr>
      <w:r>
        <w:rPr>
          <w:rFonts w:hint="eastAsia" w:hAnsi="宋体"/>
          <w:szCs w:val="21"/>
        </w:rPr>
        <w:t xml:space="preserve">l)  </w:t>
      </w:r>
      <w:r>
        <w:rPr>
          <w:rFonts w:hAnsi="宋体"/>
          <w:szCs w:val="21"/>
        </w:rPr>
        <w:t>其他特殊要求。</w:t>
      </w:r>
    </w:p>
    <w:p>
      <w:pPr>
        <w:pStyle w:val="40"/>
        <w:spacing w:before="156" w:after="156"/>
        <w:rPr>
          <w:rFonts w:ascii="宋体" w:hAnsi="宋体" w:eastAsia="宋体" w:cs="宋体"/>
        </w:rPr>
      </w:pPr>
      <w:r>
        <w:rPr>
          <w:rFonts w:hint="eastAsia" w:ascii="宋体" w:hAnsi="宋体" w:eastAsia="宋体" w:cs="宋体"/>
        </w:rPr>
        <w:t>如订货合同中未注明，则按普通的尺寸（厚度、宽度）和不平度精度、表面质量级别为FB,表面处理为铬酸钝化（C），钢卷按508mm内径供货，并按供方提供的包装方式包装。</w:t>
      </w:r>
    </w:p>
    <w:p>
      <w:pPr>
        <w:pStyle w:val="43"/>
        <w:spacing w:before="312" w:after="312"/>
      </w:pPr>
      <w:bookmarkStart w:id="19" w:name="_Toc520380395"/>
      <w:bookmarkStart w:id="20" w:name="_Toc10376"/>
      <w:r>
        <w:rPr>
          <w:rFonts w:hint="eastAsia"/>
        </w:rPr>
        <w:t>尺寸、外形、重量</w:t>
      </w:r>
      <w:bookmarkEnd w:id="19"/>
      <w:bookmarkEnd w:id="20"/>
    </w:p>
    <w:p>
      <w:pPr>
        <w:pStyle w:val="40"/>
        <w:spacing w:before="156" w:after="156"/>
      </w:pPr>
      <w:r>
        <w:rPr>
          <w:rFonts w:hint="eastAsia"/>
        </w:rPr>
        <w:t>尺寸</w:t>
      </w:r>
    </w:p>
    <w:p>
      <w:pPr>
        <w:pStyle w:val="44"/>
        <w:spacing w:before="156" w:after="156"/>
        <w:rPr>
          <w:rFonts w:asciiTheme="minorEastAsia" w:hAnsiTheme="minorEastAsia" w:eastAsiaTheme="minorEastAsia"/>
        </w:rPr>
      </w:pPr>
      <w:r>
        <w:rPr>
          <w:rFonts w:hint="eastAsia" w:asciiTheme="minorEastAsia" w:hAnsiTheme="minorEastAsia" w:eastAsiaTheme="minorEastAsia"/>
        </w:rPr>
        <w:t>钢带的公称尺寸范围应符合表3规定。经供需双方协商，也可提供其他尺寸规格的钢带。纵切钢带是指由钢带（母带）经纵切后获得的产品。除非另行说明，钢带包含了纵切钢带。</w:t>
      </w:r>
    </w:p>
    <w:p>
      <w:pPr>
        <w:jc w:val="right"/>
        <w:rPr>
          <w:rFonts w:ascii="黑体" w:eastAsia="黑体"/>
          <w:kern w:val="0"/>
          <w:szCs w:val="20"/>
        </w:rPr>
      </w:pPr>
      <w:r>
        <w:rPr>
          <w:rFonts w:hint="eastAsia" w:ascii="黑体" w:eastAsia="黑体"/>
          <w:kern w:val="0"/>
          <w:szCs w:val="20"/>
        </w:rPr>
        <w:t>表3 钢带的公称尺寸范围                      单位为毫米</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8"/>
        <w:gridCol w:w="4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8" w:type="dxa"/>
            <w:shd w:val="clear" w:color="auto" w:fill="auto"/>
            <w:vAlign w:val="center"/>
          </w:tcPr>
          <w:p>
            <w:pPr>
              <w:jc w:val="center"/>
              <w:rPr>
                <w:sz w:val="18"/>
                <w:szCs w:val="18"/>
                <w:lang w:val="zh-TW" w:eastAsia="zh-TW"/>
              </w:rPr>
            </w:pPr>
            <w:r>
              <w:rPr>
                <w:rFonts w:hint="eastAsia"/>
                <w:sz w:val="18"/>
                <w:szCs w:val="18"/>
                <w:lang w:val="zh-TW" w:eastAsia="zh-TW"/>
              </w:rPr>
              <w:t>项目</w:t>
            </w:r>
          </w:p>
        </w:tc>
        <w:tc>
          <w:tcPr>
            <w:tcW w:w="4326" w:type="dxa"/>
            <w:shd w:val="clear" w:color="auto" w:fill="auto"/>
            <w:vAlign w:val="center"/>
          </w:tcPr>
          <w:p>
            <w:pPr>
              <w:jc w:val="center"/>
              <w:rPr>
                <w:sz w:val="18"/>
                <w:szCs w:val="18"/>
                <w:lang w:val="zh-TW" w:eastAsia="zh-TW"/>
              </w:rPr>
            </w:pPr>
            <w:r>
              <w:rPr>
                <w:rFonts w:hint="eastAsia"/>
                <w:sz w:val="18"/>
                <w:szCs w:val="18"/>
                <w:lang w:val="zh-TW" w:eastAsia="zh-TW"/>
              </w:rPr>
              <w:t>公称尺寸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8" w:type="dxa"/>
            <w:shd w:val="clear" w:color="auto" w:fill="auto"/>
            <w:vAlign w:val="center"/>
          </w:tcPr>
          <w:p>
            <w:pPr>
              <w:jc w:val="center"/>
              <w:rPr>
                <w:sz w:val="18"/>
                <w:szCs w:val="18"/>
                <w:lang w:val="zh-TW" w:eastAsia="zh-TW"/>
              </w:rPr>
            </w:pPr>
            <w:r>
              <w:rPr>
                <w:rFonts w:hint="eastAsia"/>
                <w:sz w:val="18"/>
                <w:szCs w:val="18"/>
                <w:lang w:val="zh-TW" w:eastAsia="zh-TW"/>
              </w:rPr>
              <w:t>公称宽度（不切边）</w:t>
            </w:r>
          </w:p>
        </w:tc>
        <w:tc>
          <w:tcPr>
            <w:tcW w:w="4326" w:type="dxa"/>
            <w:shd w:val="clear" w:color="auto" w:fill="auto"/>
            <w:vAlign w:val="center"/>
          </w:tcPr>
          <w:p>
            <w:pPr>
              <w:jc w:val="center"/>
              <w:rPr>
                <w:rFonts w:eastAsia="PMingLiU"/>
                <w:sz w:val="18"/>
                <w:szCs w:val="18"/>
                <w:lang w:val="zh-TW" w:eastAsia="zh-TW"/>
              </w:rPr>
            </w:pPr>
            <w:r>
              <w:rPr>
                <w:rFonts w:hint="eastAsia" w:asciiTheme="minorEastAsia" w:hAnsiTheme="minorEastAsia" w:eastAsiaTheme="minorEastAsia"/>
                <w:sz w:val="18"/>
                <w:szCs w:val="18"/>
                <w:lang w:val="zh-TW" w:eastAsia="zh-TW"/>
              </w:rPr>
              <w:t>375-520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8" w:type="dxa"/>
            <w:shd w:val="clear" w:color="auto" w:fill="auto"/>
            <w:vAlign w:val="center"/>
          </w:tcPr>
          <w:p>
            <w:pPr>
              <w:jc w:val="center"/>
              <w:rPr>
                <w:sz w:val="18"/>
                <w:szCs w:val="18"/>
                <w:lang w:val="zh-TW" w:eastAsia="zh-TW"/>
              </w:rPr>
            </w:pPr>
            <w:r>
              <w:rPr>
                <w:rFonts w:hint="eastAsia"/>
                <w:sz w:val="18"/>
                <w:szCs w:val="18"/>
                <w:lang w:val="zh-TW" w:eastAsia="zh-TW"/>
              </w:rPr>
              <w:t>公称宽度（切边）</w:t>
            </w:r>
          </w:p>
        </w:tc>
        <w:tc>
          <w:tcPr>
            <w:tcW w:w="4326" w:type="dxa"/>
            <w:shd w:val="clear" w:color="auto" w:fill="auto"/>
            <w:vAlign w:val="center"/>
          </w:tcPr>
          <w:p>
            <w:pPr>
              <w:jc w:val="center"/>
              <w:rPr>
                <w:rFonts w:asciiTheme="minorEastAsia" w:hAnsiTheme="minorEastAsia" w:eastAsiaTheme="minorEastAsia"/>
                <w:sz w:val="18"/>
                <w:szCs w:val="18"/>
                <w:lang w:val="zh-TW" w:eastAsia="zh-TW"/>
              </w:rPr>
            </w:pPr>
            <w:r>
              <w:rPr>
                <w:rFonts w:hint="eastAsia" w:asciiTheme="minorEastAsia" w:hAnsiTheme="minorEastAsia" w:eastAsiaTheme="minorEastAsia"/>
                <w:sz w:val="18"/>
                <w:szCs w:val="18"/>
                <w:lang w:val="zh-TW" w:eastAsia="zh-TW"/>
              </w:rPr>
              <w:t>20-520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88" w:type="dxa"/>
            <w:shd w:val="clear" w:color="auto" w:fill="auto"/>
            <w:vAlign w:val="center"/>
          </w:tcPr>
          <w:p>
            <w:pPr>
              <w:jc w:val="center"/>
              <w:rPr>
                <w:sz w:val="18"/>
                <w:szCs w:val="18"/>
                <w:lang w:val="zh-TW" w:eastAsia="zh-TW"/>
              </w:rPr>
            </w:pPr>
            <w:r>
              <w:rPr>
                <w:rFonts w:hint="eastAsia"/>
                <w:sz w:val="18"/>
                <w:szCs w:val="18"/>
                <w:lang w:val="zh-TW" w:eastAsia="zh-TW"/>
              </w:rPr>
              <w:t>公称长度</w:t>
            </w:r>
          </w:p>
        </w:tc>
        <w:tc>
          <w:tcPr>
            <w:tcW w:w="4326" w:type="dxa"/>
            <w:shd w:val="clear" w:color="auto" w:fill="auto"/>
            <w:vAlign w:val="center"/>
          </w:tcPr>
          <w:p>
            <w:pPr>
              <w:jc w:val="center"/>
              <w:rPr>
                <w:rFonts w:asciiTheme="minorEastAsia" w:hAnsiTheme="minorEastAsia" w:eastAsiaTheme="minorEastAsia"/>
                <w:sz w:val="18"/>
                <w:szCs w:val="18"/>
                <w:lang w:val="zh-TW" w:eastAsia="zh-TW"/>
              </w:rPr>
            </w:pPr>
            <w:r>
              <w:rPr>
                <w:rFonts w:hint="eastAsia" w:asciiTheme="minorEastAsia" w:hAnsiTheme="minorEastAsia" w:eastAsiaTheme="minorEastAsia"/>
                <w:sz w:val="18"/>
                <w:szCs w:val="18"/>
                <w:lang w:val="zh-TW" w:eastAsia="zh-TW"/>
              </w:rPr>
              <w:t>400-4000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8" w:type="dxa"/>
            <w:shd w:val="clear" w:color="auto" w:fill="auto"/>
            <w:vAlign w:val="center"/>
          </w:tcPr>
          <w:p>
            <w:pPr>
              <w:jc w:val="center"/>
              <w:rPr>
                <w:sz w:val="18"/>
                <w:szCs w:val="18"/>
                <w:lang w:val="zh-TW" w:eastAsia="zh-TW"/>
              </w:rPr>
            </w:pPr>
            <w:r>
              <w:rPr>
                <w:rFonts w:hint="eastAsia"/>
                <w:sz w:val="18"/>
                <w:szCs w:val="18"/>
                <w:lang w:val="zh-TW" w:eastAsia="zh-TW"/>
              </w:rPr>
              <w:t>公称内径</w:t>
            </w:r>
            <w:r>
              <w:rPr>
                <w:rFonts w:hint="eastAsia"/>
                <w:sz w:val="18"/>
                <w:szCs w:val="18"/>
                <w:vertAlign w:val="superscript"/>
                <w:lang w:val="zh-TW" w:eastAsia="zh-TW"/>
              </w:rPr>
              <w:t>a</w:t>
            </w:r>
          </w:p>
        </w:tc>
        <w:tc>
          <w:tcPr>
            <w:tcW w:w="4326" w:type="dxa"/>
            <w:shd w:val="clear" w:color="auto" w:fill="auto"/>
            <w:vAlign w:val="center"/>
          </w:tcPr>
          <w:p>
            <w:pPr>
              <w:jc w:val="center"/>
              <w:rPr>
                <w:rFonts w:asciiTheme="minorEastAsia" w:hAnsiTheme="minorEastAsia" w:eastAsiaTheme="minorEastAsia"/>
                <w:sz w:val="18"/>
                <w:szCs w:val="18"/>
                <w:lang w:val="zh-TW" w:eastAsia="zh-TW"/>
              </w:rPr>
            </w:pPr>
            <w:r>
              <w:rPr>
                <w:rFonts w:hint="eastAsia" w:asciiTheme="minorEastAsia" w:hAnsiTheme="minorEastAsia" w:eastAsiaTheme="minorEastAsia"/>
                <w:sz w:val="18"/>
                <w:szCs w:val="18"/>
                <w:lang w:val="zh-TW" w:eastAsia="zh-TW"/>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shd w:val="clear" w:color="auto" w:fill="auto"/>
            <w:vAlign w:val="center"/>
          </w:tcPr>
          <w:p>
            <w:pPr>
              <w:jc w:val="left"/>
              <w:rPr>
                <w:sz w:val="18"/>
                <w:szCs w:val="18"/>
                <w:lang w:val="zh-TW" w:eastAsia="zh-TW"/>
              </w:rPr>
            </w:pPr>
            <w:r>
              <w:rPr>
                <w:rFonts w:hint="eastAsia"/>
                <w:sz w:val="18"/>
                <w:szCs w:val="18"/>
                <w:vertAlign w:val="superscript"/>
                <w:lang w:val="zh-TW" w:eastAsia="zh-TW"/>
              </w:rPr>
              <w:t>a</w:t>
            </w:r>
            <w:r>
              <w:rPr>
                <w:rFonts w:hint="eastAsia"/>
                <w:sz w:val="18"/>
                <w:szCs w:val="18"/>
                <w:lang w:val="zh-TW" w:eastAsia="zh-TW"/>
              </w:rPr>
              <w:t>如用户对钢卷内径公差有要求，应由供需双方协商确定。如未规定，由供方确定。</w:t>
            </w:r>
          </w:p>
        </w:tc>
      </w:tr>
    </w:tbl>
    <w:p>
      <w:pPr>
        <w:pStyle w:val="40"/>
        <w:spacing w:before="156" w:after="156"/>
        <w:rPr>
          <w:rFonts w:asciiTheme="minorEastAsia" w:hAnsiTheme="minorEastAsia" w:eastAsiaTheme="minorEastAsia"/>
        </w:rPr>
      </w:pPr>
      <w:r>
        <w:rPr>
          <w:rFonts w:hint="eastAsia" w:asciiTheme="minorEastAsia" w:hAnsiTheme="minorEastAsia" w:eastAsiaTheme="minorEastAsia"/>
        </w:rPr>
        <w:t>钢带的公称厚度包含基板厚度和镀层厚度之和。</w:t>
      </w:r>
    </w:p>
    <w:p>
      <w:pPr>
        <w:pStyle w:val="40"/>
        <w:spacing w:before="156" w:after="156"/>
      </w:pPr>
      <w:r>
        <w:rPr>
          <w:rFonts w:hint="eastAsia"/>
        </w:rPr>
        <w:t>尺寸、外形及允许偏差</w:t>
      </w:r>
    </w:p>
    <w:p>
      <w:pPr>
        <w:pStyle w:val="44"/>
        <w:spacing w:before="156" w:after="156"/>
        <w:rPr>
          <w:rFonts w:asciiTheme="minorEastAsia" w:hAnsiTheme="minorEastAsia" w:eastAsiaTheme="minorEastAsia"/>
        </w:rPr>
      </w:pPr>
      <w:r>
        <w:rPr>
          <w:rFonts w:hint="eastAsia" w:asciiTheme="minorEastAsia" w:hAnsiTheme="minorEastAsia" w:eastAsiaTheme="minorEastAsia"/>
        </w:rPr>
        <w:t>切边钢带的宽度允许偏差为0mm~1mm，不切边钢带的宽度允许偏差应符合表4规定。</w:t>
      </w:r>
    </w:p>
    <w:p>
      <w:pPr>
        <w:tabs>
          <w:tab w:val="center" w:pos="4887"/>
          <w:tab w:val="left" w:pos="7305"/>
        </w:tabs>
        <w:ind w:firstLine="420" w:firstLineChars="200"/>
        <w:jc w:val="right"/>
      </w:pPr>
      <w:r>
        <w:tab/>
      </w:r>
      <w:r>
        <w:rPr>
          <w:rFonts w:hint="eastAsia" w:ascii="黑体" w:eastAsia="黑体"/>
          <w:kern w:val="0"/>
          <w:szCs w:val="20"/>
        </w:rPr>
        <w:t>表4 不切边钢带的宽度允许偏差</w:t>
      </w:r>
      <w:r>
        <w:rPr>
          <w:rFonts w:hint="eastAsia" w:ascii="黑体" w:eastAsia="黑体"/>
          <w:kern w:val="0"/>
          <w:szCs w:val="20"/>
        </w:rPr>
        <w:tab/>
      </w:r>
      <w:r>
        <w:rPr>
          <w:rFonts w:hint="eastAsia" w:ascii="黑体" w:eastAsia="黑体"/>
          <w:kern w:val="0"/>
          <w:szCs w:val="20"/>
        </w:rPr>
        <w:t>单位为毫米</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3"/>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499" w:type="pct"/>
            <w:shd w:val="clear" w:color="auto" w:fill="auto"/>
            <w:vAlign w:val="center"/>
          </w:tcPr>
          <w:p>
            <w:pPr>
              <w:jc w:val="center"/>
              <w:rPr>
                <w:sz w:val="18"/>
                <w:szCs w:val="18"/>
                <w:lang w:val="zh-TW" w:eastAsia="zh-TW"/>
              </w:rPr>
            </w:pPr>
            <w:r>
              <w:rPr>
                <w:rFonts w:hint="eastAsia"/>
                <w:sz w:val="18"/>
                <w:szCs w:val="18"/>
                <w:lang w:val="zh-TW" w:eastAsia="zh-TW"/>
              </w:rPr>
              <w:t>公称宽度</w:t>
            </w:r>
          </w:p>
        </w:tc>
        <w:tc>
          <w:tcPr>
            <w:tcW w:w="2500" w:type="pct"/>
            <w:shd w:val="clear" w:color="auto" w:fill="auto"/>
            <w:vAlign w:val="center"/>
          </w:tcPr>
          <w:p>
            <w:pPr>
              <w:jc w:val="center"/>
              <w:rPr>
                <w:sz w:val="18"/>
                <w:szCs w:val="18"/>
                <w:lang w:val="zh-TW" w:eastAsia="zh-TW"/>
              </w:rPr>
            </w:pPr>
            <w:r>
              <w:rPr>
                <w:rFonts w:hint="eastAsia"/>
                <w:sz w:val="18"/>
                <w:szCs w:val="18"/>
                <w:lang w:val="zh-TW" w:eastAsia="zh-TW"/>
              </w:rPr>
              <w:t>不切边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vAlign w:val="center"/>
          </w:tcPr>
          <w:p>
            <w:pPr>
              <w:jc w:val="center"/>
              <w:rPr>
                <w:sz w:val="18"/>
                <w:szCs w:val="18"/>
                <w:lang w:val="zh-TW" w:eastAsia="zh-TW"/>
              </w:rPr>
            </w:pPr>
            <w:r>
              <w:rPr>
                <w:rFonts w:hint="eastAsia"/>
                <w:sz w:val="18"/>
                <w:szCs w:val="18"/>
                <w:lang w:val="zh-TW" w:eastAsia="zh-TW"/>
              </w:rPr>
              <w:t>375-450</w:t>
            </w:r>
          </w:p>
        </w:tc>
        <w:tc>
          <w:tcPr>
            <w:tcW w:w="2500" w:type="pct"/>
            <w:shd w:val="clear" w:color="auto" w:fill="auto"/>
            <w:vAlign w:val="center"/>
          </w:tcPr>
          <w:p>
            <w:pPr>
              <w:jc w:val="center"/>
              <w:rPr>
                <w:sz w:val="18"/>
                <w:szCs w:val="18"/>
                <w:lang w:val="zh-TW"/>
              </w:rPr>
            </w:pPr>
            <w:r>
              <w:rPr>
                <w:rFonts w:hint="eastAsia"/>
                <w:sz w:val="18"/>
                <w:szCs w:val="18"/>
                <w:lang w:val="zh-TW" w:eastAsia="zh-TW"/>
              </w:rPr>
              <w:t>+</w:t>
            </w:r>
            <w:r>
              <w:rPr>
                <w:rFonts w:hint="eastAsia"/>
                <w:sz w:val="18"/>
                <w:szCs w:val="18"/>
              </w:rPr>
              <w:t>4</w:t>
            </w:r>
          </w:p>
          <w:p>
            <w:pPr>
              <w:jc w:val="center"/>
              <w:rPr>
                <w:sz w:val="18"/>
                <w:szCs w:val="18"/>
                <w:lang w:val="zh-TW" w:eastAsia="zh-TW"/>
              </w:rPr>
            </w:pPr>
            <w:r>
              <w:rPr>
                <w:rFonts w:hint="eastAsia"/>
                <w:sz w:val="18"/>
                <w:szCs w:val="18"/>
                <w:lang w:val="zh-TW" w:eastAsia="zh-T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vAlign w:val="center"/>
          </w:tcPr>
          <w:p>
            <w:pPr>
              <w:jc w:val="center"/>
              <w:rPr>
                <w:sz w:val="18"/>
                <w:szCs w:val="18"/>
                <w:lang w:val="zh-TW" w:eastAsia="zh-TW"/>
              </w:rPr>
            </w:pPr>
            <w:r>
              <w:rPr>
                <w:rFonts w:hint="eastAsia"/>
                <w:sz w:val="18"/>
                <w:szCs w:val="18"/>
                <w:lang w:val="zh-TW" w:eastAsia="zh-TW"/>
              </w:rPr>
              <w:t>450-520</w:t>
            </w:r>
          </w:p>
        </w:tc>
        <w:tc>
          <w:tcPr>
            <w:tcW w:w="2500" w:type="pct"/>
            <w:shd w:val="clear" w:color="auto" w:fill="auto"/>
            <w:vAlign w:val="center"/>
          </w:tcPr>
          <w:p>
            <w:pPr>
              <w:jc w:val="center"/>
              <w:rPr>
                <w:sz w:val="18"/>
                <w:szCs w:val="18"/>
              </w:rPr>
            </w:pPr>
            <w:r>
              <w:rPr>
                <w:rFonts w:hint="eastAsia"/>
                <w:sz w:val="18"/>
                <w:szCs w:val="18"/>
                <w:lang w:val="zh-TW" w:eastAsia="zh-TW"/>
              </w:rPr>
              <w:t>+</w:t>
            </w:r>
            <w:r>
              <w:rPr>
                <w:rFonts w:hint="eastAsia"/>
                <w:sz w:val="18"/>
                <w:szCs w:val="18"/>
              </w:rPr>
              <w:t>5</w:t>
            </w:r>
          </w:p>
          <w:p>
            <w:pPr>
              <w:jc w:val="center"/>
              <w:rPr>
                <w:sz w:val="18"/>
                <w:szCs w:val="18"/>
                <w:lang w:val="zh-TW" w:eastAsia="zh-TW"/>
              </w:rPr>
            </w:pPr>
            <w:r>
              <w:rPr>
                <w:rFonts w:hint="eastAsia"/>
                <w:sz w:val="18"/>
                <w:szCs w:val="18"/>
                <w:lang w:val="zh-TW" w:eastAsia="zh-TW"/>
              </w:rPr>
              <w:t>0</w:t>
            </w:r>
          </w:p>
        </w:tc>
      </w:tr>
    </w:tbl>
    <w:p>
      <w:pPr>
        <w:pStyle w:val="44"/>
        <w:spacing w:before="156" w:after="156"/>
        <w:rPr>
          <w:rFonts w:asciiTheme="minorEastAsia" w:hAnsiTheme="minorEastAsia" w:eastAsiaTheme="minorEastAsia"/>
        </w:rPr>
      </w:pPr>
      <w:r>
        <w:rPr>
          <w:rFonts w:hint="eastAsia" w:asciiTheme="minorEastAsia" w:hAnsiTheme="minorEastAsia" w:eastAsiaTheme="minorEastAsia"/>
        </w:rPr>
        <w:t>其他尺寸及外形偏差应符合GB/T 25</w:t>
      </w:r>
      <w:r>
        <w:rPr>
          <w:rFonts w:asciiTheme="minorEastAsia" w:hAnsiTheme="minorEastAsia" w:eastAsiaTheme="minorEastAsia"/>
        </w:rPr>
        <w:t>052</w:t>
      </w:r>
      <w:r>
        <w:rPr>
          <w:rFonts w:hint="eastAsia" w:asciiTheme="minorEastAsia" w:hAnsiTheme="minorEastAsia" w:eastAsiaTheme="minorEastAsia"/>
        </w:rPr>
        <w:t>的规定，</w:t>
      </w:r>
      <w:r>
        <w:rPr>
          <w:rFonts w:asciiTheme="minorEastAsia" w:hAnsiTheme="minorEastAsia" w:eastAsiaTheme="minorEastAsia"/>
        </w:rPr>
        <w:t>如用户有特殊要求由供需双方协商确定。</w:t>
      </w:r>
    </w:p>
    <w:p>
      <w:pPr>
        <w:pStyle w:val="40"/>
        <w:spacing w:before="156" w:after="156"/>
      </w:pPr>
      <w:r>
        <w:rPr>
          <w:rFonts w:hint="eastAsia"/>
        </w:rPr>
        <w:t>重量及允许偏差</w:t>
      </w:r>
    </w:p>
    <w:p>
      <w:pPr>
        <w:pStyle w:val="61"/>
        <w:numPr>
          <w:ilvl w:val="2"/>
          <w:numId w:val="0"/>
        </w:numPr>
        <w:spacing w:before="0" w:after="0"/>
        <w:ind w:firstLine="420" w:firstLineChars="200"/>
        <w:rPr>
          <w:rFonts w:hAnsi="宋体"/>
        </w:rPr>
      </w:pPr>
      <w:r>
        <w:rPr>
          <w:rFonts w:hint="eastAsia" w:hAnsi="宋体"/>
        </w:rPr>
        <w:t>钢带通常按实际重量交货。</w:t>
      </w:r>
    </w:p>
    <w:p>
      <w:pPr>
        <w:pStyle w:val="43"/>
        <w:spacing w:before="312" w:after="312"/>
      </w:pPr>
      <w:bookmarkStart w:id="21" w:name="_Toc520380396"/>
      <w:bookmarkStart w:id="22" w:name="_Toc27601"/>
      <w:r>
        <w:rPr>
          <w:rFonts w:hint="eastAsia"/>
        </w:rPr>
        <w:t>技术要求</w:t>
      </w:r>
      <w:bookmarkEnd w:id="21"/>
      <w:bookmarkEnd w:id="22"/>
    </w:p>
    <w:p>
      <w:pPr>
        <w:pStyle w:val="40"/>
        <w:spacing w:before="156" w:after="156"/>
      </w:pPr>
      <w:r>
        <w:rPr>
          <w:rFonts w:hint="eastAsia"/>
        </w:rPr>
        <w:t>化学成分</w:t>
      </w:r>
    </w:p>
    <w:p>
      <w:pPr>
        <w:pStyle w:val="61"/>
        <w:numPr>
          <w:ilvl w:val="2"/>
          <w:numId w:val="0"/>
        </w:numPr>
        <w:spacing w:before="0" w:after="0"/>
        <w:ind w:firstLine="420" w:firstLineChars="200"/>
        <w:rPr>
          <w:rFonts w:hAnsi="宋体"/>
        </w:rPr>
      </w:pPr>
      <w:r>
        <w:rPr>
          <w:rFonts w:hAnsi="宋体"/>
        </w:rPr>
        <w:t>钢的化学成分（熔炼分析）</w:t>
      </w:r>
      <w:r>
        <w:rPr>
          <w:rFonts w:hint="eastAsia" w:hAnsi="宋体"/>
        </w:rPr>
        <w:t xml:space="preserve">应符合表5的规定。 </w:t>
      </w:r>
      <w:r>
        <w:rPr>
          <w:rFonts w:hAnsi="宋体"/>
        </w:rPr>
        <w:t>如需方对化学成分有要求，应在订货时协商。</w:t>
      </w:r>
    </w:p>
    <w:p>
      <w:pPr>
        <w:pStyle w:val="61"/>
        <w:numPr>
          <w:ilvl w:val="2"/>
          <w:numId w:val="0"/>
        </w:numPr>
        <w:spacing w:before="0" w:after="0"/>
        <w:ind w:firstLine="420" w:firstLineChars="200"/>
        <w:jc w:val="center"/>
        <w:rPr>
          <w:rFonts w:hAnsi="宋体"/>
        </w:rPr>
      </w:pPr>
      <w:r>
        <w:rPr>
          <w:rFonts w:hint="eastAsia" w:ascii="黑体" w:eastAsia="黑体"/>
          <w:szCs w:val="20"/>
        </w:rPr>
        <w:t>表5 钢的化学成分（熔炼分析）</w:t>
      </w:r>
      <w:r>
        <w:rPr>
          <w:rFonts w:hint="eastAsia" w:ascii="黑体" w:eastAsia="黑体"/>
          <w:szCs w:val="20"/>
        </w:rPr>
        <w:tab/>
      </w:r>
    </w:p>
    <w:tbl>
      <w:tblPr>
        <w:tblStyle w:val="31"/>
        <w:tblW w:w="0" w:type="auto"/>
        <w:jc w:val="center"/>
        <w:tblLayout w:type="fixed"/>
        <w:tblCellMar>
          <w:top w:w="0" w:type="dxa"/>
          <w:left w:w="10" w:type="dxa"/>
          <w:bottom w:w="0" w:type="dxa"/>
          <w:right w:w="10" w:type="dxa"/>
        </w:tblCellMar>
      </w:tblPr>
      <w:tblGrid>
        <w:gridCol w:w="1819"/>
        <w:gridCol w:w="1512"/>
        <w:gridCol w:w="1517"/>
        <w:gridCol w:w="1522"/>
        <w:gridCol w:w="1512"/>
        <w:gridCol w:w="1555"/>
      </w:tblGrid>
      <w:tr>
        <w:tblPrEx>
          <w:tblCellMar>
            <w:top w:w="0" w:type="dxa"/>
            <w:left w:w="10" w:type="dxa"/>
            <w:bottom w:w="0" w:type="dxa"/>
            <w:right w:w="10" w:type="dxa"/>
          </w:tblCellMar>
        </w:tblPrEx>
        <w:trPr>
          <w:trHeight w:val="384" w:hRule="exact"/>
          <w:jc w:val="center"/>
        </w:trPr>
        <w:tc>
          <w:tcPr>
            <w:tcW w:w="1819" w:type="dxa"/>
            <w:vMerge w:val="restart"/>
            <w:tcBorders>
              <w:top w:val="single" w:color="auto" w:sz="4" w:space="0"/>
              <w:left w:val="single" w:color="auto" w:sz="4" w:space="0"/>
            </w:tcBorders>
            <w:shd w:val="clear" w:color="auto" w:fill="FFFFFF"/>
            <w:vAlign w:val="center"/>
          </w:tcPr>
          <w:p>
            <w:pPr>
              <w:pStyle w:val="144"/>
              <w:spacing w:line="240" w:lineRule="auto"/>
              <w:ind w:firstLine="0"/>
              <w:jc w:val="center"/>
              <w:rPr>
                <w:sz w:val="18"/>
                <w:szCs w:val="18"/>
              </w:rPr>
            </w:pPr>
            <w:r>
              <w:rPr>
                <w:color w:val="000000"/>
                <w:sz w:val="18"/>
                <w:szCs w:val="18"/>
                <w:lang w:val="zh-TW" w:eastAsia="zh-TW" w:bidi="zh-TW"/>
              </w:rPr>
              <w:t>牌号</w:t>
            </w:r>
          </w:p>
        </w:tc>
        <w:tc>
          <w:tcPr>
            <w:tcW w:w="7618" w:type="dxa"/>
            <w:gridSpan w:val="5"/>
            <w:tcBorders>
              <w:top w:val="single" w:color="auto" w:sz="4" w:space="0"/>
              <w:left w:val="single" w:color="auto" w:sz="4" w:space="0"/>
              <w:right w:val="single" w:color="auto" w:sz="4" w:space="0"/>
            </w:tcBorders>
            <w:shd w:val="clear" w:color="auto" w:fill="FFFFFF"/>
            <w:vAlign w:val="bottom"/>
          </w:tcPr>
          <w:p>
            <w:pPr>
              <w:pStyle w:val="144"/>
              <w:spacing w:line="240" w:lineRule="auto"/>
              <w:ind w:firstLine="0"/>
              <w:jc w:val="center"/>
              <w:rPr>
                <w:sz w:val="18"/>
                <w:szCs w:val="18"/>
              </w:rPr>
            </w:pPr>
            <w:r>
              <w:rPr>
                <w:color w:val="000000"/>
                <w:sz w:val="18"/>
                <w:szCs w:val="18"/>
                <w:lang w:val="zh-TW" w:eastAsia="zh-TW" w:bidi="zh-TW"/>
              </w:rPr>
              <w:t>化学成分（质量分数）</w:t>
            </w:r>
            <w:r>
              <w:rPr>
                <w:color w:val="1F1F1F"/>
                <w:sz w:val="18"/>
                <w:szCs w:val="18"/>
                <w:lang w:val="zh-TW" w:eastAsia="zh-TW" w:bidi="zh-TW"/>
              </w:rPr>
              <w:t>/%</w:t>
            </w:r>
          </w:p>
        </w:tc>
      </w:tr>
      <w:tr>
        <w:tblPrEx>
          <w:tblCellMar>
            <w:top w:w="0" w:type="dxa"/>
            <w:left w:w="10" w:type="dxa"/>
            <w:bottom w:w="0" w:type="dxa"/>
            <w:right w:w="10" w:type="dxa"/>
          </w:tblCellMar>
        </w:tblPrEx>
        <w:trPr>
          <w:trHeight w:val="365" w:hRule="exact"/>
          <w:jc w:val="center"/>
        </w:trPr>
        <w:tc>
          <w:tcPr>
            <w:tcW w:w="1819" w:type="dxa"/>
            <w:vMerge w:val="continue"/>
            <w:tcBorders>
              <w:left w:val="single" w:color="auto" w:sz="4" w:space="0"/>
            </w:tcBorders>
            <w:shd w:val="clear" w:color="auto" w:fill="FFFFFF"/>
            <w:vAlign w:val="center"/>
          </w:tcPr>
          <w:p/>
        </w:tc>
        <w:tc>
          <w:tcPr>
            <w:tcW w:w="1512" w:type="dxa"/>
            <w:tcBorders>
              <w:top w:val="single" w:color="auto" w:sz="4" w:space="0"/>
              <w:left w:val="single" w:color="auto" w:sz="4" w:space="0"/>
            </w:tcBorders>
            <w:shd w:val="clear" w:color="auto" w:fill="FFFFFF"/>
            <w:vAlign w:val="center"/>
          </w:tcPr>
          <w:p>
            <w:pPr>
              <w:pStyle w:val="144"/>
              <w:spacing w:line="240" w:lineRule="auto"/>
              <w:ind w:firstLine="0"/>
              <w:jc w:val="center"/>
              <w:rPr>
                <w:sz w:val="17"/>
                <w:szCs w:val="17"/>
              </w:rPr>
            </w:pPr>
            <w:r>
              <w:rPr>
                <w:rFonts w:ascii="Times New Roman" w:hAnsi="Times New Roman" w:eastAsia="Times New Roman" w:cs="Times New Roman"/>
                <w:color w:val="000000"/>
                <w:sz w:val="17"/>
                <w:szCs w:val="17"/>
                <w:lang w:eastAsia="en-US" w:bidi="en-US"/>
              </w:rPr>
              <w:t>C</w:t>
            </w:r>
          </w:p>
        </w:tc>
        <w:tc>
          <w:tcPr>
            <w:tcW w:w="1517" w:type="dxa"/>
            <w:tcBorders>
              <w:top w:val="single" w:color="auto" w:sz="4" w:space="0"/>
              <w:left w:val="single" w:color="auto" w:sz="4" w:space="0"/>
            </w:tcBorders>
            <w:shd w:val="clear" w:color="auto" w:fill="FFFFFF"/>
            <w:vAlign w:val="center"/>
          </w:tcPr>
          <w:p>
            <w:pPr>
              <w:pStyle w:val="144"/>
              <w:spacing w:line="240" w:lineRule="auto"/>
              <w:ind w:firstLine="0"/>
              <w:jc w:val="center"/>
              <w:rPr>
                <w:sz w:val="17"/>
                <w:szCs w:val="17"/>
              </w:rPr>
            </w:pPr>
            <w:r>
              <w:rPr>
                <w:rFonts w:ascii="Times New Roman" w:hAnsi="Times New Roman" w:eastAsia="Times New Roman" w:cs="Times New Roman"/>
                <w:color w:val="000000"/>
                <w:sz w:val="17"/>
                <w:szCs w:val="17"/>
                <w:lang w:eastAsia="en-US" w:bidi="en-US"/>
              </w:rPr>
              <w:t>Si</w:t>
            </w:r>
          </w:p>
        </w:tc>
        <w:tc>
          <w:tcPr>
            <w:tcW w:w="1522" w:type="dxa"/>
            <w:tcBorders>
              <w:top w:val="single" w:color="auto" w:sz="4" w:space="0"/>
              <w:left w:val="single" w:color="auto" w:sz="4" w:space="0"/>
            </w:tcBorders>
            <w:shd w:val="clear" w:color="auto" w:fill="FFFFFF"/>
            <w:vAlign w:val="center"/>
          </w:tcPr>
          <w:p>
            <w:pPr>
              <w:pStyle w:val="144"/>
              <w:spacing w:line="240" w:lineRule="auto"/>
              <w:ind w:firstLine="0"/>
              <w:jc w:val="center"/>
              <w:rPr>
                <w:sz w:val="17"/>
                <w:szCs w:val="17"/>
              </w:rPr>
            </w:pPr>
            <w:r>
              <w:rPr>
                <w:rFonts w:ascii="Times New Roman" w:hAnsi="Times New Roman" w:eastAsia="Times New Roman" w:cs="Times New Roman"/>
                <w:color w:val="000000"/>
                <w:sz w:val="17"/>
                <w:szCs w:val="17"/>
                <w:lang w:eastAsia="en-US" w:bidi="en-US"/>
              </w:rPr>
              <w:t>Mn</w:t>
            </w:r>
          </w:p>
        </w:tc>
        <w:tc>
          <w:tcPr>
            <w:tcW w:w="1512" w:type="dxa"/>
            <w:tcBorders>
              <w:top w:val="single" w:color="auto" w:sz="4" w:space="0"/>
              <w:left w:val="single" w:color="auto" w:sz="4" w:space="0"/>
            </w:tcBorders>
            <w:shd w:val="clear" w:color="auto" w:fill="FFFFFF"/>
            <w:vAlign w:val="center"/>
          </w:tcPr>
          <w:p>
            <w:pPr>
              <w:pStyle w:val="144"/>
              <w:spacing w:line="240" w:lineRule="auto"/>
              <w:ind w:firstLine="0"/>
              <w:jc w:val="center"/>
              <w:rPr>
                <w:sz w:val="17"/>
                <w:szCs w:val="17"/>
              </w:rPr>
            </w:pPr>
            <w:r>
              <w:rPr>
                <w:rFonts w:ascii="Times New Roman" w:hAnsi="Times New Roman" w:eastAsia="Times New Roman" w:cs="Times New Roman"/>
                <w:color w:val="000000"/>
                <w:sz w:val="17"/>
                <w:szCs w:val="17"/>
                <w:lang w:eastAsia="en-US" w:bidi="en-US"/>
              </w:rPr>
              <w:t>P</w:t>
            </w:r>
          </w:p>
        </w:tc>
        <w:tc>
          <w:tcPr>
            <w:tcW w:w="1555" w:type="dxa"/>
            <w:tcBorders>
              <w:top w:val="single" w:color="auto" w:sz="4" w:space="0"/>
              <w:left w:val="single" w:color="auto" w:sz="4" w:space="0"/>
              <w:right w:val="single" w:color="auto" w:sz="4" w:space="0"/>
            </w:tcBorders>
            <w:shd w:val="clear" w:color="auto" w:fill="FFFFFF"/>
            <w:vAlign w:val="center"/>
          </w:tcPr>
          <w:p>
            <w:pPr>
              <w:pStyle w:val="144"/>
              <w:spacing w:line="240" w:lineRule="auto"/>
              <w:ind w:firstLine="0"/>
              <w:jc w:val="center"/>
              <w:rPr>
                <w:sz w:val="26"/>
                <w:szCs w:val="26"/>
              </w:rPr>
            </w:pPr>
            <w:r>
              <w:rPr>
                <w:rFonts w:ascii="Times New Roman" w:hAnsi="Times New Roman" w:eastAsia="Times New Roman" w:cs="Times New Roman"/>
                <w:color w:val="000000"/>
                <w:sz w:val="26"/>
                <w:szCs w:val="26"/>
                <w:lang w:eastAsia="en-US" w:bidi="en-US"/>
              </w:rPr>
              <w:t>s</w:t>
            </w:r>
          </w:p>
        </w:tc>
      </w:tr>
      <w:tr>
        <w:tblPrEx>
          <w:tblCellMar>
            <w:top w:w="0" w:type="dxa"/>
            <w:left w:w="10" w:type="dxa"/>
            <w:bottom w:w="0" w:type="dxa"/>
            <w:right w:w="10" w:type="dxa"/>
          </w:tblCellMar>
        </w:tblPrEx>
        <w:trPr>
          <w:trHeight w:val="365" w:hRule="exact"/>
          <w:jc w:val="center"/>
        </w:trPr>
        <w:tc>
          <w:tcPr>
            <w:tcW w:w="1819" w:type="dxa"/>
            <w:vMerge w:val="continue"/>
            <w:tcBorders>
              <w:left w:val="single" w:color="auto" w:sz="4" w:space="0"/>
            </w:tcBorders>
            <w:shd w:val="clear" w:color="auto" w:fill="FFFFFF"/>
            <w:vAlign w:val="center"/>
          </w:tcPr>
          <w:p/>
        </w:tc>
        <w:tc>
          <w:tcPr>
            <w:tcW w:w="7618" w:type="dxa"/>
            <w:gridSpan w:val="5"/>
            <w:tcBorders>
              <w:top w:val="single" w:color="auto" w:sz="4" w:space="0"/>
              <w:left w:val="single" w:color="auto" w:sz="4" w:space="0"/>
              <w:right w:val="single" w:color="auto" w:sz="4" w:space="0"/>
            </w:tcBorders>
            <w:shd w:val="clear" w:color="auto" w:fill="FFFFFF"/>
            <w:vAlign w:val="bottom"/>
          </w:tcPr>
          <w:p>
            <w:pPr>
              <w:pStyle w:val="144"/>
              <w:spacing w:line="240" w:lineRule="auto"/>
              <w:ind w:firstLine="0"/>
              <w:jc w:val="center"/>
              <w:rPr>
                <w:sz w:val="18"/>
                <w:szCs w:val="18"/>
              </w:rPr>
            </w:pPr>
            <w:r>
              <w:rPr>
                <w:color w:val="1F1F1F"/>
                <w:sz w:val="18"/>
                <w:szCs w:val="18"/>
                <w:lang w:val="zh-TW" w:eastAsia="zh-TW" w:bidi="zh-TW"/>
              </w:rPr>
              <w:t>不大于</w:t>
            </w:r>
          </w:p>
        </w:tc>
      </w:tr>
      <w:tr>
        <w:tblPrEx>
          <w:tblCellMar>
            <w:top w:w="0" w:type="dxa"/>
            <w:left w:w="10" w:type="dxa"/>
            <w:bottom w:w="0" w:type="dxa"/>
            <w:right w:w="10" w:type="dxa"/>
          </w:tblCellMar>
        </w:tblPrEx>
        <w:trPr>
          <w:trHeight w:val="4046" w:hRule="exact"/>
          <w:jc w:val="center"/>
        </w:trPr>
        <w:tc>
          <w:tcPr>
            <w:tcW w:w="1819" w:type="dxa"/>
            <w:tcBorders>
              <w:top w:val="single" w:color="auto" w:sz="4" w:space="0"/>
              <w:left w:val="single" w:color="auto" w:sz="4" w:space="0"/>
              <w:bottom w:val="single" w:color="auto" w:sz="4" w:space="0"/>
            </w:tcBorders>
            <w:shd w:val="clear" w:color="auto" w:fill="FFFFFF"/>
            <w:vAlign w:val="center"/>
          </w:tcPr>
          <w:p>
            <w:pPr>
              <w:pStyle w:val="144"/>
              <w:spacing w:after="100" w:line="240" w:lineRule="auto"/>
              <w:ind w:firstLine="0"/>
              <w:jc w:val="center"/>
              <w:rPr>
                <w:sz w:val="17"/>
                <w:szCs w:val="17"/>
              </w:rPr>
            </w:pPr>
            <w:r>
              <w:rPr>
                <w:rFonts w:ascii="Times New Roman" w:hAnsi="Times New Roman" w:eastAsia="Times New Roman" w:cs="Times New Roman"/>
                <w:color w:val="1F1F1F"/>
                <w:sz w:val="17"/>
                <w:szCs w:val="17"/>
                <w:lang w:eastAsia="en-US" w:bidi="en-US"/>
              </w:rPr>
              <w:t>S220GD+ZM</w:t>
            </w:r>
          </w:p>
          <w:p>
            <w:pPr>
              <w:pStyle w:val="144"/>
              <w:spacing w:after="100" w:line="240" w:lineRule="auto"/>
              <w:ind w:firstLine="0"/>
              <w:jc w:val="center"/>
              <w:rPr>
                <w:sz w:val="17"/>
                <w:szCs w:val="17"/>
              </w:rPr>
            </w:pPr>
            <w:r>
              <w:rPr>
                <w:rFonts w:ascii="Times New Roman" w:hAnsi="Times New Roman" w:eastAsia="Times New Roman" w:cs="Times New Roman"/>
                <w:color w:val="1F1F1F"/>
                <w:sz w:val="17"/>
                <w:szCs w:val="17"/>
                <w:lang w:eastAsia="en-US" w:bidi="en-US"/>
              </w:rPr>
              <w:t>S250GD+ZM</w:t>
            </w:r>
          </w:p>
          <w:p>
            <w:pPr>
              <w:pStyle w:val="144"/>
              <w:spacing w:after="100" w:line="240" w:lineRule="auto"/>
              <w:ind w:firstLine="0"/>
              <w:jc w:val="center"/>
              <w:rPr>
                <w:sz w:val="17"/>
                <w:szCs w:val="17"/>
              </w:rPr>
            </w:pPr>
            <w:r>
              <w:rPr>
                <w:rFonts w:ascii="Times New Roman" w:hAnsi="Times New Roman" w:eastAsia="Times New Roman" w:cs="Times New Roman"/>
                <w:color w:val="1F1F1F"/>
                <w:sz w:val="17"/>
                <w:szCs w:val="17"/>
                <w:lang w:eastAsia="en-US" w:bidi="en-US"/>
              </w:rPr>
              <w:t>S280GD+ZM</w:t>
            </w:r>
          </w:p>
          <w:p>
            <w:pPr>
              <w:pStyle w:val="144"/>
              <w:spacing w:after="100" w:line="240" w:lineRule="auto"/>
              <w:ind w:firstLine="0"/>
              <w:jc w:val="center"/>
              <w:rPr>
                <w:sz w:val="17"/>
                <w:szCs w:val="17"/>
              </w:rPr>
            </w:pPr>
            <w:r>
              <w:rPr>
                <w:rFonts w:ascii="Times New Roman" w:hAnsi="Times New Roman" w:eastAsia="Times New Roman" w:cs="Times New Roman"/>
                <w:color w:val="1F1F1F"/>
                <w:sz w:val="17"/>
                <w:szCs w:val="17"/>
                <w:lang w:eastAsia="en-US" w:bidi="en-US"/>
              </w:rPr>
              <w:t>S320GD+ZM</w:t>
            </w:r>
          </w:p>
          <w:p>
            <w:pPr>
              <w:pStyle w:val="144"/>
              <w:spacing w:after="100" w:line="240" w:lineRule="auto"/>
              <w:ind w:firstLine="0"/>
              <w:jc w:val="center"/>
              <w:rPr>
                <w:rFonts w:ascii="Times New Roman" w:hAnsi="Times New Roman" w:eastAsia="Times New Roman" w:cs="Times New Roman"/>
                <w:color w:val="1F1F1F"/>
                <w:sz w:val="17"/>
                <w:szCs w:val="17"/>
                <w:lang w:eastAsia="en-US" w:bidi="en-US"/>
              </w:rPr>
            </w:pPr>
            <w:r>
              <w:rPr>
                <w:rFonts w:ascii="Times New Roman" w:hAnsi="Times New Roman" w:eastAsia="Times New Roman" w:cs="Times New Roman"/>
                <w:color w:val="1F1F1F"/>
                <w:sz w:val="17"/>
                <w:szCs w:val="17"/>
                <w:lang w:eastAsia="en-US" w:bidi="en-US"/>
              </w:rPr>
              <w:t>S350GD+ZM</w:t>
            </w:r>
          </w:p>
          <w:p>
            <w:pPr>
              <w:pStyle w:val="144"/>
              <w:spacing w:after="100" w:line="240" w:lineRule="auto"/>
              <w:ind w:firstLine="0"/>
              <w:jc w:val="center"/>
              <w:rPr>
                <w:sz w:val="17"/>
                <w:szCs w:val="17"/>
              </w:rPr>
            </w:pPr>
            <w:r>
              <w:rPr>
                <w:rFonts w:ascii="Times New Roman" w:hAnsi="Times New Roman" w:eastAsia="Times New Roman" w:cs="Times New Roman"/>
                <w:color w:val="1F1F1F"/>
                <w:sz w:val="17"/>
                <w:szCs w:val="17"/>
                <w:lang w:eastAsia="en-US" w:bidi="en-US"/>
              </w:rPr>
              <w:t>S3</w:t>
            </w:r>
            <w:r>
              <w:rPr>
                <w:rFonts w:hint="eastAsia" w:ascii="Times New Roman" w:hAnsi="Times New Roman" w:cs="Times New Roman"/>
                <w:color w:val="1F1F1F"/>
                <w:sz w:val="17"/>
                <w:szCs w:val="17"/>
                <w:lang w:bidi="en-US"/>
              </w:rPr>
              <w:t>9</w:t>
            </w:r>
            <w:r>
              <w:rPr>
                <w:rFonts w:ascii="Times New Roman" w:hAnsi="Times New Roman" w:eastAsia="Times New Roman" w:cs="Times New Roman"/>
                <w:color w:val="1F1F1F"/>
                <w:sz w:val="17"/>
                <w:szCs w:val="17"/>
                <w:lang w:eastAsia="en-US" w:bidi="en-US"/>
              </w:rPr>
              <w:t>0GD+ZM</w:t>
            </w:r>
          </w:p>
          <w:p>
            <w:pPr>
              <w:pStyle w:val="144"/>
              <w:spacing w:after="100" w:line="240" w:lineRule="auto"/>
              <w:ind w:firstLine="0"/>
              <w:jc w:val="center"/>
              <w:rPr>
                <w:rFonts w:ascii="Times New Roman" w:hAnsi="Times New Roman" w:eastAsia="Times New Roman" w:cs="Times New Roman"/>
                <w:color w:val="1F1F1F"/>
                <w:sz w:val="17"/>
                <w:szCs w:val="17"/>
                <w:lang w:eastAsia="en-US" w:bidi="en-US"/>
              </w:rPr>
            </w:pPr>
            <w:r>
              <w:rPr>
                <w:rFonts w:ascii="Times New Roman" w:hAnsi="Times New Roman" w:eastAsia="Times New Roman" w:cs="Times New Roman"/>
                <w:color w:val="1F1F1F"/>
                <w:sz w:val="17"/>
                <w:szCs w:val="17"/>
                <w:lang w:eastAsia="en-US" w:bidi="en-US"/>
              </w:rPr>
              <w:t>S</w:t>
            </w:r>
            <w:r>
              <w:rPr>
                <w:rFonts w:hint="eastAsia" w:ascii="Times New Roman" w:hAnsi="Times New Roman" w:cs="Times New Roman"/>
                <w:color w:val="1F1F1F"/>
                <w:sz w:val="17"/>
                <w:szCs w:val="17"/>
                <w:lang w:bidi="en-US"/>
              </w:rPr>
              <w:t>42</w:t>
            </w:r>
            <w:r>
              <w:rPr>
                <w:rFonts w:ascii="Times New Roman" w:hAnsi="Times New Roman" w:eastAsia="Times New Roman" w:cs="Times New Roman"/>
                <w:color w:val="1F1F1F"/>
                <w:sz w:val="17"/>
                <w:szCs w:val="17"/>
                <w:lang w:eastAsia="en-US" w:bidi="en-US"/>
              </w:rPr>
              <w:t>0GD+ZM</w:t>
            </w:r>
          </w:p>
          <w:p>
            <w:pPr>
              <w:pStyle w:val="144"/>
              <w:spacing w:after="100" w:line="240" w:lineRule="auto"/>
              <w:ind w:firstLine="0"/>
              <w:jc w:val="center"/>
              <w:rPr>
                <w:sz w:val="17"/>
                <w:szCs w:val="17"/>
              </w:rPr>
            </w:pPr>
            <w:r>
              <w:rPr>
                <w:rFonts w:ascii="Times New Roman" w:hAnsi="Times New Roman" w:eastAsia="Times New Roman" w:cs="Times New Roman"/>
                <w:color w:val="1F1F1F"/>
                <w:sz w:val="17"/>
                <w:szCs w:val="17"/>
                <w:lang w:eastAsia="en-US" w:bidi="en-US"/>
              </w:rPr>
              <w:t>S450GD+ZM</w:t>
            </w:r>
          </w:p>
          <w:p>
            <w:pPr>
              <w:pStyle w:val="144"/>
              <w:spacing w:after="100" w:line="240" w:lineRule="auto"/>
              <w:ind w:firstLine="0"/>
              <w:jc w:val="center"/>
              <w:rPr>
                <w:sz w:val="17"/>
                <w:szCs w:val="17"/>
              </w:rPr>
            </w:pPr>
            <w:r>
              <w:rPr>
                <w:rFonts w:ascii="Times New Roman" w:hAnsi="Times New Roman" w:eastAsia="Times New Roman" w:cs="Times New Roman"/>
                <w:color w:val="1F1F1F"/>
                <w:sz w:val="17"/>
                <w:szCs w:val="17"/>
                <w:lang w:eastAsia="en-US" w:bidi="en-US"/>
              </w:rPr>
              <w:t>S550GD+ZM</w:t>
            </w:r>
          </w:p>
        </w:tc>
        <w:tc>
          <w:tcPr>
            <w:tcW w:w="1512" w:type="dxa"/>
            <w:tcBorders>
              <w:top w:val="single" w:color="auto" w:sz="4" w:space="0"/>
              <w:left w:val="single" w:color="auto" w:sz="4" w:space="0"/>
              <w:bottom w:val="single" w:color="auto" w:sz="4" w:space="0"/>
            </w:tcBorders>
            <w:shd w:val="clear" w:color="auto" w:fill="FFFFFF"/>
            <w:vAlign w:val="center"/>
          </w:tcPr>
          <w:p>
            <w:pPr>
              <w:pStyle w:val="144"/>
              <w:spacing w:line="240" w:lineRule="auto"/>
              <w:ind w:firstLine="0"/>
              <w:jc w:val="center"/>
              <w:rPr>
                <w:sz w:val="17"/>
                <w:szCs w:val="17"/>
              </w:rPr>
            </w:pPr>
            <w:r>
              <w:rPr>
                <w:rFonts w:ascii="Times New Roman" w:hAnsi="Times New Roman" w:eastAsia="Times New Roman" w:cs="Times New Roman"/>
                <w:color w:val="1F1F1F"/>
                <w:sz w:val="17"/>
                <w:szCs w:val="17"/>
                <w:lang w:eastAsia="en-US" w:bidi="en-US"/>
              </w:rPr>
              <w:t xml:space="preserve">0. </w:t>
            </w:r>
            <w:r>
              <w:rPr>
                <w:rFonts w:ascii="Times New Roman" w:hAnsi="Times New Roman" w:eastAsia="Times New Roman" w:cs="Times New Roman"/>
                <w:color w:val="1F1F1F"/>
                <w:sz w:val="17"/>
                <w:szCs w:val="17"/>
                <w:lang w:val="zh-TW" w:eastAsia="zh-TW" w:bidi="zh-TW"/>
              </w:rPr>
              <w:t>20</w:t>
            </w:r>
          </w:p>
        </w:tc>
        <w:tc>
          <w:tcPr>
            <w:tcW w:w="1517" w:type="dxa"/>
            <w:tcBorders>
              <w:top w:val="single" w:color="auto" w:sz="4" w:space="0"/>
              <w:left w:val="single" w:color="auto" w:sz="4" w:space="0"/>
              <w:bottom w:val="single" w:color="auto" w:sz="4" w:space="0"/>
            </w:tcBorders>
            <w:shd w:val="clear" w:color="auto" w:fill="FFFFFF"/>
            <w:vAlign w:val="center"/>
          </w:tcPr>
          <w:p>
            <w:pPr>
              <w:pStyle w:val="144"/>
              <w:spacing w:line="240" w:lineRule="auto"/>
              <w:ind w:firstLine="0"/>
              <w:jc w:val="center"/>
              <w:rPr>
                <w:sz w:val="17"/>
                <w:szCs w:val="17"/>
              </w:rPr>
            </w:pPr>
            <w:r>
              <w:rPr>
                <w:rFonts w:ascii="Times New Roman" w:hAnsi="Times New Roman" w:eastAsia="Times New Roman" w:cs="Times New Roman"/>
                <w:color w:val="1F1F1F"/>
                <w:sz w:val="17"/>
                <w:szCs w:val="17"/>
                <w:lang w:eastAsia="en-US" w:bidi="en-US"/>
              </w:rPr>
              <w:t xml:space="preserve">0. </w:t>
            </w:r>
            <w:r>
              <w:rPr>
                <w:rFonts w:ascii="Times New Roman" w:hAnsi="Times New Roman" w:eastAsia="Times New Roman" w:cs="Times New Roman"/>
                <w:color w:val="1F1F1F"/>
                <w:sz w:val="17"/>
                <w:szCs w:val="17"/>
                <w:lang w:val="zh-TW" w:eastAsia="zh-TW" w:bidi="zh-TW"/>
              </w:rPr>
              <w:t>60</w:t>
            </w:r>
          </w:p>
        </w:tc>
        <w:tc>
          <w:tcPr>
            <w:tcW w:w="1522" w:type="dxa"/>
            <w:tcBorders>
              <w:top w:val="single" w:color="auto" w:sz="4" w:space="0"/>
              <w:left w:val="single" w:color="auto" w:sz="4" w:space="0"/>
              <w:bottom w:val="single" w:color="auto" w:sz="4" w:space="0"/>
            </w:tcBorders>
            <w:shd w:val="clear" w:color="auto" w:fill="FFFFFF"/>
            <w:vAlign w:val="center"/>
          </w:tcPr>
          <w:p>
            <w:pPr>
              <w:pStyle w:val="144"/>
              <w:spacing w:line="240" w:lineRule="auto"/>
              <w:ind w:firstLine="0"/>
              <w:jc w:val="center"/>
              <w:rPr>
                <w:sz w:val="17"/>
                <w:szCs w:val="17"/>
              </w:rPr>
            </w:pPr>
            <w:r>
              <w:rPr>
                <w:rFonts w:ascii="Times New Roman" w:hAnsi="Times New Roman" w:eastAsia="Times New Roman" w:cs="Times New Roman"/>
                <w:color w:val="1F1F1F"/>
                <w:sz w:val="17"/>
                <w:szCs w:val="17"/>
                <w:lang w:eastAsia="en-US" w:bidi="en-US"/>
              </w:rPr>
              <w:t>1.70</w:t>
            </w:r>
          </w:p>
        </w:tc>
        <w:tc>
          <w:tcPr>
            <w:tcW w:w="1512" w:type="dxa"/>
            <w:tcBorders>
              <w:top w:val="single" w:color="auto" w:sz="4" w:space="0"/>
              <w:left w:val="single" w:color="auto" w:sz="4" w:space="0"/>
              <w:bottom w:val="single" w:color="auto" w:sz="4" w:space="0"/>
            </w:tcBorders>
            <w:shd w:val="clear" w:color="auto" w:fill="FFFFFF"/>
            <w:vAlign w:val="center"/>
          </w:tcPr>
          <w:p>
            <w:pPr>
              <w:pStyle w:val="144"/>
              <w:spacing w:line="240" w:lineRule="auto"/>
              <w:ind w:firstLine="0"/>
              <w:jc w:val="center"/>
              <w:rPr>
                <w:sz w:val="17"/>
                <w:szCs w:val="17"/>
              </w:rPr>
            </w:pPr>
            <w:r>
              <w:rPr>
                <w:rFonts w:ascii="Times New Roman" w:hAnsi="Times New Roman" w:eastAsia="Times New Roman" w:cs="Times New Roman"/>
                <w:color w:val="1F1F1F"/>
                <w:sz w:val="17"/>
                <w:szCs w:val="17"/>
                <w:lang w:eastAsia="en-US" w:bidi="en-US"/>
              </w:rPr>
              <w:t xml:space="preserve">0. </w:t>
            </w:r>
            <w:r>
              <w:rPr>
                <w:rFonts w:ascii="Times New Roman" w:hAnsi="Times New Roman" w:eastAsia="Times New Roman" w:cs="Times New Roman"/>
                <w:color w:val="1F1F1F"/>
                <w:sz w:val="17"/>
                <w:szCs w:val="17"/>
                <w:lang w:val="zh-TW" w:eastAsia="zh-TW" w:bidi="zh-TW"/>
              </w:rPr>
              <w:t>050</w:t>
            </w:r>
          </w:p>
        </w:tc>
        <w:tc>
          <w:tcPr>
            <w:tcW w:w="15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4"/>
              <w:spacing w:line="240" w:lineRule="auto"/>
              <w:ind w:firstLine="0"/>
              <w:jc w:val="center"/>
              <w:rPr>
                <w:sz w:val="17"/>
                <w:szCs w:val="17"/>
              </w:rPr>
            </w:pPr>
            <w:r>
              <w:rPr>
                <w:rFonts w:ascii="Times New Roman" w:hAnsi="Times New Roman" w:eastAsia="Times New Roman" w:cs="Times New Roman"/>
                <w:color w:val="1F1F1F"/>
                <w:sz w:val="17"/>
                <w:szCs w:val="17"/>
                <w:lang w:eastAsia="en-US" w:bidi="en-US"/>
              </w:rPr>
              <w:t>0. 035</w:t>
            </w:r>
          </w:p>
        </w:tc>
      </w:tr>
    </w:tbl>
    <w:p>
      <w:pPr>
        <w:pStyle w:val="61"/>
        <w:numPr>
          <w:ilvl w:val="2"/>
          <w:numId w:val="0"/>
        </w:numPr>
        <w:spacing w:before="0" w:after="0"/>
        <w:ind w:firstLine="420" w:firstLineChars="200"/>
        <w:rPr>
          <w:rFonts w:hAnsi="宋体"/>
        </w:rPr>
      </w:pPr>
    </w:p>
    <w:p>
      <w:pPr>
        <w:pStyle w:val="40"/>
        <w:spacing w:before="156" w:after="156"/>
      </w:pPr>
      <w:r>
        <w:rPr>
          <w:rFonts w:hint="eastAsia"/>
        </w:rPr>
        <w:t>冶炼方法</w:t>
      </w:r>
    </w:p>
    <w:p>
      <w:pPr>
        <w:pStyle w:val="141"/>
        <w:ind w:firstLine="373" w:firstLineChars="178"/>
      </w:pPr>
      <w:r>
        <w:rPr>
          <w:rFonts w:hint="eastAsia"/>
        </w:rPr>
        <w:t>钢由转炉或电炉冶炼。除非需方有特殊要求</w:t>
      </w:r>
      <w:r>
        <w:rPr>
          <w:rFonts w:hint="eastAsia" w:ascii="宋体" w:hAnsi="宋体"/>
        </w:rPr>
        <w:t>并在合同中注明</w:t>
      </w:r>
      <w:r>
        <w:rPr>
          <w:rFonts w:hint="eastAsia"/>
        </w:rPr>
        <w:t>，冶炼方法由供方选择。</w:t>
      </w:r>
    </w:p>
    <w:p>
      <w:pPr>
        <w:pStyle w:val="40"/>
        <w:spacing w:before="156" w:after="156"/>
      </w:pPr>
      <w:r>
        <w:rPr>
          <w:rFonts w:hint="eastAsia"/>
        </w:rPr>
        <w:t>交货状态</w:t>
      </w:r>
    </w:p>
    <w:p>
      <w:pPr>
        <w:pStyle w:val="141"/>
        <w:ind w:left="375" w:firstLine="0" w:firstLineChars="0"/>
      </w:pPr>
      <w:r>
        <w:rPr>
          <w:rFonts w:hint="eastAsia"/>
        </w:rPr>
        <w:t>钢带以热镀或热镀加平整（或光整）状态交货。</w:t>
      </w:r>
    </w:p>
    <w:p>
      <w:pPr>
        <w:pStyle w:val="40"/>
        <w:spacing w:before="156" w:after="156"/>
      </w:pPr>
      <w:r>
        <w:rPr>
          <w:rFonts w:hint="eastAsia"/>
        </w:rPr>
        <w:t>力学性能</w:t>
      </w:r>
    </w:p>
    <w:p>
      <w:pPr>
        <w:pStyle w:val="61"/>
        <w:spacing w:before="0" w:after="0"/>
        <w:rPr>
          <w:rFonts w:hAnsi="宋体"/>
        </w:rPr>
      </w:pPr>
      <w:r>
        <w:rPr>
          <w:rFonts w:hint="eastAsia"/>
        </w:rPr>
        <w:t>钢带</w:t>
      </w:r>
      <w:r>
        <w:rPr>
          <w:rFonts w:hint="eastAsia" w:hAnsi="宋体"/>
        </w:rPr>
        <w:t>的力学性能应符合表</w:t>
      </w:r>
      <w:r>
        <w:rPr>
          <w:rFonts w:hAnsi="宋体"/>
        </w:rPr>
        <w:t>5</w:t>
      </w:r>
      <w:r>
        <w:rPr>
          <w:rFonts w:hint="eastAsia" w:hAnsi="宋体"/>
        </w:rPr>
        <w:t>规定。除非另行规定，拉伸试样为带镀层试样。本文件部分牌号与国外相关标准近似牌号对照参见附录A。</w:t>
      </w:r>
    </w:p>
    <w:p>
      <w:pPr>
        <w:pStyle w:val="61"/>
        <w:spacing w:before="0" w:after="0"/>
        <w:rPr>
          <w:rFonts w:hAnsi="宋体"/>
        </w:rPr>
      </w:pPr>
      <w:r>
        <w:rPr>
          <w:rFonts w:hint="eastAsia" w:hAnsi="宋体"/>
        </w:rPr>
        <w:t>各牌号</w:t>
      </w:r>
      <w:r>
        <w:rPr>
          <w:rFonts w:hint="eastAsia"/>
        </w:rPr>
        <w:t>钢带</w:t>
      </w:r>
      <w:r>
        <w:rPr>
          <w:rFonts w:hint="eastAsia" w:hAnsi="宋体"/>
        </w:rPr>
        <w:t>的力学性能保证期应符合表</w:t>
      </w:r>
      <w:r>
        <w:rPr>
          <w:rFonts w:hAnsi="宋体"/>
        </w:rPr>
        <w:t>6</w:t>
      </w:r>
      <w:r>
        <w:rPr>
          <w:rFonts w:hint="eastAsia" w:hAnsi="宋体"/>
        </w:rPr>
        <w:t>的规定，性能保证期自制造完成之日起计算。</w:t>
      </w:r>
    </w:p>
    <w:p>
      <w:pPr>
        <w:pStyle w:val="125"/>
        <w:spacing w:before="156" w:after="156"/>
      </w:pPr>
      <w:r>
        <w:rPr>
          <w:rFonts w:hint="eastAsia"/>
        </w:rPr>
        <w:t>表6  钢带的力学性能</w:t>
      </w:r>
      <w:r>
        <w:rPr>
          <w:rFonts w:hint="eastAsia"/>
          <w:vertAlign w:val="superscript"/>
        </w:rPr>
        <w:t>b</w:t>
      </w:r>
    </w:p>
    <w:tbl>
      <w:tblPr>
        <w:tblStyle w:val="31"/>
        <w:tblpPr w:leftFromText="180" w:rightFromText="180" w:vertAnchor="text" w:horzAnchor="margin" w:tblpY="490"/>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36"/>
        <w:gridCol w:w="1657"/>
        <w:gridCol w:w="1655"/>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214" w:type="pct"/>
            <w:vMerge w:val="restart"/>
            <w:vAlign w:val="center"/>
          </w:tcPr>
          <w:p>
            <w:pPr>
              <w:jc w:val="center"/>
              <w:rPr>
                <w:sz w:val="18"/>
                <w:szCs w:val="18"/>
                <w:lang w:val="zh-TW" w:eastAsia="zh-TW"/>
              </w:rPr>
            </w:pPr>
            <w:r>
              <w:rPr>
                <w:sz w:val="18"/>
                <w:szCs w:val="18"/>
                <w:lang w:val="zh-TW" w:eastAsia="zh-TW"/>
              </w:rPr>
              <w:t>牌号</w:t>
            </w:r>
          </w:p>
        </w:tc>
        <w:tc>
          <w:tcPr>
            <w:tcW w:w="866" w:type="pct"/>
            <w:vMerge w:val="restart"/>
            <w:vAlign w:val="center"/>
          </w:tcPr>
          <w:p>
            <w:pPr>
              <w:jc w:val="center"/>
              <w:rPr>
                <w:sz w:val="18"/>
                <w:szCs w:val="18"/>
              </w:rPr>
            </w:pPr>
            <w:r>
              <w:rPr>
                <w:rFonts w:hint="eastAsia"/>
                <w:sz w:val="18"/>
                <w:szCs w:val="18"/>
              </w:rPr>
              <w:t>上</w:t>
            </w:r>
            <w:r>
              <w:rPr>
                <w:sz w:val="18"/>
                <w:szCs w:val="18"/>
                <w:lang w:val="zh-TW" w:eastAsia="zh-TW"/>
              </w:rPr>
              <w:t>屈服强度</w:t>
            </w:r>
            <w:r>
              <w:rPr>
                <w:rFonts w:hint="eastAsia"/>
                <w:sz w:val="18"/>
                <w:szCs w:val="18"/>
                <w:vertAlign w:val="superscript"/>
                <w:lang w:val="zh-TW" w:eastAsia="zh-TW"/>
              </w:rPr>
              <w:t>a</w:t>
            </w:r>
            <w:r>
              <w:rPr>
                <w:rFonts w:hint="eastAsia"/>
                <w:sz w:val="18"/>
                <w:szCs w:val="18"/>
                <w:vertAlign w:val="superscript"/>
                <w:lang w:val="zh-TW"/>
              </w:rPr>
              <w:t>，</w:t>
            </w:r>
            <w:r>
              <w:rPr>
                <w:rFonts w:hint="eastAsia"/>
                <w:sz w:val="18"/>
                <w:szCs w:val="18"/>
                <w:vertAlign w:val="superscript"/>
              </w:rPr>
              <w:t>b</w:t>
            </w:r>
          </w:p>
          <w:p>
            <w:pPr>
              <w:jc w:val="center"/>
              <w:rPr>
                <w:sz w:val="18"/>
                <w:szCs w:val="18"/>
                <w:lang w:val="zh-TW" w:eastAsia="zh-TW"/>
              </w:rPr>
            </w:pPr>
            <w:r>
              <w:rPr>
                <w:sz w:val="18"/>
                <w:szCs w:val="18"/>
                <w:lang w:val="zh-TW" w:eastAsia="zh-TW"/>
              </w:rPr>
              <w:t>R</w:t>
            </w:r>
            <w:r>
              <w:rPr>
                <w:sz w:val="18"/>
                <w:szCs w:val="18"/>
                <w:vertAlign w:val="subscript"/>
                <w:lang w:val="zh-TW" w:eastAsia="zh-TW"/>
              </w:rPr>
              <w:t>e</w:t>
            </w:r>
            <w:r>
              <w:rPr>
                <w:rFonts w:hint="eastAsia"/>
                <w:sz w:val="18"/>
                <w:szCs w:val="18"/>
                <w:vertAlign w:val="subscript"/>
              </w:rPr>
              <w:t>H</w:t>
            </w:r>
            <w:r>
              <w:rPr>
                <w:sz w:val="18"/>
                <w:szCs w:val="18"/>
                <w:lang w:val="zh-TW" w:eastAsia="zh-TW"/>
              </w:rPr>
              <w:t>/MPa</w:t>
            </w:r>
          </w:p>
        </w:tc>
        <w:tc>
          <w:tcPr>
            <w:tcW w:w="865" w:type="pct"/>
            <w:vMerge w:val="restart"/>
            <w:vAlign w:val="center"/>
          </w:tcPr>
          <w:p>
            <w:pPr>
              <w:jc w:val="center"/>
              <w:rPr>
                <w:sz w:val="18"/>
                <w:szCs w:val="18"/>
              </w:rPr>
            </w:pPr>
            <w:r>
              <w:rPr>
                <w:sz w:val="18"/>
                <w:szCs w:val="18"/>
                <w:lang w:val="zh-TW" w:eastAsia="zh-TW"/>
              </w:rPr>
              <w:t>抗拉强度</w:t>
            </w:r>
            <w:r>
              <w:rPr>
                <w:rFonts w:hint="eastAsia"/>
                <w:sz w:val="18"/>
                <w:szCs w:val="18"/>
                <w:vertAlign w:val="superscript"/>
              </w:rPr>
              <w:t>c</w:t>
            </w:r>
          </w:p>
          <w:p>
            <w:pPr>
              <w:jc w:val="center"/>
              <w:rPr>
                <w:sz w:val="18"/>
                <w:szCs w:val="18"/>
                <w:lang w:val="zh-TW" w:eastAsia="zh-TW"/>
              </w:rPr>
            </w:pPr>
            <w:r>
              <w:rPr>
                <w:sz w:val="18"/>
                <w:szCs w:val="18"/>
                <w:lang w:val="zh-TW" w:eastAsia="zh-TW"/>
              </w:rPr>
              <w:t>R</w:t>
            </w:r>
            <w:r>
              <w:rPr>
                <w:rFonts w:hint="eastAsia"/>
                <w:sz w:val="18"/>
                <w:szCs w:val="18"/>
                <w:vertAlign w:val="subscript"/>
                <w:lang w:val="zh-TW" w:eastAsia="zh-TW"/>
              </w:rPr>
              <w:t>m</w:t>
            </w:r>
            <w:r>
              <w:rPr>
                <w:sz w:val="18"/>
                <w:szCs w:val="18"/>
                <w:lang w:val="zh-TW" w:eastAsia="zh-TW"/>
              </w:rPr>
              <w:t>/MPa</w:t>
            </w:r>
          </w:p>
        </w:tc>
        <w:tc>
          <w:tcPr>
            <w:tcW w:w="1055" w:type="pct"/>
            <w:vAlign w:val="center"/>
          </w:tcPr>
          <w:p>
            <w:pPr>
              <w:jc w:val="center"/>
              <w:rPr>
                <w:sz w:val="18"/>
                <w:szCs w:val="18"/>
                <w:lang w:val="zh-TW" w:eastAsia="zh-TW"/>
              </w:rPr>
            </w:pPr>
            <w:r>
              <w:rPr>
                <w:rFonts w:hint="eastAsia"/>
                <w:sz w:val="18"/>
                <w:szCs w:val="18"/>
                <w:lang w:val="zh-TW" w:eastAsia="zh-TW"/>
              </w:rPr>
              <w:t>断后伸长率</w:t>
            </w:r>
            <w:r>
              <w:rPr>
                <w:sz w:val="18"/>
                <w:szCs w:val="18"/>
                <w:lang w:val="zh-TW" w:eastAsia="zh-TW"/>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214" w:type="pct"/>
            <w:vMerge w:val="continue"/>
            <w:vAlign w:val="center"/>
          </w:tcPr>
          <w:p>
            <w:pPr>
              <w:jc w:val="center"/>
              <w:rPr>
                <w:sz w:val="18"/>
                <w:szCs w:val="18"/>
                <w:lang w:val="zh-TW" w:eastAsia="zh-TW"/>
              </w:rPr>
            </w:pPr>
          </w:p>
        </w:tc>
        <w:tc>
          <w:tcPr>
            <w:tcW w:w="866" w:type="pct"/>
            <w:vMerge w:val="continue"/>
            <w:vAlign w:val="center"/>
          </w:tcPr>
          <w:p>
            <w:pPr>
              <w:jc w:val="center"/>
              <w:rPr>
                <w:sz w:val="18"/>
                <w:szCs w:val="18"/>
                <w:lang w:val="zh-TW" w:eastAsia="zh-TW"/>
              </w:rPr>
            </w:pPr>
          </w:p>
        </w:tc>
        <w:tc>
          <w:tcPr>
            <w:tcW w:w="865" w:type="pct"/>
            <w:vMerge w:val="continue"/>
            <w:vAlign w:val="center"/>
          </w:tcPr>
          <w:p>
            <w:pPr>
              <w:jc w:val="center"/>
              <w:rPr>
                <w:sz w:val="18"/>
                <w:szCs w:val="18"/>
                <w:lang w:val="zh-TW" w:eastAsia="zh-TW"/>
              </w:rPr>
            </w:pPr>
          </w:p>
        </w:tc>
        <w:tc>
          <w:tcPr>
            <w:tcW w:w="1055" w:type="pct"/>
            <w:vAlign w:val="center"/>
          </w:tcPr>
          <w:p>
            <w:pPr>
              <w:jc w:val="center"/>
              <w:rPr>
                <w:sz w:val="18"/>
                <w:szCs w:val="18"/>
                <w:lang w:val="zh-TW" w:eastAsia="zh-TW"/>
              </w:rPr>
            </w:pPr>
            <w:r>
              <w:rPr>
                <w:rFonts w:hint="eastAsia"/>
                <w:sz w:val="18"/>
                <w:szCs w:val="18"/>
                <w:lang w:val="zh-TW" w:eastAsia="zh-TW"/>
              </w:rPr>
              <w:t>A</w:t>
            </w:r>
            <w:r>
              <w:rPr>
                <w:sz w:val="18"/>
                <w:szCs w:val="18"/>
                <w:vertAlign w:val="subscript"/>
                <w:lang w:val="zh-TW" w:eastAsia="zh-TW"/>
              </w:rPr>
              <w:t>8</w:t>
            </w:r>
            <w:r>
              <w:rPr>
                <w:rFonts w:hint="eastAsia"/>
                <w:sz w:val="18"/>
                <w:szCs w:val="18"/>
                <w:vertAlign w:val="subscript"/>
                <w:lang w:val="zh-TW" w:eastAsia="zh-TW"/>
              </w:rPr>
              <w:t xml:space="preserve">0 </w:t>
            </w:r>
            <w:r>
              <w:rPr>
                <w:rFonts w:hint="eastAsia"/>
                <w:sz w:val="18"/>
                <w:szCs w:val="18"/>
                <w:lang w:val="zh-TW" w:eastAsia="zh-TW"/>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2786" w:type="pct"/>
          <w:trHeight w:val="397" w:hRule="atLeast"/>
        </w:trPr>
        <w:tc>
          <w:tcPr>
            <w:tcW w:w="2214" w:type="pct"/>
            <w:vMerge w:val="continue"/>
            <w:vAlign w:val="center"/>
          </w:tcPr>
          <w:p>
            <w:pPr>
              <w:jc w:val="center"/>
              <w:rPr>
                <w:sz w:val="18"/>
                <w:szCs w:val="18"/>
                <w:lang w:val="zh-TW"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14" w:type="pct"/>
            <w:vAlign w:val="center"/>
          </w:tcPr>
          <w:p>
            <w:pPr>
              <w:jc w:val="center"/>
              <w:rPr>
                <w:sz w:val="18"/>
                <w:szCs w:val="18"/>
              </w:rPr>
            </w:pPr>
            <w:r>
              <w:rPr>
                <w:sz w:val="18"/>
                <w:szCs w:val="18"/>
                <w:lang w:val="zh-TW" w:eastAsia="zh-TW"/>
              </w:rPr>
              <w:t>S220GD+Z</w:t>
            </w:r>
            <w:r>
              <w:rPr>
                <w:rFonts w:hint="eastAsia"/>
                <w:sz w:val="18"/>
                <w:szCs w:val="18"/>
              </w:rPr>
              <w:t>M</w:t>
            </w:r>
          </w:p>
        </w:tc>
        <w:tc>
          <w:tcPr>
            <w:tcW w:w="866" w:type="pct"/>
            <w:vAlign w:val="center"/>
          </w:tcPr>
          <w:p>
            <w:pPr>
              <w:jc w:val="center"/>
              <w:rPr>
                <w:sz w:val="18"/>
                <w:szCs w:val="18"/>
                <w:lang w:val="zh-TW" w:eastAsia="zh-TW"/>
              </w:rPr>
            </w:pPr>
            <w:r>
              <w:rPr>
                <w:sz w:val="18"/>
                <w:szCs w:val="18"/>
                <w:lang w:val="zh-TW" w:eastAsia="zh-TW"/>
              </w:rPr>
              <w:t>220</w:t>
            </w:r>
          </w:p>
        </w:tc>
        <w:tc>
          <w:tcPr>
            <w:tcW w:w="865" w:type="pct"/>
            <w:vAlign w:val="center"/>
          </w:tcPr>
          <w:p>
            <w:pPr>
              <w:jc w:val="center"/>
              <w:rPr>
                <w:sz w:val="18"/>
                <w:szCs w:val="18"/>
                <w:lang w:val="zh-TW" w:eastAsia="zh-TW"/>
              </w:rPr>
            </w:pPr>
            <w:r>
              <w:rPr>
                <w:sz w:val="18"/>
                <w:szCs w:val="18"/>
                <w:lang w:val="zh-TW" w:eastAsia="zh-TW"/>
              </w:rPr>
              <w:t>300</w:t>
            </w:r>
          </w:p>
        </w:tc>
        <w:tc>
          <w:tcPr>
            <w:tcW w:w="1055" w:type="pct"/>
            <w:vAlign w:val="center"/>
          </w:tcPr>
          <w:p>
            <w:pPr>
              <w:jc w:val="center"/>
              <w:rPr>
                <w:sz w:val="18"/>
                <w:szCs w:val="18"/>
                <w:lang w:val="zh-TW" w:eastAsia="zh-TW"/>
              </w:rPr>
            </w:pPr>
            <w:r>
              <w:rPr>
                <w:sz w:val="18"/>
                <w:szCs w:val="18"/>
                <w:lang w:val="zh-TW" w:eastAsia="zh-TW"/>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14" w:type="pct"/>
            <w:vAlign w:val="center"/>
          </w:tcPr>
          <w:p>
            <w:pPr>
              <w:jc w:val="center"/>
              <w:rPr>
                <w:sz w:val="18"/>
                <w:szCs w:val="18"/>
              </w:rPr>
            </w:pPr>
            <w:r>
              <w:rPr>
                <w:sz w:val="18"/>
                <w:szCs w:val="18"/>
                <w:lang w:val="zh-TW" w:eastAsia="zh-TW"/>
              </w:rPr>
              <w:t>S250GD+Z</w:t>
            </w:r>
            <w:r>
              <w:rPr>
                <w:rFonts w:hint="eastAsia"/>
                <w:sz w:val="18"/>
                <w:szCs w:val="18"/>
              </w:rPr>
              <w:t>M</w:t>
            </w:r>
          </w:p>
        </w:tc>
        <w:tc>
          <w:tcPr>
            <w:tcW w:w="866" w:type="pct"/>
            <w:vAlign w:val="center"/>
          </w:tcPr>
          <w:p>
            <w:pPr>
              <w:jc w:val="center"/>
              <w:rPr>
                <w:sz w:val="18"/>
                <w:szCs w:val="18"/>
                <w:lang w:val="zh-TW" w:eastAsia="zh-TW"/>
              </w:rPr>
            </w:pPr>
            <w:r>
              <w:rPr>
                <w:sz w:val="18"/>
                <w:szCs w:val="18"/>
                <w:lang w:val="zh-TW" w:eastAsia="zh-TW"/>
              </w:rPr>
              <w:t>250</w:t>
            </w:r>
          </w:p>
        </w:tc>
        <w:tc>
          <w:tcPr>
            <w:tcW w:w="865" w:type="pct"/>
            <w:vAlign w:val="center"/>
          </w:tcPr>
          <w:p>
            <w:pPr>
              <w:jc w:val="center"/>
              <w:rPr>
                <w:sz w:val="18"/>
                <w:szCs w:val="18"/>
                <w:lang w:val="zh-TW" w:eastAsia="zh-TW"/>
              </w:rPr>
            </w:pPr>
            <w:r>
              <w:rPr>
                <w:sz w:val="18"/>
                <w:szCs w:val="18"/>
                <w:lang w:val="zh-TW" w:eastAsia="zh-TW"/>
              </w:rPr>
              <w:t>330</w:t>
            </w:r>
          </w:p>
        </w:tc>
        <w:tc>
          <w:tcPr>
            <w:tcW w:w="1055" w:type="pct"/>
            <w:vAlign w:val="center"/>
          </w:tcPr>
          <w:p>
            <w:pPr>
              <w:jc w:val="center"/>
              <w:rPr>
                <w:sz w:val="18"/>
                <w:szCs w:val="18"/>
                <w:lang w:val="zh-TW" w:eastAsia="zh-TW"/>
              </w:rPr>
            </w:pPr>
            <w:r>
              <w:rPr>
                <w:sz w:val="18"/>
                <w:szCs w:val="18"/>
                <w:lang w:val="zh-TW" w:eastAsia="zh-TW"/>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14" w:type="pct"/>
            <w:vAlign w:val="center"/>
          </w:tcPr>
          <w:p>
            <w:pPr>
              <w:jc w:val="center"/>
              <w:rPr>
                <w:sz w:val="18"/>
                <w:szCs w:val="18"/>
                <w:lang w:val="zh-TW" w:eastAsia="zh-TW"/>
              </w:rPr>
            </w:pPr>
            <w:r>
              <w:rPr>
                <w:sz w:val="18"/>
                <w:szCs w:val="18"/>
                <w:lang w:val="zh-TW" w:eastAsia="zh-TW"/>
              </w:rPr>
              <w:t>S280GD+Z</w:t>
            </w:r>
            <w:r>
              <w:rPr>
                <w:rFonts w:hint="eastAsia"/>
                <w:sz w:val="18"/>
                <w:szCs w:val="18"/>
              </w:rPr>
              <w:t>M</w:t>
            </w:r>
          </w:p>
        </w:tc>
        <w:tc>
          <w:tcPr>
            <w:tcW w:w="866" w:type="pct"/>
            <w:vAlign w:val="center"/>
          </w:tcPr>
          <w:p>
            <w:pPr>
              <w:jc w:val="center"/>
              <w:rPr>
                <w:sz w:val="18"/>
                <w:szCs w:val="18"/>
                <w:lang w:val="zh-TW" w:eastAsia="zh-TW"/>
              </w:rPr>
            </w:pPr>
            <w:r>
              <w:rPr>
                <w:sz w:val="18"/>
                <w:szCs w:val="18"/>
                <w:lang w:val="zh-TW" w:eastAsia="zh-TW"/>
              </w:rPr>
              <w:t>280</w:t>
            </w:r>
          </w:p>
        </w:tc>
        <w:tc>
          <w:tcPr>
            <w:tcW w:w="865" w:type="pct"/>
            <w:vAlign w:val="center"/>
          </w:tcPr>
          <w:p>
            <w:pPr>
              <w:jc w:val="center"/>
              <w:rPr>
                <w:sz w:val="18"/>
                <w:szCs w:val="18"/>
                <w:lang w:val="zh-TW" w:eastAsia="zh-TW"/>
              </w:rPr>
            </w:pPr>
            <w:r>
              <w:rPr>
                <w:sz w:val="18"/>
                <w:szCs w:val="18"/>
                <w:lang w:val="zh-TW" w:eastAsia="zh-TW"/>
              </w:rPr>
              <w:t>360</w:t>
            </w:r>
          </w:p>
        </w:tc>
        <w:tc>
          <w:tcPr>
            <w:tcW w:w="1055" w:type="pct"/>
            <w:vAlign w:val="center"/>
          </w:tcPr>
          <w:p>
            <w:pPr>
              <w:jc w:val="center"/>
              <w:rPr>
                <w:sz w:val="18"/>
                <w:szCs w:val="18"/>
                <w:lang w:val="zh-TW" w:eastAsia="zh-TW"/>
              </w:rPr>
            </w:pPr>
            <w:r>
              <w:rPr>
                <w:sz w:val="18"/>
                <w:szCs w:val="18"/>
                <w:lang w:val="zh-TW" w:eastAsia="zh-TW"/>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14" w:type="pct"/>
            <w:vAlign w:val="center"/>
          </w:tcPr>
          <w:p>
            <w:pPr>
              <w:jc w:val="center"/>
              <w:rPr>
                <w:sz w:val="18"/>
                <w:szCs w:val="18"/>
                <w:lang w:val="zh-TW" w:eastAsia="zh-TW"/>
              </w:rPr>
            </w:pPr>
            <w:r>
              <w:rPr>
                <w:sz w:val="18"/>
                <w:szCs w:val="18"/>
                <w:lang w:val="zh-TW" w:eastAsia="zh-TW"/>
              </w:rPr>
              <w:t>S320GD+Z</w:t>
            </w:r>
            <w:r>
              <w:rPr>
                <w:rFonts w:hint="eastAsia"/>
                <w:sz w:val="18"/>
                <w:szCs w:val="18"/>
              </w:rPr>
              <w:t>M</w:t>
            </w:r>
          </w:p>
        </w:tc>
        <w:tc>
          <w:tcPr>
            <w:tcW w:w="866" w:type="pct"/>
            <w:vAlign w:val="center"/>
          </w:tcPr>
          <w:p>
            <w:pPr>
              <w:jc w:val="center"/>
              <w:rPr>
                <w:sz w:val="18"/>
                <w:szCs w:val="18"/>
                <w:lang w:val="zh-TW" w:eastAsia="zh-TW"/>
              </w:rPr>
            </w:pPr>
            <w:r>
              <w:rPr>
                <w:sz w:val="18"/>
                <w:szCs w:val="18"/>
                <w:lang w:val="zh-TW" w:eastAsia="zh-TW"/>
              </w:rPr>
              <w:t>320</w:t>
            </w:r>
          </w:p>
        </w:tc>
        <w:tc>
          <w:tcPr>
            <w:tcW w:w="865" w:type="pct"/>
            <w:vAlign w:val="center"/>
          </w:tcPr>
          <w:p>
            <w:pPr>
              <w:jc w:val="center"/>
              <w:rPr>
                <w:sz w:val="18"/>
                <w:szCs w:val="18"/>
                <w:lang w:val="zh-TW" w:eastAsia="zh-TW"/>
              </w:rPr>
            </w:pPr>
            <w:r>
              <w:rPr>
                <w:sz w:val="18"/>
                <w:szCs w:val="18"/>
                <w:lang w:val="zh-TW" w:eastAsia="zh-TW"/>
              </w:rPr>
              <w:t>390</w:t>
            </w:r>
          </w:p>
        </w:tc>
        <w:tc>
          <w:tcPr>
            <w:tcW w:w="1055" w:type="pct"/>
            <w:vAlign w:val="center"/>
          </w:tcPr>
          <w:p>
            <w:pPr>
              <w:jc w:val="center"/>
              <w:rPr>
                <w:sz w:val="18"/>
                <w:szCs w:val="18"/>
                <w:lang w:val="zh-TW" w:eastAsia="zh-TW"/>
              </w:rPr>
            </w:pPr>
            <w:r>
              <w:rPr>
                <w:sz w:val="18"/>
                <w:szCs w:val="18"/>
                <w:lang w:val="zh-TW" w:eastAsia="zh-TW"/>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14" w:type="pct"/>
            <w:vAlign w:val="center"/>
          </w:tcPr>
          <w:p>
            <w:pPr>
              <w:jc w:val="center"/>
              <w:rPr>
                <w:sz w:val="18"/>
                <w:szCs w:val="18"/>
                <w:lang w:val="zh-TW" w:eastAsia="zh-TW"/>
              </w:rPr>
            </w:pPr>
            <w:r>
              <w:rPr>
                <w:sz w:val="18"/>
                <w:szCs w:val="18"/>
                <w:lang w:val="zh-TW" w:eastAsia="zh-TW"/>
              </w:rPr>
              <w:t>S350GD+Z</w:t>
            </w:r>
            <w:r>
              <w:rPr>
                <w:rFonts w:hint="eastAsia"/>
                <w:sz w:val="18"/>
                <w:szCs w:val="18"/>
              </w:rPr>
              <w:t>M</w:t>
            </w:r>
          </w:p>
        </w:tc>
        <w:tc>
          <w:tcPr>
            <w:tcW w:w="866" w:type="pct"/>
            <w:vAlign w:val="center"/>
          </w:tcPr>
          <w:p>
            <w:pPr>
              <w:jc w:val="center"/>
              <w:rPr>
                <w:sz w:val="18"/>
                <w:szCs w:val="18"/>
                <w:lang w:val="zh-TW" w:eastAsia="zh-TW"/>
              </w:rPr>
            </w:pPr>
            <w:r>
              <w:rPr>
                <w:sz w:val="18"/>
                <w:szCs w:val="18"/>
                <w:lang w:val="zh-TW" w:eastAsia="zh-TW"/>
              </w:rPr>
              <w:t>350</w:t>
            </w:r>
          </w:p>
        </w:tc>
        <w:tc>
          <w:tcPr>
            <w:tcW w:w="865" w:type="pct"/>
            <w:vAlign w:val="center"/>
          </w:tcPr>
          <w:p>
            <w:pPr>
              <w:jc w:val="center"/>
              <w:rPr>
                <w:sz w:val="18"/>
                <w:szCs w:val="18"/>
                <w:lang w:val="zh-TW" w:eastAsia="zh-TW"/>
              </w:rPr>
            </w:pPr>
            <w:r>
              <w:rPr>
                <w:sz w:val="18"/>
                <w:szCs w:val="18"/>
                <w:lang w:val="zh-TW" w:eastAsia="zh-TW"/>
              </w:rPr>
              <w:t>420</w:t>
            </w:r>
          </w:p>
        </w:tc>
        <w:tc>
          <w:tcPr>
            <w:tcW w:w="1055" w:type="pct"/>
            <w:vAlign w:val="center"/>
          </w:tcPr>
          <w:p>
            <w:pPr>
              <w:jc w:val="center"/>
              <w:rPr>
                <w:sz w:val="18"/>
                <w:szCs w:val="18"/>
                <w:lang w:val="zh-TW" w:eastAsia="zh-TW"/>
              </w:rPr>
            </w:pPr>
            <w:r>
              <w:rPr>
                <w:sz w:val="18"/>
                <w:szCs w:val="18"/>
                <w:lang w:val="zh-TW" w:eastAsia="zh-TW"/>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14" w:type="pct"/>
            <w:vAlign w:val="center"/>
          </w:tcPr>
          <w:p>
            <w:pPr>
              <w:jc w:val="center"/>
              <w:rPr>
                <w:sz w:val="18"/>
                <w:szCs w:val="18"/>
                <w:lang w:val="zh-TW" w:eastAsia="zh-TW"/>
              </w:rPr>
            </w:pPr>
            <w:r>
              <w:rPr>
                <w:rFonts w:hint="eastAsia"/>
                <w:sz w:val="18"/>
                <w:szCs w:val="18"/>
                <w:lang w:val="zh-TW" w:eastAsia="zh-TW"/>
              </w:rPr>
              <w:t>S390GD+</w:t>
            </w:r>
            <w:r>
              <w:rPr>
                <w:sz w:val="18"/>
                <w:szCs w:val="18"/>
                <w:lang w:val="zh-TW" w:eastAsia="zh-TW"/>
              </w:rPr>
              <w:t>Z</w:t>
            </w:r>
            <w:r>
              <w:rPr>
                <w:rFonts w:hint="eastAsia"/>
                <w:sz w:val="18"/>
                <w:szCs w:val="18"/>
              </w:rPr>
              <w:t>M</w:t>
            </w:r>
          </w:p>
        </w:tc>
        <w:tc>
          <w:tcPr>
            <w:tcW w:w="866" w:type="pct"/>
            <w:vAlign w:val="center"/>
          </w:tcPr>
          <w:p>
            <w:pPr>
              <w:jc w:val="center"/>
              <w:rPr>
                <w:sz w:val="18"/>
                <w:szCs w:val="18"/>
                <w:lang w:val="zh-TW" w:eastAsia="zh-TW"/>
              </w:rPr>
            </w:pPr>
            <w:r>
              <w:rPr>
                <w:rFonts w:hint="eastAsia"/>
                <w:sz w:val="18"/>
                <w:szCs w:val="18"/>
                <w:lang w:val="zh-TW" w:eastAsia="zh-TW"/>
              </w:rPr>
              <w:t>390</w:t>
            </w:r>
          </w:p>
        </w:tc>
        <w:tc>
          <w:tcPr>
            <w:tcW w:w="865" w:type="pct"/>
            <w:vAlign w:val="center"/>
          </w:tcPr>
          <w:p>
            <w:pPr>
              <w:jc w:val="center"/>
              <w:rPr>
                <w:sz w:val="18"/>
                <w:szCs w:val="18"/>
                <w:lang w:val="zh-TW" w:eastAsia="zh-TW"/>
              </w:rPr>
            </w:pPr>
            <w:r>
              <w:rPr>
                <w:rFonts w:hint="eastAsia"/>
                <w:sz w:val="18"/>
                <w:szCs w:val="18"/>
                <w:lang w:val="zh-TW" w:eastAsia="zh-TW"/>
              </w:rPr>
              <w:t>460</w:t>
            </w:r>
          </w:p>
        </w:tc>
        <w:tc>
          <w:tcPr>
            <w:tcW w:w="1055" w:type="pct"/>
            <w:vAlign w:val="center"/>
          </w:tcPr>
          <w:p>
            <w:pPr>
              <w:jc w:val="center"/>
              <w:rPr>
                <w:sz w:val="18"/>
                <w:szCs w:val="18"/>
                <w:lang w:val="zh-TW" w:eastAsia="zh-TW"/>
              </w:rPr>
            </w:pPr>
            <w:r>
              <w:rPr>
                <w:rFonts w:hint="eastAsia"/>
                <w:sz w:val="18"/>
                <w:szCs w:val="18"/>
                <w:lang w:val="zh-TW" w:eastAsia="zh-TW"/>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14" w:type="pct"/>
            <w:vAlign w:val="center"/>
          </w:tcPr>
          <w:p>
            <w:pPr>
              <w:jc w:val="center"/>
              <w:rPr>
                <w:sz w:val="18"/>
                <w:szCs w:val="18"/>
                <w:lang w:val="zh-TW" w:eastAsia="zh-TW"/>
              </w:rPr>
            </w:pPr>
            <w:r>
              <w:rPr>
                <w:rFonts w:hint="eastAsia"/>
                <w:sz w:val="18"/>
                <w:szCs w:val="18"/>
                <w:lang w:val="zh-TW" w:eastAsia="zh-TW"/>
              </w:rPr>
              <w:t>S420GD+</w:t>
            </w:r>
            <w:r>
              <w:rPr>
                <w:sz w:val="18"/>
                <w:szCs w:val="18"/>
                <w:lang w:val="zh-TW" w:eastAsia="zh-TW"/>
              </w:rPr>
              <w:t>Z</w:t>
            </w:r>
            <w:r>
              <w:rPr>
                <w:rFonts w:hint="eastAsia"/>
                <w:sz w:val="18"/>
                <w:szCs w:val="18"/>
              </w:rPr>
              <w:t>M</w:t>
            </w:r>
          </w:p>
        </w:tc>
        <w:tc>
          <w:tcPr>
            <w:tcW w:w="866" w:type="pct"/>
            <w:vAlign w:val="center"/>
          </w:tcPr>
          <w:p>
            <w:pPr>
              <w:jc w:val="center"/>
              <w:rPr>
                <w:sz w:val="18"/>
                <w:szCs w:val="18"/>
                <w:lang w:val="zh-TW" w:eastAsia="zh-TW"/>
              </w:rPr>
            </w:pPr>
            <w:r>
              <w:rPr>
                <w:rFonts w:hint="eastAsia"/>
                <w:sz w:val="18"/>
                <w:szCs w:val="18"/>
                <w:lang w:val="zh-TW" w:eastAsia="zh-TW"/>
              </w:rPr>
              <w:t>420</w:t>
            </w:r>
          </w:p>
        </w:tc>
        <w:tc>
          <w:tcPr>
            <w:tcW w:w="865" w:type="pct"/>
            <w:vAlign w:val="center"/>
          </w:tcPr>
          <w:p>
            <w:pPr>
              <w:jc w:val="center"/>
              <w:rPr>
                <w:sz w:val="18"/>
                <w:szCs w:val="18"/>
                <w:lang w:val="zh-TW" w:eastAsia="zh-TW"/>
              </w:rPr>
            </w:pPr>
            <w:r>
              <w:rPr>
                <w:rFonts w:hint="eastAsia"/>
                <w:sz w:val="18"/>
                <w:szCs w:val="18"/>
                <w:lang w:val="zh-TW" w:eastAsia="zh-TW"/>
              </w:rPr>
              <w:t>480</w:t>
            </w:r>
          </w:p>
        </w:tc>
        <w:tc>
          <w:tcPr>
            <w:tcW w:w="1055" w:type="pct"/>
            <w:vAlign w:val="center"/>
          </w:tcPr>
          <w:p>
            <w:pPr>
              <w:jc w:val="center"/>
              <w:rPr>
                <w:sz w:val="18"/>
                <w:szCs w:val="18"/>
                <w:lang w:val="zh-TW" w:eastAsia="zh-TW"/>
              </w:rPr>
            </w:pPr>
            <w:r>
              <w:rPr>
                <w:rFonts w:hint="eastAsia"/>
                <w:sz w:val="18"/>
                <w:szCs w:val="18"/>
                <w:lang w:val="zh-TW" w:eastAsia="zh-TW"/>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14" w:type="pct"/>
            <w:vAlign w:val="center"/>
          </w:tcPr>
          <w:p>
            <w:pPr>
              <w:jc w:val="center"/>
              <w:rPr>
                <w:sz w:val="18"/>
                <w:szCs w:val="18"/>
                <w:lang w:val="zh-TW" w:eastAsia="zh-TW"/>
              </w:rPr>
            </w:pPr>
            <w:r>
              <w:rPr>
                <w:rFonts w:hint="eastAsia"/>
                <w:sz w:val="18"/>
                <w:szCs w:val="18"/>
                <w:lang w:val="zh-TW" w:eastAsia="zh-TW"/>
              </w:rPr>
              <w:t>S450GD+</w:t>
            </w:r>
            <w:r>
              <w:rPr>
                <w:sz w:val="18"/>
                <w:szCs w:val="18"/>
                <w:lang w:val="zh-TW" w:eastAsia="zh-TW"/>
              </w:rPr>
              <w:t>Z</w:t>
            </w:r>
            <w:r>
              <w:rPr>
                <w:rFonts w:hint="eastAsia"/>
                <w:sz w:val="18"/>
                <w:szCs w:val="18"/>
              </w:rPr>
              <w:t>M</w:t>
            </w:r>
          </w:p>
        </w:tc>
        <w:tc>
          <w:tcPr>
            <w:tcW w:w="866" w:type="pct"/>
            <w:vAlign w:val="center"/>
          </w:tcPr>
          <w:p>
            <w:pPr>
              <w:jc w:val="center"/>
              <w:rPr>
                <w:sz w:val="18"/>
                <w:szCs w:val="18"/>
                <w:lang w:val="zh-TW" w:eastAsia="zh-TW"/>
              </w:rPr>
            </w:pPr>
            <w:r>
              <w:rPr>
                <w:rFonts w:hint="eastAsia"/>
                <w:sz w:val="18"/>
                <w:szCs w:val="18"/>
                <w:lang w:val="zh-TW" w:eastAsia="zh-TW"/>
              </w:rPr>
              <w:t>450</w:t>
            </w:r>
          </w:p>
        </w:tc>
        <w:tc>
          <w:tcPr>
            <w:tcW w:w="865" w:type="pct"/>
            <w:vAlign w:val="center"/>
          </w:tcPr>
          <w:p>
            <w:pPr>
              <w:jc w:val="center"/>
              <w:rPr>
                <w:sz w:val="18"/>
                <w:szCs w:val="18"/>
                <w:lang w:val="zh-TW" w:eastAsia="zh-TW"/>
              </w:rPr>
            </w:pPr>
            <w:r>
              <w:rPr>
                <w:rFonts w:hint="eastAsia"/>
                <w:sz w:val="18"/>
                <w:szCs w:val="18"/>
                <w:lang w:val="zh-TW" w:eastAsia="zh-TW"/>
              </w:rPr>
              <w:t>510</w:t>
            </w:r>
          </w:p>
        </w:tc>
        <w:tc>
          <w:tcPr>
            <w:tcW w:w="1055" w:type="pct"/>
            <w:vAlign w:val="center"/>
          </w:tcPr>
          <w:p>
            <w:pPr>
              <w:jc w:val="center"/>
              <w:rPr>
                <w:sz w:val="18"/>
                <w:szCs w:val="18"/>
                <w:lang w:val="zh-TW" w:eastAsia="zh-TW"/>
              </w:rPr>
            </w:pPr>
            <w:r>
              <w:rPr>
                <w:rFonts w:hint="eastAsia"/>
                <w:sz w:val="18"/>
                <w:szCs w:val="18"/>
                <w:lang w:val="zh-TW" w:eastAsia="zh-TW"/>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14" w:type="pct"/>
            <w:vAlign w:val="center"/>
          </w:tcPr>
          <w:p>
            <w:pPr>
              <w:jc w:val="center"/>
              <w:rPr>
                <w:sz w:val="18"/>
                <w:szCs w:val="18"/>
                <w:lang w:val="zh-TW" w:eastAsia="zh-TW"/>
              </w:rPr>
            </w:pPr>
            <w:r>
              <w:rPr>
                <w:rFonts w:hint="eastAsia"/>
                <w:sz w:val="18"/>
                <w:szCs w:val="18"/>
                <w:lang w:val="zh-TW" w:eastAsia="zh-TW"/>
              </w:rPr>
              <w:t>S550GD+</w:t>
            </w:r>
            <w:r>
              <w:rPr>
                <w:sz w:val="18"/>
                <w:szCs w:val="18"/>
                <w:lang w:val="zh-TW" w:eastAsia="zh-TW"/>
              </w:rPr>
              <w:t>Z</w:t>
            </w:r>
            <w:r>
              <w:rPr>
                <w:rFonts w:hint="eastAsia"/>
                <w:sz w:val="18"/>
                <w:szCs w:val="18"/>
              </w:rPr>
              <w:t>M</w:t>
            </w:r>
          </w:p>
        </w:tc>
        <w:tc>
          <w:tcPr>
            <w:tcW w:w="866" w:type="pct"/>
            <w:vAlign w:val="center"/>
          </w:tcPr>
          <w:p>
            <w:pPr>
              <w:jc w:val="center"/>
              <w:rPr>
                <w:sz w:val="18"/>
                <w:szCs w:val="18"/>
                <w:lang w:val="zh-TW" w:eastAsia="zh-TW"/>
              </w:rPr>
            </w:pPr>
            <w:r>
              <w:rPr>
                <w:rFonts w:hint="eastAsia"/>
                <w:sz w:val="18"/>
                <w:szCs w:val="18"/>
                <w:lang w:val="zh-TW" w:eastAsia="zh-TW"/>
              </w:rPr>
              <w:t>550</w:t>
            </w:r>
          </w:p>
        </w:tc>
        <w:tc>
          <w:tcPr>
            <w:tcW w:w="865" w:type="pct"/>
            <w:vAlign w:val="center"/>
          </w:tcPr>
          <w:p>
            <w:pPr>
              <w:jc w:val="center"/>
              <w:rPr>
                <w:sz w:val="18"/>
                <w:szCs w:val="18"/>
                <w:lang w:val="zh-TW" w:eastAsia="zh-TW"/>
              </w:rPr>
            </w:pPr>
            <w:r>
              <w:rPr>
                <w:rFonts w:hint="eastAsia"/>
                <w:sz w:val="18"/>
                <w:szCs w:val="18"/>
                <w:lang w:val="zh-TW" w:eastAsia="zh-TW"/>
              </w:rPr>
              <w:t>560</w:t>
            </w:r>
          </w:p>
        </w:tc>
        <w:tc>
          <w:tcPr>
            <w:tcW w:w="1055" w:type="pct"/>
            <w:vAlign w:val="center"/>
          </w:tcPr>
          <w:p>
            <w:pPr>
              <w:jc w:val="center"/>
              <w:rPr>
                <w:sz w:val="18"/>
                <w:szCs w:val="18"/>
                <w:lang w:val="zh-TW" w:eastAsia="zh-TW"/>
              </w:rPr>
            </w:pPr>
            <w:r>
              <w:rPr>
                <w:sz w:val="18"/>
                <w:szCs w:val="18"/>
                <w:lang w:val="zh-TW"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00" w:type="pct"/>
            <w:gridSpan w:val="4"/>
            <w:tcBorders>
              <w:right w:val="single" w:color="auto" w:sz="4" w:space="0"/>
            </w:tcBorders>
            <w:vAlign w:val="center"/>
          </w:tcPr>
          <w:p>
            <w:pPr>
              <w:jc w:val="left"/>
              <w:rPr>
                <w:sz w:val="18"/>
                <w:szCs w:val="18"/>
                <w:lang w:val="zh-TW" w:eastAsia="zh-TW"/>
              </w:rPr>
            </w:pPr>
            <w:r>
              <w:rPr>
                <w:rFonts w:hint="eastAsia"/>
                <w:sz w:val="18"/>
                <w:szCs w:val="18"/>
                <w:vertAlign w:val="superscript"/>
              </w:rPr>
              <w:t>a</w:t>
            </w:r>
            <w:r>
              <w:rPr>
                <w:rFonts w:hint="eastAsia"/>
                <w:sz w:val="18"/>
                <w:szCs w:val="18"/>
                <w:lang w:val="zh-TW" w:eastAsia="zh-TW"/>
              </w:rPr>
              <w:t>屈服现象不明显时，采用规定塑性延伸强度R</w:t>
            </w:r>
            <w:r>
              <w:rPr>
                <w:rFonts w:hint="eastAsia"/>
                <w:sz w:val="18"/>
                <w:szCs w:val="18"/>
                <w:vertAlign w:val="subscript"/>
                <w:lang w:val="zh-TW" w:eastAsia="zh-TW"/>
              </w:rPr>
              <w:t>p</w:t>
            </w:r>
            <w:r>
              <w:rPr>
                <w:rFonts w:hint="eastAsia"/>
                <w:sz w:val="18"/>
                <w:szCs w:val="18"/>
                <w:vertAlign w:val="subscript"/>
              </w:rPr>
              <w:t>0</w:t>
            </w:r>
            <w:r>
              <w:rPr>
                <w:rFonts w:hint="eastAsia"/>
                <w:sz w:val="18"/>
                <w:szCs w:val="18"/>
                <w:vertAlign w:val="subscript"/>
                <w:lang w:val="zh-TW" w:eastAsia="zh-TW"/>
              </w:rPr>
              <w:t>.2</w:t>
            </w:r>
            <w:r>
              <w:rPr>
                <w:rFonts w:hint="eastAsia"/>
                <w:sz w:val="18"/>
                <w:szCs w:val="18"/>
                <w:lang w:val="zh-TW" w:eastAsia="zh-TW"/>
              </w:rPr>
              <w:t>代替。</w:t>
            </w:r>
          </w:p>
          <w:p>
            <w:pPr>
              <w:jc w:val="left"/>
              <w:rPr>
                <w:sz w:val="18"/>
                <w:szCs w:val="18"/>
                <w:lang w:val="zh-TW" w:eastAsia="zh-TW"/>
              </w:rPr>
            </w:pPr>
            <w:r>
              <w:rPr>
                <w:rFonts w:hint="eastAsia"/>
                <w:sz w:val="18"/>
                <w:szCs w:val="18"/>
                <w:vertAlign w:val="superscript"/>
                <w:lang w:val="zh-TW" w:eastAsia="zh-TW"/>
              </w:rPr>
              <w:t>b</w:t>
            </w:r>
            <w:r>
              <w:rPr>
                <w:rFonts w:hint="eastAsia"/>
                <w:sz w:val="18"/>
                <w:szCs w:val="18"/>
                <w:lang w:val="zh-TW" w:eastAsia="zh-TW"/>
              </w:rPr>
              <w:t>试样为GB/T 228.1</w:t>
            </w:r>
            <w:r>
              <w:rPr>
                <w:rFonts w:hint="eastAsia"/>
                <w:sz w:val="18"/>
                <w:szCs w:val="18"/>
              </w:rPr>
              <w:t>-</w:t>
            </w:r>
            <w:r>
              <w:rPr>
                <w:rFonts w:hint="eastAsia"/>
                <w:sz w:val="18"/>
                <w:szCs w:val="18"/>
                <w:lang w:val="zh-TW" w:eastAsia="zh-TW"/>
              </w:rPr>
              <w:t>2010中的P6试样，试样方向为纵向。</w:t>
            </w:r>
          </w:p>
          <w:p>
            <w:pPr>
              <w:jc w:val="left"/>
              <w:rPr>
                <w:sz w:val="18"/>
                <w:szCs w:val="18"/>
                <w:lang w:val="zh-TW" w:eastAsia="zh-TW"/>
              </w:rPr>
            </w:pPr>
            <w:r>
              <w:rPr>
                <w:rFonts w:hint="eastAsia"/>
                <w:sz w:val="18"/>
                <w:szCs w:val="18"/>
                <w:vertAlign w:val="superscript"/>
              </w:rPr>
              <w:t>c</w:t>
            </w:r>
            <w:r>
              <w:rPr>
                <w:rFonts w:hint="eastAsia"/>
                <w:sz w:val="18"/>
                <w:szCs w:val="18"/>
                <w:lang w:val="zh-TW" w:eastAsia="zh-TW"/>
              </w:rPr>
              <w:t>除S550GD外,其他牌号的抗拉强度可要求140MPa的范围值。</w:t>
            </w:r>
          </w:p>
        </w:tc>
      </w:tr>
    </w:tbl>
    <w:p>
      <w:pPr>
        <w:pStyle w:val="22"/>
        <w:ind w:firstLine="0" w:firstLineChars="0"/>
      </w:pPr>
    </w:p>
    <w:p>
      <w:pPr>
        <w:spacing w:after="339" w:line="1" w:lineRule="exact"/>
      </w:pPr>
    </w:p>
    <w:p>
      <w:pPr>
        <w:pStyle w:val="40"/>
        <w:spacing w:before="156" w:after="156"/>
      </w:pPr>
      <w:bookmarkStart w:id="23" w:name="bookmark69"/>
      <w:bookmarkStart w:id="24" w:name="bookmark70"/>
      <w:bookmarkStart w:id="25" w:name="bookmark68"/>
      <w:r>
        <w:rPr>
          <w:rFonts w:hint="eastAsia"/>
        </w:rPr>
        <w:t>镀层黏附性</w:t>
      </w:r>
      <w:bookmarkEnd w:id="23"/>
      <w:bookmarkEnd w:id="24"/>
      <w:bookmarkEnd w:id="25"/>
    </w:p>
    <w:p>
      <w:pPr>
        <w:pStyle w:val="141"/>
        <w:ind w:firstLine="373" w:firstLineChars="178"/>
      </w:pPr>
      <w:bookmarkStart w:id="26" w:name="bookmark73"/>
      <w:bookmarkStart w:id="27" w:name="bookmark71"/>
      <w:bookmarkStart w:id="28" w:name="bookmark72"/>
      <w:r>
        <w:rPr>
          <w:rFonts w:hint="eastAsia"/>
        </w:rPr>
        <w:t>镀层黏附性应采用适当的试验方法进行试验，除非另行规定，试验方法由供方选择。</w:t>
      </w:r>
      <w:bookmarkEnd w:id="26"/>
      <w:bookmarkEnd w:id="27"/>
      <w:bookmarkEnd w:id="28"/>
    </w:p>
    <w:p>
      <w:pPr>
        <w:pStyle w:val="40"/>
        <w:spacing w:before="156" w:after="156"/>
        <w:rPr>
          <w:lang w:eastAsia="en-US"/>
        </w:rPr>
      </w:pPr>
      <w:bookmarkStart w:id="29" w:name="bookmark75"/>
      <w:bookmarkStart w:id="30" w:name="bookmark76"/>
      <w:bookmarkStart w:id="31" w:name="bookmark74"/>
      <w:r>
        <w:rPr>
          <w:rFonts w:hint="eastAsia"/>
          <w:lang w:eastAsia="en-US"/>
        </w:rPr>
        <w:t>镀</w:t>
      </w:r>
      <w:r>
        <w:rPr>
          <w:rFonts w:hint="eastAsia"/>
          <w:color w:val="auto"/>
          <w:lang w:eastAsia="en-US"/>
        </w:rPr>
        <w:t>层重量</w:t>
      </w:r>
      <w:bookmarkEnd w:id="29"/>
      <w:bookmarkEnd w:id="30"/>
      <w:bookmarkEnd w:id="31"/>
      <w:r>
        <w:rPr>
          <w:rFonts w:hint="eastAsia"/>
          <w:color w:val="auto"/>
        </w:rPr>
        <w:t>（双面）</w:t>
      </w:r>
    </w:p>
    <w:p>
      <w:pPr>
        <w:pStyle w:val="61"/>
        <w:spacing w:before="0" w:after="0"/>
        <w:rPr>
          <w:rFonts w:hAnsi="宋体"/>
        </w:rPr>
      </w:pPr>
      <w:bookmarkStart w:id="32" w:name="bookmark79"/>
      <w:bookmarkStart w:id="33" w:name="bookmark78"/>
      <w:bookmarkStart w:id="34" w:name="bookmark77"/>
      <w:r>
        <w:rPr>
          <w:rFonts w:hint="eastAsia" w:hAnsi="宋体"/>
        </w:rPr>
        <w:t>可供的公称镀层重量范围应符合表</w:t>
      </w:r>
      <w:r>
        <w:rPr>
          <w:rFonts w:hAnsi="宋体"/>
        </w:rPr>
        <w:t>7</w:t>
      </w:r>
      <w:r>
        <w:rPr>
          <w:rFonts w:hint="eastAsia" w:hAnsi="宋体"/>
        </w:rPr>
        <w:t>的规定。经供需双方协商，亦可提供其他镀层重量。</w:t>
      </w:r>
      <w:bookmarkEnd w:id="32"/>
      <w:bookmarkEnd w:id="33"/>
      <w:bookmarkEnd w:id="34"/>
    </w:p>
    <w:p>
      <w:pPr>
        <w:pStyle w:val="61"/>
        <w:spacing w:before="0" w:after="0"/>
        <w:rPr>
          <w:rFonts w:hAnsi="宋体"/>
        </w:rPr>
      </w:pPr>
      <w:bookmarkStart w:id="35" w:name="bookmark81"/>
      <w:bookmarkStart w:id="36" w:name="bookmark80"/>
      <w:bookmarkStart w:id="37" w:name="bookmark82"/>
      <w:r>
        <w:rPr>
          <w:rFonts w:hint="eastAsia" w:hAnsi="宋体"/>
        </w:rPr>
        <w:t>推荐的等厚公称镀层重量及相应的镀层代号应符合表</w:t>
      </w:r>
      <w:r>
        <w:rPr>
          <w:rFonts w:hAnsi="宋体"/>
        </w:rPr>
        <w:t>8</w:t>
      </w:r>
      <w:r>
        <w:rPr>
          <w:rFonts w:hint="eastAsia" w:hAnsi="宋体"/>
        </w:rPr>
        <w:t>的规定。经供需双方协商，等厚公称镀层重量也可用单面镀层重量进行表示。</w:t>
      </w:r>
      <w:bookmarkEnd w:id="35"/>
      <w:bookmarkEnd w:id="36"/>
      <w:bookmarkEnd w:id="37"/>
    </w:p>
    <w:p>
      <w:pPr>
        <w:pStyle w:val="61"/>
        <w:spacing w:before="0" w:after="0"/>
        <w:rPr>
          <w:rFonts w:hAnsi="宋体"/>
        </w:rPr>
      </w:pPr>
      <w:bookmarkStart w:id="38" w:name="bookmark83"/>
      <w:bookmarkStart w:id="39" w:name="bookmark84"/>
      <w:bookmarkStart w:id="40" w:name="bookmark85"/>
      <w:r>
        <w:rPr>
          <w:rFonts w:hint="eastAsia" w:hAnsi="宋体"/>
        </w:rPr>
        <w:t>对于等厚镀层，镀层重三点试验平均值应不小于规定公称镀层重量；镀层重量单点试验值应不小于规定公称镀层重量的85%。单面单点镀层重量试验值应不小于规定公称镀层重量的34%。</w:t>
      </w:r>
      <w:bookmarkEnd w:id="38"/>
      <w:bookmarkEnd w:id="39"/>
      <w:bookmarkEnd w:id="40"/>
    </w:p>
    <w:p>
      <w:pPr>
        <w:pStyle w:val="125"/>
        <w:spacing w:before="156" w:after="156"/>
        <w:rPr>
          <w:szCs w:val="22"/>
        </w:rPr>
      </w:pPr>
      <w:bookmarkStart w:id="41" w:name="bookmark91"/>
      <w:bookmarkStart w:id="42" w:name="bookmark89"/>
      <w:bookmarkStart w:id="43" w:name="bookmark90"/>
      <w:r>
        <w:rPr>
          <w:rFonts w:hint="eastAsia"/>
          <w:szCs w:val="22"/>
        </w:rPr>
        <w:t>表</w:t>
      </w:r>
      <w:r>
        <w:rPr>
          <w:szCs w:val="22"/>
        </w:rPr>
        <w:t>7</w:t>
      </w:r>
      <w:r>
        <w:rPr>
          <w:rFonts w:hint="eastAsia"/>
          <w:szCs w:val="22"/>
        </w:rPr>
        <w:t xml:space="preserve">  公称镀层重量范围</w:t>
      </w:r>
      <w:bookmarkEnd w:id="41"/>
      <w:bookmarkEnd w:id="42"/>
      <w:bookmarkEnd w:id="43"/>
    </w:p>
    <w:tbl>
      <w:tblPr>
        <w:tblStyle w:val="31"/>
        <w:tblW w:w="4998" w:type="pct"/>
        <w:jc w:val="center"/>
        <w:tblLayout w:type="autofit"/>
        <w:tblCellMar>
          <w:top w:w="0" w:type="dxa"/>
          <w:left w:w="10" w:type="dxa"/>
          <w:bottom w:w="0" w:type="dxa"/>
          <w:right w:w="10" w:type="dxa"/>
        </w:tblCellMar>
      </w:tblPr>
      <w:tblGrid>
        <w:gridCol w:w="2227"/>
        <w:gridCol w:w="7143"/>
      </w:tblGrid>
      <w:tr>
        <w:tblPrEx>
          <w:tblCellMar>
            <w:top w:w="0" w:type="dxa"/>
            <w:left w:w="10" w:type="dxa"/>
            <w:bottom w:w="0" w:type="dxa"/>
            <w:right w:w="10" w:type="dxa"/>
          </w:tblCellMar>
        </w:tblPrEx>
        <w:trPr>
          <w:trHeight w:val="370" w:hRule="exact"/>
          <w:jc w:val="center"/>
        </w:trPr>
        <w:tc>
          <w:tcPr>
            <w:tcW w:w="1188" w:type="pct"/>
            <w:tcBorders>
              <w:top w:val="single" w:color="auto" w:sz="4" w:space="0"/>
              <w:left w:val="single" w:color="auto" w:sz="4" w:space="0"/>
              <w:bottom w:val="single" w:color="auto" w:sz="4" w:space="0"/>
            </w:tcBorders>
            <w:shd w:val="clear" w:color="auto" w:fill="FFFFFF"/>
            <w:vAlign w:val="center"/>
          </w:tcPr>
          <w:p>
            <w:pPr>
              <w:jc w:val="center"/>
              <w:rPr>
                <w:sz w:val="18"/>
                <w:szCs w:val="18"/>
                <w:lang w:val="zh-TW" w:eastAsia="zh-TW"/>
              </w:rPr>
            </w:pPr>
            <w:r>
              <w:rPr>
                <w:sz w:val="18"/>
                <w:szCs w:val="18"/>
                <w:lang w:val="zh-TW" w:eastAsia="zh-TW"/>
              </w:rPr>
              <w:t>镀层形式</w:t>
            </w:r>
          </w:p>
        </w:tc>
        <w:tc>
          <w:tcPr>
            <w:tcW w:w="3811" w:type="pct"/>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sz w:val="18"/>
                <w:szCs w:val="18"/>
                <w:lang w:val="zh-TW" w:eastAsia="zh-TW"/>
              </w:rPr>
            </w:pPr>
            <w:r>
              <w:rPr>
                <w:sz w:val="18"/>
                <w:szCs w:val="18"/>
                <w:lang w:val="zh-TW" w:eastAsia="zh-TW"/>
              </w:rPr>
              <w:t>公称镀层重量范围</w:t>
            </w:r>
            <w:r>
              <w:rPr>
                <w:sz w:val="18"/>
                <w:szCs w:val="18"/>
              </w:rPr>
              <w:t>/（g/m</w:t>
            </w:r>
            <w:r>
              <w:rPr>
                <w:sz w:val="18"/>
                <w:szCs w:val="18"/>
                <w:vertAlign w:val="superscript"/>
              </w:rPr>
              <w:t>2</w:t>
            </w:r>
            <w:r>
              <w:rPr>
                <w:sz w:val="18"/>
                <w:szCs w:val="18"/>
              </w:rPr>
              <w:t>）</w:t>
            </w:r>
          </w:p>
        </w:tc>
      </w:tr>
      <w:tr>
        <w:tblPrEx>
          <w:tblCellMar>
            <w:top w:w="0" w:type="dxa"/>
            <w:left w:w="10" w:type="dxa"/>
            <w:bottom w:w="0" w:type="dxa"/>
            <w:right w:w="10" w:type="dxa"/>
          </w:tblCellMar>
        </w:tblPrEx>
        <w:trPr>
          <w:trHeight w:val="360" w:hRule="exact"/>
          <w:jc w:val="center"/>
        </w:trPr>
        <w:tc>
          <w:tcPr>
            <w:tcW w:w="1188" w:type="pct"/>
            <w:tcBorders>
              <w:top w:val="single" w:color="auto" w:sz="4" w:space="0"/>
              <w:left w:val="single" w:color="auto" w:sz="4" w:space="0"/>
              <w:bottom w:val="single" w:color="auto" w:sz="4" w:space="0"/>
            </w:tcBorders>
            <w:shd w:val="clear" w:color="auto" w:fill="FFFFFF"/>
            <w:vAlign w:val="center"/>
          </w:tcPr>
          <w:p>
            <w:pPr>
              <w:jc w:val="center"/>
              <w:rPr>
                <w:sz w:val="18"/>
                <w:szCs w:val="18"/>
                <w:lang w:val="zh-TW" w:eastAsia="zh-TW"/>
              </w:rPr>
            </w:pPr>
            <w:r>
              <w:rPr>
                <w:sz w:val="18"/>
                <w:szCs w:val="18"/>
                <w:lang w:val="zh-TW" w:eastAsia="zh-TW"/>
              </w:rPr>
              <w:t>等厚镀层</w:t>
            </w:r>
          </w:p>
        </w:tc>
        <w:tc>
          <w:tcPr>
            <w:tcW w:w="38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PMingLiU"/>
                <w:sz w:val="18"/>
                <w:szCs w:val="18"/>
                <w:lang w:eastAsia="zh-TW"/>
              </w:rPr>
            </w:pPr>
            <w:r>
              <w:rPr>
                <w:rFonts w:hint="eastAsia" w:asciiTheme="minorEastAsia" w:hAnsiTheme="minorEastAsia" w:eastAsiaTheme="minorEastAsia"/>
                <w:sz w:val="18"/>
                <w:szCs w:val="18"/>
              </w:rPr>
              <w:t>40-</w:t>
            </w:r>
            <w:r>
              <w:rPr>
                <w:rFonts w:asciiTheme="minorEastAsia" w:hAnsiTheme="minorEastAsia" w:eastAsiaTheme="minorEastAsia"/>
                <w:sz w:val="18"/>
                <w:szCs w:val="18"/>
              </w:rPr>
              <w:t>275</w:t>
            </w:r>
          </w:p>
        </w:tc>
      </w:tr>
    </w:tbl>
    <w:p>
      <w:pPr>
        <w:pStyle w:val="125"/>
        <w:spacing w:before="156" w:after="156"/>
        <w:rPr>
          <w:szCs w:val="22"/>
        </w:rPr>
      </w:pPr>
      <w:r>
        <w:rPr>
          <w:rFonts w:hint="eastAsia"/>
          <w:szCs w:val="22"/>
        </w:rPr>
        <w:t>表</w:t>
      </w:r>
      <w:r>
        <w:rPr>
          <w:szCs w:val="22"/>
        </w:rPr>
        <w:t>8</w:t>
      </w:r>
      <w:r>
        <w:rPr>
          <w:rFonts w:hint="eastAsia"/>
          <w:szCs w:val="22"/>
        </w:rPr>
        <w:t xml:space="preserve">  推荐的公称镀层重量及相应的镀层代号</w:t>
      </w:r>
    </w:p>
    <w:tbl>
      <w:tblPr>
        <w:tblStyle w:val="31"/>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727"/>
        <w:gridCol w:w="442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73" w:type="pct"/>
            <w:shd w:val="clear" w:color="auto" w:fill="auto"/>
            <w:vAlign w:val="center"/>
          </w:tcPr>
          <w:p>
            <w:pPr>
              <w:jc w:val="center"/>
              <w:rPr>
                <w:sz w:val="18"/>
                <w:szCs w:val="18"/>
                <w:lang w:val="zh-TW" w:eastAsia="zh-TW"/>
              </w:rPr>
            </w:pPr>
            <w:r>
              <w:rPr>
                <w:sz w:val="18"/>
                <w:szCs w:val="18"/>
                <w:lang w:val="zh-TW" w:eastAsia="zh-TW"/>
              </w:rPr>
              <w:t>镀层种类</w:t>
            </w:r>
          </w:p>
        </w:tc>
        <w:tc>
          <w:tcPr>
            <w:tcW w:w="930" w:type="pct"/>
            <w:vAlign w:val="center"/>
          </w:tcPr>
          <w:p>
            <w:pPr>
              <w:jc w:val="center"/>
              <w:rPr>
                <w:sz w:val="18"/>
                <w:szCs w:val="18"/>
                <w:lang w:val="zh-TW" w:eastAsia="zh-TW"/>
              </w:rPr>
            </w:pPr>
            <w:r>
              <w:rPr>
                <w:sz w:val="18"/>
                <w:szCs w:val="18"/>
                <w:lang w:val="zh-TW" w:eastAsia="zh-TW"/>
              </w:rPr>
              <w:t>镀层形式</w:t>
            </w:r>
          </w:p>
        </w:tc>
        <w:tc>
          <w:tcPr>
            <w:tcW w:w="2381" w:type="pct"/>
            <w:shd w:val="clear" w:color="auto" w:fill="auto"/>
            <w:vAlign w:val="center"/>
          </w:tcPr>
          <w:p>
            <w:pPr>
              <w:jc w:val="center"/>
              <w:rPr>
                <w:sz w:val="18"/>
                <w:szCs w:val="18"/>
                <w:lang w:val="zh-TW" w:eastAsia="zh-TW"/>
              </w:rPr>
            </w:pPr>
            <w:r>
              <w:rPr>
                <w:sz w:val="18"/>
                <w:szCs w:val="18"/>
                <w:lang w:val="zh-TW" w:eastAsia="zh-TW"/>
              </w:rPr>
              <w:t>推荐的公称镀层重量/(g/m</w:t>
            </w:r>
            <w:r>
              <w:rPr>
                <w:sz w:val="18"/>
                <w:szCs w:val="18"/>
                <w:vertAlign w:val="superscript"/>
                <w:lang w:val="zh-TW" w:eastAsia="zh-TW"/>
              </w:rPr>
              <w:t>2</w:t>
            </w:r>
            <w:r>
              <w:rPr>
                <w:sz w:val="18"/>
                <w:szCs w:val="18"/>
                <w:lang w:val="zh-TW" w:eastAsia="zh-TW"/>
              </w:rPr>
              <w:t>)</w:t>
            </w:r>
          </w:p>
        </w:tc>
        <w:tc>
          <w:tcPr>
            <w:tcW w:w="816" w:type="pct"/>
            <w:shd w:val="clear" w:color="auto" w:fill="auto"/>
            <w:vAlign w:val="center"/>
          </w:tcPr>
          <w:p>
            <w:pPr>
              <w:jc w:val="center"/>
              <w:rPr>
                <w:sz w:val="18"/>
                <w:szCs w:val="18"/>
                <w:lang w:val="zh-TW" w:eastAsia="zh-TW"/>
              </w:rPr>
            </w:pPr>
            <w:r>
              <w:rPr>
                <w:sz w:val="18"/>
                <w:szCs w:val="18"/>
                <w:lang w:val="zh-TW" w:eastAsia="zh-TW"/>
              </w:rPr>
              <w:t>镀层代号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873" w:type="pct"/>
            <w:vMerge w:val="restart"/>
            <w:shd w:val="clear" w:color="auto" w:fill="auto"/>
            <w:vAlign w:val="center"/>
          </w:tcPr>
          <w:p>
            <w:pPr>
              <w:jc w:val="center"/>
              <w:rPr>
                <w:sz w:val="18"/>
                <w:szCs w:val="18"/>
              </w:rPr>
            </w:pPr>
            <w:r>
              <w:rPr>
                <w:rFonts w:hint="eastAsia"/>
                <w:sz w:val="18"/>
                <w:szCs w:val="18"/>
                <w:lang w:val="zh-TW" w:eastAsia="zh-TW"/>
              </w:rPr>
              <w:t>Z</w:t>
            </w:r>
            <w:r>
              <w:rPr>
                <w:rFonts w:hint="eastAsia"/>
                <w:sz w:val="18"/>
                <w:szCs w:val="18"/>
              </w:rPr>
              <w:t>M</w:t>
            </w:r>
          </w:p>
        </w:tc>
        <w:tc>
          <w:tcPr>
            <w:tcW w:w="930" w:type="pct"/>
            <w:vMerge w:val="restart"/>
            <w:vAlign w:val="center"/>
          </w:tcPr>
          <w:p>
            <w:pPr>
              <w:jc w:val="center"/>
              <w:rPr>
                <w:sz w:val="18"/>
                <w:szCs w:val="18"/>
                <w:lang w:val="zh-TW" w:eastAsia="zh-TW"/>
              </w:rPr>
            </w:pPr>
          </w:p>
          <w:p>
            <w:pPr>
              <w:jc w:val="center"/>
              <w:rPr>
                <w:sz w:val="18"/>
                <w:szCs w:val="18"/>
                <w:lang w:val="zh-TW" w:eastAsia="zh-TW"/>
              </w:rPr>
            </w:pPr>
            <w:r>
              <w:rPr>
                <w:sz w:val="18"/>
                <w:szCs w:val="18"/>
                <w:lang w:val="zh-TW" w:eastAsia="zh-TW"/>
              </w:rPr>
              <w:t>等厚镀层</w:t>
            </w:r>
          </w:p>
          <w:p>
            <w:pPr>
              <w:jc w:val="center"/>
              <w:rPr>
                <w:sz w:val="18"/>
                <w:szCs w:val="18"/>
                <w:lang w:val="zh-TW" w:eastAsia="zh-TW"/>
              </w:rPr>
            </w:pPr>
          </w:p>
        </w:tc>
        <w:tc>
          <w:tcPr>
            <w:tcW w:w="2381" w:type="pct"/>
            <w:shd w:val="clear" w:color="auto" w:fill="auto"/>
            <w:vAlign w:val="center"/>
          </w:tcPr>
          <w:p>
            <w:pPr>
              <w:jc w:val="center"/>
              <w:rPr>
                <w:sz w:val="18"/>
                <w:szCs w:val="18"/>
                <w:lang w:val="zh-TW" w:eastAsia="zh-TW"/>
              </w:rPr>
            </w:pPr>
            <w:r>
              <w:rPr>
                <w:rFonts w:hint="eastAsia"/>
                <w:sz w:val="18"/>
                <w:szCs w:val="18"/>
                <w:lang w:val="zh-TW" w:eastAsia="zh-TW"/>
              </w:rPr>
              <w:t>40</w:t>
            </w:r>
          </w:p>
        </w:tc>
        <w:tc>
          <w:tcPr>
            <w:tcW w:w="816" w:type="pct"/>
            <w:shd w:val="clear" w:color="auto" w:fill="auto"/>
            <w:vAlign w:val="center"/>
          </w:tcPr>
          <w:p>
            <w:pPr>
              <w:jc w:val="center"/>
              <w:rPr>
                <w:sz w:val="18"/>
                <w:szCs w:val="18"/>
                <w:lang w:val="zh-TW" w:eastAsia="zh-TW"/>
              </w:rPr>
            </w:pPr>
            <w:r>
              <w:rPr>
                <w:rFonts w:hint="eastAsia"/>
                <w:sz w:val="18"/>
                <w:szCs w:val="18"/>
                <w:lang w:val="zh-TW" w:eastAsia="zh-TW"/>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873" w:type="pct"/>
            <w:vMerge w:val="continue"/>
            <w:shd w:val="clear" w:color="auto" w:fill="auto"/>
            <w:vAlign w:val="center"/>
          </w:tcPr>
          <w:p>
            <w:pPr>
              <w:jc w:val="center"/>
              <w:rPr>
                <w:sz w:val="18"/>
                <w:szCs w:val="18"/>
                <w:lang w:val="zh-TW" w:eastAsia="zh-TW"/>
              </w:rPr>
            </w:pPr>
          </w:p>
        </w:tc>
        <w:tc>
          <w:tcPr>
            <w:tcW w:w="930" w:type="pct"/>
            <w:vMerge w:val="continue"/>
            <w:vAlign w:val="center"/>
          </w:tcPr>
          <w:p>
            <w:pPr>
              <w:jc w:val="center"/>
              <w:rPr>
                <w:sz w:val="18"/>
                <w:szCs w:val="18"/>
                <w:lang w:val="zh-TW" w:eastAsia="zh-TW"/>
              </w:rPr>
            </w:pPr>
          </w:p>
        </w:tc>
        <w:tc>
          <w:tcPr>
            <w:tcW w:w="2381" w:type="pct"/>
            <w:shd w:val="clear" w:color="auto" w:fill="auto"/>
            <w:vAlign w:val="center"/>
          </w:tcPr>
          <w:p>
            <w:pPr>
              <w:jc w:val="center"/>
              <w:rPr>
                <w:rFonts w:eastAsia="PMingLiU"/>
                <w:sz w:val="18"/>
                <w:szCs w:val="18"/>
                <w:lang w:val="zh-TW" w:eastAsia="zh-TW"/>
              </w:rPr>
            </w:pPr>
            <w:r>
              <w:rPr>
                <w:rFonts w:hint="eastAsia" w:asciiTheme="minorEastAsia" w:hAnsiTheme="minorEastAsia" w:eastAsiaTheme="minorEastAsia"/>
                <w:sz w:val="18"/>
                <w:szCs w:val="18"/>
                <w:lang w:val="zh-TW" w:eastAsia="zh-TW"/>
              </w:rPr>
              <w:t>60</w:t>
            </w:r>
          </w:p>
        </w:tc>
        <w:tc>
          <w:tcPr>
            <w:tcW w:w="816" w:type="pct"/>
            <w:shd w:val="clear" w:color="auto" w:fill="auto"/>
            <w:vAlign w:val="center"/>
          </w:tcPr>
          <w:p>
            <w:pPr>
              <w:jc w:val="center"/>
              <w:rPr>
                <w:sz w:val="18"/>
                <w:szCs w:val="18"/>
                <w:lang w:val="zh-TW" w:eastAsia="zh-TW"/>
              </w:rPr>
            </w:pPr>
            <w:r>
              <w:rPr>
                <w:rFonts w:hint="eastAsia" w:asciiTheme="minorEastAsia" w:hAnsiTheme="minorEastAsia" w:eastAsiaTheme="minorEastAsia"/>
                <w:sz w:val="18"/>
                <w:szCs w:val="18"/>
                <w:lang w:val="zh-TW" w:eastAsia="zh-TW"/>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873" w:type="pct"/>
            <w:vMerge w:val="continue"/>
            <w:shd w:val="clear" w:color="auto" w:fill="auto"/>
            <w:vAlign w:val="center"/>
          </w:tcPr>
          <w:p>
            <w:pPr>
              <w:jc w:val="center"/>
              <w:rPr>
                <w:sz w:val="18"/>
                <w:szCs w:val="18"/>
                <w:lang w:val="zh-TW" w:eastAsia="zh-TW"/>
              </w:rPr>
            </w:pPr>
          </w:p>
        </w:tc>
        <w:tc>
          <w:tcPr>
            <w:tcW w:w="930" w:type="pct"/>
            <w:vMerge w:val="continue"/>
            <w:vAlign w:val="center"/>
          </w:tcPr>
          <w:p>
            <w:pPr>
              <w:jc w:val="center"/>
              <w:rPr>
                <w:sz w:val="18"/>
                <w:szCs w:val="18"/>
                <w:lang w:val="zh-TW" w:eastAsia="zh-TW"/>
              </w:rPr>
            </w:pPr>
          </w:p>
        </w:tc>
        <w:tc>
          <w:tcPr>
            <w:tcW w:w="2381" w:type="pct"/>
            <w:shd w:val="clear" w:color="auto" w:fill="auto"/>
            <w:vAlign w:val="center"/>
          </w:tcPr>
          <w:p>
            <w:pPr>
              <w:jc w:val="center"/>
              <w:rPr>
                <w:rFonts w:eastAsia="PMingLiU"/>
                <w:sz w:val="18"/>
                <w:szCs w:val="18"/>
                <w:lang w:val="zh-TW" w:eastAsia="zh-TW"/>
              </w:rPr>
            </w:pPr>
            <w:r>
              <w:rPr>
                <w:rFonts w:hint="eastAsia" w:asciiTheme="minorEastAsia" w:hAnsiTheme="minorEastAsia" w:eastAsiaTheme="minorEastAsia"/>
                <w:sz w:val="18"/>
                <w:szCs w:val="18"/>
                <w:lang w:val="zh-TW" w:eastAsia="zh-TW"/>
              </w:rPr>
              <w:t>80</w:t>
            </w:r>
          </w:p>
        </w:tc>
        <w:tc>
          <w:tcPr>
            <w:tcW w:w="816" w:type="pct"/>
            <w:shd w:val="clear" w:color="auto" w:fill="auto"/>
            <w:vAlign w:val="center"/>
          </w:tcPr>
          <w:p>
            <w:pPr>
              <w:jc w:val="center"/>
              <w:rPr>
                <w:sz w:val="18"/>
                <w:szCs w:val="18"/>
                <w:lang w:val="zh-TW" w:eastAsia="zh-TW"/>
              </w:rPr>
            </w:pPr>
            <w:r>
              <w:rPr>
                <w:rFonts w:hint="eastAsia" w:asciiTheme="minorEastAsia" w:hAnsiTheme="minorEastAsia" w:eastAsiaTheme="minorEastAsia"/>
                <w:sz w:val="18"/>
                <w:szCs w:val="18"/>
                <w:lang w:val="zh-TW" w:eastAsia="zh-TW"/>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873" w:type="pct"/>
            <w:vMerge w:val="continue"/>
            <w:shd w:val="clear" w:color="auto" w:fill="auto"/>
            <w:vAlign w:val="center"/>
          </w:tcPr>
          <w:p>
            <w:pPr>
              <w:jc w:val="center"/>
              <w:rPr>
                <w:sz w:val="18"/>
                <w:szCs w:val="18"/>
                <w:lang w:val="zh-TW" w:eastAsia="zh-TW"/>
              </w:rPr>
            </w:pPr>
          </w:p>
        </w:tc>
        <w:tc>
          <w:tcPr>
            <w:tcW w:w="930" w:type="pct"/>
            <w:vMerge w:val="continue"/>
            <w:vAlign w:val="center"/>
          </w:tcPr>
          <w:p>
            <w:pPr>
              <w:jc w:val="center"/>
              <w:rPr>
                <w:sz w:val="18"/>
                <w:szCs w:val="18"/>
                <w:lang w:val="zh-TW" w:eastAsia="zh-TW"/>
              </w:rPr>
            </w:pPr>
          </w:p>
        </w:tc>
        <w:tc>
          <w:tcPr>
            <w:tcW w:w="2381" w:type="pct"/>
            <w:shd w:val="clear" w:color="auto" w:fill="auto"/>
            <w:vAlign w:val="center"/>
          </w:tcPr>
          <w:p>
            <w:pPr>
              <w:jc w:val="center"/>
              <w:rPr>
                <w:rFonts w:eastAsia="PMingLiU"/>
                <w:sz w:val="18"/>
                <w:szCs w:val="18"/>
                <w:lang w:val="zh-TW" w:eastAsia="zh-TW"/>
              </w:rPr>
            </w:pPr>
            <w:r>
              <w:rPr>
                <w:rFonts w:hint="eastAsia" w:asciiTheme="minorEastAsia" w:hAnsiTheme="minorEastAsia" w:eastAsiaTheme="minorEastAsia"/>
                <w:sz w:val="18"/>
                <w:szCs w:val="18"/>
                <w:lang w:val="zh-TW" w:eastAsia="zh-TW"/>
              </w:rPr>
              <w:t>100</w:t>
            </w:r>
          </w:p>
        </w:tc>
        <w:tc>
          <w:tcPr>
            <w:tcW w:w="816" w:type="pct"/>
            <w:shd w:val="clear" w:color="auto" w:fill="auto"/>
            <w:vAlign w:val="center"/>
          </w:tcPr>
          <w:p>
            <w:pPr>
              <w:jc w:val="center"/>
              <w:rPr>
                <w:sz w:val="18"/>
                <w:szCs w:val="18"/>
                <w:lang w:val="zh-TW" w:eastAsia="zh-TW"/>
              </w:rPr>
            </w:pPr>
            <w:r>
              <w:rPr>
                <w:rFonts w:hint="eastAsia" w:asciiTheme="minorEastAsia" w:hAnsiTheme="minorEastAsia" w:eastAsiaTheme="minorEastAsia"/>
                <w:sz w:val="18"/>
                <w:szCs w:val="18"/>
                <w:lang w:val="zh-TW" w:eastAsia="zh-TW"/>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873" w:type="pct"/>
            <w:vMerge w:val="continue"/>
            <w:shd w:val="clear" w:color="auto" w:fill="auto"/>
            <w:vAlign w:val="center"/>
          </w:tcPr>
          <w:p>
            <w:pPr>
              <w:jc w:val="center"/>
              <w:rPr>
                <w:sz w:val="18"/>
                <w:szCs w:val="18"/>
                <w:lang w:val="zh-TW" w:eastAsia="zh-TW"/>
              </w:rPr>
            </w:pPr>
          </w:p>
        </w:tc>
        <w:tc>
          <w:tcPr>
            <w:tcW w:w="930" w:type="pct"/>
            <w:vMerge w:val="continue"/>
            <w:vAlign w:val="center"/>
          </w:tcPr>
          <w:p>
            <w:pPr>
              <w:jc w:val="center"/>
              <w:rPr>
                <w:sz w:val="18"/>
                <w:szCs w:val="18"/>
                <w:lang w:val="zh-TW" w:eastAsia="zh-TW"/>
              </w:rPr>
            </w:pPr>
          </w:p>
        </w:tc>
        <w:tc>
          <w:tcPr>
            <w:tcW w:w="2381" w:type="pct"/>
            <w:shd w:val="clear" w:color="auto" w:fill="auto"/>
            <w:vAlign w:val="center"/>
          </w:tcPr>
          <w:p>
            <w:pPr>
              <w:jc w:val="center"/>
              <w:rPr>
                <w:rFonts w:eastAsia="PMingLiU"/>
                <w:sz w:val="18"/>
                <w:szCs w:val="18"/>
                <w:lang w:val="zh-TW" w:eastAsia="zh-TW"/>
              </w:rPr>
            </w:pPr>
            <w:r>
              <w:rPr>
                <w:rFonts w:hint="eastAsia" w:asciiTheme="minorEastAsia" w:hAnsiTheme="minorEastAsia" w:eastAsiaTheme="minorEastAsia"/>
                <w:sz w:val="18"/>
                <w:szCs w:val="18"/>
                <w:lang w:val="zh-TW" w:eastAsia="zh-TW"/>
              </w:rPr>
              <w:t>120</w:t>
            </w:r>
          </w:p>
        </w:tc>
        <w:tc>
          <w:tcPr>
            <w:tcW w:w="816" w:type="pct"/>
            <w:shd w:val="clear" w:color="auto" w:fill="auto"/>
            <w:vAlign w:val="center"/>
          </w:tcPr>
          <w:p>
            <w:pPr>
              <w:jc w:val="center"/>
              <w:rPr>
                <w:sz w:val="18"/>
                <w:szCs w:val="18"/>
                <w:lang w:val="zh-TW" w:eastAsia="zh-TW"/>
              </w:rPr>
            </w:pPr>
            <w:r>
              <w:rPr>
                <w:rFonts w:hint="eastAsia" w:asciiTheme="minorEastAsia" w:hAnsiTheme="minorEastAsia" w:eastAsiaTheme="minorEastAsia"/>
                <w:sz w:val="18"/>
                <w:szCs w:val="18"/>
                <w:lang w:val="zh-TW" w:eastAsia="zh-TW"/>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873" w:type="pct"/>
            <w:vMerge w:val="continue"/>
            <w:shd w:val="clear" w:color="auto" w:fill="auto"/>
            <w:vAlign w:val="center"/>
          </w:tcPr>
          <w:p>
            <w:pPr>
              <w:jc w:val="center"/>
              <w:rPr>
                <w:sz w:val="18"/>
                <w:szCs w:val="18"/>
                <w:lang w:val="zh-TW" w:eastAsia="zh-TW"/>
              </w:rPr>
            </w:pPr>
          </w:p>
        </w:tc>
        <w:tc>
          <w:tcPr>
            <w:tcW w:w="930" w:type="pct"/>
            <w:vMerge w:val="continue"/>
            <w:vAlign w:val="center"/>
          </w:tcPr>
          <w:p>
            <w:pPr>
              <w:jc w:val="center"/>
              <w:rPr>
                <w:sz w:val="18"/>
                <w:szCs w:val="18"/>
                <w:lang w:val="zh-TW" w:eastAsia="zh-TW"/>
              </w:rPr>
            </w:pPr>
          </w:p>
        </w:tc>
        <w:tc>
          <w:tcPr>
            <w:tcW w:w="2381" w:type="pct"/>
            <w:shd w:val="clear" w:color="auto" w:fill="auto"/>
            <w:vAlign w:val="center"/>
          </w:tcPr>
          <w:p>
            <w:pPr>
              <w:jc w:val="center"/>
              <w:rPr>
                <w:rFonts w:asciiTheme="minorEastAsia" w:hAnsiTheme="minorEastAsia" w:eastAsiaTheme="minorEastAsia"/>
                <w:sz w:val="18"/>
                <w:szCs w:val="18"/>
                <w:lang w:val="zh-TW" w:eastAsia="zh-TW"/>
              </w:rPr>
            </w:pPr>
            <w:r>
              <w:rPr>
                <w:rFonts w:hint="eastAsia" w:asciiTheme="minorEastAsia" w:hAnsiTheme="minorEastAsia" w:eastAsiaTheme="minorEastAsia"/>
                <w:sz w:val="18"/>
                <w:szCs w:val="18"/>
                <w:lang w:val="zh-TW" w:eastAsia="zh-TW"/>
              </w:rPr>
              <w:t>150</w:t>
            </w:r>
          </w:p>
        </w:tc>
        <w:tc>
          <w:tcPr>
            <w:tcW w:w="816" w:type="pct"/>
            <w:shd w:val="clear" w:color="auto" w:fill="auto"/>
            <w:vAlign w:val="center"/>
          </w:tcPr>
          <w:p>
            <w:pPr>
              <w:jc w:val="center"/>
              <w:rPr>
                <w:sz w:val="18"/>
                <w:szCs w:val="18"/>
                <w:lang w:val="zh-TW" w:eastAsia="zh-TW"/>
              </w:rPr>
            </w:pPr>
            <w:r>
              <w:rPr>
                <w:rFonts w:hint="eastAsia" w:asciiTheme="minorEastAsia" w:hAnsiTheme="minorEastAsia" w:eastAsiaTheme="minorEastAsia"/>
                <w:sz w:val="18"/>
                <w:szCs w:val="18"/>
                <w:lang w:val="zh-TW" w:eastAsia="zh-TW"/>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873" w:type="pct"/>
            <w:vMerge w:val="continue"/>
            <w:shd w:val="clear" w:color="auto" w:fill="auto"/>
            <w:vAlign w:val="center"/>
          </w:tcPr>
          <w:p>
            <w:pPr>
              <w:jc w:val="center"/>
              <w:rPr>
                <w:sz w:val="18"/>
                <w:szCs w:val="18"/>
                <w:lang w:val="zh-TW" w:eastAsia="zh-TW"/>
              </w:rPr>
            </w:pPr>
          </w:p>
        </w:tc>
        <w:tc>
          <w:tcPr>
            <w:tcW w:w="930" w:type="pct"/>
            <w:vMerge w:val="continue"/>
            <w:vAlign w:val="center"/>
          </w:tcPr>
          <w:p>
            <w:pPr>
              <w:jc w:val="center"/>
              <w:rPr>
                <w:sz w:val="18"/>
                <w:szCs w:val="18"/>
                <w:lang w:val="zh-TW" w:eastAsia="zh-TW"/>
              </w:rPr>
            </w:pPr>
          </w:p>
        </w:tc>
        <w:tc>
          <w:tcPr>
            <w:tcW w:w="2381" w:type="pct"/>
            <w:shd w:val="clear" w:color="auto" w:fill="auto"/>
            <w:vAlign w:val="center"/>
          </w:tcPr>
          <w:p>
            <w:pPr>
              <w:jc w:val="center"/>
              <w:rPr>
                <w:rFonts w:asciiTheme="minorEastAsia" w:hAnsiTheme="minorEastAsia" w:eastAsiaTheme="minorEastAsia"/>
                <w:sz w:val="18"/>
                <w:szCs w:val="18"/>
                <w:lang w:val="zh-TW" w:eastAsia="zh-TW"/>
              </w:rPr>
            </w:pPr>
            <w:r>
              <w:rPr>
                <w:rFonts w:hint="eastAsia" w:asciiTheme="minorEastAsia" w:hAnsiTheme="minorEastAsia" w:eastAsiaTheme="minorEastAsia"/>
                <w:sz w:val="18"/>
                <w:szCs w:val="18"/>
                <w:lang w:val="zh-TW" w:eastAsia="zh-TW"/>
              </w:rPr>
              <w:t>180</w:t>
            </w:r>
          </w:p>
        </w:tc>
        <w:tc>
          <w:tcPr>
            <w:tcW w:w="816" w:type="pct"/>
            <w:shd w:val="clear" w:color="auto" w:fill="auto"/>
            <w:vAlign w:val="center"/>
          </w:tcPr>
          <w:p>
            <w:pPr>
              <w:jc w:val="center"/>
              <w:rPr>
                <w:sz w:val="18"/>
                <w:szCs w:val="18"/>
                <w:lang w:val="zh-TW" w:eastAsia="zh-TW"/>
              </w:rPr>
            </w:pPr>
            <w:r>
              <w:rPr>
                <w:rFonts w:hint="eastAsia" w:asciiTheme="minorEastAsia" w:hAnsiTheme="minorEastAsia" w:eastAsiaTheme="minorEastAsia"/>
                <w:sz w:val="18"/>
                <w:szCs w:val="18"/>
                <w:lang w:val="zh-TW" w:eastAsia="zh-TW"/>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873" w:type="pct"/>
            <w:vMerge w:val="continue"/>
            <w:shd w:val="clear" w:color="auto" w:fill="auto"/>
            <w:vAlign w:val="center"/>
          </w:tcPr>
          <w:p>
            <w:pPr>
              <w:jc w:val="center"/>
              <w:rPr>
                <w:sz w:val="18"/>
                <w:szCs w:val="18"/>
                <w:lang w:val="zh-TW" w:eastAsia="zh-TW"/>
              </w:rPr>
            </w:pPr>
          </w:p>
        </w:tc>
        <w:tc>
          <w:tcPr>
            <w:tcW w:w="930" w:type="pct"/>
            <w:vMerge w:val="continue"/>
            <w:vAlign w:val="center"/>
          </w:tcPr>
          <w:p>
            <w:pPr>
              <w:jc w:val="center"/>
              <w:rPr>
                <w:sz w:val="18"/>
                <w:szCs w:val="18"/>
                <w:lang w:val="zh-TW" w:eastAsia="zh-TW"/>
              </w:rPr>
            </w:pPr>
          </w:p>
        </w:tc>
        <w:tc>
          <w:tcPr>
            <w:tcW w:w="2381" w:type="pct"/>
            <w:shd w:val="clear" w:color="auto" w:fill="auto"/>
            <w:vAlign w:val="center"/>
          </w:tcPr>
          <w:p>
            <w:pPr>
              <w:jc w:val="center"/>
              <w:rPr>
                <w:rFonts w:asciiTheme="minorEastAsia" w:hAnsiTheme="minorEastAsia" w:eastAsiaTheme="minorEastAsia"/>
                <w:sz w:val="18"/>
                <w:szCs w:val="18"/>
                <w:lang w:val="zh-TW" w:eastAsia="zh-TW"/>
              </w:rPr>
            </w:pPr>
            <w:r>
              <w:rPr>
                <w:rFonts w:hint="eastAsia" w:asciiTheme="minorEastAsia" w:hAnsiTheme="minorEastAsia" w:eastAsiaTheme="minorEastAsia"/>
                <w:sz w:val="18"/>
                <w:szCs w:val="18"/>
                <w:lang w:val="zh-TW" w:eastAsia="zh-TW"/>
              </w:rPr>
              <w:t>275</w:t>
            </w:r>
          </w:p>
        </w:tc>
        <w:tc>
          <w:tcPr>
            <w:tcW w:w="816" w:type="pct"/>
            <w:shd w:val="clear" w:color="auto" w:fill="auto"/>
            <w:vAlign w:val="center"/>
          </w:tcPr>
          <w:p>
            <w:pPr>
              <w:jc w:val="center"/>
              <w:rPr>
                <w:sz w:val="18"/>
                <w:szCs w:val="18"/>
                <w:lang w:val="zh-TW" w:eastAsia="zh-TW"/>
              </w:rPr>
            </w:pPr>
            <w:r>
              <w:rPr>
                <w:rFonts w:hint="eastAsia" w:asciiTheme="minorEastAsia" w:hAnsiTheme="minorEastAsia" w:eastAsiaTheme="minorEastAsia"/>
                <w:sz w:val="18"/>
                <w:szCs w:val="18"/>
                <w:lang w:val="zh-TW" w:eastAsia="zh-TW"/>
              </w:rPr>
              <w:t>275</w:t>
            </w:r>
          </w:p>
        </w:tc>
      </w:tr>
    </w:tbl>
    <w:p>
      <w:pPr>
        <w:spacing w:after="299" w:line="1" w:lineRule="exact"/>
        <w:jc w:val="left"/>
      </w:pPr>
      <w:r>
        <w:rPr>
          <w:rFonts w:hint="eastAsia"/>
        </w:rPr>
        <w:t>90</w:t>
      </w:r>
    </w:p>
    <w:p>
      <w:pPr>
        <w:pStyle w:val="40"/>
        <w:spacing w:before="156" w:after="156"/>
      </w:pPr>
      <w:bookmarkStart w:id="44" w:name="bookmark102"/>
      <w:bookmarkStart w:id="45" w:name="bookmark103"/>
      <w:bookmarkStart w:id="46" w:name="bookmark101"/>
      <w:r>
        <w:rPr>
          <w:rFonts w:hint="eastAsia"/>
          <w:lang w:eastAsia="en-US"/>
        </w:rPr>
        <w:t>镀层</w:t>
      </w:r>
      <w:r>
        <w:rPr>
          <w:rFonts w:hint="eastAsia"/>
        </w:rPr>
        <w:t>腐蚀性能</w:t>
      </w:r>
      <w:bookmarkEnd w:id="44"/>
      <w:bookmarkEnd w:id="45"/>
      <w:bookmarkEnd w:id="46"/>
    </w:p>
    <w:p>
      <w:pPr>
        <w:pStyle w:val="22"/>
      </w:pPr>
      <w:r>
        <w:rPr>
          <w:rFonts w:hint="eastAsia"/>
        </w:rPr>
        <w:t>若需方对镀层腐蚀性能有要求,可按照GB/T 10125所规定的中性盐雾试验等方法进行镀层加速腐 蚀试验，腐蚀性能由供需双方协商确定。</w:t>
      </w:r>
    </w:p>
    <w:p>
      <w:pPr>
        <w:pStyle w:val="40"/>
        <w:spacing w:before="156" w:after="156"/>
      </w:pPr>
      <w:r>
        <w:rPr>
          <w:rFonts w:hint="eastAsia"/>
          <w:lang w:eastAsia="en-US"/>
        </w:rPr>
        <w:t>镀层</w:t>
      </w:r>
      <w:r>
        <w:rPr>
          <w:rFonts w:hint="eastAsia"/>
        </w:rPr>
        <w:t>成分</w:t>
      </w:r>
    </w:p>
    <w:p>
      <w:pPr>
        <w:pStyle w:val="61"/>
        <w:numPr>
          <w:ilvl w:val="2"/>
          <w:numId w:val="0"/>
        </w:numPr>
        <w:spacing w:before="0" w:after="0"/>
        <w:ind w:firstLine="420" w:firstLineChars="200"/>
      </w:pPr>
      <w:r>
        <w:rPr>
          <w:rFonts w:hint="eastAsia" w:hAnsi="宋体"/>
        </w:rPr>
        <w:t>若需方对镀层成分有要求，可按照YB/T 4761-</w:t>
      </w:r>
      <w:r>
        <w:rPr>
          <w:rFonts w:hAnsi="宋体"/>
        </w:rPr>
        <w:t>2019</w:t>
      </w:r>
      <w:r>
        <w:rPr>
          <w:rFonts w:hint="eastAsia" w:hAnsi="宋体"/>
        </w:rPr>
        <w:t>附录C的测试方法对钢板及钢带的镀层成分进行测定。</w:t>
      </w:r>
    </w:p>
    <w:p>
      <w:pPr>
        <w:pStyle w:val="40"/>
        <w:spacing w:before="156" w:after="156"/>
      </w:pPr>
      <w:bookmarkStart w:id="47" w:name="bookmark113"/>
      <w:bookmarkStart w:id="48" w:name="bookmark115"/>
      <w:bookmarkStart w:id="49" w:name="bookmark114"/>
      <w:r>
        <w:rPr>
          <w:rFonts w:hint="eastAsia"/>
        </w:rPr>
        <w:t>表面处理</w:t>
      </w:r>
      <w:bookmarkEnd w:id="47"/>
      <w:bookmarkEnd w:id="48"/>
      <w:bookmarkEnd w:id="49"/>
    </w:p>
    <w:p>
      <w:pPr>
        <w:ind w:firstLine="420" w:firstLineChars="200"/>
        <w:rPr>
          <w:rFonts w:hAnsi="宋体"/>
          <w:szCs w:val="21"/>
        </w:rPr>
      </w:pPr>
      <w:r>
        <w:rPr>
          <w:rFonts w:hint="eastAsia" w:hAnsi="宋体"/>
        </w:rPr>
        <w:t>钢带</w:t>
      </w:r>
      <w:r>
        <w:rPr>
          <w:rFonts w:hAnsi="宋体"/>
          <w:szCs w:val="21"/>
        </w:rPr>
        <w:t>的</w:t>
      </w:r>
      <w:r>
        <w:rPr>
          <w:rFonts w:hint="eastAsia" w:hAnsi="宋体"/>
          <w:szCs w:val="21"/>
        </w:rPr>
        <w:t>表面处理应符合</w:t>
      </w:r>
      <w:r>
        <w:rPr>
          <w:rFonts w:hint="eastAsia" w:hAnsi="宋体"/>
        </w:rPr>
        <w:t>表9</w:t>
      </w:r>
      <w:r>
        <w:rPr>
          <w:rFonts w:hint="eastAsia" w:hAnsi="宋体"/>
          <w:szCs w:val="21"/>
        </w:rPr>
        <w:t>的规定。</w:t>
      </w:r>
    </w:p>
    <w:p>
      <w:pPr>
        <w:pStyle w:val="125"/>
        <w:spacing w:before="156" w:after="156"/>
        <w:rPr>
          <w:szCs w:val="22"/>
        </w:rPr>
      </w:pPr>
      <w:r>
        <w:rPr>
          <w:rFonts w:hint="eastAsia"/>
          <w:szCs w:val="22"/>
        </w:rPr>
        <w:t>表9  表面处理方式及特征</w:t>
      </w:r>
    </w:p>
    <w:tbl>
      <w:tblPr>
        <w:tblStyle w:val="31"/>
        <w:tblW w:w="9432" w:type="dxa"/>
        <w:jc w:val="center"/>
        <w:tblLayout w:type="fixed"/>
        <w:tblCellMar>
          <w:top w:w="0" w:type="dxa"/>
          <w:left w:w="10" w:type="dxa"/>
          <w:bottom w:w="0" w:type="dxa"/>
          <w:right w:w="10" w:type="dxa"/>
        </w:tblCellMar>
      </w:tblPr>
      <w:tblGrid>
        <w:gridCol w:w="2549"/>
        <w:gridCol w:w="6883"/>
      </w:tblGrid>
      <w:tr>
        <w:trPr>
          <w:trHeight w:val="442" w:hRule="exact"/>
          <w:jc w:val="center"/>
        </w:trPr>
        <w:tc>
          <w:tcPr>
            <w:tcW w:w="2549" w:type="dxa"/>
            <w:tcBorders>
              <w:top w:val="single" w:color="auto" w:sz="4" w:space="0"/>
              <w:left w:val="single" w:color="auto" w:sz="4" w:space="0"/>
            </w:tcBorders>
            <w:shd w:val="clear" w:color="auto" w:fill="FFFFFF"/>
            <w:vAlign w:val="bottom"/>
          </w:tcPr>
          <w:p>
            <w:pPr>
              <w:jc w:val="center"/>
              <w:rPr>
                <w:sz w:val="18"/>
                <w:szCs w:val="18"/>
                <w:lang w:val="zh-TW"/>
              </w:rPr>
            </w:pPr>
            <w:r>
              <w:rPr>
                <w:rFonts w:hint="eastAsia"/>
                <w:sz w:val="18"/>
                <w:szCs w:val="18"/>
                <w:lang w:val="zh-TW" w:eastAsia="zh-TW"/>
              </w:rPr>
              <w:t>表面处理方式</w:t>
            </w:r>
            <w:r>
              <w:rPr>
                <w:rFonts w:hint="eastAsia"/>
                <w:sz w:val="18"/>
                <w:szCs w:val="18"/>
                <w:vertAlign w:val="superscript"/>
                <w:lang w:eastAsia="en-US"/>
              </w:rPr>
              <w:t>a</w:t>
            </w:r>
          </w:p>
        </w:tc>
        <w:tc>
          <w:tcPr>
            <w:tcW w:w="6883" w:type="dxa"/>
            <w:tcBorders>
              <w:top w:val="single" w:color="auto" w:sz="4" w:space="0"/>
              <w:left w:val="single" w:color="auto" w:sz="4" w:space="0"/>
              <w:right w:val="single" w:color="auto" w:sz="4" w:space="0"/>
            </w:tcBorders>
            <w:shd w:val="clear" w:color="auto" w:fill="FFFFFF"/>
            <w:vAlign w:val="bottom"/>
          </w:tcPr>
          <w:p>
            <w:pPr>
              <w:jc w:val="center"/>
              <w:rPr>
                <w:sz w:val="18"/>
                <w:szCs w:val="18"/>
                <w:lang w:val="zh-TW"/>
              </w:rPr>
            </w:pPr>
            <w:r>
              <w:rPr>
                <w:rFonts w:hint="eastAsia"/>
                <w:sz w:val="18"/>
                <w:szCs w:val="18"/>
                <w:lang w:val="zh-TW" w:eastAsia="zh-TW"/>
              </w:rPr>
              <w:t>特 征</w:t>
            </w:r>
          </w:p>
        </w:tc>
      </w:tr>
      <w:tr>
        <w:tblPrEx>
          <w:tblCellMar>
            <w:top w:w="0" w:type="dxa"/>
            <w:left w:w="10" w:type="dxa"/>
            <w:bottom w:w="0" w:type="dxa"/>
            <w:right w:w="10" w:type="dxa"/>
          </w:tblCellMar>
        </w:tblPrEx>
        <w:trPr>
          <w:trHeight w:val="864" w:hRule="exact"/>
          <w:jc w:val="center"/>
        </w:trPr>
        <w:tc>
          <w:tcPr>
            <w:tcW w:w="2549" w:type="dxa"/>
            <w:tcBorders>
              <w:top w:val="single" w:color="auto" w:sz="4" w:space="0"/>
              <w:left w:val="single" w:color="auto" w:sz="4" w:space="0"/>
            </w:tcBorders>
            <w:shd w:val="clear" w:color="auto" w:fill="FFFFFF"/>
            <w:vAlign w:val="center"/>
          </w:tcPr>
          <w:p>
            <w:pPr>
              <w:jc w:val="center"/>
              <w:rPr>
                <w:sz w:val="18"/>
                <w:szCs w:val="18"/>
                <w:lang w:val="zh-TW"/>
              </w:rPr>
            </w:pPr>
            <w:r>
              <w:rPr>
                <w:rFonts w:hint="eastAsia"/>
                <w:sz w:val="18"/>
                <w:szCs w:val="18"/>
              </w:rPr>
              <w:t>铬</w:t>
            </w:r>
            <w:r>
              <w:rPr>
                <w:rFonts w:hint="eastAsia"/>
                <w:sz w:val="18"/>
                <w:szCs w:val="18"/>
                <w:lang w:val="zh-TW" w:eastAsia="zh-TW"/>
              </w:rPr>
              <w:t>酸钝化</w:t>
            </w:r>
            <w:r>
              <w:rPr>
                <w:rFonts w:hint="eastAsia"/>
                <w:sz w:val="18"/>
                <w:szCs w:val="18"/>
              </w:rPr>
              <w:t>(C)</w:t>
            </w:r>
          </w:p>
          <w:p>
            <w:pPr>
              <w:jc w:val="center"/>
              <w:rPr>
                <w:sz w:val="18"/>
                <w:szCs w:val="18"/>
                <w:lang w:val="zh-TW"/>
              </w:rPr>
            </w:pPr>
          </w:p>
        </w:tc>
        <w:tc>
          <w:tcPr>
            <w:tcW w:w="6883" w:type="dxa"/>
            <w:tcBorders>
              <w:top w:val="single" w:color="auto" w:sz="4" w:space="0"/>
              <w:left w:val="single" w:color="auto" w:sz="4" w:space="0"/>
              <w:right w:val="single" w:color="auto" w:sz="4" w:space="0"/>
            </w:tcBorders>
            <w:shd w:val="clear" w:color="auto" w:fill="FFFFFF"/>
            <w:vAlign w:val="center"/>
          </w:tcPr>
          <w:p>
            <w:pPr>
              <w:jc w:val="left"/>
              <w:rPr>
                <w:rFonts w:eastAsia="PMingLiU"/>
                <w:sz w:val="18"/>
                <w:szCs w:val="18"/>
                <w:lang w:val="zh-TW"/>
              </w:rPr>
            </w:pPr>
            <w:r>
              <w:rPr>
                <w:rFonts w:hint="eastAsia"/>
                <w:sz w:val="18"/>
                <w:szCs w:val="18"/>
                <w:lang w:val="zh-TW" w:eastAsia="zh-TW"/>
              </w:rPr>
              <w:t>该表面处理可减少产品在运输和储存期间表面产生</w:t>
            </w:r>
            <w:r>
              <w:rPr>
                <w:rFonts w:hint="eastAsia"/>
                <w:sz w:val="18"/>
                <w:szCs w:val="18"/>
                <w:lang w:val="zh-TW"/>
              </w:rPr>
              <w:t>白绣</w:t>
            </w:r>
            <w:r>
              <w:rPr>
                <w:rFonts w:hint="eastAsia"/>
                <w:sz w:val="18"/>
                <w:szCs w:val="18"/>
                <w:lang w:val="zh-TW" w:eastAsia="zh-TW"/>
              </w:rPr>
              <w:t>。</w:t>
            </w:r>
          </w:p>
        </w:tc>
      </w:tr>
      <w:tr>
        <w:tblPrEx>
          <w:tblCellMar>
            <w:top w:w="0" w:type="dxa"/>
            <w:left w:w="10" w:type="dxa"/>
            <w:bottom w:w="0" w:type="dxa"/>
            <w:right w:w="10" w:type="dxa"/>
          </w:tblCellMar>
        </w:tblPrEx>
        <w:trPr>
          <w:trHeight w:val="869" w:hRule="exact"/>
          <w:jc w:val="center"/>
        </w:trPr>
        <w:tc>
          <w:tcPr>
            <w:tcW w:w="2549" w:type="dxa"/>
            <w:tcBorders>
              <w:top w:val="single" w:color="auto" w:sz="4" w:space="0"/>
              <w:left w:val="single" w:color="auto" w:sz="4" w:space="0"/>
            </w:tcBorders>
            <w:shd w:val="clear" w:color="auto" w:fill="FFFFFF"/>
            <w:vAlign w:val="center"/>
          </w:tcPr>
          <w:p>
            <w:pPr>
              <w:jc w:val="center"/>
              <w:rPr>
                <w:sz w:val="18"/>
                <w:szCs w:val="18"/>
                <w:lang w:val="zh-TW" w:eastAsia="zh-TW"/>
              </w:rPr>
            </w:pPr>
            <w:r>
              <w:rPr>
                <w:rFonts w:hint="eastAsia"/>
                <w:sz w:val="18"/>
                <w:szCs w:val="18"/>
              </w:rPr>
              <w:t>铬</w:t>
            </w:r>
            <w:r>
              <w:rPr>
                <w:rFonts w:hint="eastAsia"/>
                <w:sz w:val="18"/>
                <w:szCs w:val="18"/>
                <w:lang w:val="zh-TW" w:eastAsia="zh-TW"/>
              </w:rPr>
              <w:t>酸钝化+涂油</w:t>
            </w:r>
            <w:r>
              <w:rPr>
                <w:rFonts w:hint="eastAsia"/>
                <w:sz w:val="18"/>
                <w:szCs w:val="18"/>
              </w:rPr>
              <w:t>(CO)</w:t>
            </w:r>
            <w:r>
              <w:rPr>
                <w:rFonts w:hint="eastAsia"/>
                <w:sz w:val="18"/>
                <w:szCs w:val="18"/>
                <w:lang w:val="zh-TW" w:eastAsia="zh-TW"/>
              </w:rPr>
              <w:t xml:space="preserve">和 </w:t>
            </w:r>
          </w:p>
          <w:p>
            <w:pPr>
              <w:jc w:val="center"/>
              <w:rPr>
                <w:sz w:val="18"/>
                <w:szCs w:val="18"/>
                <w:lang w:val="zh-TW"/>
              </w:rPr>
            </w:pPr>
            <w:r>
              <w:rPr>
                <w:rFonts w:hint="eastAsia"/>
                <w:sz w:val="18"/>
                <w:szCs w:val="18"/>
                <w:lang w:val="zh-TW" w:eastAsia="zh-TW"/>
              </w:rPr>
              <w:t>无</w:t>
            </w:r>
            <w:r>
              <w:rPr>
                <w:rFonts w:hint="eastAsia"/>
                <w:sz w:val="18"/>
                <w:szCs w:val="18"/>
              </w:rPr>
              <w:t>铬</w:t>
            </w:r>
            <w:r>
              <w:rPr>
                <w:rFonts w:hint="eastAsia"/>
                <w:sz w:val="18"/>
                <w:szCs w:val="18"/>
                <w:lang w:val="zh-TW" w:eastAsia="zh-TW"/>
              </w:rPr>
              <w:t>钝化+涂油</w:t>
            </w:r>
            <w:r>
              <w:rPr>
                <w:rFonts w:hint="eastAsia"/>
                <w:sz w:val="18"/>
                <w:szCs w:val="18"/>
              </w:rPr>
              <w:t>(CON)</w:t>
            </w:r>
          </w:p>
        </w:tc>
        <w:tc>
          <w:tcPr>
            <w:tcW w:w="6883" w:type="dxa"/>
            <w:tcBorders>
              <w:top w:val="single" w:color="auto" w:sz="4" w:space="0"/>
              <w:left w:val="single" w:color="auto" w:sz="4" w:space="0"/>
              <w:right w:val="single" w:color="auto" w:sz="4" w:space="0"/>
            </w:tcBorders>
            <w:shd w:val="clear" w:color="auto" w:fill="FFFFFF"/>
            <w:vAlign w:val="center"/>
          </w:tcPr>
          <w:p>
            <w:pPr>
              <w:jc w:val="left"/>
              <w:rPr>
                <w:sz w:val="18"/>
                <w:szCs w:val="18"/>
                <w:lang w:val="zh-TW"/>
              </w:rPr>
            </w:pPr>
            <w:r>
              <w:rPr>
                <w:rFonts w:hint="eastAsia"/>
                <w:sz w:val="18"/>
                <w:szCs w:val="18"/>
                <w:lang w:val="zh-TW" w:eastAsia="zh-TW"/>
              </w:rPr>
              <w:t>该表面处理可进一步减少产品在运输和储存期间表面产生白锈或黑锈。无</w:t>
            </w:r>
            <w:r>
              <w:rPr>
                <w:rFonts w:hint="eastAsia"/>
                <w:sz w:val="18"/>
                <w:szCs w:val="18"/>
              </w:rPr>
              <w:t>铬</w:t>
            </w:r>
            <w:r>
              <w:rPr>
                <w:rFonts w:hint="eastAsia"/>
                <w:sz w:val="18"/>
                <w:szCs w:val="18"/>
                <w:lang w:val="zh-TW" w:eastAsia="zh-TW"/>
              </w:rPr>
              <w:t>钝化处理时，钝化膜中不含</w:t>
            </w:r>
            <w:r>
              <w:rPr>
                <w:rFonts w:hint="eastAsia"/>
                <w:sz w:val="18"/>
                <w:szCs w:val="18"/>
                <w:lang w:val="zh-TW"/>
              </w:rPr>
              <w:t>铬</w:t>
            </w:r>
            <w:r>
              <w:rPr>
                <w:rFonts w:hint="eastAsia"/>
                <w:sz w:val="18"/>
                <w:szCs w:val="18"/>
                <w:lang w:val="zh-TW" w:eastAsia="zh-TW"/>
              </w:rPr>
              <w:t>及</w:t>
            </w:r>
            <w:r>
              <w:rPr>
                <w:rFonts w:hint="eastAsia"/>
                <w:sz w:val="18"/>
                <w:szCs w:val="18"/>
                <w:lang w:val="zh-TW"/>
              </w:rPr>
              <w:t>铬</w:t>
            </w:r>
            <w:r>
              <w:rPr>
                <w:rFonts w:hint="eastAsia"/>
                <w:sz w:val="18"/>
                <w:szCs w:val="18"/>
                <w:lang w:val="zh-TW" w:eastAsia="zh-TW"/>
              </w:rPr>
              <w:t>离子。</w:t>
            </w:r>
          </w:p>
        </w:tc>
      </w:tr>
      <w:tr>
        <w:tblPrEx>
          <w:tblCellMar>
            <w:top w:w="0" w:type="dxa"/>
            <w:left w:w="10" w:type="dxa"/>
            <w:bottom w:w="0" w:type="dxa"/>
            <w:right w:w="10" w:type="dxa"/>
          </w:tblCellMar>
        </w:tblPrEx>
        <w:trPr>
          <w:trHeight w:val="859" w:hRule="exact"/>
          <w:jc w:val="center"/>
        </w:trPr>
        <w:tc>
          <w:tcPr>
            <w:tcW w:w="2549"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rPr>
              <w:t>三价铬钝化（</w:t>
            </w:r>
            <w:r>
              <w:rPr>
                <w:sz w:val="18"/>
                <w:szCs w:val="18"/>
              </w:rPr>
              <w:t>C3</w:t>
            </w:r>
            <w:r>
              <w:rPr>
                <w:rFonts w:hint="eastAsia"/>
                <w:sz w:val="18"/>
                <w:szCs w:val="18"/>
              </w:rPr>
              <w:t>）和</w:t>
            </w:r>
          </w:p>
          <w:p>
            <w:pPr>
              <w:jc w:val="center"/>
              <w:rPr>
                <w:sz w:val="18"/>
                <w:szCs w:val="18"/>
              </w:rPr>
            </w:pPr>
            <w:r>
              <w:rPr>
                <w:rFonts w:hint="eastAsia"/>
                <w:sz w:val="18"/>
                <w:szCs w:val="18"/>
              </w:rPr>
              <w:t>三价铬钝化+涂油（</w:t>
            </w:r>
            <w:r>
              <w:rPr>
                <w:sz w:val="18"/>
                <w:szCs w:val="18"/>
              </w:rPr>
              <w:t>CO3</w:t>
            </w:r>
            <w:r>
              <w:rPr>
                <w:rFonts w:hint="eastAsia"/>
                <w:sz w:val="18"/>
                <w:szCs w:val="18"/>
              </w:rPr>
              <w:t>）</w:t>
            </w:r>
          </w:p>
        </w:tc>
        <w:tc>
          <w:tcPr>
            <w:tcW w:w="6883" w:type="dxa"/>
            <w:tcBorders>
              <w:top w:val="single" w:color="auto" w:sz="4" w:space="0"/>
              <w:left w:val="single" w:color="auto" w:sz="4" w:space="0"/>
              <w:right w:val="single" w:color="auto" w:sz="4" w:space="0"/>
            </w:tcBorders>
            <w:shd w:val="clear" w:color="auto" w:fill="FFFFFF"/>
            <w:vAlign w:val="center"/>
          </w:tcPr>
          <w:p>
            <w:pPr>
              <w:rPr>
                <w:rFonts w:eastAsia="PMingLiU"/>
                <w:sz w:val="18"/>
                <w:szCs w:val="18"/>
                <w:lang w:val="zh-TW" w:eastAsia="zh-TW"/>
              </w:rPr>
            </w:pPr>
            <w:r>
              <w:rPr>
                <w:rFonts w:hint="eastAsia"/>
                <w:sz w:val="18"/>
                <w:szCs w:val="18"/>
                <w:lang w:val="zh-TW" w:eastAsia="zh-TW"/>
              </w:rPr>
              <w:t>该表面处理</w:t>
            </w:r>
            <w:r>
              <w:rPr>
                <w:rFonts w:hint="eastAsia"/>
                <w:sz w:val="18"/>
                <w:szCs w:val="18"/>
              </w:rPr>
              <w:t>可更进一步</w:t>
            </w:r>
            <w:r>
              <w:rPr>
                <w:rFonts w:hint="eastAsia"/>
                <w:sz w:val="18"/>
                <w:szCs w:val="18"/>
                <w:lang w:val="zh-TW" w:eastAsia="zh-TW"/>
              </w:rPr>
              <w:t>减少产品在运输和储存期间表面产生白锈或黑锈，所涂的防锈油一般不作为后续加工用的轧制油和冲压润滑油。</w:t>
            </w:r>
          </w:p>
        </w:tc>
      </w:tr>
      <w:tr>
        <w:tblPrEx>
          <w:tblCellMar>
            <w:top w:w="0" w:type="dxa"/>
            <w:left w:w="10" w:type="dxa"/>
            <w:bottom w:w="0" w:type="dxa"/>
            <w:right w:w="10" w:type="dxa"/>
          </w:tblCellMar>
        </w:tblPrEx>
        <w:trPr>
          <w:trHeight w:val="859" w:hRule="exact"/>
          <w:jc w:val="center"/>
        </w:trPr>
        <w:tc>
          <w:tcPr>
            <w:tcW w:w="2549" w:type="dxa"/>
            <w:tcBorders>
              <w:top w:val="single" w:color="auto" w:sz="4" w:space="0"/>
              <w:left w:val="single" w:color="auto" w:sz="4" w:space="0"/>
            </w:tcBorders>
            <w:shd w:val="clear" w:color="auto" w:fill="FFFFFF"/>
            <w:vAlign w:val="center"/>
          </w:tcPr>
          <w:p>
            <w:pPr>
              <w:jc w:val="center"/>
              <w:rPr>
                <w:sz w:val="18"/>
                <w:szCs w:val="18"/>
                <w:lang w:val="zh-TW"/>
              </w:rPr>
            </w:pPr>
            <w:r>
              <w:rPr>
                <w:rFonts w:hint="eastAsia"/>
                <w:sz w:val="18"/>
                <w:szCs w:val="18"/>
                <w:lang w:val="zh-TW" w:eastAsia="zh-TW"/>
              </w:rPr>
              <w:t>涂油处理</w:t>
            </w:r>
            <w:r>
              <w:rPr>
                <w:rFonts w:hint="eastAsia"/>
                <w:sz w:val="18"/>
                <w:szCs w:val="18"/>
                <w:lang w:eastAsia="en-US"/>
              </w:rPr>
              <w:t>(O)</w:t>
            </w:r>
          </w:p>
        </w:tc>
        <w:tc>
          <w:tcPr>
            <w:tcW w:w="6883" w:type="dxa"/>
            <w:tcBorders>
              <w:top w:val="single" w:color="auto" w:sz="4" w:space="0"/>
              <w:left w:val="single" w:color="auto" w:sz="4" w:space="0"/>
              <w:right w:val="single" w:color="auto" w:sz="4" w:space="0"/>
            </w:tcBorders>
            <w:shd w:val="clear" w:color="auto" w:fill="FFFFFF"/>
            <w:vAlign w:val="center"/>
          </w:tcPr>
          <w:p>
            <w:pPr>
              <w:jc w:val="left"/>
              <w:rPr>
                <w:sz w:val="18"/>
                <w:szCs w:val="18"/>
                <w:lang w:val="zh-TW"/>
              </w:rPr>
            </w:pPr>
            <w:r>
              <w:rPr>
                <w:rFonts w:hint="eastAsia"/>
                <w:sz w:val="18"/>
                <w:szCs w:val="18"/>
                <w:lang w:val="zh-TW" w:eastAsia="zh-TW"/>
              </w:rPr>
              <w:t>该表面处理可减少产品在运输和储存期间表面产生白锈或黑锈</w:t>
            </w:r>
            <w:r>
              <w:rPr>
                <w:rFonts w:hint="eastAsia"/>
                <w:sz w:val="18"/>
                <w:szCs w:val="18"/>
                <w:lang w:val="zh-TW"/>
              </w:rPr>
              <w:t>，</w:t>
            </w:r>
            <w:r>
              <w:rPr>
                <w:rFonts w:hint="eastAsia"/>
                <w:sz w:val="18"/>
                <w:szCs w:val="18"/>
                <w:lang w:val="zh-TW" w:eastAsia="zh-TW"/>
              </w:rPr>
              <w:t>所涂的防锈油一般不作为后续加工用的轧制油和冲压润滑油。</w:t>
            </w:r>
          </w:p>
        </w:tc>
      </w:tr>
      <w:tr>
        <w:tblPrEx>
          <w:tblCellMar>
            <w:top w:w="0" w:type="dxa"/>
            <w:left w:w="10" w:type="dxa"/>
            <w:bottom w:w="0" w:type="dxa"/>
            <w:right w:w="10" w:type="dxa"/>
          </w:tblCellMar>
        </w:tblPrEx>
        <w:trPr>
          <w:trHeight w:val="1094" w:hRule="exact"/>
          <w:jc w:val="center"/>
        </w:trPr>
        <w:tc>
          <w:tcPr>
            <w:tcW w:w="2549" w:type="dxa"/>
            <w:tcBorders>
              <w:top w:val="single" w:color="auto" w:sz="4" w:space="0"/>
              <w:left w:val="single" w:color="auto" w:sz="4" w:space="0"/>
            </w:tcBorders>
            <w:shd w:val="clear" w:color="auto" w:fill="FFFFFF"/>
            <w:vAlign w:val="center"/>
          </w:tcPr>
          <w:p>
            <w:pPr>
              <w:jc w:val="center"/>
              <w:rPr>
                <w:sz w:val="18"/>
                <w:szCs w:val="18"/>
                <w:lang w:val="zh-TW"/>
              </w:rPr>
            </w:pPr>
            <w:r>
              <w:rPr>
                <w:rFonts w:hint="eastAsia"/>
                <w:sz w:val="18"/>
                <w:szCs w:val="18"/>
                <w:lang w:val="zh-TW" w:eastAsia="zh-TW"/>
              </w:rPr>
              <w:t>不处理</w:t>
            </w:r>
            <w:r>
              <w:rPr>
                <w:rFonts w:hint="eastAsia"/>
                <w:sz w:val="18"/>
                <w:szCs w:val="18"/>
                <w:lang w:eastAsia="en-US"/>
              </w:rPr>
              <w:t>(U)</w:t>
            </w:r>
          </w:p>
        </w:tc>
        <w:tc>
          <w:tcPr>
            <w:tcW w:w="6883" w:type="dxa"/>
            <w:tcBorders>
              <w:top w:val="single" w:color="auto" w:sz="4" w:space="0"/>
              <w:left w:val="single" w:color="auto" w:sz="4" w:space="0"/>
              <w:right w:val="single" w:color="auto" w:sz="4" w:space="0"/>
            </w:tcBorders>
            <w:shd w:val="clear" w:color="auto" w:fill="FFFFFF"/>
            <w:vAlign w:val="center"/>
          </w:tcPr>
          <w:p>
            <w:pPr>
              <w:jc w:val="left"/>
              <w:rPr>
                <w:sz w:val="18"/>
                <w:szCs w:val="18"/>
                <w:lang w:val="zh-TW"/>
              </w:rPr>
            </w:pPr>
            <w:r>
              <w:rPr>
                <w:rFonts w:hint="eastAsia"/>
                <w:sz w:val="18"/>
                <w:szCs w:val="18"/>
                <w:lang w:val="zh-TW" w:eastAsia="zh-TW"/>
              </w:rPr>
              <w:t>该表面处理仅适用于需方在订货期间明确提出不进行表面处理的情况</w:t>
            </w:r>
            <w:r>
              <w:rPr>
                <w:rFonts w:hint="eastAsia"/>
                <w:sz w:val="18"/>
                <w:szCs w:val="18"/>
                <w:lang w:val="zh-TW"/>
              </w:rPr>
              <w:t>，</w:t>
            </w:r>
            <w:r>
              <w:rPr>
                <w:rFonts w:hint="eastAsia"/>
                <w:sz w:val="18"/>
                <w:szCs w:val="18"/>
                <w:lang w:val="zh-TW" w:eastAsia="zh-TW"/>
              </w:rPr>
              <w:t>并需在合同中注明。这种情况下，钢带在运输和储存期间表面较易产生白锈、黑锈和黑点，用户在选用该处理方式时应慎重。</w:t>
            </w:r>
          </w:p>
        </w:tc>
      </w:tr>
      <w:tr>
        <w:tblPrEx>
          <w:tblCellMar>
            <w:top w:w="0" w:type="dxa"/>
            <w:left w:w="10" w:type="dxa"/>
            <w:bottom w:w="0" w:type="dxa"/>
            <w:right w:w="10" w:type="dxa"/>
          </w:tblCellMar>
        </w:tblPrEx>
        <w:trPr>
          <w:trHeight w:val="442" w:hRule="exact"/>
          <w:jc w:val="center"/>
        </w:trPr>
        <w:tc>
          <w:tcPr>
            <w:tcW w:w="94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180" w:firstLineChars="100"/>
              <w:jc w:val="left"/>
              <w:rPr>
                <w:sz w:val="18"/>
                <w:szCs w:val="18"/>
                <w:lang w:val="zh-TW"/>
              </w:rPr>
            </w:pPr>
            <w:r>
              <w:rPr>
                <w:rFonts w:hint="eastAsia"/>
                <w:sz w:val="18"/>
                <w:szCs w:val="18"/>
                <w:vertAlign w:val="superscript"/>
              </w:rPr>
              <w:t>a</w:t>
            </w:r>
            <w:r>
              <w:rPr>
                <w:rFonts w:hint="eastAsia"/>
                <w:sz w:val="18"/>
                <w:szCs w:val="18"/>
                <w:lang w:val="zh-TW" w:eastAsia="zh-TW"/>
              </w:rPr>
              <w:t>钝化的防腐作用是有限的，如果装运或贮存过程中钢带或钢板受潮，应立即干燥或使用。</w:t>
            </w:r>
          </w:p>
        </w:tc>
      </w:tr>
    </w:tbl>
    <w:p>
      <w:pPr>
        <w:ind w:firstLine="420" w:firstLineChars="200"/>
        <w:rPr>
          <w:rFonts w:hAnsi="宋体"/>
          <w:szCs w:val="21"/>
        </w:rPr>
      </w:pPr>
    </w:p>
    <w:p>
      <w:pPr>
        <w:pStyle w:val="40"/>
        <w:spacing w:before="156" w:after="156"/>
      </w:pPr>
      <w:r>
        <w:rPr>
          <w:rFonts w:hint="eastAsia"/>
        </w:rPr>
        <w:t>表面质量</w:t>
      </w:r>
    </w:p>
    <w:p>
      <w:pPr>
        <w:pStyle w:val="61"/>
        <w:rPr>
          <w:rFonts w:hAnsi="宋体"/>
        </w:rPr>
      </w:pPr>
      <w:r>
        <w:rPr>
          <w:rFonts w:hint="eastAsia" w:hAnsi="宋体"/>
        </w:rPr>
        <w:t>钢带表面不应有漏镀、镀层脱落</w:t>
      </w:r>
      <w:bookmarkStart w:id="53" w:name="_GoBack"/>
      <w:bookmarkEnd w:id="53"/>
      <w:r>
        <w:rPr>
          <w:rFonts w:hint="eastAsia" w:hAnsi="宋体"/>
        </w:rPr>
        <w:t>、肉眼可见裂纹等影响用户使用的缺陷。不切边钢带边部允许存在微小的镀层裂纹和白边。</w:t>
      </w:r>
    </w:p>
    <w:p>
      <w:pPr>
        <w:pStyle w:val="61"/>
        <w:rPr>
          <w:rFonts w:hAnsi="宋体"/>
        </w:rPr>
      </w:pPr>
      <w:r>
        <w:rPr>
          <w:rFonts w:hint="eastAsia" w:hAnsi="宋体"/>
        </w:rPr>
        <w:t>钢带表面质量特征应符合表10的规定。</w:t>
      </w:r>
    </w:p>
    <w:p>
      <w:pPr>
        <w:pStyle w:val="125"/>
        <w:spacing w:before="156" w:after="156"/>
        <w:rPr>
          <w:szCs w:val="22"/>
        </w:rPr>
      </w:pPr>
      <w:r>
        <w:rPr>
          <w:rFonts w:hint="eastAsia"/>
          <w:szCs w:val="22"/>
        </w:rPr>
        <w:t>表10 表面质量</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12"/>
        <w:gridCol w:w="8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0" w:hRule="exact"/>
          <w:jc w:val="center"/>
        </w:trPr>
        <w:tc>
          <w:tcPr>
            <w:tcW w:w="912" w:type="dxa"/>
            <w:shd w:val="clear" w:color="auto" w:fill="FFFFFF"/>
            <w:vAlign w:val="center"/>
          </w:tcPr>
          <w:p>
            <w:pPr>
              <w:jc w:val="center"/>
              <w:rPr>
                <w:sz w:val="18"/>
                <w:szCs w:val="18"/>
                <w:lang w:val="zh-TW"/>
              </w:rPr>
            </w:pPr>
            <w:r>
              <w:rPr>
                <w:rFonts w:hint="eastAsia"/>
                <w:sz w:val="18"/>
                <w:szCs w:val="18"/>
                <w:lang w:val="zh-TW"/>
              </w:rPr>
              <w:t>级别</w:t>
            </w:r>
          </w:p>
        </w:tc>
        <w:tc>
          <w:tcPr>
            <w:tcW w:w="8328" w:type="dxa"/>
            <w:shd w:val="clear" w:color="auto" w:fill="FFFFFF"/>
            <w:vAlign w:val="center"/>
          </w:tcPr>
          <w:p>
            <w:pPr>
              <w:jc w:val="center"/>
              <w:rPr>
                <w:sz w:val="18"/>
                <w:szCs w:val="18"/>
                <w:lang w:val="zh-TW" w:eastAsia="zh-TW"/>
              </w:rPr>
            </w:pPr>
            <w:r>
              <w:rPr>
                <w:sz w:val="18"/>
                <w:szCs w:val="18"/>
                <w:lang w:val="zh-TW" w:eastAsia="zh-TW"/>
              </w:rPr>
              <w:t>特</w:t>
            </w:r>
            <w:r>
              <w:rPr>
                <w:sz w:val="18"/>
                <w:szCs w:val="18"/>
                <w:lang w:val="zh-TW" w:eastAsia="zh-TW"/>
              </w:rPr>
              <w:tab/>
            </w:r>
            <w:r>
              <w:rPr>
                <w:sz w:val="18"/>
                <w:szCs w:val="18"/>
                <w:lang w:val="zh-TW" w:eastAsia="zh-TW"/>
              </w:rPr>
              <w:t>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9" w:hRule="exact"/>
          <w:jc w:val="center"/>
        </w:trPr>
        <w:tc>
          <w:tcPr>
            <w:tcW w:w="912" w:type="dxa"/>
            <w:shd w:val="clear" w:color="auto" w:fill="FFFFFF"/>
            <w:vAlign w:val="center"/>
          </w:tcPr>
          <w:p>
            <w:pPr>
              <w:jc w:val="center"/>
              <w:rPr>
                <w:sz w:val="18"/>
                <w:szCs w:val="18"/>
                <w:lang w:val="zh-TW" w:eastAsia="zh-TW"/>
              </w:rPr>
            </w:pPr>
            <w:r>
              <w:rPr>
                <w:sz w:val="18"/>
                <w:szCs w:val="18"/>
                <w:lang w:eastAsia="en-US"/>
              </w:rPr>
              <w:t>FA</w:t>
            </w:r>
          </w:p>
        </w:tc>
        <w:tc>
          <w:tcPr>
            <w:tcW w:w="8328" w:type="dxa"/>
            <w:shd w:val="clear" w:color="auto" w:fill="FFFFFF"/>
            <w:vAlign w:val="center"/>
          </w:tcPr>
          <w:p>
            <w:pPr>
              <w:jc w:val="left"/>
              <w:rPr>
                <w:sz w:val="18"/>
                <w:szCs w:val="18"/>
                <w:lang w:val="zh-TW"/>
              </w:rPr>
            </w:pPr>
            <w:r>
              <w:rPr>
                <w:sz w:val="18"/>
                <w:szCs w:val="18"/>
                <w:lang w:val="zh-TW" w:eastAsia="zh-TW"/>
              </w:rPr>
              <w:t>表面允许有缺欠，例如小锌粒、压印、划伤、凹坑、色泽不均、黑点、条纹、轻微钝化斑、锌起伏等</w:t>
            </w:r>
            <w:r>
              <w:rPr>
                <w:rFonts w:hint="eastAsia"/>
                <w:sz w:val="18"/>
                <w:szCs w:val="18"/>
                <w:lang w:val="zh-TW"/>
              </w:rPr>
              <w:t>。</w:t>
            </w:r>
            <w:r>
              <w:rPr>
                <w:sz w:val="18"/>
                <w:szCs w:val="18"/>
                <w:lang w:val="zh-TW" w:eastAsia="zh-TW"/>
              </w:rPr>
              <w:t>该表面通常不进行平整（光整）处理</w:t>
            </w:r>
            <w:r>
              <w:rPr>
                <w:rFonts w:hint="eastAsia"/>
                <w:sz w:val="18"/>
                <w:szCs w:val="18"/>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jc w:val="center"/>
        </w:trPr>
        <w:tc>
          <w:tcPr>
            <w:tcW w:w="912" w:type="dxa"/>
            <w:shd w:val="clear" w:color="auto" w:fill="FFFFFF"/>
            <w:vAlign w:val="center"/>
          </w:tcPr>
          <w:p>
            <w:pPr>
              <w:jc w:val="center"/>
              <w:rPr>
                <w:sz w:val="18"/>
                <w:szCs w:val="18"/>
                <w:lang w:val="zh-TW" w:eastAsia="zh-TW"/>
              </w:rPr>
            </w:pPr>
            <w:r>
              <w:rPr>
                <w:sz w:val="18"/>
                <w:szCs w:val="18"/>
                <w:lang w:eastAsia="en-US"/>
              </w:rPr>
              <w:t>FB</w:t>
            </w:r>
          </w:p>
        </w:tc>
        <w:tc>
          <w:tcPr>
            <w:tcW w:w="8328" w:type="dxa"/>
            <w:shd w:val="clear" w:color="auto" w:fill="FFFFFF"/>
            <w:vAlign w:val="center"/>
          </w:tcPr>
          <w:p>
            <w:pPr>
              <w:jc w:val="left"/>
              <w:rPr>
                <w:sz w:val="18"/>
                <w:szCs w:val="18"/>
                <w:lang w:val="zh-TW"/>
              </w:rPr>
            </w:pPr>
            <w:r>
              <w:rPr>
                <w:sz w:val="18"/>
                <w:szCs w:val="18"/>
                <w:lang w:val="zh-TW" w:eastAsia="zh-TW"/>
              </w:rPr>
              <w:t>较好的一面允许有小缺欠，例如光整压印、轻微划伤、细小锌花、锌起伏和轻微钝化斑。另一面至少为表面质量</w:t>
            </w:r>
            <w:r>
              <w:rPr>
                <w:sz w:val="18"/>
                <w:szCs w:val="18"/>
              </w:rPr>
              <w:t>FA。</w:t>
            </w:r>
            <w:r>
              <w:rPr>
                <w:sz w:val="18"/>
                <w:szCs w:val="18"/>
                <w:lang w:val="zh-TW" w:eastAsia="zh-TW"/>
              </w:rPr>
              <w:t>该表面通常进行平整（光整）处理</w:t>
            </w:r>
            <w:r>
              <w:rPr>
                <w:rFonts w:hint="eastAsia"/>
                <w:sz w:val="18"/>
                <w:szCs w:val="18"/>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jc w:val="center"/>
        </w:trPr>
        <w:tc>
          <w:tcPr>
            <w:tcW w:w="912" w:type="dxa"/>
            <w:shd w:val="clear" w:color="auto" w:fill="FFFFFF"/>
            <w:vAlign w:val="center"/>
          </w:tcPr>
          <w:p>
            <w:pPr>
              <w:jc w:val="center"/>
              <w:rPr>
                <w:sz w:val="18"/>
                <w:szCs w:val="18"/>
              </w:rPr>
            </w:pPr>
            <w:r>
              <w:rPr>
                <w:rFonts w:hint="eastAsia"/>
                <w:sz w:val="18"/>
                <w:szCs w:val="18"/>
              </w:rPr>
              <w:t>FC</w:t>
            </w:r>
          </w:p>
        </w:tc>
        <w:tc>
          <w:tcPr>
            <w:tcW w:w="8328" w:type="dxa"/>
            <w:shd w:val="clear" w:color="auto" w:fill="FFFFFF"/>
            <w:vAlign w:val="center"/>
          </w:tcPr>
          <w:p>
            <w:pPr>
              <w:jc w:val="left"/>
              <w:rPr>
                <w:sz w:val="18"/>
                <w:szCs w:val="18"/>
                <w:lang w:val="zh-TW"/>
              </w:rPr>
            </w:pPr>
            <w:r>
              <w:rPr>
                <w:sz w:val="18"/>
                <w:szCs w:val="18"/>
                <w:lang w:val="zh-TW" w:eastAsia="zh-TW"/>
              </w:rPr>
              <w:t>较好的一面</w:t>
            </w:r>
            <w:r>
              <w:rPr>
                <w:rFonts w:hint="eastAsia"/>
                <w:sz w:val="18"/>
                <w:szCs w:val="18"/>
                <w:lang w:val="zh-TW" w:eastAsia="zh-TW"/>
              </w:rPr>
              <w:t>必须对缺欠进一步限制，即较好的一面不应有影响高级涂漆表面外观质量的缺欠。另一面至少为FB。该表面通常进行平整</w:t>
            </w:r>
            <w:r>
              <w:rPr>
                <w:sz w:val="18"/>
                <w:szCs w:val="18"/>
                <w:lang w:val="zh-TW" w:eastAsia="zh-TW"/>
              </w:rPr>
              <w:t>（光整）</w:t>
            </w:r>
            <w:r>
              <w:rPr>
                <w:rFonts w:hint="eastAsia"/>
                <w:sz w:val="18"/>
                <w:szCs w:val="18"/>
                <w:lang w:val="zh-TW" w:eastAsia="zh-TW"/>
              </w:rPr>
              <w:t>处理。</w:t>
            </w:r>
          </w:p>
        </w:tc>
      </w:tr>
    </w:tbl>
    <w:p>
      <w:pPr>
        <w:pStyle w:val="61"/>
        <w:rPr>
          <w:rFonts w:hAnsi="宋体"/>
        </w:rPr>
      </w:pPr>
      <w:r>
        <w:rPr>
          <w:rFonts w:hint="eastAsia" w:hAnsi="宋体"/>
        </w:rPr>
        <w:t>由于在连续生产过程中，钢带表面的局部缺陷不易发现和去除，因此，钢带允许带缺陷交货，但有缺陷的部分应不超过每卷总长度的6%。</w:t>
      </w:r>
    </w:p>
    <w:p>
      <w:pPr>
        <w:pStyle w:val="43"/>
        <w:spacing w:before="312" w:after="312"/>
      </w:pPr>
      <w:bookmarkStart w:id="50" w:name="_Toc8521"/>
      <w:r>
        <w:rPr>
          <w:rFonts w:hint="eastAsia"/>
        </w:rPr>
        <w:t>试验方法</w:t>
      </w:r>
      <w:bookmarkEnd w:id="50"/>
    </w:p>
    <w:p>
      <w:pPr>
        <w:pStyle w:val="40"/>
        <w:spacing w:before="156" w:after="156"/>
      </w:pPr>
      <w:r>
        <w:rPr>
          <w:rFonts w:hint="eastAsia"/>
        </w:rPr>
        <w:t>化学成分试验方法</w:t>
      </w:r>
    </w:p>
    <w:p>
      <w:pPr>
        <w:ind w:firstLine="420" w:firstLineChars="200"/>
      </w:pPr>
      <w:r>
        <w:rPr>
          <w:rFonts w:hint="eastAsia"/>
        </w:rPr>
        <w:t>钢的化学成分试验方法应按GB/T 4336、GB/T 20123、GB/T 20125、GB/T 20126或通用的化学分析方法进行，仲裁时应按GB/T 223.5、GB/T 223. 9、GB/T 223.12、GB/T 223.14、GB/T 223.17、GB/T 223.26、GB/T 223.40、GB/T 223.59、GB/T 223.60、GB/T 223.63、GB/T 223.78的规定进行。</w:t>
      </w:r>
    </w:p>
    <w:p>
      <w:pPr>
        <w:pStyle w:val="40"/>
        <w:spacing w:before="156" w:after="156"/>
      </w:pPr>
      <w:r>
        <w:rPr>
          <w:rFonts w:hint="eastAsia"/>
        </w:rPr>
        <w:t>检验项目、取样数量、取样位置、取样方法及试验方法</w:t>
      </w:r>
    </w:p>
    <w:p>
      <w:pPr>
        <w:ind w:firstLine="420" w:firstLineChars="200"/>
      </w:pPr>
      <w:r>
        <w:rPr>
          <w:rFonts w:hint="eastAsia"/>
        </w:rPr>
        <w:t>每批钢带的检验项目、取样数量、取样位置、取样方法及试验方法符合表11的规定。</w:t>
      </w:r>
    </w:p>
    <w:p>
      <w:pPr>
        <w:pStyle w:val="125"/>
        <w:spacing w:before="156" w:after="156"/>
        <w:rPr>
          <w:rFonts w:hint="eastAsia"/>
        </w:rPr>
      </w:pPr>
      <w:r>
        <w:rPr>
          <w:rFonts w:hint="eastAsia"/>
        </w:rPr>
        <w:t>表11  检验项目、取样数量、取样位置、取样方法及试验方法</w:t>
      </w:r>
    </w:p>
    <w:tbl>
      <w:tblPr>
        <w:tblStyle w:val="31"/>
        <w:tblW w:w="0" w:type="auto"/>
        <w:jc w:val="center"/>
        <w:tblLayout w:type="fixed"/>
        <w:tblCellMar>
          <w:top w:w="0" w:type="dxa"/>
          <w:left w:w="10" w:type="dxa"/>
          <w:bottom w:w="0" w:type="dxa"/>
          <w:right w:w="10" w:type="dxa"/>
        </w:tblCellMar>
      </w:tblPr>
      <w:tblGrid>
        <w:gridCol w:w="912"/>
        <w:gridCol w:w="1622"/>
        <w:gridCol w:w="1627"/>
        <w:gridCol w:w="1622"/>
        <w:gridCol w:w="1627"/>
        <w:gridCol w:w="1834"/>
      </w:tblGrid>
      <w:tr>
        <w:tblPrEx>
          <w:tblCellMar>
            <w:top w:w="0" w:type="dxa"/>
            <w:left w:w="10" w:type="dxa"/>
            <w:bottom w:w="0" w:type="dxa"/>
            <w:right w:w="10" w:type="dxa"/>
          </w:tblCellMar>
        </w:tblPrEx>
        <w:trPr>
          <w:trHeight w:val="370" w:hRule="exact"/>
          <w:jc w:val="center"/>
        </w:trPr>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val="zh-TW" w:eastAsia="zh-TW"/>
              </w:rPr>
              <w:t>序号</w:t>
            </w:r>
          </w:p>
        </w:tc>
        <w:tc>
          <w:tcPr>
            <w:tcW w:w="16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val="zh-TW" w:eastAsia="zh-TW"/>
              </w:rPr>
              <w:t>检验项目</w:t>
            </w:r>
          </w:p>
        </w:tc>
        <w:tc>
          <w:tcPr>
            <w:tcW w:w="16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val="zh-TW" w:eastAsia="zh-TW"/>
              </w:rPr>
              <w:t>取样数量</w:t>
            </w:r>
          </w:p>
        </w:tc>
        <w:tc>
          <w:tcPr>
            <w:tcW w:w="16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val="zh-TW" w:eastAsia="zh-TW"/>
              </w:rPr>
              <w:t>取样位置</w:t>
            </w:r>
          </w:p>
        </w:tc>
        <w:tc>
          <w:tcPr>
            <w:tcW w:w="16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val="zh-TW" w:eastAsia="zh-TW"/>
              </w:rPr>
              <w:t>取样方法</w:t>
            </w:r>
          </w:p>
        </w:tc>
        <w:tc>
          <w:tcPr>
            <w:tcW w:w="18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val="zh-TW" w:eastAsia="zh-TW"/>
              </w:rPr>
              <w:t>试验方法</w:t>
            </w:r>
          </w:p>
        </w:tc>
      </w:tr>
      <w:tr>
        <w:tblPrEx>
          <w:tblCellMar>
            <w:top w:w="0" w:type="dxa"/>
            <w:left w:w="10" w:type="dxa"/>
            <w:bottom w:w="0" w:type="dxa"/>
            <w:right w:w="10" w:type="dxa"/>
          </w:tblCellMar>
        </w:tblPrEx>
        <w:trPr>
          <w:trHeight w:val="360" w:hRule="exact"/>
          <w:jc w:val="center"/>
        </w:trPr>
        <w:tc>
          <w:tcPr>
            <w:tcW w:w="912" w:type="dxa"/>
            <w:tcBorders>
              <w:top w:val="single" w:color="auto" w:sz="4" w:space="0"/>
              <w:left w:val="single" w:color="auto" w:sz="4" w:space="0"/>
              <w:bottom w:val="single" w:color="auto" w:sz="4" w:space="0"/>
              <w:right w:val="single" w:color="auto" w:sz="4" w:space="0"/>
            </w:tcBorders>
            <w:shd w:val="clear" w:color="auto" w:fill="FFFFFF"/>
          </w:tcPr>
          <w:p>
            <w:pPr>
              <w:jc w:val="center"/>
              <w:rPr>
                <w:sz w:val="18"/>
                <w:szCs w:val="18"/>
              </w:rPr>
            </w:pPr>
            <w:r>
              <w:rPr>
                <w:rFonts w:hint="eastAsia"/>
                <w:sz w:val="18"/>
                <w:szCs w:val="18"/>
                <w:lang w:val="zh-TW" w:eastAsia="zh-TW"/>
              </w:rPr>
              <w:t>1</w:t>
            </w:r>
          </w:p>
        </w:tc>
        <w:tc>
          <w:tcPr>
            <w:tcW w:w="1622" w:type="dxa"/>
            <w:tcBorders>
              <w:top w:val="single" w:color="auto" w:sz="4" w:space="0"/>
              <w:left w:val="single" w:color="auto" w:sz="4" w:space="0"/>
              <w:bottom w:val="single" w:color="auto" w:sz="4" w:space="0"/>
              <w:right w:val="single" w:color="auto" w:sz="4" w:space="0"/>
            </w:tcBorders>
            <w:shd w:val="clear" w:color="auto" w:fill="FFFFFF"/>
          </w:tcPr>
          <w:p>
            <w:pPr>
              <w:jc w:val="center"/>
              <w:rPr>
                <w:sz w:val="18"/>
                <w:szCs w:val="18"/>
              </w:rPr>
            </w:pPr>
            <w:r>
              <w:rPr>
                <w:rFonts w:hint="eastAsia"/>
                <w:sz w:val="18"/>
                <w:szCs w:val="18"/>
                <w:lang w:val="zh-TW" w:eastAsia="zh-TW"/>
              </w:rPr>
              <w:t>化学分析</w:t>
            </w:r>
          </w:p>
        </w:tc>
        <w:tc>
          <w:tcPr>
            <w:tcW w:w="1627" w:type="dxa"/>
            <w:tcBorders>
              <w:top w:val="single" w:color="auto" w:sz="4" w:space="0"/>
              <w:left w:val="single" w:color="auto" w:sz="4" w:space="0"/>
              <w:bottom w:val="single" w:color="auto" w:sz="4" w:space="0"/>
              <w:right w:val="single" w:color="auto" w:sz="4" w:space="0"/>
            </w:tcBorders>
            <w:shd w:val="clear" w:color="auto" w:fill="FFFFFF"/>
          </w:tcPr>
          <w:p>
            <w:pPr>
              <w:jc w:val="center"/>
              <w:rPr>
                <w:sz w:val="18"/>
                <w:szCs w:val="18"/>
              </w:rPr>
            </w:pPr>
            <w:r>
              <w:rPr>
                <w:rFonts w:hint="eastAsia"/>
                <w:sz w:val="18"/>
                <w:szCs w:val="18"/>
                <w:lang w:val="zh-TW" w:eastAsia="zh-TW"/>
              </w:rPr>
              <w:t>每炉1个</w:t>
            </w:r>
          </w:p>
        </w:tc>
        <w:tc>
          <w:tcPr>
            <w:tcW w:w="1622" w:type="dxa"/>
            <w:tcBorders>
              <w:top w:val="single" w:color="auto" w:sz="4" w:space="0"/>
              <w:left w:val="single" w:color="auto" w:sz="4" w:space="0"/>
              <w:bottom w:val="single" w:color="auto" w:sz="4" w:space="0"/>
              <w:right w:val="single" w:color="auto" w:sz="4" w:space="0"/>
            </w:tcBorders>
            <w:shd w:val="clear" w:color="auto" w:fill="FFFFFF"/>
          </w:tcPr>
          <w:p>
            <w:pPr>
              <w:jc w:val="center"/>
              <w:rPr>
                <w:sz w:val="18"/>
                <w:szCs w:val="18"/>
              </w:rPr>
            </w:pPr>
            <w:r>
              <w:rPr>
                <w:rFonts w:hint="eastAsia"/>
                <w:sz w:val="18"/>
                <w:szCs w:val="18"/>
                <w:lang w:val="zh-TW" w:eastAsia="zh-TW"/>
              </w:rPr>
              <w:t>—</w:t>
            </w:r>
          </w:p>
        </w:tc>
        <w:tc>
          <w:tcPr>
            <w:tcW w:w="1627" w:type="dxa"/>
            <w:tcBorders>
              <w:top w:val="single" w:color="auto" w:sz="4" w:space="0"/>
              <w:left w:val="single" w:color="auto" w:sz="4" w:space="0"/>
              <w:bottom w:val="single" w:color="auto" w:sz="4" w:space="0"/>
              <w:right w:val="single" w:color="auto" w:sz="4" w:space="0"/>
            </w:tcBorders>
            <w:shd w:val="clear" w:color="auto" w:fill="FFFFFF"/>
          </w:tcPr>
          <w:p>
            <w:pPr>
              <w:jc w:val="center"/>
              <w:rPr>
                <w:sz w:val="18"/>
                <w:szCs w:val="18"/>
              </w:rPr>
            </w:pPr>
            <w:r>
              <w:rPr>
                <w:rFonts w:hint="eastAsia"/>
                <w:sz w:val="18"/>
                <w:szCs w:val="18"/>
                <w:lang w:eastAsia="en-US"/>
              </w:rPr>
              <w:t xml:space="preserve">GB/T </w:t>
            </w:r>
            <w:r>
              <w:rPr>
                <w:rFonts w:hint="eastAsia"/>
                <w:sz w:val="18"/>
                <w:szCs w:val="18"/>
                <w:lang w:val="zh-TW" w:eastAsia="zh-TW"/>
              </w:rPr>
              <w:t>20066</w:t>
            </w:r>
          </w:p>
        </w:tc>
        <w:tc>
          <w:tcPr>
            <w:tcW w:w="1834" w:type="dxa"/>
            <w:tcBorders>
              <w:top w:val="single" w:color="auto" w:sz="4" w:space="0"/>
              <w:left w:val="single" w:color="auto" w:sz="4" w:space="0"/>
              <w:bottom w:val="single" w:color="auto" w:sz="4" w:space="0"/>
              <w:right w:val="single" w:color="auto" w:sz="4" w:space="0"/>
            </w:tcBorders>
            <w:shd w:val="clear" w:color="auto" w:fill="FFFFFF"/>
          </w:tcPr>
          <w:p>
            <w:pPr>
              <w:jc w:val="center"/>
              <w:rPr>
                <w:sz w:val="18"/>
                <w:szCs w:val="18"/>
              </w:rPr>
            </w:pPr>
            <w:r>
              <w:rPr>
                <w:rFonts w:hint="eastAsia"/>
                <w:sz w:val="18"/>
                <w:szCs w:val="18"/>
                <w:lang w:val="zh-TW" w:eastAsia="zh-TW"/>
              </w:rPr>
              <w:t>见</w:t>
            </w:r>
            <w:r>
              <w:rPr>
                <w:rFonts w:hint="eastAsia"/>
                <w:sz w:val="18"/>
                <w:szCs w:val="18"/>
                <w:lang w:eastAsia="en-US"/>
              </w:rPr>
              <w:t>8.1</w:t>
            </w:r>
          </w:p>
        </w:tc>
      </w:tr>
      <w:tr>
        <w:tblPrEx>
          <w:tblCellMar>
            <w:top w:w="0" w:type="dxa"/>
            <w:left w:w="10" w:type="dxa"/>
            <w:bottom w:w="0" w:type="dxa"/>
            <w:right w:w="10" w:type="dxa"/>
          </w:tblCellMar>
        </w:tblPrEx>
        <w:trPr>
          <w:trHeight w:val="365" w:hRule="exact"/>
          <w:jc w:val="center"/>
        </w:trPr>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val="zh-TW" w:eastAsia="zh-TW"/>
              </w:rPr>
              <w:t>2</w:t>
            </w:r>
          </w:p>
        </w:tc>
        <w:tc>
          <w:tcPr>
            <w:tcW w:w="16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val="zh-TW" w:eastAsia="zh-TW"/>
              </w:rPr>
              <w:t>拉伸试验</w:t>
            </w:r>
          </w:p>
        </w:tc>
        <w:tc>
          <w:tcPr>
            <w:tcW w:w="16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val="zh-TW" w:eastAsia="zh-TW"/>
              </w:rPr>
              <w:t>每批1个</w:t>
            </w:r>
          </w:p>
        </w:tc>
        <w:tc>
          <w:tcPr>
            <w:tcW w:w="16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val="zh-TW" w:eastAsia="zh-TW"/>
              </w:rPr>
              <w:t>—</w:t>
            </w:r>
          </w:p>
        </w:tc>
        <w:tc>
          <w:tcPr>
            <w:tcW w:w="16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eastAsia="en-US"/>
              </w:rPr>
              <w:t xml:space="preserve">GB/T </w:t>
            </w:r>
            <w:r>
              <w:rPr>
                <w:rFonts w:hint="eastAsia"/>
                <w:sz w:val="18"/>
                <w:szCs w:val="18"/>
                <w:lang w:val="zh-TW" w:eastAsia="zh-TW"/>
              </w:rPr>
              <w:t>2975</w:t>
            </w:r>
          </w:p>
        </w:tc>
        <w:tc>
          <w:tcPr>
            <w:tcW w:w="18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eastAsia="en-US"/>
              </w:rPr>
              <w:t>GB/T 228.1</w:t>
            </w:r>
          </w:p>
        </w:tc>
      </w:tr>
      <w:tr>
        <w:tblPrEx>
          <w:tblCellMar>
            <w:top w:w="0" w:type="dxa"/>
            <w:left w:w="10" w:type="dxa"/>
            <w:bottom w:w="0" w:type="dxa"/>
            <w:right w:w="10" w:type="dxa"/>
          </w:tblCellMar>
        </w:tblPrEx>
        <w:trPr>
          <w:trHeight w:val="725" w:hRule="exact"/>
          <w:jc w:val="center"/>
        </w:trPr>
        <w:tc>
          <w:tcPr>
            <w:tcW w:w="912"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lang w:val="zh-TW"/>
              </w:rPr>
              <w:t>3</w:t>
            </w:r>
          </w:p>
        </w:tc>
        <w:tc>
          <w:tcPr>
            <w:tcW w:w="1622"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lang w:val="zh-TW" w:eastAsia="zh-TW"/>
              </w:rPr>
              <w:t>镀层重量</w:t>
            </w:r>
            <w:r>
              <w:rPr>
                <w:rFonts w:hint="eastAsia"/>
                <w:sz w:val="18"/>
                <w:szCs w:val="18"/>
                <w:vertAlign w:val="superscript"/>
                <w:lang w:val="zh-TW"/>
              </w:rPr>
              <w:t>a</w:t>
            </w:r>
          </w:p>
        </w:tc>
        <w:tc>
          <w:tcPr>
            <w:tcW w:w="1627"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lang w:val="zh-TW" w:eastAsia="zh-TW"/>
              </w:rPr>
              <w:t>每批3个（1组）</w:t>
            </w:r>
          </w:p>
        </w:tc>
        <w:tc>
          <w:tcPr>
            <w:tcW w:w="1622"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lang w:val="zh-TW" w:eastAsia="zh-TW"/>
              </w:rPr>
              <w:t>如图1</w:t>
            </w:r>
          </w:p>
        </w:tc>
        <w:tc>
          <w:tcPr>
            <w:tcW w:w="1627"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lang w:val="zh-TW" w:eastAsia="zh-TW"/>
              </w:rPr>
              <w:t xml:space="preserve">单个试样的面积 不小于5 000 </w:t>
            </w:r>
            <w:r>
              <w:rPr>
                <w:rFonts w:hint="eastAsia"/>
                <w:sz w:val="18"/>
                <w:szCs w:val="18"/>
              </w:rPr>
              <w:t>mm</w:t>
            </w:r>
            <w:r>
              <w:rPr>
                <w:rFonts w:hint="eastAsia"/>
                <w:sz w:val="18"/>
                <w:szCs w:val="18"/>
                <w:vertAlign w:val="superscript"/>
              </w:rPr>
              <w:t>2</w:t>
            </w:r>
          </w:p>
        </w:tc>
        <w:tc>
          <w:tcPr>
            <w:tcW w:w="1834" w:type="dxa"/>
            <w:tcBorders>
              <w:top w:val="single" w:color="auto" w:sz="4" w:space="0"/>
              <w:left w:val="single" w:color="auto" w:sz="4" w:space="0"/>
              <w:right w:val="single" w:color="auto" w:sz="4" w:space="0"/>
            </w:tcBorders>
            <w:shd w:val="clear" w:color="auto" w:fill="FFFFFF"/>
            <w:vAlign w:val="center"/>
          </w:tcPr>
          <w:p>
            <w:pPr>
              <w:jc w:val="center"/>
              <w:rPr>
                <w:sz w:val="18"/>
                <w:szCs w:val="18"/>
              </w:rPr>
            </w:pPr>
            <w:r>
              <w:rPr>
                <w:rFonts w:hint="eastAsia"/>
                <w:sz w:val="18"/>
                <w:szCs w:val="18"/>
              </w:rPr>
              <w:t>GB/T1839</w:t>
            </w:r>
          </w:p>
        </w:tc>
      </w:tr>
      <w:tr>
        <w:tblPrEx>
          <w:tblCellMar>
            <w:top w:w="0" w:type="dxa"/>
            <w:left w:w="10" w:type="dxa"/>
            <w:bottom w:w="0" w:type="dxa"/>
            <w:right w:w="10" w:type="dxa"/>
          </w:tblCellMar>
        </w:tblPrEx>
        <w:trPr>
          <w:trHeight w:val="360" w:hRule="exact"/>
          <w:jc w:val="center"/>
        </w:trPr>
        <w:tc>
          <w:tcPr>
            <w:tcW w:w="912"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rPr>
              <w:t>4</w:t>
            </w:r>
          </w:p>
        </w:tc>
        <w:tc>
          <w:tcPr>
            <w:tcW w:w="1622"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lang w:val="zh-TW" w:eastAsia="zh-TW"/>
              </w:rPr>
              <w:t>尺寸、外形</w:t>
            </w:r>
          </w:p>
        </w:tc>
        <w:tc>
          <w:tcPr>
            <w:tcW w:w="1627"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lang w:val="zh-TW" w:eastAsia="zh-TW"/>
              </w:rPr>
              <w:t>逐卷/逐张</w:t>
            </w:r>
          </w:p>
        </w:tc>
        <w:tc>
          <w:tcPr>
            <w:tcW w:w="1622"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lang w:val="zh-TW" w:eastAsia="zh-TW"/>
              </w:rPr>
              <w:t>—</w:t>
            </w:r>
          </w:p>
        </w:tc>
        <w:tc>
          <w:tcPr>
            <w:tcW w:w="1627"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rPr>
              <w:t>—</w:t>
            </w:r>
          </w:p>
        </w:tc>
        <w:tc>
          <w:tcPr>
            <w:tcW w:w="1834" w:type="dxa"/>
            <w:tcBorders>
              <w:top w:val="single" w:color="auto" w:sz="4" w:space="0"/>
              <w:left w:val="single" w:color="auto" w:sz="4" w:space="0"/>
              <w:right w:val="single" w:color="auto" w:sz="4" w:space="0"/>
            </w:tcBorders>
            <w:shd w:val="clear" w:color="auto" w:fill="FFFFFF"/>
            <w:vAlign w:val="center"/>
          </w:tcPr>
          <w:p>
            <w:pPr>
              <w:jc w:val="center"/>
              <w:rPr>
                <w:sz w:val="18"/>
                <w:szCs w:val="18"/>
              </w:rPr>
            </w:pPr>
            <w:r>
              <w:rPr>
                <w:rFonts w:hint="eastAsia"/>
                <w:sz w:val="18"/>
                <w:szCs w:val="18"/>
                <w:lang w:val="zh-TW" w:eastAsia="zh-TW"/>
              </w:rPr>
              <w:t>适宜的量具</w:t>
            </w:r>
          </w:p>
        </w:tc>
      </w:tr>
      <w:tr>
        <w:tblPrEx>
          <w:tblCellMar>
            <w:top w:w="0" w:type="dxa"/>
            <w:left w:w="10" w:type="dxa"/>
            <w:bottom w:w="0" w:type="dxa"/>
            <w:right w:w="10" w:type="dxa"/>
          </w:tblCellMar>
        </w:tblPrEx>
        <w:trPr>
          <w:trHeight w:val="360" w:hRule="exact"/>
          <w:jc w:val="center"/>
        </w:trPr>
        <w:tc>
          <w:tcPr>
            <w:tcW w:w="912"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rPr>
              <w:t>5</w:t>
            </w:r>
          </w:p>
        </w:tc>
        <w:tc>
          <w:tcPr>
            <w:tcW w:w="1622"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lang w:val="zh-TW" w:eastAsia="zh-TW"/>
              </w:rPr>
              <w:t>表面质量</w:t>
            </w:r>
          </w:p>
        </w:tc>
        <w:tc>
          <w:tcPr>
            <w:tcW w:w="1627"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lang w:val="zh-TW" w:eastAsia="zh-TW"/>
              </w:rPr>
              <w:t>逐卷/逐张</w:t>
            </w:r>
          </w:p>
        </w:tc>
        <w:tc>
          <w:tcPr>
            <w:tcW w:w="1622"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lang w:val="zh-TW" w:eastAsia="zh-TW"/>
              </w:rPr>
              <w:t>—</w:t>
            </w:r>
          </w:p>
        </w:tc>
        <w:tc>
          <w:tcPr>
            <w:tcW w:w="1627" w:type="dxa"/>
            <w:tcBorders>
              <w:top w:val="single" w:color="auto" w:sz="4" w:space="0"/>
              <w:left w:val="single" w:color="auto" w:sz="4" w:space="0"/>
            </w:tcBorders>
            <w:shd w:val="clear" w:color="auto" w:fill="FFFFFF"/>
            <w:vAlign w:val="center"/>
          </w:tcPr>
          <w:p>
            <w:pPr>
              <w:jc w:val="center"/>
              <w:rPr>
                <w:sz w:val="18"/>
                <w:szCs w:val="18"/>
              </w:rPr>
            </w:pPr>
            <w:r>
              <w:rPr>
                <w:rFonts w:hint="eastAsia"/>
                <w:sz w:val="18"/>
                <w:szCs w:val="18"/>
                <w:lang w:eastAsia="en-US"/>
              </w:rPr>
              <w:t>—</w:t>
            </w:r>
          </w:p>
        </w:tc>
        <w:tc>
          <w:tcPr>
            <w:tcW w:w="1834" w:type="dxa"/>
            <w:tcBorders>
              <w:top w:val="single" w:color="auto" w:sz="4" w:space="0"/>
              <w:left w:val="single" w:color="auto" w:sz="4" w:space="0"/>
              <w:right w:val="single" w:color="auto" w:sz="4" w:space="0"/>
            </w:tcBorders>
            <w:shd w:val="clear" w:color="auto" w:fill="FFFFFF"/>
            <w:vAlign w:val="center"/>
          </w:tcPr>
          <w:p>
            <w:pPr>
              <w:jc w:val="center"/>
              <w:rPr>
                <w:sz w:val="18"/>
                <w:szCs w:val="18"/>
              </w:rPr>
            </w:pPr>
            <w:r>
              <w:rPr>
                <w:rFonts w:hint="eastAsia"/>
                <w:sz w:val="18"/>
                <w:szCs w:val="18"/>
                <w:lang w:val="zh-TW" w:eastAsia="zh-TW"/>
              </w:rPr>
              <w:t>目视</w:t>
            </w:r>
          </w:p>
        </w:tc>
      </w:tr>
      <w:tr>
        <w:tblPrEx>
          <w:tblCellMar>
            <w:top w:w="0" w:type="dxa"/>
            <w:left w:w="10" w:type="dxa"/>
            <w:bottom w:w="0" w:type="dxa"/>
            <w:right w:w="10" w:type="dxa"/>
          </w:tblCellMar>
        </w:tblPrEx>
        <w:trPr>
          <w:trHeight w:val="357" w:hRule="exact"/>
          <w:jc w:val="center"/>
        </w:trPr>
        <w:tc>
          <w:tcPr>
            <w:tcW w:w="9244"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jc w:val="left"/>
              <w:rPr>
                <w:sz w:val="18"/>
                <w:szCs w:val="18"/>
              </w:rPr>
            </w:pPr>
            <w:r>
              <w:rPr>
                <w:rFonts w:hint="eastAsia"/>
                <w:sz w:val="18"/>
                <w:szCs w:val="18"/>
                <w:vertAlign w:val="superscript"/>
              </w:rPr>
              <w:t>a</w:t>
            </w:r>
            <w:r>
              <w:rPr>
                <w:rFonts w:hint="eastAsia"/>
                <w:sz w:val="18"/>
                <w:szCs w:val="18"/>
                <w:lang w:val="zh-TW" w:eastAsia="zh-TW"/>
              </w:rPr>
              <w:t>镀层重量也可以按无损检测方法进行检验，见</w:t>
            </w:r>
            <w:r>
              <w:rPr>
                <w:rFonts w:hint="eastAsia"/>
                <w:sz w:val="18"/>
                <w:szCs w:val="18"/>
              </w:rPr>
              <w:t>GB/T 1839—2008</w:t>
            </w:r>
            <w:r>
              <w:rPr>
                <w:rFonts w:hint="eastAsia"/>
                <w:sz w:val="18"/>
                <w:szCs w:val="18"/>
                <w:lang w:val="zh-TW" w:eastAsia="zh-TW"/>
              </w:rPr>
              <w:t>的附录</w:t>
            </w:r>
            <w:r>
              <w:rPr>
                <w:rFonts w:hint="eastAsia"/>
                <w:sz w:val="18"/>
                <w:szCs w:val="18"/>
              </w:rPr>
              <w:t>A。</w:t>
            </w:r>
            <w:r>
              <w:rPr>
                <w:rFonts w:hint="eastAsia"/>
                <w:sz w:val="18"/>
                <w:szCs w:val="18"/>
                <w:lang w:val="zh-TW" w:eastAsia="zh-TW"/>
              </w:rPr>
              <w:t>仲裁时按</w:t>
            </w:r>
            <w:r>
              <w:rPr>
                <w:rFonts w:hint="eastAsia"/>
                <w:sz w:val="18"/>
                <w:szCs w:val="18"/>
              </w:rPr>
              <w:t>GB/T 1839—2008</w:t>
            </w:r>
            <w:r>
              <w:rPr>
                <w:rFonts w:hint="eastAsia"/>
                <w:sz w:val="18"/>
                <w:szCs w:val="18"/>
                <w:lang w:val="zh-TW" w:eastAsia="zh-TW"/>
              </w:rPr>
              <w:t>的重量法执行。</w:t>
            </w:r>
          </w:p>
        </w:tc>
      </w:tr>
    </w:tbl>
    <w:p>
      <w:pPr>
        <w:pStyle w:val="22"/>
      </w:pPr>
    </w:p>
    <w:p>
      <w:pPr>
        <w:jc w:val="center"/>
        <w:rPr>
          <w:sz w:val="2"/>
          <w:szCs w:val="2"/>
        </w:rPr>
      </w:pPr>
      <w:r>
        <w:drawing>
          <wp:inline distT="0" distB="0" distL="0" distR="0">
            <wp:extent cx="4243705" cy="2943225"/>
            <wp:effectExtent l="0" t="0" r="8255" b="13335"/>
            <wp:docPr id="2" name="图片 2" descr="C:\Users\ADMINI~1\AppData\Local\Temp\WeChat Files\8df43549230570a0632d909e642af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8df43549230570a0632d909e642af3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54894" cy="2950933"/>
                    </a:xfrm>
                    <a:prstGeom prst="rect">
                      <a:avLst/>
                    </a:prstGeom>
                    <a:noFill/>
                    <a:ln>
                      <a:noFill/>
                    </a:ln>
                  </pic:spPr>
                </pic:pic>
              </a:graphicData>
            </a:graphic>
          </wp:inline>
        </w:drawing>
      </w:r>
    </w:p>
    <w:p>
      <w:pPr>
        <w:spacing w:after="139" w:line="1" w:lineRule="exact"/>
      </w:pPr>
    </w:p>
    <w:p>
      <w:pPr>
        <w:pStyle w:val="149"/>
        <w:spacing w:after="0" w:line="240" w:lineRule="auto"/>
        <w:ind w:firstLine="340"/>
        <w:jc w:val="left"/>
      </w:pPr>
      <w:r>
        <w:t>说明</w:t>
      </w:r>
      <w:r>
        <w:rPr>
          <w:rFonts w:hint="eastAsia"/>
          <w:lang w:eastAsia="zh-CN"/>
        </w:rPr>
        <w:t>：</w:t>
      </w:r>
      <w:r>
        <w:rPr>
          <w:rFonts w:hint="eastAsia"/>
          <w:lang w:val="en-US" w:eastAsia="zh-CN"/>
        </w:rPr>
        <w:t>b—</w:t>
      </w:r>
      <w:r>
        <w:tab/>
      </w:r>
      <w:r>
        <w:t>钢带的宽度</w:t>
      </w:r>
      <w:r>
        <w:rPr>
          <w:rFonts w:hint="eastAsia"/>
          <w:lang w:eastAsia="zh-CN"/>
        </w:rPr>
        <w:t>。</w:t>
      </w:r>
      <w:r>
        <w:rPr>
          <w:rFonts w:hint="eastAsia"/>
        </w:rPr>
        <w:t>（单位为毫米）</w:t>
      </w:r>
    </w:p>
    <w:p>
      <w:pPr>
        <w:pStyle w:val="143"/>
        <w:spacing w:after="520" w:line="240" w:lineRule="auto"/>
        <w:ind w:firstLine="0"/>
        <w:jc w:val="center"/>
      </w:pPr>
      <w:r>
        <w:rPr>
          <w:b/>
          <w:bCs/>
        </w:rPr>
        <w:t>图</w:t>
      </w:r>
      <w:r>
        <w:rPr>
          <w:rFonts w:ascii="Times New Roman" w:hAnsi="Times New Roman" w:eastAsia="Times New Roman" w:cs="Times New Roman"/>
          <w:sz w:val="20"/>
          <w:szCs w:val="20"/>
        </w:rPr>
        <w:t>1</w:t>
      </w:r>
      <w:r>
        <w:rPr>
          <w:b/>
          <w:bCs/>
        </w:rPr>
        <w:t>镀层重量试样的取样位置</w:t>
      </w:r>
    </w:p>
    <w:p>
      <w:pPr>
        <w:pStyle w:val="43"/>
        <w:spacing w:before="312" w:after="312"/>
      </w:pPr>
      <w:bookmarkStart w:id="51" w:name="_Toc21851"/>
      <w:r>
        <w:rPr>
          <w:rFonts w:hint="eastAsia"/>
        </w:rPr>
        <w:t>检验规则</w:t>
      </w:r>
      <w:bookmarkEnd w:id="51"/>
    </w:p>
    <w:p>
      <w:pPr>
        <w:pStyle w:val="40"/>
        <w:spacing w:before="156" w:after="156"/>
      </w:pPr>
      <w:r>
        <w:rPr>
          <w:rFonts w:hint="eastAsia"/>
        </w:rPr>
        <w:t>检查和验收</w:t>
      </w:r>
    </w:p>
    <w:p>
      <w:pPr>
        <w:pStyle w:val="61"/>
        <w:numPr>
          <w:ilvl w:val="2"/>
          <w:numId w:val="0"/>
        </w:numPr>
        <w:ind w:firstLine="420" w:firstLineChars="200"/>
        <w:rPr>
          <w:rFonts w:hAnsi="宋体"/>
        </w:rPr>
      </w:pPr>
      <w:r>
        <w:rPr>
          <w:rFonts w:hint="eastAsia" w:hAnsi="宋体"/>
        </w:rPr>
        <w:t>钢带的检查和验收</w:t>
      </w:r>
      <w:r>
        <w:rPr>
          <w:rFonts w:ascii="Times New Roman"/>
        </w:rPr>
        <w:t>由供方质量检验部门进行。</w:t>
      </w:r>
    </w:p>
    <w:p>
      <w:pPr>
        <w:pStyle w:val="40"/>
        <w:spacing w:before="156" w:after="156"/>
      </w:pPr>
      <w:r>
        <w:rPr>
          <w:rFonts w:hint="eastAsia"/>
        </w:rPr>
        <w:t>组批规则</w:t>
      </w:r>
    </w:p>
    <w:p>
      <w:pPr>
        <w:pStyle w:val="61"/>
        <w:numPr>
          <w:ilvl w:val="2"/>
          <w:numId w:val="0"/>
        </w:numPr>
        <w:ind w:firstLine="420" w:firstLineChars="200"/>
        <w:rPr>
          <w:rFonts w:hAnsi="宋体"/>
        </w:rPr>
      </w:pPr>
      <w:r>
        <w:rPr>
          <w:rFonts w:hint="eastAsia" w:hAnsi="宋体"/>
        </w:rPr>
        <w:t>钢带应按批验收，每个检验批由不大于30t的同牌号、同炉号、同规格、同一镀层重量、同镀层表面结构和同表面处理的钢材组成。对于单个卷重大于30t的钢带，每卷作为一个检验批。</w:t>
      </w:r>
    </w:p>
    <w:p>
      <w:pPr>
        <w:pStyle w:val="40"/>
        <w:spacing w:before="156" w:after="156"/>
      </w:pPr>
      <w:r>
        <w:rPr>
          <w:rFonts w:hint="eastAsia"/>
        </w:rPr>
        <w:t>复验与判定</w:t>
      </w:r>
    </w:p>
    <w:p>
      <w:pPr>
        <w:pStyle w:val="61"/>
        <w:numPr>
          <w:ilvl w:val="2"/>
          <w:numId w:val="0"/>
        </w:numPr>
        <w:ind w:firstLine="420" w:firstLineChars="200"/>
        <w:rPr>
          <w:rFonts w:hAnsi="宋体"/>
        </w:rPr>
      </w:pPr>
      <w:r>
        <w:rPr>
          <w:rFonts w:hint="eastAsia" w:hAnsi="宋体"/>
        </w:rPr>
        <w:t>钢带的复验与判定规则应符合GB/T 17505的规定。</w:t>
      </w:r>
    </w:p>
    <w:p>
      <w:pPr>
        <w:pStyle w:val="40"/>
        <w:spacing w:before="156" w:after="156"/>
      </w:pPr>
      <w:r>
        <w:rPr>
          <w:rFonts w:hint="eastAsia"/>
        </w:rPr>
        <w:t>数值修约</w:t>
      </w:r>
    </w:p>
    <w:p>
      <w:pPr>
        <w:pStyle w:val="61"/>
        <w:numPr>
          <w:ilvl w:val="2"/>
          <w:numId w:val="0"/>
        </w:numPr>
        <w:ind w:firstLine="420" w:firstLineChars="200"/>
        <w:rPr>
          <w:rFonts w:hAnsi="宋体"/>
        </w:rPr>
      </w:pPr>
      <w:r>
        <w:rPr>
          <w:rFonts w:hint="eastAsia" w:hAnsi="宋体"/>
        </w:rPr>
        <w:t>化学成分和力学性能检验结果采用修约值比较法进行修约，数值修约规则按GB/T 8170规定执行。</w:t>
      </w:r>
    </w:p>
    <w:p>
      <w:pPr>
        <w:pStyle w:val="43"/>
        <w:spacing w:before="312" w:after="312"/>
      </w:pPr>
      <w:bookmarkStart w:id="52" w:name="_Toc1126"/>
      <w:r>
        <w:rPr>
          <w:rFonts w:hint="eastAsia"/>
        </w:rPr>
        <w:t>包装、标志及质量证明书</w:t>
      </w:r>
      <w:bookmarkEnd w:id="52"/>
    </w:p>
    <w:p>
      <w:pPr>
        <w:widowControl/>
        <w:tabs>
          <w:tab w:val="center" w:pos="4201"/>
          <w:tab w:val="right" w:leader="dot" w:pos="9298"/>
        </w:tabs>
        <w:autoSpaceDE w:val="0"/>
        <w:autoSpaceDN w:val="0"/>
        <w:ind w:firstLine="315" w:firstLineChars="150"/>
        <w:rPr>
          <w:rFonts w:ascii="宋体" w:hAnsi="宋体"/>
          <w:kern w:val="0"/>
          <w:szCs w:val="20"/>
        </w:rPr>
      </w:pPr>
      <w:r>
        <w:rPr>
          <w:rFonts w:hint="eastAsia" w:hAnsi="宋体"/>
        </w:rPr>
        <w:t>钢带</w:t>
      </w:r>
      <w:r>
        <w:rPr>
          <w:rFonts w:hint="eastAsia"/>
        </w:rPr>
        <w:t>的包装、标志及质量证明书应符合GB/T 247的规定。如需方对包装有特殊要求，应在合同中注明。</w:t>
      </w:r>
    </w:p>
    <w:p>
      <w:pPr>
        <w:widowControl/>
        <w:jc w:val="left"/>
        <w:rPr>
          <w:rFonts w:ascii="宋体" w:hAnsi="宋体"/>
          <w:kern w:val="0"/>
          <w:szCs w:val="20"/>
        </w:rPr>
      </w:pPr>
    </w:p>
    <w:p>
      <w:pPr>
        <w:widowControl/>
        <w:tabs>
          <w:tab w:val="center" w:pos="4201"/>
          <w:tab w:val="right" w:leader="dot" w:pos="9298"/>
        </w:tabs>
        <w:autoSpaceDE w:val="0"/>
        <w:autoSpaceDN w:val="0"/>
        <w:ind w:firstLine="315" w:firstLineChars="150"/>
        <w:jc w:val="center"/>
      </w:pPr>
    </w:p>
    <w:p>
      <w:pPr>
        <w:widowControl/>
        <w:tabs>
          <w:tab w:val="center" w:pos="4201"/>
          <w:tab w:val="right" w:leader="dot" w:pos="9298"/>
        </w:tabs>
        <w:autoSpaceDE w:val="0"/>
        <w:autoSpaceDN w:val="0"/>
        <w:ind w:firstLine="315" w:firstLineChars="150"/>
        <w:jc w:val="center"/>
      </w:pPr>
    </w:p>
    <w:p>
      <w:pPr>
        <w:widowControl/>
        <w:tabs>
          <w:tab w:val="center" w:pos="4201"/>
          <w:tab w:val="right" w:leader="dot" w:pos="9298"/>
        </w:tabs>
        <w:autoSpaceDE w:val="0"/>
        <w:autoSpaceDN w:val="0"/>
        <w:ind w:firstLine="315" w:firstLineChars="150"/>
        <w:jc w:val="center"/>
      </w:pPr>
    </w:p>
    <w:p>
      <w:pPr>
        <w:widowControl/>
        <w:tabs>
          <w:tab w:val="center" w:pos="4201"/>
          <w:tab w:val="right" w:leader="dot" w:pos="9298"/>
        </w:tabs>
        <w:autoSpaceDE w:val="0"/>
        <w:autoSpaceDN w:val="0"/>
        <w:ind w:firstLine="316" w:firstLineChars="150"/>
        <w:jc w:val="center"/>
        <w:rPr>
          <w:b/>
          <w:bCs/>
        </w:rPr>
      </w:pPr>
      <w:r>
        <w:rPr>
          <w:b/>
          <w:bCs/>
        </w:rPr>
        <w:t>附录 A</w:t>
      </w:r>
    </w:p>
    <w:p>
      <w:pPr>
        <w:widowControl/>
        <w:tabs>
          <w:tab w:val="center" w:pos="4201"/>
          <w:tab w:val="right" w:leader="dot" w:pos="9298"/>
        </w:tabs>
        <w:autoSpaceDE w:val="0"/>
        <w:autoSpaceDN w:val="0"/>
        <w:ind w:firstLine="316" w:firstLineChars="150"/>
        <w:jc w:val="center"/>
        <w:rPr>
          <w:b/>
          <w:bCs/>
        </w:rPr>
      </w:pPr>
      <w:r>
        <w:rPr>
          <w:b/>
          <w:bCs/>
        </w:rPr>
        <w:t>（资料性）</w:t>
      </w:r>
    </w:p>
    <w:p>
      <w:pPr>
        <w:widowControl/>
        <w:jc w:val="center"/>
        <w:rPr>
          <w:rFonts w:ascii="宋体" w:hAnsi="宋体"/>
          <w:b/>
          <w:bCs/>
          <w:kern w:val="0"/>
          <w:szCs w:val="20"/>
        </w:rPr>
      </w:pPr>
      <w:r>
        <w:rPr>
          <w:rFonts w:hint="eastAsia" w:ascii="宋体" w:hAnsi="宋体"/>
          <w:b/>
          <w:bCs/>
          <w:kern w:val="0"/>
          <w:szCs w:val="20"/>
        </w:rPr>
        <w:t>本文件与国外相关文件近似牌号对照</w:t>
      </w:r>
    </w:p>
    <w:p>
      <w:pPr>
        <w:widowControl/>
        <w:tabs>
          <w:tab w:val="center" w:pos="4201"/>
          <w:tab w:val="right" w:leader="dot" w:pos="9298"/>
        </w:tabs>
        <w:autoSpaceDE w:val="0"/>
        <w:autoSpaceDN w:val="0"/>
        <w:ind w:firstLine="315" w:firstLineChars="150"/>
      </w:pPr>
    </w:p>
    <w:p>
      <w:pPr>
        <w:widowControl/>
      </w:pPr>
      <w:r>
        <w:rPr>
          <w:rFonts w:hint="eastAsia" w:ascii="宋体" w:hAnsi="宋体"/>
          <w:kern w:val="0"/>
          <w:szCs w:val="20"/>
        </w:rPr>
        <w:t>本文件与国外相关文件近似牌号对照</w:t>
      </w:r>
      <w:r>
        <w:t>见表A.1。</w:t>
      </w:r>
    </w:p>
    <w:p>
      <w:pPr>
        <w:widowControl/>
        <w:rPr>
          <w:rFonts w:ascii="宋体" w:hAnsi="宋体"/>
          <w:kern w:val="0"/>
          <w:szCs w:val="20"/>
        </w:rPr>
      </w:pPr>
    </w:p>
    <w:p>
      <w:pPr>
        <w:widowControl/>
        <w:jc w:val="center"/>
        <w:rPr>
          <w:rFonts w:ascii="宋体" w:hAnsi="宋体"/>
          <w:kern w:val="0"/>
          <w:szCs w:val="20"/>
        </w:rPr>
      </w:pPr>
      <w:r>
        <w:t>表A.</w:t>
      </w:r>
      <w:r>
        <w:rPr>
          <w:rFonts w:hint="eastAsia"/>
        </w:rPr>
        <w:t xml:space="preserve">1 </w:t>
      </w:r>
      <w:r>
        <w:rPr>
          <w:rFonts w:hint="eastAsia" w:ascii="宋体" w:hAnsi="宋体"/>
          <w:kern w:val="0"/>
          <w:szCs w:val="20"/>
        </w:rPr>
        <w:t>本文件与国外相关文件近似牌号对照</w:t>
      </w:r>
    </w:p>
    <w:tbl>
      <w:tblPr>
        <w:tblStyle w:val="3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10"/>
        <w:gridCol w:w="2320"/>
        <w:gridCol w:w="2320"/>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4" w:type="pct"/>
            <w:vAlign w:val="center"/>
          </w:tcPr>
          <w:p>
            <w:pPr>
              <w:widowControl/>
              <w:numPr>
                <w:ilvl w:val="0"/>
                <w:numId w:val="0"/>
              </w:numPr>
              <w:tabs>
                <w:tab w:val="left" w:pos="360"/>
              </w:tabs>
              <w:ind w:left="0" w:firstLine="0"/>
              <w:jc w:val="center"/>
              <w:rPr>
                <w:rFonts w:ascii="宋体" w:hAnsi="宋体"/>
                <w:color w:val="auto"/>
                <w:kern w:val="0"/>
                <w:szCs w:val="21"/>
              </w:rPr>
            </w:pPr>
            <w:r>
              <w:rPr>
                <w:rFonts w:hint="eastAsia" w:ascii="宋体" w:hAnsi="宋体"/>
                <w:color w:val="auto"/>
                <w:kern w:val="0"/>
                <w:szCs w:val="21"/>
              </w:rPr>
              <w:t>本文件</w:t>
            </w:r>
          </w:p>
        </w:tc>
        <w:tc>
          <w:tcPr>
            <w:tcW w:w="1212" w:type="pct"/>
            <w:vAlign w:val="center"/>
          </w:tcPr>
          <w:p>
            <w:pPr>
              <w:widowControl/>
              <w:numPr>
                <w:ilvl w:val="0"/>
                <w:numId w:val="0"/>
              </w:numPr>
              <w:tabs>
                <w:tab w:val="left" w:pos="360"/>
              </w:tabs>
              <w:ind w:left="0" w:firstLine="0"/>
              <w:jc w:val="center"/>
              <w:rPr>
                <w:rFonts w:ascii="宋体" w:hAnsi="宋体"/>
                <w:color w:val="auto"/>
                <w:kern w:val="0"/>
                <w:szCs w:val="21"/>
              </w:rPr>
            </w:pPr>
            <w:r>
              <w:rPr>
                <w:rFonts w:hint="eastAsia" w:ascii="宋体" w:hAnsi="宋体"/>
                <w:color w:val="auto"/>
                <w:kern w:val="0"/>
                <w:szCs w:val="21"/>
              </w:rPr>
              <w:t>日本</w:t>
            </w:r>
          </w:p>
        </w:tc>
        <w:tc>
          <w:tcPr>
            <w:tcW w:w="1212" w:type="pct"/>
            <w:vAlign w:val="center"/>
          </w:tcPr>
          <w:p>
            <w:pPr>
              <w:widowControl/>
              <w:numPr>
                <w:ilvl w:val="0"/>
                <w:numId w:val="0"/>
              </w:numPr>
              <w:tabs>
                <w:tab w:val="left" w:pos="360"/>
              </w:tabs>
              <w:ind w:left="0" w:firstLine="0"/>
              <w:jc w:val="center"/>
              <w:rPr>
                <w:rFonts w:ascii="宋体" w:hAnsi="宋体"/>
                <w:color w:val="auto"/>
                <w:kern w:val="0"/>
                <w:szCs w:val="21"/>
              </w:rPr>
            </w:pPr>
            <w:r>
              <w:rPr>
                <w:rFonts w:hint="eastAsia" w:ascii="宋体" w:hAnsi="宋体"/>
                <w:color w:val="auto"/>
                <w:kern w:val="0"/>
                <w:szCs w:val="21"/>
              </w:rPr>
              <w:t>欧洲</w:t>
            </w:r>
          </w:p>
        </w:tc>
        <w:tc>
          <w:tcPr>
            <w:tcW w:w="1212" w:type="pct"/>
            <w:vAlign w:val="center"/>
          </w:tcPr>
          <w:p>
            <w:pPr>
              <w:widowControl/>
              <w:numPr>
                <w:ilvl w:val="0"/>
                <w:numId w:val="0"/>
              </w:numPr>
              <w:tabs>
                <w:tab w:val="left" w:pos="360"/>
              </w:tabs>
              <w:ind w:left="0" w:firstLine="0"/>
              <w:jc w:val="center"/>
              <w:rPr>
                <w:rFonts w:ascii="宋体" w:hAnsi="宋体"/>
                <w:color w:val="auto"/>
                <w:kern w:val="0"/>
                <w:szCs w:val="21"/>
              </w:rPr>
            </w:pPr>
            <w:r>
              <w:rPr>
                <w:rFonts w:hint="eastAsia" w:ascii="宋体" w:hAnsi="宋体"/>
                <w:color w:val="auto"/>
                <w:kern w:val="0"/>
                <w:szCs w:val="21"/>
              </w:rPr>
              <w:t>美标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4" w:type="pct"/>
            <w:vAlign w:val="center"/>
          </w:tcPr>
          <w:p>
            <w:pPr>
              <w:pStyle w:val="22"/>
              <w:numPr>
                <w:ilvl w:val="0"/>
                <w:numId w:val="0"/>
              </w:numPr>
              <w:tabs>
                <w:tab w:val="left" w:pos="360"/>
              </w:tabs>
              <w:ind w:left="0"/>
              <w:jc w:val="center"/>
              <w:rPr>
                <w:rFonts w:hAnsi="宋体"/>
                <w:color w:val="auto"/>
                <w:szCs w:val="21"/>
              </w:rPr>
            </w:pPr>
            <w:r>
              <w:rPr>
                <w:rFonts w:hint="eastAsia" w:hAnsi="宋体"/>
                <w:color w:val="auto"/>
                <w:szCs w:val="21"/>
              </w:rPr>
              <w:t>S</w:t>
            </w:r>
            <w:r>
              <w:rPr>
                <w:rFonts w:hAnsi="宋体"/>
                <w:color w:val="auto"/>
                <w:szCs w:val="21"/>
              </w:rPr>
              <w:t>220GD</w:t>
            </w:r>
          </w:p>
        </w:tc>
        <w:tc>
          <w:tcPr>
            <w:tcW w:w="1212" w:type="pct"/>
          </w:tcPr>
          <w:p>
            <w:pPr>
              <w:widowControl/>
              <w:numPr>
                <w:ilvl w:val="0"/>
                <w:numId w:val="0"/>
              </w:numPr>
              <w:tabs>
                <w:tab w:val="left" w:pos="360"/>
              </w:tabs>
              <w:ind w:left="0" w:firstLine="0"/>
              <w:jc w:val="center"/>
              <w:rPr>
                <w:rFonts w:ascii="宋体" w:hAnsi="宋体"/>
                <w:color w:val="auto"/>
                <w:kern w:val="0"/>
                <w:szCs w:val="21"/>
              </w:rPr>
            </w:pPr>
            <w:r>
              <w:rPr>
                <w:rFonts w:hint="eastAsia" w:ascii="宋体" w:hAnsi="宋体"/>
                <w:color w:val="auto"/>
                <w:kern w:val="0"/>
                <w:szCs w:val="21"/>
              </w:rPr>
              <w:t>_</w:t>
            </w:r>
          </w:p>
        </w:tc>
        <w:tc>
          <w:tcPr>
            <w:tcW w:w="1212" w:type="pct"/>
            <w:vAlign w:val="center"/>
          </w:tcPr>
          <w:p>
            <w:pPr>
              <w:widowControl/>
              <w:numPr>
                <w:ilvl w:val="0"/>
                <w:numId w:val="0"/>
              </w:numPr>
              <w:tabs>
                <w:tab w:val="left" w:pos="360"/>
              </w:tabs>
              <w:ind w:left="0" w:firstLine="0"/>
              <w:jc w:val="center"/>
              <w:rPr>
                <w:rFonts w:ascii="宋体" w:hAnsi="宋体"/>
                <w:color w:val="auto"/>
                <w:kern w:val="0"/>
                <w:szCs w:val="21"/>
              </w:rPr>
            </w:pPr>
            <w:r>
              <w:rPr>
                <w:rFonts w:hint="eastAsia" w:ascii="宋体" w:hAnsi="宋体"/>
                <w:color w:val="auto"/>
                <w:kern w:val="0"/>
                <w:szCs w:val="21"/>
              </w:rPr>
              <w:t>S</w:t>
            </w:r>
            <w:r>
              <w:rPr>
                <w:rFonts w:ascii="宋体" w:hAnsi="宋体"/>
                <w:color w:val="auto"/>
                <w:kern w:val="0"/>
                <w:szCs w:val="21"/>
              </w:rPr>
              <w:t>220GD</w:t>
            </w:r>
          </w:p>
        </w:tc>
        <w:tc>
          <w:tcPr>
            <w:tcW w:w="1212" w:type="pct"/>
            <w:vAlign w:val="center"/>
          </w:tcPr>
          <w:p>
            <w:pPr>
              <w:widowControl/>
              <w:numPr>
                <w:ilvl w:val="0"/>
                <w:numId w:val="0"/>
              </w:numPr>
              <w:tabs>
                <w:tab w:val="left" w:pos="360"/>
              </w:tabs>
              <w:ind w:left="0" w:firstLine="0"/>
              <w:jc w:val="center"/>
              <w:rPr>
                <w:rFonts w:ascii="宋体" w:hAnsi="宋体"/>
                <w:color w:val="auto"/>
                <w:kern w:val="0"/>
                <w:szCs w:val="21"/>
              </w:rPr>
            </w:pPr>
            <w:r>
              <w:rPr>
                <w:rFonts w:ascii="宋体" w:hAnsi="宋体"/>
                <w:color w:val="auto"/>
                <w:kern w:val="0"/>
                <w:szCs w:val="21"/>
              </w:rPr>
              <w:t>SS230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4" w:type="pct"/>
            <w:vAlign w:val="center"/>
          </w:tcPr>
          <w:p>
            <w:pPr>
              <w:pStyle w:val="22"/>
              <w:numPr>
                <w:ilvl w:val="0"/>
                <w:numId w:val="0"/>
              </w:numPr>
              <w:tabs>
                <w:tab w:val="left" w:pos="360"/>
              </w:tabs>
              <w:ind w:left="0"/>
              <w:jc w:val="center"/>
              <w:rPr>
                <w:rFonts w:hAnsi="宋体"/>
                <w:color w:val="auto"/>
                <w:szCs w:val="21"/>
              </w:rPr>
            </w:pPr>
            <w:r>
              <w:rPr>
                <w:rFonts w:hint="eastAsia" w:hAnsi="宋体"/>
                <w:color w:val="auto"/>
                <w:szCs w:val="21"/>
              </w:rPr>
              <w:t>S</w:t>
            </w:r>
            <w:r>
              <w:rPr>
                <w:rFonts w:hAnsi="宋体"/>
                <w:color w:val="auto"/>
                <w:szCs w:val="21"/>
              </w:rPr>
              <w:t>250GD</w:t>
            </w:r>
          </w:p>
        </w:tc>
        <w:tc>
          <w:tcPr>
            <w:tcW w:w="1212" w:type="pct"/>
            <w:vAlign w:val="center"/>
          </w:tcPr>
          <w:p>
            <w:pPr>
              <w:widowControl/>
              <w:numPr>
                <w:ilvl w:val="0"/>
                <w:numId w:val="0"/>
              </w:numPr>
              <w:tabs>
                <w:tab w:val="left" w:pos="360"/>
              </w:tabs>
              <w:ind w:left="0" w:firstLine="0"/>
              <w:jc w:val="center"/>
              <w:rPr>
                <w:rFonts w:ascii="宋体" w:hAnsi="宋体"/>
                <w:color w:val="auto"/>
                <w:kern w:val="0"/>
                <w:szCs w:val="21"/>
              </w:rPr>
            </w:pPr>
            <w:r>
              <w:rPr>
                <w:rFonts w:hint="eastAsia" w:ascii="宋体" w:hAnsi="宋体"/>
                <w:color w:val="auto"/>
                <w:kern w:val="0"/>
                <w:szCs w:val="21"/>
              </w:rPr>
              <w:t>S</w:t>
            </w:r>
            <w:r>
              <w:rPr>
                <w:rFonts w:ascii="宋体" w:hAnsi="宋体"/>
                <w:color w:val="auto"/>
                <w:kern w:val="0"/>
                <w:szCs w:val="21"/>
              </w:rPr>
              <w:t>GC340</w:t>
            </w:r>
          </w:p>
        </w:tc>
        <w:tc>
          <w:tcPr>
            <w:tcW w:w="1212" w:type="pct"/>
            <w:vAlign w:val="center"/>
          </w:tcPr>
          <w:p>
            <w:pPr>
              <w:widowControl/>
              <w:numPr>
                <w:ilvl w:val="0"/>
                <w:numId w:val="0"/>
              </w:numPr>
              <w:tabs>
                <w:tab w:val="left" w:pos="360"/>
              </w:tabs>
              <w:ind w:left="0" w:firstLine="0"/>
              <w:jc w:val="center"/>
              <w:rPr>
                <w:rFonts w:ascii="宋体" w:hAnsi="宋体"/>
                <w:color w:val="auto"/>
                <w:kern w:val="0"/>
                <w:szCs w:val="21"/>
              </w:rPr>
            </w:pPr>
            <w:r>
              <w:rPr>
                <w:rFonts w:hint="eastAsia" w:ascii="宋体" w:hAnsi="宋体"/>
                <w:color w:val="auto"/>
                <w:szCs w:val="21"/>
              </w:rPr>
              <w:t>S</w:t>
            </w:r>
            <w:r>
              <w:rPr>
                <w:rFonts w:ascii="宋体" w:hAnsi="宋体"/>
                <w:color w:val="auto"/>
                <w:szCs w:val="21"/>
              </w:rPr>
              <w:t>250GD</w:t>
            </w:r>
          </w:p>
        </w:tc>
        <w:tc>
          <w:tcPr>
            <w:tcW w:w="1212" w:type="pct"/>
            <w:vAlign w:val="center"/>
          </w:tcPr>
          <w:p>
            <w:pPr>
              <w:widowControl/>
              <w:numPr>
                <w:ilvl w:val="0"/>
                <w:numId w:val="0"/>
              </w:numPr>
              <w:tabs>
                <w:tab w:val="left" w:pos="360"/>
              </w:tabs>
              <w:ind w:left="0" w:firstLine="0"/>
              <w:jc w:val="center"/>
              <w:rPr>
                <w:rFonts w:ascii="宋体" w:hAnsi="宋体"/>
                <w:color w:val="auto"/>
                <w:szCs w:val="21"/>
              </w:rPr>
            </w:pPr>
            <w:r>
              <w:rPr>
                <w:rFonts w:hint="eastAsia" w:ascii="宋体" w:hAnsi="宋体"/>
                <w:color w:val="auto"/>
                <w:szCs w:val="21"/>
              </w:rPr>
              <w:t>S</w:t>
            </w:r>
            <w:r>
              <w:rPr>
                <w:rFonts w:ascii="宋体" w:hAnsi="宋体"/>
                <w:color w:val="auto"/>
                <w:szCs w:val="21"/>
              </w:rPr>
              <w:t>S255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4" w:type="pct"/>
            <w:vAlign w:val="center"/>
          </w:tcPr>
          <w:p>
            <w:pPr>
              <w:pStyle w:val="22"/>
              <w:numPr>
                <w:ilvl w:val="0"/>
                <w:numId w:val="0"/>
              </w:numPr>
              <w:tabs>
                <w:tab w:val="left" w:pos="360"/>
              </w:tabs>
              <w:ind w:left="0"/>
              <w:jc w:val="center"/>
              <w:rPr>
                <w:rFonts w:hAnsi="宋体"/>
                <w:color w:val="auto"/>
                <w:szCs w:val="21"/>
              </w:rPr>
            </w:pPr>
            <w:r>
              <w:rPr>
                <w:rFonts w:hint="eastAsia" w:hAnsi="宋体"/>
                <w:color w:val="auto"/>
                <w:szCs w:val="21"/>
              </w:rPr>
              <w:t>S</w:t>
            </w:r>
            <w:r>
              <w:rPr>
                <w:rFonts w:hAnsi="宋体"/>
                <w:color w:val="auto"/>
                <w:szCs w:val="21"/>
              </w:rPr>
              <w:t>350GD</w:t>
            </w:r>
          </w:p>
        </w:tc>
        <w:tc>
          <w:tcPr>
            <w:tcW w:w="1212" w:type="pct"/>
            <w:vAlign w:val="center"/>
          </w:tcPr>
          <w:p>
            <w:pPr>
              <w:widowControl/>
              <w:numPr>
                <w:ilvl w:val="0"/>
                <w:numId w:val="0"/>
              </w:numPr>
              <w:tabs>
                <w:tab w:val="left" w:pos="360"/>
              </w:tabs>
              <w:ind w:left="0" w:firstLine="0"/>
              <w:jc w:val="center"/>
              <w:rPr>
                <w:rFonts w:ascii="宋体" w:hAnsi="宋体"/>
                <w:color w:val="auto"/>
                <w:kern w:val="0"/>
                <w:szCs w:val="21"/>
              </w:rPr>
            </w:pPr>
            <w:r>
              <w:rPr>
                <w:rFonts w:hint="eastAsia" w:ascii="宋体" w:hAnsi="宋体"/>
                <w:color w:val="auto"/>
                <w:kern w:val="0"/>
                <w:szCs w:val="21"/>
              </w:rPr>
              <w:t>S</w:t>
            </w:r>
            <w:r>
              <w:rPr>
                <w:rFonts w:ascii="宋体" w:hAnsi="宋体"/>
                <w:color w:val="auto"/>
                <w:kern w:val="0"/>
                <w:szCs w:val="21"/>
              </w:rPr>
              <w:t>GC440</w:t>
            </w:r>
          </w:p>
        </w:tc>
        <w:tc>
          <w:tcPr>
            <w:tcW w:w="1212" w:type="pct"/>
            <w:vAlign w:val="center"/>
          </w:tcPr>
          <w:p>
            <w:pPr>
              <w:widowControl/>
              <w:numPr>
                <w:ilvl w:val="0"/>
                <w:numId w:val="0"/>
              </w:numPr>
              <w:tabs>
                <w:tab w:val="left" w:pos="360"/>
              </w:tabs>
              <w:ind w:left="0" w:firstLine="0"/>
              <w:jc w:val="center"/>
              <w:rPr>
                <w:rFonts w:ascii="宋体" w:hAnsi="宋体"/>
                <w:color w:val="auto"/>
                <w:kern w:val="0"/>
                <w:szCs w:val="21"/>
              </w:rPr>
            </w:pPr>
            <w:r>
              <w:rPr>
                <w:rFonts w:hint="eastAsia" w:ascii="宋体" w:hAnsi="宋体"/>
                <w:color w:val="auto"/>
                <w:szCs w:val="21"/>
              </w:rPr>
              <w:t>S</w:t>
            </w:r>
            <w:r>
              <w:rPr>
                <w:rFonts w:ascii="宋体" w:hAnsi="宋体"/>
                <w:color w:val="auto"/>
                <w:szCs w:val="21"/>
              </w:rPr>
              <w:t>350GD</w:t>
            </w:r>
          </w:p>
        </w:tc>
        <w:tc>
          <w:tcPr>
            <w:tcW w:w="1212" w:type="pct"/>
            <w:vAlign w:val="center"/>
          </w:tcPr>
          <w:p>
            <w:pPr>
              <w:widowControl/>
              <w:numPr>
                <w:ilvl w:val="0"/>
                <w:numId w:val="0"/>
              </w:numPr>
              <w:tabs>
                <w:tab w:val="left" w:pos="360"/>
              </w:tabs>
              <w:ind w:left="0" w:firstLine="0"/>
              <w:jc w:val="center"/>
              <w:rPr>
                <w:rFonts w:ascii="宋体" w:hAnsi="宋体"/>
                <w:color w:val="auto"/>
                <w:szCs w:val="21"/>
              </w:rPr>
            </w:pPr>
            <w:r>
              <w:rPr>
                <w:rFonts w:hint="eastAsia" w:ascii="宋体" w:hAnsi="宋体"/>
                <w:color w:val="auto"/>
                <w:szCs w:val="21"/>
              </w:rPr>
              <w:t>S</w:t>
            </w:r>
            <w:r>
              <w:rPr>
                <w:rFonts w:ascii="宋体" w:hAnsi="宋体"/>
                <w:color w:val="auto"/>
                <w:szCs w:val="21"/>
              </w:rPr>
              <w:t xml:space="preserve">S340 </w:t>
            </w:r>
            <w:r>
              <w:rPr>
                <w:rFonts w:hint="eastAsia" w:ascii="宋体" w:hAnsi="宋体"/>
                <w:color w:val="auto"/>
                <w:szCs w:val="21"/>
              </w:rPr>
              <w:t>class4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4" w:type="pct"/>
            <w:vAlign w:val="center"/>
          </w:tcPr>
          <w:p>
            <w:pPr>
              <w:pStyle w:val="22"/>
              <w:numPr>
                <w:ilvl w:val="0"/>
                <w:numId w:val="0"/>
              </w:numPr>
              <w:tabs>
                <w:tab w:val="left" w:pos="360"/>
              </w:tabs>
              <w:ind w:left="0"/>
              <w:jc w:val="center"/>
              <w:rPr>
                <w:rFonts w:hAnsi="宋体"/>
                <w:color w:val="auto"/>
                <w:szCs w:val="21"/>
              </w:rPr>
            </w:pPr>
            <w:r>
              <w:rPr>
                <w:rFonts w:hint="eastAsia" w:hAnsi="宋体"/>
                <w:color w:val="auto"/>
                <w:szCs w:val="21"/>
              </w:rPr>
              <w:t>S</w:t>
            </w:r>
            <w:r>
              <w:rPr>
                <w:rFonts w:hAnsi="宋体"/>
                <w:color w:val="auto"/>
                <w:szCs w:val="21"/>
              </w:rPr>
              <w:t>390GD</w:t>
            </w:r>
          </w:p>
        </w:tc>
        <w:tc>
          <w:tcPr>
            <w:tcW w:w="1212" w:type="pct"/>
            <w:vAlign w:val="center"/>
          </w:tcPr>
          <w:p>
            <w:pPr>
              <w:widowControl/>
              <w:numPr>
                <w:ilvl w:val="0"/>
                <w:numId w:val="0"/>
              </w:numPr>
              <w:tabs>
                <w:tab w:val="left" w:pos="360"/>
              </w:tabs>
              <w:ind w:left="0" w:firstLine="0"/>
              <w:jc w:val="center"/>
              <w:rPr>
                <w:rFonts w:ascii="宋体" w:hAnsi="宋体"/>
                <w:color w:val="auto"/>
                <w:kern w:val="0"/>
                <w:szCs w:val="21"/>
              </w:rPr>
            </w:pPr>
            <w:r>
              <w:rPr>
                <w:rFonts w:hint="eastAsia" w:ascii="宋体" w:hAnsi="宋体"/>
                <w:color w:val="auto"/>
                <w:kern w:val="0"/>
                <w:szCs w:val="21"/>
              </w:rPr>
              <w:t>S</w:t>
            </w:r>
            <w:r>
              <w:rPr>
                <w:rFonts w:ascii="宋体" w:hAnsi="宋体"/>
                <w:color w:val="auto"/>
                <w:kern w:val="0"/>
                <w:szCs w:val="21"/>
              </w:rPr>
              <w:t>GC490</w:t>
            </w:r>
          </w:p>
        </w:tc>
        <w:tc>
          <w:tcPr>
            <w:tcW w:w="1212" w:type="pct"/>
            <w:vAlign w:val="center"/>
          </w:tcPr>
          <w:p>
            <w:pPr>
              <w:widowControl/>
              <w:numPr>
                <w:ilvl w:val="0"/>
                <w:numId w:val="0"/>
              </w:numPr>
              <w:tabs>
                <w:tab w:val="left" w:pos="360"/>
              </w:tabs>
              <w:ind w:left="0" w:firstLine="0"/>
              <w:jc w:val="center"/>
              <w:rPr>
                <w:rFonts w:ascii="宋体" w:hAnsi="宋体"/>
                <w:color w:val="auto"/>
                <w:kern w:val="0"/>
                <w:szCs w:val="21"/>
              </w:rPr>
            </w:pPr>
            <w:r>
              <w:rPr>
                <w:rFonts w:hint="eastAsia" w:ascii="宋体" w:hAnsi="宋体"/>
                <w:color w:val="auto"/>
                <w:szCs w:val="21"/>
              </w:rPr>
              <w:t>S</w:t>
            </w:r>
            <w:r>
              <w:rPr>
                <w:rFonts w:ascii="宋体" w:hAnsi="宋体"/>
                <w:color w:val="auto"/>
                <w:szCs w:val="21"/>
              </w:rPr>
              <w:t>390GD</w:t>
            </w:r>
          </w:p>
        </w:tc>
        <w:tc>
          <w:tcPr>
            <w:tcW w:w="1212" w:type="pct"/>
            <w:vAlign w:val="center"/>
          </w:tcPr>
          <w:p>
            <w:pPr>
              <w:widowControl/>
              <w:numPr>
                <w:ilvl w:val="0"/>
                <w:numId w:val="0"/>
              </w:numPr>
              <w:tabs>
                <w:tab w:val="left" w:pos="360"/>
              </w:tabs>
              <w:ind w:left="0" w:firstLine="0"/>
              <w:jc w:val="center"/>
              <w:rPr>
                <w:rFonts w:ascii="宋体" w:hAnsi="宋体"/>
                <w:color w:val="auto"/>
                <w:szCs w:val="21"/>
              </w:rPr>
            </w:pPr>
            <w:r>
              <w:rPr>
                <w:rFonts w:ascii="宋体" w:hAnsi="宋体"/>
                <w:color w:val="auto"/>
                <w:szCs w:val="21"/>
              </w:rPr>
              <w:t>SS380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0" w:type="dxa"/>
            <w:vAlign w:val="center"/>
          </w:tcPr>
          <w:p>
            <w:pPr>
              <w:pStyle w:val="22"/>
              <w:numPr>
                <w:ilvl w:val="0"/>
                <w:numId w:val="0"/>
              </w:numPr>
              <w:tabs>
                <w:tab w:val="left" w:pos="360"/>
              </w:tabs>
              <w:ind w:left="0"/>
              <w:jc w:val="center"/>
              <w:rPr>
                <w:rFonts w:hAnsi="宋体"/>
                <w:color w:val="auto"/>
                <w:szCs w:val="21"/>
              </w:rPr>
            </w:pPr>
            <w:r>
              <w:rPr>
                <w:rFonts w:hint="eastAsia" w:hAnsi="宋体"/>
                <w:color w:val="auto"/>
                <w:szCs w:val="21"/>
              </w:rPr>
              <w:t>S</w:t>
            </w:r>
            <w:r>
              <w:rPr>
                <w:rFonts w:hAnsi="宋体"/>
                <w:color w:val="auto"/>
                <w:szCs w:val="21"/>
              </w:rPr>
              <w:t>420GD</w:t>
            </w:r>
          </w:p>
        </w:tc>
        <w:tc>
          <w:tcPr>
            <w:tcW w:w="1212" w:type="pct"/>
            <w:vAlign w:val="center"/>
          </w:tcPr>
          <w:p>
            <w:pPr>
              <w:widowControl/>
              <w:numPr>
                <w:ilvl w:val="0"/>
                <w:numId w:val="0"/>
              </w:numPr>
              <w:tabs>
                <w:tab w:val="left" w:pos="360"/>
              </w:tabs>
              <w:ind w:left="0" w:firstLine="0"/>
              <w:jc w:val="center"/>
              <w:rPr>
                <w:rFonts w:hint="eastAsia" w:ascii="宋体" w:hAnsi="宋体" w:eastAsia="宋体"/>
                <w:color w:val="auto"/>
                <w:kern w:val="0"/>
                <w:szCs w:val="21"/>
                <w:lang w:eastAsia="zh-CN"/>
              </w:rPr>
            </w:pPr>
            <w:r>
              <w:rPr>
                <w:rFonts w:hint="eastAsia" w:ascii="宋体" w:hAnsi="宋体"/>
                <w:color w:val="auto"/>
                <w:kern w:val="0"/>
                <w:szCs w:val="21"/>
                <w:lang w:val="en-US" w:eastAsia="zh-CN"/>
              </w:rPr>
              <w:t>-</w:t>
            </w:r>
          </w:p>
        </w:tc>
        <w:tc>
          <w:tcPr>
            <w:tcW w:w="1212" w:type="pct"/>
            <w:vAlign w:val="center"/>
          </w:tcPr>
          <w:p>
            <w:pPr>
              <w:widowControl/>
              <w:numPr>
                <w:ilvl w:val="0"/>
                <w:numId w:val="0"/>
              </w:numPr>
              <w:tabs>
                <w:tab w:val="left" w:pos="360"/>
              </w:tabs>
              <w:ind w:left="0" w:firstLine="0"/>
              <w:jc w:val="center"/>
              <w:rPr>
                <w:rFonts w:ascii="宋体" w:hAnsi="宋体"/>
                <w:color w:val="auto"/>
                <w:kern w:val="0"/>
                <w:szCs w:val="21"/>
              </w:rPr>
            </w:pPr>
            <w:r>
              <w:rPr>
                <w:rFonts w:hint="eastAsia" w:ascii="宋体" w:hAnsi="宋体"/>
                <w:color w:val="auto"/>
                <w:szCs w:val="21"/>
              </w:rPr>
              <w:t>S</w:t>
            </w:r>
            <w:r>
              <w:rPr>
                <w:rFonts w:ascii="宋体" w:hAnsi="宋体"/>
                <w:color w:val="auto"/>
                <w:szCs w:val="21"/>
              </w:rPr>
              <w:t>420GD</w:t>
            </w:r>
          </w:p>
        </w:tc>
        <w:tc>
          <w:tcPr>
            <w:tcW w:w="1212" w:type="pct"/>
            <w:vAlign w:val="center"/>
          </w:tcPr>
          <w:p>
            <w:pPr>
              <w:widowControl/>
              <w:numPr>
                <w:ilvl w:val="0"/>
                <w:numId w:val="0"/>
              </w:numPr>
              <w:tabs>
                <w:tab w:val="left" w:pos="360"/>
              </w:tabs>
              <w:ind w:left="0" w:firstLine="0"/>
              <w:jc w:val="center"/>
              <w:rPr>
                <w:rFonts w:ascii="宋体" w:hAnsi="宋体"/>
                <w:color w:val="auto"/>
                <w:szCs w:val="21"/>
              </w:rPr>
            </w:pPr>
            <w:r>
              <w:rPr>
                <w:rFonts w:hint="eastAsia" w:ascii="宋体" w:hAnsi="宋体"/>
                <w:color w:val="auto"/>
                <w:szCs w:val="21"/>
              </w:rPr>
              <w:t>S</w:t>
            </w:r>
            <w:r>
              <w:rPr>
                <w:rFonts w:ascii="宋体" w:hAnsi="宋体"/>
                <w:color w:val="auto"/>
                <w:szCs w:val="21"/>
              </w:rPr>
              <w:t>S410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0" w:type="dxa"/>
            <w:vAlign w:val="center"/>
          </w:tcPr>
          <w:p>
            <w:pPr>
              <w:pStyle w:val="22"/>
              <w:numPr>
                <w:ilvl w:val="255"/>
                <w:numId w:val="0"/>
              </w:numPr>
              <w:tabs>
                <w:tab w:val="left" w:pos="360"/>
              </w:tabs>
              <w:ind w:left="0"/>
              <w:jc w:val="center"/>
              <w:rPr>
                <w:rFonts w:hAnsi="宋体"/>
                <w:color w:val="auto"/>
                <w:szCs w:val="21"/>
              </w:rPr>
            </w:pPr>
            <w:r>
              <w:rPr>
                <w:rFonts w:hint="eastAsia" w:hAnsi="宋体"/>
                <w:color w:val="auto"/>
                <w:szCs w:val="21"/>
              </w:rPr>
              <w:t>S</w:t>
            </w:r>
            <w:r>
              <w:rPr>
                <w:rFonts w:hAnsi="宋体"/>
                <w:color w:val="auto"/>
                <w:szCs w:val="21"/>
              </w:rPr>
              <w:t>450GD</w:t>
            </w:r>
          </w:p>
        </w:tc>
        <w:tc>
          <w:tcPr>
            <w:tcW w:w="1212" w:type="pct"/>
            <w:vAlign w:val="center"/>
          </w:tcPr>
          <w:p>
            <w:pPr>
              <w:widowControl/>
              <w:numPr>
                <w:ilvl w:val="0"/>
                <w:numId w:val="0"/>
              </w:numPr>
              <w:tabs>
                <w:tab w:val="left" w:pos="360"/>
              </w:tabs>
              <w:ind w:left="0" w:firstLine="0"/>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w:t>
            </w:r>
          </w:p>
        </w:tc>
        <w:tc>
          <w:tcPr>
            <w:tcW w:w="1212" w:type="pct"/>
            <w:vAlign w:val="center"/>
          </w:tcPr>
          <w:p>
            <w:pPr>
              <w:widowControl/>
              <w:numPr>
                <w:ilvl w:val="0"/>
                <w:numId w:val="0"/>
              </w:numPr>
              <w:tabs>
                <w:tab w:val="left" w:pos="360"/>
              </w:tabs>
              <w:ind w:left="0" w:firstLine="0"/>
              <w:jc w:val="center"/>
              <w:rPr>
                <w:rFonts w:ascii="宋体" w:hAnsi="宋体"/>
                <w:color w:val="auto"/>
                <w:szCs w:val="21"/>
              </w:rPr>
            </w:pPr>
            <w:r>
              <w:rPr>
                <w:rFonts w:hint="eastAsia" w:ascii="宋体" w:hAnsi="宋体"/>
                <w:color w:val="auto"/>
                <w:szCs w:val="21"/>
              </w:rPr>
              <w:t>S</w:t>
            </w:r>
            <w:r>
              <w:rPr>
                <w:rFonts w:ascii="宋体" w:hAnsi="宋体"/>
                <w:color w:val="auto"/>
                <w:szCs w:val="21"/>
              </w:rPr>
              <w:t>450GD</w:t>
            </w:r>
          </w:p>
        </w:tc>
        <w:tc>
          <w:tcPr>
            <w:tcW w:w="1212" w:type="pct"/>
            <w:vAlign w:val="center"/>
          </w:tcPr>
          <w:p>
            <w:pPr>
              <w:widowControl/>
              <w:numPr>
                <w:ilvl w:val="0"/>
                <w:numId w:val="0"/>
              </w:numPr>
              <w:tabs>
                <w:tab w:val="left" w:pos="360"/>
              </w:tabs>
              <w:ind w:left="0" w:firstLine="0"/>
              <w:jc w:val="center"/>
              <w:rPr>
                <w:rFonts w:hint="eastAsia" w:ascii="宋体" w:hAnsi="宋体" w:eastAsia="宋体"/>
                <w:color w:val="auto"/>
                <w:szCs w:val="21"/>
                <w:lang w:val="en-US" w:eastAsia="zh-CN"/>
              </w:rPr>
            </w:pPr>
            <w:r>
              <w:rPr>
                <w:rFonts w:hint="eastAsia" w:ascii="宋体" w:hAnsi="宋体"/>
                <w:color w:val="auto"/>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0" w:type="dxa"/>
            <w:vAlign w:val="center"/>
          </w:tcPr>
          <w:p>
            <w:pPr>
              <w:pStyle w:val="22"/>
              <w:numPr>
                <w:ilvl w:val="255"/>
                <w:numId w:val="0"/>
              </w:numPr>
              <w:tabs>
                <w:tab w:val="left" w:pos="360"/>
              </w:tabs>
              <w:ind w:left="0"/>
              <w:jc w:val="center"/>
              <w:rPr>
                <w:color w:val="auto"/>
              </w:rPr>
            </w:pPr>
            <w:r>
              <w:rPr>
                <w:rFonts w:hint="eastAsia" w:hAnsi="宋体"/>
                <w:color w:val="auto"/>
                <w:szCs w:val="21"/>
              </w:rPr>
              <w:t>S</w:t>
            </w:r>
            <w:r>
              <w:rPr>
                <w:rFonts w:hAnsi="宋体"/>
                <w:color w:val="auto"/>
                <w:szCs w:val="21"/>
              </w:rPr>
              <w:t>550GD</w:t>
            </w:r>
          </w:p>
        </w:tc>
        <w:tc>
          <w:tcPr>
            <w:tcW w:w="1212" w:type="pct"/>
            <w:vAlign w:val="center"/>
          </w:tcPr>
          <w:p>
            <w:pPr>
              <w:widowControl/>
              <w:numPr>
                <w:ilvl w:val="0"/>
                <w:numId w:val="0"/>
              </w:numPr>
              <w:tabs>
                <w:tab w:val="left" w:pos="360"/>
              </w:tabs>
              <w:ind w:left="0" w:firstLine="0"/>
              <w:jc w:val="center"/>
              <w:rPr>
                <w:rFonts w:ascii="宋体" w:hAnsi="宋体"/>
                <w:color w:val="auto"/>
                <w:kern w:val="0"/>
                <w:szCs w:val="21"/>
              </w:rPr>
            </w:pPr>
            <w:r>
              <w:rPr>
                <w:rFonts w:hint="eastAsia" w:ascii="宋体" w:hAnsi="宋体"/>
                <w:color w:val="auto"/>
                <w:kern w:val="0"/>
                <w:szCs w:val="21"/>
              </w:rPr>
              <w:t>S</w:t>
            </w:r>
            <w:r>
              <w:rPr>
                <w:rFonts w:ascii="宋体" w:hAnsi="宋体"/>
                <w:color w:val="auto"/>
                <w:kern w:val="0"/>
                <w:szCs w:val="21"/>
              </w:rPr>
              <w:t>GC570</w:t>
            </w:r>
          </w:p>
        </w:tc>
        <w:tc>
          <w:tcPr>
            <w:tcW w:w="1212" w:type="pct"/>
            <w:vAlign w:val="center"/>
          </w:tcPr>
          <w:p>
            <w:pPr>
              <w:widowControl/>
              <w:numPr>
                <w:ilvl w:val="0"/>
                <w:numId w:val="0"/>
              </w:numPr>
              <w:tabs>
                <w:tab w:val="left" w:pos="360"/>
              </w:tabs>
              <w:ind w:left="0" w:firstLine="0"/>
              <w:jc w:val="center"/>
              <w:rPr>
                <w:rFonts w:ascii="宋体" w:hAnsi="宋体"/>
                <w:color w:val="auto"/>
                <w:szCs w:val="21"/>
              </w:rPr>
            </w:pPr>
            <w:r>
              <w:rPr>
                <w:rFonts w:hint="eastAsia" w:ascii="宋体" w:hAnsi="宋体"/>
                <w:color w:val="auto"/>
                <w:szCs w:val="21"/>
              </w:rPr>
              <w:t>S</w:t>
            </w:r>
            <w:r>
              <w:rPr>
                <w:rFonts w:ascii="宋体" w:hAnsi="宋体"/>
                <w:color w:val="auto"/>
                <w:szCs w:val="21"/>
              </w:rPr>
              <w:t>550GD</w:t>
            </w:r>
          </w:p>
        </w:tc>
        <w:tc>
          <w:tcPr>
            <w:tcW w:w="1212" w:type="pct"/>
            <w:vAlign w:val="center"/>
          </w:tcPr>
          <w:p>
            <w:pPr>
              <w:widowControl/>
              <w:numPr>
                <w:ilvl w:val="0"/>
                <w:numId w:val="0"/>
              </w:numPr>
              <w:tabs>
                <w:tab w:val="left" w:pos="360"/>
              </w:tabs>
              <w:ind w:left="0" w:firstLine="0"/>
              <w:jc w:val="center"/>
              <w:rPr>
                <w:rFonts w:ascii="宋体" w:hAnsi="宋体"/>
                <w:color w:val="auto"/>
                <w:szCs w:val="21"/>
              </w:rPr>
            </w:pPr>
            <w:r>
              <w:rPr>
                <w:rFonts w:hint="eastAsia" w:ascii="宋体" w:hAnsi="宋体"/>
                <w:color w:val="auto"/>
                <w:szCs w:val="21"/>
              </w:rPr>
              <w:t>S</w:t>
            </w:r>
            <w:r>
              <w:rPr>
                <w:rFonts w:ascii="宋体" w:hAnsi="宋体"/>
                <w:color w:val="auto"/>
                <w:szCs w:val="21"/>
              </w:rPr>
              <w:t xml:space="preserve">S550 </w:t>
            </w:r>
            <w:r>
              <w:rPr>
                <w:rFonts w:hint="eastAsia" w:ascii="宋体" w:hAnsi="宋体"/>
                <w:color w:val="auto"/>
                <w:szCs w:val="21"/>
              </w:rPr>
              <w:t>class</w:t>
            </w:r>
            <w:r>
              <w:rPr>
                <w:rFonts w:ascii="宋体" w:hAnsi="宋体"/>
                <w:color w:val="auto"/>
                <w:szCs w:val="21"/>
              </w:rPr>
              <w:t>2</w:t>
            </w:r>
          </w:p>
        </w:tc>
      </w:tr>
    </w:tbl>
    <w:p>
      <w:pPr>
        <w:widowControl/>
        <w:jc w:val="center"/>
        <w:rPr>
          <w:rFonts w:ascii="宋体" w:hAnsi="宋体"/>
          <w:kern w:val="0"/>
          <w:szCs w:val="20"/>
        </w:rPr>
      </w:pPr>
    </w:p>
    <w:p>
      <w:pPr>
        <w:widowControl/>
        <w:jc w:val="left"/>
        <w:rPr>
          <w:rFonts w:ascii="宋体" w:hAnsi="宋体"/>
          <w:kern w:val="0"/>
          <w:szCs w:val="20"/>
        </w:rPr>
      </w:pPr>
    </w:p>
    <w:p>
      <w:pPr>
        <w:widowControl/>
        <w:jc w:val="left"/>
        <w:rPr>
          <w:rFonts w:ascii="宋体" w:hAnsi="宋体"/>
          <w:kern w:val="0"/>
          <w:szCs w:val="20"/>
        </w:rPr>
      </w:pPr>
    </w:p>
    <w:p>
      <w:pPr>
        <w:widowControl/>
        <w:jc w:val="left"/>
        <w:rPr>
          <w:rFonts w:ascii="宋体" w:hAnsi="宋体"/>
          <w:kern w:val="0"/>
          <w:szCs w:val="20"/>
        </w:rPr>
      </w:pPr>
    </w:p>
    <w:p>
      <w:pPr>
        <w:widowControl/>
        <w:jc w:val="left"/>
        <w:rPr>
          <w:rFonts w:ascii="宋体" w:hAnsi="宋体"/>
          <w:kern w:val="0"/>
          <w:szCs w:val="20"/>
        </w:rPr>
      </w:pPr>
    </w:p>
    <w:p>
      <w:pPr>
        <w:widowControl/>
        <w:jc w:val="left"/>
        <w:rPr>
          <w:rFonts w:ascii="宋体" w:hAnsi="宋体"/>
          <w:kern w:val="0"/>
          <w:szCs w:val="20"/>
        </w:rPr>
      </w:pPr>
    </w:p>
    <w:p>
      <w:pPr>
        <w:widowControl/>
        <w:jc w:val="left"/>
        <w:rPr>
          <w:rFonts w:ascii="宋体" w:hAnsi="宋体"/>
          <w:kern w:val="0"/>
          <w:szCs w:val="20"/>
        </w:rPr>
      </w:pPr>
    </w:p>
    <w:p>
      <w:pPr>
        <w:widowControl/>
        <w:tabs>
          <w:tab w:val="center" w:pos="4677"/>
        </w:tabs>
        <w:jc w:val="left"/>
        <w:rPr>
          <w:rFonts w:ascii="宋体" w:hAnsi="宋体"/>
          <w:kern w:val="0"/>
          <w:szCs w:val="20"/>
        </w:rPr>
      </w:pPr>
      <w:r>
        <w:rPr>
          <w:rFonts w:ascii="宋体" w:hAnsi="宋体"/>
          <w:kern w:val="0"/>
          <w:szCs w:val="20"/>
        </w:rPr>
        <mc:AlternateContent>
          <mc:Choice Requires="wps">
            <w:drawing>
              <wp:anchor distT="0" distB="0" distL="114300" distR="114300" simplePos="0" relativeHeight="251660288" behindDoc="0" locked="0" layoutInCell="1" allowOverlap="1">
                <wp:simplePos x="0" y="0"/>
                <wp:positionH relativeFrom="column">
                  <wp:posOffset>2095500</wp:posOffset>
                </wp:positionH>
                <wp:positionV relativeFrom="paragraph">
                  <wp:posOffset>85725</wp:posOffset>
                </wp:positionV>
                <wp:extent cx="1924050" cy="0"/>
                <wp:effectExtent l="0" t="0" r="0" b="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165pt;margin-top:6.75pt;height:0pt;width:151.5pt;z-index:251660288;mso-width-relative:page;mso-height-relative:page;" filled="f" stroked="t" coordsize="21600,21600" o:gfxdata="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3O7QNUAAAAJAQAADwAAAAAAAAABACAAAAAi&#10;AAAAZHJzL2Rvd25yZXYueG1sUEsBAhQAFAAAAAgAh07iQLuQj7LUAQAAsgMAAA4AAAAAAAAAAQAg&#10;AAAAJAEAAGRycy9lMm9Eb2MueG1sUEsFBgAAAAAGAAYAWQEAAGoFAAAAAA==&#10;">
                <v:fill on="f" focussize="0,0"/>
                <v:stroke color="#000000" joinstyle="round"/>
                <v:imagedata o:title=""/>
                <o:lock v:ext="edit" aspectratio="f"/>
              </v:shape>
            </w:pict>
          </mc:Fallback>
        </mc:AlternateContent>
      </w:r>
    </w:p>
    <w:sectPr>
      <w:headerReference r:id="rId10" w:type="first"/>
      <w:footerReference r:id="rId13" w:type="first"/>
      <w:headerReference r:id="rId8" w:type="default"/>
      <w:footerReference r:id="rId11" w:type="default"/>
      <w:headerReference r:id="rId9" w:type="even"/>
      <w:footerReference r:id="rId12" w:type="even"/>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III</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fldChar w:fldCharType="begin"/>
    </w:r>
    <w:r>
      <w:instrText xml:space="preserve"> PAGE  \* MERGEFORMAT </w:instrText>
    </w:r>
    <w:r>
      <w:fldChar w:fldCharType="separate"/>
    </w:r>
    <w: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sz w:val="21"/>
        <w:szCs w:val="21"/>
      </w:rPr>
    </w:pPr>
    <w:r>
      <w:rPr>
        <w:rFonts w:ascii="黑体" w:eastAsia="黑体"/>
        <w:i/>
        <w:sz w:val="21"/>
        <w:szCs w:val="21"/>
      </w:rPr>
      <w:tab/>
    </w:r>
    <w:r>
      <w:rPr>
        <w:rFonts w:hint="eastAsia" w:ascii="黑体"/>
        <w:b/>
        <w:sz w:val="21"/>
        <w:szCs w:val="21"/>
      </w:rPr>
      <w:tab/>
    </w:r>
    <w:r>
      <w:rPr>
        <w:rFonts w:ascii="黑体" w:eastAsia="黑体"/>
        <w:sz w:val="21"/>
        <w:szCs w:val="21"/>
      </w:rPr>
      <w:t>T/SSEA</w:t>
    </w:r>
    <w:r>
      <w:rPr>
        <w:rFonts w:hint="eastAsia" w:ascii="黑体" w:eastAsia="黑体"/>
        <w:sz w:val="21"/>
        <w:szCs w:val="21"/>
      </w:rPr>
      <w:t>XXXX</w:t>
    </w:r>
    <w:r>
      <w:rPr>
        <w:rFonts w:ascii="黑体" w:eastAsia="黑体"/>
        <w:sz w:val="21"/>
        <w:szCs w:val="21"/>
      </w:rPr>
      <w:t>-</w:t>
    </w:r>
    <w:r>
      <w:rPr>
        <w:rFonts w:hint="eastAsia" w:ascii="黑体" w:eastAsia="黑体"/>
        <w:sz w:val="21"/>
        <w:szCs w:val="21"/>
      </w:rPr>
      <w:t>XXXX</w:t>
    </w:r>
  </w:p>
  <w:p>
    <w:pPr>
      <w:pStyle w:val="17"/>
      <w:jc w:val="right"/>
      <w:rPr>
        <w:rFonts w:ascii="黑体"/>
        <w:b/>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spacing w:before="120" w:after="120"/>
      <w:jc w:val="right"/>
    </w:pPr>
    <w:r>
      <w:rPr>
        <w:rFonts w:ascii="黑体" w:eastAsia="黑体"/>
        <w:sz w:val="21"/>
        <w:szCs w:val="21"/>
      </w:rPr>
      <w:t>T/SSEA</w:t>
    </w:r>
    <w:r>
      <w:rPr>
        <w:rFonts w:hint="eastAsia" w:ascii="黑体" w:eastAsia="黑体"/>
        <w:sz w:val="21"/>
        <w:szCs w:val="21"/>
      </w:rPr>
      <w:t>XXXX</w:t>
    </w:r>
    <w:r>
      <w:rPr>
        <w:rFonts w:ascii="黑体" w:eastAsia="黑体"/>
        <w:sz w:val="21"/>
        <w:szCs w:val="21"/>
      </w:rPr>
      <w:t>-</w:t>
    </w:r>
    <w:r>
      <w:rPr>
        <w:rFonts w:hint="eastAsia" w:ascii="黑体" w:eastAsia="黑体"/>
        <w:sz w:val="21"/>
        <w:szCs w:val="21"/>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
    <w:nsid w:val="115E081A"/>
    <w:multiLevelType w:val="multilevel"/>
    <w:tmpl w:val="115E081A"/>
    <w:lvl w:ilvl="0" w:tentative="0">
      <w:start w:val="1"/>
      <w:numFmt w:val="decimal"/>
      <w:pStyle w:val="153"/>
      <w:suff w:val="nothing"/>
      <w:lvlText w:val="%1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1" w:tentative="0">
      <w:start w:val="1"/>
      <w:numFmt w:val="decimal"/>
      <w:pStyle w:val="154"/>
      <w:suff w:val="nothing"/>
      <w:lvlText w:val="%1.%2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2" w:tentative="0">
      <w:start w:val="1"/>
      <w:numFmt w:val="decimal"/>
      <w:pStyle w:val="155"/>
      <w:suff w:val="nothing"/>
      <w:lvlText w:val="%1.%2.%3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3" w:tentative="0">
      <w:start w:val="1"/>
      <w:numFmt w:val="decimal"/>
      <w:pStyle w:val="156"/>
      <w:suff w:val="nothing"/>
      <w:lvlText w:val="%1.%2.%3.%4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4" w:tentative="0">
      <w:start w:val="1"/>
      <w:numFmt w:val="decimal"/>
      <w:pStyle w:val="157"/>
      <w:suff w:val="nothing"/>
      <w:lvlText w:val="%1.%2.%3.%4.%5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5" w:tentative="0">
      <w:start w:val="1"/>
      <w:numFmt w:val="decimal"/>
      <w:pStyle w:val="158"/>
      <w:suff w:val="nothing"/>
      <w:lvlText w:val="%1.%2.%3.%4.%5.%6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2">
    <w:nsid w:val="1DBF583A"/>
    <w:multiLevelType w:val="multilevel"/>
    <w:tmpl w:val="1DBF583A"/>
    <w:lvl w:ilvl="0" w:tentative="0">
      <w:start w:val="1"/>
      <w:numFmt w:val="decimal"/>
      <w:pStyle w:val="6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tentative="0">
      <w:start w:val="1"/>
      <w:numFmt w:val="decimal"/>
      <w:pStyle w:val="4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4"/>
      <w:suff w:val="nothing"/>
      <w:lvlText w:val="%1.%2.%3　"/>
      <w:lvlJc w:val="left"/>
      <w:pPr>
        <w:ind w:left="0" w:firstLine="0"/>
      </w:pPr>
      <w:rPr>
        <w:rFonts w:hint="eastAsia" w:ascii="黑体" w:hAnsi="Times New Roman" w:eastAsia="黑体"/>
        <w:b w:val="0"/>
        <w:i w:val="0"/>
        <w:sz w:val="21"/>
      </w:rPr>
    </w:lvl>
    <w:lvl w:ilvl="3" w:tentative="0">
      <w:start w:val="1"/>
      <w:numFmt w:val="decimal"/>
      <w:pStyle w:val="49"/>
      <w:suff w:val="nothing"/>
      <w:lvlText w:val="%1.%2.%3.%4　"/>
      <w:lvlJc w:val="left"/>
      <w:pPr>
        <w:ind w:left="0" w:firstLine="0"/>
      </w:pPr>
      <w:rPr>
        <w:rFonts w:hint="eastAsia" w:ascii="黑体" w:hAnsi="Times New Roman" w:eastAsia="黑体"/>
        <w:b w:val="0"/>
        <w:i w:val="0"/>
        <w:sz w:val="21"/>
      </w:rPr>
    </w:lvl>
    <w:lvl w:ilvl="4" w:tentative="0">
      <w:start w:val="1"/>
      <w:numFmt w:val="decimal"/>
      <w:pStyle w:val="53"/>
      <w:suff w:val="nothing"/>
      <w:lvlText w:val="%1.%2.%3.%4.%5　"/>
      <w:lvlJc w:val="left"/>
      <w:pPr>
        <w:ind w:left="0" w:firstLine="0"/>
      </w:pPr>
      <w:rPr>
        <w:rFonts w:hint="eastAsia" w:ascii="黑体" w:hAnsi="Times New Roman" w:eastAsia="黑体"/>
        <w:b w:val="0"/>
        <w:i w:val="0"/>
        <w:sz w:val="21"/>
      </w:rPr>
    </w:lvl>
    <w:lvl w:ilvl="5" w:tentative="0">
      <w:start w:val="1"/>
      <w:numFmt w:val="decimal"/>
      <w:pStyle w:val="5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A8F7113"/>
    <w:multiLevelType w:val="multilevel"/>
    <w:tmpl w:val="2A8F7113"/>
    <w:lvl w:ilvl="0" w:tentative="0">
      <w:start w:val="1"/>
      <w:numFmt w:val="upperLetter"/>
      <w:pStyle w:val="96"/>
      <w:suff w:val="space"/>
      <w:lvlText w:val="%1"/>
      <w:lvlJc w:val="left"/>
      <w:pPr>
        <w:ind w:left="623" w:hanging="425"/>
      </w:pPr>
      <w:rPr>
        <w:rFonts w:hint="eastAsia"/>
      </w:rPr>
    </w:lvl>
    <w:lvl w:ilvl="1" w:tentative="0">
      <w:start w:val="1"/>
      <w:numFmt w:val="decimal"/>
      <w:pStyle w:val="9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5">
    <w:nsid w:val="2C5917C3"/>
    <w:multiLevelType w:val="multilevel"/>
    <w:tmpl w:val="2C5917C3"/>
    <w:lvl w:ilvl="0" w:tentative="0">
      <w:start w:val="1"/>
      <w:numFmt w:val="none"/>
      <w:pStyle w:val="46"/>
      <w:suff w:val="nothing"/>
      <w:lvlText w:val="%1——"/>
      <w:lvlJc w:val="left"/>
      <w:pPr>
        <w:ind w:left="833" w:hanging="408"/>
      </w:pPr>
      <w:rPr>
        <w:rFonts w:hint="eastAsia"/>
      </w:rPr>
    </w:lvl>
    <w:lvl w:ilvl="1" w:tentative="0">
      <w:start w:val="1"/>
      <w:numFmt w:val="bullet"/>
      <w:pStyle w:val="47"/>
      <w:lvlText w:val=""/>
      <w:lvlJc w:val="left"/>
      <w:pPr>
        <w:tabs>
          <w:tab w:val="left" w:pos="760"/>
        </w:tabs>
        <w:ind w:left="1264" w:hanging="413"/>
      </w:pPr>
      <w:rPr>
        <w:rFonts w:hint="default" w:ascii="Symbol" w:hAnsi="Symbol"/>
        <w:color w:val="auto"/>
      </w:rPr>
    </w:lvl>
    <w:lvl w:ilvl="2" w:tentative="0">
      <w:start w:val="1"/>
      <w:numFmt w:val="bullet"/>
      <w:pStyle w:val="5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7">
    <w:nsid w:val="44C50F90"/>
    <w:multiLevelType w:val="multilevel"/>
    <w:tmpl w:val="44C50F90"/>
    <w:lvl w:ilvl="0" w:tentative="0">
      <w:start w:val="1"/>
      <w:numFmt w:val="lowerLetter"/>
      <w:pStyle w:val="5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2"/>
      <w:lvlText w:val="%2)"/>
      <w:lvlJc w:val="left"/>
      <w:pPr>
        <w:tabs>
          <w:tab w:val="left" w:pos="1260"/>
        </w:tabs>
        <w:ind w:left="1259" w:hanging="419"/>
      </w:pPr>
      <w:rPr>
        <w:rFonts w:hint="eastAsia"/>
      </w:rPr>
    </w:lvl>
    <w:lvl w:ilvl="2" w:tentative="0">
      <w:start w:val="1"/>
      <w:numFmt w:val="decimal"/>
      <w:pStyle w:val="5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60B55DC2"/>
    <w:multiLevelType w:val="multilevel"/>
    <w:tmpl w:val="60B55DC2"/>
    <w:lvl w:ilvl="0" w:tentative="0">
      <w:start w:val="1"/>
      <w:numFmt w:val="upperLetter"/>
      <w:pStyle w:val="84"/>
      <w:lvlText w:val="%1"/>
      <w:lvlJc w:val="left"/>
      <w:pPr>
        <w:tabs>
          <w:tab w:val="left" w:pos="0"/>
        </w:tabs>
        <w:ind w:left="0" w:hanging="425"/>
      </w:pPr>
      <w:rPr>
        <w:rFonts w:hint="eastAsia"/>
      </w:rPr>
    </w:lvl>
    <w:lvl w:ilvl="1" w:tentative="0">
      <w:start w:val="1"/>
      <w:numFmt w:val="decimal"/>
      <w:pStyle w:val="8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9">
    <w:nsid w:val="657D3FBC"/>
    <w:multiLevelType w:val="multilevel"/>
    <w:tmpl w:val="657D3FBC"/>
    <w:lvl w:ilvl="0" w:tentative="0">
      <w:start w:val="1"/>
      <w:numFmt w:val="upperLetter"/>
      <w:pStyle w:val="8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1"/>
      <w:suff w:val="nothing"/>
      <w:lvlText w:val="%1.%2.%3　"/>
      <w:lvlJc w:val="left"/>
      <w:pPr>
        <w:ind w:left="0" w:firstLine="0"/>
      </w:pPr>
      <w:rPr>
        <w:rFonts w:hint="eastAsia" w:ascii="黑体" w:hAnsi="Times New Roman" w:eastAsia="黑体"/>
        <w:b w:val="0"/>
        <w:i w:val="0"/>
        <w:sz w:val="21"/>
      </w:rPr>
    </w:lvl>
    <w:lvl w:ilvl="3" w:tentative="0">
      <w:start w:val="1"/>
      <w:numFmt w:val="decimal"/>
      <w:pStyle w:val="86"/>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D6C07CD"/>
    <w:multiLevelType w:val="multilevel"/>
    <w:tmpl w:val="6D6C07CD"/>
    <w:lvl w:ilvl="0" w:tentative="0">
      <w:start w:val="1"/>
      <w:numFmt w:val="lowerLetter"/>
      <w:pStyle w:val="103"/>
      <w:lvlText w:val="%1)"/>
      <w:lvlJc w:val="left"/>
      <w:pPr>
        <w:tabs>
          <w:tab w:val="left" w:pos="839"/>
        </w:tabs>
        <w:ind w:left="839" w:hanging="419"/>
      </w:pPr>
      <w:rPr>
        <w:rFonts w:hint="eastAsia" w:ascii="宋体" w:eastAsia="宋体"/>
        <w:b w:val="0"/>
        <w:i w:val="0"/>
        <w:sz w:val="21"/>
      </w:rPr>
    </w:lvl>
    <w:lvl w:ilvl="1" w:tentative="0">
      <w:start w:val="1"/>
      <w:numFmt w:val="decimal"/>
      <w:pStyle w:val="9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6"/>
  </w:num>
  <w:num w:numId="2">
    <w:abstractNumId w:val="0"/>
  </w:num>
  <w:num w:numId="3">
    <w:abstractNumId w:val="3"/>
  </w:num>
  <w:num w:numId="4">
    <w:abstractNumId w:val="5"/>
  </w:num>
  <w:num w:numId="5">
    <w:abstractNumId w:val="7"/>
  </w:num>
  <w:num w:numId="6">
    <w:abstractNumId w:val="2"/>
  </w:num>
  <w:num w:numId="7">
    <w:abstractNumId w:val="9"/>
  </w:num>
  <w:num w:numId="8">
    <w:abstractNumId w:val="8"/>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035925"/>
    <w:rsid w:val="00000244"/>
    <w:rsid w:val="0000185F"/>
    <w:rsid w:val="000018DE"/>
    <w:rsid w:val="00003A08"/>
    <w:rsid w:val="0000586F"/>
    <w:rsid w:val="00013016"/>
    <w:rsid w:val="00013D86"/>
    <w:rsid w:val="00013E02"/>
    <w:rsid w:val="000176ED"/>
    <w:rsid w:val="0002143C"/>
    <w:rsid w:val="00025A65"/>
    <w:rsid w:val="00026C31"/>
    <w:rsid w:val="00027280"/>
    <w:rsid w:val="000320A7"/>
    <w:rsid w:val="00035925"/>
    <w:rsid w:val="00041D93"/>
    <w:rsid w:val="00044C27"/>
    <w:rsid w:val="000566EF"/>
    <w:rsid w:val="000645E6"/>
    <w:rsid w:val="00064737"/>
    <w:rsid w:val="00065E1B"/>
    <w:rsid w:val="00066473"/>
    <w:rsid w:val="00067CDF"/>
    <w:rsid w:val="000740E1"/>
    <w:rsid w:val="00074FBE"/>
    <w:rsid w:val="000813BD"/>
    <w:rsid w:val="00083A09"/>
    <w:rsid w:val="00084675"/>
    <w:rsid w:val="0009005E"/>
    <w:rsid w:val="00092857"/>
    <w:rsid w:val="000A20A9"/>
    <w:rsid w:val="000A2A79"/>
    <w:rsid w:val="000A48B1"/>
    <w:rsid w:val="000B3143"/>
    <w:rsid w:val="000B55D3"/>
    <w:rsid w:val="000C6690"/>
    <w:rsid w:val="000C6B05"/>
    <w:rsid w:val="000C6DD6"/>
    <w:rsid w:val="000C73D4"/>
    <w:rsid w:val="000D3D4C"/>
    <w:rsid w:val="000D4505"/>
    <w:rsid w:val="000D4F51"/>
    <w:rsid w:val="000D5DD5"/>
    <w:rsid w:val="000D68F9"/>
    <w:rsid w:val="000D718B"/>
    <w:rsid w:val="000E0C46"/>
    <w:rsid w:val="000E69EE"/>
    <w:rsid w:val="000F030C"/>
    <w:rsid w:val="000F0739"/>
    <w:rsid w:val="000F129C"/>
    <w:rsid w:val="001039AA"/>
    <w:rsid w:val="001056DE"/>
    <w:rsid w:val="00105D70"/>
    <w:rsid w:val="00105F18"/>
    <w:rsid w:val="0010651A"/>
    <w:rsid w:val="00110BFA"/>
    <w:rsid w:val="00111863"/>
    <w:rsid w:val="001124C0"/>
    <w:rsid w:val="001145BE"/>
    <w:rsid w:val="00124953"/>
    <w:rsid w:val="00130398"/>
    <w:rsid w:val="0013175F"/>
    <w:rsid w:val="00132A7D"/>
    <w:rsid w:val="00134CDB"/>
    <w:rsid w:val="00135358"/>
    <w:rsid w:val="001512B4"/>
    <w:rsid w:val="001620A5"/>
    <w:rsid w:val="00162EBF"/>
    <w:rsid w:val="00164E53"/>
    <w:rsid w:val="0016699D"/>
    <w:rsid w:val="00170B12"/>
    <w:rsid w:val="00175159"/>
    <w:rsid w:val="00176208"/>
    <w:rsid w:val="00177B5B"/>
    <w:rsid w:val="00181BC6"/>
    <w:rsid w:val="0018211B"/>
    <w:rsid w:val="001840D3"/>
    <w:rsid w:val="00186396"/>
    <w:rsid w:val="001900F8"/>
    <w:rsid w:val="00191258"/>
    <w:rsid w:val="00192680"/>
    <w:rsid w:val="00193037"/>
    <w:rsid w:val="00193A2C"/>
    <w:rsid w:val="001A288E"/>
    <w:rsid w:val="001A5298"/>
    <w:rsid w:val="001B13CE"/>
    <w:rsid w:val="001B217C"/>
    <w:rsid w:val="001B5C83"/>
    <w:rsid w:val="001B6DC2"/>
    <w:rsid w:val="001C149C"/>
    <w:rsid w:val="001C21AC"/>
    <w:rsid w:val="001C47BA"/>
    <w:rsid w:val="001C59EA"/>
    <w:rsid w:val="001C5E84"/>
    <w:rsid w:val="001D406C"/>
    <w:rsid w:val="001D408A"/>
    <w:rsid w:val="001D41EE"/>
    <w:rsid w:val="001E0380"/>
    <w:rsid w:val="001E13B1"/>
    <w:rsid w:val="001E52FC"/>
    <w:rsid w:val="001F3A19"/>
    <w:rsid w:val="002074EB"/>
    <w:rsid w:val="00207BDA"/>
    <w:rsid w:val="0022112B"/>
    <w:rsid w:val="00231970"/>
    <w:rsid w:val="00234467"/>
    <w:rsid w:val="00237D8D"/>
    <w:rsid w:val="00241DA2"/>
    <w:rsid w:val="00243ACF"/>
    <w:rsid w:val="00243D9B"/>
    <w:rsid w:val="00247AE2"/>
    <w:rsid w:val="00247FEE"/>
    <w:rsid w:val="00250E7D"/>
    <w:rsid w:val="00255F22"/>
    <w:rsid w:val="002565D5"/>
    <w:rsid w:val="0025735A"/>
    <w:rsid w:val="002578C8"/>
    <w:rsid w:val="00261484"/>
    <w:rsid w:val="002622C0"/>
    <w:rsid w:val="00264457"/>
    <w:rsid w:val="00264C1A"/>
    <w:rsid w:val="00270075"/>
    <w:rsid w:val="00274E83"/>
    <w:rsid w:val="00275B13"/>
    <w:rsid w:val="002778AE"/>
    <w:rsid w:val="0028200E"/>
    <w:rsid w:val="0028269A"/>
    <w:rsid w:val="00282B9B"/>
    <w:rsid w:val="00283590"/>
    <w:rsid w:val="00286973"/>
    <w:rsid w:val="00291657"/>
    <w:rsid w:val="00292D76"/>
    <w:rsid w:val="00294E70"/>
    <w:rsid w:val="002A1353"/>
    <w:rsid w:val="002A1924"/>
    <w:rsid w:val="002A6864"/>
    <w:rsid w:val="002A7420"/>
    <w:rsid w:val="002A7503"/>
    <w:rsid w:val="002B0F12"/>
    <w:rsid w:val="002B1308"/>
    <w:rsid w:val="002B2C62"/>
    <w:rsid w:val="002B3C93"/>
    <w:rsid w:val="002B4554"/>
    <w:rsid w:val="002B5265"/>
    <w:rsid w:val="002B7E2A"/>
    <w:rsid w:val="002C0C98"/>
    <w:rsid w:val="002C72D8"/>
    <w:rsid w:val="002D04E2"/>
    <w:rsid w:val="002D11FA"/>
    <w:rsid w:val="002D233C"/>
    <w:rsid w:val="002E0DDF"/>
    <w:rsid w:val="002E0FF2"/>
    <w:rsid w:val="002E2906"/>
    <w:rsid w:val="002E5635"/>
    <w:rsid w:val="002E64C3"/>
    <w:rsid w:val="002E68F4"/>
    <w:rsid w:val="002E6A2C"/>
    <w:rsid w:val="002F1D8C"/>
    <w:rsid w:val="002F21DA"/>
    <w:rsid w:val="00301F39"/>
    <w:rsid w:val="00306585"/>
    <w:rsid w:val="00311D39"/>
    <w:rsid w:val="00316CBF"/>
    <w:rsid w:val="00325926"/>
    <w:rsid w:val="00326CF5"/>
    <w:rsid w:val="0032784B"/>
    <w:rsid w:val="00327A8A"/>
    <w:rsid w:val="00336610"/>
    <w:rsid w:val="00337EC3"/>
    <w:rsid w:val="00343F73"/>
    <w:rsid w:val="00345060"/>
    <w:rsid w:val="00352568"/>
    <w:rsid w:val="0035323B"/>
    <w:rsid w:val="003574DD"/>
    <w:rsid w:val="003609D2"/>
    <w:rsid w:val="00363F22"/>
    <w:rsid w:val="00365DE2"/>
    <w:rsid w:val="00365E6F"/>
    <w:rsid w:val="00366E48"/>
    <w:rsid w:val="00370DBC"/>
    <w:rsid w:val="0037450A"/>
    <w:rsid w:val="00375564"/>
    <w:rsid w:val="00376266"/>
    <w:rsid w:val="00376E39"/>
    <w:rsid w:val="00383191"/>
    <w:rsid w:val="003856D1"/>
    <w:rsid w:val="0038581F"/>
    <w:rsid w:val="00385884"/>
    <w:rsid w:val="003869E4"/>
    <w:rsid w:val="00386DED"/>
    <w:rsid w:val="003912E7"/>
    <w:rsid w:val="0039140F"/>
    <w:rsid w:val="0039238E"/>
    <w:rsid w:val="00392EA1"/>
    <w:rsid w:val="00393947"/>
    <w:rsid w:val="003A0C94"/>
    <w:rsid w:val="003A2275"/>
    <w:rsid w:val="003A2ABE"/>
    <w:rsid w:val="003A6A4F"/>
    <w:rsid w:val="003A7088"/>
    <w:rsid w:val="003B00DF"/>
    <w:rsid w:val="003B1275"/>
    <w:rsid w:val="003B1778"/>
    <w:rsid w:val="003B2659"/>
    <w:rsid w:val="003C11CB"/>
    <w:rsid w:val="003C2BE0"/>
    <w:rsid w:val="003C6CF7"/>
    <w:rsid w:val="003C75F3"/>
    <w:rsid w:val="003C78A3"/>
    <w:rsid w:val="003C7BEB"/>
    <w:rsid w:val="003D0F18"/>
    <w:rsid w:val="003D317F"/>
    <w:rsid w:val="003D31EC"/>
    <w:rsid w:val="003D6821"/>
    <w:rsid w:val="003E1867"/>
    <w:rsid w:val="003E1C92"/>
    <w:rsid w:val="003E5729"/>
    <w:rsid w:val="003E5D18"/>
    <w:rsid w:val="003F4EE0"/>
    <w:rsid w:val="003F5949"/>
    <w:rsid w:val="00402153"/>
    <w:rsid w:val="00402FC1"/>
    <w:rsid w:val="00403152"/>
    <w:rsid w:val="00425082"/>
    <w:rsid w:val="004309B4"/>
    <w:rsid w:val="00431DEB"/>
    <w:rsid w:val="00434EFB"/>
    <w:rsid w:val="0043660F"/>
    <w:rsid w:val="00446092"/>
    <w:rsid w:val="00446B29"/>
    <w:rsid w:val="0045293D"/>
    <w:rsid w:val="00453B77"/>
    <w:rsid w:val="00453F9A"/>
    <w:rsid w:val="00454CB7"/>
    <w:rsid w:val="00460CE3"/>
    <w:rsid w:val="004610E1"/>
    <w:rsid w:val="00471E91"/>
    <w:rsid w:val="00472A7F"/>
    <w:rsid w:val="00474675"/>
    <w:rsid w:val="0047470C"/>
    <w:rsid w:val="0048017A"/>
    <w:rsid w:val="00480F50"/>
    <w:rsid w:val="00494E71"/>
    <w:rsid w:val="004A35F9"/>
    <w:rsid w:val="004A5407"/>
    <w:rsid w:val="004A543D"/>
    <w:rsid w:val="004B1FB0"/>
    <w:rsid w:val="004B24C1"/>
    <w:rsid w:val="004C13AD"/>
    <w:rsid w:val="004C292F"/>
    <w:rsid w:val="004C3F05"/>
    <w:rsid w:val="004C5146"/>
    <w:rsid w:val="004D021A"/>
    <w:rsid w:val="004D70D7"/>
    <w:rsid w:val="004E072B"/>
    <w:rsid w:val="004F474C"/>
    <w:rsid w:val="00502F20"/>
    <w:rsid w:val="005063DC"/>
    <w:rsid w:val="00510280"/>
    <w:rsid w:val="005106A6"/>
    <w:rsid w:val="005118BB"/>
    <w:rsid w:val="00513D73"/>
    <w:rsid w:val="00514A43"/>
    <w:rsid w:val="005174E5"/>
    <w:rsid w:val="00522393"/>
    <w:rsid w:val="00522620"/>
    <w:rsid w:val="00522C30"/>
    <w:rsid w:val="005230E1"/>
    <w:rsid w:val="00525656"/>
    <w:rsid w:val="00525A8C"/>
    <w:rsid w:val="00533DBE"/>
    <w:rsid w:val="00534C02"/>
    <w:rsid w:val="00540EF4"/>
    <w:rsid w:val="005418A3"/>
    <w:rsid w:val="0054264B"/>
    <w:rsid w:val="00543786"/>
    <w:rsid w:val="005533D7"/>
    <w:rsid w:val="0055399E"/>
    <w:rsid w:val="00556629"/>
    <w:rsid w:val="005703DE"/>
    <w:rsid w:val="00572CD6"/>
    <w:rsid w:val="0057539E"/>
    <w:rsid w:val="00580CBD"/>
    <w:rsid w:val="0058111A"/>
    <w:rsid w:val="00581645"/>
    <w:rsid w:val="0058347D"/>
    <w:rsid w:val="0058464E"/>
    <w:rsid w:val="00587542"/>
    <w:rsid w:val="00593B0F"/>
    <w:rsid w:val="005A01CB"/>
    <w:rsid w:val="005A1664"/>
    <w:rsid w:val="005A1718"/>
    <w:rsid w:val="005A58FF"/>
    <w:rsid w:val="005A5EAF"/>
    <w:rsid w:val="005A64C0"/>
    <w:rsid w:val="005A6798"/>
    <w:rsid w:val="005B3C11"/>
    <w:rsid w:val="005C038B"/>
    <w:rsid w:val="005C1C28"/>
    <w:rsid w:val="005C6DB5"/>
    <w:rsid w:val="005D300C"/>
    <w:rsid w:val="005E19E7"/>
    <w:rsid w:val="005E7CA1"/>
    <w:rsid w:val="005F1640"/>
    <w:rsid w:val="005F4522"/>
    <w:rsid w:val="005F7549"/>
    <w:rsid w:val="006006CE"/>
    <w:rsid w:val="00611065"/>
    <w:rsid w:val="006156E5"/>
    <w:rsid w:val="00615F27"/>
    <w:rsid w:val="0061716C"/>
    <w:rsid w:val="006243A1"/>
    <w:rsid w:val="0063111E"/>
    <w:rsid w:val="00632E56"/>
    <w:rsid w:val="00633163"/>
    <w:rsid w:val="006342DF"/>
    <w:rsid w:val="00635CBA"/>
    <w:rsid w:val="00641510"/>
    <w:rsid w:val="0064338B"/>
    <w:rsid w:val="006456AC"/>
    <w:rsid w:val="00646542"/>
    <w:rsid w:val="006504F4"/>
    <w:rsid w:val="00651D37"/>
    <w:rsid w:val="00653FC1"/>
    <w:rsid w:val="00654BC9"/>
    <w:rsid w:val="006552FD"/>
    <w:rsid w:val="00657DC9"/>
    <w:rsid w:val="0066359F"/>
    <w:rsid w:val="006639EA"/>
    <w:rsid w:val="00663AF3"/>
    <w:rsid w:val="00664BC4"/>
    <w:rsid w:val="006665B6"/>
    <w:rsid w:val="00666B6C"/>
    <w:rsid w:val="00682682"/>
    <w:rsid w:val="00682702"/>
    <w:rsid w:val="00682F1F"/>
    <w:rsid w:val="00692368"/>
    <w:rsid w:val="00694EBA"/>
    <w:rsid w:val="006970D0"/>
    <w:rsid w:val="006A25BA"/>
    <w:rsid w:val="006A2EBC"/>
    <w:rsid w:val="006A5EA0"/>
    <w:rsid w:val="006A783B"/>
    <w:rsid w:val="006A7B33"/>
    <w:rsid w:val="006B4E13"/>
    <w:rsid w:val="006B56EE"/>
    <w:rsid w:val="006B6C1F"/>
    <w:rsid w:val="006B75DD"/>
    <w:rsid w:val="006C0B20"/>
    <w:rsid w:val="006C463D"/>
    <w:rsid w:val="006C67E0"/>
    <w:rsid w:val="006C7ABA"/>
    <w:rsid w:val="006D0D60"/>
    <w:rsid w:val="006D1122"/>
    <w:rsid w:val="006D17FC"/>
    <w:rsid w:val="006D1C2D"/>
    <w:rsid w:val="006D3C00"/>
    <w:rsid w:val="006D3C2A"/>
    <w:rsid w:val="006E2E3A"/>
    <w:rsid w:val="006E33CA"/>
    <w:rsid w:val="006E3675"/>
    <w:rsid w:val="006E4A7F"/>
    <w:rsid w:val="006F1265"/>
    <w:rsid w:val="006F1D8D"/>
    <w:rsid w:val="0070301C"/>
    <w:rsid w:val="00704DF6"/>
    <w:rsid w:val="007051EA"/>
    <w:rsid w:val="0070651C"/>
    <w:rsid w:val="0071255F"/>
    <w:rsid w:val="007132A3"/>
    <w:rsid w:val="00714E91"/>
    <w:rsid w:val="00716421"/>
    <w:rsid w:val="00721153"/>
    <w:rsid w:val="00724EFB"/>
    <w:rsid w:val="00725DF5"/>
    <w:rsid w:val="00730422"/>
    <w:rsid w:val="00734CD0"/>
    <w:rsid w:val="007419C3"/>
    <w:rsid w:val="007458EA"/>
    <w:rsid w:val="007467A7"/>
    <w:rsid w:val="007469DD"/>
    <w:rsid w:val="0074741B"/>
    <w:rsid w:val="0074759E"/>
    <w:rsid w:val="007478EA"/>
    <w:rsid w:val="0075415C"/>
    <w:rsid w:val="00763502"/>
    <w:rsid w:val="00780D24"/>
    <w:rsid w:val="007913AB"/>
    <w:rsid w:val="007914F7"/>
    <w:rsid w:val="007939BD"/>
    <w:rsid w:val="007975D6"/>
    <w:rsid w:val="007A0F7E"/>
    <w:rsid w:val="007B1625"/>
    <w:rsid w:val="007B2431"/>
    <w:rsid w:val="007B706E"/>
    <w:rsid w:val="007B71EB"/>
    <w:rsid w:val="007C1DFC"/>
    <w:rsid w:val="007C3296"/>
    <w:rsid w:val="007C6205"/>
    <w:rsid w:val="007C686A"/>
    <w:rsid w:val="007C6AE3"/>
    <w:rsid w:val="007C728E"/>
    <w:rsid w:val="007C76C3"/>
    <w:rsid w:val="007D2C53"/>
    <w:rsid w:val="007D3D60"/>
    <w:rsid w:val="007E1980"/>
    <w:rsid w:val="007E4B76"/>
    <w:rsid w:val="007E5EA8"/>
    <w:rsid w:val="007E6FED"/>
    <w:rsid w:val="007E7F4D"/>
    <w:rsid w:val="007F0AF3"/>
    <w:rsid w:val="007F0CF1"/>
    <w:rsid w:val="007F12A5"/>
    <w:rsid w:val="007F3E23"/>
    <w:rsid w:val="007F4CF1"/>
    <w:rsid w:val="007F58C3"/>
    <w:rsid w:val="007F758D"/>
    <w:rsid w:val="007F7D52"/>
    <w:rsid w:val="008012BD"/>
    <w:rsid w:val="008041AD"/>
    <w:rsid w:val="0080654C"/>
    <w:rsid w:val="008071C6"/>
    <w:rsid w:val="0081407D"/>
    <w:rsid w:val="008145BD"/>
    <w:rsid w:val="00817A00"/>
    <w:rsid w:val="00821DA3"/>
    <w:rsid w:val="008303F2"/>
    <w:rsid w:val="00833EBA"/>
    <w:rsid w:val="00835DB3"/>
    <w:rsid w:val="0083617B"/>
    <w:rsid w:val="008371BD"/>
    <w:rsid w:val="00844809"/>
    <w:rsid w:val="00845C0E"/>
    <w:rsid w:val="008504A8"/>
    <w:rsid w:val="0085282E"/>
    <w:rsid w:val="00857B74"/>
    <w:rsid w:val="0086341E"/>
    <w:rsid w:val="00863CD9"/>
    <w:rsid w:val="00866924"/>
    <w:rsid w:val="0087198C"/>
    <w:rsid w:val="00872C1F"/>
    <w:rsid w:val="00873B42"/>
    <w:rsid w:val="00881EC3"/>
    <w:rsid w:val="008856D8"/>
    <w:rsid w:val="008874C1"/>
    <w:rsid w:val="00892E82"/>
    <w:rsid w:val="008C1B58"/>
    <w:rsid w:val="008C3169"/>
    <w:rsid w:val="008C39AE"/>
    <w:rsid w:val="008C5595"/>
    <w:rsid w:val="008C590D"/>
    <w:rsid w:val="008D7E74"/>
    <w:rsid w:val="008E031B"/>
    <w:rsid w:val="008E4625"/>
    <w:rsid w:val="008E6AAA"/>
    <w:rsid w:val="008E7029"/>
    <w:rsid w:val="008E7C59"/>
    <w:rsid w:val="008E7EF6"/>
    <w:rsid w:val="008F1F98"/>
    <w:rsid w:val="008F6758"/>
    <w:rsid w:val="008F6885"/>
    <w:rsid w:val="008F7B8E"/>
    <w:rsid w:val="00902D41"/>
    <w:rsid w:val="009040DD"/>
    <w:rsid w:val="00905B47"/>
    <w:rsid w:val="0091331C"/>
    <w:rsid w:val="0091370A"/>
    <w:rsid w:val="009279DE"/>
    <w:rsid w:val="00927B30"/>
    <w:rsid w:val="00930116"/>
    <w:rsid w:val="00930CF4"/>
    <w:rsid w:val="0094212C"/>
    <w:rsid w:val="00942E70"/>
    <w:rsid w:val="00945335"/>
    <w:rsid w:val="00946A29"/>
    <w:rsid w:val="0095085C"/>
    <w:rsid w:val="00951D6D"/>
    <w:rsid w:val="00954689"/>
    <w:rsid w:val="009617C9"/>
    <w:rsid w:val="00961C93"/>
    <w:rsid w:val="00965324"/>
    <w:rsid w:val="0097091E"/>
    <w:rsid w:val="00974500"/>
    <w:rsid w:val="009760D3"/>
    <w:rsid w:val="00977132"/>
    <w:rsid w:val="00981A4B"/>
    <w:rsid w:val="00982483"/>
    <w:rsid w:val="00982501"/>
    <w:rsid w:val="00983E27"/>
    <w:rsid w:val="009864D7"/>
    <w:rsid w:val="009877D3"/>
    <w:rsid w:val="00994E8F"/>
    <w:rsid w:val="009951DC"/>
    <w:rsid w:val="009959BB"/>
    <w:rsid w:val="00997158"/>
    <w:rsid w:val="009A3A7C"/>
    <w:rsid w:val="009A3B96"/>
    <w:rsid w:val="009A68F1"/>
    <w:rsid w:val="009A6E4B"/>
    <w:rsid w:val="009B20BD"/>
    <w:rsid w:val="009B2ADB"/>
    <w:rsid w:val="009B603A"/>
    <w:rsid w:val="009B72DE"/>
    <w:rsid w:val="009C1F9E"/>
    <w:rsid w:val="009C2D0E"/>
    <w:rsid w:val="009C3DAC"/>
    <w:rsid w:val="009C42E0"/>
    <w:rsid w:val="009C6DDB"/>
    <w:rsid w:val="009D1A7E"/>
    <w:rsid w:val="009D1C62"/>
    <w:rsid w:val="009D2D82"/>
    <w:rsid w:val="009D5362"/>
    <w:rsid w:val="009D5C5D"/>
    <w:rsid w:val="009D753E"/>
    <w:rsid w:val="009E1415"/>
    <w:rsid w:val="009E32B4"/>
    <w:rsid w:val="009E6116"/>
    <w:rsid w:val="009F5288"/>
    <w:rsid w:val="00A02E43"/>
    <w:rsid w:val="00A065F9"/>
    <w:rsid w:val="00A07F34"/>
    <w:rsid w:val="00A11A25"/>
    <w:rsid w:val="00A13182"/>
    <w:rsid w:val="00A2005F"/>
    <w:rsid w:val="00A22154"/>
    <w:rsid w:val="00A24C8A"/>
    <w:rsid w:val="00A25C38"/>
    <w:rsid w:val="00A26B4C"/>
    <w:rsid w:val="00A36BBE"/>
    <w:rsid w:val="00A4307A"/>
    <w:rsid w:val="00A45EB5"/>
    <w:rsid w:val="00A46168"/>
    <w:rsid w:val="00A46D39"/>
    <w:rsid w:val="00A4703E"/>
    <w:rsid w:val="00A47EBB"/>
    <w:rsid w:val="00A47F3B"/>
    <w:rsid w:val="00A51CDD"/>
    <w:rsid w:val="00A601FC"/>
    <w:rsid w:val="00A6174D"/>
    <w:rsid w:val="00A6730D"/>
    <w:rsid w:val="00A71625"/>
    <w:rsid w:val="00A71B9B"/>
    <w:rsid w:val="00A720B9"/>
    <w:rsid w:val="00A751C7"/>
    <w:rsid w:val="00A83AE5"/>
    <w:rsid w:val="00A841C5"/>
    <w:rsid w:val="00A8541A"/>
    <w:rsid w:val="00A87844"/>
    <w:rsid w:val="00A92852"/>
    <w:rsid w:val="00A94C41"/>
    <w:rsid w:val="00A97187"/>
    <w:rsid w:val="00A97659"/>
    <w:rsid w:val="00AA038C"/>
    <w:rsid w:val="00AA0B5D"/>
    <w:rsid w:val="00AA39C3"/>
    <w:rsid w:val="00AA7A09"/>
    <w:rsid w:val="00AB3B50"/>
    <w:rsid w:val="00AB66AD"/>
    <w:rsid w:val="00AC05B1"/>
    <w:rsid w:val="00AD356C"/>
    <w:rsid w:val="00AE2914"/>
    <w:rsid w:val="00AE37AD"/>
    <w:rsid w:val="00AE6D15"/>
    <w:rsid w:val="00AF3558"/>
    <w:rsid w:val="00AF4233"/>
    <w:rsid w:val="00AF6C74"/>
    <w:rsid w:val="00B04182"/>
    <w:rsid w:val="00B04529"/>
    <w:rsid w:val="00B0503D"/>
    <w:rsid w:val="00B05F0A"/>
    <w:rsid w:val="00B07AE3"/>
    <w:rsid w:val="00B11430"/>
    <w:rsid w:val="00B11BF0"/>
    <w:rsid w:val="00B150AD"/>
    <w:rsid w:val="00B16635"/>
    <w:rsid w:val="00B20EEC"/>
    <w:rsid w:val="00B329CE"/>
    <w:rsid w:val="00B34362"/>
    <w:rsid w:val="00B353EB"/>
    <w:rsid w:val="00B35AE1"/>
    <w:rsid w:val="00B42D15"/>
    <w:rsid w:val="00B439C4"/>
    <w:rsid w:val="00B4535E"/>
    <w:rsid w:val="00B52A8C"/>
    <w:rsid w:val="00B60C1A"/>
    <w:rsid w:val="00B62919"/>
    <w:rsid w:val="00B636A8"/>
    <w:rsid w:val="00B665C6"/>
    <w:rsid w:val="00B805AF"/>
    <w:rsid w:val="00B83937"/>
    <w:rsid w:val="00B869EC"/>
    <w:rsid w:val="00B90AD5"/>
    <w:rsid w:val="00B9397A"/>
    <w:rsid w:val="00B9633D"/>
    <w:rsid w:val="00BA2EBE"/>
    <w:rsid w:val="00BA5B95"/>
    <w:rsid w:val="00BA7336"/>
    <w:rsid w:val="00BB0F28"/>
    <w:rsid w:val="00BB458A"/>
    <w:rsid w:val="00BB5C96"/>
    <w:rsid w:val="00BB6895"/>
    <w:rsid w:val="00BC21D0"/>
    <w:rsid w:val="00BD00D3"/>
    <w:rsid w:val="00BD1659"/>
    <w:rsid w:val="00BD3AA9"/>
    <w:rsid w:val="00BD4A18"/>
    <w:rsid w:val="00BD52A0"/>
    <w:rsid w:val="00BD6DB2"/>
    <w:rsid w:val="00BE11CF"/>
    <w:rsid w:val="00BE181E"/>
    <w:rsid w:val="00BE21AB"/>
    <w:rsid w:val="00BE55CB"/>
    <w:rsid w:val="00BF15CD"/>
    <w:rsid w:val="00BF60EF"/>
    <w:rsid w:val="00BF617A"/>
    <w:rsid w:val="00C0379D"/>
    <w:rsid w:val="00C03931"/>
    <w:rsid w:val="00C05FE3"/>
    <w:rsid w:val="00C12248"/>
    <w:rsid w:val="00C12C7D"/>
    <w:rsid w:val="00C2136D"/>
    <w:rsid w:val="00C214EE"/>
    <w:rsid w:val="00C2314B"/>
    <w:rsid w:val="00C245F4"/>
    <w:rsid w:val="00C24971"/>
    <w:rsid w:val="00C26460"/>
    <w:rsid w:val="00C26BE5"/>
    <w:rsid w:val="00C26E4D"/>
    <w:rsid w:val="00C27909"/>
    <w:rsid w:val="00C27B03"/>
    <w:rsid w:val="00C314E1"/>
    <w:rsid w:val="00C34397"/>
    <w:rsid w:val="00C348D7"/>
    <w:rsid w:val="00C36D0D"/>
    <w:rsid w:val="00C37506"/>
    <w:rsid w:val="00C4095D"/>
    <w:rsid w:val="00C40E2E"/>
    <w:rsid w:val="00C47C38"/>
    <w:rsid w:val="00C56CB4"/>
    <w:rsid w:val="00C601D2"/>
    <w:rsid w:val="00C61CF6"/>
    <w:rsid w:val="00C657AB"/>
    <w:rsid w:val="00C65BCC"/>
    <w:rsid w:val="00C66970"/>
    <w:rsid w:val="00C70A30"/>
    <w:rsid w:val="00C81262"/>
    <w:rsid w:val="00C8691C"/>
    <w:rsid w:val="00C905F8"/>
    <w:rsid w:val="00C92775"/>
    <w:rsid w:val="00C92783"/>
    <w:rsid w:val="00C92D16"/>
    <w:rsid w:val="00C93BD2"/>
    <w:rsid w:val="00C94CA8"/>
    <w:rsid w:val="00C96352"/>
    <w:rsid w:val="00C965B8"/>
    <w:rsid w:val="00CA168A"/>
    <w:rsid w:val="00CA357E"/>
    <w:rsid w:val="00CA44F9"/>
    <w:rsid w:val="00CA4A69"/>
    <w:rsid w:val="00CA67A9"/>
    <w:rsid w:val="00CC3E0C"/>
    <w:rsid w:val="00CC58D3"/>
    <w:rsid w:val="00CC612F"/>
    <w:rsid w:val="00CC784D"/>
    <w:rsid w:val="00CD1A55"/>
    <w:rsid w:val="00CD33A3"/>
    <w:rsid w:val="00CE2051"/>
    <w:rsid w:val="00CE22E0"/>
    <w:rsid w:val="00CF4646"/>
    <w:rsid w:val="00CF717A"/>
    <w:rsid w:val="00D01918"/>
    <w:rsid w:val="00D0337B"/>
    <w:rsid w:val="00D079B2"/>
    <w:rsid w:val="00D114E9"/>
    <w:rsid w:val="00D13154"/>
    <w:rsid w:val="00D27C9D"/>
    <w:rsid w:val="00D3286D"/>
    <w:rsid w:val="00D34EE6"/>
    <w:rsid w:val="00D36FD5"/>
    <w:rsid w:val="00D379C8"/>
    <w:rsid w:val="00D429C6"/>
    <w:rsid w:val="00D454D4"/>
    <w:rsid w:val="00D45D0A"/>
    <w:rsid w:val="00D47748"/>
    <w:rsid w:val="00D54CC3"/>
    <w:rsid w:val="00D6041A"/>
    <w:rsid w:val="00D633EB"/>
    <w:rsid w:val="00D74D92"/>
    <w:rsid w:val="00D75BA4"/>
    <w:rsid w:val="00D82FF7"/>
    <w:rsid w:val="00D847FE"/>
    <w:rsid w:val="00D86F4D"/>
    <w:rsid w:val="00D9606F"/>
    <w:rsid w:val="00D963AB"/>
    <w:rsid w:val="00D964EA"/>
    <w:rsid w:val="00D966D0"/>
    <w:rsid w:val="00DA0C59"/>
    <w:rsid w:val="00DA3991"/>
    <w:rsid w:val="00DA5AE3"/>
    <w:rsid w:val="00DB7E6C"/>
    <w:rsid w:val="00DD0C81"/>
    <w:rsid w:val="00DD5A29"/>
    <w:rsid w:val="00DD5D9D"/>
    <w:rsid w:val="00DE1B03"/>
    <w:rsid w:val="00DE27DC"/>
    <w:rsid w:val="00DE35CB"/>
    <w:rsid w:val="00DF21E9"/>
    <w:rsid w:val="00DF3AB3"/>
    <w:rsid w:val="00E00F14"/>
    <w:rsid w:val="00E06386"/>
    <w:rsid w:val="00E06B4E"/>
    <w:rsid w:val="00E144A2"/>
    <w:rsid w:val="00E22254"/>
    <w:rsid w:val="00E2419B"/>
    <w:rsid w:val="00E24EB4"/>
    <w:rsid w:val="00E308C9"/>
    <w:rsid w:val="00E319B0"/>
    <w:rsid w:val="00E320ED"/>
    <w:rsid w:val="00E33AFB"/>
    <w:rsid w:val="00E34218"/>
    <w:rsid w:val="00E34855"/>
    <w:rsid w:val="00E46282"/>
    <w:rsid w:val="00E51B84"/>
    <w:rsid w:val="00E5216E"/>
    <w:rsid w:val="00E54CCE"/>
    <w:rsid w:val="00E65575"/>
    <w:rsid w:val="00E82344"/>
    <w:rsid w:val="00E84C82"/>
    <w:rsid w:val="00E84D64"/>
    <w:rsid w:val="00E87408"/>
    <w:rsid w:val="00E914C4"/>
    <w:rsid w:val="00E93050"/>
    <w:rsid w:val="00E934F5"/>
    <w:rsid w:val="00E96961"/>
    <w:rsid w:val="00EA72EC"/>
    <w:rsid w:val="00EB11CB"/>
    <w:rsid w:val="00EB275A"/>
    <w:rsid w:val="00EB786A"/>
    <w:rsid w:val="00EC1578"/>
    <w:rsid w:val="00EC1C72"/>
    <w:rsid w:val="00EC3CC9"/>
    <w:rsid w:val="00EC46B8"/>
    <w:rsid w:val="00EC4EE6"/>
    <w:rsid w:val="00EC680A"/>
    <w:rsid w:val="00EC7F18"/>
    <w:rsid w:val="00ED2392"/>
    <w:rsid w:val="00ED5877"/>
    <w:rsid w:val="00EE2BED"/>
    <w:rsid w:val="00EE374B"/>
    <w:rsid w:val="00EE4EA4"/>
    <w:rsid w:val="00EE5879"/>
    <w:rsid w:val="00EE79E6"/>
    <w:rsid w:val="00F01B84"/>
    <w:rsid w:val="00F0402C"/>
    <w:rsid w:val="00F11BB5"/>
    <w:rsid w:val="00F1417B"/>
    <w:rsid w:val="00F25033"/>
    <w:rsid w:val="00F34B99"/>
    <w:rsid w:val="00F36C62"/>
    <w:rsid w:val="00F42A9E"/>
    <w:rsid w:val="00F4416A"/>
    <w:rsid w:val="00F52C1C"/>
    <w:rsid w:val="00F52DAB"/>
    <w:rsid w:val="00F533F4"/>
    <w:rsid w:val="00F543F0"/>
    <w:rsid w:val="00F568CF"/>
    <w:rsid w:val="00F57B84"/>
    <w:rsid w:val="00F7081C"/>
    <w:rsid w:val="00F73447"/>
    <w:rsid w:val="00F75A0E"/>
    <w:rsid w:val="00F7607C"/>
    <w:rsid w:val="00F76EDC"/>
    <w:rsid w:val="00F81D29"/>
    <w:rsid w:val="00F87A8E"/>
    <w:rsid w:val="00F91C4D"/>
    <w:rsid w:val="00F92FD9"/>
    <w:rsid w:val="00F94B26"/>
    <w:rsid w:val="00F952D5"/>
    <w:rsid w:val="00FA6684"/>
    <w:rsid w:val="00FA731E"/>
    <w:rsid w:val="00FB13D7"/>
    <w:rsid w:val="00FB2B38"/>
    <w:rsid w:val="00FB4C9E"/>
    <w:rsid w:val="00FB599A"/>
    <w:rsid w:val="00FC089B"/>
    <w:rsid w:val="00FC40B8"/>
    <w:rsid w:val="00FC6358"/>
    <w:rsid w:val="00FD2543"/>
    <w:rsid w:val="00FD25A7"/>
    <w:rsid w:val="00FD320D"/>
    <w:rsid w:val="00FE02E3"/>
    <w:rsid w:val="00FE23DE"/>
    <w:rsid w:val="00FE25C4"/>
    <w:rsid w:val="00FE4996"/>
    <w:rsid w:val="00FE7867"/>
    <w:rsid w:val="00FF387F"/>
    <w:rsid w:val="00FF7158"/>
    <w:rsid w:val="0114436C"/>
    <w:rsid w:val="02D95747"/>
    <w:rsid w:val="036D1DF0"/>
    <w:rsid w:val="04793AA4"/>
    <w:rsid w:val="04820ADC"/>
    <w:rsid w:val="08661A96"/>
    <w:rsid w:val="08A87138"/>
    <w:rsid w:val="0B780ECD"/>
    <w:rsid w:val="0B9B1CA0"/>
    <w:rsid w:val="0FCF2687"/>
    <w:rsid w:val="0FFB3317"/>
    <w:rsid w:val="104F3299"/>
    <w:rsid w:val="128819B3"/>
    <w:rsid w:val="13EB4108"/>
    <w:rsid w:val="144A5F5E"/>
    <w:rsid w:val="145571D6"/>
    <w:rsid w:val="15191F35"/>
    <w:rsid w:val="185B1C75"/>
    <w:rsid w:val="194147C1"/>
    <w:rsid w:val="1ABA0942"/>
    <w:rsid w:val="1C4D3AAC"/>
    <w:rsid w:val="1C8C540F"/>
    <w:rsid w:val="20D51563"/>
    <w:rsid w:val="213C22E6"/>
    <w:rsid w:val="22C571D6"/>
    <w:rsid w:val="23B02437"/>
    <w:rsid w:val="25104FA8"/>
    <w:rsid w:val="263B1F4B"/>
    <w:rsid w:val="26BA59E8"/>
    <w:rsid w:val="281202C1"/>
    <w:rsid w:val="28DB0EDE"/>
    <w:rsid w:val="29253FA9"/>
    <w:rsid w:val="2C100C15"/>
    <w:rsid w:val="2C1B4C8B"/>
    <w:rsid w:val="2D8C39E1"/>
    <w:rsid w:val="329840FE"/>
    <w:rsid w:val="338D4E6D"/>
    <w:rsid w:val="34A304D5"/>
    <w:rsid w:val="39CF123D"/>
    <w:rsid w:val="3AC1443A"/>
    <w:rsid w:val="3C0E1006"/>
    <w:rsid w:val="3D67349D"/>
    <w:rsid w:val="3E4F4594"/>
    <w:rsid w:val="3EA30E2D"/>
    <w:rsid w:val="3FD90B0D"/>
    <w:rsid w:val="403B318C"/>
    <w:rsid w:val="412B1558"/>
    <w:rsid w:val="438F0E2C"/>
    <w:rsid w:val="450F57C2"/>
    <w:rsid w:val="472D79C1"/>
    <w:rsid w:val="48D445E3"/>
    <w:rsid w:val="495E6869"/>
    <w:rsid w:val="49F54849"/>
    <w:rsid w:val="4AED391F"/>
    <w:rsid w:val="4C216D46"/>
    <w:rsid w:val="4DE4148C"/>
    <w:rsid w:val="4E3C5C88"/>
    <w:rsid w:val="4FA8301F"/>
    <w:rsid w:val="525C5760"/>
    <w:rsid w:val="52E60246"/>
    <w:rsid w:val="541E6EEA"/>
    <w:rsid w:val="54EB4344"/>
    <w:rsid w:val="552B1EB0"/>
    <w:rsid w:val="55E875D9"/>
    <w:rsid w:val="56763F07"/>
    <w:rsid w:val="56C4224F"/>
    <w:rsid w:val="57292F31"/>
    <w:rsid w:val="58A9300C"/>
    <w:rsid w:val="58C32335"/>
    <w:rsid w:val="5A772D68"/>
    <w:rsid w:val="5B4B66A7"/>
    <w:rsid w:val="5BA015D8"/>
    <w:rsid w:val="5DEF2A24"/>
    <w:rsid w:val="5FA952F7"/>
    <w:rsid w:val="5FE25F8C"/>
    <w:rsid w:val="61970693"/>
    <w:rsid w:val="619F32DA"/>
    <w:rsid w:val="62DB5CFB"/>
    <w:rsid w:val="6A5C063B"/>
    <w:rsid w:val="6B6E1B36"/>
    <w:rsid w:val="6B8C3E9C"/>
    <w:rsid w:val="6D904602"/>
    <w:rsid w:val="70C65C4A"/>
    <w:rsid w:val="71321BA9"/>
    <w:rsid w:val="725A6E95"/>
    <w:rsid w:val="72EE3C33"/>
    <w:rsid w:val="73CA1673"/>
    <w:rsid w:val="742B27AC"/>
    <w:rsid w:val="772918CF"/>
    <w:rsid w:val="7A1F0496"/>
    <w:rsid w:val="7A517B7D"/>
    <w:rsid w:val="7A8C552B"/>
    <w:rsid w:val="7B6159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51"/>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142"/>
    <w:qFormat/>
    <w:uiPriority w:val="0"/>
    <w:rPr>
      <w:sz w:val="18"/>
      <w:szCs w:val="18"/>
    </w:rPr>
  </w:style>
  <w:style w:type="paragraph" w:styleId="16">
    <w:name w:val="footer"/>
    <w:basedOn w:val="1"/>
    <w:link w:val="137"/>
    <w:qFormat/>
    <w:uiPriority w:val="99"/>
    <w:pPr>
      <w:snapToGrid w:val="0"/>
      <w:ind w:right="210" w:rightChars="100"/>
      <w:jc w:val="right"/>
    </w:pPr>
    <w:rPr>
      <w:sz w:val="18"/>
      <w:szCs w:val="18"/>
    </w:rPr>
  </w:style>
  <w:style w:type="paragraph" w:styleId="17">
    <w:name w:val="header"/>
    <w:basedOn w:val="1"/>
    <w:link w:val="136"/>
    <w:qFormat/>
    <w:uiPriority w:val="99"/>
    <w:pPr>
      <w:snapToGrid w:val="0"/>
      <w:jc w:val="left"/>
    </w:pPr>
    <w:rPr>
      <w:sz w:val="18"/>
      <w:szCs w:val="18"/>
    </w:rPr>
  </w:style>
  <w:style w:type="paragraph" w:styleId="18">
    <w:name w:val="toc 1"/>
    <w:basedOn w:val="1"/>
    <w:next w:val="1"/>
    <w:semiHidden/>
    <w:qFormat/>
    <w:uiPriority w:val="0"/>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9"/>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152"/>
    <w:semiHidden/>
    <w:unhideWhenUsed/>
    <w:qFormat/>
    <w:uiPriority w:val="0"/>
    <w:rPr>
      <w:b/>
      <w:bCs/>
    </w:rPr>
  </w:style>
  <w:style w:type="table" w:styleId="32">
    <w:name w:val="Table Grid"/>
    <w:basedOn w:val="31"/>
    <w:qFormat/>
    <w:uiPriority w:val="59"/>
    <w:pPr>
      <w:numPr>
        <w:numId w:val="2"/>
      </w:numPr>
      <w:tabs>
        <w:tab w:val="left" w:pos="360"/>
      </w:tabs>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Hyperlink"/>
    <w:qFormat/>
    <w:uiPriority w:val="0"/>
    <w:rPr>
      <w:color w:val="0000FF"/>
      <w:spacing w:val="0"/>
      <w:w w:val="100"/>
      <w:szCs w:val="21"/>
      <w:u w:val="single"/>
    </w:rPr>
  </w:style>
  <w:style w:type="character" w:styleId="37">
    <w:name w:val="annotation reference"/>
    <w:basedOn w:val="33"/>
    <w:semiHidden/>
    <w:unhideWhenUsed/>
    <w:qFormat/>
    <w:uiPriority w:val="0"/>
    <w:rPr>
      <w:sz w:val="21"/>
      <w:szCs w:val="21"/>
    </w:rPr>
  </w:style>
  <w:style w:type="character" w:styleId="38">
    <w:name w:val="footnote reference"/>
    <w:semiHidden/>
    <w:qFormat/>
    <w:uiPriority w:val="0"/>
    <w:rPr>
      <w:vertAlign w:val="superscript"/>
    </w:rPr>
  </w:style>
  <w:style w:type="character" w:customStyle="1" w:styleId="39">
    <w:name w:val="段 Char"/>
    <w:link w:val="22"/>
    <w:qFormat/>
    <w:uiPriority w:val="99"/>
    <w:rPr>
      <w:rFonts w:ascii="宋体"/>
      <w:sz w:val="21"/>
      <w:lang w:val="en-US" w:eastAsia="zh-CN" w:bidi="ar-SA"/>
    </w:rPr>
  </w:style>
  <w:style w:type="paragraph" w:customStyle="1" w:styleId="40">
    <w:name w:val="一级条标题"/>
    <w:next w:val="22"/>
    <w:link w:val="138"/>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4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3">
    <w:name w:val="章标题"/>
    <w:next w:val="22"/>
    <w:link w:val="139"/>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44">
    <w:name w:val="二级条标题"/>
    <w:basedOn w:val="40"/>
    <w:next w:val="22"/>
    <w:qFormat/>
    <w:uiPriority w:val="0"/>
    <w:pPr>
      <w:numPr>
        <w:ilvl w:val="2"/>
      </w:numPr>
      <w:spacing w:before="50" w:after="50"/>
      <w:outlineLvl w:val="3"/>
    </w:pPr>
  </w:style>
  <w:style w:type="paragraph" w:customStyle="1" w:styleId="4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6">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47">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48">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9">
    <w:name w:val="三级条标题"/>
    <w:basedOn w:val="44"/>
    <w:next w:val="22"/>
    <w:qFormat/>
    <w:uiPriority w:val="99"/>
    <w:pPr>
      <w:numPr>
        <w:ilvl w:val="3"/>
      </w:numPr>
      <w:outlineLvl w:val="4"/>
    </w:pPr>
  </w:style>
  <w:style w:type="paragraph" w:customStyle="1" w:styleId="50">
    <w:name w:val="示例"/>
    <w:next w:val="51"/>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2">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3">
    <w:name w:val="四级条标题"/>
    <w:basedOn w:val="49"/>
    <w:next w:val="22"/>
    <w:qFormat/>
    <w:uiPriority w:val="0"/>
    <w:pPr>
      <w:numPr>
        <w:ilvl w:val="4"/>
      </w:numPr>
      <w:outlineLvl w:val="5"/>
    </w:pPr>
  </w:style>
  <w:style w:type="paragraph" w:customStyle="1" w:styleId="54">
    <w:name w:val="五级条标题"/>
    <w:basedOn w:val="53"/>
    <w:next w:val="22"/>
    <w:qFormat/>
    <w:uiPriority w:val="0"/>
    <w:pPr>
      <w:numPr>
        <w:ilvl w:val="5"/>
      </w:numPr>
      <w:outlineLvl w:val="6"/>
    </w:pPr>
  </w:style>
  <w:style w:type="paragraph" w:customStyle="1" w:styleId="55">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6">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7">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8">
    <w:name w:val="列项◆（三级）"/>
    <w:basedOn w:val="1"/>
    <w:qFormat/>
    <w:uiPriority w:val="0"/>
    <w:pPr>
      <w:numPr>
        <w:ilvl w:val="2"/>
        <w:numId w:val="4"/>
      </w:numPr>
    </w:pPr>
    <w:rPr>
      <w:rFonts w:ascii="宋体"/>
      <w:szCs w:val="21"/>
    </w:rPr>
  </w:style>
  <w:style w:type="paragraph" w:customStyle="1" w:styleId="59">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0">
    <w:name w:val="示例×："/>
    <w:basedOn w:val="43"/>
    <w:qFormat/>
    <w:uiPriority w:val="0"/>
    <w:pPr>
      <w:numPr>
        <w:numId w:val="0"/>
      </w:numPr>
      <w:spacing w:beforeLines="0" w:afterLines="0"/>
      <w:ind w:firstLine="363"/>
      <w:outlineLvl w:val="9"/>
    </w:pPr>
    <w:rPr>
      <w:rFonts w:ascii="宋体" w:eastAsia="宋体"/>
      <w:sz w:val="18"/>
      <w:szCs w:val="18"/>
    </w:rPr>
  </w:style>
  <w:style w:type="paragraph" w:customStyle="1" w:styleId="61">
    <w:name w:val="二级无"/>
    <w:basedOn w:val="44"/>
    <w:link w:val="140"/>
    <w:qFormat/>
    <w:uiPriority w:val="0"/>
    <w:pPr>
      <w:spacing w:beforeLines="0" w:afterLines="0"/>
    </w:pPr>
    <w:rPr>
      <w:rFonts w:ascii="宋体" w:eastAsia="宋体"/>
    </w:rPr>
  </w:style>
  <w:style w:type="paragraph" w:customStyle="1" w:styleId="62">
    <w:name w:val="注：（正文）"/>
    <w:basedOn w:val="55"/>
    <w:next w:val="22"/>
    <w:qFormat/>
    <w:uiPriority w:val="0"/>
  </w:style>
  <w:style w:type="paragraph" w:customStyle="1" w:styleId="63">
    <w:name w:val="注×：（正文）"/>
    <w:qFormat/>
    <w:uiPriority w:val="0"/>
    <w:pPr>
      <w:numPr>
        <w:ilvl w:val="0"/>
        <w:numId w:val="6"/>
      </w:numPr>
      <w:jc w:val="both"/>
    </w:pPr>
    <w:rPr>
      <w:rFonts w:ascii="宋体" w:hAnsi="Times New Roman" w:eastAsia="宋体" w:cs="Times New Roman"/>
      <w:sz w:val="18"/>
      <w:szCs w:val="18"/>
      <w:lang w:val="en-US" w:eastAsia="zh-CN" w:bidi="ar-SA"/>
    </w:rPr>
  </w:style>
  <w:style w:type="paragraph" w:customStyle="1" w:styleId="6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7">
    <w:name w:val="标准书眉_偶数页"/>
    <w:basedOn w:val="42"/>
    <w:next w:val="1"/>
    <w:qFormat/>
    <w:uiPriority w:val="0"/>
    <w:pPr>
      <w:jc w:val="left"/>
    </w:pPr>
  </w:style>
  <w:style w:type="paragraph" w:customStyle="1" w:styleId="68">
    <w:name w:val="标准书眉一"/>
    <w:qFormat/>
    <w:uiPriority w:val="0"/>
    <w:pPr>
      <w:jc w:val="both"/>
    </w:pPr>
    <w:rPr>
      <w:rFonts w:ascii="Times New Roman" w:hAnsi="Times New Roman" w:eastAsia="宋体" w:cs="Times New Roman"/>
      <w:lang w:val="en-US" w:eastAsia="zh-CN" w:bidi="ar-SA"/>
    </w:rPr>
  </w:style>
  <w:style w:type="paragraph" w:customStyle="1" w:styleId="69">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0">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1">
    <w:name w:val="发布"/>
    <w:qFormat/>
    <w:uiPriority w:val="0"/>
    <w:rPr>
      <w:rFonts w:ascii="黑体" w:eastAsia="黑体"/>
      <w:spacing w:val="85"/>
      <w:w w:val="100"/>
      <w:position w:val="3"/>
      <w:sz w:val="28"/>
      <w:szCs w:val="28"/>
    </w:rPr>
  </w:style>
  <w:style w:type="paragraph" w:customStyle="1" w:styleId="72">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封面标准英文名称"/>
    <w:basedOn w:val="76"/>
    <w:qFormat/>
    <w:uiPriority w:val="0"/>
    <w:pPr>
      <w:framePr w:wrap="around"/>
      <w:spacing w:before="370" w:line="400" w:lineRule="exact"/>
    </w:pPr>
    <w:rPr>
      <w:rFonts w:ascii="Times New Roman"/>
      <w:sz w:val="28"/>
      <w:szCs w:val="28"/>
    </w:rPr>
  </w:style>
  <w:style w:type="paragraph" w:customStyle="1" w:styleId="78">
    <w:name w:val="封面一致性程度标识"/>
    <w:basedOn w:val="77"/>
    <w:qFormat/>
    <w:uiPriority w:val="99"/>
    <w:pPr>
      <w:framePr w:wrap="around"/>
      <w:spacing w:before="440"/>
    </w:pPr>
    <w:rPr>
      <w:rFonts w:ascii="宋体" w:eastAsia="宋体"/>
    </w:rPr>
  </w:style>
  <w:style w:type="paragraph" w:customStyle="1" w:styleId="79">
    <w:name w:val="封面标准文稿类别"/>
    <w:basedOn w:val="78"/>
    <w:qFormat/>
    <w:uiPriority w:val="0"/>
    <w:pPr>
      <w:framePr w:wrap="around"/>
      <w:spacing w:after="160" w:line="240" w:lineRule="auto"/>
    </w:pPr>
    <w:rPr>
      <w:sz w:val="24"/>
    </w:rPr>
  </w:style>
  <w:style w:type="paragraph" w:customStyle="1" w:styleId="80">
    <w:name w:val="封面标准文稿编辑信息"/>
    <w:basedOn w:val="79"/>
    <w:qFormat/>
    <w:uiPriority w:val="0"/>
    <w:pPr>
      <w:framePr w:wrap="around"/>
      <w:spacing w:before="180" w:line="180" w:lineRule="exact"/>
    </w:pPr>
    <w:rPr>
      <w:sz w:val="21"/>
    </w:rPr>
  </w:style>
  <w:style w:type="paragraph" w:customStyle="1" w:styleId="81">
    <w:name w:val="封面正文"/>
    <w:qFormat/>
    <w:uiPriority w:val="0"/>
    <w:pPr>
      <w:jc w:val="both"/>
    </w:pPr>
    <w:rPr>
      <w:rFonts w:ascii="Times New Roman" w:hAnsi="Times New Roman" w:eastAsia="宋体" w:cs="Times New Roman"/>
      <w:lang w:val="en-US" w:eastAsia="zh-CN" w:bidi="ar-SA"/>
    </w:rPr>
  </w:style>
  <w:style w:type="paragraph" w:customStyle="1" w:styleId="82">
    <w:name w:val="附录标识"/>
    <w:basedOn w:val="1"/>
    <w:next w:val="22"/>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3">
    <w:name w:val="附录标题"/>
    <w:basedOn w:val="22"/>
    <w:next w:val="22"/>
    <w:qFormat/>
    <w:uiPriority w:val="0"/>
    <w:pPr>
      <w:ind w:firstLine="0" w:firstLineChars="0"/>
      <w:jc w:val="center"/>
    </w:pPr>
    <w:rPr>
      <w:rFonts w:ascii="黑体" w:eastAsia="黑体"/>
    </w:rPr>
  </w:style>
  <w:style w:type="paragraph" w:customStyle="1" w:styleId="84">
    <w:name w:val="附录表标号"/>
    <w:basedOn w:val="1"/>
    <w:next w:val="22"/>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85">
    <w:name w:val="附录表标题"/>
    <w:basedOn w:val="1"/>
    <w:next w:val="22"/>
    <w:qFormat/>
    <w:uiPriority w:val="0"/>
    <w:pPr>
      <w:numPr>
        <w:ilvl w:val="1"/>
        <w:numId w:val="8"/>
      </w:numPr>
      <w:tabs>
        <w:tab w:val="left" w:pos="180"/>
      </w:tabs>
      <w:spacing w:beforeLines="50" w:afterLines="50"/>
      <w:ind w:left="0" w:firstLine="0"/>
      <w:jc w:val="center"/>
    </w:pPr>
    <w:rPr>
      <w:rFonts w:ascii="黑体" w:eastAsia="黑体"/>
      <w:szCs w:val="21"/>
    </w:rPr>
  </w:style>
  <w:style w:type="paragraph" w:customStyle="1" w:styleId="86">
    <w:name w:val="附录二级条标题"/>
    <w:basedOn w:val="1"/>
    <w:next w:val="22"/>
    <w:qFormat/>
    <w:uiPriority w:val="0"/>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7">
    <w:name w:val="附录二级无"/>
    <w:basedOn w:val="86"/>
    <w:qFormat/>
    <w:uiPriority w:val="0"/>
    <w:pPr>
      <w:tabs>
        <w:tab w:val="clear" w:pos="360"/>
      </w:tabs>
      <w:spacing w:beforeLines="0" w:afterLines="0"/>
    </w:pPr>
    <w:rPr>
      <w:rFonts w:ascii="宋体" w:eastAsia="宋体"/>
      <w:szCs w:val="21"/>
    </w:rPr>
  </w:style>
  <w:style w:type="paragraph" w:customStyle="1" w:styleId="88">
    <w:name w:val="附录公式"/>
    <w:basedOn w:val="22"/>
    <w:next w:val="22"/>
    <w:link w:val="89"/>
    <w:qFormat/>
    <w:uiPriority w:val="0"/>
  </w:style>
  <w:style w:type="character" w:customStyle="1" w:styleId="89">
    <w:name w:val="附录公式 Char"/>
    <w:basedOn w:val="39"/>
    <w:link w:val="88"/>
    <w:qFormat/>
    <w:uiPriority w:val="0"/>
    <w:rPr>
      <w:rFonts w:ascii="宋体"/>
      <w:sz w:val="21"/>
      <w:lang w:val="en-US" w:eastAsia="zh-CN" w:bidi="ar-SA"/>
    </w:rPr>
  </w:style>
  <w:style w:type="paragraph" w:customStyle="1" w:styleId="90">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1">
    <w:name w:val="附录三级条标题"/>
    <w:basedOn w:val="86"/>
    <w:next w:val="22"/>
    <w:qFormat/>
    <w:uiPriority w:val="0"/>
    <w:pPr>
      <w:numPr>
        <w:ilvl w:val="4"/>
      </w:numPr>
      <w:outlineLvl w:val="4"/>
    </w:pPr>
  </w:style>
  <w:style w:type="paragraph" w:customStyle="1" w:styleId="92">
    <w:name w:val="附录三级无"/>
    <w:basedOn w:val="91"/>
    <w:qFormat/>
    <w:uiPriority w:val="0"/>
    <w:pPr>
      <w:tabs>
        <w:tab w:val="clear" w:pos="360"/>
      </w:tabs>
      <w:spacing w:beforeLines="0" w:afterLines="0"/>
    </w:pPr>
    <w:rPr>
      <w:rFonts w:ascii="宋体" w:eastAsia="宋体"/>
      <w:szCs w:val="21"/>
    </w:rPr>
  </w:style>
  <w:style w:type="paragraph" w:customStyle="1" w:styleId="93">
    <w:name w:val="附录数字编号列项（二级）"/>
    <w:qFormat/>
    <w:uiPriority w:val="0"/>
    <w:pPr>
      <w:numPr>
        <w:ilvl w:val="1"/>
        <w:numId w:val="9"/>
      </w:numPr>
    </w:pPr>
    <w:rPr>
      <w:rFonts w:ascii="宋体" w:hAnsi="Times New Roman" w:eastAsia="宋体" w:cs="Times New Roman"/>
      <w:sz w:val="21"/>
      <w:lang w:val="en-US" w:eastAsia="zh-CN" w:bidi="ar-SA"/>
    </w:rPr>
  </w:style>
  <w:style w:type="paragraph" w:customStyle="1" w:styleId="94">
    <w:name w:val="附录四级条标题"/>
    <w:basedOn w:val="91"/>
    <w:next w:val="22"/>
    <w:qFormat/>
    <w:uiPriority w:val="0"/>
    <w:pPr>
      <w:numPr>
        <w:ilvl w:val="5"/>
      </w:numPr>
      <w:outlineLvl w:val="5"/>
    </w:pPr>
  </w:style>
  <w:style w:type="paragraph" w:customStyle="1" w:styleId="95">
    <w:name w:val="附录四级无"/>
    <w:basedOn w:val="94"/>
    <w:qFormat/>
    <w:uiPriority w:val="0"/>
    <w:pPr>
      <w:tabs>
        <w:tab w:val="clear" w:pos="360"/>
      </w:tabs>
      <w:spacing w:beforeLines="0" w:afterLines="0"/>
    </w:pPr>
    <w:rPr>
      <w:rFonts w:ascii="宋体" w:eastAsia="宋体"/>
      <w:szCs w:val="21"/>
    </w:rPr>
  </w:style>
  <w:style w:type="paragraph" w:customStyle="1" w:styleId="96">
    <w:name w:val="附录图标号"/>
    <w:basedOn w:val="1"/>
    <w:qFormat/>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97">
    <w:name w:val="附录图标题"/>
    <w:basedOn w:val="1"/>
    <w:next w:val="22"/>
    <w:qFormat/>
    <w:uiPriority w:val="0"/>
    <w:pPr>
      <w:numPr>
        <w:ilvl w:val="1"/>
        <w:numId w:val="10"/>
      </w:numPr>
      <w:tabs>
        <w:tab w:val="left" w:pos="363"/>
      </w:tabs>
      <w:spacing w:beforeLines="50" w:afterLines="50"/>
      <w:ind w:left="0" w:firstLine="0"/>
      <w:jc w:val="center"/>
    </w:pPr>
    <w:rPr>
      <w:rFonts w:ascii="黑体" w:eastAsia="黑体"/>
      <w:szCs w:val="21"/>
    </w:rPr>
  </w:style>
  <w:style w:type="paragraph" w:customStyle="1" w:styleId="98">
    <w:name w:val="附录五级条标题"/>
    <w:basedOn w:val="94"/>
    <w:next w:val="22"/>
    <w:qFormat/>
    <w:uiPriority w:val="0"/>
    <w:pPr>
      <w:numPr>
        <w:ilvl w:val="6"/>
      </w:numPr>
      <w:outlineLvl w:val="6"/>
    </w:pPr>
  </w:style>
  <w:style w:type="paragraph" w:customStyle="1" w:styleId="99">
    <w:name w:val="附录五级无"/>
    <w:basedOn w:val="98"/>
    <w:qFormat/>
    <w:uiPriority w:val="0"/>
    <w:pPr>
      <w:tabs>
        <w:tab w:val="clear" w:pos="360"/>
      </w:tabs>
      <w:spacing w:beforeLines="0" w:afterLines="0"/>
    </w:pPr>
    <w:rPr>
      <w:rFonts w:ascii="宋体" w:eastAsia="宋体"/>
      <w:szCs w:val="21"/>
    </w:rPr>
  </w:style>
  <w:style w:type="paragraph" w:customStyle="1" w:styleId="100">
    <w:name w:val="附录章标题"/>
    <w:next w:val="22"/>
    <w:qFormat/>
    <w:uiPriority w:val="0"/>
    <w:pPr>
      <w:numPr>
        <w:ilvl w:val="1"/>
        <w:numId w:val="7"/>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1">
    <w:name w:val="附录一级条标题"/>
    <w:basedOn w:val="100"/>
    <w:next w:val="22"/>
    <w:qFormat/>
    <w:uiPriority w:val="0"/>
    <w:pPr>
      <w:numPr>
        <w:ilvl w:val="2"/>
      </w:numPr>
      <w:autoSpaceDN w:val="0"/>
      <w:spacing w:beforeLines="50" w:afterLines="50"/>
      <w:outlineLvl w:val="2"/>
    </w:pPr>
  </w:style>
  <w:style w:type="paragraph" w:customStyle="1" w:styleId="102">
    <w:name w:val="附录一级无"/>
    <w:basedOn w:val="101"/>
    <w:qFormat/>
    <w:uiPriority w:val="0"/>
    <w:pPr>
      <w:tabs>
        <w:tab w:val="clear" w:pos="360"/>
      </w:tabs>
      <w:spacing w:beforeLines="0" w:afterLines="0"/>
    </w:pPr>
    <w:rPr>
      <w:rFonts w:ascii="宋体" w:eastAsia="宋体"/>
      <w:szCs w:val="21"/>
    </w:rPr>
  </w:style>
  <w:style w:type="paragraph" w:customStyle="1" w:styleId="103">
    <w:name w:val="附录字母编号列项（一级）"/>
    <w:qFormat/>
    <w:uiPriority w:val="0"/>
    <w:pPr>
      <w:numPr>
        <w:ilvl w:val="0"/>
        <w:numId w:val="9"/>
      </w:numPr>
    </w:pPr>
    <w:rPr>
      <w:rFonts w:ascii="宋体" w:hAnsi="Times New Roman" w:eastAsia="宋体" w:cs="Times New Roman"/>
      <w:sz w:val="21"/>
      <w:lang w:val="en-US" w:eastAsia="zh-CN" w:bidi="ar-SA"/>
    </w:rPr>
  </w:style>
  <w:style w:type="paragraph" w:customStyle="1" w:styleId="10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7">
    <w:name w:val="其他标准标志"/>
    <w:basedOn w:val="64"/>
    <w:qFormat/>
    <w:uiPriority w:val="0"/>
    <w:pPr>
      <w:framePr w:w="6101" w:wrap="around" w:vAnchor="page" w:hAnchor="page" w:x="4673" w:y="942"/>
    </w:pPr>
    <w:rPr>
      <w:w w:val="130"/>
    </w:rPr>
  </w:style>
  <w:style w:type="paragraph" w:customStyle="1" w:styleId="10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9">
    <w:name w:val="其他发布部门"/>
    <w:basedOn w:val="72"/>
    <w:qFormat/>
    <w:uiPriority w:val="0"/>
    <w:pPr>
      <w:framePr w:wrap="around" w:y="15310"/>
      <w:spacing w:line="0" w:lineRule="atLeast"/>
    </w:pPr>
    <w:rPr>
      <w:rFonts w:ascii="黑体" w:eastAsia="黑体"/>
      <w:b w:val="0"/>
    </w:rPr>
  </w:style>
  <w:style w:type="paragraph" w:customStyle="1" w:styleId="110">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三级无"/>
    <w:basedOn w:val="49"/>
    <w:qFormat/>
    <w:uiPriority w:val="0"/>
    <w:pPr>
      <w:spacing w:beforeLines="0" w:afterLines="0"/>
    </w:pPr>
    <w:rPr>
      <w:rFonts w:ascii="宋体" w:eastAsia="宋体"/>
    </w:rPr>
  </w:style>
  <w:style w:type="paragraph" w:customStyle="1" w:styleId="112">
    <w:name w:val="实施日期"/>
    <w:basedOn w:val="73"/>
    <w:qFormat/>
    <w:uiPriority w:val="0"/>
    <w:pPr>
      <w:framePr w:wrap="around" w:vAnchor="page" w:hAnchor="text"/>
      <w:jc w:val="right"/>
    </w:pPr>
  </w:style>
  <w:style w:type="paragraph" w:customStyle="1" w:styleId="113">
    <w:name w:val="示例后文字"/>
    <w:basedOn w:val="22"/>
    <w:next w:val="22"/>
    <w:qFormat/>
    <w:uiPriority w:val="0"/>
    <w:pPr>
      <w:ind w:firstLine="360"/>
    </w:pPr>
    <w:rPr>
      <w:sz w:val="18"/>
    </w:rPr>
  </w:style>
  <w:style w:type="paragraph" w:customStyle="1" w:styleId="114">
    <w:name w:val="首示例"/>
    <w:next w:val="22"/>
    <w:link w:val="115"/>
    <w:qFormat/>
    <w:uiPriority w:val="0"/>
    <w:pPr>
      <w:tabs>
        <w:tab w:val="left" w:pos="360"/>
      </w:tabs>
    </w:pPr>
    <w:rPr>
      <w:rFonts w:ascii="宋体" w:hAnsi="宋体" w:eastAsia="宋体" w:cs="Times New Roman"/>
      <w:kern w:val="2"/>
      <w:sz w:val="18"/>
      <w:szCs w:val="18"/>
      <w:lang w:val="en-US" w:eastAsia="zh-CN" w:bidi="ar-SA"/>
    </w:rPr>
  </w:style>
  <w:style w:type="character" w:customStyle="1" w:styleId="115">
    <w:name w:val="首示例 Char"/>
    <w:link w:val="114"/>
    <w:qFormat/>
    <w:uiPriority w:val="0"/>
    <w:rPr>
      <w:rFonts w:ascii="宋体" w:hAnsi="宋体"/>
      <w:kern w:val="2"/>
      <w:sz w:val="18"/>
      <w:szCs w:val="18"/>
    </w:rPr>
  </w:style>
  <w:style w:type="paragraph" w:customStyle="1" w:styleId="116">
    <w:name w:val="四级无"/>
    <w:basedOn w:val="53"/>
    <w:qFormat/>
    <w:uiPriority w:val="0"/>
    <w:pPr>
      <w:spacing w:beforeLines="0" w:afterLines="0"/>
    </w:pPr>
    <w:rPr>
      <w:rFonts w:ascii="宋体" w:eastAsia="宋体"/>
    </w:rPr>
  </w:style>
  <w:style w:type="paragraph" w:customStyle="1" w:styleId="117">
    <w:name w:val="条文脚注"/>
    <w:basedOn w:val="23"/>
    <w:qFormat/>
    <w:uiPriority w:val="0"/>
    <w:pPr>
      <w:numPr>
        <w:numId w:val="0"/>
      </w:numPr>
      <w:jc w:val="both"/>
    </w:pPr>
  </w:style>
  <w:style w:type="paragraph" w:customStyle="1" w:styleId="118">
    <w:name w:val="图标脚注说明"/>
    <w:basedOn w:val="22"/>
    <w:qFormat/>
    <w:uiPriority w:val="0"/>
    <w:pPr>
      <w:ind w:left="840" w:hanging="420" w:firstLineChars="0"/>
    </w:pPr>
    <w:rPr>
      <w:sz w:val="18"/>
      <w:szCs w:val="18"/>
    </w:rPr>
  </w:style>
  <w:style w:type="paragraph" w:customStyle="1" w:styleId="119">
    <w:name w:val="图表脚注说明"/>
    <w:basedOn w:val="1"/>
    <w:qFormat/>
    <w:uiPriority w:val="0"/>
    <w:pPr>
      <w:ind w:left="544" w:hanging="181"/>
    </w:pPr>
    <w:rPr>
      <w:rFonts w:ascii="宋体"/>
      <w:sz w:val="18"/>
      <w:szCs w:val="18"/>
    </w:rPr>
  </w:style>
  <w:style w:type="paragraph" w:customStyle="1" w:styleId="120">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2">
    <w:name w:val="五级无"/>
    <w:basedOn w:val="54"/>
    <w:qFormat/>
    <w:uiPriority w:val="0"/>
    <w:pPr>
      <w:spacing w:beforeLines="0" w:afterLines="0"/>
    </w:pPr>
    <w:rPr>
      <w:rFonts w:ascii="宋体" w:eastAsia="宋体"/>
    </w:rPr>
  </w:style>
  <w:style w:type="paragraph" w:customStyle="1" w:styleId="123">
    <w:name w:val="一级无"/>
    <w:basedOn w:val="40"/>
    <w:qFormat/>
    <w:uiPriority w:val="0"/>
    <w:pPr>
      <w:spacing w:beforeLines="0" w:afterLines="0"/>
    </w:pPr>
    <w:rPr>
      <w:rFonts w:ascii="宋体" w:eastAsia="宋体"/>
    </w:rPr>
  </w:style>
  <w:style w:type="character" w:customStyle="1" w:styleId="124">
    <w:name w:val="访问过的超链接1"/>
    <w:qFormat/>
    <w:uiPriority w:val="0"/>
    <w:rPr>
      <w:color w:val="800080"/>
      <w:u w:val="single"/>
    </w:rPr>
  </w:style>
  <w:style w:type="paragraph" w:customStyle="1" w:styleId="125">
    <w:name w:val="正文表标题"/>
    <w:next w:val="22"/>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3"/>
    <w:qFormat/>
    <w:uiPriority w:val="99"/>
    <w:pPr>
      <w:framePr w:wrap="around" w:vAnchor="page" w:hAnchor="text" w:x="1419"/>
    </w:pPr>
  </w:style>
  <w:style w:type="paragraph" w:customStyle="1" w:styleId="130">
    <w:name w:val="其他实施日期"/>
    <w:basedOn w:val="112"/>
    <w:qFormat/>
    <w:uiPriority w:val="0"/>
    <w:pPr>
      <w:framePr w:wrap="around"/>
    </w:pPr>
  </w:style>
  <w:style w:type="paragraph" w:customStyle="1" w:styleId="131">
    <w:name w:val="封面标准名称2"/>
    <w:basedOn w:val="76"/>
    <w:qFormat/>
    <w:uiPriority w:val="0"/>
    <w:pPr>
      <w:framePr w:wrap="around" w:y="4469"/>
      <w:spacing w:beforeLines="630"/>
    </w:pPr>
  </w:style>
  <w:style w:type="paragraph" w:customStyle="1" w:styleId="132">
    <w:name w:val="封面标准英文名称2"/>
    <w:basedOn w:val="77"/>
    <w:qFormat/>
    <w:uiPriority w:val="0"/>
    <w:pPr>
      <w:framePr w:wrap="around" w:y="4469"/>
    </w:pPr>
  </w:style>
  <w:style w:type="paragraph" w:customStyle="1" w:styleId="133">
    <w:name w:val="封面一致性程度标识2"/>
    <w:basedOn w:val="78"/>
    <w:qFormat/>
    <w:uiPriority w:val="0"/>
    <w:pPr>
      <w:framePr w:wrap="around" w:y="4469"/>
    </w:pPr>
  </w:style>
  <w:style w:type="paragraph" w:customStyle="1" w:styleId="134">
    <w:name w:val="封面标准文稿类别2"/>
    <w:basedOn w:val="79"/>
    <w:qFormat/>
    <w:uiPriority w:val="0"/>
    <w:pPr>
      <w:framePr w:wrap="around" w:y="4469"/>
    </w:pPr>
  </w:style>
  <w:style w:type="paragraph" w:customStyle="1" w:styleId="135">
    <w:name w:val="封面标准文稿编辑信息2"/>
    <w:basedOn w:val="80"/>
    <w:qFormat/>
    <w:uiPriority w:val="0"/>
    <w:pPr>
      <w:framePr w:wrap="around" w:y="4469"/>
    </w:pPr>
  </w:style>
  <w:style w:type="character" w:customStyle="1" w:styleId="136">
    <w:name w:val="页眉 字符"/>
    <w:basedOn w:val="33"/>
    <w:link w:val="17"/>
    <w:qFormat/>
    <w:locked/>
    <w:uiPriority w:val="99"/>
    <w:rPr>
      <w:kern w:val="2"/>
      <w:sz w:val="18"/>
      <w:szCs w:val="18"/>
    </w:rPr>
  </w:style>
  <w:style w:type="character" w:customStyle="1" w:styleId="137">
    <w:name w:val="页脚 字符"/>
    <w:basedOn w:val="33"/>
    <w:link w:val="16"/>
    <w:qFormat/>
    <w:locked/>
    <w:uiPriority w:val="99"/>
    <w:rPr>
      <w:kern w:val="2"/>
      <w:sz w:val="18"/>
      <w:szCs w:val="18"/>
    </w:rPr>
  </w:style>
  <w:style w:type="character" w:customStyle="1" w:styleId="138">
    <w:name w:val="一级条标题 Char"/>
    <w:link w:val="40"/>
    <w:qFormat/>
    <w:locked/>
    <w:uiPriority w:val="0"/>
    <w:rPr>
      <w:rFonts w:ascii="黑体" w:eastAsia="黑体"/>
      <w:sz w:val="21"/>
      <w:szCs w:val="21"/>
      <w:lang w:bidi="ar-SA"/>
    </w:rPr>
  </w:style>
  <w:style w:type="character" w:customStyle="1" w:styleId="139">
    <w:name w:val="章标题 Char"/>
    <w:link w:val="43"/>
    <w:qFormat/>
    <w:locked/>
    <w:uiPriority w:val="0"/>
    <w:rPr>
      <w:rFonts w:ascii="黑体" w:eastAsia="黑体"/>
      <w:sz w:val="21"/>
      <w:lang w:bidi="ar-SA"/>
    </w:rPr>
  </w:style>
  <w:style w:type="character" w:customStyle="1" w:styleId="140">
    <w:name w:val="二级无 Char"/>
    <w:link w:val="61"/>
    <w:qFormat/>
    <w:locked/>
    <w:uiPriority w:val="0"/>
    <w:rPr>
      <w:rFonts w:ascii="宋体"/>
      <w:sz w:val="21"/>
      <w:szCs w:val="21"/>
    </w:rPr>
  </w:style>
  <w:style w:type="paragraph" w:styleId="141">
    <w:name w:val="List Paragraph"/>
    <w:basedOn w:val="1"/>
    <w:qFormat/>
    <w:uiPriority w:val="34"/>
    <w:pPr>
      <w:ind w:firstLine="420" w:firstLineChars="200"/>
    </w:pPr>
    <w:rPr>
      <w:rFonts w:ascii="Calibri" w:hAnsi="Calibri"/>
      <w:szCs w:val="22"/>
    </w:rPr>
  </w:style>
  <w:style w:type="character" w:customStyle="1" w:styleId="142">
    <w:name w:val="批注框文本 字符"/>
    <w:basedOn w:val="33"/>
    <w:link w:val="15"/>
    <w:qFormat/>
    <w:uiPriority w:val="0"/>
    <w:rPr>
      <w:kern w:val="2"/>
      <w:sz w:val="18"/>
      <w:szCs w:val="18"/>
    </w:rPr>
  </w:style>
  <w:style w:type="paragraph" w:customStyle="1" w:styleId="143">
    <w:name w:val="Body text|1"/>
    <w:basedOn w:val="1"/>
    <w:qFormat/>
    <w:uiPriority w:val="0"/>
    <w:pPr>
      <w:spacing w:line="276" w:lineRule="auto"/>
      <w:ind w:firstLine="220"/>
    </w:pPr>
    <w:rPr>
      <w:rFonts w:ascii="宋体" w:hAnsi="宋体" w:cs="宋体"/>
      <w:sz w:val="19"/>
      <w:szCs w:val="19"/>
      <w:lang w:val="zh-TW" w:eastAsia="zh-TW" w:bidi="zh-TW"/>
    </w:rPr>
  </w:style>
  <w:style w:type="paragraph" w:customStyle="1" w:styleId="144">
    <w:name w:val="Other|1"/>
    <w:basedOn w:val="1"/>
    <w:qFormat/>
    <w:uiPriority w:val="0"/>
    <w:pPr>
      <w:spacing w:line="276" w:lineRule="auto"/>
      <w:ind w:firstLine="220"/>
    </w:pPr>
    <w:rPr>
      <w:rFonts w:ascii="宋体" w:hAnsi="宋体" w:cs="宋体"/>
      <w:sz w:val="19"/>
      <w:szCs w:val="19"/>
    </w:rPr>
  </w:style>
  <w:style w:type="paragraph" w:customStyle="1" w:styleId="145">
    <w:name w:val="Table caption|1"/>
    <w:basedOn w:val="1"/>
    <w:qFormat/>
    <w:uiPriority w:val="0"/>
    <w:rPr>
      <w:rFonts w:ascii="宋体" w:hAnsi="宋体" w:cs="宋体"/>
      <w:sz w:val="19"/>
      <w:szCs w:val="19"/>
      <w:lang w:val="zh-TW" w:eastAsia="zh-TW" w:bidi="zh-TW"/>
    </w:rPr>
  </w:style>
  <w:style w:type="paragraph" w:customStyle="1" w:styleId="146">
    <w:name w:val="Heading #4|1"/>
    <w:basedOn w:val="1"/>
    <w:qFormat/>
    <w:uiPriority w:val="0"/>
    <w:pPr>
      <w:spacing w:after="190" w:line="307" w:lineRule="exact"/>
      <w:outlineLvl w:val="3"/>
    </w:pPr>
    <w:rPr>
      <w:rFonts w:ascii="宋体" w:hAnsi="宋体" w:cs="宋体"/>
      <w:b/>
      <w:bCs/>
      <w:sz w:val="19"/>
      <w:szCs w:val="19"/>
      <w:lang w:val="zh-TW" w:eastAsia="zh-TW" w:bidi="zh-TW"/>
    </w:rPr>
  </w:style>
  <w:style w:type="paragraph" w:customStyle="1" w:styleId="147">
    <w:name w:val="Heading #5|1"/>
    <w:basedOn w:val="1"/>
    <w:qFormat/>
    <w:uiPriority w:val="0"/>
    <w:pPr>
      <w:spacing w:after="130"/>
      <w:outlineLvl w:val="4"/>
    </w:pPr>
    <w:rPr>
      <w:rFonts w:ascii="宋体" w:hAnsi="宋体" w:cs="宋体"/>
      <w:sz w:val="19"/>
      <w:szCs w:val="19"/>
      <w:lang w:val="zh-TW" w:eastAsia="zh-TW" w:bidi="zh-TW"/>
    </w:rPr>
  </w:style>
  <w:style w:type="paragraph" w:customStyle="1" w:styleId="148">
    <w:name w:val="Body text|4"/>
    <w:basedOn w:val="1"/>
    <w:qFormat/>
    <w:uiPriority w:val="0"/>
    <w:pPr>
      <w:spacing w:line="281" w:lineRule="exact"/>
      <w:ind w:firstLine="460"/>
    </w:pPr>
    <w:rPr>
      <w:sz w:val="16"/>
      <w:szCs w:val="16"/>
      <w:lang w:val="zh-TW" w:eastAsia="zh-TW" w:bidi="zh-TW"/>
    </w:rPr>
  </w:style>
  <w:style w:type="paragraph" w:customStyle="1" w:styleId="149">
    <w:name w:val="Body text|3"/>
    <w:basedOn w:val="1"/>
    <w:qFormat/>
    <w:uiPriority w:val="0"/>
    <w:pPr>
      <w:spacing w:after="80" w:line="284" w:lineRule="exact"/>
      <w:ind w:firstLine="460"/>
    </w:pPr>
    <w:rPr>
      <w:rFonts w:ascii="宋体" w:hAnsi="宋体" w:cs="宋体"/>
      <w:sz w:val="17"/>
      <w:szCs w:val="17"/>
      <w:lang w:val="zh-TW" w:eastAsia="zh-TW" w:bidi="zh-TW"/>
    </w:rPr>
  </w:style>
  <w:style w:type="paragraph" w:customStyle="1" w:styleId="150">
    <w:name w:val="Header or footer|2"/>
    <w:basedOn w:val="1"/>
    <w:qFormat/>
    <w:uiPriority w:val="0"/>
    <w:rPr>
      <w:sz w:val="20"/>
      <w:szCs w:val="20"/>
    </w:rPr>
  </w:style>
  <w:style w:type="character" w:customStyle="1" w:styleId="151">
    <w:name w:val="批注文字 字符"/>
    <w:basedOn w:val="33"/>
    <w:link w:val="7"/>
    <w:qFormat/>
    <w:uiPriority w:val="0"/>
    <w:rPr>
      <w:rFonts w:eastAsia="宋体"/>
      <w:kern w:val="2"/>
      <w:sz w:val="21"/>
      <w:szCs w:val="24"/>
    </w:rPr>
  </w:style>
  <w:style w:type="character" w:customStyle="1" w:styleId="152">
    <w:name w:val="批注主题 字符"/>
    <w:basedOn w:val="151"/>
    <w:link w:val="30"/>
    <w:semiHidden/>
    <w:qFormat/>
    <w:uiPriority w:val="0"/>
    <w:rPr>
      <w:rFonts w:eastAsia="宋体"/>
      <w:b/>
      <w:bCs/>
      <w:kern w:val="2"/>
      <w:sz w:val="21"/>
      <w:szCs w:val="24"/>
    </w:rPr>
  </w:style>
  <w:style w:type="paragraph" w:customStyle="1" w:styleId="153">
    <w:name w:val="章"/>
    <w:basedOn w:val="1"/>
    <w:next w:val="22"/>
    <w:qFormat/>
    <w:uiPriority w:val="0"/>
    <w:pPr>
      <w:numPr>
        <w:ilvl w:val="0"/>
        <w:numId w:val="11"/>
      </w:numPr>
      <w:adjustRightInd w:val="0"/>
      <w:spacing w:before="160" w:after="160"/>
      <w:outlineLvl w:val="0"/>
    </w:pPr>
    <w:rPr>
      <w:rFonts w:ascii="黑体" w:eastAsia="黑体"/>
      <w:kern w:val="21"/>
      <w:szCs w:val="20"/>
    </w:rPr>
  </w:style>
  <w:style w:type="paragraph" w:customStyle="1" w:styleId="154">
    <w:name w:val="条1"/>
    <w:basedOn w:val="1"/>
    <w:next w:val="22"/>
    <w:link w:val="166"/>
    <w:qFormat/>
    <w:uiPriority w:val="0"/>
    <w:pPr>
      <w:numPr>
        <w:ilvl w:val="1"/>
        <w:numId w:val="11"/>
      </w:numPr>
      <w:outlineLvl w:val="1"/>
    </w:pPr>
    <w:rPr>
      <w:rFonts w:ascii="黑体" w:eastAsia="黑体"/>
      <w:kern w:val="21"/>
      <w:szCs w:val="20"/>
    </w:rPr>
  </w:style>
  <w:style w:type="paragraph" w:customStyle="1" w:styleId="155">
    <w:name w:val="条2"/>
    <w:basedOn w:val="1"/>
    <w:next w:val="22"/>
    <w:link w:val="159"/>
    <w:qFormat/>
    <w:uiPriority w:val="0"/>
    <w:pPr>
      <w:numPr>
        <w:ilvl w:val="2"/>
        <w:numId w:val="11"/>
      </w:numPr>
      <w:outlineLvl w:val="1"/>
    </w:pPr>
    <w:rPr>
      <w:rFonts w:ascii="黑体" w:eastAsia="黑体"/>
      <w:kern w:val="21"/>
      <w:szCs w:val="20"/>
    </w:rPr>
  </w:style>
  <w:style w:type="paragraph" w:customStyle="1" w:styleId="156">
    <w:name w:val="条3"/>
    <w:basedOn w:val="1"/>
    <w:next w:val="22"/>
    <w:qFormat/>
    <w:uiPriority w:val="0"/>
    <w:pPr>
      <w:numPr>
        <w:ilvl w:val="3"/>
        <w:numId w:val="11"/>
      </w:numPr>
      <w:outlineLvl w:val="1"/>
    </w:pPr>
    <w:rPr>
      <w:rFonts w:ascii="黑体" w:eastAsia="黑体"/>
      <w:kern w:val="21"/>
      <w:szCs w:val="20"/>
    </w:rPr>
  </w:style>
  <w:style w:type="paragraph" w:customStyle="1" w:styleId="157">
    <w:name w:val="条4"/>
    <w:basedOn w:val="1"/>
    <w:next w:val="22"/>
    <w:qFormat/>
    <w:uiPriority w:val="0"/>
    <w:pPr>
      <w:numPr>
        <w:ilvl w:val="4"/>
        <w:numId w:val="11"/>
      </w:numPr>
      <w:outlineLvl w:val="1"/>
    </w:pPr>
    <w:rPr>
      <w:rFonts w:ascii="黑体" w:eastAsia="黑体"/>
      <w:kern w:val="21"/>
      <w:szCs w:val="20"/>
    </w:rPr>
  </w:style>
  <w:style w:type="paragraph" w:customStyle="1" w:styleId="158">
    <w:name w:val="条5"/>
    <w:basedOn w:val="1"/>
    <w:next w:val="22"/>
    <w:qFormat/>
    <w:uiPriority w:val="0"/>
    <w:pPr>
      <w:numPr>
        <w:ilvl w:val="5"/>
        <w:numId w:val="11"/>
      </w:numPr>
      <w:outlineLvl w:val="1"/>
    </w:pPr>
    <w:rPr>
      <w:rFonts w:ascii="黑体" w:eastAsia="黑体"/>
      <w:kern w:val="21"/>
      <w:szCs w:val="20"/>
    </w:rPr>
  </w:style>
  <w:style w:type="character" w:customStyle="1" w:styleId="159">
    <w:name w:val="条2 Char"/>
    <w:link w:val="155"/>
    <w:qFormat/>
    <w:uiPriority w:val="0"/>
    <w:rPr>
      <w:rFonts w:ascii="黑体" w:eastAsia="黑体"/>
      <w:kern w:val="21"/>
      <w:sz w:val="21"/>
    </w:rPr>
  </w:style>
  <w:style w:type="paragraph" w:customStyle="1" w:styleId="160">
    <w:name w:val="附录章"/>
    <w:basedOn w:val="1"/>
    <w:next w:val="22"/>
    <w:qFormat/>
    <w:uiPriority w:val="0"/>
    <w:pPr>
      <w:adjustRightInd w:val="0"/>
      <w:spacing w:before="160" w:after="160"/>
      <w:outlineLvl w:val="0"/>
    </w:pPr>
    <w:rPr>
      <w:rFonts w:ascii="黑体" w:eastAsia="黑体"/>
      <w:kern w:val="21"/>
      <w:szCs w:val="20"/>
    </w:rPr>
  </w:style>
  <w:style w:type="paragraph" w:customStyle="1" w:styleId="161">
    <w:name w:val="附录条1"/>
    <w:basedOn w:val="1"/>
    <w:next w:val="22"/>
    <w:qFormat/>
    <w:uiPriority w:val="0"/>
    <w:pPr>
      <w:outlineLvl w:val="1"/>
    </w:pPr>
    <w:rPr>
      <w:rFonts w:ascii="黑体" w:eastAsia="黑体"/>
      <w:kern w:val="21"/>
      <w:szCs w:val="20"/>
    </w:rPr>
  </w:style>
  <w:style w:type="paragraph" w:customStyle="1" w:styleId="162">
    <w:name w:val="附录条2"/>
    <w:basedOn w:val="1"/>
    <w:next w:val="22"/>
    <w:qFormat/>
    <w:uiPriority w:val="0"/>
    <w:pPr>
      <w:outlineLvl w:val="1"/>
    </w:pPr>
    <w:rPr>
      <w:rFonts w:ascii="黑体" w:eastAsia="黑体"/>
      <w:kern w:val="21"/>
      <w:szCs w:val="20"/>
    </w:rPr>
  </w:style>
  <w:style w:type="paragraph" w:customStyle="1" w:styleId="163">
    <w:name w:val="附录条3"/>
    <w:basedOn w:val="1"/>
    <w:next w:val="22"/>
    <w:qFormat/>
    <w:uiPriority w:val="0"/>
    <w:pPr>
      <w:outlineLvl w:val="1"/>
    </w:pPr>
    <w:rPr>
      <w:rFonts w:ascii="黑体" w:eastAsia="黑体"/>
      <w:kern w:val="21"/>
      <w:szCs w:val="20"/>
    </w:rPr>
  </w:style>
  <w:style w:type="paragraph" w:customStyle="1" w:styleId="164">
    <w:name w:val="附录条4"/>
    <w:basedOn w:val="1"/>
    <w:next w:val="22"/>
    <w:qFormat/>
    <w:uiPriority w:val="0"/>
    <w:pPr>
      <w:outlineLvl w:val="1"/>
    </w:pPr>
    <w:rPr>
      <w:rFonts w:ascii="黑体" w:eastAsia="黑体"/>
      <w:kern w:val="21"/>
      <w:szCs w:val="20"/>
    </w:rPr>
  </w:style>
  <w:style w:type="paragraph" w:customStyle="1" w:styleId="165">
    <w:name w:val="附录条5"/>
    <w:basedOn w:val="1"/>
    <w:next w:val="22"/>
    <w:qFormat/>
    <w:uiPriority w:val="0"/>
    <w:pPr>
      <w:outlineLvl w:val="1"/>
    </w:pPr>
    <w:rPr>
      <w:rFonts w:ascii="黑体" w:eastAsia="黑体"/>
      <w:kern w:val="21"/>
      <w:szCs w:val="20"/>
    </w:rPr>
  </w:style>
  <w:style w:type="character" w:customStyle="1" w:styleId="166">
    <w:name w:val="条1 Char"/>
    <w:link w:val="154"/>
    <w:qFormat/>
    <w:uiPriority w:val="0"/>
    <w:rPr>
      <w:rFonts w:ascii="黑体" w:eastAsia="黑体"/>
      <w:kern w:val="21"/>
      <w:sz w:val="21"/>
    </w:rPr>
  </w:style>
  <w:style w:type="paragraph" w:customStyle="1" w:styleId="167">
    <w:name w:val="修订1"/>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4D234-1739-48D3-852C-F2CC81FB34D0}">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1071</Words>
  <Characters>6108</Characters>
  <Lines>50</Lines>
  <Paragraphs>14</Paragraphs>
  <TotalTime>0</TotalTime>
  <ScaleCrop>false</ScaleCrop>
  <LinksUpToDate>false</LinksUpToDate>
  <CharactersWithSpaces>7165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2023-09-19T09:02:00Z</dcterms:created>
  <dcterms:modified xsi:type="dcterms:W3CDTF">2023-10-11T08:44:05Z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E3BDEF5FE87141409BD96F9500603445</vt:lpwstr>
  </property>
</Properties>
</file>