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framePr w:wrap="around"/>
        <w:rPr>
          <w:rFonts w:hint="default"/>
        </w:rPr>
      </w:pPr>
      <w:bookmarkStart w:id="0" w:name="TMark1"/>
      <w:r>
        <w:fldChar w:fldCharType="begin">
          <w:ffData>
            <w:name w:val="TMark1"/>
            <w:enabled/>
            <w:calcOnExit w:val="0"/>
            <w:textInput>
              <w:default w:val="江西绿色生态品牌建设促进会"/>
            </w:textInput>
          </w:ffData>
        </w:fldChar>
      </w:r>
      <w:r>
        <w:instrText xml:space="preserve">FORMTEXT</w:instrText>
      </w:r>
      <w:r>
        <w:fldChar w:fldCharType="separate"/>
      </w:r>
      <w:r>
        <w:t>江西绿色生态品牌建设促进会</w:t>
      </w:r>
      <w:r>
        <w:fldChar w:fldCharType="end"/>
      </w:r>
      <w:bookmarkEnd w:id="0"/>
      <w:r>
        <w:t>团体标准</w:t>
      </w:r>
    </w:p>
    <w:p>
      <w:pPr>
        <w:pStyle w:val="40"/>
        <w:framePr w:wrap="around"/>
        <w:rPr>
          <w:rFonts w:hint="default"/>
        </w:rPr>
      </w:pPr>
      <w:bookmarkStart w:id="1" w:name="StandNo"/>
      <w:r>
        <w:rPr>
          <w:rFonts w:hint="default" w:ascii="黑体" w:hAnsi="Times New Roman" w:eastAsia="黑体" w:cs="Times New Roman"/>
          <w:sz w:val="28"/>
          <w:lang w:val="en-US" w:eastAsia="zh-CN" w:bidi="ar-SA"/>
        </w:rPr>
        <w:fldChar w:fldCharType="begin">
          <w:ffData>
            <w:name w:val="StandNo"/>
            <w:enabled/>
            <w:calcOnExit w:val="0"/>
            <w:textInput>
              <w:default w:val="T/JGE XXX—2023"/>
            </w:textInput>
          </w:ffData>
        </w:fldChar>
      </w:r>
      <w:r>
        <w:rPr>
          <w:rFonts w:hint="default" w:ascii="黑体" w:hAnsi="Times New Roman" w:eastAsia="黑体" w:cs="Times New Roman"/>
          <w:sz w:val="28"/>
          <w:lang w:val="en-US" w:eastAsia="zh-CN" w:bidi="ar-SA"/>
        </w:rPr>
        <w:instrText xml:space="preserve">FORMTEXT</w:instrText>
      </w:r>
      <w:r>
        <w:rPr>
          <w:rFonts w:hint="default" w:ascii="黑体" w:hAnsi="Times New Roman" w:eastAsia="黑体" w:cs="Times New Roman"/>
          <w:sz w:val="28"/>
          <w:lang w:val="en-US" w:eastAsia="zh-CN" w:bidi="ar-SA"/>
        </w:rPr>
        <w:fldChar w:fldCharType="separate"/>
      </w:r>
      <w:r>
        <w:rPr>
          <w:rFonts w:hint="default" w:ascii="黑体" w:hAnsi="Times New Roman" w:eastAsia="黑体" w:cs="Times New Roman"/>
          <w:sz w:val="28"/>
          <w:lang w:val="en-US" w:eastAsia="zh-CN" w:bidi="ar-SA"/>
        </w:rPr>
        <w:t>T/JGE XXX—2023</w:t>
      </w:r>
      <w:r>
        <w:rPr>
          <w:rFonts w:hint="default" w:ascii="黑体" w:hAnsi="Times New Roman" w:eastAsia="黑体" w:cs="Times New Roman"/>
          <w:sz w:val="28"/>
          <w:lang w:val="en-US" w:eastAsia="zh-CN" w:bidi="ar-SA"/>
        </w:rPr>
        <w:fldChar w:fldCharType="end"/>
      </w:r>
      <w:bookmarkEnd w:id="1"/>
    </w:p>
    <w:p>
      <w:pPr>
        <w:pStyle w:val="39"/>
        <w:framePr w:wrap="around"/>
        <w:rPr>
          <w:rFonts w:hint="default"/>
        </w:rPr>
      </w:pPr>
      <w:r>
        <w:fldChar w:fldCharType="begin">
          <w:ffData>
            <w:name w:val="ReplaceT"/>
            <w:enabled/>
            <w:calcOnExit w:val="0"/>
            <w:textInput/>
          </w:ffData>
        </w:fldChar>
      </w:r>
      <w:bookmarkStart w:id="2" w:name="ReplaceT"/>
      <w:r>
        <w:instrText xml:space="preserve">FORMTEXT</w:instrText>
      </w:r>
      <w:r>
        <w:fldChar w:fldCharType="separate"/>
      </w:r>
      <w:r>
        <w:rPr>
          <w:rFonts w:hint="default"/>
        </w:rPr>
        <w:t>     </w:t>
      </w:r>
      <w: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4"/>
              <w:framePr w:wrap="around"/>
              <w:widowControl w:val="0"/>
              <w:jc w:val="both"/>
              <w:rPr>
                <w:rFonts w:hint="default"/>
                <w:sz w:val="10"/>
              </w:rPr>
            </w:pPr>
          </w:p>
        </w:tc>
      </w:tr>
    </w:tbl>
    <w:p>
      <w:pPr>
        <w:pStyle w:val="41"/>
        <w:framePr w:wrap="around"/>
        <w:rPr>
          <w:rFonts w:hint="default"/>
        </w:rPr>
      </w:pPr>
      <w:bookmarkStart w:id="3" w:name="StdName"/>
      <w:r>
        <w:rPr>
          <w:rFonts w:hint="default"/>
        </w:rPr>
        <w:fldChar w:fldCharType="begin">
          <w:ffData>
            <w:name w:val="StdName"/>
            <w:enabled/>
            <w:calcOnExit w:val="0"/>
            <w:textInput>
              <w:default w:val="富硒柑橘"/>
            </w:textInput>
          </w:ffData>
        </w:fldChar>
      </w:r>
      <w:r>
        <w:rPr>
          <w:rFonts w:hint="default"/>
        </w:rPr>
        <w:instrText xml:space="preserve">FORMTEXT</w:instrText>
      </w:r>
      <w:r>
        <w:rPr>
          <w:rFonts w:hint="default"/>
        </w:rPr>
        <w:fldChar w:fldCharType="separate"/>
      </w:r>
      <w:r>
        <w:rPr>
          <w:rFonts w:hint="default"/>
        </w:rPr>
        <w:t>富硒柑橘</w:t>
      </w:r>
      <w:r>
        <w:rPr>
          <w:rFonts w:hint="default"/>
        </w:rPr>
        <w:fldChar w:fldCharType="end"/>
      </w:r>
      <w:bookmarkEnd w:id="3"/>
    </w:p>
    <w:p>
      <w:pPr>
        <w:pStyle w:val="42"/>
        <w:framePr w:wrap="around"/>
        <w:rPr>
          <w:rFonts w:hint="default"/>
        </w:rPr>
      </w:pPr>
      <w:r>
        <w:fldChar w:fldCharType="begin">
          <w:ffData>
            <w:name w:val="StdEnglishName"/>
            <w:enabled/>
            <w:calcOnExit w:val="0"/>
            <w:textInput>
              <w:default w:val="点击此处添加标准英文译名"/>
            </w:textInput>
          </w:ffData>
        </w:fldChar>
      </w:r>
      <w:bookmarkStart w:id="4" w:name="StdEnglishName"/>
      <w:r>
        <w:instrText xml:space="preserve">FORMTEXT</w:instrText>
      </w:r>
      <w:r>
        <w:fldChar w:fldCharType="separate"/>
      </w:r>
      <w:r>
        <w:t>点击此处添加标准英文译名</w:t>
      </w:r>
      <w:r>
        <w:fldChar w:fldCharType="end"/>
      </w:r>
      <w:bookmarkEnd w:id="4"/>
    </w:p>
    <w:p>
      <w:pPr>
        <w:pStyle w:val="24"/>
        <w:bidi w:val="0"/>
        <w:rPr>
          <w:rFonts w:hint="default"/>
        </w:rPr>
      </w:pPr>
    </w:p>
    <w:p>
      <w:pPr>
        <w:pStyle w:val="44"/>
        <w:framePr w:wrap="around"/>
        <w:spacing w:after="0"/>
        <w:rPr>
          <w:rFonts w:hint="default"/>
        </w:rPr>
      </w:pPr>
      <w:bookmarkStart w:id="5" w:name="LB"/>
      <w:r>
        <w:rPr>
          <w:rFonts w:hint="default" w:ascii="黑体" w:hAnsi="黑体" w:eastAsia="黑体" w:cs="黑体"/>
          <w:sz w:val="24"/>
          <w:lang w:val="en-US" w:eastAsia="zh-CN" w:bidi="ar-SA"/>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default" w:ascii="黑体" w:hAnsi="黑体" w:eastAsia="黑体" w:cs="黑体"/>
          <w:sz w:val="24"/>
          <w:lang w:val="en-US" w:eastAsia="zh-CN" w:bidi="ar-SA"/>
        </w:rPr>
        <w:instrText xml:space="preserve">FORMDROPDOWN</w:instrText>
      </w:r>
      <w:r>
        <w:rPr>
          <w:rFonts w:hint="default" w:ascii="黑体" w:hAnsi="黑体" w:eastAsia="黑体" w:cs="黑体"/>
          <w:sz w:val="24"/>
          <w:lang w:val="en-US" w:eastAsia="zh-CN" w:bidi="ar-SA"/>
        </w:rPr>
        <w:fldChar w:fldCharType="separate"/>
      </w:r>
      <w:r>
        <w:rPr>
          <w:rFonts w:hint="default" w:ascii="黑体" w:hAnsi="黑体" w:eastAsia="黑体" w:cs="黑体"/>
          <w:sz w:val="24"/>
          <w:lang w:val="en-US" w:eastAsia="zh-CN" w:bidi="ar-SA"/>
        </w:rPr>
        <w:fldChar w:fldCharType="end"/>
      </w:r>
      <w:bookmarkEnd w:id="5"/>
    </w:p>
    <w:p>
      <w:pPr>
        <w:pStyle w:val="45"/>
        <w:framePr w:wrap="around"/>
        <w:spacing w:before="100"/>
        <w:rPr>
          <w:rFonts w:hint="default"/>
        </w:rPr>
      </w:pPr>
      <w:r>
        <w:fldChar w:fldCharType="begin">
          <w:ffData>
            <w:name w:val="WCRQ"/>
            <w:enabled/>
            <w:calcOnExit w:val="0"/>
            <w:textInput/>
          </w:ffData>
        </w:fldChar>
      </w:r>
      <w:bookmarkStart w:id="6" w:name="WCRQ"/>
      <w:r>
        <w:instrText xml:space="preserve">FORMTEXT</w:instrText>
      </w:r>
      <w:r>
        <w:fldChar w:fldCharType="separate"/>
      </w:r>
      <w:r>
        <w:rPr>
          <w:rFonts w:hint="default"/>
        </w:rPr>
        <w:t>     </w:t>
      </w:r>
      <w:r>
        <w:fldChar w:fldCharType="end"/>
      </w:r>
      <w:bookmarkEnd w:id="6"/>
    </w:p>
    <w:p>
      <w:pPr>
        <w:pStyle w:val="46"/>
        <w:framePr w:wrap="around"/>
        <w:spacing w:before="686" w:beforeLines="220" w:after="93"/>
        <w:rPr>
          <w:rFonts w:hint="default"/>
        </w:rPr>
      </w:pPr>
    </w:p>
    <w:p>
      <w:pPr>
        <w:pStyle w:val="46"/>
        <w:framePr w:wrap="around"/>
        <w:spacing w:before="686" w:beforeLines="220" w:after="93"/>
        <w:rPr>
          <w:rFonts w:hint="default" w:eastAsia="黑体"/>
          <w:lang w:val="en-US" w:eastAsia="zh-CN"/>
        </w:rPr>
      </w:pPr>
      <w:r>
        <w:rPr>
          <w:rFonts w:hint="eastAsia"/>
          <w:lang w:val="en-US" w:eastAsia="zh-CN"/>
        </w:rPr>
        <w:t>征求意见稿</w:t>
      </w:r>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8"/>
              <w:framePr w:wrap="around"/>
              <w:widowControl w:val="0"/>
              <w:jc w:val="both"/>
              <w:rPr>
                <w:rFonts w:hint="default"/>
              </w:rPr>
            </w:pPr>
            <w:r>
              <w:fldChar w:fldCharType="begin">
                <w:ffData>
                  <w:name w:val="FY"/>
                  <w:enabled/>
                  <w:calcOnExit w:val="0"/>
                  <w:textInput>
                    <w:default w:val="XXXX"/>
                    <w:maxLength w:val="4"/>
                  </w:textInput>
                </w:ffData>
              </w:fldChar>
            </w:r>
            <w:bookmarkStart w:id="7" w:name="FY"/>
            <w:r>
              <w:instrText xml:space="preserve">FORMTEXT</w:instrText>
            </w:r>
            <w:r>
              <w:fldChar w:fldCharType="separate"/>
            </w:r>
            <w:r>
              <w:t>XXXX</w:t>
            </w:r>
            <w:r>
              <w:fldChar w:fldCharType="end"/>
            </w:r>
            <w:bookmarkEnd w:id="7"/>
            <w:r>
              <w:t xml:space="preserve"> - </w:t>
            </w:r>
            <w:r>
              <w:fldChar w:fldCharType="begin">
                <w:ffData>
                  <w:name w:val="FM"/>
                  <w:enabled/>
                  <w:calcOnExit w:val="0"/>
                  <w:textInput>
                    <w:default w:val="XX"/>
                    <w:maxLength w:val="2"/>
                  </w:textInput>
                </w:ffData>
              </w:fldChar>
            </w:r>
            <w:bookmarkStart w:id="8" w:name="FM"/>
            <w:r>
              <w:instrText xml:space="preserve">FORMTEXT</w:instrText>
            </w:r>
            <w:r>
              <w:fldChar w:fldCharType="separate"/>
            </w:r>
            <w:r>
              <w:t>XX</w:t>
            </w:r>
            <w:r>
              <w:fldChar w:fldCharType="end"/>
            </w:r>
            <w:bookmarkEnd w:id="8"/>
            <w:r>
              <w:t xml:space="preserve"> - </w:t>
            </w:r>
            <w:r>
              <w:fldChar w:fldCharType="begin">
                <w:ffData>
                  <w:name w:val="FD"/>
                  <w:enabled/>
                  <w:calcOnExit w:val="0"/>
                  <w:textInput>
                    <w:default w:val="XX"/>
                    <w:maxLength w:val="2"/>
                  </w:textInput>
                </w:ffData>
              </w:fldChar>
            </w:r>
            <w:bookmarkStart w:id="9" w:name="FD"/>
            <w:r>
              <w:instrText xml:space="preserve">FORMTEXT</w:instrText>
            </w:r>
            <w:r>
              <w:fldChar w:fldCharType="separate"/>
            </w:r>
            <w:r>
              <w:t>XX</w:t>
            </w:r>
            <w:r>
              <w:fldChar w:fldCharType="end"/>
            </w:r>
            <w:bookmarkEnd w:id="9"/>
            <w:r>
              <w:t xml:space="preserve"> 发布</w:t>
            </w:r>
          </w:p>
        </w:tc>
        <w:tc>
          <w:tcPr>
            <w:tcW w:w="4945" w:type="dxa"/>
            <w:tcBorders>
              <w:bottom w:val="single" w:color="auto" w:sz="8" w:space="0"/>
            </w:tcBorders>
            <w:tcMar>
              <w:right w:w="57" w:type="dxa"/>
            </w:tcMar>
          </w:tcPr>
          <w:p>
            <w:pPr>
              <w:pStyle w:val="38"/>
              <w:framePr w:wrap="around"/>
              <w:widowControl w:val="0"/>
              <w:jc w:val="right"/>
              <w:rPr>
                <w:rFonts w:hint="default"/>
              </w:rPr>
            </w:pPr>
            <w:r>
              <w:fldChar w:fldCharType="begin">
                <w:ffData>
                  <w:name w:val="SY"/>
                  <w:enabled/>
                  <w:calcOnExit w:val="0"/>
                  <w:textInput>
                    <w:default w:val="XXXX"/>
                    <w:maxLength w:val="4"/>
                  </w:textInput>
                </w:ffData>
              </w:fldChar>
            </w:r>
            <w:bookmarkStart w:id="10" w:name="SY"/>
            <w:r>
              <w:instrText xml:space="preserve">FORMTEXT</w:instrText>
            </w:r>
            <w:r>
              <w:fldChar w:fldCharType="separate"/>
            </w:r>
            <w:r>
              <w:t>XXXX</w:t>
            </w:r>
            <w:r>
              <w:fldChar w:fldCharType="end"/>
            </w:r>
            <w:bookmarkEnd w:id="10"/>
            <w:r>
              <w:t xml:space="preserve"> - </w:t>
            </w:r>
            <w:r>
              <w:fldChar w:fldCharType="begin">
                <w:ffData>
                  <w:name w:val="SM"/>
                  <w:enabled/>
                  <w:calcOnExit w:val="0"/>
                  <w:textInput>
                    <w:default w:val="XX"/>
                    <w:maxLength w:val="2"/>
                  </w:textInput>
                </w:ffData>
              </w:fldChar>
            </w:r>
            <w:bookmarkStart w:id="11" w:name="SM"/>
            <w:r>
              <w:instrText xml:space="preserve">FORMTEXT</w:instrText>
            </w:r>
            <w:r>
              <w:fldChar w:fldCharType="separate"/>
            </w:r>
            <w:r>
              <w:t>XX</w:t>
            </w:r>
            <w:r>
              <w:fldChar w:fldCharType="end"/>
            </w:r>
            <w:bookmarkEnd w:id="11"/>
            <w:r>
              <w:t xml:space="preserve"> - </w:t>
            </w:r>
            <w:r>
              <w:fldChar w:fldCharType="begin">
                <w:ffData>
                  <w:name w:val="SD"/>
                  <w:enabled/>
                  <w:calcOnExit w:val="0"/>
                  <w:textInput>
                    <w:default w:val="XX"/>
                    <w:maxLength w:val="2"/>
                  </w:textInput>
                </w:ffData>
              </w:fldChar>
            </w:r>
            <w:bookmarkStart w:id="12" w:name="SD"/>
            <w:r>
              <w:instrText xml:space="preserve">FORMTEXT</w:instrText>
            </w:r>
            <w:r>
              <w:fldChar w:fldCharType="separate"/>
            </w:r>
            <w:r>
              <w:t>XX</w:t>
            </w:r>
            <w:r>
              <w:fldChar w:fldCharType="end"/>
            </w:r>
            <w:bookmarkEnd w:id="12"/>
            <w:r>
              <w:t xml:space="preserve"> 实施</w:t>
            </w:r>
          </w:p>
        </w:tc>
      </w:tr>
    </w:tbl>
    <w:p>
      <w:pPr>
        <w:pStyle w:val="48"/>
        <w:framePr w:wrap="around"/>
        <w:spacing w:before="0"/>
        <w:rPr>
          <w:rFonts w:hint="default"/>
        </w:rPr>
      </w:pPr>
      <w:bookmarkStart w:id="13" w:name="FM2"/>
      <w:r>
        <w:fldChar w:fldCharType="begin">
          <w:ffData>
            <w:name w:val="FM2"/>
            <w:enabled/>
            <w:calcOnExit w:val="0"/>
            <w:textInput>
              <w:default w:val="江西绿色生态品牌建设促进会"/>
            </w:textInput>
          </w:ffData>
        </w:fldChar>
      </w:r>
      <w:r>
        <w:instrText xml:space="preserve">FORMTEXT</w:instrText>
      </w:r>
      <w:r>
        <w:fldChar w:fldCharType="separate"/>
      </w:r>
      <w:r>
        <w:t>江西绿色生态品牌建设促进会</w:t>
      </w:r>
      <w:r>
        <w:fldChar w:fldCharType="end"/>
      </w:r>
      <w:bookmarkEnd w:id="13"/>
      <w:r>
        <w:t>  </w:t>
      </w:r>
      <w:r>
        <w:rPr>
          <w:spacing w:val="85"/>
        </w:rPr>
        <w:t>发</w:t>
      </w:r>
      <w: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3" w:type="dxa"/>
          </w:tcPr>
          <w:p>
            <w:pPr>
              <w:pStyle w:val="52"/>
              <w:framePr w:w="9639" w:wrap="around"/>
              <w:jc w:val="both"/>
              <w:rPr>
                <w:rFonts w:hint="default"/>
              </w:rPr>
            </w:pPr>
            <w:r>
              <w:t>ICS</w:t>
            </w:r>
          </w:p>
        </w:tc>
        <w:tc>
          <w:tcPr>
            <w:tcW w:w="9107" w:type="dxa"/>
          </w:tcPr>
          <w:p>
            <w:pPr>
              <w:pStyle w:val="52"/>
              <w:framePr w:w="9639" w:wrap="around"/>
              <w:jc w:val="both"/>
              <w:rPr>
                <w:rFonts w:hint="default"/>
              </w:rPr>
            </w:pPr>
            <w:bookmarkStart w:id="14" w:name="ICS"/>
            <w:r>
              <w:fldChar w:fldCharType="begin">
                <w:ffData>
                  <w:name w:val="ICS"/>
                  <w:enabled/>
                  <w:calcOnExit w:val="0"/>
                  <w:textInput>
                    <w:default w:val="点击此处添加ICS号"/>
                  </w:textInput>
                </w:ffData>
              </w:fldChar>
            </w:r>
            <w:r>
              <w:instrText xml:space="preserve">FORMTEXT</w:instrText>
            </w:r>
            <w:r>
              <w:fldChar w:fldCharType="separate"/>
            </w:r>
            <w:r>
              <w:t>点击此处添加ICS号</w:t>
            </w:r>
            <w:r>
              <w:fldChar w:fldCharType="end"/>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wrap="around"/>
              <w:jc w:val="both"/>
              <w:rPr>
                <w:rFonts w:hint="default"/>
              </w:rPr>
            </w:pPr>
            <w:r>
              <w:t>CCS</w:t>
            </w:r>
          </w:p>
        </w:tc>
        <w:tc>
          <w:tcPr>
            <w:tcW w:w="9107" w:type="dxa"/>
          </w:tcPr>
          <w:p>
            <w:pPr>
              <w:pStyle w:val="52"/>
              <w:framePr w:w="9639" w:wrap="around"/>
              <w:jc w:val="both"/>
              <w:rPr>
                <w:rFonts w:hint="default"/>
              </w:rPr>
            </w:pPr>
            <w:bookmarkStart w:id="15" w:name="CCS"/>
            <w:r>
              <w:fldChar w:fldCharType="begin">
                <w:ffData>
                  <w:name w:val="CCS"/>
                  <w:enabled/>
                  <w:calcOnExit w:val="0"/>
                  <w:textInput>
                    <w:default w:val="点击此处添加CCS号"/>
                  </w:textInput>
                </w:ffData>
              </w:fldChar>
            </w:r>
            <w:r>
              <w:instrText xml:space="preserve">FORMTEXT</w:instrText>
            </w:r>
            <w:r>
              <w:fldChar w:fldCharType="separate"/>
            </w:r>
            <w:r>
              <w:t>点击此处添加CCS号</w:t>
            </w:r>
            <w:r>
              <w:fldChar w:fldCharType="end"/>
            </w:r>
            <w:bookmarkEnd w:id="15"/>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pPr>
                    <w:pStyle w:val="52"/>
                    <w:framePr w:w="9639" w:wrap="around"/>
                    <w:jc w:val="right"/>
                    <w:rPr>
                      <w:rFonts w:hint="default" w:ascii="Times New Roman" w:eastAsia="宋体"/>
                      <w:b/>
                      <w:w w:val="130"/>
                      <w:kern w:val="0"/>
                    </w:rPr>
                  </w:pPr>
                  <w:r>
                    <w:rPr>
                      <w:rFonts w:ascii="楷体" w:hAnsi="楷体" w:eastAsia="楷体" w:cs="楷体"/>
                      <w:b/>
                      <w:w w:val="130"/>
                      <w:kern w:val="0"/>
                      <w:sz w:val="96"/>
                    </w:rPr>
                    <w:t>T</w:t>
                  </w:r>
                  <w:r>
                    <w:rPr>
                      <w:rFonts w:ascii="Times New Roman" w:eastAsia="宋体"/>
                      <w:b/>
                      <w:w w:val="130"/>
                      <w:kern w:val="0"/>
                      <w:sz w:val="96"/>
                    </w:rPr>
                    <w:t>/</w:t>
                  </w:r>
                  <w:r>
                    <w:rPr>
                      <w:rFonts w:ascii="Times New Roman" w:eastAsia="宋体"/>
                      <w:b/>
                      <w:w w:val="130"/>
                      <w:kern w:val="0"/>
                    </w:rPr>
                    <w:t xml:space="preserve"> </w:t>
                  </w:r>
                  <w:bookmarkStart w:id="16" w:name="TMark"/>
                  <w:r>
                    <w:rPr>
                      <w:rFonts w:ascii="Times New Roman" w:eastAsia="宋体"/>
                      <w:b/>
                      <w:w w:val="130"/>
                      <w:kern w:val="0"/>
                      <w:sz w:val="96"/>
                    </w:rPr>
                    <w:fldChar w:fldCharType="begin">
                      <w:ffData>
                        <w:name w:val="TMark"/>
                        <w:enabled/>
                        <w:calcOnExit w:val="0"/>
                        <w:textInput>
                          <w:default w:val="JGE"/>
                          <w:maxLength w:val="8"/>
                        </w:textInput>
                      </w:ffData>
                    </w:fldChar>
                  </w:r>
                  <w:r>
                    <w:rPr>
                      <w:rFonts w:ascii="Times New Roman" w:eastAsia="宋体"/>
                      <w:b/>
                      <w:w w:val="130"/>
                      <w:kern w:val="0"/>
                      <w:sz w:val="96"/>
                    </w:rPr>
                    <w:instrText xml:space="preserve">FORMTEXT</w:instrText>
                  </w:r>
                  <w:r>
                    <w:rPr>
                      <w:rFonts w:ascii="Times New Roman" w:eastAsia="宋体"/>
                      <w:b/>
                      <w:w w:val="130"/>
                      <w:kern w:val="0"/>
                      <w:sz w:val="96"/>
                    </w:rPr>
                    <w:fldChar w:fldCharType="separate"/>
                  </w:r>
                  <w:r>
                    <w:rPr>
                      <w:rFonts w:ascii="Times New Roman" w:eastAsia="宋体"/>
                      <w:b/>
                      <w:w w:val="130"/>
                      <w:kern w:val="0"/>
                      <w:sz w:val="96"/>
                    </w:rPr>
                    <w:t>JGE</w:t>
                  </w:r>
                  <w:r>
                    <w:rPr>
                      <w:rFonts w:ascii="Times New Roman" w:eastAsia="宋体"/>
                      <w:b/>
                      <w:w w:val="130"/>
                      <w:kern w:val="0"/>
                      <w:sz w:val="96"/>
                    </w:rPr>
                    <w:fldChar w:fldCharType="end"/>
                  </w:r>
                  <w:bookmarkEnd w:id="16"/>
                </w:p>
              </w:tc>
            </w:tr>
          </w:tbl>
          <w:p>
            <w:pPr>
              <w:pStyle w:val="52"/>
              <w:framePr w:w="9639" w:wrap="around"/>
              <w:jc w:val="both"/>
              <w:rPr>
                <w:rFonts w:hint="default"/>
              </w:rPr>
            </w:pPr>
          </w:p>
        </w:tc>
      </w:tr>
    </w:tbl>
    <w:p>
      <w:pPr>
        <w:pStyle w:val="52"/>
        <w:framePr w:w="9639" w:wrap="around"/>
        <w:rPr>
          <w:rFonts w:hint="default"/>
        </w:rPr>
        <w:sectPr>
          <w:headerReference r:id="rId3" w:type="even"/>
          <w:footerReference r:id="rId4" w:type="even"/>
          <w:pgSz w:w="11906" w:h="16838"/>
          <w:pgMar w:top="-340" w:right="1134" w:bottom="1021" w:left="1134" w:header="0" w:footer="0" w:gutter="284"/>
          <w:pgNumType w:start="1"/>
          <w:cols w:space="425" w:num="1"/>
          <w:titlePg/>
          <w:docGrid w:type="lines" w:linePitch="312" w:charSpace="0"/>
        </w:sectPr>
      </w:pPr>
    </w:p>
    <w:p>
      <w:pPr>
        <w:pStyle w:val="53"/>
        <w:spacing w:after="468"/>
        <w:rPr>
          <w:rFonts w:hint="default"/>
        </w:rPr>
      </w:pPr>
      <w:r>
        <w:rPr>
          <w:spacing w:val="317"/>
        </w:rPr>
        <w:t>目</w:t>
      </w:r>
      <w:bookmarkStart w:id="17" w:name="BKML"/>
      <w:r>
        <w:t>次</w:t>
      </w:r>
      <w:bookmarkEnd w:id="17"/>
    </w:p>
    <w:p>
      <w:pPr>
        <w:pStyle w:val="14"/>
        <w:tabs>
          <w:tab w:val="right" w:leader="dot" w:pos="9354"/>
        </w:tabs>
        <w:rPr>
          <w:rFonts w:hint="default"/>
        </w:rPr>
      </w:pPr>
      <w:r>
        <w:fldChar w:fldCharType="begin"/>
      </w:r>
      <w:r>
        <w:instrText xml:space="preserve">TOC \t "标准文件_前言、引言标题,1,标准文件_章标题,1,标准文件_附录标识,1,标准文件_参考文献标题,1,标准文件_索引标题,1" \h</w:instrText>
      </w:r>
      <w:r>
        <w:fldChar w:fldCharType="separate"/>
      </w:r>
      <w:r>
        <w:fldChar w:fldCharType="begin"/>
      </w:r>
      <w:r>
        <w:instrText xml:space="preserve"> HYPERLINK \l "_Toc31747" </w:instrText>
      </w:r>
      <w:r>
        <w:fldChar w:fldCharType="separate"/>
      </w:r>
      <w:r>
        <w:t>前言</w:t>
      </w:r>
      <w:r>
        <w:tab/>
      </w:r>
      <w:r>
        <w:fldChar w:fldCharType="begin"/>
      </w:r>
      <w:r>
        <w:instrText xml:space="preserve"> PAGEREF _Toc31747 \h </w:instrText>
      </w:r>
      <w:r>
        <w:fldChar w:fldCharType="separate"/>
      </w:r>
      <w:r>
        <w:t>II</w:t>
      </w:r>
      <w:r>
        <w:fldChar w:fldCharType="end"/>
      </w:r>
      <w:r>
        <w:fldChar w:fldCharType="end"/>
      </w:r>
    </w:p>
    <w:p>
      <w:pPr>
        <w:pStyle w:val="14"/>
        <w:tabs>
          <w:tab w:val="right" w:leader="dot" w:pos="9354"/>
        </w:tabs>
        <w:rPr>
          <w:rFonts w:hint="default"/>
        </w:rPr>
      </w:pPr>
      <w:r>
        <w:fldChar w:fldCharType="begin"/>
      </w:r>
      <w:r>
        <w:instrText xml:space="preserve"> HYPERLINK \l "_Toc24885" </w:instrText>
      </w:r>
      <w:r>
        <w:fldChar w:fldCharType="separate"/>
      </w:r>
      <w:r>
        <w:t>1  范围</w:t>
      </w:r>
      <w:r>
        <w:tab/>
      </w:r>
      <w:r>
        <w:fldChar w:fldCharType="begin"/>
      </w:r>
      <w:r>
        <w:instrText xml:space="preserve"> PAGEREF _Toc24885 \h </w:instrText>
      </w:r>
      <w:r>
        <w:fldChar w:fldCharType="separate"/>
      </w:r>
      <w:r>
        <w:t>1</w:t>
      </w:r>
      <w:r>
        <w:fldChar w:fldCharType="end"/>
      </w:r>
      <w:r>
        <w:fldChar w:fldCharType="end"/>
      </w:r>
    </w:p>
    <w:p>
      <w:pPr>
        <w:pStyle w:val="14"/>
        <w:tabs>
          <w:tab w:val="right" w:leader="dot" w:pos="9354"/>
        </w:tabs>
        <w:rPr>
          <w:rFonts w:hint="default"/>
        </w:rPr>
      </w:pPr>
      <w:r>
        <w:fldChar w:fldCharType="begin"/>
      </w:r>
      <w:r>
        <w:instrText xml:space="preserve"> HYPERLINK \l "_Toc8768" </w:instrText>
      </w:r>
      <w:r>
        <w:fldChar w:fldCharType="separate"/>
      </w:r>
      <w:r>
        <w:t>2  规范性引用文件</w:t>
      </w:r>
      <w:r>
        <w:tab/>
      </w:r>
      <w:r>
        <w:fldChar w:fldCharType="begin"/>
      </w:r>
      <w:r>
        <w:instrText xml:space="preserve"> PAGEREF _Toc8768 \h </w:instrText>
      </w:r>
      <w:r>
        <w:fldChar w:fldCharType="separate"/>
      </w:r>
      <w:r>
        <w:t>1</w:t>
      </w:r>
      <w:r>
        <w:fldChar w:fldCharType="end"/>
      </w:r>
      <w:r>
        <w:fldChar w:fldCharType="end"/>
      </w:r>
    </w:p>
    <w:p>
      <w:pPr>
        <w:pStyle w:val="14"/>
        <w:tabs>
          <w:tab w:val="right" w:leader="dot" w:pos="9354"/>
        </w:tabs>
        <w:rPr>
          <w:rFonts w:hint="default"/>
        </w:rPr>
      </w:pPr>
      <w:r>
        <w:fldChar w:fldCharType="begin"/>
      </w:r>
      <w:r>
        <w:instrText xml:space="preserve"> HYPERLINK \l "_Toc7463" </w:instrText>
      </w:r>
      <w:r>
        <w:fldChar w:fldCharType="separate"/>
      </w:r>
      <w:r>
        <w:t>3  术语和定义</w:t>
      </w:r>
      <w:r>
        <w:tab/>
      </w:r>
      <w:r>
        <w:fldChar w:fldCharType="begin"/>
      </w:r>
      <w:r>
        <w:instrText xml:space="preserve"> PAGEREF _Toc7463 \h </w:instrText>
      </w:r>
      <w:r>
        <w:fldChar w:fldCharType="separate"/>
      </w:r>
      <w:r>
        <w:t>1</w:t>
      </w:r>
      <w:r>
        <w:fldChar w:fldCharType="end"/>
      </w:r>
      <w:r>
        <w:fldChar w:fldCharType="end"/>
      </w:r>
    </w:p>
    <w:p>
      <w:pPr>
        <w:pStyle w:val="14"/>
        <w:tabs>
          <w:tab w:val="right" w:leader="dot" w:pos="9354"/>
        </w:tabs>
        <w:rPr>
          <w:rFonts w:hint="default"/>
        </w:rPr>
      </w:pPr>
      <w:r>
        <w:fldChar w:fldCharType="begin"/>
      </w:r>
      <w:r>
        <w:instrText xml:space="preserve"> HYPERLINK \l "_Toc654" </w:instrText>
      </w:r>
      <w:r>
        <w:fldChar w:fldCharType="separate"/>
      </w:r>
      <w:r>
        <w:t>4  技术要求</w:t>
      </w:r>
      <w:r>
        <w:tab/>
      </w:r>
      <w:r>
        <w:fldChar w:fldCharType="begin"/>
      </w:r>
      <w:r>
        <w:instrText xml:space="preserve"> PAGEREF _Toc654 \h </w:instrText>
      </w:r>
      <w:r>
        <w:fldChar w:fldCharType="separate"/>
      </w:r>
      <w:r>
        <w:t>1</w:t>
      </w:r>
      <w:r>
        <w:fldChar w:fldCharType="end"/>
      </w:r>
      <w:r>
        <w:fldChar w:fldCharType="end"/>
      </w:r>
    </w:p>
    <w:p>
      <w:pPr>
        <w:pStyle w:val="14"/>
        <w:tabs>
          <w:tab w:val="right" w:leader="dot" w:pos="9354"/>
        </w:tabs>
        <w:rPr>
          <w:rFonts w:hint="default"/>
        </w:rPr>
      </w:pPr>
      <w:r>
        <w:fldChar w:fldCharType="begin"/>
      </w:r>
      <w:r>
        <w:instrText xml:space="preserve"> HYPERLINK \l "_Toc24433" </w:instrText>
      </w:r>
      <w:r>
        <w:fldChar w:fldCharType="separate"/>
      </w:r>
      <w:r>
        <w:t>5  检验规则</w:t>
      </w:r>
      <w:r>
        <w:tab/>
      </w:r>
      <w:r>
        <w:fldChar w:fldCharType="begin"/>
      </w:r>
      <w:r>
        <w:instrText xml:space="preserve"> PAGEREF _Toc24433 \h </w:instrText>
      </w:r>
      <w:r>
        <w:fldChar w:fldCharType="separate"/>
      </w:r>
      <w:r>
        <w:t>3</w:t>
      </w:r>
      <w:r>
        <w:fldChar w:fldCharType="end"/>
      </w:r>
      <w:r>
        <w:fldChar w:fldCharType="end"/>
      </w:r>
    </w:p>
    <w:p>
      <w:pPr>
        <w:pStyle w:val="14"/>
        <w:tabs>
          <w:tab w:val="right" w:leader="dot" w:pos="9354"/>
        </w:tabs>
        <w:rPr>
          <w:rFonts w:hint="default"/>
        </w:rPr>
      </w:pPr>
      <w:r>
        <w:fldChar w:fldCharType="begin"/>
      </w:r>
      <w:r>
        <w:instrText xml:space="preserve"> HYPERLINK \l "_Toc13102" </w:instrText>
      </w:r>
      <w:r>
        <w:fldChar w:fldCharType="separate"/>
      </w:r>
      <w:r>
        <w:t>6  标签</w:t>
      </w:r>
      <w:r>
        <w:tab/>
      </w:r>
      <w:r>
        <w:fldChar w:fldCharType="begin"/>
      </w:r>
      <w:r>
        <w:instrText xml:space="preserve"> PAGEREF _Toc13102 \h </w:instrText>
      </w:r>
      <w:r>
        <w:fldChar w:fldCharType="separate"/>
      </w:r>
      <w:r>
        <w:t>3</w:t>
      </w:r>
      <w:r>
        <w:fldChar w:fldCharType="end"/>
      </w:r>
      <w:r>
        <w:fldChar w:fldCharType="end"/>
      </w:r>
    </w:p>
    <w:p>
      <w:pPr>
        <w:pStyle w:val="14"/>
        <w:tabs>
          <w:tab w:val="right" w:leader="dot" w:pos="9354"/>
        </w:tabs>
        <w:rPr>
          <w:rFonts w:hint="default"/>
        </w:rPr>
      </w:pPr>
      <w:r>
        <w:fldChar w:fldCharType="begin"/>
      </w:r>
      <w:r>
        <w:instrText xml:space="preserve"> HYPERLINK \l "_Toc950" </w:instrText>
      </w:r>
      <w:r>
        <w:fldChar w:fldCharType="separate"/>
      </w:r>
      <w:r>
        <w:t>7  包装、运输和储存</w:t>
      </w:r>
      <w:r>
        <w:tab/>
      </w:r>
      <w:r>
        <w:fldChar w:fldCharType="begin"/>
      </w:r>
      <w:r>
        <w:instrText xml:space="preserve"> PAGEREF _Toc950 \h </w:instrText>
      </w:r>
      <w:r>
        <w:fldChar w:fldCharType="separate"/>
      </w:r>
      <w:r>
        <w:t>3</w:t>
      </w:r>
      <w:r>
        <w:fldChar w:fldCharType="end"/>
      </w:r>
      <w:r>
        <w:fldChar w:fldCharType="end"/>
      </w:r>
    </w:p>
    <w:p>
      <w:pPr>
        <w:rPr>
          <w:rFonts w:hint="default"/>
        </w:rPr>
      </w:pPr>
      <w:r>
        <w:rPr>
          <w:rFonts w:hAnsi="宋体"/>
        </w:rPr>
        <w:fldChar w:fldCharType="end"/>
      </w:r>
    </w:p>
    <w:p>
      <w:pPr>
        <w:pStyle w:val="53"/>
        <w:spacing w:after="468"/>
        <w:rPr>
          <w:rFonts w:hint="default"/>
        </w:rPr>
      </w:pPr>
      <w:r>
        <w:br w:type="page"/>
      </w:r>
    </w:p>
    <w:p>
      <w:pPr>
        <w:pStyle w:val="54"/>
        <w:spacing w:after="468"/>
        <w:rPr>
          <w:rFonts w:hint="default"/>
        </w:rPr>
      </w:pPr>
      <w:bookmarkStart w:id="18" w:name="_Toc31747"/>
      <w:r>
        <w:rPr>
          <w:spacing w:val="317"/>
        </w:rPr>
        <w:t>前</w:t>
      </w:r>
      <w:bookmarkStart w:id="19" w:name="BKQY"/>
      <w:r>
        <w:t>言</w:t>
      </w:r>
      <w:bookmarkEnd w:id="18"/>
    </w:p>
    <w:p>
      <w:pPr>
        <w:pStyle w:val="24"/>
        <w:ind w:firstLine="420"/>
        <w:rPr>
          <w:rFonts w:hint="default"/>
        </w:rPr>
      </w:pPr>
      <w:r>
        <w:t>本文件按照GB/T 1.1—2020《标准化工作导则  第1部分：标准化文件的结构和起草规则》的规定起草。</w:t>
      </w:r>
    </w:p>
    <w:p>
      <w:pPr>
        <w:pStyle w:val="24"/>
        <w:ind w:firstLine="420"/>
        <w:rPr>
          <w:rFonts w:hint="default"/>
        </w:rPr>
      </w:pPr>
      <w:r>
        <w:t>请注意本文件的某些内容可能涉及专利。本文件的发布机构不承担识别专利的责任。</w:t>
      </w:r>
    </w:p>
    <w:p>
      <w:pPr>
        <w:pStyle w:val="24"/>
        <w:ind w:firstLine="420"/>
        <w:rPr>
          <w:rFonts w:hint="default"/>
        </w:rPr>
      </w:pPr>
      <w:r>
        <w:t>本文件由江西绿色生态品牌建设促进会提出并归口。</w:t>
      </w:r>
    </w:p>
    <w:p>
      <w:pPr>
        <w:pStyle w:val="24"/>
        <w:ind w:firstLine="420"/>
        <w:rPr>
          <w:rFonts w:hint="eastAsia" w:eastAsia="宋体"/>
          <w:lang w:eastAsia="zh-CN"/>
        </w:rPr>
      </w:pPr>
      <w:r>
        <w:t>本文件起草单位：南昌</w:t>
      </w:r>
      <w:r>
        <w:rPr>
          <w:rFonts w:hint="default"/>
        </w:rPr>
        <w:t>大学、</w:t>
      </w:r>
      <w:r>
        <w:t>江西省农科院、江西省质量和标准化研究院</w:t>
      </w:r>
      <w:r>
        <w:rPr>
          <w:rFonts w:hint="eastAsia"/>
          <w:lang w:eastAsia="zh-CN"/>
        </w:rPr>
        <w:t>。</w:t>
      </w:r>
    </w:p>
    <w:p>
      <w:pPr>
        <w:pStyle w:val="24"/>
        <w:ind w:firstLine="420"/>
        <w:rPr>
          <w:rFonts w:hint="default"/>
        </w:rPr>
      </w:pPr>
      <w:r>
        <w:t>本文件主要起草人：XXX</w:t>
      </w:r>
    </w:p>
    <w:p>
      <w:pPr>
        <w:pStyle w:val="24"/>
        <w:ind w:firstLine="420"/>
        <w:rPr>
          <w:rFonts w:hint="default"/>
        </w:rPr>
      </w:pPr>
    </w:p>
    <w:bookmarkEnd w:id="19"/>
    <w:p>
      <w:pPr>
        <w:rPr>
          <w:rFonts w:hint="default"/>
        </w:rPr>
      </w:pPr>
    </w:p>
    <w:p>
      <w:pPr>
        <w:rPr>
          <w:rFonts w:hint="default"/>
        </w:rPr>
      </w:pPr>
    </w:p>
    <w:p>
      <w:pPr>
        <w:rPr>
          <w:rFonts w:hint="default"/>
        </w:rPr>
        <w:sectPr>
          <w:headerReference r:id="rId5" w:type="default"/>
          <w:footerReference r:id="rId6" w:type="default"/>
          <w:footerReference r:id="rId7" w:type="even"/>
          <w:pgSz w:w="11906" w:h="16838"/>
          <w:pgMar w:top="2410" w:right="1134" w:bottom="1134" w:left="1134" w:header="1418" w:footer="1134" w:gutter="284"/>
          <w:pgNumType w:fmt="upperRoman" w:start="1"/>
          <w:cols w:space="425" w:num="1"/>
          <w:docGrid w:type="lines" w:linePitch="312" w:charSpace="0"/>
        </w:sectPr>
      </w:pPr>
    </w:p>
    <w:sdt>
      <w:sdtPr>
        <w:rPr>
          <w:rStyle w:val="119"/>
        </w:rPr>
        <w:tag w:val="StandardName"/>
        <w:id w:val="147480346"/>
        <w:lock w:val="sdtLocked"/>
        <w:placeholder>
          <w:docPart w:val="{47f61be1-0ffa-49ea-9cc2-ca347d8d2e28}"/>
        </w:placeholder>
      </w:sdtPr>
      <w:sdtEndPr>
        <w:rPr>
          <w:rStyle w:val="119"/>
        </w:rPr>
      </w:sdtEndPr>
      <w:sdtContent>
        <w:p>
          <w:pPr>
            <w:pStyle w:val="55"/>
            <w:rPr>
              <w:rStyle w:val="119"/>
              <w:rFonts w:hint="default"/>
            </w:rPr>
          </w:pPr>
          <w:bookmarkStart w:id="20" w:name="StandardName"/>
          <w:r>
            <w:rPr>
              <w:rStyle w:val="119"/>
            </w:rPr>
            <w:t>富硒柑橘</w:t>
          </w:r>
          <w:bookmarkEnd w:id="20"/>
        </w:p>
      </w:sdtContent>
    </w:sdt>
    <w:p>
      <w:pPr>
        <w:pStyle w:val="71"/>
        <w:spacing w:before="312" w:after="312"/>
        <w:rPr>
          <w:rStyle w:val="119"/>
          <w:rFonts w:hint="default"/>
        </w:rPr>
      </w:pPr>
      <w:bookmarkStart w:id="21" w:name="_Toc24885"/>
      <w:r>
        <w:t>范围</w:t>
      </w:r>
      <w:bookmarkEnd w:id="21"/>
    </w:p>
    <w:p>
      <w:pPr>
        <w:pStyle w:val="24"/>
        <w:ind w:firstLine="420"/>
        <w:rPr>
          <w:rFonts w:hint="default"/>
        </w:rPr>
      </w:pPr>
      <w:r>
        <w:t>本文件规定了富硒柑橘的术语和定义、技术要求、</w:t>
      </w:r>
      <w:r>
        <w:rPr>
          <w:rFonts w:hint="eastAsia"/>
          <w:lang w:val="en-US" w:eastAsia="zh-CN"/>
        </w:rPr>
        <w:t>产品质量、</w:t>
      </w:r>
      <w:r>
        <w:t>检验规则、标志、包装、运输和贮存。</w:t>
      </w:r>
    </w:p>
    <w:p>
      <w:pPr>
        <w:pStyle w:val="24"/>
        <w:ind w:firstLine="420"/>
        <w:rPr>
          <w:rFonts w:hint="default"/>
        </w:rPr>
      </w:pPr>
      <w:r>
        <w:t>本文件适用于</w:t>
      </w:r>
      <w:r>
        <w:rPr>
          <w:rFonts w:hint="eastAsia"/>
          <w:lang w:val="en-US" w:eastAsia="zh-CN"/>
        </w:rPr>
        <w:t>我省</w:t>
      </w:r>
      <w:r>
        <w:t>富硒</w:t>
      </w:r>
      <w:r>
        <w:rPr>
          <w:rFonts w:hint="eastAsia"/>
          <w:lang w:val="en-US" w:eastAsia="zh-CN"/>
        </w:rPr>
        <w:t>茄果类蔬菜的评价或认证</w:t>
      </w:r>
      <w:r>
        <w:t>。</w:t>
      </w:r>
    </w:p>
    <w:p>
      <w:pPr>
        <w:pStyle w:val="71"/>
        <w:spacing w:before="312" w:after="312"/>
        <w:rPr>
          <w:rFonts w:hint="default"/>
        </w:rPr>
      </w:pPr>
      <w:bookmarkStart w:id="22" w:name="_Toc8768"/>
      <w:r>
        <w:t>规范性引用文件</w:t>
      </w:r>
      <w:bookmarkEnd w:id="22"/>
    </w:p>
    <w:sdt>
      <w:sdtPr>
        <w:tag w:val="StandNameFile"/>
        <w:id w:val="147480734"/>
        <w:placeholder>
          <w:docPart w:val="{82b5641d-f3c9-4205-9117-8d9b775f3330}"/>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4"/>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4"/>
        <w:ind w:firstLine="420"/>
        <w:rPr>
          <w:rFonts w:hint="default"/>
        </w:rPr>
      </w:pPr>
      <w:r>
        <w:t>GB/T 191  包装储运图示标志</w:t>
      </w:r>
    </w:p>
    <w:p>
      <w:pPr>
        <w:pStyle w:val="24"/>
        <w:ind w:firstLine="420"/>
        <w:rPr>
          <w:rFonts w:hint="default"/>
        </w:rPr>
      </w:pPr>
      <w:r>
        <w:t>GB 2762  食品安全国家标准 食品中污染物限量</w:t>
      </w:r>
    </w:p>
    <w:p>
      <w:pPr>
        <w:pStyle w:val="24"/>
        <w:ind w:firstLine="420"/>
        <w:rPr>
          <w:rFonts w:hint="default"/>
        </w:rPr>
      </w:pPr>
      <w:r>
        <w:t>GB 2763  食品安全国家标准 食品中农药最大残留限量</w:t>
      </w:r>
    </w:p>
    <w:p>
      <w:pPr>
        <w:pStyle w:val="24"/>
        <w:ind w:firstLine="420"/>
        <w:rPr>
          <w:rFonts w:hint="default"/>
        </w:rPr>
      </w:pPr>
      <w:r>
        <w:t>GB</w:t>
      </w:r>
      <w:r>
        <w:rPr>
          <w:rFonts w:hint="default"/>
        </w:rPr>
        <w:t xml:space="preserve"> 3095  </w:t>
      </w:r>
      <w:r>
        <w:t>环境</w:t>
      </w:r>
      <w:r>
        <w:rPr>
          <w:rFonts w:hint="default"/>
        </w:rPr>
        <w:t>空气质量标准</w:t>
      </w:r>
    </w:p>
    <w:p>
      <w:pPr>
        <w:pStyle w:val="24"/>
        <w:ind w:firstLine="420"/>
        <w:rPr>
          <w:rFonts w:hint="default"/>
        </w:rPr>
      </w:pPr>
      <w:r>
        <w:t>GB</w:t>
      </w:r>
      <w:r>
        <w:rPr>
          <w:rFonts w:hint="default"/>
        </w:rPr>
        <w:t xml:space="preserve"> 5084  </w:t>
      </w:r>
      <w:r>
        <w:t>农田</w:t>
      </w:r>
      <w:r>
        <w:rPr>
          <w:rFonts w:hint="default"/>
        </w:rPr>
        <w:t>灌溉水质标准</w:t>
      </w:r>
    </w:p>
    <w:p>
      <w:pPr>
        <w:pStyle w:val="24"/>
        <w:ind w:firstLine="420"/>
        <w:rPr>
          <w:rFonts w:hint="default"/>
        </w:rPr>
      </w:pPr>
      <w:r>
        <w:t>GB 5009.86  食品安全国家标准 食品中抗坏血酸的测定</w:t>
      </w:r>
    </w:p>
    <w:p>
      <w:pPr>
        <w:pStyle w:val="24"/>
        <w:ind w:firstLine="420"/>
        <w:rPr>
          <w:rFonts w:hint="default"/>
        </w:rPr>
      </w:pPr>
      <w:r>
        <w:t>GB 5009.93  食品安全国家标准 食品中硒的测定</w:t>
      </w:r>
    </w:p>
    <w:p>
      <w:pPr>
        <w:pStyle w:val="24"/>
        <w:ind w:firstLine="420"/>
        <w:rPr>
          <w:rFonts w:hint="default"/>
        </w:rPr>
      </w:pPr>
      <w:r>
        <w:t>GB 5084  农田灌溉水质标准</w:t>
      </w:r>
    </w:p>
    <w:p>
      <w:pPr>
        <w:pStyle w:val="24"/>
        <w:ind w:firstLine="420"/>
        <w:rPr>
          <w:rFonts w:hint="default"/>
        </w:rPr>
      </w:pPr>
      <w:r>
        <w:t>GB 7718  食品安全国家标准 预包装食品标签通则</w:t>
      </w:r>
    </w:p>
    <w:p>
      <w:pPr>
        <w:pStyle w:val="24"/>
        <w:ind w:firstLine="420"/>
        <w:rPr>
          <w:rFonts w:hint="default"/>
        </w:rPr>
      </w:pPr>
      <w:r>
        <w:t>GB/T 8210  柑桔鲜果检验方法</w:t>
      </w:r>
    </w:p>
    <w:p>
      <w:pPr>
        <w:pStyle w:val="24"/>
        <w:ind w:firstLine="420"/>
        <w:rPr>
          <w:rFonts w:hint="default"/>
        </w:rPr>
      </w:pPr>
      <w:r>
        <w:t>GB/T 12947  鲜柑橘</w:t>
      </w:r>
    </w:p>
    <w:p>
      <w:pPr>
        <w:pStyle w:val="24"/>
        <w:ind w:firstLine="420"/>
        <w:rPr>
          <w:rFonts w:hint="default"/>
        </w:rPr>
      </w:pPr>
      <w:r>
        <w:t>JJF 1070 定量包装商品净含量计量检验规则</w:t>
      </w:r>
    </w:p>
    <w:p>
      <w:pPr>
        <w:pStyle w:val="24"/>
        <w:ind w:firstLine="420"/>
        <w:rPr>
          <w:rFonts w:hint="default"/>
        </w:rPr>
      </w:pPr>
      <w:r>
        <w:rPr>
          <w:rFonts w:hint="default"/>
        </w:rPr>
        <w:t xml:space="preserve">NY/T 391  </w:t>
      </w:r>
      <w:r>
        <w:t>绿色</w:t>
      </w:r>
      <w:r>
        <w:rPr>
          <w:rFonts w:hint="default"/>
        </w:rPr>
        <w:t>食品</w:t>
      </w:r>
      <w:r>
        <w:t xml:space="preserve"> 产地</w:t>
      </w:r>
      <w:r>
        <w:rPr>
          <w:rFonts w:hint="default"/>
        </w:rPr>
        <w:t>环境质量</w:t>
      </w:r>
    </w:p>
    <w:p>
      <w:pPr>
        <w:pStyle w:val="24"/>
        <w:ind w:firstLine="420"/>
        <w:rPr>
          <w:rFonts w:hint="default"/>
        </w:rPr>
      </w:pPr>
      <w:r>
        <w:t>NY/T 426  绿色食品 柑橘类水果</w:t>
      </w:r>
    </w:p>
    <w:p>
      <w:pPr>
        <w:pStyle w:val="24"/>
        <w:ind w:firstLine="420"/>
        <w:rPr>
          <w:rFonts w:hint="default"/>
        </w:rPr>
      </w:pPr>
      <w:r>
        <w:t>DB36/T 1531-2021  柑橘富硒营养强化技术规范</w:t>
      </w:r>
    </w:p>
    <w:p>
      <w:pPr>
        <w:pStyle w:val="71"/>
        <w:spacing w:before="312" w:after="312"/>
        <w:rPr>
          <w:rFonts w:hint="default" w:ascii="宋体" w:eastAsia="宋体" w:cs="宋体"/>
        </w:rPr>
      </w:pPr>
      <w:bookmarkStart w:id="23" w:name="_Toc7463"/>
      <w:r>
        <w:t>术语和定义</w:t>
      </w:r>
      <w:bookmarkEnd w:id="23"/>
    </w:p>
    <w:sdt>
      <w:sdtPr>
        <w:rPr>
          <w:rFonts w:hint="default"/>
        </w:rPr>
        <w:tag w:val="TermContent"/>
        <w:id w:val="35247548"/>
        <w:placeholder>
          <w:docPart w:val="{47a46aae-4250-4f2b-a72e-36dedf09cd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24"/>
            <w:ind w:firstLine="420"/>
            <w:rPr>
              <w:rFonts w:hint="default"/>
            </w:rPr>
          </w:pPr>
          <w:r>
            <w:rPr>
              <w:rFonts w:hint="default"/>
            </w:rPr>
            <w:t>下列术语和定义适用于本文件。</w:t>
          </w:r>
        </w:p>
      </w:sdtContent>
    </w:sdt>
    <w:p>
      <w:pPr>
        <w:pStyle w:val="82"/>
        <w:spacing w:before="3" w:after="0" w:afterLines="0"/>
        <w:ind w:left="420" w:hanging="420"/>
        <w:rPr>
          <w:rFonts w:hint="default"/>
        </w:rPr>
      </w:pPr>
    </w:p>
    <w:p>
      <w:pPr>
        <w:pStyle w:val="24"/>
        <w:ind w:firstLine="420"/>
        <w:rPr>
          <w:rFonts w:hint="default" w:ascii="黑体" w:hAnsi="黑体" w:eastAsia="黑体" w:cs="黑体"/>
        </w:rPr>
      </w:pPr>
      <w:r>
        <w:rPr>
          <w:rFonts w:ascii="黑体" w:hAnsi="黑体" w:eastAsia="黑体" w:cs="黑体"/>
        </w:rPr>
        <w:t>富硒柑橘</w:t>
      </w:r>
    </w:p>
    <w:p>
      <w:pPr>
        <w:pStyle w:val="24"/>
        <w:ind w:firstLine="420"/>
        <w:rPr>
          <w:rFonts w:hint="default"/>
        </w:rPr>
      </w:pPr>
      <w:r>
        <w:t>通过生长过程中自然富集硒或通过硒生物营养强化技术，而非收获后添加硒，所获得的富含微量元素硒的柑橘，其可食部分的总硒含量（以鲜重计）为0.01mg/kg～0.05mg/kg，且有机态硒含量占总硒含量的百分比≥80%。</w:t>
      </w:r>
    </w:p>
    <w:p>
      <w:pPr>
        <w:pStyle w:val="24"/>
        <w:ind w:firstLine="420"/>
        <w:rPr>
          <w:rFonts w:hint="default"/>
        </w:rPr>
      </w:pPr>
      <w:r>
        <w:t>[来源：DB36/T 1531-2021,3.1]</w:t>
      </w:r>
    </w:p>
    <w:p>
      <w:pPr>
        <w:pStyle w:val="71"/>
        <w:spacing w:before="312" w:after="312"/>
        <w:rPr>
          <w:rFonts w:hint="default"/>
        </w:rPr>
      </w:pPr>
      <w:bookmarkStart w:id="24" w:name="_Toc654"/>
      <w:r>
        <w:t>技术要求</w:t>
      </w:r>
      <w:bookmarkEnd w:id="24"/>
    </w:p>
    <w:p>
      <w:pPr>
        <w:pStyle w:val="72"/>
        <w:spacing w:before="156" w:after="156"/>
        <w:rPr>
          <w:rFonts w:hint="default"/>
        </w:rPr>
      </w:pPr>
      <w:r>
        <w:t>产地环境</w:t>
      </w:r>
    </w:p>
    <w:p>
      <w:pPr>
        <w:pStyle w:val="78"/>
        <w:spacing w:before="0" w:beforeLines="0" w:after="0" w:afterLines="0"/>
        <w:rPr>
          <w:rFonts w:hint="default"/>
        </w:rPr>
      </w:pPr>
      <w:r>
        <w:t>产地生态</w:t>
      </w:r>
      <w:r>
        <w:rPr>
          <w:rFonts w:hint="default"/>
        </w:rPr>
        <w:t>环境应符合NY/T 391</w:t>
      </w:r>
      <w:r>
        <w:t>的</w:t>
      </w:r>
      <w:r>
        <w:rPr>
          <w:rFonts w:hint="default"/>
        </w:rPr>
        <w:t>要求</w:t>
      </w:r>
      <w:r>
        <w:t>，产地应远离城区、工矿区、交通主干线、工业污染源、生活垃圾场等。</w:t>
      </w:r>
    </w:p>
    <w:p>
      <w:pPr>
        <w:pStyle w:val="78"/>
        <w:spacing w:before="0" w:beforeLines="0" w:after="0" w:afterLines="0"/>
        <w:rPr>
          <w:rFonts w:hint="default"/>
        </w:rPr>
      </w:pPr>
      <w:r>
        <w:t>产地环境</w:t>
      </w:r>
      <w:r>
        <w:rPr>
          <w:rFonts w:hint="default"/>
        </w:rPr>
        <w:t>空气质量符合GB 3095</w:t>
      </w:r>
      <w:r>
        <w:t>二级</w:t>
      </w:r>
      <w:r>
        <w:rPr>
          <w:rFonts w:hint="default"/>
        </w:rPr>
        <w:t>的要求</w:t>
      </w:r>
      <w:r>
        <w:t>。</w:t>
      </w:r>
    </w:p>
    <w:p>
      <w:pPr>
        <w:pStyle w:val="78"/>
        <w:spacing w:before="0" w:beforeLines="0" w:after="0" w:afterLines="0"/>
        <w:rPr>
          <w:rFonts w:hint="default"/>
        </w:rPr>
      </w:pPr>
      <w:r>
        <w:t>农田灌溉用水水质应符合GB 5084的要求。</w:t>
      </w:r>
    </w:p>
    <w:p>
      <w:pPr>
        <w:pStyle w:val="72"/>
        <w:spacing w:before="156" w:after="156"/>
        <w:rPr>
          <w:rFonts w:hint="default"/>
        </w:rPr>
      </w:pPr>
      <w:r>
        <w:t>富硒技术</w:t>
      </w:r>
    </w:p>
    <w:p>
      <w:pPr>
        <w:pStyle w:val="78"/>
        <w:bidi w:val="0"/>
        <w:spacing w:before="0" w:beforeLines="0" w:after="0" w:afterLines="0"/>
        <w:rPr>
          <w:rFonts w:hint="default"/>
        </w:rPr>
      </w:pPr>
      <w:r>
        <w:t>根据土壤硒含量背景值的不同</w:t>
      </w:r>
      <w:r>
        <w:rPr>
          <w:rFonts w:hint="eastAsia"/>
          <w:lang w:val="en-US" w:eastAsia="zh-CN"/>
        </w:rPr>
        <w:t>可</w:t>
      </w:r>
      <w:r>
        <w:t>采取以下</w:t>
      </w:r>
      <w:r>
        <w:rPr>
          <w:rFonts w:hint="eastAsia"/>
          <w:lang w:val="en-US" w:eastAsia="zh-CN"/>
        </w:rPr>
        <w:t>富硒技术</w:t>
      </w:r>
      <w:r>
        <w:t>措施：</w:t>
      </w:r>
    </w:p>
    <w:p>
      <w:pPr>
        <w:pStyle w:val="56"/>
        <w:rPr>
          <w:rFonts w:hint="default"/>
        </w:rPr>
      </w:pPr>
      <w:r>
        <w:t>土壤管理措施：采用土壤改良提升耕层土壤中有效硒的含量；</w:t>
      </w:r>
    </w:p>
    <w:p>
      <w:pPr>
        <w:pStyle w:val="56"/>
        <w:rPr>
          <w:rFonts w:hint="default"/>
        </w:rPr>
      </w:pPr>
      <w:r>
        <w:t>硒营养强化措施：叶面硒营养强化措施；</w:t>
      </w:r>
    </w:p>
    <w:p>
      <w:pPr>
        <w:pStyle w:val="56"/>
        <w:rPr>
          <w:rFonts w:hint="default"/>
        </w:rPr>
      </w:pPr>
      <w:r>
        <w:t>综合栽培措施：土壤改良和叶面硒营养强化措施。</w:t>
      </w:r>
    </w:p>
    <w:p>
      <w:pPr>
        <w:pStyle w:val="78"/>
        <w:bidi w:val="0"/>
        <w:spacing w:before="0" w:beforeLines="0" w:after="0" w:afterLines="0"/>
        <w:rPr>
          <w:rFonts w:hint="default"/>
        </w:rPr>
      </w:pPr>
      <w:r>
        <w:rPr>
          <w:rFonts w:hint="default"/>
        </w:rPr>
        <w:t>按照DB36/T 1531的要求进行。</w:t>
      </w:r>
    </w:p>
    <w:p>
      <w:pPr>
        <w:pStyle w:val="71"/>
        <w:bidi w:val="0"/>
        <w:rPr>
          <w:rFonts w:hint="default"/>
        </w:rPr>
      </w:pPr>
      <w:r>
        <w:rPr>
          <w:rFonts w:hint="eastAsia"/>
          <w:lang w:val="en-US" w:eastAsia="zh-CN"/>
        </w:rPr>
        <w:t>产品质量</w:t>
      </w:r>
      <w:bookmarkStart w:id="29" w:name="_GoBack"/>
      <w:bookmarkEnd w:id="29"/>
    </w:p>
    <w:p>
      <w:pPr>
        <w:pStyle w:val="72"/>
        <w:spacing w:before="156" w:after="156"/>
        <w:rPr>
          <w:rFonts w:hint="default"/>
        </w:rPr>
      </w:pPr>
      <w:r>
        <w:t>产品感官</w:t>
      </w:r>
    </w:p>
    <w:p>
      <w:pPr>
        <w:pStyle w:val="24"/>
        <w:ind w:firstLine="420"/>
        <w:rPr>
          <w:rFonts w:hint="default"/>
        </w:rPr>
      </w:pPr>
      <w:r>
        <w:t>应符合符合表1的规定。</w:t>
      </w:r>
    </w:p>
    <w:p>
      <w:pPr>
        <w:pStyle w:val="112"/>
        <w:spacing w:before="156" w:after="156"/>
        <w:rPr>
          <w:rFonts w:hint="default"/>
        </w:rPr>
      </w:pPr>
      <w:r>
        <w:t>感官要求</w:t>
      </w:r>
    </w:p>
    <w:tbl>
      <w:tblPr>
        <w:tblStyle w:val="20"/>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59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32" w:type="pct"/>
            <w:vAlign w:val="center"/>
          </w:tcPr>
          <w:p>
            <w:pPr>
              <w:pStyle w:val="24"/>
              <w:widowControl w:val="0"/>
              <w:ind w:firstLine="0" w:firstLineChars="0"/>
              <w:jc w:val="center"/>
              <w:rPr>
                <w:rFonts w:hint="default"/>
                <w:sz w:val="18"/>
                <w:szCs w:val="18"/>
              </w:rPr>
            </w:pPr>
            <w:r>
              <w:rPr>
                <w:sz w:val="18"/>
                <w:szCs w:val="18"/>
              </w:rPr>
              <w:t>项目</w:t>
            </w:r>
          </w:p>
        </w:tc>
        <w:tc>
          <w:tcPr>
            <w:tcW w:w="3918" w:type="pct"/>
            <w:vAlign w:val="center"/>
          </w:tcPr>
          <w:p>
            <w:pPr>
              <w:pStyle w:val="24"/>
              <w:widowControl w:val="0"/>
              <w:ind w:firstLine="0" w:firstLineChars="0"/>
              <w:jc w:val="center"/>
              <w:rPr>
                <w:rFonts w:hint="default"/>
                <w:sz w:val="18"/>
                <w:szCs w:val="18"/>
              </w:rPr>
            </w:pPr>
            <w:r>
              <w:rPr>
                <w:sz w:val="18"/>
                <w:szCs w:val="18"/>
              </w:rPr>
              <w:t>要求</w:t>
            </w:r>
          </w:p>
        </w:tc>
        <w:tc>
          <w:tcPr>
            <w:tcW w:w="649" w:type="pct"/>
            <w:vAlign w:val="center"/>
          </w:tcPr>
          <w:p>
            <w:pPr>
              <w:pStyle w:val="24"/>
              <w:widowControl w:val="0"/>
              <w:ind w:firstLine="0" w:firstLineChars="0"/>
              <w:jc w:val="center"/>
              <w:rPr>
                <w:rFonts w:hint="default"/>
                <w:sz w:val="18"/>
                <w:szCs w:val="18"/>
              </w:rPr>
            </w:pPr>
            <w:r>
              <w:rPr>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2" w:type="pct"/>
            <w:vAlign w:val="center"/>
          </w:tcPr>
          <w:p>
            <w:pPr>
              <w:pStyle w:val="24"/>
              <w:widowControl w:val="0"/>
              <w:ind w:firstLine="0" w:firstLineChars="0"/>
              <w:jc w:val="center"/>
              <w:rPr>
                <w:rFonts w:hint="default"/>
                <w:sz w:val="18"/>
                <w:szCs w:val="18"/>
              </w:rPr>
            </w:pPr>
            <w:r>
              <w:rPr>
                <w:sz w:val="18"/>
                <w:szCs w:val="18"/>
              </w:rPr>
              <w:t>果形</w:t>
            </w:r>
          </w:p>
        </w:tc>
        <w:tc>
          <w:tcPr>
            <w:tcW w:w="3918" w:type="pct"/>
            <w:vAlign w:val="center"/>
          </w:tcPr>
          <w:p>
            <w:pPr>
              <w:pStyle w:val="24"/>
              <w:widowControl w:val="0"/>
              <w:ind w:firstLine="0" w:firstLineChars="0"/>
              <w:jc w:val="center"/>
              <w:rPr>
                <w:rFonts w:hint="default"/>
                <w:sz w:val="18"/>
                <w:szCs w:val="18"/>
              </w:rPr>
            </w:pPr>
            <w:r>
              <w:rPr>
                <w:sz w:val="18"/>
                <w:szCs w:val="18"/>
              </w:rPr>
              <w:t>具有该品种特征果形，形状一致；果蒂完整、平齐，无萎蔫现象</w:t>
            </w:r>
          </w:p>
        </w:tc>
        <w:tc>
          <w:tcPr>
            <w:tcW w:w="649" w:type="pct"/>
            <w:vMerge w:val="restart"/>
            <w:vAlign w:val="center"/>
          </w:tcPr>
          <w:p>
            <w:pPr>
              <w:pStyle w:val="24"/>
              <w:widowControl w:val="0"/>
              <w:ind w:firstLine="0" w:firstLineChars="0"/>
              <w:jc w:val="center"/>
              <w:rPr>
                <w:rFonts w:hint="default"/>
                <w:sz w:val="18"/>
                <w:szCs w:val="18"/>
              </w:rPr>
            </w:pPr>
            <w:r>
              <w:rPr>
                <w:sz w:val="18"/>
                <w:szCs w:val="18"/>
              </w:rPr>
              <w:t>GB/T 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32" w:type="pct"/>
            <w:vAlign w:val="center"/>
          </w:tcPr>
          <w:p>
            <w:pPr>
              <w:pStyle w:val="24"/>
              <w:widowControl w:val="0"/>
              <w:ind w:firstLine="0" w:firstLineChars="0"/>
              <w:jc w:val="center"/>
              <w:rPr>
                <w:rFonts w:hint="default"/>
                <w:sz w:val="18"/>
                <w:szCs w:val="18"/>
              </w:rPr>
            </w:pPr>
            <w:r>
              <w:rPr>
                <w:sz w:val="18"/>
                <w:szCs w:val="18"/>
              </w:rPr>
              <w:t>色泽</w:t>
            </w:r>
          </w:p>
        </w:tc>
        <w:tc>
          <w:tcPr>
            <w:tcW w:w="3918" w:type="pct"/>
            <w:vAlign w:val="center"/>
          </w:tcPr>
          <w:p>
            <w:pPr>
              <w:pStyle w:val="24"/>
              <w:widowControl w:val="0"/>
              <w:ind w:firstLine="0" w:firstLineChars="0"/>
              <w:jc w:val="center"/>
              <w:rPr>
                <w:rFonts w:hint="default"/>
                <w:sz w:val="18"/>
                <w:szCs w:val="18"/>
              </w:rPr>
            </w:pPr>
            <w:r>
              <w:rPr>
                <w:sz w:val="18"/>
                <w:szCs w:val="18"/>
              </w:rPr>
              <w:t>具有该品种成熟果实特征色泽，着色均匀</w:t>
            </w:r>
          </w:p>
        </w:tc>
        <w:tc>
          <w:tcPr>
            <w:tcW w:w="649" w:type="pct"/>
            <w:vMerge w:val="continue"/>
            <w:vAlign w:val="center"/>
          </w:tcPr>
          <w:p>
            <w:pPr>
              <w:pStyle w:val="24"/>
              <w:widowControl w:val="0"/>
              <w:ind w:firstLine="0" w:firstLineChars="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32" w:type="pct"/>
            <w:vAlign w:val="center"/>
          </w:tcPr>
          <w:p>
            <w:pPr>
              <w:pStyle w:val="24"/>
              <w:widowControl w:val="0"/>
              <w:ind w:firstLine="0" w:firstLineChars="0"/>
              <w:jc w:val="center"/>
              <w:rPr>
                <w:rFonts w:hint="default"/>
                <w:sz w:val="18"/>
                <w:szCs w:val="18"/>
              </w:rPr>
            </w:pPr>
            <w:r>
              <w:rPr>
                <w:sz w:val="18"/>
                <w:szCs w:val="18"/>
              </w:rPr>
              <w:t>果面</w:t>
            </w:r>
          </w:p>
        </w:tc>
        <w:tc>
          <w:tcPr>
            <w:tcW w:w="3918" w:type="pct"/>
            <w:vAlign w:val="center"/>
          </w:tcPr>
          <w:p>
            <w:pPr>
              <w:pStyle w:val="24"/>
              <w:widowControl w:val="0"/>
              <w:ind w:firstLine="0" w:firstLineChars="0"/>
              <w:jc w:val="center"/>
              <w:rPr>
                <w:rFonts w:hint="default"/>
                <w:sz w:val="18"/>
                <w:szCs w:val="18"/>
              </w:rPr>
            </w:pPr>
            <w:r>
              <w:rPr>
                <w:sz w:val="18"/>
                <w:szCs w:val="18"/>
              </w:rPr>
              <w:t>洁净</w:t>
            </w:r>
          </w:p>
        </w:tc>
        <w:tc>
          <w:tcPr>
            <w:tcW w:w="649" w:type="pct"/>
            <w:vMerge w:val="continue"/>
            <w:vAlign w:val="center"/>
          </w:tcPr>
          <w:p>
            <w:pPr>
              <w:pStyle w:val="24"/>
              <w:widowControl w:val="0"/>
              <w:ind w:firstLine="0" w:firstLineChars="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32" w:type="pct"/>
            <w:vAlign w:val="center"/>
          </w:tcPr>
          <w:p>
            <w:pPr>
              <w:pStyle w:val="24"/>
              <w:widowControl w:val="0"/>
              <w:ind w:firstLine="0" w:firstLineChars="0"/>
              <w:jc w:val="center"/>
              <w:rPr>
                <w:rFonts w:hint="default"/>
                <w:sz w:val="18"/>
                <w:szCs w:val="18"/>
              </w:rPr>
            </w:pPr>
            <w:r>
              <w:rPr>
                <w:sz w:val="18"/>
                <w:szCs w:val="18"/>
              </w:rPr>
              <w:t>风味</w:t>
            </w:r>
          </w:p>
        </w:tc>
        <w:tc>
          <w:tcPr>
            <w:tcW w:w="3918" w:type="pct"/>
            <w:vAlign w:val="center"/>
          </w:tcPr>
          <w:p>
            <w:pPr>
              <w:pStyle w:val="24"/>
              <w:widowControl w:val="0"/>
              <w:ind w:firstLine="0" w:firstLineChars="0"/>
              <w:jc w:val="center"/>
              <w:rPr>
                <w:rFonts w:hint="default"/>
                <w:sz w:val="18"/>
                <w:szCs w:val="18"/>
              </w:rPr>
            </w:pPr>
            <w:r>
              <w:rPr>
                <w:sz w:val="18"/>
                <w:szCs w:val="18"/>
              </w:rPr>
              <w:t>具有该品种特征香气，汁液丰富，酸甜适度，无异味</w:t>
            </w:r>
          </w:p>
        </w:tc>
        <w:tc>
          <w:tcPr>
            <w:tcW w:w="649" w:type="pct"/>
            <w:vMerge w:val="continue"/>
            <w:vAlign w:val="center"/>
          </w:tcPr>
          <w:p>
            <w:pPr>
              <w:pStyle w:val="24"/>
              <w:widowControl w:val="0"/>
              <w:ind w:firstLine="0" w:firstLineChars="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32" w:type="pct"/>
            <w:vAlign w:val="center"/>
          </w:tcPr>
          <w:p>
            <w:pPr>
              <w:pStyle w:val="24"/>
              <w:widowControl w:val="0"/>
              <w:ind w:firstLine="0" w:firstLineChars="0"/>
              <w:jc w:val="center"/>
              <w:rPr>
                <w:rFonts w:hint="default"/>
                <w:sz w:val="18"/>
                <w:szCs w:val="18"/>
              </w:rPr>
            </w:pPr>
            <w:r>
              <w:rPr>
                <w:sz w:val="18"/>
                <w:szCs w:val="18"/>
              </w:rPr>
              <w:t>果实缺陷</w:t>
            </w:r>
          </w:p>
        </w:tc>
        <w:tc>
          <w:tcPr>
            <w:tcW w:w="3918" w:type="pct"/>
            <w:vAlign w:val="center"/>
          </w:tcPr>
          <w:p>
            <w:pPr>
              <w:pStyle w:val="24"/>
              <w:widowControl w:val="0"/>
              <w:ind w:firstLine="0" w:firstLineChars="0"/>
              <w:jc w:val="center"/>
              <w:rPr>
                <w:rFonts w:hint="default"/>
                <w:sz w:val="18"/>
                <w:szCs w:val="18"/>
              </w:rPr>
            </w:pPr>
            <w:r>
              <w:rPr>
                <w:sz w:val="18"/>
                <w:szCs w:val="18"/>
              </w:rPr>
              <w:t>无机械伤、雹伤、裂果、冻伤、腐烂现象；允许单过有轻微的日灼、干疤、油斑、网纹、病虫斑等缺陷，但单果斑点不超过4个，小果型品种每个斑点直径≤1.5mm，其他果型品种每个斑点直径≤2.5mm。无水肿、枯水果，允许有极轻微浮皮果</w:t>
            </w:r>
          </w:p>
        </w:tc>
        <w:tc>
          <w:tcPr>
            <w:tcW w:w="649" w:type="pct"/>
            <w:vMerge w:val="continue"/>
            <w:vAlign w:val="center"/>
          </w:tcPr>
          <w:p>
            <w:pPr>
              <w:pStyle w:val="24"/>
              <w:widowControl w:val="0"/>
              <w:ind w:firstLine="0" w:firstLineChars="0"/>
              <w:jc w:val="center"/>
              <w:rPr>
                <w:rFonts w:hint="default"/>
                <w:sz w:val="18"/>
                <w:szCs w:val="18"/>
              </w:rPr>
            </w:pPr>
          </w:p>
        </w:tc>
      </w:tr>
    </w:tbl>
    <w:p>
      <w:pPr>
        <w:pStyle w:val="72"/>
        <w:spacing w:before="156" w:after="156"/>
        <w:rPr>
          <w:rFonts w:hint="default"/>
        </w:rPr>
      </w:pPr>
      <w:r>
        <w:t>理化要求</w:t>
      </w:r>
    </w:p>
    <w:p>
      <w:pPr>
        <w:pStyle w:val="24"/>
        <w:ind w:firstLine="420"/>
      </w:pPr>
      <w:r>
        <w:t>应符合表2的规定。</w:t>
      </w:r>
    </w:p>
    <w:p>
      <w:pPr>
        <w:pStyle w:val="112"/>
        <w:bidi w:val="0"/>
        <w:rPr>
          <w:rFonts w:hint="default"/>
        </w:rPr>
      </w:pPr>
      <w:r>
        <w:rPr>
          <w:rFonts w:hint="eastAsia"/>
          <w:lang w:val="en-US" w:eastAsia="zh-CN"/>
        </w:rPr>
        <w:t>理化指标要求</w:t>
      </w:r>
    </w:p>
    <w:tbl>
      <w:tblPr>
        <w:tblStyle w:val="20"/>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157"/>
        <w:gridCol w:w="1029"/>
        <w:gridCol w:w="878"/>
        <w:gridCol w:w="1136"/>
        <w:gridCol w:w="1189"/>
        <w:gridCol w:w="113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30" w:type="pct"/>
            <w:vMerge w:val="restart"/>
            <w:vAlign w:val="center"/>
          </w:tcPr>
          <w:p>
            <w:pPr>
              <w:pStyle w:val="24"/>
              <w:widowControl w:val="0"/>
              <w:ind w:firstLine="0" w:firstLineChars="0"/>
              <w:jc w:val="center"/>
              <w:rPr>
                <w:rFonts w:hint="default"/>
                <w:sz w:val="18"/>
                <w:szCs w:val="18"/>
              </w:rPr>
            </w:pPr>
            <w:r>
              <w:rPr>
                <w:sz w:val="18"/>
                <w:szCs w:val="18"/>
              </w:rPr>
              <w:t>项目</w:t>
            </w:r>
          </w:p>
        </w:tc>
        <w:tc>
          <w:tcPr>
            <w:tcW w:w="3358" w:type="pct"/>
            <w:gridSpan w:val="6"/>
            <w:vAlign w:val="center"/>
          </w:tcPr>
          <w:p>
            <w:pPr>
              <w:pStyle w:val="24"/>
              <w:widowControl w:val="0"/>
              <w:ind w:firstLine="0" w:firstLineChars="0"/>
              <w:jc w:val="center"/>
              <w:rPr>
                <w:rFonts w:hint="default"/>
                <w:sz w:val="18"/>
                <w:szCs w:val="18"/>
              </w:rPr>
            </w:pPr>
            <w:r>
              <w:rPr>
                <w:sz w:val="18"/>
                <w:szCs w:val="18"/>
              </w:rPr>
              <w:t>指</w:t>
            </w:r>
            <w:r>
              <w:rPr>
                <w:rFonts w:hint="eastAsia"/>
                <w:sz w:val="18"/>
                <w:szCs w:val="18"/>
                <w:lang w:val="en-US" w:eastAsia="zh-CN"/>
              </w:rPr>
              <w:t xml:space="preserve"> </w:t>
            </w:r>
            <w:r>
              <w:rPr>
                <w:sz w:val="18"/>
                <w:szCs w:val="18"/>
              </w:rPr>
              <w:t>标</w:t>
            </w:r>
          </w:p>
        </w:tc>
        <w:tc>
          <w:tcPr>
            <w:tcW w:w="711" w:type="pct"/>
            <w:vMerge w:val="restart"/>
            <w:vAlign w:val="center"/>
          </w:tcPr>
          <w:p>
            <w:pPr>
              <w:pStyle w:val="24"/>
              <w:widowControl w:val="0"/>
              <w:ind w:firstLine="0" w:firstLineChars="0"/>
              <w:jc w:val="center"/>
              <w:rPr>
                <w:rFonts w:hint="default"/>
                <w:sz w:val="18"/>
                <w:szCs w:val="18"/>
              </w:rPr>
            </w:pPr>
            <w:r>
              <w:rPr>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0" w:type="pct"/>
            <w:vMerge w:val="continue"/>
            <w:vAlign w:val="center"/>
          </w:tcPr>
          <w:p>
            <w:pPr>
              <w:pStyle w:val="24"/>
              <w:widowControl w:val="0"/>
              <w:ind w:firstLine="0" w:firstLineChars="0"/>
              <w:jc w:val="center"/>
              <w:rPr>
                <w:rFonts w:hint="default"/>
                <w:sz w:val="18"/>
                <w:szCs w:val="18"/>
              </w:rPr>
            </w:pPr>
          </w:p>
        </w:tc>
        <w:tc>
          <w:tcPr>
            <w:tcW w:w="595" w:type="pct"/>
            <w:vAlign w:val="center"/>
          </w:tcPr>
          <w:p>
            <w:pPr>
              <w:pStyle w:val="24"/>
              <w:widowControl w:val="0"/>
              <w:ind w:firstLine="0" w:firstLineChars="0"/>
              <w:jc w:val="center"/>
              <w:rPr>
                <w:rFonts w:hint="default"/>
                <w:sz w:val="18"/>
                <w:szCs w:val="18"/>
              </w:rPr>
            </w:pPr>
            <w:r>
              <w:rPr>
                <w:sz w:val="18"/>
                <w:szCs w:val="18"/>
              </w:rPr>
              <w:t>宽皮柑橘类</w:t>
            </w:r>
          </w:p>
        </w:tc>
        <w:tc>
          <w:tcPr>
            <w:tcW w:w="529" w:type="pct"/>
            <w:vAlign w:val="center"/>
          </w:tcPr>
          <w:p>
            <w:pPr>
              <w:pStyle w:val="24"/>
              <w:widowControl w:val="0"/>
              <w:ind w:firstLine="0" w:firstLineChars="0"/>
              <w:jc w:val="center"/>
              <w:rPr>
                <w:rFonts w:hint="default"/>
                <w:sz w:val="18"/>
                <w:szCs w:val="18"/>
              </w:rPr>
            </w:pPr>
            <w:r>
              <w:rPr>
                <w:sz w:val="18"/>
                <w:szCs w:val="18"/>
              </w:rPr>
              <w:t>甜橙类</w:t>
            </w:r>
          </w:p>
        </w:tc>
        <w:tc>
          <w:tcPr>
            <w:tcW w:w="451" w:type="pct"/>
            <w:vAlign w:val="center"/>
          </w:tcPr>
          <w:p>
            <w:pPr>
              <w:pStyle w:val="24"/>
              <w:widowControl w:val="0"/>
              <w:ind w:firstLine="0" w:firstLineChars="0"/>
              <w:jc w:val="center"/>
              <w:rPr>
                <w:rFonts w:hint="default"/>
                <w:sz w:val="18"/>
                <w:szCs w:val="18"/>
              </w:rPr>
            </w:pPr>
            <w:r>
              <w:rPr>
                <w:sz w:val="18"/>
                <w:szCs w:val="18"/>
              </w:rPr>
              <w:t>柚类</w:t>
            </w:r>
          </w:p>
        </w:tc>
        <w:tc>
          <w:tcPr>
            <w:tcW w:w="584" w:type="pct"/>
            <w:vAlign w:val="center"/>
          </w:tcPr>
          <w:p>
            <w:pPr>
              <w:pStyle w:val="24"/>
              <w:widowControl w:val="0"/>
              <w:ind w:firstLine="0" w:firstLineChars="0"/>
              <w:jc w:val="center"/>
              <w:rPr>
                <w:rFonts w:hint="default"/>
                <w:sz w:val="18"/>
                <w:szCs w:val="18"/>
              </w:rPr>
            </w:pPr>
            <w:r>
              <w:rPr>
                <w:sz w:val="18"/>
                <w:szCs w:val="18"/>
              </w:rPr>
              <w:t>柠檬类</w:t>
            </w:r>
          </w:p>
        </w:tc>
        <w:tc>
          <w:tcPr>
            <w:tcW w:w="611" w:type="pct"/>
            <w:vAlign w:val="center"/>
          </w:tcPr>
          <w:p>
            <w:pPr>
              <w:pStyle w:val="24"/>
              <w:widowControl w:val="0"/>
              <w:ind w:firstLine="0" w:firstLineChars="0"/>
              <w:jc w:val="center"/>
              <w:rPr>
                <w:rFonts w:hint="default"/>
                <w:sz w:val="18"/>
                <w:szCs w:val="18"/>
              </w:rPr>
            </w:pPr>
            <w:r>
              <w:rPr>
                <w:sz w:val="18"/>
                <w:szCs w:val="18"/>
              </w:rPr>
              <w:t>金柑类</w:t>
            </w:r>
          </w:p>
        </w:tc>
        <w:tc>
          <w:tcPr>
            <w:tcW w:w="584" w:type="pct"/>
            <w:vAlign w:val="center"/>
          </w:tcPr>
          <w:p>
            <w:pPr>
              <w:pStyle w:val="24"/>
              <w:widowControl w:val="0"/>
              <w:ind w:firstLine="0" w:firstLineChars="0"/>
              <w:jc w:val="center"/>
              <w:rPr>
                <w:rFonts w:hint="default"/>
                <w:sz w:val="18"/>
                <w:szCs w:val="18"/>
              </w:rPr>
            </w:pPr>
            <w:r>
              <w:rPr>
                <w:sz w:val="18"/>
                <w:szCs w:val="18"/>
              </w:rPr>
              <w:t>杂交柑橘类</w:t>
            </w:r>
          </w:p>
        </w:tc>
        <w:tc>
          <w:tcPr>
            <w:tcW w:w="711" w:type="pct"/>
            <w:vMerge w:val="continue"/>
            <w:vAlign w:val="center"/>
          </w:tcPr>
          <w:p>
            <w:pPr>
              <w:pStyle w:val="24"/>
              <w:widowControl w:val="0"/>
              <w:ind w:firstLine="42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30" w:type="pct"/>
            <w:vAlign w:val="center"/>
          </w:tcPr>
          <w:p>
            <w:pPr>
              <w:pStyle w:val="24"/>
              <w:widowControl w:val="0"/>
              <w:ind w:firstLine="0" w:firstLineChars="0"/>
              <w:jc w:val="center"/>
              <w:rPr>
                <w:rFonts w:hint="default"/>
                <w:sz w:val="18"/>
                <w:szCs w:val="18"/>
              </w:rPr>
            </w:pPr>
            <w:r>
              <w:rPr>
                <w:sz w:val="18"/>
                <w:szCs w:val="18"/>
              </w:rPr>
              <w:t>硒含量，mg/kg</w:t>
            </w:r>
          </w:p>
        </w:tc>
        <w:tc>
          <w:tcPr>
            <w:tcW w:w="3358" w:type="pct"/>
            <w:gridSpan w:val="6"/>
            <w:vAlign w:val="center"/>
          </w:tcPr>
          <w:p>
            <w:pPr>
              <w:pStyle w:val="24"/>
              <w:widowControl w:val="0"/>
              <w:ind w:firstLine="0" w:firstLineChars="0"/>
              <w:jc w:val="center"/>
              <w:rPr>
                <w:rFonts w:hint="default"/>
                <w:sz w:val="18"/>
                <w:szCs w:val="18"/>
              </w:rPr>
            </w:pPr>
            <w:r>
              <w:rPr>
                <w:sz w:val="18"/>
                <w:szCs w:val="18"/>
              </w:rPr>
              <w:t>0.01～0.05</w:t>
            </w:r>
          </w:p>
        </w:tc>
        <w:tc>
          <w:tcPr>
            <w:tcW w:w="711" w:type="pct"/>
            <w:vAlign w:val="center"/>
          </w:tcPr>
          <w:p>
            <w:pPr>
              <w:pStyle w:val="24"/>
              <w:widowControl w:val="0"/>
              <w:ind w:firstLine="0" w:firstLineChars="0"/>
              <w:jc w:val="center"/>
              <w:rPr>
                <w:rFonts w:hint="default"/>
                <w:sz w:val="18"/>
                <w:szCs w:val="18"/>
              </w:rPr>
            </w:pPr>
            <w:r>
              <w:rPr>
                <w:sz w:val="18"/>
                <w:szCs w:val="18"/>
              </w:rPr>
              <w:t>GB 5009.93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0" w:type="pct"/>
            <w:vAlign w:val="center"/>
          </w:tcPr>
          <w:p>
            <w:pPr>
              <w:pStyle w:val="24"/>
              <w:widowControl w:val="0"/>
              <w:ind w:firstLine="0" w:firstLineChars="0"/>
              <w:jc w:val="center"/>
              <w:rPr>
                <w:rFonts w:hint="default"/>
                <w:sz w:val="18"/>
                <w:szCs w:val="18"/>
              </w:rPr>
            </w:pPr>
            <w:r>
              <w:rPr>
                <w:sz w:val="18"/>
                <w:szCs w:val="18"/>
              </w:rPr>
              <w:t>可溶性固形物，%</w:t>
            </w:r>
          </w:p>
        </w:tc>
        <w:tc>
          <w:tcPr>
            <w:tcW w:w="595" w:type="pct"/>
            <w:vAlign w:val="center"/>
          </w:tcPr>
          <w:p>
            <w:pPr>
              <w:pStyle w:val="24"/>
              <w:widowControl w:val="0"/>
              <w:ind w:firstLine="0" w:firstLineChars="0"/>
              <w:jc w:val="center"/>
              <w:rPr>
                <w:rFonts w:hint="default"/>
                <w:sz w:val="18"/>
                <w:szCs w:val="18"/>
              </w:rPr>
            </w:pPr>
            <w:r>
              <w:rPr>
                <w:sz w:val="18"/>
                <w:szCs w:val="18"/>
              </w:rPr>
              <w:t>≥9.5</w:t>
            </w:r>
          </w:p>
        </w:tc>
        <w:tc>
          <w:tcPr>
            <w:tcW w:w="529" w:type="pct"/>
            <w:vAlign w:val="center"/>
          </w:tcPr>
          <w:p>
            <w:pPr>
              <w:pStyle w:val="24"/>
              <w:widowControl w:val="0"/>
              <w:ind w:firstLine="0" w:firstLineChars="0"/>
              <w:jc w:val="center"/>
              <w:rPr>
                <w:rFonts w:hint="default"/>
                <w:sz w:val="18"/>
                <w:szCs w:val="18"/>
              </w:rPr>
            </w:pPr>
            <w:r>
              <w:rPr>
                <w:sz w:val="18"/>
                <w:szCs w:val="18"/>
              </w:rPr>
              <w:t>≥10.0</w:t>
            </w:r>
          </w:p>
        </w:tc>
        <w:tc>
          <w:tcPr>
            <w:tcW w:w="451" w:type="pct"/>
            <w:vAlign w:val="center"/>
          </w:tcPr>
          <w:p>
            <w:pPr>
              <w:pStyle w:val="24"/>
              <w:widowControl w:val="0"/>
              <w:ind w:firstLine="0" w:firstLineChars="0"/>
              <w:jc w:val="center"/>
              <w:rPr>
                <w:rFonts w:hint="default"/>
                <w:sz w:val="18"/>
                <w:szCs w:val="18"/>
              </w:rPr>
            </w:pPr>
            <w:r>
              <w:rPr>
                <w:sz w:val="18"/>
                <w:szCs w:val="18"/>
              </w:rPr>
              <w:t>≥10.0</w:t>
            </w:r>
          </w:p>
        </w:tc>
        <w:tc>
          <w:tcPr>
            <w:tcW w:w="584" w:type="pct"/>
            <w:vAlign w:val="center"/>
          </w:tcPr>
          <w:p>
            <w:pPr>
              <w:pStyle w:val="24"/>
              <w:widowControl w:val="0"/>
              <w:ind w:firstLine="0" w:firstLineChars="0"/>
              <w:jc w:val="center"/>
              <w:rPr>
                <w:rFonts w:hint="default"/>
                <w:sz w:val="18"/>
                <w:szCs w:val="18"/>
              </w:rPr>
            </w:pPr>
            <w:r>
              <w:rPr>
                <w:sz w:val="18"/>
                <w:szCs w:val="18"/>
              </w:rPr>
              <w:t>≥7.0</w:t>
            </w:r>
          </w:p>
        </w:tc>
        <w:tc>
          <w:tcPr>
            <w:tcW w:w="611" w:type="pct"/>
            <w:vAlign w:val="center"/>
          </w:tcPr>
          <w:p>
            <w:pPr>
              <w:pStyle w:val="24"/>
              <w:widowControl w:val="0"/>
              <w:ind w:firstLine="0" w:firstLineChars="0"/>
              <w:jc w:val="center"/>
              <w:rPr>
                <w:rFonts w:hint="default"/>
                <w:sz w:val="18"/>
                <w:szCs w:val="18"/>
              </w:rPr>
            </w:pPr>
            <w:r>
              <w:rPr>
                <w:sz w:val="18"/>
                <w:szCs w:val="18"/>
              </w:rPr>
              <w:t>≥10.0</w:t>
            </w:r>
          </w:p>
        </w:tc>
        <w:tc>
          <w:tcPr>
            <w:tcW w:w="584" w:type="pct"/>
            <w:vAlign w:val="center"/>
          </w:tcPr>
          <w:p>
            <w:pPr>
              <w:pStyle w:val="24"/>
              <w:widowControl w:val="0"/>
              <w:ind w:firstLine="0" w:firstLineChars="0"/>
              <w:jc w:val="center"/>
              <w:rPr>
                <w:rFonts w:hint="default"/>
                <w:sz w:val="18"/>
                <w:szCs w:val="18"/>
              </w:rPr>
            </w:pPr>
            <w:r>
              <w:rPr>
                <w:sz w:val="18"/>
                <w:szCs w:val="18"/>
              </w:rPr>
              <w:t>≥11.0</w:t>
            </w:r>
          </w:p>
        </w:tc>
        <w:tc>
          <w:tcPr>
            <w:tcW w:w="711" w:type="pct"/>
            <w:vMerge w:val="restart"/>
            <w:vAlign w:val="center"/>
          </w:tcPr>
          <w:p>
            <w:pPr>
              <w:pStyle w:val="24"/>
              <w:widowControl w:val="0"/>
              <w:ind w:firstLine="0" w:firstLineChars="0"/>
              <w:jc w:val="center"/>
              <w:rPr>
                <w:rFonts w:hint="default"/>
                <w:sz w:val="18"/>
                <w:szCs w:val="18"/>
              </w:rPr>
            </w:pPr>
            <w:r>
              <w:rPr>
                <w:sz w:val="18"/>
                <w:szCs w:val="18"/>
              </w:rPr>
              <w:t>GB/T 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30" w:type="pct"/>
            <w:vAlign w:val="center"/>
          </w:tcPr>
          <w:p>
            <w:pPr>
              <w:pStyle w:val="24"/>
              <w:widowControl w:val="0"/>
              <w:ind w:firstLine="0" w:firstLineChars="0"/>
              <w:jc w:val="center"/>
              <w:rPr>
                <w:rFonts w:hint="default"/>
                <w:sz w:val="18"/>
                <w:szCs w:val="18"/>
              </w:rPr>
            </w:pPr>
            <w:r>
              <w:rPr>
                <w:sz w:val="18"/>
                <w:szCs w:val="18"/>
              </w:rPr>
              <w:t>可滴定酸，g/100mL</w:t>
            </w:r>
          </w:p>
        </w:tc>
        <w:tc>
          <w:tcPr>
            <w:tcW w:w="595" w:type="pct"/>
            <w:vAlign w:val="center"/>
          </w:tcPr>
          <w:p>
            <w:pPr>
              <w:pStyle w:val="24"/>
              <w:widowControl w:val="0"/>
              <w:ind w:firstLine="0" w:firstLineChars="0"/>
              <w:jc w:val="center"/>
              <w:rPr>
                <w:rFonts w:hint="default"/>
                <w:sz w:val="18"/>
                <w:szCs w:val="18"/>
              </w:rPr>
            </w:pPr>
            <w:r>
              <w:rPr>
                <w:sz w:val="18"/>
                <w:szCs w:val="18"/>
              </w:rPr>
              <w:t>≤1.0</w:t>
            </w:r>
          </w:p>
        </w:tc>
        <w:tc>
          <w:tcPr>
            <w:tcW w:w="529" w:type="pct"/>
            <w:vAlign w:val="center"/>
          </w:tcPr>
          <w:p>
            <w:pPr>
              <w:pStyle w:val="24"/>
              <w:widowControl w:val="0"/>
              <w:ind w:firstLine="0" w:firstLineChars="0"/>
              <w:jc w:val="center"/>
              <w:rPr>
                <w:rFonts w:hint="default"/>
                <w:sz w:val="18"/>
                <w:szCs w:val="18"/>
              </w:rPr>
            </w:pPr>
            <w:r>
              <w:rPr>
                <w:sz w:val="18"/>
                <w:szCs w:val="18"/>
              </w:rPr>
              <w:t>≤1.0</w:t>
            </w:r>
          </w:p>
        </w:tc>
        <w:tc>
          <w:tcPr>
            <w:tcW w:w="451" w:type="pct"/>
            <w:vAlign w:val="center"/>
          </w:tcPr>
          <w:p>
            <w:pPr>
              <w:pStyle w:val="24"/>
              <w:widowControl w:val="0"/>
              <w:ind w:firstLine="0" w:firstLineChars="0"/>
              <w:jc w:val="center"/>
              <w:rPr>
                <w:rFonts w:hint="default"/>
                <w:sz w:val="18"/>
                <w:szCs w:val="18"/>
              </w:rPr>
            </w:pPr>
            <w:r>
              <w:rPr>
                <w:sz w:val="18"/>
                <w:szCs w:val="18"/>
              </w:rPr>
              <w:t>≤1.0</w:t>
            </w:r>
          </w:p>
        </w:tc>
        <w:tc>
          <w:tcPr>
            <w:tcW w:w="584" w:type="pct"/>
            <w:vAlign w:val="center"/>
          </w:tcPr>
          <w:p>
            <w:pPr>
              <w:pStyle w:val="24"/>
              <w:widowControl w:val="0"/>
              <w:ind w:firstLine="0" w:firstLineChars="0"/>
              <w:jc w:val="center"/>
              <w:rPr>
                <w:rFonts w:hint="default"/>
                <w:sz w:val="18"/>
                <w:szCs w:val="18"/>
              </w:rPr>
            </w:pPr>
            <w:r>
              <w:rPr>
                <w:sz w:val="18"/>
                <w:szCs w:val="18"/>
              </w:rPr>
              <w:t>≥4.5</w:t>
            </w:r>
          </w:p>
        </w:tc>
        <w:tc>
          <w:tcPr>
            <w:tcW w:w="611" w:type="pct"/>
            <w:vAlign w:val="center"/>
          </w:tcPr>
          <w:p>
            <w:pPr>
              <w:pStyle w:val="24"/>
              <w:widowControl w:val="0"/>
              <w:ind w:firstLine="0" w:firstLineChars="0"/>
              <w:jc w:val="center"/>
              <w:rPr>
                <w:rFonts w:hint="default"/>
                <w:sz w:val="18"/>
                <w:szCs w:val="18"/>
              </w:rPr>
            </w:pPr>
            <w:r>
              <w:rPr>
                <w:sz w:val="18"/>
                <w:szCs w:val="18"/>
              </w:rPr>
              <w:t>≤1.0</w:t>
            </w:r>
          </w:p>
        </w:tc>
        <w:tc>
          <w:tcPr>
            <w:tcW w:w="584" w:type="pct"/>
            <w:vAlign w:val="center"/>
          </w:tcPr>
          <w:p>
            <w:pPr>
              <w:pStyle w:val="24"/>
              <w:widowControl w:val="0"/>
              <w:ind w:firstLine="0" w:firstLineChars="0"/>
              <w:jc w:val="center"/>
              <w:rPr>
                <w:rFonts w:hint="default"/>
                <w:sz w:val="18"/>
                <w:szCs w:val="18"/>
              </w:rPr>
            </w:pPr>
            <w:r>
              <w:rPr>
                <w:sz w:val="18"/>
                <w:szCs w:val="18"/>
              </w:rPr>
              <w:t>≤1.0</w:t>
            </w:r>
          </w:p>
        </w:tc>
        <w:tc>
          <w:tcPr>
            <w:tcW w:w="711" w:type="pct"/>
            <w:vMerge w:val="continue"/>
            <w:vAlign w:val="center"/>
          </w:tcPr>
          <w:p>
            <w:pPr>
              <w:pStyle w:val="24"/>
              <w:widowControl w:val="0"/>
              <w:ind w:firstLine="42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30" w:type="pct"/>
            <w:vAlign w:val="center"/>
          </w:tcPr>
          <w:p>
            <w:pPr>
              <w:pStyle w:val="24"/>
              <w:widowControl w:val="0"/>
              <w:ind w:firstLine="0" w:firstLineChars="0"/>
              <w:jc w:val="center"/>
              <w:rPr>
                <w:rFonts w:hint="default"/>
                <w:sz w:val="18"/>
                <w:szCs w:val="18"/>
              </w:rPr>
            </w:pPr>
            <w:r>
              <w:rPr>
                <w:sz w:val="18"/>
                <w:szCs w:val="18"/>
              </w:rPr>
              <w:t>维生素C，mg/100g</w:t>
            </w:r>
          </w:p>
        </w:tc>
        <w:tc>
          <w:tcPr>
            <w:tcW w:w="595" w:type="pct"/>
            <w:vAlign w:val="center"/>
          </w:tcPr>
          <w:p>
            <w:pPr>
              <w:pStyle w:val="24"/>
              <w:widowControl w:val="0"/>
              <w:ind w:firstLine="0" w:firstLineChars="0"/>
              <w:jc w:val="center"/>
              <w:rPr>
                <w:rFonts w:hint="default"/>
                <w:sz w:val="18"/>
                <w:szCs w:val="18"/>
              </w:rPr>
            </w:pPr>
            <w:r>
              <w:rPr>
                <w:sz w:val="18"/>
                <w:szCs w:val="18"/>
              </w:rPr>
              <w:t>≥10.0</w:t>
            </w:r>
          </w:p>
        </w:tc>
        <w:tc>
          <w:tcPr>
            <w:tcW w:w="529" w:type="pct"/>
            <w:vAlign w:val="center"/>
          </w:tcPr>
          <w:p>
            <w:pPr>
              <w:pStyle w:val="24"/>
              <w:widowControl w:val="0"/>
              <w:ind w:firstLine="0" w:firstLineChars="0"/>
              <w:jc w:val="center"/>
              <w:rPr>
                <w:rFonts w:hint="default"/>
                <w:sz w:val="18"/>
                <w:szCs w:val="18"/>
              </w:rPr>
            </w:pPr>
            <w:r>
              <w:rPr>
                <w:sz w:val="18"/>
                <w:szCs w:val="18"/>
              </w:rPr>
              <w:t>≥30.0</w:t>
            </w:r>
          </w:p>
        </w:tc>
        <w:tc>
          <w:tcPr>
            <w:tcW w:w="451" w:type="pct"/>
            <w:vAlign w:val="center"/>
          </w:tcPr>
          <w:p>
            <w:pPr>
              <w:pStyle w:val="24"/>
              <w:widowControl w:val="0"/>
              <w:ind w:firstLine="0" w:firstLineChars="0"/>
              <w:jc w:val="center"/>
              <w:rPr>
                <w:rFonts w:hint="default"/>
                <w:sz w:val="18"/>
                <w:szCs w:val="18"/>
              </w:rPr>
            </w:pPr>
            <w:r>
              <w:rPr>
                <w:sz w:val="18"/>
                <w:szCs w:val="18"/>
              </w:rPr>
              <w:t>≥30.0</w:t>
            </w:r>
          </w:p>
        </w:tc>
        <w:tc>
          <w:tcPr>
            <w:tcW w:w="584" w:type="pct"/>
            <w:vAlign w:val="center"/>
          </w:tcPr>
          <w:p>
            <w:pPr>
              <w:pStyle w:val="24"/>
              <w:widowControl w:val="0"/>
              <w:ind w:firstLine="0" w:firstLineChars="0"/>
              <w:jc w:val="center"/>
              <w:rPr>
                <w:rFonts w:hint="default"/>
                <w:sz w:val="18"/>
                <w:szCs w:val="18"/>
              </w:rPr>
            </w:pPr>
            <w:r>
              <w:rPr>
                <w:sz w:val="18"/>
                <w:szCs w:val="18"/>
              </w:rPr>
              <w:t>≥20.0</w:t>
            </w:r>
          </w:p>
        </w:tc>
        <w:tc>
          <w:tcPr>
            <w:tcW w:w="611" w:type="pct"/>
            <w:vAlign w:val="center"/>
          </w:tcPr>
          <w:p>
            <w:pPr>
              <w:pStyle w:val="24"/>
              <w:widowControl w:val="0"/>
              <w:ind w:firstLine="0" w:firstLineChars="0"/>
              <w:jc w:val="center"/>
              <w:rPr>
                <w:rFonts w:hint="default"/>
                <w:sz w:val="18"/>
                <w:szCs w:val="18"/>
              </w:rPr>
            </w:pPr>
            <w:r>
              <w:rPr>
                <w:sz w:val="18"/>
                <w:szCs w:val="18"/>
              </w:rPr>
              <w:t>≥10.0</w:t>
            </w:r>
          </w:p>
        </w:tc>
        <w:tc>
          <w:tcPr>
            <w:tcW w:w="584" w:type="pct"/>
            <w:vAlign w:val="center"/>
          </w:tcPr>
          <w:p>
            <w:pPr>
              <w:pStyle w:val="24"/>
              <w:widowControl w:val="0"/>
              <w:ind w:firstLine="0" w:firstLineChars="0"/>
              <w:jc w:val="center"/>
              <w:rPr>
                <w:rFonts w:hint="default"/>
                <w:sz w:val="18"/>
                <w:szCs w:val="18"/>
              </w:rPr>
            </w:pPr>
            <w:r>
              <w:rPr>
                <w:sz w:val="18"/>
                <w:szCs w:val="18"/>
              </w:rPr>
              <w:t>≥20.0</w:t>
            </w:r>
          </w:p>
        </w:tc>
        <w:tc>
          <w:tcPr>
            <w:tcW w:w="711" w:type="pct"/>
            <w:vAlign w:val="center"/>
          </w:tcPr>
          <w:p>
            <w:pPr>
              <w:pStyle w:val="24"/>
              <w:widowControl w:val="0"/>
              <w:ind w:firstLine="0" w:firstLineChars="0"/>
              <w:jc w:val="center"/>
              <w:rPr>
                <w:rFonts w:hint="default"/>
                <w:sz w:val="18"/>
                <w:szCs w:val="18"/>
              </w:rPr>
            </w:pPr>
            <w:r>
              <w:rPr>
                <w:sz w:val="18"/>
                <w:szCs w:val="18"/>
              </w:rPr>
              <w:t>GB 5009.86</w:t>
            </w:r>
          </w:p>
        </w:tc>
      </w:tr>
    </w:tbl>
    <w:p>
      <w:pPr>
        <w:pStyle w:val="72"/>
        <w:spacing w:before="156" w:after="156"/>
        <w:rPr>
          <w:rFonts w:hint="default"/>
        </w:rPr>
      </w:pPr>
      <w:r>
        <w:t>卫生要求</w:t>
      </w:r>
    </w:p>
    <w:p>
      <w:pPr>
        <w:pStyle w:val="24"/>
        <w:ind w:firstLine="420"/>
        <w:rPr>
          <w:rFonts w:hint="default"/>
        </w:rPr>
      </w:pPr>
      <w:r>
        <w:t>应符合GB 2762、GB 2763有关规定。</w:t>
      </w:r>
    </w:p>
    <w:p>
      <w:pPr>
        <w:pStyle w:val="72"/>
        <w:spacing w:before="156" w:after="156"/>
        <w:rPr>
          <w:rFonts w:hint="default"/>
        </w:rPr>
      </w:pPr>
      <w:r>
        <w:t>净含量</w:t>
      </w:r>
    </w:p>
    <w:p>
      <w:pPr>
        <w:pStyle w:val="24"/>
        <w:ind w:firstLine="420"/>
        <w:rPr>
          <w:rFonts w:hint="default"/>
        </w:rPr>
      </w:pPr>
      <w:r>
        <w:t>应符合《定量包装商品计量监督管理办法》的规定，并按照JJF 1070的规定检验。</w:t>
      </w:r>
    </w:p>
    <w:p>
      <w:pPr>
        <w:pStyle w:val="71"/>
        <w:spacing w:before="312" w:after="312"/>
        <w:rPr>
          <w:rFonts w:hint="default"/>
        </w:rPr>
      </w:pPr>
      <w:bookmarkStart w:id="25" w:name="_Toc24433"/>
      <w:r>
        <w:t>检验规则</w:t>
      </w:r>
      <w:bookmarkEnd w:id="25"/>
    </w:p>
    <w:p>
      <w:pPr>
        <w:pStyle w:val="24"/>
        <w:ind w:firstLine="420"/>
        <w:rPr>
          <w:rFonts w:hint="default"/>
        </w:rPr>
      </w:pPr>
      <w:r>
        <w:t>按GB/T 12947的规定执行。</w:t>
      </w:r>
    </w:p>
    <w:p>
      <w:pPr>
        <w:pStyle w:val="71"/>
        <w:spacing w:before="312" w:after="312"/>
        <w:rPr>
          <w:rFonts w:hint="default"/>
        </w:rPr>
      </w:pPr>
      <w:bookmarkStart w:id="26" w:name="_Toc13102"/>
      <w:r>
        <w:t>标签</w:t>
      </w:r>
      <w:bookmarkEnd w:id="26"/>
    </w:p>
    <w:p>
      <w:pPr>
        <w:pStyle w:val="24"/>
        <w:ind w:firstLine="420"/>
        <w:rPr>
          <w:rFonts w:hint="default"/>
        </w:rPr>
      </w:pPr>
      <w:r>
        <w:t>包装储运图示标志按GB/T 191的规定执行，标签按GB 7718的规定执行。</w:t>
      </w:r>
    </w:p>
    <w:p>
      <w:pPr>
        <w:pStyle w:val="71"/>
        <w:spacing w:before="312" w:after="312"/>
        <w:rPr>
          <w:rFonts w:hint="default"/>
        </w:rPr>
      </w:pPr>
      <w:bookmarkStart w:id="27" w:name="_Toc950"/>
      <w:r>
        <w:t>包装、运输和储存</w:t>
      </w:r>
      <w:bookmarkEnd w:id="27"/>
    </w:p>
    <w:p>
      <w:pPr>
        <w:pStyle w:val="24"/>
        <w:ind w:firstLine="420"/>
        <w:rPr>
          <w:rFonts w:hint="default"/>
        </w:rPr>
      </w:pPr>
      <w:r>
        <w:t>按NY/T 426的规定执行。</w:t>
      </w:r>
    </w:p>
    <w:p>
      <w:pPr>
        <w:pStyle w:val="111"/>
        <w:framePr w:wrap="around"/>
        <w:rPr>
          <w:rFonts w:hint="default"/>
        </w:rPr>
      </w:pPr>
      <w:bookmarkStart w:id="28" w:name="EndLine"/>
      <w: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9"/>
                    <a:stretch>
                      <a:fillRect/>
                    </a:stretch>
                  </pic:blipFill>
                  <pic:spPr>
                    <a:xfrm>
                      <a:off x="0" y="0"/>
                      <a:ext cx="1485900" cy="317500"/>
                    </a:xfrm>
                    <a:prstGeom prst="rect">
                      <a:avLst/>
                    </a:prstGeom>
                  </pic:spPr>
                </pic:pic>
              </a:graphicData>
            </a:graphic>
          </wp:inline>
        </w:drawing>
      </w:r>
      <w:bookmarkEnd w:id="28"/>
    </w:p>
    <w:sectPr>
      <w:pgSz w:w="11906" w:h="16838"/>
      <w:pgMar w:top="2410" w:right="1134" w:bottom="1134" w:left="1134" w:header="1418" w:footer="1134" w:gutter="284"/>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ksdb"/>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pPr>
    <w:r>
      <w:rPr>
        <w:rStyle w:val="22"/>
      </w:rPr>
      <w:fldChar w:fldCharType="begin"/>
    </w:r>
    <w:r>
      <w:rPr>
        <w:rStyle w:val="22"/>
      </w:rPr>
      <w:instrText xml:space="preserve"> PAGE </w:instrText>
    </w:r>
    <w:r>
      <w:rPr>
        <w:rStyle w:val="22"/>
      </w:rPr>
      <w:fldChar w:fldCharType="separate"/>
    </w:r>
    <w:r>
      <w:rPr>
        <w:rStyle w:val="22"/>
      </w:rPr>
      <w:t>2</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default"/>
      </w:rPr>
    </w:pPr>
    <w:r>
      <w:rPr>
        <w:rStyle w:val="22"/>
        <w:rFonts w:hint="default"/>
      </w:rPr>
      <w:fldChar w:fldCharType="begin"/>
    </w:r>
    <w:r>
      <w:rPr>
        <w:rStyle w:val="22"/>
        <w:rFonts w:hint="default"/>
      </w:rPr>
      <w:instrText xml:space="preserve"> PAGE </w:instrText>
    </w:r>
    <w:r>
      <w:rPr>
        <w:rStyle w:val="22"/>
        <w:rFonts w:hint="default"/>
      </w:rPr>
      <w:fldChar w:fldCharType="separate"/>
    </w:r>
    <w:r>
      <w:rPr>
        <w:rStyle w:val="22"/>
        <w:rFonts w:hint="default"/>
      </w:rPr>
      <w:t>1</w:t>
    </w:r>
    <w:r>
      <w:rPr>
        <w:rStyle w:val="22"/>
        <w:rFonts w:hint="default"/>
      </w:rPr>
      <w:fldChar w:fldCharType="end"/>
    </w:r>
  </w:p>
  <w:p>
    <w:pPr>
      <w:pStyle w:val="3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ind w:left="227"/>
    </w:pPr>
    <w:r>
      <w:rPr>
        <w:rStyle w:val="22"/>
      </w:rPr>
      <w:fldChar w:fldCharType="begin"/>
    </w:r>
    <w:r>
      <w:rPr>
        <w:rStyle w:val="22"/>
      </w:rPr>
      <w:instrText xml:space="preserve"> PAGE </w:instrText>
    </w:r>
    <w:r>
      <w:rPr>
        <w:rStyle w:val="22"/>
      </w:rPr>
      <w:fldChar w:fldCharType="separate"/>
    </w:r>
    <w:r>
      <w:rPr>
        <w:rStyle w:val="22"/>
      </w:rPr>
      <w:t>2</w:t>
    </w:r>
    <w:r>
      <w:rPr>
        <w:rStyle w:val="22"/>
      </w:rPr>
      <w:fldChar w:fldCharType="end"/>
    </w:r>
  </w:p>
  <w:p>
    <w:pPr>
      <w:pStyle w:val="12"/>
      <w:ind w:left="2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bidi w:val="0"/>
      <w:rPr>
        <w:rFonts w:hint="eastAsia"/>
        <w:lang w:eastAsia="zh-CN"/>
      </w:rPr>
    </w:pPr>
    <w:r>
      <w:rPr>
        <w:rFonts w:hint="eastAsia"/>
        <w:lang w:eastAsia="zh-CN"/>
      </w:rPr>
      <w:t>T/JGE XXX—2023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rPr>
    </w:pPr>
    <w:r>
      <w:t>T/</w:t>
    </w:r>
    <w:r>
      <w:rPr>
        <w:rFonts w:hint="eastAsia"/>
        <w:lang w:val="en-US" w:eastAsia="zh-CN"/>
      </w:rPr>
      <w:t>JGE</w:t>
    </w:r>
    <w:r>
      <w:t xml:space="preserve"> XXX—</w:t>
    </w:r>
    <w:r>
      <w:rPr>
        <w:rFonts w:hint="eastAsia"/>
        <w:lang w:val="en-US"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F42B8"/>
    <w:multiLevelType w:val="multilevel"/>
    <w:tmpl w:val="9D4F42B8"/>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766BC2D"/>
    <w:multiLevelType w:val="multilevel"/>
    <w:tmpl w:val="A766BC2D"/>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B92DF171"/>
    <w:multiLevelType w:val="multilevel"/>
    <w:tmpl w:val="B92DF171"/>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BE6F7A00"/>
    <w:multiLevelType w:val="multilevel"/>
    <w:tmpl w:val="BE6F7A00"/>
    <w:lvl w:ilvl="0" w:tentative="0">
      <w:start w:val="1"/>
      <w:numFmt w:val="none"/>
      <w:pStyle w:val="105"/>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5C33834"/>
    <w:multiLevelType w:val="multilevel"/>
    <w:tmpl w:val="C5C33834"/>
    <w:lvl w:ilvl="0" w:tentative="0">
      <w:start w:val="1"/>
      <w:numFmt w:val="none"/>
      <w:pStyle w:val="56"/>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DC8A5E2C"/>
    <w:multiLevelType w:val="multilevel"/>
    <w:tmpl w:val="DC8A5E2C"/>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59400DE"/>
    <w:multiLevelType w:val="multilevel"/>
    <w:tmpl w:val="E59400DE"/>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C9E2247"/>
    <w:multiLevelType w:val="multilevel"/>
    <w:tmpl w:val="EC9E2247"/>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F79A709A"/>
    <w:multiLevelType w:val="multilevel"/>
    <w:tmpl w:val="F79A709A"/>
    <w:lvl w:ilvl="0" w:tentative="0">
      <w:start w:val="1"/>
      <w:numFmt w:val="decimal"/>
      <w:pStyle w:val="106"/>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0CE84471"/>
    <w:multiLevelType w:val="multilevel"/>
    <w:tmpl w:val="0CE84471"/>
    <w:lvl w:ilvl="0" w:tentative="0">
      <w:start w:val="1"/>
      <w:numFmt w:val="decimal"/>
      <w:pStyle w:val="104"/>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1946DCBB"/>
    <w:multiLevelType w:val="multilevel"/>
    <w:tmpl w:val="1946DCBB"/>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2C9EC0E7"/>
    <w:multiLevelType w:val="multilevel"/>
    <w:tmpl w:val="2C9EC0E7"/>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2D79223A"/>
    <w:multiLevelType w:val="multilevel"/>
    <w:tmpl w:val="2D79223A"/>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3">
    <w:nsid w:val="39B3B545"/>
    <w:multiLevelType w:val="multilevel"/>
    <w:tmpl w:val="39B3B545"/>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43724438"/>
    <w:multiLevelType w:val="multilevel"/>
    <w:tmpl w:val="43724438"/>
    <w:lvl w:ilvl="0" w:tentative="0">
      <w:start w:val="1"/>
      <w:numFmt w:val="none"/>
      <w:pStyle w:val="103"/>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48501A01"/>
    <w:multiLevelType w:val="multilevel"/>
    <w:tmpl w:val="48501A01"/>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6">
    <w:nsid w:val="5CC5E481"/>
    <w:multiLevelType w:val="multilevel"/>
    <w:tmpl w:val="5CC5E481"/>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5"/>
  </w:num>
  <w:num w:numId="3">
    <w:abstractNumId w:val="16"/>
  </w:num>
  <w:num w:numId="4">
    <w:abstractNumId w:val="13"/>
  </w:num>
  <w:num w:numId="5">
    <w:abstractNumId w:val="4"/>
  </w:num>
  <w:num w:numId="6">
    <w:abstractNumId w:val="10"/>
  </w:num>
  <w:num w:numId="7">
    <w:abstractNumId w:val="2"/>
  </w:num>
  <w:num w:numId="8">
    <w:abstractNumId w:val="11"/>
  </w:num>
  <w:num w:numId="9">
    <w:abstractNumId w:val="1"/>
  </w:num>
  <w:num w:numId="10">
    <w:abstractNumId w:val="14"/>
  </w:num>
  <w:num w:numId="11">
    <w:abstractNumId w:val="9"/>
  </w:num>
  <w:num w:numId="12">
    <w:abstractNumId w:val="3"/>
  </w:num>
  <w:num w:numId="13">
    <w:abstractNumId w:val="8"/>
  </w:num>
  <w:num w:numId="14">
    <w:abstractNumId w:val="5"/>
  </w:num>
  <w:num w:numId="15">
    <w:abstractNumId w:val="7"/>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EwOGNmMTVlMDA0Zjc0ODg1ZWU5ZjZkMmI5N2MifQ=="/>
  </w:docVars>
  <w:rsids>
    <w:rsidRoot w:val="77DA3E5D"/>
    <w:rsid w:val="000C126D"/>
    <w:rsid w:val="001879B3"/>
    <w:rsid w:val="0020363C"/>
    <w:rsid w:val="00310E9E"/>
    <w:rsid w:val="003379B2"/>
    <w:rsid w:val="00352E2D"/>
    <w:rsid w:val="004B7235"/>
    <w:rsid w:val="00634BBC"/>
    <w:rsid w:val="0071119A"/>
    <w:rsid w:val="008A0028"/>
    <w:rsid w:val="008B17AC"/>
    <w:rsid w:val="008E0D5B"/>
    <w:rsid w:val="00AB595F"/>
    <w:rsid w:val="00AE310B"/>
    <w:rsid w:val="00BC1991"/>
    <w:rsid w:val="00CD4D12"/>
    <w:rsid w:val="00D0447E"/>
    <w:rsid w:val="00D817A0"/>
    <w:rsid w:val="00DE5515"/>
    <w:rsid w:val="00E710EB"/>
    <w:rsid w:val="00FC02D2"/>
    <w:rsid w:val="01295426"/>
    <w:rsid w:val="023F7D78"/>
    <w:rsid w:val="02EA6E47"/>
    <w:rsid w:val="037C5129"/>
    <w:rsid w:val="037D28A2"/>
    <w:rsid w:val="0402733C"/>
    <w:rsid w:val="047F28E1"/>
    <w:rsid w:val="04FC6CDE"/>
    <w:rsid w:val="054619CB"/>
    <w:rsid w:val="05A67D41"/>
    <w:rsid w:val="069F5521"/>
    <w:rsid w:val="06C667F7"/>
    <w:rsid w:val="06D72484"/>
    <w:rsid w:val="089C3A9A"/>
    <w:rsid w:val="091C404B"/>
    <w:rsid w:val="093142C5"/>
    <w:rsid w:val="0A0C0C28"/>
    <w:rsid w:val="0A7948CF"/>
    <w:rsid w:val="0A9B534A"/>
    <w:rsid w:val="0B6E2A52"/>
    <w:rsid w:val="0C7F4812"/>
    <w:rsid w:val="0CC429F8"/>
    <w:rsid w:val="0D3E2CC8"/>
    <w:rsid w:val="0E6F6175"/>
    <w:rsid w:val="0EE65B5A"/>
    <w:rsid w:val="0F132227"/>
    <w:rsid w:val="0F60256C"/>
    <w:rsid w:val="106346DC"/>
    <w:rsid w:val="11330664"/>
    <w:rsid w:val="12AC3958"/>
    <w:rsid w:val="13E211B4"/>
    <w:rsid w:val="15381DF5"/>
    <w:rsid w:val="15E22B9A"/>
    <w:rsid w:val="164E0A05"/>
    <w:rsid w:val="167E1C5E"/>
    <w:rsid w:val="17464255"/>
    <w:rsid w:val="18044C9F"/>
    <w:rsid w:val="18A40C3E"/>
    <w:rsid w:val="19180CC4"/>
    <w:rsid w:val="19823668"/>
    <w:rsid w:val="199E715E"/>
    <w:rsid w:val="19BE4772"/>
    <w:rsid w:val="1B0864F2"/>
    <w:rsid w:val="1B614ED7"/>
    <w:rsid w:val="1B9C22DF"/>
    <w:rsid w:val="1B9D4AF4"/>
    <w:rsid w:val="1E667A5D"/>
    <w:rsid w:val="20CD6F3A"/>
    <w:rsid w:val="20E629F0"/>
    <w:rsid w:val="233A3AEB"/>
    <w:rsid w:val="23983773"/>
    <w:rsid w:val="23A43B72"/>
    <w:rsid w:val="25D21D21"/>
    <w:rsid w:val="25DA2B21"/>
    <w:rsid w:val="28293344"/>
    <w:rsid w:val="29497CAB"/>
    <w:rsid w:val="2963716A"/>
    <w:rsid w:val="2B1B2528"/>
    <w:rsid w:val="2B6C5822"/>
    <w:rsid w:val="2CDC4DD2"/>
    <w:rsid w:val="2D36779A"/>
    <w:rsid w:val="2D77639F"/>
    <w:rsid w:val="2D8C3E52"/>
    <w:rsid w:val="2DA837E5"/>
    <w:rsid w:val="2E152C45"/>
    <w:rsid w:val="2E562E43"/>
    <w:rsid w:val="2E8C1B36"/>
    <w:rsid w:val="2EAC037F"/>
    <w:rsid w:val="2EE55603"/>
    <w:rsid w:val="2F5C2A90"/>
    <w:rsid w:val="2F6E24A7"/>
    <w:rsid w:val="33C558E6"/>
    <w:rsid w:val="34D34AF8"/>
    <w:rsid w:val="34F81C5B"/>
    <w:rsid w:val="35CA77BD"/>
    <w:rsid w:val="372D055C"/>
    <w:rsid w:val="38047A48"/>
    <w:rsid w:val="381D26AC"/>
    <w:rsid w:val="38307D9F"/>
    <w:rsid w:val="38BA6192"/>
    <w:rsid w:val="3954793A"/>
    <w:rsid w:val="395704CB"/>
    <w:rsid w:val="3AEA6CE3"/>
    <w:rsid w:val="3BCF46F7"/>
    <w:rsid w:val="3BF8490D"/>
    <w:rsid w:val="3D191896"/>
    <w:rsid w:val="3D367F87"/>
    <w:rsid w:val="3D39255A"/>
    <w:rsid w:val="3ECD4F08"/>
    <w:rsid w:val="3FB870EC"/>
    <w:rsid w:val="3FD339BE"/>
    <w:rsid w:val="3FE17FF3"/>
    <w:rsid w:val="400D3523"/>
    <w:rsid w:val="401D6391"/>
    <w:rsid w:val="40DD7BB5"/>
    <w:rsid w:val="411D3BEC"/>
    <w:rsid w:val="42502735"/>
    <w:rsid w:val="43F718D7"/>
    <w:rsid w:val="4470141D"/>
    <w:rsid w:val="455D64DA"/>
    <w:rsid w:val="456B41DA"/>
    <w:rsid w:val="46776031"/>
    <w:rsid w:val="46FA4136"/>
    <w:rsid w:val="471A6F38"/>
    <w:rsid w:val="476D1E93"/>
    <w:rsid w:val="4770518B"/>
    <w:rsid w:val="49FE4113"/>
    <w:rsid w:val="4A8643C2"/>
    <w:rsid w:val="4B315A3D"/>
    <w:rsid w:val="4BBD40CB"/>
    <w:rsid w:val="4C8451AE"/>
    <w:rsid w:val="4D157B9C"/>
    <w:rsid w:val="4D3450B3"/>
    <w:rsid w:val="4D4D696D"/>
    <w:rsid w:val="4D6165BE"/>
    <w:rsid w:val="4EF821C2"/>
    <w:rsid w:val="505E671F"/>
    <w:rsid w:val="50C5567F"/>
    <w:rsid w:val="51732F86"/>
    <w:rsid w:val="51CE1A47"/>
    <w:rsid w:val="52C833AE"/>
    <w:rsid w:val="52FD4493"/>
    <w:rsid w:val="531A1A51"/>
    <w:rsid w:val="53222C5D"/>
    <w:rsid w:val="54E41BD1"/>
    <w:rsid w:val="562557D7"/>
    <w:rsid w:val="567D2D1E"/>
    <w:rsid w:val="56A26A6F"/>
    <w:rsid w:val="56FE00DC"/>
    <w:rsid w:val="571526B6"/>
    <w:rsid w:val="582A092A"/>
    <w:rsid w:val="58571B6D"/>
    <w:rsid w:val="58FE5F8F"/>
    <w:rsid w:val="5A117FBD"/>
    <w:rsid w:val="5A1F3535"/>
    <w:rsid w:val="5A432C7B"/>
    <w:rsid w:val="5CD042D9"/>
    <w:rsid w:val="5D5D3C01"/>
    <w:rsid w:val="5DA056D9"/>
    <w:rsid w:val="5DC6574D"/>
    <w:rsid w:val="5DFC2C15"/>
    <w:rsid w:val="5E346813"/>
    <w:rsid w:val="5E472DB3"/>
    <w:rsid w:val="5EED50AB"/>
    <w:rsid w:val="604102EF"/>
    <w:rsid w:val="62897240"/>
    <w:rsid w:val="62A31A2F"/>
    <w:rsid w:val="632E3D99"/>
    <w:rsid w:val="63C6685A"/>
    <w:rsid w:val="665372B3"/>
    <w:rsid w:val="66D63C83"/>
    <w:rsid w:val="674D17AB"/>
    <w:rsid w:val="674D61EE"/>
    <w:rsid w:val="677E10F1"/>
    <w:rsid w:val="69342E47"/>
    <w:rsid w:val="6A1C31A6"/>
    <w:rsid w:val="6AB665C1"/>
    <w:rsid w:val="6DDD2B82"/>
    <w:rsid w:val="6F084A97"/>
    <w:rsid w:val="6F753967"/>
    <w:rsid w:val="7053737A"/>
    <w:rsid w:val="70E51F56"/>
    <w:rsid w:val="726834BC"/>
    <w:rsid w:val="728078C9"/>
    <w:rsid w:val="73D74B7E"/>
    <w:rsid w:val="74744339"/>
    <w:rsid w:val="779E4C0D"/>
    <w:rsid w:val="77DA3E5D"/>
    <w:rsid w:val="78371EF2"/>
    <w:rsid w:val="7891121C"/>
    <w:rsid w:val="7A53344C"/>
    <w:rsid w:val="7A645894"/>
    <w:rsid w:val="7B5550A5"/>
    <w:rsid w:val="7BBC34EE"/>
    <w:rsid w:val="7E070FF3"/>
    <w:rsid w:val="7EDE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after="26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after="29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after="29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ind w:left="1583" w:hanging="1583"/>
      <w:outlineLvl w:val="8"/>
    </w:pPr>
    <w:rPr>
      <w:rFonts w:ascii="Arial" w:hAnsi="Arial" w:eastAsia="黑体"/>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ind w:left="1380" w:leftChars="200" w:hanging="960" w:hangingChars="200"/>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footnote reference"/>
    <w:basedOn w:val="21"/>
    <w:qFormat/>
    <w:uiPriority w:val="0"/>
    <w:rPr>
      <w:rFonts w:hint="eastAsia" w:ascii="宋体" w:hAnsi="宋体" w:eastAsia="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25">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0">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2">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2">
    <w:name w:val="封面标准英文名称"/>
    <w:basedOn w:val="41"/>
    <w:qFormat/>
    <w:uiPriority w:val="0"/>
    <w:pPr>
      <w:framePr w:wrap="around"/>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framePr w:wrap="around"/>
      <w:spacing w:before="760"/>
    </w:pPr>
  </w:style>
  <w:style w:type="paragraph" w:customStyle="1" w:styleId="44">
    <w:name w:val="封面标准文稿类别"/>
    <w:basedOn w:val="43"/>
    <w:qFormat/>
    <w:uiPriority w:val="0"/>
    <w:pPr>
      <w:framePr w:wrap="around"/>
      <w:spacing w:before="440" w:after="160"/>
    </w:pPr>
    <w:rPr>
      <w:rFonts w:ascii="黑体" w:hAnsi="黑体" w:cs="黑体"/>
      <w:sz w:val="24"/>
    </w:rPr>
  </w:style>
  <w:style w:type="paragraph" w:customStyle="1" w:styleId="45">
    <w:name w:val="封面标准文稿编辑信息"/>
    <w:basedOn w:val="44"/>
    <w:qFormat/>
    <w:uiPriority w:val="0"/>
    <w:pPr>
      <w:framePr w:wrap="around"/>
      <w:spacing w:before="180" w:line="240" w:lineRule="atLeast"/>
    </w:pPr>
    <w:rPr>
      <w:sz w:val="21"/>
    </w:rPr>
  </w:style>
  <w:style w:type="paragraph" w:customStyle="1" w:styleId="46">
    <w:name w:val="封面标准文稿附件"/>
    <w:basedOn w:val="44"/>
    <w:qFormat/>
    <w:uiPriority w:val="0"/>
    <w:pPr>
      <w:framePr w:wrap="around"/>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pPr>
      <w:framePr w:wrap="around"/>
    </w:pPr>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3">
    <w:name w:val="标准文件_目录标题"/>
    <w:basedOn w:val="1"/>
    <w:qFormat/>
    <w:uiPriority w:val="0"/>
    <w:pPr>
      <w:shd w:val="clear" w:color="auto"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tabs>
        <w:tab w:val="left" w:pos="1134"/>
      </w:tabs>
      <w:suppressAutoHyphens w:val="0"/>
      <w:ind w:hanging="426"/>
    </w:pPr>
    <w:rPr>
      <w:rFonts w:hint="eastAsia" w:ascii="宋体" w:hAnsi="Times New Roman" w:eastAsia="宋体" w:cs="宋体"/>
      <w:sz w:val="21"/>
      <w:lang w:val="en-US" w:eastAsia="zh-CN" w:bidi="ar-SA"/>
    </w:rPr>
  </w:style>
  <w:style w:type="paragraph" w:customStyle="1" w:styleId="57">
    <w:name w:val="标准文件_二级项2"/>
    <w:basedOn w:val="24"/>
    <w:next w:val="24"/>
    <w:qFormat/>
    <w:uiPriority w:val="0"/>
    <w:pPr>
      <w:numPr>
        <w:ilvl w:val="1"/>
        <w:numId w:val="5"/>
      </w:numPr>
      <w:suppressAutoHyphens w:val="0"/>
      <w:ind w:left="1270" w:hanging="419" w:firstLineChars="0"/>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2">
    <w:name w:val="标准文件_一级条标题"/>
    <w:basedOn w:val="71"/>
    <w:next w:val="24"/>
    <w:qFormat/>
    <w:uiPriority w:val="0"/>
    <w:pPr>
      <w:numPr>
        <w:ilvl w:val="1"/>
      </w:numPr>
      <w:spacing w:before="157" w:beforeLines="50" w:after="157" w:afterLines="5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4">
    <w:name w:val="标准文件_三级条标题"/>
    <w:basedOn w:val="73"/>
    <w:next w:val="24"/>
    <w:qFormat/>
    <w:uiPriority w:val="0"/>
    <w:pPr>
      <w:numPr>
        <w:ilvl w:val="3"/>
      </w:numPr>
      <w:spacing w:before="157" w:after="157"/>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suppressAutoHyphens w:val="0"/>
      <w:jc w:val="both"/>
    </w:pPr>
    <w:rPr>
      <w:rFonts w:hint="eastAsia" w:ascii="宋体" w:hAnsi="宋体" w:eastAsia="宋体" w:cs="宋体"/>
      <w:sz w:val="18"/>
      <w:lang w:val="en-US" w:eastAsia="zh-CN" w:bidi="ar-SA"/>
    </w:rPr>
  </w:style>
  <w:style w:type="paragraph" w:customStyle="1" w:styleId="104">
    <w:name w:val="标准文件_示例×"/>
    <w:basedOn w:val="1"/>
    <w:next w:val="102"/>
    <w:qFormat/>
    <w:uiPriority w:val="0"/>
    <w:pPr>
      <w:widowControl/>
      <w:numPr>
        <w:ilvl w:val="0"/>
        <w:numId w:val="11"/>
      </w:numPr>
      <w:suppressAutoHyphens w:val="0"/>
    </w:pPr>
    <w:rPr>
      <w:rFonts w:hAnsi="Times New Roman"/>
      <w:sz w:val="18"/>
    </w:rPr>
  </w:style>
  <w:style w:type="paragraph" w:customStyle="1" w:styleId="105">
    <w:name w:val="标准文件_注"/>
    <w:next w:val="24"/>
    <w:qFormat/>
    <w:uiPriority w:val="0"/>
    <w:pPr>
      <w:numPr>
        <w:ilvl w:val="0"/>
        <w:numId w:val="12"/>
      </w:numPr>
      <w:autoSpaceDE w:val="0"/>
      <w:autoSpaceDN w:val="0"/>
      <w:jc w:val="both"/>
    </w:pPr>
    <w:rPr>
      <w:rFonts w:hint="eastAsia" w:ascii="宋体" w:hAnsi="宋体" w:eastAsia="宋体" w:cs="宋体"/>
      <w:sz w:val="18"/>
      <w:lang w:val="en-US" w:eastAsia="zh-CN" w:bidi="ar-SA"/>
    </w:rPr>
  </w:style>
  <w:style w:type="paragraph" w:customStyle="1" w:styleId="106">
    <w:name w:val="标准文件_注×"/>
    <w:next w:val="24"/>
    <w:qFormat/>
    <w:uiPriority w:val="0"/>
    <w:pPr>
      <w:numPr>
        <w:ilvl w:val="0"/>
        <w:numId w:val="13"/>
      </w:numPr>
      <w:jc w:val="both"/>
    </w:pPr>
    <w:rPr>
      <w:rFonts w:hint="eastAsia" w:ascii="宋体" w:hAnsi="宋体" w:eastAsia="宋体" w:cs="宋体"/>
      <w:sz w:val="18"/>
      <w:lang w:val="en-US" w:eastAsia="zh-CN" w:bidi="ar-SA"/>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lang w:val="en-US" w:eastAsia="zh-CN" w:bidi="ar-SA"/>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b5641d-f3c9-4205-9117-8d9b775f3330}"/>
        <w:style w:val=""/>
        <w:category>
          <w:name w:val="常规"/>
          <w:gallery w:val="placeholder"/>
        </w:category>
        <w:types>
          <w:type w:val="bbPlcHdr"/>
        </w:types>
        <w:behaviors>
          <w:behavior w:val="content"/>
        </w:behaviors>
        <w:description w:val=""/>
        <w:guid w:val="{82B5641D-F3C9-4205-9117-8D9B775F3330}"/>
      </w:docPartPr>
      <w:docPartBody>
        <w:p>
          <w:r>
            <w:rPr>
              <w:color w:val="808080"/>
            </w:rPr>
            <w:t>选择一项。</w:t>
          </w:r>
        </w:p>
      </w:docPartBody>
    </w:docPart>
    <w:docPart>
      <w:docPartPr>
        <w:name w:val="{47a46aae-4250-4f2b-a72e-36dedf09cde1}"/>
        <w:style w:val=""/>
        <w:category>
          <w:name w:val="常规"/>
          <w:gallery w:val="placeholder"/>
        </w:category>
        <w:types>
          <w:type w:val="bbPlcHdr"/>
        </w:types>
        <w:behaviors>
          <w:behavior w:val="content"/>
        </w:behaviors>
        <w:description w:val=""/>
        <w:guid w:val="{47A46AAE-4250-4F2B-A72E-36DEDF09CDE1}"/>
      </w:docPartPr>
      <w:docPartBody>
        <w:p>
          <w:r>
            <w:rPr>
              <w:color w:val="808080"/>
            </w:rPr>
            <w:t>选择一项。</w:t>
          </w:r>
        </w:p>
      </w:docPartBody>
    </w:docPart>
    <w:docPart>
      <w:docPartPr>
        <w:name w:val="{47f61be1-0ffa-49ea-9cc2-ca347d8d2e28}"/>
        <w:style w:val=""/>
        <w:category>
          <w:name w:val="常规"/>
          <w:gallery w:val="placeholder"/>
        </w:category>
        <w:types>
          <w:type w:val="bbPlcHdr"/>
        </w:types>
        <w:behaviors>
          <w:behavior w:val="content"/>
        </w:behaviors>
        <w:description w:val=""/>
        <w:guid w:val="{47F61BE1-0FFA-49EA-9CC2-CA347D8D2E2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485444"/>
    <w:rsid w:val="002250E3"/>
    <w:rsid w:val="002F670F"/>
    <w:rsid w:val="00485444"/>
    <w:rsid w:val="00791364"/>
    <w:rsid w:val="00836F2A"/>
    <w:rsid w:val="0095313B"/>
    <w:rsid w:val="00BB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413</Words>
  <Characters>2356</Characters>
  <Lines>19</Lines>
  <Paragraphs>5</Paragraphs>
  <TotalTime>1</TotalTime>
  <ScaleCrop>false</ScaleCrop>
  <LinksUpToDate>false</LinksUpToDate>
  <CharactersWithSpaces>2764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2023-05-26T06:03:00Z</dcterms:created>
  <dc:creator>魏波</dc:creator>
  <cp:lastModifiedBy>陈亚茹</cp:lastModifiedBy>
  <dcterms:modified xsi:type="dcterms:W3CDTF">2023-10-20T04:48:29Z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4CE6505D441745D5AD45E51BE90A85FF_13</vt:lpwstr>
  </property>
</Properties>
</file>