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framePr w:w="1610" w:vAnchor="page" w:hAnchor="page" w:x="1373" w:y="764"/>
      </w:pPr>
      <w:r>
        <w:rPr>
          <w:rFonts w:ascii="Times New Roman"/>
        </w:rPr>
        <w:t>ICS</w:t>
      </w:r>
      <w:r>
        <w:rPr>
          <w:rFonts w:ascii="Tahoma" w:hAnsi="Tahoma" w:cs="Tahoma"/>
        </w:rPr>
        <w:t> </w:t>
      </w:r>
      <w:r>
        <w:t>67.140.10</w:t>
      </w:r>
    </w:p>
    <w:p>
      <w:pPr>
        <w:pStyle w:val="5"/>
        <w:framePr w:w="1610" w:vAnchor="page" w:hAnchor="page" w:x="1373" w:y="764"/>
      </w:pPr>
      <w:r>
        <w:rPr>
          <w:rFonts w:hint="eastAsia"/>
        </w:rPr>
        <w:t>X</w:t>
      </w:r>
      <w:r>
        <w:t xml:space="preserve"> 5</w:t>
      </w:r>
      <w:r>
        <w:rPr>
          <w:rFonts w:hint="eastAsia"/>
        </w:rPr>
        <w:t>5</w:t>
      </w:r>
    </w:p>
    <w:p>
      <w:pPr>
        <w:pStyle w:val="6"/>
      </w:pPr>
      <w:r>
        <w:rPr>
          <w:rFonts w:hint="eastAsia"/>
        </w:rPr>
        <w:t xml:space="preserve">HSTA </w:t>
      </w:r>
    </w:p>
    <w:p>
      <w:pPr>
        <w:pStyle w:val="8"/>
        <w:framePr w:w="9578" w:h="1166" w:hRule="exact" w:x="1311" w:y="2167"/>
      </w:pPr>
      <w:r>
        <w:rPr>
          <w:rFonts w:hint="eastAsia"/>
          <w:b/>
          <w:bCs/>
          <w:sz w:val="52"/>
          <w:szCs w:val="56"/>
        </w:rPr>
        <w:t>黄山市茶叶行业协会团</w:t>
      </w:r>
      <w:r>
        <w:rPr>
          <w:b/>
          <w:bCs/>
          <w:sz w:val="52"/>
          <w:szCs w:val="56"/>
        </w:rPr>
        <mc:AlternateContent>
          <mc:Choice Requires="wps">
            <w:drawing>
              <wp:anchor distT="0" distB="0" distL="114300" distR="114300" simplePos="0" relativeHeight="251661312" behindDoc="0" locked="1" layoutInCell="1" allowOverlap="1">
                <wp:simplePos x="0" y="0"/>
                <wp:positionH relativeFrom="column">
                  <wp:posOffset>-220980</wp:posOffset>
                </wp:positionH>
                <wp:positionV relativeFrom="page">
                  <wp:posOffset>-1184910</wp:posOffset>
                </wp:positionV>
                <wp:extent cx="612013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7.4pt;margin-top:-93.3pt;height:0pt;width:481.9pt;mso-position-vertical-relative:page;z-index:251661312;mso-width-relative:page;mso-height-relative:page;" filled="f" stroked="t" coordsize="21600,21600" o:gfxdata="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t26UNgAAAANAQAADwAA&#10;AAAAAAABACAAAAAiAAAAZHJzL2Rvd25yZXYueG1sUEsBAhQAFAAAAAgAh07iQJI2b1bdAQAApAMA&#10;AA4AAAAAAAAAAQAgAAAAJwEAAGRycy9lMm9Eb2MueG1sUEsFBgAAAAAGAAYAWQEAAHYFAAAAAA==&#10;">
                <v:fill on="f" focussize="0,0"/>
                <v:stroke color="#000000" joinstyle="round"/>
                <v:imagedata o:title=""/>
                <o:lock v:ext="edit" aspectratio="f"/>
                <w10:anchorlock/>
              </v:line>
            </w:pict>
          </mc:Fallback>
        </mc:AlternateContent>
      </w:r>
      <w:r>
        <w:rPr>
          <w:rFonts w:hint="eastAsia"/>
          <w:b/>
          <w:bCs/>
          <w:sz w:val="52"/>
          <w:szCs w:val="56"/>
        </w:rPr>
        <w:t>体标准</w:t>
      </w:r>
    </w:p>
    <w:p>
      <w:pPr>
        <w:pStyle w:val="9"/>
        <w:wordWrap w:val="0"/>
        <w:rPr>
          <w:rFonts w:hAnsi="黑体"/>
        </w:rPr>
      </w:pPr>
      <w:r>
        <w:rPr>
          <w:rFonts w:hint="eastAsia" w:ascii="Times New Roman"/>
        </w:rPr>
        <w:t>T</w:t>
      </w:r>
      <w:r>
        <w:rPr>
          <w:rFonts w:ascii="Times New Roman"/>
        </w:rPr>
        <w:t xml:space="preserve"> </w:t>
      </w:r>
      <w:r>
        <w:rPr>
          <w:rFonts w:hAnsi="黑体"/>
        </w:rPr>
        <w:t>/</w:t>
      </w:r>
      <w:r>
        <w:rPr>
          <w:rFonts w:hint="eastAsia" w:hAnsi="黑体"/>
        </w:rPr>
        <w:t>HSTA XX</w:t>
      </w:r>
      <w:r>
        <w:rPr>
          <w:rFonts w:hAnsi="黑体"/>
        </w:rPr>
        <w:t>—</w:t>
      </w:r>
      <w:r>
        <w:rPr>
          <w:rFonts w:hint="eastAsia" w:hAnsi="黑体"/>
        </w:rPr>
        <w:t>2023</w:t>
      </w:r>
    </w:p>
    <w:p>
      <w:pPr>
        <w:pStyle w:val="9"/>
        <w:rPr>
          <w:rFonts w:hAnsi="黑体"/>
        </w:rPr>
      </w:pPr>
    </w:p>
    <w:p>
      <w:pPr>
        <w:pStyle w:val="9"/>
        <w:rPr>
          <w:rFonts w:hAnsi="黑体"/>
        </w:rPr>
      </w:pPr>
    </w:p>
    <w:p>
      <w:pPr>
        <w:pStyle w:val="10"/>
        <w:framePr w:y="5450"/>
      </w:pPr>
    </w:p>
    <w:p>
      <w:pPr>
        <w:pStyle w:val="10"/>
        <w:framePr w:y="5450"/>
      </w:pPr>
    </w:p>
    <w:p>
      <w:pPr>
        <w:pStyle w:val="10"/>
        <w:framePr w:y="5450"/>
      </w:pPr>
      <w:r>
        <w:rPr>
          <w:rFonts w:hint="eastAsia"/>
        </w:rPr>
        <w:t>黄山毛峰富溪产区茶</w:t>
      </w:r>
    </w:p>
    <w:p>
      <w:pPr>
        <w:pStyle w:val="11"/>
        <w:framePr w:y="5450"/>
        <w:ind w:firstLine="280" w:firstLineChars="100"/>
      </w:pPr>
      <w:r>
        <w:rPr>
          <w:rFonts w:hint="eastAsia"/>
        </w:rPr>
        <w:t xml:space="preserve">Huangshan maofeng Fuxi production area tea </w:t>
      </w:r>
    </w:p>
    <w:p>
      <w:pPr>
        <w:pStyle w:val="11"/>
        <w:framePr w:y="5450"/>
        <w:ind w:firstLine="280" w:firstLineChars="100"/>
        <w:rPr>
          <w:rFonts w:asciiTheme="majorEastAsia" w:hAnsiTheme="majorEastAsia" w:eastAsiaTheme="majorEastAsia" w:cstheme="majorEastAsia"/>
        </w:rPr>
      </w:pP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征求意见</w:t>
      </w:r>
      <w:r>
        <w:rPr>
          <w:rFonts w:hint="eastAsia" w:asciiTheme="majorEastAsia" w:hAnsiTheme="majorEastAsia" w:eastAsiaTheme="majorEastAsia" w:cstheme="majorEastAsia"/>
        </w:rPr>
        <w:t>稿）</w:t>
      </w:r>
    </w:p>
    <w:p>
      <w:pPr>
        <w:pStyle w:val="11"/>
        <w:framePr w:y="5450"/>
        <w:tabs>
          <w:tab w:val="left" w:pos="3725"/>
        </w:tabs>
        <w:ind w:left="3360" w:firstLine="420"/>
        <w:jc w:val="left"/>
        <w:rPr>
          <w:rFonts w:eastAsia="仿宋"/>
        </w:rPr>
      </w:pPr>
    </w:p>
    <w:p>
      <w:pPr>
        <w:pStyle w:val="12"/>
        <w:framePr w:y="5450"/>
        <w:rPr>
          <w:sz w:val="21"/>
          <w:szCs w:val="21"/>
        </w:rPr>
      </w:pPr>
    </w:p>
    <w:p>
      <w:pPr>
        <w:pStyle w:val="13"/>
        <w:framePr w:vAnchor="page" w:hAnchor="page" w:x="1547" w:y="14223"/>
      </w:pPr>
      <w:r>
        <w:rPr>
          <w:rFonts w:hint="eastAsia" w:ascii="黑体"/>
        </w:rPr>
        <w:t>2023</w:t>
      </w:r>
      <w:r>
        <w:rPr>
          <w:rFonts w:ascii="黑体"/>
        </w:rPr>
        <w:t>-</w:t>
      </w:r>
      <w:r>
        <w:rPr>
          <w:rFonts w:hint="eastAsia" w:ascii="黑体"/>
        </w:rPr>
        <w:t>XX</w:t>
      </w:r>
      <w:r>
        <w:rPr>
          <w:rFonts w:ascii="黑体"/>
        </w:rPr>
        <w:t>-</w:t>
      </w:r>
      <w:r>
        <w:rPr>
          <w:rFonts w:hint="eastAsia" w:ascii="黑体"/>
        </w:rPr>
        <w:t xml:space="preserve">XX </w:t>
      </w:r>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-119380</wp:posOffset>
                </wp:positionH>
                <wp:positionV relativeFrom="page">
                  <wp:posOffset>9374505</wp:posOffset>
                </wp:positionV>
                <wp:extent cx="612013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4pt;margin-top:738.15pt;height:0pt;width:481.9pt;mso-position-vertical-relative:page;z-index:251659264;mso-width-relative:page;mso-height-relative:page;" filled="f" stroked="t" coordsize="21600,21600" o:gfxdata="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6qnP7YAAAADQEAAA8A&#10;AAAAAAAAAQAgAAAAIgAAAGRycy9kb3ducmV2LnhtbFBLAQIUABQAAAAIAIdO4kBSWH6l3gEAAKQD&#10;AAAOAAAAAAAAAAEAIAAAACcBAABkcnMvZTJvRG9jLnhtbFBLBQYAAAAABgAGAFkBAAB3BQAAAAA=&#10;">
                <v:fill on="f" focussize="0,0"/>
                <v:stroke color="#000000" joinstyle="round"/>
                <v:imagedata o:title=""/>
                <o:lock v:ext="edit" aspectratio="f"/>
                <w10:anchorlock/>
              </v:line>
            </w:pict>
          </mc:Fallback>
        </mc:AlternateContent>
      </w:r>
    </w:p>
    <w:p>
      <w:pPr>
        <w:pStyle w:val="15"/>
        <w:framePr w:vAnchor="page" w:hAnchor="page" w:x="6828" w:y="14140"/>
        <w:ind w:left="-1785" w:leftChars="-850" w:firstLine="103" w:firstLineChars="37"/>
      </w:pPr>
      <w:r>
        <w:rPr>
          <w:rFonts w:hint="eastAsia" w:ascii="黑体"/>
          <w:szCs w:val="22"/>
        </w:rPr>
        <w:t>2023</w:t>
      </w:r>
      <w:r>
        <w:rPr>
          <w:rFonts w:ascii="黑体"/>
          <w:szCs w:val="22"/>
        </w:rPr>
        <w:t>-</w:t>
      </w:r>
      <w:r>
        <w:rPr>
          <w:rFonts w:hint="eastAsia" w:ascii="黑体"/>
          <w:szCs w:val="22"/>
        </w:rPr>
        <w:t>XX</w:t>
      </w:r>
      <w:r>
        <w:rPr>
          <w:rFonts w:ascii="黑体"/>
          <w:szCs w:val="22"/>
        </w:rPr>
        <w:t>-</w:t>
      </w:r>
      <w:r>
        <w:rPr>
          <w:rFonts w:hint="eastAsia" w:ascii="黑体"/>
          <w:szCs w:val="22"/>
        </w:rPr>
        <w:t>XX</w:t>
      </w:r>
      <w:r>
        <w:rPr>
          <w:rFonts w:hint="eastAsia"/>
        </w:rPr>
        <w:t>实施</w:t>
      </w:r>
    </w:p>
    <w:p>
      <w:pPr>
        <w:pStyle w:val="17"/>
        <w:framePr w:h="1243" w:hRule="exact" w:x="1834" w:y="14920"/>
        <w:rPr>
          <w:rFonts w:hAnsi="黑体"/>
          <w:szCs w:val="22"/>
        </w:rPr>
      </w:pPr>
      <w:r>
        <w:rPr>
          <w:rFonts w:hint="eastAsia" w:hAnsi="黑体"/>
          <w:szCs w:val="22"/>
        </w:rPr>
        <w:t>黄山市茶叶行业协会</w:t>
      </w:r>
      <w:r>
        <w:rPr>
          <w:w w:val="100"/>
        </w:rPr>
        <mc:AlternateContent>
          <mc:Choice Requires="wps">
            <w:drawing>
              <wp:anchor distT="0" distB="0" distL="114300" distR="114300" simplePos="0" relativeHeight="251657216" behindDoc="1" locked="0" layoutInCell="1" allowOverlap="1">
                <wp:simplePos x="0" y="0"/>
                <wp:positionH relativeFrom="column">
                  <wp:posOffset>1810385</wp:posOffset>
                </wp:positionH>
                <wp:positionV relativeFrom="paragraph">
                  <wp:posOffset>-3942715</wp:posOffset>
                </wp:positionV>
                <wp:extent cx="1270000" cy="304800"/>
                <wp:effectExtent l="0" t="0" r="6350" b="0"/>
                <wp:wrapNone/>
                <wp:docPr id="6" name="矩形 6"/>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a:effectLst/>
                      </wps:spPr>
                      <wps:bodyPr upright="1"/>
                    </wps:wsp>
                  </a:graphicData>
                </a:graphic>
              </wp:anchor>
            </w:drawing>
          </mc:Choice>
          <mc:Fallback>
            <w:pict>
              <v:rect id="_x0000_s1026" o:spid="_x0000_s1026" o:spt="1" style="position:absolute;left:0pt;margin-left:142.55pt;margin-top:-310.45pt;height:24pt;width:100pt;z-index:-251659264;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m17tbZAAAADQEAAA8AAAAAAAAAAQAgAAAA&#10;IgAAAGRycy9kb3ducmV2LnhtbFBLAQIUABQAAAAIAIdO4kADmb36mAEAAB8DAAAOAAAAAAAAAAEA&#10;IAAAACgBAABkcnMvZTJvRG9jLnhtbFBLBQYAAAAABgAGAFkBAAAyBQAAAAA=&#10;">
                <v:fill on="t" focussize="0,0"/>
                <v:stroke on="f"/>
                <v:imagedata o:title=""/>
                <o:lock v:ext="edit" aspectratio="f"/>
              </v:rect>
            </w:pict>
          </mc:Fallback>
        </mc:AlternateContent>
      </w:r>
      <w:r>
        <w:rPr>
          <w:w w:val="100"/>
        </w:rPr>
        <mc:AlternateContent>
          <mc:Choice Requires="wps">
            <w:drawing>
              <wp:anchor distT="0" distB="0" distL="114300" distR="114300" simplePos="0" relativeHeight="251656192"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2" name="矩形 2"/>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a:effectLst/>
                      </wps:spPr>
                      <wps:bodyPr upright="1"/>
                    </wps:wsp>
                  </a:graphicData>
                </a:graphic>
              </wp:anchor>
            </w:drawing>
          </mc:Choice>
          <mc:Fallback>
            <w:pict>
              <v:rect id="_x0000_s1026" o:spid="_x0000_s1026" o:spt="1" style="position:absolute;left:0pt;margin-left:347.55pt;margin-top:-585.45pt;height:18pt;width:90pt;z-index:-251660288;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N/JihHaAAAADwEAAA8AAAAAAAAAAQAgAAAA&#10;IgAAAGRycy9kb3ducmV2LnhtbFBLAQIUABQAAAAIAIdO4kDPsN23lwEAAB8DAAAOAAAAAAAAAAEA&#10;IAAAACkBAABkcnMvZTJvRG9jLnhtbFBLBQYAAAAABgAGAFkBAAAyBQAAAAA=&#10;">
                <v:fill on="t" focussize="0,0"/>
                <v:stroke on="f"/>
                <v:imagedata o:title=""/>
                <o:lock v:ext="edit" aspectratio="f"/>
              </v:rect>
            </w:pict>
          </mc:Fallback>
        </mc:AlternateContent>
      </w:r>
      <w:r>
        <w:rPr>
          <w:w w:val="100"/>
        </w:rPr>
        <mc:AlternateContent>
          <mc:Choice Requires="wps">
            <w:drawing>
              <wp:anchor distT="0" distB="0" distL="114300" distR="114300" simplePos="0" relativeHeight="251660288" behindDoc="0" locked="0" layoutInCell="1" allowOverlap="1">
                <wp:simplePos x="0" y="0"/>
                <wp:positionH relativeFrom="column">
                  <wp:posOffset>-464820</wp:posOffset>
                </wp:positionH>
                <wp:positionV relativeFrom="paragraph">
                  <wp:posOffset>-7021195</wp:posOffset>
                </wp:positionV>
                <wp:extent cx="612013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6.6pt;margin-top:-552.85pt;height:0pt;width:481.9pt;z-index:251660288;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yWRoNgAAAAPAQAADwAA&#10;AAAAAAABACAAAAAiAAAAZHJzL2Rvd25yZXYueG1sUEsBAhQAFAAAAAgAh07iQIK0MuDdAQAApAMA&#10;AA4AAAAAAAAAAQAgAAAAJwEAAGRycy9lMm9Eb2MueG1sUEsFBgAAAAAGAAYAWQEAAHYFAAAAAA==&#10;">
                <v:fill on="f" focussize="0,0"/>
                <v:stroke color="#000000" joinstyle="round"/>
                <v:imagedata o:title=""/>
                <o:lock v:ext="edit" aspectratio="f"/>
              </v:line>
            </w:pict>
          </mc:Fallback>
        </mc:AlternateContent>
      </w:r>
      <w:r>
        <w:rPr>
          <w:rFonts w:hint="eastAsia"/>
          <w:w w:val="100"/>
        </w:rPr>
        <w:t xml:space="preserve">  发</w:t>
      </w:r>
      <w:bookmarkStart w:id="1" w:name="_GoBack"/>
      <w:bookmarkEnd w:id="1"/>
      <w:r>
        <w:rPr>
          <w:rFonts w:hint="eastAsia"/>
          <w:w w:val="100"/>
        </w:rPr>
        <w:t>布</w:t>
      </w:r>
    </w:p>
    <w:p>
      <w:pPr>
        <w:pStyle w:val="20"/>
      </w:pPr>
      <w:r>
        <mc:AlternateContent>
          <mc:Choice Requires="wps">
            <w:drawing>
              <wp:anchor distT="0" distB="0" distL="114300" distR="114300" simplePos="0" relativeHeight="251655168" behindDoc="1" locked="0" layoutInCell="1" allowOverlap="1">
                <wp:simplePos x="0" y="0"/>
                <wp:positionH relativeFrom="column">
                  <wp:posOffset>1810385</wp:posOffset>
                </wp:positionH>
                <wp:positionV relativeFrom="paragraph">
                  <wp:posOffset>-3942715</wp:posOffset>
                </wp:positionV>
                <wp:extent cx="1270000" cy="304800"/>
                <wp:effectExtent l="0" t="0" r="6350" b="0"/>
                <wp:wrapNone/>
                <wp:docPr id="7" name="矩形 7"/>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9525">
                          <a:noFill/>
                        </a:ln>
                        <a:effectLst/>
                      </wps:spPr>
                      <wps:bodyPr upright="1"/>
                    </wps:wsp>
                  </a:graphicData>
                </a:graphic>
              </wp:anchor>
            </w:drawing>
          </mc:Choice>
          <mc:Fallback>
            <w:pict>
              <v:rect id="_x0000_s1026" o:spid="_x0000_s1026" o:spt="1" style="position:absolute;left:0pt;margin-left:142.55pt;margin-top:-310.45pt;height:24pt;width:100pt;z-index:-251661312;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bXu1tkAAAANAQAADwAAAAAA&#10;AAABACAAAAAiAAAAZHJzL2Rvd25yZXYueG1sUEsBAhQAFAAAAAgAh07iQONDgTigAQAAKAMAAA4A&#10;AAAAAAAAAQAgAAAAKAEAAGRycy9lMm9Eb2MueG1sUEsFBgAAAAAGAAYAWQEAADoFAAAAAA==&#10;">
                <v:fill on="t" focussize="0,0"/>
                <v:stroke on="f"/>
                <v:imagedata o:title=""/>
                <o:lock v:ext="edit" aspectratio="f"/>
              </v:rect>
            </w:pict>
          </mc:Fallback>
        </mc:AlternateContent>
      </w:r>
      <w:r>
        <mc:AlternateContent>
          <mc:Choice Requires="wps">
            <w:drawing>
              <wp:anchor distT="0" distB="0" distL="114300" distR="114300" simplePos="0" relativeHeight="251654144"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5" name="矩形 5"/>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9525">
                          <a:noFill/>
                        </a:ln>
                        <a:effectLst/>
                      </wps:spPr>
                      <wps:bodyPr upright="1"/>
                    </wps:wsp>
                  </a:graphicData>
                </a:graphic>
              </wp:anchor>
            </w:drawing>
          </mc:Choice>
          <mc:Fallback>
            <w:pict>
              <v:rect id="_x0000_s1026" o:spid="_x0000_s1026" o:spt="1" style="position:absolute;left:0pt;margin-left:347.55pt;margin-top:-585.45pt;height:18pt;width:90pt;z-index:-25166233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N/JihHaAAAADwEAAA8AAAAA&#10;AAAAAQAgAAAAIgAAAGRycy9kb3ducmV2LnhtbFBLAQIUABQAAAAIAIdO4kBxu1OyoAEAACgDAAAO&#10;AAAAAAAAAAEAIAAAACkBAABkcnMvZTJvRG9jLnhtbFBLBQYAAAAABgAGAFkBAAA7BQAAAAA=&#10;">
                <v:fill on="t" focussize="0,0"/>
                <v:stroke on="f"/>
                <v:imagedata o:title=""/>
                <o:lock v:ext="edit" aspectratio="f"/>
              </v:rect>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-464820</wp:posOffset>
                </wp:positionH>
                <wp:positionV relativeFrom="paragraph">
                  <wp:posOffset>-7021195</wp:posOffset>
                </wp:positionV>
                <wp:extent cx="612013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6.6pt;margin-top:-552.85pt;height:0pt;width:481.9pt;z-index:251658240;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slkaDYAAAADwEAAA8A&#10;AAAAAAAAAQAgAAAAIgAAAGRycy9kb3ducmV2LnhtbFBLAQIUABQAAAAIAIdO4kCd22V+3gEAAKQD&#10;AAAOAAAAAAAAAAEAIAAAACcBAABkcnMvZTJvRG9jLnhtbFBLBQYAAAAABgAGAFkBAAB3BQAAAAA=&#10;">
                <v:fill on="f" focussize="0,0"/>
                <v:stroke color="#000000" joinstyle="round"/>
                <v:imagedata o:title=""/>
                <o:lock v:ext="edit" aspectratio="f"/>
              </v:line>
            </w:pict>
          </mc:Fallback>
        </mc:AlternateContent>
      </w:r>
      <w:r>
        <w:rPr>
          <w:rFonts w:hint="eastAsia"/>
        </w:rPr>
        <w:t>前</w:t>
      </w:r>
      <w:bookmarkStart w:id="0" w:name="BKQY"/>
      <w:r>
        <w:t>  </w:t>
      </w:r>
      <w:r>
        <w:rPr>
          <w:rFonts w:hint="eastAsia"/>
        </w:rPr>
        <w:t>言</w:t>
      </w:r>
      <w:bookmarkEnd w:id="0"/>
    </w:p>
    <w:p>
      <w:pPr>
        <w:pStyle w:val="19"/>
      </w:pPr>
      <w:r>
        <w:rPr>
          <w:rFonts w:hint="eastAsia"/>
        </w:rPr>
        <w:t>本标准根据</w:t>
      </w:r>
      <w:r>
        <w:t>GB/T 1.1-</w:t>
      </w:r>
      <w:r>
        <w:rPr>
          <w:rFonts w:hint="eastAsia"/>
        </w:rPr>
        <w:t>2020《标准化工作导则</w:t>
      </w:r>
      <w:r>
        <w:t xml:space="preserve"> </w:t>
      </w:r>
      <w:r>
        <w:rPr>
          <w:rFonts w:hint="eastAsia"/>
        </w:rPr>
        <w:t>第</w:t>
      </w:r>
      <w:r>
        <w:t>1</w:t>
      </w:r>
      <w:r>
        <w:rPr>
          <w:rFonts w:hint="eastAsia"/>
        </w:rPr>
        <w:t>部分：标准的结构和编写》给出的规则起草。</w:t>
      </w:r>
    </w:p>
    <w:p>
      <w:pPr>
        <w:pStyle w:val="21"/>
        <w:ind w:firstLine="420"/>
      </w:pPr>
      <w:r>
        <w:rPr>
          <w:rFonts w:hint="eastAsia"/>
        </w:rPr>
        <w:t>请注意本文件的某些内容可能涉及专利。本文件的发布机构不承担识别专利的责任。</w:t>
      </w:r>
    </w:p>
    <w:p>
      <w:pPr>
        <w:pStyle w:val="19"/>
      </w:pPr>
      <w:r>
        <w:rPr>
          <w:rFonts w:hint="eastAsia"/>
        </w:rPr>
        <w:t>本标准由黄山市茶叶行业协会提出并归口。</w:t>
      </w:r>
    </w:p>
    <w:p>
      <w:pPr>
        <w:pStyle w:val="19"/>
      </w:pPr>
      <w:r>
        <w:rPr>
          <w:rFonts w:hint="eastAsia"/>
        </w:rPr>
        <w:t>本标准起草单位：</w:t>
      </w:r>
    </w:p>
    <w:p>
      <w:pPr>
        <w:widowControl/>
        <w:ind w:firstLine="420" w:firstLineChars="200"/>
        <w:jc w:val="left"/>
      </w:pPr>
      <w:r>
        <w:rPr>
          <w:rFonts w:hint="eastAsia"/>
        </w:rPr>
        <w:t>本标准主要起草人：</w:t>
      </w:r>
    </w:p>
    <w:p>
      <w:pPr>
        <w:widowControl/>
        <w:ind w:firstLine="420" w:firstLineChars="200"/>
        <w:jc w:val="left"/>
        <w:rPr>
          <w:rFonts w:ascii="宋体"/>
          <w:kern w:val="0"/>
          <w:szCs w:val="20"/>
        </w:rPr>
      </w:pPr>
      <w:r>
        <w:rPr>
          <w:rFonts w:ascii="宋体"/>
          <w:kern w:val="0"/>
          <w:szCs w:val="20"/>
        </w:rPr>
        <w:t>本标准为首次发布。</w:t>
      </w:r>
    </w:p>
    <w:p>
      <w:pPr>
        <w:widowControl/>
        <w:ind w:firstLine="840" w:firstLineChars="400"/>
        <w:jc w:val="left"/>
        <w:rPr>
          <w:rFonts w:ascii="宋体"/>
          <w:kern w:val="0"/>
          <w:szCs w:val="20"/>
        </w:rPr>
      </w:pPr>
    </w:p>
    <w:p>
      <w:pPr>
        <w:widowControl/>
        <w:ind w:firstLine="840" w:firstLineChars="400"/>
        <w:jc w:val="left"/>
        <w:rPr>
          <w:rFonts w:ascii="宋体"/>
          <w:kern w:val="0"/>
          <w:szCs w:val="20"/>
        </w:rPr>
      </w:pPr>
    </w:p>
    <w:p>
      <w:pPr>
        <w:widowControl/>
        <w:ind w:firstLine="840" w:firstLineChars="400"/>
        <w:jc w:val="left"/>
        <w:rPr>
          <w:rFonts w:ascii="宋体"/>
          <w:kern w:val="0"/>
          <w:szCs w:val="20"/>
        </w:rPr>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widowControl/>
        <w:jc w:val="left"/>
        <w:rPr>
          <w:rFonts w:ascii="宋体"/>
          <w:kern w:val="0"/>
          <w:szCs w:val="20"/>
        </w:rPr>
      </w:pPr>
    </w:p>
    <w:p>
      <w:pPr>
        <w:pStyle w:val="19"/>
      </w:pPr>
    </w:p>
    <w:p>
      <w:pPr>
        <w:pStyle w:val="19"/>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pStyle w:val="22"/>
      </w:pPr>
      <w:r>
        <w:rPr>
          <w:rFonts w:hint="eastAsia"/>
        </w:rPr>
        <w:t>黄山毛峰富溪产区茶</w:t>
      </w:r>
    </w:p>
    <w:p>
      <w:pPr>
        <w:pStyle w:val="23"/>
        <w:spacing w:before="312" w:after="312"/>
      </w:pPr>
      <w:r>
        <w:rPr>
          <w:rFonts w:hint="eastAsia"/>
        </w:rPr>
        <w:t>范围</w:t>
      </w:r>
    </w:p>
    <w:p>
      <w:pPr>
        <w:pStyle w:val="19"/>
      </w:pPr>
      <w:r>
        <w:rPr>
          <w:rFonts w:hint="eastAsia"/>
        </w:rPr>
        <w:t>本标准规定了黄山毛峰富溪产区茶的术语和定义、分级与实物标准样、要求、试验方法、检验规则以及标志、标签、包装、运输、贮存。</w:t>
      </w:r>
    </w:p>
    <w:p>
      <w:pPr>
        <w:widowControl/>
        <w:ind w:firstLine="420" w:firstLineChars="200"/>
        <w:jc w:val="left"/>
        <w:rPr>
          <w:rFonts w:ascii="宋体"/>
          <w:kern w:val="0"/>
          <w:szCs w:val="20"/>
        </w:rPr>
      </w:pPr>
      <w:r>
        <w:rPr>
          <w:rFonts w:hint="eastAsia" w:ascii="宋体"/>
          <w:kern w:val="0"/>
          <w:szCs w:val="20"/>
        </w:rPr>
        <w:t>本文件适用于以黄山市徽州区富溪乡范围内种植的黄山种以及群体种茶树的鲜叶为原料，经</w:t>
      </w:r>
      <w:r>
        <w:rPr>
          <w:rFonts w:hint="eastAsia" w:ascii="宋体"/>
          <w:color w:val="FF0000"/>
          <w:kern w:val="0"/>
          <w:szCs w:val="20"/>
        </w:rPr>
        <w:t>杀青、做型、干燥、拣剔</w:t>
      </w:r>
      <w:r>
        <w:rPr>
          <w:rFonts w:hint="eastAsia" w:ascii="宋体"/>
          <w:kern w:val="0"/>
          <w:szCs w:val="20"/>
        </w:rPr>
        <w:t>等特定工艺制成的黄山毛峰茶产品。</w:t>
      </w:r>
    </w:p>
    <w:p>
      <w:pPr>
        <w:pStyle w:val="23"/>
        <w:spacing w:before="312" w:after="312"/>
      </w:pPr>
      <w:r>
        <w:rPr>
          <w:rFonts w:hint="eastAsia"/>
        </w:rPr>
        <w:t>规范性引用文件</w:t>
      </w:r>
    </w:p>
    <w:p>
      <w:pPr>
        <w:pStyle w:val="19"/>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9"/>
      </w:pPr>
      <w:r>
        <w:rPr>
          <w:rFonts w:hint="eastAsia"/>
        </w:rPr>
        <w:t>GB/T191 包装储运图示标志</w:t>
      </w:r>
    </w:p>
    <w:p>
      <w:pPr>
        <w:pStyle w:val="19"/>
      </w:pPr>
      <w:r>
        <w:rPr>
          <w:rFonts w:hint="eastAsia"/>
        </w:rPr>
        <w:t xml:space="preserve">GB 4806.7 食品安全国家标准 食品接触用塑料材料及制品 </w:t>
      </w:r>
    </w:p>
    <w:p>
      <w:pPr>
        <w:pStyle w:val="19"/>
      </w:pPr>
      <w:r>
        <w:rPr>
          <w:rFonts w:hint="eastAsia"/>
        </w:rPr>
        <w:t xml:space="preserve">GB 4806.8 食品安全国家标准食品接触用纸和纸板材料及制品 </w:t>
      </w:r>
    </w:p>
    <w:p>
      <w:pPr>
        <w:pStyle w:val="19"/>
      </w:pPr>
      <w:r>
        <w:rPr>
          <w:rFonts w:hint="eastAsia"/>
        </w:rPr>
        <w:t xml:space="preserve">GB 4806.9 食品安全国家标准食品接触用金属材料及制品 </w:t>
      </w:r>
    </w:p>
    <w:p>
      <w:pPr>
        <w:pStyle w:val="19"/>
      </w:pPr>
      <w:r>
        <w:rPr>
          <w:rFonts w:hint="eastAsia"/>
        </w:rPr>
        <w:t xml:space="preserve">GB 5009.3食品安全国家标准食品中水分的测定 </w:t>
      </w:r>
    </w:p>
    <w:p>
      <w:pPr>
        <w:pStyle w:val="19"/>
      </w:pPr>
      <w:r>
        <w:rPr>
          <w:rFonts w:hint="eastAsia"/>
        </w:rPr>
        <w:t xml:space="preserve">GB 5009.4 食品安全国家标准 食品中灰分的测定 </w:t>
      </w:r>
    </w:p>
    <w:p>
      <w:pPr>
        <w:pStyle w:val="19"/>
      </w:pPr>
      <w:r>
        <w:rPr>
          <w:rFonts w:hint="eastAsia"/>
        </w:rPr>
        <w:t xml:space="preserve">GB 7718 食品安全国家标准 预包装食品标签通则 </w:t>
      </w:r>
    </w:p>
    <w:p>
      <w:pPr>
        <w:pStyle w:val="19"/>
      </w:pPr>
      <w:r>
        <w:rPr>
          <w:rFonts w:hint="eastAsia"/>
        </w:rPr>
        <w:t>GB/T 8302 茶 取样</w:t>
      </w:r>
    </w:p>
    <w:p>
      <w:pPr>
        <w:pStyle w:val="19"/>
      </w:pPr>
      <w:r>
        <w:rPr>
          <w:rFonts w:hint="eastAsia"/>
        </w:rPr>
        <w:t xml:space="preserve">GB/T 8303 茶磨碎试样的制备及其干物质含量测定 </w:t>
      </w:r>
    </w:p>
    <w:p>
      <w:pPr>
        <w:pStyle w:val="19"/>
      </w:pPr>
      <w:r>
        <w:rPr>
          <w:rFonts w:hint="eastAsia"/>
        </w:rPr>
        <w:t>GB/T 8305 茶 水浸出物测定</w:t>
      </w:r>
    </w:p>
    <w:p>
      <w:pPr>
        <w:pStyle w:val="19"/>
      </w:pPr>
      <w:r>
        <w:rPr>
          <w:rFonts w:hint="eastAsia"/>
        </w:rPr>
        <w:t xml:space="preserve">GB/T 8311 茶 粉末和碎茶含量测定 </w:t>
      </w:r>
    </w:p>
    <w:p>
      <w:pPr>
        <w:pStyle w:val="19"/>
      </w:pPr>
      <w:r>
        <w:rPr>
          <w:rFonts w:hint="eastAsia"/>
        </w:rPr>
        <w:t xml:space="preserve">GB/T 9683 复合食品包装袋卫生标准 </w:t>
      </w:r>
    </w:p>
    <w:p>
      <w:pPr>
        <w:pStyle w:val="19"/>
      </w:pPr>
      <w:r>
        <w:rPr>
          <w:rFonts w:hint="eastAsia"/>
        </w:rPr>
        <w:t>GB/T 18795  </w:t>
      </w:r>
      <w:r>
        <w:t>茶叶标准样品制备技术条件</w:t>
      </w:r>
    </w:p>
    <w:p>
      <w:pPr>
        <w:pStyle w:val="19"/>
      </w:pPr>
      <w:r>
        <w:rPr>
          <w:rFonts w:hint="eastAsia"/>
        </w:rPr>
        <w:t xml:space="preserve">GB 23350  </w:t>
      </w:r>
      <w:r>
        <w:t>限制商品过度包装要求 食品和化妆品</w:t>
      </w:r>
    </w:p>
    <w:p>
      <w:pPr>
        <w:pStyle w:val="19"/>
      </w:pPr>
      <w:r>
        <w:rPr>
          <w:rFonts w:hint="eastAsia"/>
        </w:rPr>
        <w:t>GB/T 23776 茶叶感官审评方法</w:t>
      </w:r>
    </w:p>
    <w:p>
      <w:pPr>
        <w:pStyle w:val="19"/>
      </w:pPr>
      <w:r>
        <w:t>GB/T 30375</w:t>
      </w:r>
      <w:r>
        <w:rPr>
          <w:rFonts w:hint="eastAsia"/>
        </w:rPr>
        <w:t xml:space="preserve"> 茶叶贮存 </w:t>
      </w:r>
    </w:p>
    <w:p>
      <w:pPr>
        <w:pStyle w:val="19"/>
      </w:pPr>
      <w:r>
        <w:rPr>
          <w:rFonts w:hint="eastAsia"/>
        </w:rPr>
        <w:t>GH/T 1070 茶叶包装通则</w:t>
      </w:r>
    </w:p>
    <w:p>
      <w:pPr>
        <w:pStyle w:val="19"/>
      </w:pPr>
      <w:r>
        <w:rPr>
          <w:rFonts w:hint="eastAsia"/>
        </w:rPr>
        <w:t xml:space="preserve">JJF1070定量包装商品净含量计量检验规则 </w:t>
      </w:r>
    </w:p>
    <w:p>
      <w:pPr>
        <w:pStyle w:val="19"/>
      </w:pPr>
      <w:r>
        <w:rPr>
          <w:rFonts w:hint="eastAsia"/>
        </w:rPr>
        <w:t>国家市场监督管理总局令[2023]第70号定量包装商品计量监督管理办法</w:t>
      </w:r>
    </w:p>
    <w:p>
      <w:pPr>
        <w:pStyle w:val="23"/>
        <w:spacing w:before="312" w:after="312"/>
      </w:pPr>
      <w:r>
        <w:rPr>
          <w:rFonts w:hint="eastAsia"/>
        </w:rPr>
        <w:t>术语和定义</w:t>
      </w:r>
    </w:p>
    <w:p>
      <w:pPr>
        <w:pStyle w:val="19"/>
      </w:pPr>
      <w:r>
        <w:rPr>
          <w:rFonts w:hint="eastAsia"/>
        </w:rPr>
        <w:t>下列术语和定义适用于本文件。</w:t>
      </w:r>
    </w:p>
    <w:p>
      <w:pPr>
        <w:pStyle w:val="24"/>
        <w:spacing w:before="156" w:after="156"/>
      </w:pPr>
    </w:p>
    <w:p>
      <w:pPr>
        <w:pStyle w:val="24"/>
        <w:numPr>
          <w:ilvl w:val="0"/>
          <w:numId w:val="0"/>
        </w:numPr>
        <w:spacing w:before="156" w:after="156"/>
        <w:ind w:firstLine="420" w:firstLineChars="200"/>
      </w:pPr>
      <w:r>
        <w:rPr>
          <w:rFonts w:hint="eastAsia"/>
        </w:rPr>
        <w:t xml:space="preserve">黄山毛峰富溪产区茶   </w:t>
      </w:r>
      <w:r>
        <w:t xml:space="preserve">Huangshan maofeng </w:t>
      </w:r>
      <w:r>
        <w:rPr>
          <w:rFonts w:hint="eastAsia"/>
        </w:rPr>
        <w:t xml:space="preserve">Fuxi production area </w:t>
      </w:r>
      <w:r>
        <w:t>tea</w:t>
      </w:r>
    </w:p>
    <w:p>
      <w:pPr>
        <w:pStyle w:val="19"/>
      </w:pPr>
      <w:r>
        <w:rPr>
          <w:rFonts w:hint="eastAsia"/>
        </w:rPr>
        <w:t>在黄山市徽州区富溪乡范围内特定的自然生态环境条件下，选用黄山种以及当地群体种茶树的芽叶，经特有的加工工艺制作而成。具有</w:t>
      </w:r>
      <w:r>
        <w:rPr>
          <w:rFonts w:hint="eastAsia"/>
          <w:color w:val="FF0000"/>
        </w:rPr>
        <w:t>“芽头壮长较肥</w:t>
      </w:r>
      <w:r>
        <w:rPr>
          <w:rFonts w:hint="eastAsia"/>
          <w:color w:val="FF0000"/>
          <w:lang w:eastAsia="zh-CN"/>
        </w:rPr>
        <w:t>，</w:t>
      </w:r>
      <w:r>
        <w:rPr>
          <w:rFonts w:hint="eastAsia"/>
          <w:color w:val="FF0000"/>
        </w:rPr>
        <w:t>色泽油润、汤色鲜亮、香高馥郁持久、滋味甘润鲜爽、耐冲泡</w:t>
      </w:r>
      <w:r>
        <w:rPr>
          <w:rFonts w:hint="eastAsia"/>
          <w:color w:val="FF0000"/>
          <w:lang w:eastAsia="zh-CN"/>
        </w:rPr>
        <w:t>。</w:t>
      </w:r>
      <w:r>
        <w:rPr>
          <w:rFonts w:hint="eastAsia"/>
          <w:color w:val="FF0000"/>
        </w:rPr>
        <w:t>”</w:t>
      </w:r>
      <w:r>
        <w:rPr>
          <w:rFonts w:hint="eastAsia"/>
        </w:rPr>
        <w:t>的品质特征的绿茶。</w:t>
      </w:r>
    </w:p>
    <w:p>
      <w:pPr>
        <w:pStyle w:val="23"/>
        <w:spacing w:before="312" w:after="312"/>
      </w:pPr>
      <w:r>
        <w:rPr>
          <w:rFonts w:hint="eastAsia"/>
        </w:rPr>
        <w:t>分类分级和实物标准样</w:t>
      </w:r>
    </w:p>
    <w:p>
      <w:pPr>
        <w:pStyle w:val="24"/>
        <w:tabs>
          <w:tab w:val="left" w:pos="360"/>
        </w:tabs>
        <w:spacing w:before="156" w:after="156"/>
      </w:pPr>
      <w:r>
        <w:rPr>
          <w:rFonts w:hint="eastAsia"/>
        </w:rPr>
        <w:t>分级</w:t>
      </w:r>
    </w:p>
    <w:p>
      <w:pPr>
        <w:pStyle w:val="19"/>
      </w:pPr>
      <w:r>
        <w:rPr>
          <w:rFonts w:hint="eastAsia"/>
        </w:rPr>
        <w:t>黄山毛峰茶按感官品质分为特级、一级、二级、三级。特级分一、二、三等。</w:t>
      </w:r>
    </w:p>
    <w:p>
      <w:pPr>
        <w:pStyle w:val="24"/>
        <w:tabs>
          <w:tab w:val="left" w:pos="360"/>
        </w:tabs>
        <w:spacing w:before="156" w:after="156"/>
      </w:pPr>
      <w:r>
        <w:rPr>
          <w:rFonts w:hint="eastAsia"/>
        </w:rPr>
        <w:t>实物标准样</w:t>
      </w:r>
    </w:p>
    <w:p>
      <w:pPr>
        <w:pStyle w:val="19"/>
      </w:pPr>
      <w:r>
        <w:rPr>
          <w:rFonts w:hint="eastAsia"/>
        </w:rPr>
        <w:t>黄山毛峰茶每级设2个实物标准样，</w:t>
      </w:r>
      <w:r>
        <w:rPr>
          <w:rFonts w:hint="eastAsia"/>
          <w:color w:val="FF0000"/>
        </w:rPr>
        <w:t>每年</w:t>
      </w:r>
      <w:r>
        <w:rPr>
          <w:rFonts w:hint="eastAsia"/>
        </w:rPr>
        <w:t>换样一次。特级实物标准样设在二等和</w:t>
      </w:r>
      <w:r>
        <w:rPr>
          <w:rFonts w:hint="eastAsia"/>
          <w:color w:val="FF0000"/>
        </w:rPr>
        <w:t>一级</w:t>
      </w:r>
      <w:r>
        <w:rPr>
          <w:rFonts w:hint="eastAsia"/>
        </w:rPr>
        <w:t>。</w:t>
      </w:r>
      <w:r>
        <w:rPr>
          <w:rFonts w:hint="eastAsia" w:hAnsi="宋体"/>
        </w:rPr>
        <w:t>实物标准样的制备应符合GB/T 18795的规定。</w:t>
      </w:r>
      <w:r>
        <w:rPr>
          <w:rFonts w:hint="eastAsia"/>
        </w:rPr>
        <w:t xml:space="preserve"> </w:t>
      </w:r>
    </w:p>
    <w:p>
      <w:pPr>
        <w:pStyle w:val="23"/>
        <w:spacing w:before="312" w:after="312"/>
      </w:pPr>
      <w:r>
        <w:rPr>
          <w:rFonts w:hint="eastAsia"/>
        </w:rPr>
        <w:t>要求</w:t>
      </w:r>
    </w:p>
    <w:p>
      <w:pPr>
        <w:pStyle w:val="24"/>
        <w:tabs>
          <w:tab w:val="left" w:pos="360"/>
        </w:tabs>
        <w:spacing w:before="156" w:after="156"/>
        <w:rPr>
          <w:rFonts w:hint="eastAsia"/>
          <w:lang w:val="en-US" w:eastAsia="zh-CN"/>
        </w:rPr>
      </w:pPr>
      <w:r>
        <w:rPr>
          <w:rFonts w:hint="eastAsia"/>
          <w:lang w:val="en-US" w:eastAsia="zh-CN"/>
        </w:rPr>
        <w:t>工艺要求</w:t>
      </w:r>
    </w:p>
    <w:p>
      <w:pPr>
        <w:pStyle w:val="19"/>
        <w:rPr>
          <w:rFonts w:hint="default"/>
          <w:szCs w:val="22"/>
          <w:lang w:val="en-US" w:eastAsia="zh-CN"/>
        </w:rPr>
      </w:pPr>
      <w:r>
        <w:rPr>
          <w:rFonts w:hint="eastAsia"/>
          <w:szCs w:val="22"/>
          <w:lang w:val="en-US" w:eastAsia="zh-CN"/>
        </w:rPr>
        <w:t xml:space="preserve">鲜叶摊放 → </w:t>
      </w:r>
      <w:r>
        <w:rPr>
          <w:rFonts w:hint="eastAsia"/>
          <w:szCs w:val="22"/>
          <w:lang w:eastAsia="zh-CN"/>
        </w:rPr>
        <w:t>杀青</w:t>
      </w:r>
      <w:r>
        <w:rPr>
          <w:rFonts w:hint="eastAsia"/>
          <w:szCs w:val="22"/>
          <w:lang w:val="en-US" w:eastAsia="zh-CN"/>
        </w:rPr>
        <w:t xml:space="preserve"> → </w:t>
      </w:r>
      <w:r>
        <w:rPr>
          <w:rFonts w:hint="eastAsia"/>
          <w:szCs w:val="22"/>
          <w:lang w:eastAsia="zh-CN"/>
        </w:rPr>
        <w:t>做形（理条或揉捻）</w:t>
      </w:r>
      <w:r>
        <w:rPr>
          <w:rFonts w:hint="eastAsia"/>
          <w:szCs w:val="22"/>
          <w:lang w:val="en-US" w:eastAsia="zh-CN"/>
        </w:rPr>
        <w:t>→ 毛火 → 摊凉 → 足火。</w:t>
      </w:r>
    </w:p>
    <w:p>
      <w:pPr>
        <w:pStyle w:val="24"/>
        <w:tabs>
          <w:tab w:val="left" w:pos="360"/>
        </w:tabs>
        <w:spacing w:before="156" w:after="156"/>
      </w:pPr>
      <w:r>
        <w:rPr>
          <w:rFonts w:hint="eastAsia"/>
        </w:rPr>
        <w:t>感官品质</w:t>
      </w:r>
    </w:p>
    <w:p>
      <w:pPr>
        <w:pStyle w:val="19"/>
      </w:pPr>
      <w:r>
        <w:rPr>
          <w:rFonts w:hint="eastAsia"/>
        </w:rPr>
        <w:t>a)通用要求</w:t>
      </w:r>
    </w:p>
    <w:p>
      <w:pPr>
        <w:pStyle w:val="19"/>
      </w:pPr>
      <w:r>
        <w:rPr>
          <w:rFonts w:hint="eastAsia"/>
        </w:rPr>
        <w:t>具有该茶类应有的品质，无劣变，无异味，不得含有非茶类夹杂物，不得使用添加剂。</w:t>
      </w:r>
    </w:p>
    <w:p>
      <w:pPr>
        <w:pStyle w:val="19"/>
      </w:pPr>
      <w:r>
        <w:rPr>
          <w:rFonts w:hint="eastAsia"/>
        </w:rPr>
        <w:t>b)感官指标</w:t>
      </w:r>
    </w:p>
    <w:p>
      <w:pPr>
        <w:pStyle w:val="19"/>
      </w:pPr>
      <w:r>
        <w:rPr>
          <w:rFonts w:hint="eastAsia"/>
        </w:rPr>
        <w:t>各等级黄山毛峰茶的感官指标应符合表1的规定。</w:t>
      </w:r>
    </w:p>
    <w:p>
      <w:pPr>
        <w:pStyle w:val="25"/>
        <w:spacing w:before="156" w:after="156"/>
      </w:pPr>
      <w:r>
        <w:rPr>
          <w:rFonts w:hint="eastAsia"/>
        </w:rPr>
        <w:t>各等级黄山毛峰富溪产区茶的感官指标</w:t>
      </w:r>
    </w:p>
    <w:tbl>
      <w:tblPr>
        <w:tblStyle w:val="3"/>
        <w:tblpPr w:leftFromText="180" w:rightFromText="180" w:vertAnchor="text" w:horzAnchor="margin" w:tblpY="420"/>
        <w:tblW w:w="8736"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064"/>
        <w:gridCol w:w="3406"/>
        <w:gridCol w:w="950"/>
        <w:gridCol w:w="1216"/>
        <w:gridCol w:w="1067"/>
        <w:gridCol w:w="103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1" w:hRule="atLeast"/>
        </w:trPr>
        <w:tc>
          <w:tcPr>
            <w:tcW w:w="1064" w:type="dxa"/>
            <w:vMerge w:val="restart"/>
            <w:vAlign w:val="center"/>
          </w:tcPr>
          <w:p>
            <w:pPr>
              <w:pStyle w:val="19"/>
              <w:ind w:firstLine="0" w:firstLineChars="0"/>
              <w:jc w:val="center"/>
              <w:rPr>
                <w:rFonts w:hAnsi="宋体"/>
                <w:sz w:val="18"/>
              </w:rPr>
            </w:pPr>
            <w:r>
              <w:rPr>
                <w:rFonts w:hint="eastAsia" w:hAnsi="宋体"/>
                <w:sz w:val="18"/>
              </w:rPr>
              <w:t>级　别</w:t>
            </w:r>
          </w:p>
        </w:tc>
        <w:tc>
          <w:tcPr>
            <w:tcW w:w="3406" w:type="dxa"/>
            <w:vMerge w:val="restart"/>
            <w:vAlign w:val="center"/>
          </w:tcPr>
          <w:p>
            <w:pPr>
              <w:pStyle w:val="19"/>
              <w:ind w:firstLine="0" w:firstLineChars="0"/>
              <w:jc w:val="center"/>
              <w:rPr>
                <w:rFonts w:hAnsi="宋体"/>
                <w:sz w:val="18"/>
              </w:rPr>
            </w:pPr>
            <w:r>
              <w:rPr>
                <w:rFonts w:hint="eastAsia" w:hAnsi="宋体"/>
                <w:sz w:val="18"/>
              </w:rPr>
              <w:t>外　　　形</w:t>
            </w:r>
          </w:p>
        </w:tc>
        <w:tc>
          <w:tcPr>
            <w:tcW w:w="4266" w:type="dxa"/>
            <w:gridSpan w:val="4"/>
            <w:vAlign w:val="center"/>
          </w:tcPr>
          <w:p>
            <w:pPr>
              <w:pStyle w:val="19"/>
              <w:ind w:firstLine="360"/>
              <w:jc w:val="center"/>
              <w:rPr>
                <w:rFonts w:hAnsi="宋体"/>
                <w:sz w:val="18"/>
              </w:rPr>
            </w:pPr>
            <w:r>
              <w:rPr>
                <w:rFonts w:hint="eastAsia" w:hAnsi="宋体"/>
                <w:sz w:val="18"/>
              </w:rPr>
              <w:t>内　　　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4" w:hRule="atLeast"/>
        </w:trPr>
        <w:tc>
          <w:tcPr>
            <w:tcW w:w="1064" w:type="dxa"/>
            <w:vMerge w:val="continue"/>
            <w:vAlign w:val="center"/>
          </w:tcPr>
          <w:p>
            <w:pPr>
              <w:pStyle w:val="19"/>
              <w:ind w:firstLine="360"/>
              <w:rPr>
                <w:rFonts w:hAnsi="宋体"/>
                <w:sz w:val="18"/>
              </w:rPr>
            </w:pPr>
          </w:p>
        </w:tc>
        <w:tc>
          <w:tcPr>
            <w:tcW w:w="3406" w:type="dxa"/>
            <w:vMerge w:val="continue"/>
            <w:vAlign w:val="center"/>
          </w:tcPr>
          <w:p>
            <w:pPr>
              <w:pStyle w:val="19"/>
              <w:ind w:firstLine="360"/>
              <w:rPr>
                <w:rFonts w:hAnsi="宋体"/>
                <w:sz w:val="18"/>
              </w:rPr>
            </w:pPr>
          </w:p>
        </w:tc>
        <w:tc>
          <w:tcPr>
            <w:tcW w:w="950" w:type="dxa"/>
            <w:vAlign w:val="center"/>
          </w:tcPr>
          <w:p>
            <w:pPr>
              <w:pStyle w:val="19"/>
              <w:ind w:firstLine="0" w:firstLineChars="0"/>
              <w:jc w:val="center"/>
              <w:rPr>
                <w:rFonts w:hAnsi="宋体"/>
                <w:sz w:val="18"/>
              </w:rPr>
            </w:pPr>
            <w:r>
              <w:rPr>
                <w:rFonts w:hint="eastAsia" w:hAnsi="宋体"/>
                <w:sz w:val="18"/>
              </w:rPr>
              <w:t>香气</w:t>
            </w:r>
          </w:p>
        </w:tc>
        <w:tc>
          <w:tcPr>
            <w:tcW w:w="1216" w:type="dxa"/>
            <w:vAlign w:val="center"/>
          </w:tcPr>
          <w:p>
            <w:pPr>
              <w:pStyle w:val="19"/>
              <w:ind w:firstLine="0" w:firstLineChars="0"/>
              <w:jc w:val="center"/>
              <w:rPr>
                <w:rFonts w:hAnsi="宋体"/>
                <w:sz w:val="18"/>
              </w:rPr>
            </w:pPr>
            <w:r>
              <w:rPr>
                <w:rFonts w:hint="eastAsia" w:hAnsi="宋体"/>
                <w:sz w:val="18"/>
              </w:rPr>
              <w:t>汤  色</w:t>
            </w:r>
          </w:p>
        </w:tc>
        <w:tc>
          <w:tcPr>
            <w:tcW w:w="1067" w:type="dxa"/>
            <w:vAlign w:val="center"/>
          </w:tcPr>
          <w:p>
            <w:pPr>
              <w:pStyle w:val="19"/>
              <w:ind w:firstLine="0" w:firstLineChars="0"/>
              <w:jc w:val="center"/>
              <w:rPr>
                <w:rFonts w:hAnsi="宋体"/>
                <w:sz w:val="18"/>
              </w:rPr>
            </w:pPr>
            <w:r>
              <w:rPr>
                <w:rFonts w:hint="eastAsia" w:hAnsi="宋体"/>
                <w:sz w:val="18"/>
              </w:rPr>
              <w:t>滋味</w:t>
            </w:r>
          </w:p>
        </w:tc>
        <w:tc>
          <w:tcPr>
            <w:tcW w:w="1033" w:type="dxa"/>
            <w:vAlign w:val="center"/>
          </w:tcPr>
          <w:p>
            <w:pPr>
              <w:pStyle w:val="19"/>
              <w:ind w:firstLine="180" w:firstLineChars="100"/>
              <w:rPr>
                <w:rFonts w:hAnsi="宋体"/>
                <w:sz w:val="18"/>
              </w:rPr>
            </w:pPr>
            <w:r>
              <w:rPr>
                <w:rFonts w:hint="eastAsia" w:hAnsi="宋体"/>
                <w:sz w:val="18"/>
              </w:rPr>
              <w:t>叶  底</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7" w:hRule="atLeast"/>
        </w:trPr>
        <w:tc>
          <w:tcPr>
            <w:tcW w:w="1064" w:type="dxa"/>
            <w:vAlign w:val="center"/>
          </w:tcPr>
          <w:p>
            <w:pPr>
              <w:pStyle w:val="19"/>
              <w:ind w:firstLine="0" w:firstLineChars="0"/>
              <w:rPr>
                <w:rFonts w:hAnsi="宋体"/>
                <w:sz w:val="18"/>
              </w:rPr>
            </w:pPr>
            <w:r>
              <w:rPr>
                <w:rFonts w:hint="eastAsia" w:hAnsi="宋体"/>
                <w:sz w:val="18"/>
              </w:rPr>
              <w:t>特级一等</w:t>
            </w:r>
          </w:p>
        </w:tc>
        <w:tc>
          <w:tcPr>
            <w:tcW w:w="3406" w:type="dxa"/>
            <w:vAlign w:val="center"/>
          </w:tcPr>
          <w:p>
            <w:pPr>
              <w:pStyle w:val="19"/>
              <w:ind w:firstLine="0" w:firstLineChars="0"/>
              <w:rPr>
                <w:rFonts w:hAnsi="宋体"/>
                <w:sz w:val="18"/>
              </w:rPr>
            </w:pPr>
            <w:r>
              <w:rPr>
                <w:rFonts w:hint="eastAsia" w:hAnsi="宋体"/>
                <w:sz w:val="18"/>
              </w:rPr>
              <w:t>芽头肥壮，匀齐，形似雀舌，毫显，嫩绿泛象牙色，有金黄片</w:t>
            </w:r>
          </w:p>
        </w:tc>
        <w:tc>
          <w:tcPr>
            <w:tcW w:w="950" w:type="dxa"/>
            <w:vAlign w:val="center"/>
          </w:tcPr>
          <w:p>
            <w:pPr>
              <w:pStyle w:val="19"/>
              <w:ind w:firstLine="0" w:firstLineChars="0"/>
              <w:jc w:val="center"/>
              <w:rPr>
                <w:rFonts w:hAnsi="宋体"/>
                <w:sz w:val="18"/>
              </w:rPr>
            </w:pPr>
            <w:r>
              <w:rPr>
                <w:rFonts w:hint="eastAsia" w:hAnsi="宋体"/>
                <w:sz w:val="18"/>
              </w:rPr>
              <w:t>嫩香馥郁持久</w:t>
            </w:r>
          </w:p>
        </w:tc>
        <w:tc>
          <w:tcPr>
            <w:tcW w:w="1216" w:type="dxa"/>
            <w:vAlign w:val="center"/>
          </w:tcPr>
          <w:p>
            <w:pPr>
              <w:pStyle w:val="19"/>
              <w:ind w:firstLine="0" w:firstLineChars="0"/>
              <w:jc w:val="center"/>
              <w:rPr>
                <w:rFonts w:hAnsi="宋体"/>
                <w:sz w:val="18"/>
              </w:rPr>
            </w:pPr>
            <w:r>
              <w:rPr>
                <w:rFonts w:hint="eastAsia" w:hAnsi="宋体"/>
                <w:sz w:val="18"/>
              </w:rPr>
              <w:t>嫩黄绿嫩绿，清澈鲜亮</w:t>
            </w:r>
          </w:p>
        </w:tc>
        <w:tc>
          <w:tcPr>
            <w:tcW w:w="1067" w:type="dxa"/>
            <w:vAlign w:val="center"/>
          </w:tcPr>
          <w:p>
            <w:pPr>
              <w:pStyle w:val="19"/>
              <w:ind w:firstLine="0" w:firstLineChars="0"/>
              <w:jc w:val="center"/>
              <w:rPr>
                <w:rFonts w:hAnsi="宋体"/>
                <w:sz w:val="18"/>
              </w:rPr>
            </w:pPr>
            <w:r>
              <w:rPr>
                <w:rFonts w:hint="eastAsia" w:hAnsi="宋体"/>
                <w:sz w:val="18"/>
              </w:rPr>
              <w:t>鲜醇爽回甘</w:t>
            </w:r>
          </w:p>
        </w:tc>
        <w:tc>
          <w:tcPr>
            <w:tcW w:w="1033" w:type="dxa"/>
            <w:vAlign w:val="center"/>
          </w:tcPr>
          <w:p>
            <w:pPr>
              <w:pStyle w:val="19"/>
              <w:ind w:firstLine="0" w:firstLineChars="0"/>
              <w:jc w:val="center"/>
              <w:rPr>
                <w:rFonts w:hAnsi="宋体"/>
                <w:sz w:val="18"/>
              </w:rPr>
            </w:pPr>
            <w:r>
              <w:rPr>
                <w:rFonts w:hint="eastAsia" w:hAnsi="宋体"/>
                <w:sz w:val="18"/>
              </w:rPr>
              <w:t>嫩黄匀亮鲜活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5" w:hRule="atLeast"/>
        </w:trPr>
        <w:tc>
          <w:tcPr>
            <w:tcW w:w="1064" w:type="dxa"/>
            <w:vAlign w:val="center"/>
          </w:tcPr>
          <w:p>
            <w:pPr>
              <w:pStyle w:val="19"/>
              <w:ind w:firstLine="0" w:firstLineChars="0"/>
              <w:rPr>
                <w:rFonts w:hAnsi="宋体"/>
                <w:sz w:val="18"/>
              </w:rPr>
            </w:pPr>
            <w:r>
              <w:rPr>
                <w:rFonts w:hint="eastAsia" w:hAnsi="宋体"/>
                <w:sz w:val="18"/>
              </w:rPr>
              <w:t>特级二等</w:t>
            </w:r>
          </w:p>
        </w:tc>
        <w:tc>
          <w:tcPr>
            <w:tcW w:w="3406" w:type="dxa"/>
            <w:vAlign w:val="center"/>
          </w:tcPr>
          <w:p>
            <w:pPr>
              <w:pStyle w:val="19"/>
              <w:ind w:firstLine="0" w:firstLineChars="0"/>
              <w:rPr>
                <w:rFonts w:hAnsi="宋体"/>
                <w:sz w:val="18"/>
              </w:rPr>
            </w:pPr>
            <w:r>
              <w:rPr>
                <w:rFonts w:hint="eastAsia" w:hAnsi="宋体"/>
                <w:sz w:val="18"/>
              </w:rPr>
              <w:t>芽头较肥壮，较匀齐，形似雀舌，毫显，嫩绿润</w:t>
            </w:r>
          </w:p>
        </w:tc>
        <w:tc>
          <w:tcPr>
            <w:tcW w:w="950" w:type="dxa"/>
            <w:vAlign w:val="center"/>
          </w:tcPr>
          <w:p>
            <w:pPr>
              <w:pStyle w:val="19"/>
              <w:ind w:firstLine="0" w:firstLineChars="0"/>
              <w:jc w:val="center"/>
              <w:rPr>
                <w:rFonts w:hAnsi="宋体"/>
                <w:sz w:val="18"/>
              </w:rPr>
            </w:pPr>
            <w:r>
              <w:rPr>
                <w:rFonts w:hint="eastAsia" w:hAnsi="宋体"/>
                <w:sz w:val="18"/>
              </w:rPr>
              <w:t>嫩香高长</w:t>
            </w:r>
          </w:p>
        </w:tc>
        <w:tc>
          <w:tcPr>
            <w:tcW w:w="1216" w:type="dxa"/>
            <w:vAlign w:val="center"/>
          </w:tcPr>
          <w:p>
            <w:pPr>
              <w:pStyle w:val="19"/>
              <w:ind w:firstLine="0" w:firstLineChars="0"/>
              <w:jc w:val="center"/>
              <w:rPr>
                <w:rFonts w:hAnsi="宋体"/>
                <w:sz w:val="18"/>
              </w:rPr>
            </w:pPr>
            <w:r>
              <w:rPr>
                <w:rFonts w:hint="eastAsia" w:hAnsi="宋体"/>
                <w:sz w:val="18"/>
              </w:rPr>
              <w:t>嫩黄绿</w:t>
            </w:r>
          </w:p>
          <w:p>
            <w:pPr>
              <w:pStyle w:val="19"/>
              <w:ind w:firstLine="0" w:firstLineChars="0"/>
              <w:jc w:val="center"/>
              <w:rPr>
                <w:rFonts w:hAnsi="宋体"/>
                <w:sz w:val="18"/>
              </w:rPr>
            </w:pPr>
            <w:r>
              <w:rPr>
                <w:rFonts w:hint="eastAsia" w:hAnsi="宋体"/>
                <w:sz w:val="18"/>
              </w:rPr>
              <w:t>清澈明亮</w:t>
            </w:r>
          </w:p>
        </w:tc>
        <w:tc>
          <w:tcPr>
            <w:tcW w:w="1067" w:type="dxa"/>
            <w:vAlign w:val="center"/>
          </w:tcPr>
          <w:p>
            <w:pPr>
              <w:pStyle w:val="19"/>
              <w:ind w:firstLine="0" w:firstLineChars="0"/>
              <w:jc w:val="center"/>
              <w:rPr>
                <w:rFonts w:hAnsi="宋体"/>
                <w:sz w:val="18"/>
              </w:rPr>
            </w:pPr>
            <w:r>
              <w:rPr>
                <w:rFonts w:hint="eastAsia" w:hAnsi="宋体"/>
                <w:sz w:val="18"/>
              </w:rPr>
              <w:t>鲜醇爽</w:t>
            </w:r>
          </w:p>
        </w:tc>
        <w:tc>
          <w:tcPr>
            <w:tcW w:w="1033" w:type="dxa"/>
            <w:vAlign w:val="center"/>
          </w:tcPr>
          <w:p>
            <w:pPr>
              <w:pStyle w:val="19"/>
              <w:ind w:firstLine="0" w:firstLineChars="0"/>
              <w:jc w:val="center"/>
              <w:rPr>
                <w:rFonts w:hAnsi="宋体"/>
                <w:sz w:val="18"/>
              </w:rPr>
            </w:pPr>
            <w:r>
              <w:rPr>
                <w:rFonts w:hint="eastAsia" w:hAnsi="宋体"/>
                <w:sz w:val="18"/>
              </w:rPr>
              <w:t>嫩黄明亮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5" w:hRule="atLeast"/>
        </w:trPr>
        <w:tc>
          <w:tcPr>
            <w:tcW w:w="1064" w:type="dxa"/>
            <w:vAlign w:val="center"/>
          </w:tcPr>
          <w:p>
            <w:pPr>
              <w:pStyle w:val="19"/>
              <w:ind w:firstLine="0" w:firstLineChars="0"/>
              <w:jc w:val="center"/>
              <w:rPr>
                <w:rFonts w:hAnsi="宋体"/>
                <w:sz w:val="18"/>
              </w:rPr>
            </w:pPr>
            <w:r>
              <w:rPr>
                <w:rFonts w:hint="eastAsia" w:hAnsi="宋体"/>
                <w:sz w:val="18"/>
              </w:rPr>
              <w:t>特级三等</w:t>
            </w:r>
          </w:p>
        </w:tc>
        <w:tc>
          <w:tcPr>
            <w:tcW w:w="3406" w:type="dxa"/>
            <w:vAlign w:val="center"/>
          </w:tcPr>
          <w:p>
            <w:pPr>
              <w:pStyle w:val="19"/>
              <w:ind w:firstLine="0" w:firstLineChars="0"/>
              <w:rPr>
                <w:rFonts w:hAnsi="宋体"/>
                <w:sz w:val="18"/>
              </w:rPr>
            </w:pPr>
            <w:r>
              <w:rPr>
                <w:rFonts w:hint="eastAsia" w:hAnsi="宋体"/>
                <w:sz w:val="18"/>
              </w:rPr>
              <w:t>芽头尚肥壮，尚匀齐，毫显，绿润</w:t>
            </w:r>
          </w:p>
        </w:tc>
        <w:tc>
          <w:tcPr>
            <w:tcW w:w="950" w:type="dxa"/>
            <w:vAlign w:val="center"/>
          </w:tcPr>
          <w:p>
            <w:pPr>
              <w:pStyle w:val="19"/>
              <w:ind w:firstLine="0" w:firstLineChars="0"/>
              <w:jc w:val="center"/>
              <w:rPr>
                <w:rFonts w:hAnsi="宋体"/>
                <w:sz w:val="18"/>
              </w:rPr>
            </w:pPr>
            <w:r>
              <w:rPr>
                <w:rFonts w:hint="eastAsia" w:hAnsi="宋体"/>
                <w:sz w:val="18"/>
              </w:rPr>
              <w:t>嫩香</w:t>
            </w:r>
          </w:p>
        </w:tc>
        <w:tc>
          <w:tcPr>
            <w:tcW w:w="1216" w:type="dxa"/>
            <w:vAlign w:val="center"/>
          </w:tcPr>
          <w:p>
            <w:pPr>
              <w:pStyle w:val="19"/>
              <w:ind w:firstLine="0" w:firstLineChars="0"/>
              <w:jc w:val="center"/>
              <w:rPr>
                <w:rFonts w:hAnsi="宋体"/>
                <w:sz w:val="18"/>
              </w:rPr>
            </w:pPr>
            <w:r>
              <w:rPr>
                <w:rFonts w:hint="eastAsia" w:hAnsi="宋体"/>
                <w:sz w:val="18"/>
              </w:rPr>
              <w:t>嫩绿明亮</w:t>
            </w:r>
          </w:p>
        </w:tc>
        <w:tc>
          <w:tcPr>
            <w:tcW w:w="1067" w:type="dxa"/>
            <w:vAlign w:val="center"/>
          </w:tcPr>
          <w:p>
            <w:pPr>
              <w:pStyle w:val="19"/>
              <w:ind w:firstLine="0" w:firstLineChars="0"/>
              <w:jc w:val="center"/>
              <w:rPr>
                <w:rFonts w:hAnsi="宋体"/>
                <w:sz w:val="18"/>
              </w:rPr>
            </w:pPr>
            <w:r>
              <w:rPr>
                <w:rFonts w:hint="eastAsia" w:hAnsi="宋体"/>
                <w:sz w:val="18"/>
              </w:rPr>
              <w:t>较鲜醇爽</w:t>
            </w:r>
          </w:p>
        </w:tc>
        <w:tc>
          <w:tcPr>
            <w:tcW w:w="1033" w:type="dxa"/>
            <w:vAlign w:val="center"/>
          </w:tcPr>
          <w:p>
            <w:pPr>
              <w:pStyle w:val="19"/>
              <w:ind w:firstLine="0" w:firstLineChars="0"/>
              <w:jc w:val="center"/>
              <w:rPr>
                <w:rFonts w:hAnsi="宋体"/>
                <w:sz w:val="18"/>
              </w:rPr>
            </w:pPr>
            <w:r>
              <w:rPr>
                <w:rFonts w:hint="eastAsia" w:hAnsi="宋体"/>
                <w:sz w:val="18"/>
              </w:rPr>
              <w:t>嫩黄明亮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5" w:hRule="atLeast"/>
        </w:trPr>
        <w:tc>
          <w:tcPr>
            <w:tcW w:w="1064" w:type="dxa"/>
            <w:vAlign w:val="center"/>
          </w:tcPr>
          <w:p>
            <w:pPr>
              <w:pStyle w:val="19"/>
              <w:ind w:firstLine="0" w:firstLineChars="0"/>
              <w:jc w:val="center"/>
              <w:rPr>
                <w:rFonts w:hAnsi="宋体"/>
                <w:sz w:val="18"/>
              </w:rPr>
            </w:pPr>
            <w:r>
              <w:rPr>
                <w:rFonts w:hint="eastAsia" w:hAnsi="宋体"/>
                <w:sz w:val="18"/>
              </w:rPr>
              <w:t>一　级</w:t>
            </w:r>
          </w:p>
        </w:tc>
        <w:tc>
          <w:tcPr>
            <w:tcW w:w="3406" w:type="dxa"/>
            <w:vAlign w:val="center"/>
          </w:tcPr>
          <w:p>
            <w:pPr>
              <w:pStyle w:val="19"/>
              <w:ind w:firstLine="0" w:firstLineChars="0"/>
              <w:rPr>
                <w:rFonts w:hAnsi="宋体"/>
                <w:sz w:val="18"/>
              </w:rPr>
            </w:pPr>
            <w:r>
              <w:rPr>
                <w:rFonts w:hint="eastAsia" w:hAnsi="宋体"/>
                <w:sz w:val="18"/>
              </w:rPr>
              <w:t>芽叶肥壮，匀齐毫显隐毫，形条微卷、绿润</w:t>
            </w:r>
          </w:p>
        </w:tc>
        <w:tc>
          <w:tcPr>
            <w:tcW w:w="950" w:type="dxa"/>
            <w:vAlign w:val="center"/>
          </w:tcPr>
          <w:p>
            <w:pPr>
              <w:pStyle w:val="19"/>
              <w:ind w:firstLine="0" w:firstLineChars="0"/>
              <w:jc w:val="center"/>
              <w:rPr>
                <w:rFonts w:hAnsi="宋体"/>
                <w:sz w:val="18"/>
              </w:rPr>
            </w:pPr>
            <w:r>
              <w:rPr>
                <w:rFonts w:hint="eastAsia" w:hAnsi="宋体"/>
                <w:sz w:val="18"/>
              </w:rPr>
              <w:t>清香</w:t>
            </w:r>
          </w:p>
        </w:tc>
        <w:tc>
          <w:tcPr>
            <w:tcW w:w="1216" w:type="dxa"/>
            <w:vAlign w:val="center"/>
          </w:tcPr>
          <w:p>
            <w:pPr>
              <w:pStyle w:val="19"/>
              <w:ind w:firstLine="0" w:firstLineChars="0"/>
              <w:jc w:val="center"/>
              <w:rPr>
                <w:rFonts w:hAnsi="宋体"/>
                <w:sz w:val="18"/>
              </w:rPr>
            </w:pPr>
            <w:r>
              <w:rPr>
                <w:rFonts w:hint="eastAsia" w:hAnsi="宋体"/>
                <w:sz w:val="18"/>
              </w:rPr>
              <w:t>嫩黄绿亮</w:t>
            </w:r>
          </w:p>
        </w:tc>
        <w:tc>
          <w:tcPr>
            <w:tcW w:w="1067" w:type="dxa"/>
            <w:vAlign w:val="center"/>
          </w:tcPr>
          <w:p>
            <w:pPr>
              <w:pStyle w:val="19"/>
              <w:ind w:firstLine="0" w:firstLineChars="0"/>
              <w:jc w:val="center"/>
              <w:rPr>
                <w:rFonts w:hAnsi="宋体"/>
                <w:sz w:val="18"/>
              </w:rPr>
            </w:pPr>
            <w:r>
              <w:rPr>
                <w:rFonts w:hint="eastAsia" w:hAnsi="宋体"/>
                <w:sz w:val="18"/>
              </w:rPr>
              <w:t>鲜醇</w:t>
            </w:r>
          </w:p>
        </w:tc>
        <w:tc>
          <w:tcPr>
            <w:tcW w:w="1033" w:type="dxa"/>
            <w:vAlign w:val="center"/>
          </w:tcPr>
          <w:p>
            <w:pPr>
              <w:pStyle w:val="19"/>
              <w:ind w:firstLine="0" w:firstLineChars="0"/>
              <w:jc w:val="center"/>
              <w:rPr>
                <w:rFonts w:hAnsi="宋体"/>
                <w:sz w:val="18"/>
              </w:rPr>
            </w:pPr>
            <w:r>
              <w:rPr>
                <w:rFonts w:hint="eastAsia" w:hAnsi="宋体"/>
                <w:sz w:val="18"/>
              </w:rPr>
              <w:t>较嫩匀，黄绿亮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5" w:hRule="atLeast"/>
        </w:trPr>
        <w:tc>
          <w:tcPr>
            <w:tcW w:w="1064" w:type="dxa"/>
            <w:vAlign w:val="center"/>
          </w:tcPr>
          <w:p>
            <w:pPr>
              <w:pStyle w:val="19"/>
              <w:ind w:firstLine="0" w:firstLineChars="0"/>
              <w:jc w:val="center"/>
              <w:rPr>
                <w:rFonts w:hAnsi="宋体"/>
                <w:sz w:val="18"/>
              </w:rPr>
            </w:pPr>
            <w:r>
              <w:rPr>
                <w:rFonts w:hint="eastAsia" w:hAnsi="宋体"/>
                <w:sz w:val="18"/>
              </w:rPr>
              <w:t>二　级</w:t>
            </w:r>
          </w:p>
        </w:tc>
        <w:tc>
          <w:tcPr>
            <w:tcW w:w="3406" w:type="dxa"/>
            <w:vAlign w:val="center"/>
          </w:tcPr>
          <w:p>
            <w:pPr>
              <w:pStyle w:val="19"/>
              <w:ind w:firstLine="0" w:firstLineChars="0"/>
              <w:rPr>
                <w:rFonts w:hAnsi="宋体"/>
                <w:sz w:val="18"/>
              </w:rPr>
            </w:pPr>
            <w:r>
              <w:rPr>
                <w:rFonts w:hint="eastAsia" w:hAnsi="宋体"/>
                <w:sz w:val="18"/>
              </w:rPr>
              <w:t>芽叶较肥壮，较匀整，条微卷，显芽毫，苍绿绿较润</w:t>
            </w:r>
          </w:p>
        </w:tc>
        <w:tc>
          <w:tcPr>
            <w:tcW w:w="950" w:type="dxa"/>
            <w:vAlign w:val="center"/>
          </w:tcPr>
          <w:p>
            <w:pPr>
              <w:pStyle w:val="19"/>
              <w:ind w:firstLine="0" w:firstLineChars="0"/>
              <w:jc w:val="center"/>
              <w:rPr>
                <w:rFonts w:hAnsi="宋体"/>
                <w:sz w:val="18"/>
              </w:rPr>
            </w:pPr>
            <w:r>
              <w:rPr>
                <w:rFonts w:hint="eastAsia" w:hAnsi="宋体"/>
                <w:sz w:val="18"/>
              </w:rPr>
              <w:t>清香</w:t>
            </w:r>
          </w:p>
        </w:tc>
        <w:tc>
          <w:tcPr>
            <w:tcW w:w="1216" w:type="dxa"/>
            <w:vAlign w:val="center"/>
          </w:tcPr>
          <w:p>
            <w:pPr>
              <w:pStyle w:val="19"/>
              <w:ind w:firstLine="0" w:firstLineChars="0"/>
              <w:jc w:val="center"/>
              <w:rPr>
                <w:rFonts w:hAnsi="宋体"/>
                <w:sz w:val="18"/>
              </w:rPr>
            </w:pPr>
            <w:r>
              <w:rPr>
                <w:rFonts w:hint="eastAsia" w:hAnsi="宋体"/>
                <w:sz w:val="18"/>
              </w:rPr>
              <w:t>黄绿亮</w:t>
            </w:r>
          </w:p>
        </w:tc>
        <w:tc>
          <w:tcPr>
            <w:tcW w:w="1067" w:type="dxa"/>
            <w:vAlign w:val="center"/>
          </w:tcPr>
          <w:p>
            <w:pPr>
              <w:pStyle w:val="19"/>
              <w:ind w:firstLine="0" w:firstLineChars="0"/>
              <w:jc w:val="center"/>
              <w:rPr>
                <w:rFonts w:hAnsi="宋体"/>
                <w:sz w:val="18"/>
              </w:rPr>
            </w:pPr>
            <w:r>
              <w:rPr>
                <w:rFonts w:hint="eastAsia" w:hAnsi="宋体"/>
                <w:sz w:val="18"/>
              </w:rPr>
              <w:t>醇厚</w:t>
            </w:r>
          </w:p>
        </w:tc>
        <w:tc>
          <w:tcPr>
            <w:tcW w:w="1033" w:type="dxa"/>
            <w:vAlign w:val="center"/>
          </w:tcPr>
          <w:p>
            <w:pPr>
              <w:pStyle w:val="19"/>
              <w:ind w:firstLine="0" w:firstLineChars="0"/>
              <w:jc w:val="center"/>
              <w:rPr>
                <w:rFonts w:hAnsi="宋体"/>
                <w:sz w:val="18"/>
              </w:rPr>
            </w:pPr>
            <w:r>
              <w:rPr>
                <w:rFonts w:hint="eastAsia" w:hAnsi="宋体"/>
                <w:sz w:val="18"/>
              </w:rPr>
              <w:t>尚嫩匀，黄绿亮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55" w:hRule="atLeast"/>
        </w:trPr>
        <w:tc>
          <w:tcPr>
            <w:tcW w:w="1064" w:type="dxa"/>
            <w:vAlign w:val="center"/>
          </w:tcPr>
          <w:p>
            <w:pPr>
              <w:pStyle w:val="19"/>
              <w:ind w:firstLine="0" w:firstLineChars="0"/>
              <w:jc w:val="center"/>
              <w:rPr>
                <w:rFonts w:hAnsi="宋体"/>
                <w:sz w:val="18"/>
              </w:rPr>
            </w:pPr>
            <w:r>
              <w:rPr>
                <w:rFonts w:hint="eastAsia" w:hAnsi="宋体"/>
                <w:sz w:val="18"/>
              </w:rPr>
              <w:t>三　级</w:t>
            </w:r>
          </w:p>
        </w:tc>
        <w:tc>
          <w:tcPr>
            <w:tcW w:w="3406" w:type="dxa"/>
            <w:vAlign w:val="center"/>
          </w:tcPr>
          <w:p>
            <w:pPr>
              <w:pStyle w:val="19"/>
              <w:ind w:firstLine="0" w:firstLineChars="0"/>
              <w:rPr>
                <w:rFonts w:hAnsi="宋体"/>
                <w:sz w:val="18"/>
              </w:rPr>
            </w:pPr>
            <w:r>
              <w:rPr>
                <w:rFonts w:hint="eastAsia" w:hAnsi="宋体"/>
                <w:sz w:val="18"/>
              </w:rPr>
              <w:t>芽叶尚肥壮，条略卷，尚匀，墨绿绿尚润</w:t>
            </w:r>
          </w:p>
        </w:tc>
        <w:tc>
          <w:tcPr>
            <w:tcW w:w="950" w:type="dxa"/>
            <w:vAlign w:val="center"/>
          </w:tcPr>
          <w:p>
            <w:pPr>
              <w:pStyle w:val="19"/>
              <w:ind w:firstLine="0" w:firstLineChars="0"/>
              <w:jc w:val="center"/>
              <w:rPr>
                <w:rFonts w:hAnsi="宋体"/>
                <w:sz w:val="18"/>
              </w:rPr>
            </w:pPr>
            <w:r>
              <w:rPr>
                <w:rFonts w:hint="eastAsia" w:hAnsi="宋体"/>
                <w:sz w:val="18"/>
              </w:rPr>
              <w:t>清香</w:t>
            </w:r>
          </w:p>
        </w:tc>
        <w:tc>
          <w:tcPr>
            <w:tcW w:w="1216" w:type="dxa"/>
            <w:vAlign w:val="center"/>
          </w:tcPr>
          <w:p>
            <w:pPr>
              <w:pStyle w:val="19"/>
              <w:ind w:firstLine="0" w:firstLineChars="0"/>
              <w:jc w:val="center"/>
              <w:rPr>
                <w:rFonts w:hAnsi="宋体"/>
                <w:sz w:val="18"/>
              </w:rPr>
            </w:pPr>
            <w:r>
              <w:rPr>
                <w:rFonts w:hint="eastAsia" w:hAnsi="宋体"/>
                <w:sz w:val="18"/>
              </w:rPr>
              <w:t>黄绿尚亮</w:t>
            </w:r>
          </w:p>
        </w:tc>
        <w:tc>
          <w:tcPr>
            <w:tcW w:w="1067" w:type="dxa"/>
            <w:vAlign w:val="center"/>
          </w:tcPr>
          <w:p>
            <w:pPr>
              <w:pStyle w:val="19"/>
              <w:ind w:firstLine="0" w:firstLineChars="0"/>
              <w:jc w:val="center"/>
              <w:rPr>
                <w:rFonts w:hAnsi="宋体"/>
                <w:sz w:val="18"/>
              </w:rPr>
            </w:pPr>
            <w:r>
              <w:rPr>
                <w:rFonts w:hint="eastAsia" w:hAnsi="宋体"/>
                <w:sz w:val="18"/>
              </w:rPr>
              <w:t>尚醇厚</w:t>
            </w:r>
          </w:p>
        </w:tc>
        <w:tc>
          <w:tcPr>
            <w:tcW w:w="1033" w:type="dxa"/>
            <w:vAlign w:val="center"/>
          </w:tcPr>
          <w:p>
            <w:pPr>
              <w:pStyle w:val="19"/>
              <w:ind w:firstLine="0" w:firstLineChars="0"/>
              <w:jc w:val="center"/>
              <w:rPr>
                <w:rFonts w:hAnsi="宋体"/>
                <w:sz w:val="18"/>
              </w:rPr>
            </w:pPr>
            <w:r>
              <w:rPr>
                <w:rFonts w:hint="eastAsia" w:hAnsi="宋体"/>
                <w:sz w:val="18"/>
              </w:rPr>
              <w:t>尚匀，黄绿</w:t>
            </w:r>
          </w:p>
        </w:tc>
      </w:tr>
    </w:tbl>
    <w:p>
      <w:pPr>
        <w:pStyle w:val="24"/>
        <w:numPr>
          <w:ilvl w:val="1"/>
          <w:numId w:val="0"/>
        </w:numPr>
        <w:tabs>
          <w:tab w:val="left" w:pos="360"/>
        </w:tabs>
        <w:spacing w:before="156" w:after="156"/>
      </w:pPr>
    </w:p>
    <w:p>
      <w:pPr>
        <w:pStyle w:val="19"/>
      </w:pPr>
    </w:p>
    <w:p>
      <w:pPr>
        <w:pStyle w:val="24"/>
        <w:tabs>
          <w:tab w:val="left" w:pos="360"/>
        </w:tabs>
        <w:spacing w:before="156" w:after="156"/>
      </w:pPr>
      <w:r>
        <w:rPr>
          <w:rFonts w:hint="eastAsia"/>
        </w:rPr>
        <w:t>理化指标</w:t>
      </w:r>
    </w:p>
    <w:p>
      <w:pPr>
        <w:pStyle w:val="19"/>
      </w:pPr>
      <w:r>
        <w:rPr>
          <w:rFonts w:hint="eastAsia"/>
        </w:rPr>
        <w:t>应符合表2的规定。</w:t>
      </w:r>
    </w:p>
    <w:p>
      <w:pPr>
        <w:pStyle w:val="25"/>
        <w:spacing w:before="156" w:after="156"/>
      </w:pPr>
      <w:r>
        <w:rPr>
          <w:rFonts w:hint="eastAsia"/>
        </w:rPr>
        <w:t>黄山毛峰富溪产区茶理化指标</w:t>
      </w:r>
    </w:p>
    <w:tbl>
      <w:tblPr>
        <w:tblStyle w:val="3"/>
        <w:tblW w:w="82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1"/>
        <w:gridCol w:w="3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611" w:type="dxa"/>
            <w:vAlign w:val="center"/>
          </w:tcPr>
          <w:p>
            <w:pPr>
              <w:ind w:firstLine="1440" w:firstLineChars="800"/>
              <w:rPr>
                <w:rFonts w:ascii="宋体" w:hAnsi="宋体"/>
                <w:sz w:val="18"/>
              </w:rPr>
            </w:pPr>
            <w:r>
              <w:rPr>
                <w:rFonts w:hint="eastAsia" w:ascii="宋体" w:hAnsi="宋体"/>
                <w:sz w:val="18"/>
              </w:rPr>
              <w:t>项        目</w:t>
            </w:r>
          </w:p>
        </w:tc>
        <w:tc>
          <w:tcPr>
            <w:tcW w:w="3688" w:type="dxa"/>
            <w:vAlign w:val="center"/>
          </w:tcPr>
          <w:p>
            <w:pPr>
              <w:jc w:val="center"/>
              <w:rPr>
                <w:rFonts w:ascii="宋体" w:hAnsi="宋体"/>
                <w:sz w:val="18"/>
              </w:rPr>
            </w:pPr>
            <w:r>
              <w:rPr>
                <w:rFonts w:hint="eastAsia" w:ascii="宋体" w:hAnsi="宋体"/>
                <w:sz w:val="18"/>
              </w:rPr>
              <w:t>指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611" w:type="dxa"/>
            <w:vAlign w:val="center"/>
          </w:tcPr>
          <w:p>
            <w:pPr>
              <w:adjustRightInd w:val="0"/>
              <w:snapToGrid w:val="0"/>
              <w:ind w:firstLine="180" w:firstLineChars="100"/>
              <w:rPr>
                <w:rFonts w:ascii="宋体" w:hAnsi="宋体"/>
                <w:sz w:val="18"/>
              </w:rPr>
            </w:pPr>
            <w:r>
              <w:rPr>
                <w:rFonts w:hint="eastAsia" w:ascii="宋体" w:hAnsi="宋体"/>
                <w:sz w:val="18"/>
              </w:rPr>
              <w:t>水分/（%）                                 ≤</w:t>
            </w:r>
          </w:p>
        </w:tc>
        <w:tc>
          <w:tcPr>
            <w:tcW w:w="3688" w:type="dxa"/>
            <w:vAlign w:val="center"/>
          </w:tcPr>
          <w:p>
            <w:pPr>
              <w:pStyle w:val="2"/>
              <w:snapToGrid/>
              <w:jc w:val="center"/>
              <w:rPr>
                <w:rFonts w:ascii="宋体" w:hAnsi="宋体"/>
                <w:szCs w:val="24"/>
              </w:rPr>
            </w:pPr>
            <w:r>
              <w:rPr>
                <w:rFonts w:hint="eastAsia" w:ascii="宋体" w:hAnsi="宋体"/>
                <w:szCs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611" w:type="dxa"/>
            <w:vAlign w:val="center"/>
          </w:tcPr>
          <w:p>
            <w:pPr>
              <w:adjustRightInd w:val="0"/>
              <w:snapToGrid w:val="0"/>
              <w:ind w:firstLine="180" w:firstLineChars="100"/>
              <w:rPr>
                <w:rFonts w:ascii="宋体" w:hAnsi="宋体"/>
                <w:sz w:val="18"/>
              </w:rPr>
            </w:pPr>
            <w:r>
              <w:rPr>
                <w:rFonts w:hint="eastAsia" w:ascii="宋体" w:hAnsi="宋体"/>
                <w:sz w:val="18"/>
              </w:rPr>
              <w:t>粉末/（%）                                 ≤</w:t>
            </w:r>
          </w:p>
        </w:tc>
        <w:tc>
          <w:tcPr>
            <w:tcW w:w="3688" w:type="dxa"/>
            <w:vAlign w:val="center"/>
          </w:tcPr>
          <w:p>
            <w:pPr>
              <w:jc w:val="center"/>
              <w:rPr>
                <w:rFonts w:ascii="宋体" w:hAnsi="宋体"/>
                <w:sz w:val="18"/>
              </w:rPr>
            </w:pPr>
            <w:r>
              <w:rPr>
                <w:rFonts w:hint="eastAsia" w:ascii="宋体" w:hAnsi="宋体"/>
                <w:sz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611" w:type="dxa"/>
            <w:vAlign w:val="center"/>
          </w:tcPr>
          <w:p>
            <w:pPr>
              <w:adjustRightInd w:val="0"/>
              <w:snapToGrid w:val="0"/>
              <w:ind w:firstLine="180" w:firstLineChars="100"/>
              <w:rPr>
                <w:rFonts w:ascii="宋体" w:hAnsi="宋体"/>
                <w:sz w:val="18"/>
              </w:rPr>
            </w:pPr>
            <w:r>
              <w:rPr>
                <w:rFonts w:hint="eastAsia" w:ascii="宋体" w:hAnsi="宋体"/>
                <w:sz w:val="18"/>
              </w:rPr>
              <w:t>总灰分/（%）                               ≤</w:t>
            </w:r>
          </w:p>
        </w:tc>
        <w:tc>
          <w:tcPr>
            <w:tcW w:w="3688" w:type="dxa"/>
            <w:vAlign w:val="center"/>
          </w:tcPr>
          <w:p>
            <w:pPr>
              <w:pStyle w:val="26"/>
              <w:jc w:val="center"/>
              <w:rPr>
                <w:rFonts w:ascii="宋体" w:hAnsi="宋体"/>
                <w:szCs w:val="24"/>
              </w:rPr>
            </w:pPr>
            <w:r>
              <w:rPr>
                <w:rFonts w:hint="eastAsia" w:ascii="宋体" w:hAnsi="宋体"/>
                <w:szCs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611" w:type="dxa"/>
            <w:vAlign w:val="center"/>
          </w:tcPr>
          <w:p>
            <w:pPr>
              <w:adjustRightInd w:val="0"/>
              <w:snapToGrid w:val="0"/>
              <w:ind w:firstLine="180" w:firstLineChars="100"/>
              <w:rPr>
                <w:rFonts w:ascii="宋体" w:hAnsi="宋体"/>
                <w:sz w:val="18"/>
              </w:rPr>
            </w:pPr>
            <w:r>
              <w:rPr>
                <w:rFonts w:hint="eastAsia" w:ascii="宋体" w:hAnsi="宋体"/>
                <w:sz w:val="18"/>
              </w:rPr>
              <w:t>水浸出物/（%）                              ≥</w:t>
            </w:r>
          </w:p>
        </w:tc>
        <w:tc>
          <w:tcPr>
            <w:tcW w:w="3688" w:type="dxa"/>
            <w:vAlign w:val="center"/>
          </w:tcPr>
          <w:p>
            <w:pPr>
              <w:jc w:val="center"/>
              <w:rPr>
                <w:rFonts w:ascii="宋体" w:hAnsi="宋体"/>
                <w:color w:val="FF0000"/>
                <w:sz w:val="18"/>
              </w:rPr>
            </w:pPr>
            <w:r>
              <w:rPr>
                <w:rFonts w:ascii="宋体" w:hAnsi="宋体"/>
                <w:color w:val="FF0000"/>
                <w:sz w:val="18"/>
              </w:rPr>
              <w:t>40.0</w:t>
            </w:r>
          </w:p>
        </w:tc>
      </w:tr>
    </w:tbl>
    <w:p>
      <w:pPr>
        <w:pStyle w:val="19"/>
      </w:pPr>
    </w:p>
    <w:p>
      <w:pPr>
        <w:pStyle w:val="24"/>
        <w:spacing w:before="156" w:after="156"/>
      </w:pPr>
      <w:r>
        <w:rPr>
          <w:rFonts w:hint="eastAsia"/>
        </w:rPr>
        <w:t>卫生指标</w:t>
      </w:r>
    </w:p>
    <w:p>
      <w:pPr>
        <w:pStyle w:val="27"/>
      </w:pPr>
      <w:r>
        <w:rPr>
          <w:rFonts w:hint="eastAsia"/>
        </w:rPr>
        <w:t>污染物限量应符合GB 2762的规定。</w:t>
      </w:r>
    </w:p>
    <w:p>
      <w:pPr>
        <w:pStyle w:val="27"/>
      </w:pPr>
      <w:r>
        <w:rPr>
          <w:rFonts w:hint="eastAsia"/>
        </w:rPr>
        <w:t>农药残留应符合GB 2763的规定。</w:t>
      </w:r>
    </w:p>
    <w:p>
      <w:pPr>
        <w:pStyle w:val="24"/>
        <w:tabs>
          <w:tab w:val="left" w:pos="360"/>
        </w:tabs>
        <w:spacing w:before="156" w:after="156"/>
      </w:pPr>
      <w:r>
        <w:rPr>
          <w:rFonts w:hint="eastAsia"/>
        </w:rPr>
        <w:t>净含量允许短缺量</w:t>
      </w:r>
    </w:p>
    <w:p>
      <w:pPr>
        <w:pStyle w:val="19"/>
      </w:pPr>
      <w:r>
        <w:rPr>
          <w:rFonts w:hint="eastAsia"/>
        </w:rPr>
        <w:t xml:space="preserve">净含量应符合《定量包装商品计量监督管理办法》的规定。  </w:t>
      </w:r>
    </w:p>
    <w:p>
      <w:pPr>
        <w:pStyle w:val="23"/>
        <w:spacing w:before="312" w:after="312"/>
      </w:pPr>
      <w:r>
        <w:rPr>
          <w:rFonts w:hint="eastAsia"/>
        </w:rPr>
        <w:t>试验方法</w:t>
      </w:r>
    </w:p>
    <w:p>
      <w:pPr>
        <w:pStyle w:val="24"/>
        <w:spacing w:before="156" w:after="156"/>
      </w:pPr>
      <w:r>
        <w:rPr>
          <w:rFonts w:hint="eastAsia"/>
        </w:rPr>
        <w:t>感官品质</w:t>
      </w:r>
    </w:p>
    <w:p>
      <w:pPr>
        <w:pStyle w:val="19"/>
      </w:pPr>
      <w:r>
        <w:rPr>
          <w:rFonts w:hint="eastAsia"/>
        </w:rPr>
        <w:t>按GB/T 23776的规定执行。</w:t>
      </w:r>
    </w:p>
    <w:p>
      <w:pPr>
        <w:pStyle w:val="24"/>
        <w:spacing w:before="156" w:after="156"/>
      </w:pPr>
      <w:r>
        <w:rPr>
          <w:rFonts w:hint="eastAsia"/>
        </w:rPr>
        <w:t>理化指标</w:t>
      </w:r>
    </w:p>
    <w:p>
      <w:pPr>
        <w:pStyle w:val="27"/>
      </w:pPr>
      <w:r>
        <w:rPr>
          <w:rFonts w:hint="eastAsia"/>
        </w:rPr>
        <w:t>试样制备按 GB/T 8303 的规定执行。</w:t>
      </w:r>
    </w:p>
    <w:p>
      <w:pPr>
        <w:pStyle w:val="27"/>
      </w:pPr>
      <w:r>
        <w:rPr>
          <w:rFonts w:hint="eastAsia"/>
        </w:rPr>
        <w:t>水分检验按 GB 5009.3 的规定执行。</w:t>
      </w:r>
    </w:p>
    <w:p>
      <w:pPr>
        <w:pStyle w:val="27"/>
      </w:pPr>
      <w:r>
        <w:rPr>
          <w:rFonts w:hint="eastAsia"/>
        </w:rPr>
        <w:t>总灰分检验按 GB 5009.4的规定执行。</w:t>
      </w:r>
    </w:p>
    <w:p>
      <w:pPr>
        <w:pStyle w:val="27"/>
      </w:pPr>
      <w:r>
        <w:rPr>
          <w:rFonts w:hint="eastAsia"/>
        </w:rPr>
        <w:t>粉末检验按 GB/T 8311 的规定执行。</w:t>
      </w:r>
    </w:p>
    <w:p>
      <w:pPr>
        <w:pStyle w:val="27"/>
      </w:pPr>
      <w:r>
        <w:rPr>
          <w:rFonts w:hint="eastAsia"/>
        </w:rPr>
        <w:t>水浸出物检验测定按 GB/T 8305的规定执行。</w:t>
      </w:r>
    </w:p>
    <w:p>
      <w:pPr>
        <w:pStyle w:val="24"/>
        <w:spacing w:before="156" w:after="156"/>
      </w:pPr>
      <w:r>
        <w:rPr>
          <w:rFonts w:hint="eastAsia"/>
        </w:rPr>
        <w:t>净含量</w:t>
      </w:r>
    </w:p>
    <w:p>
      <w:pPr>
        <w:pStyle w:val="19"/>
      </w:pPr>
      <w:r>
        <w:rPr>
          <w:rFonts w:hint="eastAsia"/>
        </w:rPr>
        <w:t>按JJF 1070的规定执行。</w:t>
      </w:r>
    </w:p>
    <w:p>
      <w:pPr>
        <w:pStyle w:val="23"/>
        <w:spacing w:before="312" w:after="312"/>
      </w:pPr>
      <w:r>
        <w:rPr>
          <w:rFonts w:hint="eastAsia"/>
        </w:rPr>
        <w:t>检验规则</w:t>
      </w:r>
    </w:p>
    <w:p>
      <w:pPr>
        <w:pStyle w:val="24"/>
        <w:spacing w:before="156" w:after="156"/>
      </w:pPr>
      <w:r>
        <w:rPr>
          <w:rFonts w:hint="eastAsia"/>
        </w:rPr>
        <w:t>取样</w:t>
      </w:r>
    </w:p>
    <w:p>
      <w:pPr>
        <w:pStyle w:val="27"/>
      </w:pPr>
      <w:r>
        <w:rPr>
          <w:rFonts w:hint="eastAsia"/>
        </w:rPr>
        <w:t>取样以“批”为单位，同一批投料生产、同一班次加工过程中形成的独立数量的产品为一个批次，同批产品的品质和规格一致。</w:t>
      </w:r>
    </w:p>
    <w:p>
      <w:pPr>
        <w:pStyle w:val="27"/>
      </w:pPr>
      <w:r>
        <w:rPr>
          <w:rFonts w:hint="eastAsia"/>
        </w:rPr>
        <w:t>取样按 GB/T 8302 的规定执行。</w:t>
      </w:r>
    </w:p>
    <w:p>
      <w:pPr>
        <w:pStyle w:val="24"/>
        <w:spacing w:before="156" w:after="156"/>
      </w:pPr>
      <w:r>
        <w:rPr>
          <w:rFonts w:hint="eastAsia"/>
        </w:rPr>
        <w:t>检验</w:t>
      </w:r>
    </w:p>
    <w:p>
      <w:pPr>
        <w:pStyle w:val="28"/>
        <w:spacing w:before="156" w:after="156"/>
      </w:pPr>
      <w:r>
        <w:rPr>
          <w:rFonts w:hint="eastAsia"/>
        </w:rPr>
        <w:t>出厂检验</w:t>
      </w:r>
    </w:p>
    <w:p>
      <w:pPr>
        <w:pStyle w:val="19"/>
      </w:pPr>
      <w:r>
        <w:rPr>
          <w:rFonts w:hint="eastAsia"/>
        </w:rPr>
        <w:t>每批产品均应做出厂检验，经检验合格签发合格证后，方可出厂，出厂检验项目为感官品质、水分、粉末和净含量。</w:t>
      </w:r>
    </w:p>
    <w:p>
      <w:pPr>
        <w:pStyle w:val="28"/>
        <w:spacing w:before="156" w:after="156"/>
      </w:pPr>
      <w:r>
        <w:rPr>
          <w:rFonts w:hint="eastAsia"/>
        </w:rPr>
        <w:t>型式检验</w:t>
      </w:r>
    </w:p>
    <w:p>
      <w:pPr>
        <w:pStyle w:val="19"/>
      </w:pPr>
      <w:r>
        <w:rPr>
          <w:rFonts w:hint="eastAsia"/>
        </w:rPr>
        <w:t>型式检验项目为本文件第5章规定的项目，检验周期每年一次。有下列情况之一时，应进行型式检验。</w:t>
      </w:r>
    </w:p>
    <w:p>
      <w:pPr>
        <w:pStyle w:val="19"/>
      </w:pPr>
      <w:r>
        <w:rPr>
          <w:rFonts w:hint="eastAsia"/>
        </w:rPr>
        <w:t>a)如原料有较大改变，可能影响产品质量时；</w:t>
      </w:r>
    </w:p>
    <w:p>
      <w:pPr>
        <w:pStyle w:val="19"/>
      </w:pPr>
      <w:r>
        <w:rPr>
          <w:rFonts w:hint="eastAsia"/>
        </w:rPr>
        <w:t>b)出厂检验结果与上一次型式检验结果有较大出入时；</w:t>
      </w:r>
    </w:p>
    <w:p>
      <w:pPr>
        <w:pStyle w:val="19"/>
      </w:pPr>
      <w:r>
        <w:rPr>
          <w:rFonts w:hint="eastAsia"/>
        </w:rPr>
        <w:t>c)国家法定质量监督机构提出型式检验要求时。</w:t>
      </w:r>
    </w:p>
    <w:p>
      <w:pPr>
        <w:pStyle w:val="24"/>
        <w:spacing w:before="156" w:after="156"/>
      </w:pPr>
      <w:r>
        <w:rPr>
          <w:rFonts w:hint="eastAsia"/>
        </w:rPr>
        <w:t>判定规则</w:t>
      </w:r>
    </w:p>
    <w:p>
      <w:pPr>
        <w:pStyle w:val="19"/>
      </w:pPr>
      <w:r>
        <w:rPr>
          <w:rFonts w:hint="eastAsia"/>
        </w:rPr>
        <w:t>按本文件第5章规定的项目，任一项目不符合规定，均判定该批产品不合格。</w:t>
      </w:r>
    </w:p>
    <w:p>
      <w:pPr>
        <w:pStyle w:val="24"/>
        <w:spacing w:before="156" w:after="156"/>
      </w:pPr>
      <w:r>
        <w:rPr>
          <w:rFonts w:hint="eastAsia"/>
        </w:rPr>
        <w:t>复检</w:t>
      </w:r>
    </w:p>
    <w:p>
      <w:pPr>
        <w:pStyle w:val="19"/>
      </w:pPr>
      <w:r>
        <w:rPr>
          <w:rFonts w:hint="eastAsia"/>
        </w:rPr>
        <w:t>对检验结果有争议时，应对留存样或在同批产品中重新按 GB/T8302的规定加倍取样对所争议的项目进行复检，以复检结果为准。</w:t>
      </w:r>
    </w:p>
    <w:p>
      <w:pPr>
        <w:pStyle w:val="23"/>
        <w:spacing w:before="312" w:after="312"/>
      </w:pPr>
      <w:r>
        <w:rPr>
          <w:rFonts w:hint="eastAsia"/>
        </w:rPr>
        <w:t>标志、标签、包装、运输和贮存</w:t>
      </w:r>
    </w:p>
    <w:p>
      <w:pPr>
        <w:pStyle w:val="24"/>
        <w:spacing w:before="156" w:after="156"/>
      </w:pPr>
      <w:r>
        <w:rPr>
          <w:rFonts w:hint="eastAsia"/>
        </w:rPr>
        <w:t>标志、标签</w:t>
      </w:r>
    </w:p>
    <w:p>
      <w:pPr>
        <w:pStyle w:val="19"/>
      </w:pPr>
      <w:r>
        <w:rPr>
          <w:rFonts w:hint="eastAsia"/>
        </w:rPr>
        <w:t>产品包装储运图示标志应符合GB/T 191 的规定，产品的标签应符合 GB 7718 的规定。</w:t>
      </w:r>
    </w:p>
    <w:p>
      <w:pPr>
        <w:pStyle w:val="24"/>
        <w:spacing w:before="156" w:after="156"/>
      </w:pPr>
      <w:r>
        <w:rPr>
          <w:rFonts w:hint="eastAsia"/>
        </w:rPr>
        <w:t>包装</w:t>
      </w:r>
    </w:p>
    <w:p>
      <w:pPr>
        <w:pStyle w:val="27"/>
      </w:pPr>
      <w:r>
        <w:rPr>
          <w:rFonts w:hint="eastAsia"/>
        </w:rPr>
        <w:t>应符合 GH/T 1070的规定。包装容器应用干燥、清洁、卫生、无异味、便于运输的材料制成，接触茶叶的包装材料应符合GB9683、GB 4806.7、GB4806.8、GB4806.9的规定。</w:t>
      </w:r>
    </w:p>
    <w:p>
      <w:pPr>
        <w:pStyle w:val="27"/>
      </w:pPr>
      <w:r>
        <w:rPr>
          <w:rFonts w:hint="eastAsia"/>
        </w:rPr>
        <w:t>产品包装应符合GB 23350的规定。</w:t>
      </w:r>
    </w:p>
    <w:p>
      <w:pPr>
        <w:pStyle w:val="24"/>
        <w:spacing w:before="156" w:after="156"/>
      </w:pPr>
      <w:r>
        <w:rPr>
          <w:rFonts w:hint="eastAsia"/>
        </w:rPr>
        <w:t>运输</w:t>
      </w:r>
    </w:p>
    <w:p>
      <w:pPr>
        <w:pStyle w:val="19"/>
      </w:pPr>
      <w:r>
        <w:rPr>
          <w:rFonts w:hint="eastAsia"/>
        </w:rPr>
        <w:t>运输工具必须清洁、干燥、无异味、无污染。运输时必须有防雨、防潮、防暴晒措施。严禁与有毒有害、有异味、易污染的物品混装、混运。</w:t>
      </w:r>
    </w:p>
    <w:p>
      <w:pPr>
        <w:pStyle w:val="24"/>
        <w:spacing w:before="156" w:after="156"/>
      </w:pPr>
      <w:r>
        <w:rPr>
          <w:rFonts w:hint="eastAsia"/>
        </w:rPr>
        <w:t>贮存</w:t>
      </w:r>
    </w:p>
    <w:p>
      <w:pPr>
        <w:pStyle w:val="24"/>
        <w:numPr>
          <w:ilvl w:val="0"/>
          <w:numId w:val="0"/>
        </w:numPr>
        <w:spacing w:before="156" w:after="156"/>
      </w:pPr>
      <w:r>
        <w:rPr>
          <w:rFonts w:hint="eastAsia"/>
        </w:rPr>
        <w:t>贮存应符合</w:t>
      </w:r>
      <w:r>
        <w:t xml:space="preserve">GB/T 30375 </w:t>
      </w:r>
      <w:r>
        <w:rPr>
          <w:rFonts w:hint="eastAsia"/>
        </w:rPr>
        <w:t>的规定。</w:t>
      </w:r>
      <w:r>
        <w:rPr>
          <w:rFonts w:hint="eastAsia" w:ascii="宋体" w:hAnsi="宋体" w:eastAsia="宋体"/>
        </w:rPr>
        <w:t>保质期不得低于12个月。</w:t>
      </w:r>
    </w:p>
    <w:p>
      <w:pPr>
        <w:pStyle w:val="19"/>
      </w:pPr>
    </w:p>
    <w:p>
      <w:pPr>
        <w:jc w:val="center"/>
      </w:pPr>
      <w:r>
        <w:t>_________________________________</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fldChar w:fldCharType="begin"/>
    </w:r>
    <w:r>
      <w:instrText xml:space="preserve"> PAGE  \* MERGEFORMAT </w:instrText>
    </w:r>
    <w:r>
      <w:fldChar w:fldCharType="separate"/>
    </w:r>
    <w: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rFonts w:hint="eastAsia"/>
      </w:rPr>
      <w:t>T</w:t>
    </w:r>
    <w:r>
      <w:t xml:space="preserve">/ </w:t>
    </w:r>
    <w:r>
      <w:rPr>
        <w:rFonts w:hint="eastAsia"/>
      </w:rPr>
      <w:t>HSTA XX</w:t>
    </w:r>
    <w:r>
      <w:t>—</w:t>
    </w:r>
    <w:r>
      <w:rPr>
        <w:rFonts w:hint="eastAsia"/>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23"/>
      <w:suff w:val="nothing"/>
      <w:lvlText w:val="%1　"/>
      <w:lvlJc w:val="left"/>
      <w:rPr>
        <w:rFonts w:hint="eastAsia" w:ascii="黑体" w:hAnsi="Times New Roman" w:eastAsia="黑体" w:cs="Times New Roman"/>
        <w:b w:val="0"/>
        <w:i w:val="0"/>
        <w:sz w:val="21"/>
        <w:szCs w:val="21"/>
      </w:rPr>
    </w:lvl>
    <w:lvl w:ilvl="1" w:tentative="0">
      <w:start w:val="1"/>
      <w:numFmt w:val="decimal"/>
      <w:pStyle w:val="24"/>
      <w:suff w:val="nothing"/>
      <w:lvlText w:val="%1.%2　"/>
      <w:lvlJc w:val="left"/>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8"/>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
    <w:nsid w:val="646260FA"/>
    <w:multiLevelType w:val="multilevel"/>
    <w:tmpl w:val="646260FA"/>
    <w:lvl w:ilvl="0" w:tentative="0">
      <w:start w:val="1"/>
      <w:numFmt w:val="decimal"/>
      <w:pStyle w:val="25"/>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5387"/>
        </w:tabs>
        <w:ind w:left="-5387" w:hanging="567"/>
      </w:pPr>
      <w:rPr>
        <w:rFonts w:hint="eastAsia" w:cs="Times New Roman"/>
      </w:rPr>
    </w:lvl>
    <w:lvl w:ilvl="2" w:tentative="0">
      <w:start w:val="1"/>
      <w:numFmt w:val="decimal"/>
      <w:lvlText w:val="%1.%2.%3"/>
      <w:lvlJc w:val="left"/>
      <w:pPr>
        <w:tabs>
          <w:tab w:val="left" w:pos="-4961"/>
        </w:tabs>
        <w:ind w:left="-4961" w:hanging="567"/>
      </w:pPr>
      <w:rPr>
        <w:rFonts w:hint="eastAsia" w:cs="Times New Roman"/>
      </w:rPr>
    </w:lvl>
    <w:lvl w:ilvl="3" w:tentative="0">
      <w:start w:val="1"/>
      <w:numFmt w:val="decimal"/>
      <w:lvlText w:val="%1.%2.%3.%4"/>
      <w:lvlJc w:val="left"/>
      <w:pPr>
        <w:tabs>
          <w:tab w:val="left" w:pos="-4395"/>
        </w:tabs>
        <w:ind w:left="-4395" w:hanging="708"/>
      </w:pPr>
      <w:rPr>
        <w:rFonts w:hint="eastAsia" w:cs="Times New Roman"/>
      </w:rPr>
    </w:lvl>
    <w:lvl w:ilvl="4" w:tentative="0">
      <w:start w:val="1"/>
      <w:numFmt w:val="decimal"/>
      <w:lvlText w:val="%1.%2.%3.%4.%5"/>
      <w:lvlJc w:val="left"/>
      <w:pPr>
        <w:tabs>
          <w:tab w:val="left" w:pos="-3828"/>
        </w:tabs>
        <w:ind w:left="-3828" w:hanging="850"/>
      </w:pPr>
      <w:rPr>
        <w:rFonts w:hint="eastAsia" w:cs="Times New Roman"/>
      </w:rPr>
    </w:lvl>
    <w:lvl w:ilvl="5" w:tentative="0">
      <w:start w:val="1"/>
      <w:numFmt w:val="decimal"/>
      <w:lvlText w:val="%1.%2.%3.%4.%5.%6"/>
      <w:lvlJc w:val="left"/>
      <w:pPr>
        <w:tabs>
          <w:tab w:val="left" w:pos="-3119"/>
        </w:tabs>
        <w:ind w:left="-3119" w:hanging="1134"/>
      </w:pPr>
      <w:rPr>
        <w:rFonts w:hint="eastAsia" w:cs="Times New Roman"/>
      </w:rPr>
    </w:lvl>
    <w:lvl w:ilvl="6" w:tentative="0">
      <w:start w:val="1"/>
      <w:numFmt w:val="decimal"/>
      <w:lvlText w:val="%1.%2.%3.%4.%5.%6.%7"/>
      <w:lvlJc w:val="left"/>
      <w:pPr>
        <w:tabs>
          <w:tab w:val="left" w:pos="-2552"/>
        </w:tabs>
        <w:ind w:left="-2552" w:hanging="1276"/>
      </w:pPr>
      <w:rPr>
        <w:rFonts w:hint="eastAsia" w:cs="Times New Roman"/>
      </w:rPr>
    </w:lvl>
    <w:lvl w:ilvl="7" w:tentative="0">
      <w:start w:val="1"/>
      <w:numFmt w:val="decimal"/>
      <w:lvlText w:val="%1.%2.%3.%4.%5.%6.%7.%8"/>
      <w:lvlJc w:val="left"/>
      <w:pPr>
        <w:tabs>
          <w:tab w:val="left" w:pos="-1985"/>
        </w:tabs>
        <w:ind w:left="-1985" w:hanging="1418"/>
      </w:pPr>
      <w:rPr>
        <w:rFonts w:hint="eastAsia" w:cs="Times New Roman"/>
      </w:rPr>
    </w:lvl>
    <w:lvl w:ilvl="8" w:tentative="0">
      <w:start w:val="1"/>
      <w:numFmt w:val="decimal"/>
      <w:lvlText w:val="%1.%2.%3.%4.%5.%6.%7.%8.%9"/>
      <w:lvlJc w:val="left"/>
      <w:pPr>
        <w:tabs>
          <w:tab w:val="left" w:pos="-1277"/>
        </w:tabs>
        <w:ind w:left="-1277" w:hanging="1700"/>
      </w:pPr>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382DE1"/>
    <w:rsid w:val="28382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99"/>
    <w:pPr>
      <w:snapToGrid w:val="0"/>
      <w:jc w:val="left"/>
    </w:pPr>
    <w:rPr>
      <w:sz w:val="18"/>
      <w:szCs w:val="18"/>
    </w:rPr>
  </w:style>
  <w:style w:type="paragraph" w:customStyle="1" w:styleId="5">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
    <w:name w:val="其他标准标志"/>
    <w:basedOn w:val="7"/>
    <w:qFormat/>
    <w:uiPriority w:val="99"/>
    <w:pPr>
      <w:framePr w:w="6101" w:vAnchor="page" w:hAnchor="page" w:x="4673" w:y="942"/>
    </w:pPr>
    <w:rPr>
      <w:w w:val="130"/>
    </w:rPr>
  </w:style>
  <w:style w:type="paragraph" w:customStyle="1" w:styleId="7">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8">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9">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0">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
    <w:name w:val="封面标准英文名称"/>
    <w:basedOn w:val="10"/>
    <w:qFormat/>
    <w:uiPriority w:val="99"/>
    <w:pPr>
      <w:spacing w:before="370" w:line="400" w:lineRule="exact"/>
    </w:pPr>
    <w:rPr>
      <w:rFonts w:ascii="Times New Roman"/>
      <w:sz w:val="28"/>
      <w:szCs w:val="28"/>
    </w:rPr>
  </w:style>
  <w:style w:type="paragraph" w:customStyle="1" w:styleId="12">
    <w:name w:val="封面一致性程度标识"/>
    <w:basedOn w:val="11"/>
    <w:qFormat/>
    <w:uiPriority w:val="99"/>
    <w:pPr>
      <w:spacing w:before="440"/>
    </w:pPr>
    <w:rPr>
      <w:rFonts w:ascii="宋体" w:eastAsia="宋体"/>
    </w:rPr>
  </w:style>
  <w:style w:type="paragraph" w:customStyle="1" w:styleId="13">
    <w:name w:val="其他发布日期"/>
    <w:basedOn w:val="14"/>
    <w:qFormat/>
    <w:uiPriority w:val="99"/>
    <w:pPr>
      <w:framePr w:vAnchor="page" w:hAnchor="text" w:x="1419"/>
    </w:pPr>
  </w:style>
  <w:style w:type="paragraph" w:customStyle="1" w:styleId="14">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5">
    <w:name w:val="其他实施日期"/>
    <w:basedOn w:val="16"/>
    <w:qFormat/>
    <w:uiPriority w:val="99"/>
  </w:style>
  <w:style w:type="paragraph" w:customStyle="1" w:styleId="16">
    <w:name w:val="实施日期"/>
    <w:basedOn w:val="14"/>
    <w:qFormat/>
    <w:uiPriority w:val="99"/>
    <w:pPr>
      <w:framePr w:vAnchor="page" w:hAnchor="text"/>
      <w:jc w:val="right"/>
    </w:pPr>
  </w:style>
  <w:style w:type="paragraph" w:customStyle="1" w:styleId="17">
    <w:name w:val="其他发布部门"/>
    <w:basedOn w:val="18"/>
    <w:qFormat/>
    <w:uiPriority w:val="99"/>
    <w:pPr>
      <w:framePr w:y="15310"/>
      <w:spacing w:line="240" w:lineRule="atLeast"/>
    </w:pPr>
    <w:rPr>
      <w:rFonts w:ascii="黑体" w:eastAsia="黑体"/>
      <w:b w:val="0"/>
    </w:rPr>
  </w:style>
  <w:style w:type="paragraph" w:customStyle="1" w:styleId="18">
    <w:name w:val="发布部门"/>
    <w:next w:val="19"/>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9">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0">
    <w:name w:val="前言、引言标题"/>
    <w:next w:val="19"/>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
    <w:name w:val="目次、标准名称标题"/>
    <w:basedOn w:val="1"/>
    <w:next w:val="19"/>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3">
    <w:name w:val="章标题"/>
    <w:next w:val="19"/>
    <w:qFormat/>
    <w:uiPriority w:val="99"/>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4">
    <w:name w:val="一级条标题"/>
    <w:next w:val="19"/>
    <w:qFormat/>
    <w:uiPriority w:val="99"/>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5">
    <w:name w:val="正文表标题"/>
    <w:next w:val="19"/>
    <w:qFormat/>
    <w:uiPriority w:val="99"/>
    <w:pPr>
      <w:numPr>
        <w:ilvl w:val="0"/>
        <w:numId w:val="2"/>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26">
    <w:name w:val="封面正文"/>
    <w:qFormat/>
    <w:uiPriority w:val="0"/>
    <w:pPr>
      <w:jc w:val="both"/>
    </w:pPr>
    <w:rPr>
      <w:rFonts w:ascii="Times New Roman" w:hAnsi="Times New Roman" w:eastAsia="宋体" w:cs="Times New Roman"/>
      <w:lang w:val="en-US" w:eastAsia="zh-CN" w:bidi="ar-SA"/>
    </w:rPr>
  </w:style>
  <w:style w:type="paragraph" w:customStyle="1" w:styleId="27">
    <w:name w:val="二级无"/>
    <w:basedOn w:val="28"/>
    <w:qFormat/>
    <w:uiPriority w:val="99"/>
    <w:pPr>
      <w:spacing w:beforeLines="0" w:afterLines="0"/>
    </w:pPr>
    <w:rPr>
      <w:rFonts w:ascii="宋体" w:eastAsia="宋体"/>
    </w:rPr>
  </w:style>
  <w:style w:type="paragraph" w:customStyle="1" w:styleId="28">
    <w:name w:val="二级条标题"/>
    <w:basedOn w:val="24"/>
    <w:next w:val="19"/>
    <w:qFormat/>
    <w:uiPriority w:val="99"/>
    <w:pPr>
      <w:numPr>
        <w:ilvl w:val="2"/>
      </w:numPr>
      <w:spacing w:before="50" w:after="50"/>
      <w:outlineLvl w:val="3"/>
    </w:pPr>
  </w:style>
  <w:style w:type="paragraph" w:customStyle="1" w:styleId="29">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0">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2023-09-06T01:48:00Z</dcterms:created>
  <dc:creator>Administrator</dc:creator>
  <cp:lastModifiedBy>Administrator</cp:lastModifiedBy>
  <dcterms:modified xsi:type="dcterms:W3CDTF">2023-09-06T01:58:07Z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