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3"/>
        <w:framePr w:wrap="around"/>
        <w:spacing w:line="240" w:lineRule="atLeast"/>
        <w:ind w:left="1134" w:right="1692"/>
        <w:rPr>
          <w:rFonts w:ascii="Times New Roman"/>
        </w:rPr>
      </w:pPr>
      <w:r>
        <w:rPr>
          <w:rFonts w:ascii="Times New Roman"/>
        </w:rPr>
        <w:t>团体标准</w:t>
      </w:r>
    </w:p>
    <w:p>
      <w:pPr>
        <w:pStyle w:val="148"/>
        <w:framePr w:wrap="around"/>
        <w:pBdr>
          <w:bottom w:val="single" w:color="auto" w:sz="4" w:space="1"/>
        </w:pBdr>
        <w:wordWrap w:val="0"/>
        <w:rPr>
          <w:rFonts w:ascii="Times New Roman" w:eastAsia="宋体"/>
        </w:rPr>
      </w:pPr>
      <w:r>
        <w:rPr>
          <w:rFonts w:ascii="Times New Roman" w:eastAsia="宋体"/>
        </w:rPr>
        <w:t>T/SSEA XXXX—202</w:t>
      </w:r>
      <w:r>
        <w:rPr>
          <w:rFonts w:hint="eastAsia" w:ascii="Times New Roman" w:eastAsia="宋体"/>
        </w:rPr>
        <w:t>3</w:t>
      </w:r>
    </w:p>
    <w:p>
      <w:pPr>
        <w:pStyle w:val="148"/>
        <w:framePr w:wrap="around"/>
        <w:rPr>
          <w:rFonts w:ascii="Times New Roman" w:eastAsia="宋体"/>
        </w:rPr>
      </w:pPr>
    </w:p>
    <w:p>
      <w:pPr>
        <w:pStyle w:val="148"/>
        <w:framePr w:wrap="around"/>
        <w:rPr>
          <w:rFonts w:ascii="Times New Roman" w:eastAsia="宋体"/>
        </w:rPr>
      </w:pPr>
    </w:p>
    <w:p>
      <w:pPr>
        <w:pStyle w:val="72"/>
        <w:framePr w:wrap="around" w:x="1366" w:y="6316"/>
        <w:rPr>
          <w:rFonts w:ascii="Times New Roman"/>
        </w:rPr>
      </w:pPr>
      <w:r>
        <w:rPr>
          <w:rFonts w:hint="eastAsia" w:ascii="Times New Roman"/>
        </w:rPr>
        <w:t>兰炭机械强度的测定方法</w:t>
      </w:r>
    </w:p>
    <w:p>
      <w:pPr>
        <w:pStyle w:val="71"/>
        <w:framePr w:wrap="around" w:x="1366" w:y="6316"/>
      </w:pPr>
      <w:r>
        <w:rPr>
          <w:rFonts w:hint="eastAsia"/>
        </w:rPr>
        <w:t>Determination of mechanical strength of blue-coke</w:t>
      </w:r>
    </w:p>
    <w:p>
      <w:pPr>
        <w:pStyle w:val="70"/>
        <w:framePr w:wrap="around" w:x="1366" w:y="6316"/>
        <w:spacing w:before="156" w:after="156"/>
        <w:rPr>
          <w:rFonts w:ascii="Times New Roman"/>
        </w:rPr>
      </w:pPr>
    </w:p>
    <w:p>
      <w:pPr>
        <w:pStyle w:val="114"/>
        <w:framePr w:wrap="around" w:hAnchor="page" w:x="1381" w:y="14197"/>
        <w:rPr>
          <w:rFonts w:eastAsia="宋体"/>
        </w:rPr>
      </w:pPr>
      <w:r>
        <w:rPr>
          <w:rFonts w:eastAsia="宋体"/>
        </w:rPr>
        <w:t>20</w:t>
      </w:r>
      <w:bookmarkStart w:id="0" w:name="FM"/>
      <w:r>
        <w:rPr>
          <w:rFonts w:eastAsia="宋体"/>
        </w:rPr>
        <w:t>2</w:t>
      </w:r>
      <w:r>
        <w:rPr>
          <w:rFonts w:hint="eastAsia" w:eastAsia="宋体"/>
        </w:rPr>
        <w:t>3</w:t>
      </w:r>
      <w:r>
        <w:rPr>
          <w:rFonts w:eastAsia="宋体"/>
        </w:rPr>
        <w:t>-</w:t>
      </w:r>
      <w:bookmarkEnd w:id="0"/>
      <w:r>
        <w:rPr>
          <w:rFonts w:eastAsia="宋体"/>
        </w:rPr>
        <w:t>XX-XX发布</w:t>
      </w:r>
    </w:p>
    <w:p>
      <w:pPr>
        <w:pStyle w:val="93"/>
        <w:framePr w:wrap="around" w:hAnchor="page" w:x="6721" w:y="14137"/>
        <w:rPr>
          <w:rFonts w:eastAsia="宋体"/>
        </w:rPr>
      </w:pPr>
      <w:r>
        <w:rPr>
          <w:rFonts w:eastAsia="宋体"/>
        </w:rPr>
        <w:t>202</w:t>
      </w:r>
      <w:r>
        <w:rPr>
          <w:rFonts w:hint="eastAsia" w:eastAsia="宋体"/>
        </w:rPr>
        <w:t>3</w:t>
      </w:r>
      <w:r>
        <w:rPr>
          <w:rFonts w:eastAsia="宋体"/>
        </w:rPr>
        <w:t>-XX-XX实施</w:t>
      </w:r>
    </w:p>
    <w:p>
      <w:pPr>
        <w:pStyle w:val="106"/>
        <w:framePr w:wrap="around" w:xAlign="center" w:y="14665"/>
        <w:rPr>
          <w:rFonts w:ascii="Times New Roman"/>
        </w:rPr>
      </w:pPr>
      <w:r>
        <w:rPr>
          <w:rFonts w:ascii="Times New Roman"/>
          <w:sz w:val="36"/>
          <w:szCs w:val="36"/>
        </w:rPr>
        <w:t xml:space="preserve">中国特钢企业协会 </w:t>
      </w:r>
      <w:r>
        <w:rPr>
          <w:rFonts w:ascii="Times New Roman"/>
        </w:rPr>
        <w:t>发布</w:t>
      </w:r>
    </w:p>
    <w:p>
      <w:pPr>
        <w:pStyle w:val="23"/>
        <w:spacing w:line="340" w:lineRule="exact"/>
        <w:rPr>
          <w:rFonts w:ascii="Times New Roman"/>
          <w:kern w:val="2"/>
          <w:sz w:val="22"/>
          <w:szCs w:val="22"/>
        </w:rPr>
      </w:pPr>
      <w:r>
        <w:rPr>
          <w:rFonts w:ascii="Times New Roman"/>
        </w:rPr>
        <w:t>ICS</w:t>
      </w:r>
      <w:r>
        <w:rPr>
          <w:rFonts w:ascii="Times New Roman"/>
          <w:kern w:val="2"/>
          <w:sz w:val="22"/>
          <w:szCs w:val="22"/>
        </w:rPr>
        <w:t xml:space="preserve"> </w:t>
      </w:r>
      <w:r>
        <w:rPr>
          <w:rFonts w:hint="eastAsia" w:ascii="Times New Roman"/>
          <w:kern w:val="2"/>
          <w:sz w:val="22"/>
          <w:szCs w:val="22"/>
        </w:rPr>
        <w:t>77.080.01</w:t>
      </w:r>
    </w:p>
    <w:p>
      <w:pPr>
        <w:pStyle w:val="23"/>
        <w:spacing w:line="340" w:lineRule="exact"/>
        <w:rPr>
          <w:rFonts w:ascii="Times New Roman"/>
        </w:rPr>
      </w:pPr>
      <w:r>
        <w:rPr>
          <w:rFonts w:ascii="Times New Roman"/>
        </w:rPr>
        <w:t xml:space="preserve">CCS H </w:t>
      </w:r>
      <w:r>
        <w:rPr>
          <w:rFonts w:hint="eastAsia" w:ascii="Times New Roman"/>
        </w:rPr>
        <w:t>04</w:t>
      </w:r>
    </w:p>
    <w:p>
      <w:pPr>
        <w:pStyle w:val="23"/>
        <w:spacing w:line="340" w:lineRule="exact"/>
        <w:rPr>
          <w:rFonts w:ascii="Times New Roman"/>
        </w:rPr>
      </w:pPr>
    </w:p>
    <w:p>
      <w:pPr>
        <w:jc w:val="center"/>
        <w:rPr>
          <w:spacing w:val="20"/>
          <w:sz w:val="28"/>
          <w:szCs w:val="28"/>
          <w:highlight w:val="yellow"/>
        </w:rPr>
      </w:pPr>
    </w:p>
    <w:p>
      <w:pPr>
        <w:rPr>
          <w:spacing w:val="20"/>
          <w:sz w:val="28"/>
          <w:szCs w:val="28"/>
          <w:highlight w:val="yellow"/>
        </w:rPr>
      </w:pPr>
    </w:p>
    <w:p>
      <w:pPr>
        <w:jc w:val="center"/>
        <w:rPr>
          <w:spacing w:val="20"/>
          <w:sz w:val="28"/>
          <w:szCs w:val="28"/>
          <w:highlight w:val="yellow"/>
        </w:rPr>
      </w:pPr>
      <w:r>
        <w:rPr>
          <w:spacing w:val="20"/>
          <w:sz w:val="28"/>
          <w:szCs w:val="28"/>
        </w:rPr>
        <mc:AlternateContent>
          <mc:Choice Requires="wps">
            <w:drawing>
              <wp:anchor distT="0" distB="0" distL="114300" distR="114300" simplePos="0" relativeHeight="251661312" behindDoc="0" locked="0" layoutInCell="1" allowOverlap="1">
                <wp:simplePos x="0" y="0"/>
                <wp:positionH relativeFrom="column">
                  <wp:posOffset>-16510</wp:posOffset>
                </wp:positionH>
                <wp:positionV relativeFrom="paragraph">
                  <wp:posOffset>5705475</wp:posOffset>
                </wp:positionV>
                <wp:extent cx="5974080" cy="15240"/>
                <wp:effectExtent l="0" t="0" r="26670" b="22860"/>
                <wp:wrapNone/>
                <wp:docPr id="9" name="直接连接符 9"/>
                <wp:cNvGraphicFramePr/>
                <a:graphic xmlns:a="http://schemas.openxmlformats.org/drawingml/2006/main">
                  <a:graphicData uri="http://schemas.microsoft.com/office/word/2010/wordprocessingShape">
                    <wps:wsp>
                      <wps:cNvCnPr/>
                      <wps:spPr>
                        <a:xfrm>
                          <a:off x="0" y="0"/>
                          <a:ext cx="597408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pt;margin-top:449.25pt;height:1.2pt;width:470.4pt;z-index:251661312;mso-width-relative:page;mso-height-relative:page;" filled="f" stroked="t" coordsize="21600,21600" o:gfxdata="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g7laS2AAAAAoBAAAPAAAA&#10;AAAAAAEAIAAAACIAAABkcnMvZG93bnJldi54bWxQSwECFAAUAAAACACHTuJANkrx4NwBAACeAwAA&#10;DgAAAAAAAAABACAAAAAnAQAAZHJzL2Uyb0RvYy54bWxQSwUGAAAAAAYABgBZAQAAdQUAAAAA&#10;">
                <v:fill on="f" focussize="0,0"/>
                <v:stroke color="#000000 [3213]" joinstyle="round"/>
                <v:imagedata o:title=""/>
                <o:lock v:ext="edit" aspectratio="f"/>
              </v:line>
            </w:pict>
          </mc:Fallback>
        </mc:AlternateContent>
      </w:r>
    </w:p>
    <w:p>
      <w:pPr>
        <w:jc w:val="center"/>
        <w:rPr>
          <w:b/>
          <w:sz w:val="32"/>
          <w:highlight w:val="yellow"/>
        </w:rPr>
        <w:sectPr>
          <w:headerReference r:id="rId3" w:type="default"/>
          <w:pgSz w:w="11906" w:h="16838"/>
          <w:pgMar w:top="1134" w:right="1134" w:bottom="1134" w:left="1418" w:header="851" w:footer="992" w:gutter="0"/>
          <w:pgNumType w:start="0"/>
          <w:cols w:space="720" w:num="1"/>
          <w:docGrid w:type="lines" w:linePitch="312" w:charSpace="0"/>
        </w:sectPr>
      </w:pPr>
    </w:p>
    <w:p>
      <w:pPr>
        <w:pStyle w:val="23"/>
        <w:rPr>
          <w:rFonts w:ascii="Times New Roman"/>
        </w:rPr>
      </w:pPr>
      <w:bookmarkStart w:id="1" w:name="_Toc1337"/>
      <w:bookmarkStart w:id="2" w:name="_Toc534127476"/>
      <w:bookmarkStart w:id="3" w:name="_Toc40476791"/>
      <w:bookmarkStart w:id="4" w:name="_Toc40475545"/>
      <w:bookmarkStart w:id="5" w:name="_Toc26452183"/>
      <w:bookmarkStart w:id="6" w:name="_Toc951"/>
      <w:bookmarkStart w:id="7" w:name="_Toc520380389"/>
    </w:p>
    <w:p>
      <w:pPr>
        <w:pStyle w:val="23"/>
        <w:rPr>
          <w:rFonts w:ascii="Times New Roman"/>
        </w:rPr>
      </w:pPr>
    </w:p>
    <w:p>
      <w:pPr>
        <w:pStyle w:val="23"/>
        <w:rPr>
          <w:rFonts w:ascii="Times New Roman"/>
        </w:rPr>
      </w:pPr>
    </w:p>
    <w:p>
      <w:pPr>
        <w:pStyle w:val="23"/>
        <w:rPr>
          <w:rFonts w:ascii="Times New Roman"/>
        </w:rPr>
      </w:pPr>
    </w:p>
    <w:p>
      <w:pPr>
        <w:pStyle w:val="23"/>
        <w:rPr>
          <w:rFonts w:ascii="Times New Roman"/>
        </w:rPr>
      </w:pPr>
    </w:p>
    <w:p>
      <w:pPr>
        <w:pStyle w:val="23"/>
        <w:rPr>
          <w:rFonts w:ascii="Times New Roman"/>
        </w:rPr>
      </w:pPr>
    </w:p>
    <w:p>
      <w:pPr>
        <w:pStyle w:val="23"/>
        <w:rPr>
          <w:rFonts w:ascii="Times New Roman"/>
        </w:rPr>
      </w:pPr>
    </w:p>
    <w:p>
      <w:pPr>
        <w:pStyle w:val="23"/>
        <w:rPr>
          <w:rFonts w:ascii="Times New Roman"/>
        </w:rPr>
      </w:pPr>
    </w:p>
    <w:p>
      <w:pPr>
        <w:pStyle w:val="23"/>
        <w:rPr>
          <w:rFonts w:ascii="Times New Roman"/>
        </w:rPr>
      </w:pPr>
    </w:p>
    <w:p>
      <w:pPr>
        <w:pStyle w:val="23"/>
        <w:rPr>
          <w:rFonts w:ascii="Times New Roman"/>
        </w:rPr>
      </w:pPr>
    </w:p>
    <w:p>
      <w:pPr>
        <w:pStyle w:val="23"/>
        <w:rPr>
          <w:rFonts w:ascii="Times New Roman"/>
        </w:rPr>
      </w:pPr>
    </w:p>
    <w:p>
      <w:pPr>
        <w:pStyle w:val="23"/>
        <w:rPr>
          <w:rFonts w:ascii="Times New Roman"/>
        </w:rPr>
      </w:pPr>
    </w:p>
    <w:p>
      <w:pPr>
        <w:pStyle w:val="23"/>
        <w:rPr>
          <w:rFonts w:ascii="Times New Roman"/>
        </w:rPr>
      </w:pPr>
    </w:p>
    <w:p>
      <w:pPr>
        <w:pStyle w:val="23"/>
        <w:rPr>
          <w:rFonts w:ascii="Times New Roman"/>
        </w:rPr>
      </w:pPr>
    </w:p>
    <w:p>
      <w:pPr>
        <w:pStyle w:val="23"/>
        <w:rPr>
          <w:rFonts w:ascii="Times New Roman"/>
        </w:rPr>
      </w:pPr>
    </w:p>
    <w:p>
      <w:pPr>
        <w:pStyle w:val="23"/>
        <w:rPr>
          <w:rFonts w:ascii="Times New Roman"/>
        </w:rPr>
      </w:pPr>
    </w:p>
    <w:p>
      <w:pPr>
        <w:pStyle w:val="23"/>
        <w:rPr>
          <w:rFonts w:ascii="Times New Roman"/>
        </w:rPr>
      </w:pPr>
    </w:p>
    <w:p>
      <w:pPr>
        <w:pStyle w:val="23"/>
        <w:rPr>
          <w:rFonts w:ascii="Times New Roman"/>
        </w:rPr>
      </w:pPr>
    </w:p>
    <w:p>
      <w:pPr>
        <w:pStyle w:val="23"/>
        <w:rPr>
          <w:rFonts w:ascii="Times New Roman"/>
        </w:rPr>
      </w:pPr>
    </w:p>
    <w:p>
      <w:pPr>
        <w:pStyle w:val="23"/>
        <w:rPr>
          <w:rFonts w:ascii="Times New Roman"/>
        </w:rPr>
      </w:pPr>
    </w:p>
    <w:p>
      <w:pPr>
        <w:pStyle w:val="23"/>
        <w:rPr>
          <w:rFonts w:ascii="Times New Roman"/>
        </w:rPr>
      </w:pPr>
    </w:p>
    <w:p>
      <w:pPr>
        <w:pStyle w:val="23"/>
        <w:rPr>
          <w:rFonts w:ascii="Times New Roman"/>
        </w:rPr>
      </w:pPr>
    </w:p>
    <w:p>
      <w:pPr>
        <w:pStyle w:val="23"/>
        <w:rPr>
          <w:rFonts w:ascii="Times New Roman"/>
        </w:rPr>
      </w:pPr>
    </w:p>
    <w:p>
      <w:pPr>
        <w:pStyle w:val="23"/>
        <w:rPr>
          <w:rFonts w:ascii="Times New Roman"/>
        </w:rPr>
      </w:pPr>
    </w:p>
    <w:p>
      <w:pPr>
        <w:pStyle w:val="23"/>
        <w:rPr>
          <w:rFonts w:ascii="Times New Roman"/>
        </w:rPr>
      </w:pPr>
    </w:p>
    <w:p>
      <w:pPr>
        <w:pStyle w:val="23"/>
        <w:rPr>
          <w:rFonts w:ascii="Times New Roman"/>
        </w:rPr>
      </w:pPr>
    </w:p>
    <w:p>
      <w:r>
        <w:drawing>
          <wp:inline distT="0" distB="0" distL="114300" distR="114300">
            <wp:extent cx="808355" cy="768350"/>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0"/>
                    <a:stretch>
                      <a:fillRect/>
                    </a:stretch>
                  </pic:blipFill>
                  <pic:spPr>
                    <a:xfrm>
                      <a:off x="0" y="0"/>
                      <a:ext cx="808355" cy="768350"/>
                    </a:xfrm>
                    <a:prstGeom prst="rect">
                      <a:avLst/>
                    </a:prstGeom>
                    <a:noFill/>
                    <a:ln>
                      <a:noFill/>
                    </a:ln>
                  </pic:spPr>
                </pic:pic>
              </a:graphicData>
            </a:graphic>
          </wp:inline>
        </w:drawing>
      </w:r>
      <w:r>
        <w:t>版权保护文件</w:t>
      </w:r>
    </w:p>
    <w:p>
      <w:pPr>
        <w:spacing w:before="156" w:beforeLines="50" w:after="156" w:afterLines="50"/>
        <w:sectPr>
          <w:headerReference r:id="rId4" w:type="default"/>
          <w:footerReference r:id="rId5" w:type="default"/>
          <w:pgSz w:w="11906" w:h="16838"/>
          <w:pgMar w:top="1440" w:right="1466" w:bottom="1440" w:left="1620" w:header="851" w:footer="992" w:gutter="0"/>
          <w:pgNumType w:fmt="upperRoman" w:start="1"/>
          <w:cols w:space="720" w:num="1"/>
          <w:docGrid w:type="lines" w:linePitch="312" w:charSpace="0"/>
        </w:sectPr>
      </w:pPr>
      <w:r>
        <w:t>版权所有归属于该标准的发布机构。除非有其</w:t>
      </w:r>
      <w:r>
        <w:rPr>
          <w:rFonts w:hint="eastAsia"/>
        </w:rPr>
        <w:t>它</w:t>
      </w:r>
      <w:r>
        <w:t>规定，否则未经许可，此发行物及其章节不得以其</w:t>
      </w:r>
      <w:r>
        <w:rPr>
          <w:rFonts w:hint="eastAsia"/>
        </w:rPr>
        <w:t>它</w:t>
      </w:r>
      <w:r>
        <w:t>形式或任何手段进行复制、再版或使用，包括电子版，影印件，或发布在互联网及内部网络等。使用许可可于发布机构</w:t>
      </w:r>
      <w:r>
        <w:rPr>
          <w:rFonts w:hint="eastAsia"/>
        </w:rPr>
        <w:t>获取。</w:t>
      </w:r>
    </w:p>
    <w:p>
      <w:pPr>
        <w:pStyle w:val="107"/>
        <w:rPr>
          <w:rFonts w:ascii="Times New Roman"/>
          <w:highlight w:val="none"/>
        </w:rPr>
      </w:pPr>
      <w:r>
        <w:rPr>
          <w:rFonts w:ascii="Times New Roman"/>
          <w:highlight w:val="none"/>
        </w:rPr>
        <w:t>目</w:t>
      </w:r>
      <w:bookmarkEnd w:id="1"/>
      <w:bookmarkEnd w:id="2"/>
      <w:bookmarkEnd w:id="3"/>
      <w:bookmarkEnd w:id="4"/>
      <w:bookmarkEnd w:id="5"/>
      <w:r>
        <w:rPr>
          <w:rFonts w:ascii="Times New Roman"/>
          <w:highlight w:val="none"/>
        </w:rPr>
        <w:t xml:space="preserve">  次</w:t>
      </w:r>
      <w:bookmarkEnd w:id="6"/>
      <w:r>
        <w:rPr>
          <w:rFonts w:ascii="Times New Roman"/>
          <w:highlight w:val="none"/>
        </w:rPr>
        <w:fldChar w:fldCharType="begin"/>
      </w:r>
      <w:r>
        <w:rPr>
          <w:rFonts w:ascii="Times New Roman"/>
          <w:highlight w:val="none"/>
        </w:rPr>
        <w:instrText xml:space="preserve"> TOC \o "1-2" \h \z \u </w:instrText>
      </w:r>
      <w:r>
        <w:rPr>
          <w:rFonts w:ascii="Times New Roman"/>
          <w:highlight w:val="none"/>
        </w:rPr>
        <w:fldChar w:fldCharType="separate"/>
      </w:r>
    </w:p>
    <w:p>
      <w:pPr>
        <w:pStyle w:val="19"/>
        <w:tabs>
          <w:tab w:val="right" w:leader="dot" w:pos="9354"/>
          <w:tab w:val="clear" w:pos="9242"/>
        </w:tabs>
        <w:spacing w:before="78" w:after="78"/>
        <w:rPr>
          <w:rFonts w:ascii="Times New Roman"/>
          <w:highlight w:val="none"/>
        </w:rPr>
      </w:pPr>
      <w:r>
        <w:rPr>
          <w:highlight w:val="none"/>
        </w:rPr>
        <w:fldChar w:fldCharType="begin"/>
      </w:r>
      <w:r>
        <w:rPr>
          <w:highlight w:val="none"/>
        </w:rPr>
        <w:instrText xml:space="preserve"> HYPERLINK \l "_Toc31329" </w:instrText>
      </w:r>
      <w:r>
        <w:rPr>
          <w:highlight w:val="none"/>
        </w:rPr>
        <w:fldChar w:fldCharType="separate"/>
      </w:r>
      <w:r>
        <w:rPr>
          <w:rFonts w:ascii="Times New Roman"/>
          <w:highlight w:val="none"/>
        </w:rPr>
        <w:t>前  言</w:t>
      </w:r>
      <w:r>
        <w:rPr>
          <w:rFonts w:ascii="Times New Roman"/>
          <w:highlight w:val="none"/>
        </w:rPr>
        <w:tab/>
      </w:r>
      <w:r>
        <w:rPr>
          <w:rFonts w:ascii="Times New Roman"/>
          <w:highlight w:val="none"/>
        </w:rPr>
        <w:fldChar w:fldCharType="end"/>
      </w:r>
      <w:r>
        <w:rPr>
          <w:rFonts w:ascii="Times New Roman" w:eastAsia="仿宋"/>
          <w:highlight w:val="none"/>
        </w:rPr>
        <w:t>Ⅲ</w:t>
      </w:r>
    </w:p>
    <w:p>
      <w:pPr>
        <w:pStyle w:val="29"/>
        <w:tabs>
          <w:tab w:val="right" w:leader="dot" w:pos="9354"/>
          <w:tab w:val="clear" w:pos="9242"/>
        </w:tabs>
        <w:rPr>
          <w:rFonts w:ascii="Times New Roman"/>
          <w:highlight w:val="none"/>
        </w:rPr>
      </w:pPr>
      <w:r>
        <w:rPr>
          <w:highlight w:val="none"/>
        </w:rPr>
        <w:fldChar w:fldCharType="begin"/>
      </w:r>
      <w:r>
        <w:rPr>
          <w:highlight w:val="none"/>
        </w:rPr>
        <w:instrText xml:space="preserve"> HYPERLINK \l "_Toc31747" </w:instrText>
      </w:r>
      <w:r>
        <w:rPr>
          <w:highlight w:val="none"/>
        </w:rPr>
        <w:fldChar w:fldCharType="separate"/>
      </w:r>
      <w:r>
        <w:rPr>
          <w:rFonts w:ascii="Times New Roman"/>
          <w:highlight w:val="none"/>
        </w:rPr>
        <w:t>1 范围</w:t>
      </w:r>
      <w:r>
        <w:rPr>
          <w:rFonts w:ascii="Times New Roman"/>
          <w:highlight w:val="none"/>
        </w:rPr>
        <w:tab/>
      </w:r>
      <w:r>
        <w:rPr>
          <w:rFonts w:ascii="Times New Roman"/>
          <w:highlight w:val="none"/>
        </w:rPr>
        <w:t>1</w:t>
      </w:r>
      <w:r>
        <w:rPr>
          <w:rFonts w:ascii="Times New Roman"/>
          <w:highlight w:val="none"/>
        </w:rPr>
        <w:fldChar w:fldCharType="end"/>
      </w:r>
    </w:p>
    <w:p>
      <w:pPr>
        <w:pStyle w:val="29"/>
        <w:tabs>
          <w:tab w:val="right" w:leader="dot" w:pos="9354"/>
          <w:tab w:val="clear" w:pos="9242"/>
        </w:tabs>
        <w:rPr>
          <w:rFonts w:ascii="Times New Roman"/>
          <w:highlight w:val="none"/>
        </w:rPr>
      </w:pPr>
      <w:r>
        <w:rPr>
          <w:highlight w:val="none"/>
        </w:rPr>
        <w:fldChar w:fldCharType="begin"/>
      </w:r>
      <w:r>
        <w:rPr>
          <w:highlight w:val="none"/>
        </w:rPr>
        <w:instrText xml:space="preserve"> HYPERLINK \l "_Toc2222" </w:instrText>
      </w:r>
      <w:r>
        <w:rPr>
          <w:highlight w:val="none"/>
        </w:rPr>
        <w:fldChar w:fldCharType="separate"/>
      </w:r>
      <w:r>
        <w:rPr>
          <w:rFonts w:ascii="Times New Roman"/>
          <w:highlight w:val="none"/>
        </w:rPr>
        <w:t>2 规范性引用文件</w:t>
      </w:r>
      <w:r>
        <w:rPr>
          <w:rFonts w:ascii="Times New Roman"/>
          <w:highlight w:val="none"/>
        </w:rPr>
        <w:tab/>
      </w:r>
      <w:r>
        <w:rPr>
          <w:rFonts w:ascii="Times New Roman"/>
          <w:highlight w:val="none"/>
        </w:rPr>
        <w:t>1</w:t>
      </w:r>
      <w:r>
        <w:rPr>
          <w:rFonts w:ascii="Times New Roman"/>
          <w:highlight w:val="none"/>
        </w:rPr>
        <w:fldChar w:fldCharType="end"/>
      </w:r>
    </w:p>
    <w:p>
      <w:pPr>
        <w:pStyle w:val="29"/>
        <w:tabs>
          <w:tab w:val="right" w:leader="dot" w:pos="9354"/>
          <w:tab w:val="clear" w:pos="9242"/>
        </w:tabs>
        <w:rPr>
          <w:rFonts w:ascii="Times New Roman"/>
          <w:highlight w:val="none"/>
        </w:rPr>
      </w:pPr>
      <w:r>
        <w:rPr>
          <w:highlight w:val="none"/>
        </w:rPr>
        <w:fldChar w:fldCharType="begin"/>
      </w:r>
      <w:r>
        <w:rPr>
          <w:highlight w:val="none"/>
        </w:rPr>
        <w:instrText xml:space="preserve"> HYPERLINK \l "_Toc10886" </w:instrText>
      </w:r>
      <w:r>
        <w:rPr>
          <w:highlight w:val="none"/>
        </w:rPr>
        <w:fldChar w:fldCharType="separate"/>
      </w:r>
      <w:r>
        <w:rPr>
          <w:rFonts w:ascii="Times New Roman"/>
          <w:highlight w:val="none"/>
        </w:rPr>
        <w:t>3 术语和定义</w:t>
      </w:r>
      <w:r>
        <w:rPr>
          <w:rFonts w:ascii="Times New Roman"/>
          <w:highlight w:val="none"/>
        </w:rPr>
        <w:tab/>
      </w:r>
      <w:r>
        <w:rPr>
          <w:rFonts w:ascii="Times New Roman"/>
          <w:highlight w:val="none"/>
        </w:rPr>
        <w:t>1</w:t>
      </w:r>
      <w:r>
        <w:rPr>
          <w:rFonts w:ascii="Times New Roman"/>
          <w:highlight w:val="none"/>
        </w:rPr>
        <w:fldChar w:fldCharType="end"/>
      </w:r>
    </w:p>
    <w:p>
      <w:pPr>
        <w:pStyle w:val="29"/>
        <w:tabs>
          <w:tab w:val="right" w:leader="dot" w:pos="9354"/>
          <w:tab w:val="clear" w:pos="9242"/>
        </w:tabs>
        <w:rPr>
          <w:rFonts w:ascii="Times New Roman"/>
          <w:highlight w:val="none"/>
        </w:rPr>
      </w:pPr>
      <w:r>
        <w:rPr>
          <w:highlight w:val="none"/>
        </w:rPr>
        <w:fldChar w:fldCharType="begin"/>
      </w:r>
      <w:r>
        <w:rPr>
          <w:highlight w:val="none"/>
        </w:rPr>
        <w:instrText xml:space="preserve"> HYPERLINK \l "_Toc10468" </w:instrText>
      </w:r>
      <w:r>
        <w:rPr>
          <w:highlight w:val="none"/>
        </w:rPr>
        <w:fldChar w:fldCharType="separate"/>
      </w:r>
      <w:r>
        <w:rPr>
          <w:rFonts w:ascii="Times New Roman"/>
          <w:highlight w:val="none"/>
        </w:rPr>
        <w:t>4 原理</w:t>
      </w:r>
      <w:r>
        <w:rPr>
          <w:rFonts w:ascii="Times New Roman"/>
          <w:highlight w:val="none"/>
        </w:rPr>
        <w:tab/>
      </w:r>
      <w:r>
        <w:rPr>
          <w:rFonts w:ascii="Times New Roman"/>
          <w:highlight w:val="none"/>
        </w:rPr>
        <w:t>1</w:t>
      </w:r>
      <w:r>
        <w:rPr>
          <w:rFonts w:ascii="Times New Roman"/>
          <w:highlight w:val="none"/>
        </w:rPr>
        <w:fldChar w:fldCharType="end"/>
      </w:r>
    </w:p>
    <w:p>
      <w:pPr>
        <w:pStyle w:val="29"/>
        <w:tabs>
          <w:tab w:val="right" w:leader="dot" w:pos="9354"/>
          <w:tab w:val="clear" w:pos="9242"/>
        </w:tabs>
        <w:rPr>
          <w:rFonts w:ascii="Times New Roman"/>
          <w:highlight w:val="none"/>
        </w:rPr>
      </w:pPr>
      <w:r>
        <w:rPr>
          <w:highlight w:val="none"/>
        </w:rPr>
        <w:fldChar w:fldCharType="begin"/>
      </w:r>
      <w:r>
        <w:rPr>
          <w:highlight w:val="none"/>
        </w:rPr>
        <w:instrText xml:space="preserve"> HYPERLINK \l "_Toc4036" </w:instrText>
      </w:r>
      <w:r>
        <w:rPr>
          <w:highlight w:val="none"/>
        </w:rPr>
        <w:fldChar w:fldCharType="separate"/>
      </w:r>
      <w:r>
        <w:rPr>
          <w:rFonts w:ascii="Times New Roman"/>
          <w:highlight w:val="none"/>
        </w:rPr>
        <w:t xml:space="preserve">5 </w:t>
      </w:r>
      <w:r>
        <w:rPr>
          <w:rFonts w:hint="eastAsia" w:ascii="Times New Roman"/>
          <w:highlight w:val="none"/>
        </w:rPr>
        <w:t>仪器和设备</w:t>
      </w:r>
      <w:r>
        <w:rPr>
          <w:rFonts w:ascii="Times New Roman"/>
          <w:highlight w:val="none"/>
        </w:rPr>
        <w:tab/>
      </w:r>
      <w:r>
        <w:rPr>
          <w:rFonts w:hint="eastAsia" w:ascii="Times New Roman"/>
          <w:highlight w:val="none"/>
          <w:lang w:val="en-US" w:eastAsia="zh-CN"/>
        </w:rPr>
        <w:t>1</w:t>
      </w:r>
      <w:r>
        <w:rPr>
          <w:rFonts w:hint="eastAsia" w:ascii="Times New Roman"/>
          <w:highlight w:val="none"/>
        </w:rPr>
        <w:fldChar w:fldCharType="end"/>
      </w:r>
    </w:p>
    <w:p>
      <w:pPr>
        <w:pStyle w:val="29"/>
        <w:tabs>
          <w:tab w:val="right" w:leader="dot" w:pos="9354"/>
          <w:tab w:val="clear" w:pos="9242"/>
        </w:tabs>
        <w:rPr>
          <w:rFonts w:ascii="Times New Roman"/>
          <w:highlight w:val="none"/>
        </w:rPr>
      </w:pPr>
      <w:r>
        <w:rPr>
          <w:highlight w:val="none"/>
        </w:rPr>
        <w:fldChar w:fldCharType="begin"/>
      </w:r>
      <w:r>
        <w:rPr>
          <w:highlight w:val="none"/>
        </w:rPr>
        <w:instrText xml:space="preserve"> HYPERLINK \l "_Toc4036" </w:instrText>
      </w:r>
      <w:r>
        <w:rPr>
          <w:highlight w:val="none"/>
        </w:rPr>
        <w:fldChar w:fldCharType="separate"/>
      </w:r>
      <w:r>
        <w:rPr>
          <w:rFonts w:ascii="Times New Roman"/>
          <w:highlight w:val="none"/>
        </w:rPr>
        <w:t>6</w:t>
      </w:r>
      <w:r>
        <w:rPr>
          <w:rFonts w:hint="eastAsia"/>
          <w:highlight w:val="none"/>
        </w:rPr>
        <w:t xml:space="preserve"> </w:t>
      </w:r>
      <w:r>
        <w:rPr>
          <w:rFonts w:hint="eastAsia" w:ascii="Times New Roman"/>
          <w:highlight w:val="none"/>
        </w:rPr>
        <w:t>试样的采取与制备</w:t>
      </w:r>
      <w:r>
        <w:rPr>
          <w:rFonts w:ascii="Times New Roman"/>
          <w:highlight w:val="none"/>
        </w:rPr>
        <w:tab/>
      </w:r>
      <w:r>
        <w:rPr>
          <w:rFonts w:hint="eastAsia" w:ascii="Times New Roman"/>
          <w:highlight w:val="none"/>
          <w:lang w:val="en-US" w:eastAsia="zh-CN"/>
        </w:rPr>
        <w:t>3</w:t>
      </w:r>
      <w:r>
        <w:rPr>
          <w:rFonts w:hint="eastAsia" w:ascii="Times New Roman"/>
          <w:highlight w:val="none"/>
        </w:rPr>
        <w:fldChar w:fldCharType="end"/>
      </w:r>
    </w:p>
    <w:p>
      <w:pPr>
        <w:pStyle w:val="29"/>
        <w:tabs>
          <w:tab w:val="right" w:leader="dot" w:pos="9354"/>
          <w:tab w:val="clear" w:pos="9242"/>
        </w:tabs>
        <w:rPr>
          <w:rFonts w:ascii="Times New Roman"/>
          <w:highlight w:val="none"/>
        </w:rPr>
      </w:pPr>
      <w:r>
        <w:rPr>
          <w:highlight w:val="none"/>
        </w:rPr>
        <w:fldChar w:fldCharType="begin"/>
      </w:r>
      <w:r>
        <w:rPr>
          <w:highlight w:val="none"/>
        </w:rPr>
        <w:instrText xml:space="preserve"> HYPERLINK \l "_Toc4036" </w:instrText>
      </w:r>
      <w:r>
        <w:rPr>
          <w:highlight w:val="none"/>
        </w:rPr>
        <w:fldChar w:fldCharType="separate"/>
      </w:r>
      <w:r>
        <w:rPr>
          <w:rFonts w:ascii="Times New Roman"/>
          <w:highlight w:val="none"/>
        </w:rPr>
        <w:t xml:space="preserve">7 </w:t>
      </w:r>
      <w:r>
        <w:rPr>
          <w:rFonts w:hint="eastAsia" w:ascii="Times New Roman"/>
          <w:highlight w:val="none"/>
        </w:rPr>
        <w:t>测定方法</w:t>
      </w:r>
      <w:r>
        <w:rPr>
          <w:rFonts w:ascii="Times New Roman"/>
          <w:highlight w:val="none"/>
        </w:rPr>
        <w:tab/>
      </w:r>
      <w:r>
        <w:rPr>
          <w:rFonts w:hint="eastAsia" w:ascii="Times New Roman"/>
          <w:highlight w:val="none"/>
          <w:lang w:val="en-US" w:eastAsia="zh-CN"/>
        </w:rPr>
        <w:t>3</w:t>
      </w:r>
      <w:r>
        <w:rPr>
          <w:rFonts w:ascii="Times New Roman"/>
          <w:highlight w:val="none"/>
        </w:rPr>
        <w:fldChar w:fldCharType="end"/>
      </w:r>
      <w:bookmarkStart w:id="28" w:name="_GoBack"/>
      <w:bookmarkEnd w:id="28"/>
    </w:p>
    <w:p>
      <w:pPr>
        <w:pStyle w:val="29"/>
        <w:tabs>
          <w:tab w:val="right" w:leader="dot" w:pos="9354"/>
          <w:tab w:val="clear" w:pos="9242"/>
        </w:tabs>
        <w:rPr>
          <w:rFonts w:ascii="Times New Roman"/>
          <w:highlight w:val="none"/>
        </w:rPr>
      </w:pPr>
      <w:r>
        <w:rPr>
          <w:highlight w:val="none"/>
        </w:rPr>
        <w:fldChar w:fldCharType="begin"/>
      </w:r>
      <w:r>
        <w:rPr>
          <w:highlight w:val="none"/>
        </w:rPr>
        <w:instrText xml:space="preserve"> HYPERLINK \l "_Toc4036" </w:instrText>
      </w:r>
      <w:r>
        <w:rPr>
          <w:highlight w:val="none"/>
        </w:rPr>
        <w:fldChar w:fldCharType="separate"/>
      </w:r>
      <w:r>
        <w:rPr>
          <w:rFonts w:ascii="Times New Roman"/>
          <w:highlight w:val="none"/>
        </w:rPr>
        <w:t xml:space="preserve">8 </w:t>
      </w:r>
      <w:r>
        <w:rPr>
          <w:rFonts w:hint="eastAsia" w:ascii="Times New Roman"/>
          <w:highlight w:val="none"/>
        </w:rPr>
        <w:t>结果计算</w:t>
      </w:r>
      <w:r>
        <w:rPr>
          <w:rFonts w:ascii="Times New Roman"/>
          <w:highlight w:val="none"/>
        </w:rPr>
        <w:tab/>
      </w:r>
      <w:r>
        <w:rPr>
          <w:rFonts w:hint="eastAsia" w:ascii="Times New Roman"/>
          <w:highlight w:val="none"/>
        </w:rPr>
        <w:t>4</w:t>
      </w:r>
      <w:r>
        <w:rPr>
          <w:rFonts w:hint="eastAsia" w:ascii="Times New Roman"/>
          <w:highlight w:val="none"/>
        </w:rPr>
        <w:fldChar w:fldCharType="end"/>
      </w:r>
    </w:p>
    <w:p>
      <w:pPr>
        <w:pStyle w:val="29"/>
        <w:tabs>
          <w:tab w:val="right" w:leader="dot" w:pos="9354"/>
          <w:tab w:val="clear" w:pos="9242"/>
        </w:tabs>
        <w:rPr>
          <w:rFonts w:ascii="Times New Roman"/>
          <w:highlight w:val="none"/>
        </w:rPr>
      </w:pPr>
      <w:r>
        <w:rPr>
          <w:highlight w:val="none"/>
        </w:rPr>
        <w:fldChar w:fldCharType="begin"/>
      </w:r>
      <w:r>
        <w:rPr>
          <w:highlight w:val="none"/>
        </w:rPr>
        <w:instrText xml:space="preserve"> HYPERLINK \l "_Toc4036" </w:instrText>
      </w:r>
      <w:r>
        <w:rPr>
          <w:highlight w:val="none"/>
        </w:rPr>
        <w:fldChar w:fldCharType="separate"/>
      </w:r>
      <w:r>
        <w:rPr>
          <w:rFonts w:ascii="Times New Roman"/>
          <w:highlight w:val="none"/>
        </w:rPr>
        <w:t xml:space="preserve">9 </w:t>
      </w:r>
      <w:r>
        <w:rPr>
          <w:rFonts w:hint="eastAsia" w:ascii="Times New Roman"/>
          <w:highlight w:val="none"/>
        </w:rPr>
        <w:t>重复性</w:t>
      </w:r>
      <w:r>
        <w:rPr>
          <w:rFonts w:ascii="Times New Roman"/>
          <w:highlight w:val="none"/>
        </w:rPr>
        <w:tab/>
      </w:r>
      <w:r>
        <w:rPr>
          <w:rFonts w:hint="eastAsia" w:ascii="Times New Roman"/>
          <w:highlight w:val="none"/>
        </w:rPr>
        <w:t>4</w:t>
      </w:r>
      <w:r>
        <w:rPr>
          <w:rFonts w:hint="eastAsia" w:ascii="Times New Roman"/>
          <w:highlight w:val="none"/>
        </w:rPr>
        <w:fldChar w:fldCharType="end"/>
      </w:r>
    </w:p>
    <w:p>
      <w:pPr>
        <w:pStyle w:val="29"/>
        <w:tabs>
          <w:tab w:val="right" w:leader="dot" w:pos="9354"/>
          <w:tab w:val="clear" w:pos="9242"/>
        </w:tabs>
        <w:rPr>
          <w:rFonts w:ascii="Times New Roman"/>
          <w:highlight w:val="none"/>
        </w:rPr>
      </w:pPr>
      <w:r>
        <w:rPr>
          <w:highlight w:val="none"/>
        </w:rPr>
        <w:fldChar w:fldCharType="begin"/>
      </w:r>
      <w:r>
        <w:rPr>
          <w:highlight w:val="none"/>
        </w:rPr>
        <w:instrText xml:space="preserve"> HYPERLINK \l "_Toc4036" </w:instrText>
      </w:r>
      <w:r>
        <w:rPr>
          <w:highlight w:val="none"/>
        </w:rPr>
        <w:fldChar w:fldCharType="separate"/>
      </w:r>
      <w:r>
        <w:rPr>
          <w:rFonts w:hint="eastAsia" w:ascii="Times New Roman"/>
          <w:highlight w:val="none"/>
        </w:rPr>
        <w:t>附录A</w:t>
      </w:r>
      <w:r>
        <w:rPr>
          <w:rFonts w:hint="eastAsia" w:ascii="Times New Roman"/>
          <w:highlight w:val="none"/>
          <w:lang w:eastAsia="zh-CN"/>
        </w:rPr>
        <w:t>（</w:t>
      </w:r>
      <w:r>
        <w:rPr>
          <w:rFonts w:hint="eastAsia" w:ascii="Times New Roman"/>
          <w:highlight w:val="none"/>
          <w:lang w:val="en-US" w:eastAsia="zh-CN"/>
        </w:rPr>
        <w:t>资料</w:t>
      </w:r>
      <w:r>
        <w:rPr>
          <w:rFonts w:hint="eastAsia" w:ascii="Times New Roman"/>
          <w:highlight w:val="none"/>
        </w:rPr>
        <w:t>性</w:t>
      </w:r>
      <w:r>
        <w:rPr>
          <w:rFonts w:hint="eastAsia" w:ascii="Times New Roman"/>
          <w:highlight w:val="none"/>
          <w:lang w:eastAsia="zh-CN"/>
        </w:rPr>
        <w:t>）</w:t>
      </w:r>
      <w:r>
        <w:rPr>
          <w:rFonts w:hint="eastAsia" w:ascii="Times New Roman"/>
          <w:highlight w:val="none"/>
        </w:rPr>
        <w:t>标准实施案例</w:t>
      </w:r>
      <w:r>
        <w:rPr>
          <w:rFonts w:ascii="Times New Roman"/>
          <w:highlight w:val="none"/>
        </w:rPr>
        <w:tab/>
      </w:r>
      <w:r>
        <w:rPr>
          <w:rFonts w:hint="eastAsia" w:ascii="Times New Roman"/>
          <w:highlight w:val="none"/>
          <w:lang w:val="en-US" w:eastAsia="zh-CN"/>
        </w:rPr>
        <w:t>5</w:t>
      </w:r>
      <w:r>
        <w:rPr>
          <w:rFonts w:hint="eastAsia" w:ascii="Times New Roman"/>
          <w:highlight w:val="none"/>
        </w:rPr>
        <w:fldChar w:fldCharType="end"/>
      </w:r>
    </w:p>
    <w:p>
      <w:pPr>
        <w:pStyle w:val="29"/>
        <w:tabs>
          <w:tab w:val="right" w:leader="dot" w:pos="9354"/>
          <w:tab w:val="clear" w:pos="9242"/>
        </w:tabs>
        <w:rPr>
          <w:rFonts w:ascii="Times New Roman"/>
          <w:highlight w:val="none"/>
        </w:rPr>
      </w:pPr>
    </w:p>
    <w:p>
      <w:pPr>
        <w:rPr>
          <w:highlight w:val="none"/>
        </w:rPr>
      </w:pPr>
    </w:p>
    <w:p>
      <w:pPr>
        <w:pStyle w:val="91"/>
        <w:rPr>
          <w:rFonts w:ascii="Times New Roman"/>
        </w:rPr>
      </w:pPr>
      <w:r>
        <w:rPr>
          <w:rFonts w:ascii="Times New Roman"/>
          <w:highlight w:val="none"/>
        </w:rPr>
        <w:fldChar w:fldCharType="end"/>
      </w:r>
      <w:bookmarkStart w:id="8" w:name="_Toc31329"/>
      <w:r>
        <w:rPr>
          <w:rFonts w:ascii="Times New Roman"/>
        </w:rPr>
        <w:t>前  言</w:t>
      </w:r>
      <w:bookmarkEnd w:id="7"/>
      <w:bookmarkEnd w:id="8"/>
    </w:p>
    <w:p>
      <w:pPr>
        <w:pStyle w:val="23"/>
        <w:rPr>
          <w:rFonts w:ascii="Times New Roman"/>
        </w:rPr>
      </w:pPr>
      <w:r>
        <w:rPr>
          <w:rFonts w:ascii="Times New Roman"/>
        </w:rPr>
        <w:t>本文件按照GB/T 1.1-2020《标准化工作导则 第1部分：标准化文件的结构和起草规则》的规</w:t>
      </w:r>
      <w:r>
        <w:rPr>
          <w:rFonts w:hint="eastAsia" w:ascii="Times New Roman"/>
        </w:rPr>
        <w:t>定</w:t>
      </w:r>
      <w:r>
        <w:rPr>
          <w:rFonts w:ascii="Times New Roman"/>
        </w:rPr>
        <w:t>起草。</w:t>
      </w:r>
    </w:p>
    <w:p>
      <w:pPr>
        <w:pStyle w:val="23"/>
        <w:rPr>
          <w:rFonts w:ascii="Times New Roman"/>
        </w:rPr>
      </w:pPr>
      <w:r>
        <w:rPr>
          <w:rFonts w:hint="eastAsia" w:ascii="Times New Roman"/>
        </w:rPr>
        <w:t>请注意本文件的某些内容可能涉及专利。本文件的发布机构不承担识别专利的责任。</w:t>
      </w:r>
    </w:p>
    <w:p>
      <w:pPr>
        <w:pStyle w:val="23"/>
        <w:rPr>
          <w:rFonts w:ascii="Times New Roman"/>
        </w:rPr>
      </w:pPr>
      <w:r>
        <w:rPr>
          <w:rFonts w:ascii="Times New Roman"/>
        </w:rPr>
        <w:t>本文件由中国特钢企业协会团体标准化工作委员会提出并归口。</w:t>
      </w:r>
    </w:p>
    <w:p>
      <w:pPr>
        <w:pStyle w:val="23"/>
        <w:rPr>
          <w:rFonts w:ascii="Times New Roman"/>
        </w:rPr>
      </w:pPr>
      <w:r>
        <w:rPr>
          <w:rFonts w:ascii="Times New Roman"/>
        </w:rPr>
        <w:t>本文件起草单位：</w:t>
      </w:r>
      <w:r>
        <w:rPr>
          <w:rFonts w:hint="eastAsia" w:ascii="Times New Roman"/>
        </w:rPr>
        <w:t>西安建筑科技大学、内蒙古正能化工集团有限公司、神木市兰炭产业服务中心、内蒙古新太实业集团有限公司、四川省阿坝州大秦科技有限公司、冶金工业规划研究院、西京学院、陕西兰冶科技有限公司。</w:t>
      </w:r>
    </w:p>
    <w:p>
      <w:pPr>
        <w:pStyle w:val="23"/>
        <w:rPr>
          <w:rFonts w:ascii="Times New Roman"/>
        </w:rPr>
      </w:pPr>
      <w:r>
        <w:rPr>
          <w:rFonts w:ascii="Times New Roman"/>
        </w:rPr>
        <w:t>本文件主要起草人：</w:t>
      </w:r>
      <w:r>
        <w:rPr>
          <w:rFonts w:hint="eastAsia" w:ascii="Times New Roman"/>
        </w:rPr>
        <w:t>邹冲、李彬、施瑞盟、李岚田、贾建军、王昊、邱阳、刘文权、李卉、马成、王毅、俞楠、张盟、张怀宇。</w:t>
      </w:r>
    </w:p>
    <w:p>
      <w:pPr>
        <w:pStyle w:val="23"/>
        <w:rPr>
          <w:rFonts w:ascii="Times New Roman"/>
        </w:rPr>
      </w:pPr>
      <w:r>
        <w:rPr>
          <w:rFonts w:hint="eastAsia" w:ascii="Times New Roman"/>
        </w:rPr>
        <w:t>本文件为首次发布。</w:t>
      </w:r>
    </w:p>
    <w:p>
      <w:pPr>
        <w:ind w:firstLine="420" w:firstLineChars="200"/>
        <w:rPr>
          <w:highlight w:val="yellow"/>
        </w:rPr>
      </w:pPr>
    </w:p>
    <w:p>
      <w:pPr>
        <w:pStyle w:val="107"/>
        <w:spacing w:after="624" w:afterLines="200"/>
        <w:rPr>
          <w:rFonts w:ascii="Times New Roman"/>
        </w:rPr>
        <w:sectPr>
          <w:headerReference r:id="rId6" w:type="default"/>
          <w:footerReference r:id="rId7" w:type="default"/>
          <w:pgSz w:w="11906" w:h="16838"/>
          <w:pgMar w:top="567" w:right="1134" w:bottom="1134" w:left="1418" w:header="1418" w:footer="1134" w:gutter="0"/>
          <w:pgNumType w:fmt="upperRoman"/>
          <w:cols w:space="720" w:num="1"/>
          <w:formProt w:val="0"/>
          <w:docGrid w:type="lines" w:linePitch="312" w:charSpace="0"/>
        </w:sectPr>
      </w:pPr>
      <w:bookmarkStart w:id="9" w:name="_Toc15410"/>
    </w:p>
    <w:bookmarkEnd w:id="9"/>
    <w:p>
      <w:pPr>
        <w:pStyle w:val="107"/>
        <w:spacing w:after="624" w:afterLines="200"/>
        <w:rPr>
          <w:rFonts w:ascii="宋体"/>
        </w:rPr>
      </w:pPr>
      <w:r>
        <w:rPr>
          <w:rFonts w:hint="eastAsia" w:ascii="Times New Roman"/>
        </w:rPr>
        <w:t>兰炭机械强度的测定方法</w:t>
      </w:r>
    </w:p>
    <w:p>
      <w:pPr>
        <w:pStyle w:val="53"/>
        <w:outlineLvl w:val="0"/>
        <w:rPr>
          <w:rFonts w:ascii="Times New Roman"/>
        </w:rPr>
      </w:pPr>
      <w:bookmarkStart w:id="10" w:name="_Toc31747"/>
      <w:bookmarkStart w:id="11" w:name="_Toc520380391"/>
      <w:r>
        <w:rPr>
          <w:rFonts w:ascii="Times New Roman"/>
        </w:rPr>
        <w:t>范围</w:t>
      </w:r>
      <w:bookmarkEnd w:id="10"/>
      <w:bookmarkEnd w:id="11"/>
    </w:p>
    <w:p>
      <w:pPr>
        <w:pStyle w:val="23"/>
        <w:rPr>
          <w:rFonts w:hint="eastAsia" w:ascii="Times New Roman"/>
        </w:rPr>
      </w:pPr>
      <w:bookmarkStart w:id="12" w:name="_Toc520380392"/>
      <w:r>
        <w:rPr>
          <w:rFonts w:hint="eastAsia" w:ascii="Times New Roman"/>
        </w:rPr>
        <w:t>本文件规定了测定兰炭机械强度的原理、仪器和设备、试样的采取和制备、测定方法、结果计算及重复性等。</w:t>
      </w:r>
    </w:p>
    <w:p>
      <w:pPr>
        <w:pStyle w:val="23"/>
        <w:rPr>
          <w:rFonts w:ascii="Times New Roman"/>
        </w:rPr>
      </w:pPr>
      <w:r>
        <w:rPr>
          <w:rFonts w:hint="eastAsia" w:ascii="Times New Roman"/>
        </w:rPr>
        <w:t>本文件适用于粒度在8 mm～35 mm范围的兰炭机械强度的测定</w:t>
      </w:r>
      <w:r>
        <w:rPr>
          <w:rFonts w:ascii="Times New Roman" w:eastAsia="宋体"/>
        </w:rPr>
        <w:t>。</w:t>
      </w:r>
    </w:p>
    <w:p>
      <w:pPr>
        <w:pStyle w:val="53"/>
        <w:rPr>
          <w:rFonts w:ascii="Times New Roman"/>
        </w:rPr>
      </w:pPr>
      <w:bookmarkStart w:id="13" w:name="_Toc2222"/>
      <w:r>
        <w:rPr>
          <w:rFonts w:ascii="Times New Roman"/>
        </w:rPr>
        <w:t>规范性引用文件</w:t>
      </w:r>
      <w:bookmarkEnd w:id="12"/>
      <w:bookmarkEnd w:id="13"/>
    </w:p>
    <w:p>
      <w:pPr>
        <w:ind w:firstLine="420" w:firstLineChars="200"/>
        <w:rPr>
          <w:szCs w:val="21"/>
        </w:rPr>
      </w:pPr>
      <w:bookmarkStart w:id="14" w:name="_Toc520380394"/>
      <w:r>
        <w:rPr>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bookmarkEnd w:id="14"/>
      <w:bookmarkStart w:id="15" w:name="_Toc10886"/>
      <w:bookmarkStart w:id="16" w:name="_Toc520380395"/>
    </w:p>
    <w:p>
      <w:pPr>
        <w:ind w:firstLine="420" w:firstLineChars="200"/>
        <w:rPr>
          <w:rFonts w:hint="eastAsia"/>
          <w:szCs w:val="21"/>
        </w:rPr>
      </w:pPr>
      <w:r>
        <w:rPr>
          <w:rFonts w:hint="eastAsia"/>
          <w:szCs w:val="21"/>
        </w:rPr>
        <w:t xml:space="preserve">GB/T 1997 </w:t>
      </w:r>
      <w:r>
        <w:rPr>
          <w:rFonts w:hint="eastAsia"/>
          <w:szCs w:val="21"/>
          <w:lang w:val="en-US" w:eastAsia="zh-CN"/>
        </w:rPr>
        <w:t xml:space="preserve"> </w:t>
      </w:r>
      <w:r>
        <w:rPr>
          <w:rFonts w:hint="eastAsia"/>
          <w:szCs w:val="21"/>
        </w:rPr>
        <w:t>焦炭试样的采取和制备</w:t>
      </w:r>
    </w:p>
    <w:p>
      <w:pPr>
        <w:ind w:firstLine="420" w:firstLineChars="200"/>
        <w:rPr>
          <w:rFonts w:hint="eastAsia"/>
          <w:szCs w:val="21"/>
        </w:rPr>
      </w:pPr>
      <w:r>
        <w:rPr>
          <w:rFonts w:hint="eastAsia"/>
          <w:szCs w:val="21"/>
        </w:rPr>
        <w:t xml:space="preserve">GB/T 6003.2 </w:t>
      </w:r>
      <w:r>
        <w:rPr>
          <w:rFonts w:hint="eastAsia"/>
          <w:szCs w:val="21"/>
          <w:lang w:val="en-US" w:eastAsia="zh-CN"/>
        </w:rPr>
        <w:t xml:space="preserve"> </w:t>
      </w:r>
      <w:r>
        <w:rPr>
          <w:rFonts w:hint="eastAsia"/>
          <w:szCs w:val="21"/>
        </w:rPr>
        <w:t>试验筛 技术要求和检验 第2部分：金属穿孔板试验筛</w:t>
      </w:r>
    </w:p>
    <w:p>
      <w:pPr>
        <w:ind w:firstLine="420" w:firstLineChars="200"/>
      </w:pPr>
      <w:r>
        <w:rPr>
          <w:rFonts w:hint="eastAsia"/>
          <w:szCs w:val="21"/>
        </w:rPr>
        <w:t xml:space="preserve">GB/T 25212 </w:t>
      </w:r>
      <w:r>
        <w:rPr>
          <w:rFonts w:hint="eastAsia"/>
          <w:szCs w:val="21"/>
          <w:lang w:val="en-US" w:eastAsia="zh-CN"/>
        </w:rPr>
        <w:t xml:space="preserve"> </w:t>
      </w:r>
      <w:r>
        <w:rPr>
          <w:rFonts w:hint="eastAsia"/>
          <w:szCs w:val="21"/>
        </w:rPr>
        <w:t>兰炭产品品种及等级划分</w:t>
      </w:r>
    </w:p>
    <w:p>
      <w:pPr>
        <w:pStyle w:val="53"/>
        <w:rPr>
          <w:rFonts w:ascii="Times New Roman"/>
        </w:rPr>
      </w:pPr>
      <w:r>
        <w:rPr>
          <w:rFonts w:ascii="Times New Roman"/>
        </w:rPr>
        <w:t>术语和定义</w:t>
      </w:r>
      <w:bookmarkEnd w:id="15"/>
    </w:p>
    <w:p>
      <w:pPr>
        <w:spacing w:line="360" w:lineRule="auto"/>
        <w:ind w:firstLine="420" w:firstLineChars="200"/>
      </w:pPr>
      <w:r>
        <w:rPr>
          <w:rFonts w:hint="eastAsia"/>
        </w:rPr>
        <w:t>GB/T 25212界定的术语和定义适用于本文件。</w:t>
      </w:r>
    </w:p>
    <w:p>
      <w:pPr>
        <w:pStyle w:val="53"/>
      </w:pPr>
      <w:r>
        <w:rPr>
          <w:rFonts w:hint="eastAsia"/>
          <w:szCs w:val="21"/>
        </w:rPr>
        <w:t>原理</w:t>
      </w:r>
    </w:p>
    <w:p>
      <w:pPr>
        <w:ind w:firstLine="420" w:firstLineChars="200"/>
        <w:rPr>
          <w:rFonts w:hint="eastAsia"/>
          <w:szCs w:val="21"/>
          <w:lang w:val="en-US" w:eastAsia="zh-CN"/>
        </w:rPr>
      </w:pPr>
      <w:r>
        <w:rPr>
          <w:rFonts w:hint="eastAsia"/>
          <w:szCs w:val="21"/>
          <w:lang w:val="en-US" w:eastAsia="zh-CN"/>
        </w:rPr>
        <w:t>兰炭在转鼓中不断地被提料板提起一定高度后下跌至旋转的钢板上。在此过程中，兰炭由于受机械力的作用，产生撞击、摩擦，使兰炭沿缺陷结构开裂以及表面被磨损，导致兰炭试样的粒度分布发生变化，以此为依据测定兰炭的机械强度。</w:t>
      </w:r>
    </w:p>
    <w:p>
      <w:pPr>
        <w:pStyle w:val="53"/>
        <w:rPr>
          <w:szCs w:val="21"/>
        </w:rPr>
      </w:pPr>
      <w:r>
        <w:rPr>
          <w:rFonts w:hint="eastAsia"/>
          <w:szCs w:val="21"/>
        </w:rPr>
        <w:t>仪器和设备</w:t>
      </w:r>
    </w:p>
    <w:p>
      <w:pPr>
        <w:pStyle w:val="55"/>
        <w:bidi w:val="0"/>
        <w:ind w:left="0" w:leftChars="0" w:firstLine="0" w:firstLineChars="0"/>
        <w:rPr>
          <w:rFonts w:hint="eastAsia"/>
        </w:rPr>
      </w:pPr>
      <w:r>
        <w:rPr>
          <w:rFonts w:hint="eastAsia"/>
        </w:rPr>
        <w:t>仪器整体结构</w:t>
      </w:r>
    </w:p>
    <w:p>
      <w:pPr>
        <w:pStyle w:val="23"/>
        <w:rPr>
          <w:rFonts w:ascii="Times New Roman" w:eastAsiaTheme="minorEastAsia"/>
          <w:color w:val="000000" w:themeColor="text1"/>
          <w14:textFill>
            <w14:solidFill>
              <w14:schemeClr w14:val="tx1"/>
            </w14:solidFill>
          </w14:textFill>
        </w:rPr>
      </w:pPr>
      <w:r>
        <w:rPr>
          <w:rFonts w:ascii="Times New Roman" w:eastAsiaTheme="minorEastAsia"/>
          <w:color w:val="000000" w:themeColor="text1"/>
          <w14:textFill>
            <w14:solidFill>
              <w14:schemeClr w14:val="tx1"/>
            </w14:solidFill>
          </w14:textFill>
        </w:rPr>
        <w:drawing>
          <wp:inline distT="0" distB="0" distL="0" distR="0">
            <wp:extent cx="5673090" cy="5039995"/>
            <wp:effectExtent l="0" t="0" r="11430"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673183" cy="5040000"/>
                    </a:xfrm>
                    <a:prstGeom prst="rect">
                      <a:avLst/>
                    </a:prstGeom>
                    <a:noFill/>
                    <a:ln>
                      <a:noFill/>
                    </a:ln>
                  </pic:spPr>
                </pic:pic>
              </a:graphicData>
            </a:graphic>
          </wp:inline>
        </w:drawing>
      </w:r>
    </w:p>
    <w:p>
      <w:pPr>
        <w:pStyle w:val="23"/>
        <w:spacing w:after="312" w:afterLines="100"/>
        <w:ind w:firstLine="0" w:firstLineChars="0"/>
        <w:jc w:val="center"/>
        <w:rPr>
          <w:rFonts w:ascii="Times New Roman" w:eastAsia="黑体"/>
          <w:color w:val="000000" w:themeColor="text1"/>
          <w14:textFill>
            <w14:solidFill>
              <w14:schemeClr w14:val="tx1"/>
            </w14:solidFill>
          </w14:textFill>
        </w:rPr>
      </w:pPr>
      <w:r>
        <w:rPr>
          <w:rFonts w:ascii="Times New Roman" w:eastAsia="黑体"/>
          <w:color w:val="000000" w:themeColor="text1"/>
          <w14:textFill>
            <w14:solidFill>
              <w14:schemeClr w14:val="tx1"/>
            </w14:solidFill>
          </w14:textFill>
        </w:rPr>
        <w:t>图1 兰炭机械强度测定仪</w:t>
      </w:r>
    </w:p>
    <w:p>
      <w:pPr>
        <w:pStyle w:val="61"/>
        <w:rPr>
          <w:rFonts w:hint="eastAsia" w:ascii="Times New Roman"/>
        </w:rPr>
      </w:pPr>
      <w:r>
        <w:rPr>
          <w:rFonts w:hint="eastAsia" w:ascii="Times New Roman"/>
        </w:rPr>
        <w:t>兰炭机械强度测定仪如图1所示，整体尺寸为1100 mm×600 mm×950 mm（长×宽×高），可调支撑装置高度100 mm。</w:t>
      </w:r>
    </w:p>
    <w:p>
      <w:pPr>
        <w:pStyle w:val="61"/>
        <w:rPr>
          <w:rFonts w:hint="eastAsia" w:ascii="Times New Roman"/>
        </w:rPr>
      </w:pPr>
      <w:r>
        <w:rPr>
          <w:rFonts w:hint="eastAsia" w:ascii="Times New Roman"/>
        </w:rPr>
        <w:t>兰炭机械强度测定仪分为左右两个箱体。左侧箱体上方内置电子天平并设有保护天窗，下方设机械振动筛。右侧箱体内置转鼓及其传动控制系统。</w:t>
      </w:r>
    </w:p>
    <w:p>
      <w:pPr>
        <w:pStyle w:val="55"/>
        <w:bidi w:val="0"/>
        <w:ind w:left="0" w:leftChars="0" w:firstLine="0" w:firstLineChars="0"/>
        <w:rPr>
          <w:rFonts w:hint="eastAsia"/>
        </w:rPr>
      </w:pPr>
      <w:bookmarkStart w:id="17" w:name="_Toc144468652"/>
      <w:r>
        <w:rPr>
          <w:rFonts w:hint="eastAsia"/>
        </w:rPr>
        <w:t>转鼓</w:t>
      </w:r>
      <w:bookmarkEnd w:id="17"/>
    </w:p>
    <w:p>
      <w:pPr>
        <w:pStyle w:val="61"/>
        <w:rPr>
          <w:rFonts w:hint="eastAsia" w:ascii="Times New Roman"/>
        </w:rPr>
      </w:pPr>
      <w:r>
        <w:rPr>
          <w:rFonts w:hint="eastAsia" w:ascii="Times New Roman"/>
        </w:rPr>
        <w:t>转鼓的内型尺寸为：鼓内直径300 mm±1 mm，鼓内长度300 mm±1 mm，鼓壁厚度为3 mm，在轴向上突出箱体面板100 mm以便于兰炭的装卸。沿转鼓内表面，在轴向上对称布置两道长宽为300 mm×20 mm的提料板，板厚为2 mm，在转鼓旋转过程中用于提升兰炭使其跌落。转鼓口向外沿长40 mm，对称设置4个螺母旋钮。转鼓盖的材质同转鼓一致，其尺寸为Φ380 mm±1 mm，转鼓盖外沿开对称4孔，和转鼓口外沿螺母旋钮对齐。为了减少转鼓过程中样品从转鼓盖板缝隙处撒漏损失，转鼓盖内侧设置橡胶垫圈密封。</w:t>
      </w:r>
    </w:p>
    <w:p>
      <w:pPr>
        <w:pStyle w:val="61"/>
        <w:rPr>
          <w:rFonts w:hint="eastAsia" w:ascii="Times New Roman"/>
        </w:rPr>
      </w:pPr>
      <w:r>
        <w:rPr>
          <w:rFonts w:hint="eastAsia" w:ascii="Times New Roman"/>
        </w:rPr>
        <w:t>转鼓通过法兰轴与减速机、电动机相连接，通过调频器控制电动机转速实现对转鼓转速的调整与控制。通过计数控制调节器控制调频器的输出来实现转鼓转动圈数的调整与控制。电机系统的工作参数为：电动机功率/输入电压/转速：2.2 kW/220 V/(1450 r/min)；调频器功率/输入电压：3.7 kW/220 V；减速机速比：1:60。转鼓由电动机带动，以20 r/min的恒定转速运转200转。</w:t>
      </w:r>
    </w:p>
    <w:p>
      <w:pPr>
        <w:pStyle w:val="61"/>
        <w:rPr>
          <w:rFonts w:hint="eastAsia" w:ascii="Times New Roman"/>
        </w:rPr>
      </w:pPr>
      <w:r>
        <w:rPr>
          <w:rFonts w:hint="eastAsia" w:ascii="Times New Roman"/>
        </w:rPr>
        <w:t>每季度校准一次转鼓参数，要求转动圈数为200转不变，转动时间为600 s±6 s。每半年测定一次转鼓磨损情况，转鼓壁厚任意一点小于出厂壁厚40%时，需更换转鼓。</w:t>
      </w:r>
    </w:p>
    <w:p>
      <w:pPr>
        <w:pStyle w:val="55"/>
        <w:bidi w:val="0"/>
        <w:ind w:left="0" w:leftChars="0" w:firstLine="0" w:firstLineChars="0"/>
        <w:rPr>
          <w:rFonts w:hint="eastAsia"/>
        </w:rPr>
      </w:pPr>
      <w:bookmarkStart w:id="18" w:name="_Toc144468653"/>
      <w:r>
        <w:rPr>
          <w:rFonts w:hint="eastAsia"/>
        </w:rPr>
        <w:t>振动筛</w:t>
      </w:r>
      <w:bookmarkEnd w:id="18"/>
    </w:p>
    <w:p>
      <w:pPr>
        <w:pStyle w:val="61"/>
        <w:numPr>
          <w:numId w:val="0"/>
        </w:numPr>
        <w:ind w:leftChars="0" w:firstLine="420" w:firstLineChars="200"/>
        <w:rPr>
          <w:rFonts w:hint="eastAsia" w:ascii="Times New Roman"/>
        </w:rPr>
      </w:pPr>
      <w:r>
        <w:rPr>
          <w:rFonts w:hint="eastAsia" w:ascii="Times New Roman"/>
        </w:rPr>
        <w:t>外型尺寸350 mm×400 mm×480 mm；振动频率：1400 r/min；振动幅度：1mm～4mm；电机功率：0.18 kW。</w:t>
      </w:r>
    </w:p>
    <w:p>
      <w:pPr>
        <w:pStyle w:val="55"/>
        <w:bidi w:val="0"/>
        <w:ind w:left="0" w:leftChars="0" w:firstLine="0" w:firstLineChars="0"/>
        <w:rPr>
          <w:rFonts w:hint="eastAsia"/>
        </w:rPr>
      </w:pPr>
      <w:bookmarkStart w:id="19" w:name="_Toc144468654"/>
      <w:r>
        <w:rPr>
          <w:rFonts w:hint="eastAsia"/>
        </w:rPr>
        <w:t>其它</w:t>
      </w:r>
      <w:bookmarkEnd w:id="19"/>
    </w:p>
    <w:p>
      <w:pPr>
        <w:pStyle w:val="61"/>
        <w:rPr>
          <w:rFonts w:hint="eastAsia" w:ascii="Times New Roman"/>
        </w:rPr>
      </w:pPr>
      <w:r>
        <w:rPr>
          <w:rFonts w:hint="eastAsia" w:ascii="Times New Roman"/>
        </w:rPr>
        <w:t>标准圆孔筛（Φ10 mm，Φ15 mm，Φ25 mm，Φ30 mm）、电子天平（精确度0.1 g，每次试验前需校准调零）、称量皿、刷子等。</w:t>
      </w:r>
    </w:p>
    <w:p>
      <w:pPr>
        <w:pStyle w:val="61"/>
        <w:rPr>
          <w:rFonts w:hint="eastAsia" w:ascii="Times New Roman"/>
        </w:rPr>
      </w:pPr>
      <w:r>
        <w:rPr>
          <w:rFonts w:hint="eastAsia" w:ascii="Times New Roman"/>
        </w:rPr>
        <w:t>每半年检查一次标准圆孔筛的筛网磨损情况，检查方法参见GB/T 6003.2。</w:t>
      </w:r>
    </w:p>
    <w:p>
      <w:pPr>
        <w:pStyle w:val="53"/>
        <w:rPr>
          <w:rFonts w:hint="eastAsia"/>
        </w:rPr>
      </w:pPr>
      <w:bookmarkStart w:id="20" w:name="_Toc144468655"/>
      <w:r>
        <w:rPr>
          <w:rFonts w:hint="eastAsia"/>
        </w:rPr>
        <w:t>试样的采取与制备</w:t>
      </w:r>
      <w:bookmarkEnd w:id="20"/>
    </w:p>
    <w:p>
      <w:pPr>
        <w:pStyle w:val="55"/>
        <w:rPr>
          <w:rFonts w:hint="eastAsia" w:ascii="Times New Roman" w:eastAsia="宋体"/>
        </w:rPr>
      </w:pPr>
      <w:r>
        <w:rPr>
          <w:rFonts w:hint="eastAsia" w:ascii="Times New Roman" w:eastAsia="宋体"/>
        </w:rPr>
        <w:t>试样的采样、混匀和缩分按GB/T 1997的规定进行。</w:t>
      </w:r>
    </w:p>
    <w:p>
      <w:pPr>
        <w:pStyle w:val="55"/>
        <w:rPr>
          <w:rFonts w:hint="eastAsia" w:ascii="Times New Roman" w:eastAsia="宋体"/>
        </w:rPr>
      </w:pPr>
      <w:r>
        <w:rPr>
          <w:rFonts w:hint="eastAsia" w:ascii="Times New Roman" w:eastAsia="宋体"/>
        </w:rPr>
        <w:t>在预先干燥已称量过的称量皿中放入缩分后的全粒度兰炭试样不少于5 kg，平摊在多个称量皿中。将装样的称量皿放入预先鼓风并已加热到105 °C～110 °C干燥箱中。在一直鼓风的条件下，干燥5 h。从干燥箱中取出称量皿，放入干燥器中冷却至室温后称量，精确到0.1 g。</w:t>
      </w:r>
    </w:p>
    <w:p>
      <w:pPr>
        <w:pStyle w:val="55"/>
        <w:rPr>
          <w:rFonts w:hint="eastAsia" w:ascii="Times New Roman" w:eastAsia="宋体"/>
        </w:rPr>
      </w:pPr>
      <w:r>
        <w:rPr>
          <w:rFonts w:hint="eastAsia" w:ascii="Times New Roman" w:eastAsia="宋体"/>
        </w:rPr>
        <w:t>检查性干燥：每次15 min，直到连续2次干燥试样的质量差不超过0.5 g。此时，样品烘干结束。</w:t>
      </w:r>
    </w:p>
    <w:p>
      <w:pPr>
        <w:pStyle w:val="53"/>
        <w:rPr>
          <w:rFonts w:hint="eastAsia"/>
        </w:rPr>
      </w:pPr>
      <w:bookmarkStart w:id="21" w:name="_Toc144468656"/>
      <w:r>
        <w:rPr>
          <w:rFonts w:hint="eastAsia"/>
        </w:rPr>
        <w:t>测定方法</w:t>
      </w:r>
      <w:bookmarkEnd w:id="21"/>
    </w:p>
    <w:p>
      <w:pPr>
        <w:pStyle w:val="55"/>
        <w:bidi w:val="0"/>
        <w:ind w:left="0" w:leftChars="0" w:firstLine="0" w:firstLineChars="0"/>
        <w:rPr>
          <w:rFonts w:hint="default" w:ascii="Times New Roman" w:hAnsi="Times New Roman" w:cs="Times New Roman"/>
        </w:rPr>
      </w:pPr>
      <w:bookmarkStart w:id="22" w:name="_Toc144468657"/>
      <w:r>
        <w:rPr>
          <w:rFonts w:hint="default" w:ascii="Times New Roman" w:hAnsi="Times New Roman" w:cs="Times New Roman"/>
        </w:rPr>
        <w:t>兰炭小料（8 mm～18 mm）机械强度测定方法</w:t>
      </w:r>
      <w:bookmarkEnd w:id="22"/>
    </w:p>
    <w:p>
      <w:pPr>
        <w:pStyle w:val="61"/>
        <w:rPr>
          <w:rFonts w:hint="eastAsia" w:ascii="Times New Roman"/>
        </w:rPr>
      </w:pPr>
      <w:r>
        <w:rPr>
          <w:rFonts w:hint="eastAsia" w:ascii="Times New Roman"/>
        </w:rPr>
        <w:t>将制备好的兰炭试样用标准圆孔筛（Φ10 mm和Φ15 mm）筛选，获得目标粒度为10 mm～15 mm的兰炭，筛选过程包括机械振动筛和人工穿孔。对机械振筛2 min后的筛上物进行人工穿孔，目标试样1500.0 g±6.0 g，并分成三份各500.0 g±2.0 g。</w:t>
      </w:r>
    </w:p>
    <w:p>
      <w:pPr>
        <w:pStyle w:val="61"/>
        <w:rPr>
          <w:rFonts w:hint="eastAsia" w:ascii="Times New Roman"/>
        </w:rPr>
      </w:pPr>
      <w:r>
        <w:rPr>
          <w:rFonts w:hint="eastAsia" w:ascii="Times New Roman"/>
        </w:rPr>
        <w:t>将其中一份兰炭试样装入已清扫干净的转鼓内，关紧转鼓盖，启动转鼓，以20 r/min的速度转动10 min停止，静止2 min，使粉尘降落后，打开转鼓盖，把鼓内兰炭扫出并仔细清扫，收集转鼓内、转鼓盖上的兰炭粉末。</w:t>
      </w:r>
    </w:p>
    <w:p>
      <w:pPr>
        <w:pStyle w:val="61"/>
        <w:rPr>
          <w:rFonts w:hint="eastAsia" w:ascii="Times New Roman"/>
        </w:rPr>
      </w:pPr>
      <w:r>
        <w:rPr>
          <w:rFonts w:hint="eastAsia" w:ascii="Times New Roman"/>
        </w:rPr>
        <w:t>将出鼓的兰炭倒入10 mm圆孔标准筛中振筛10 min，之后对筛上物进行人工穿孔，收集并称重筛层上及嵌在筛孔上的试料，精确至0.1 g。称量转鼓内、转鼓盖上的粉末兰炭和筛下物的兰炭，精确至0.1 g。两次称量之和同入鼓兰炭质量之差为损失量，当损失量大于3.0 g时，试验作废。</w:t>
      </w:r>
    </w:p>
    <w:p>
      <w:pPr>
        <w:pStyle w:val="61"/>
        <w:rPr>
          <w:rFonts w:hint="eastAsia" w:ascii="Times New Roman"/>
        </w:rPr>
      </w:pPr>
      <w:r>
        <w:rPr>
          <w:rFonts w:hint="eastAsia" w:ascii="Times New Roman"/>
        </w:rPr>
        <w:t>将另外两份试样重复上述的7.1.2和7.1.3的两个步骤进行第二、三次试验。</w:t>
      </w:r>
    </w:p>
    <w:p>
      <w:pPr>
        <w:pStyle w:val="55"/>
        <w:bidi w:val="0"/>
        <w:ind w:left="0" w:leftChars="0" w:firstLine="0" w:firstLineChars="0"/>
        <w:rPr>
          <w:rFonts w:hint="default" w:ascii="Times New Roman" w:hAnsi="Times New Roman" w:cs="Times New Roman"/>
        </w:rPr>
      </w:pPr>
      <w:bookmarkStart w:id="23" w:name="_Toc144468658"/>
      <w:r>
        <w:rPr>
          <w:rFonts w:hint="eastAsia" w:ascii="Times New Roman" w:hAnsi="Times New Roman" w:cs="Times New Roman"/>
        </w:rPr>
        <w:t>兰炭中料</w:t>
      </w:r>
      <w:r>
        <w:rPr>
          <w:rFonts w:hint="default" w:ascii="Times New Roman" w:hAnsi="Times New Roman" w:cs="Times New Roman"/>
        </w:rPr>
        <w:t>（18 mm～35 mm）</w:t>
      </w:r>
      <w:r>
        <w:rPr>
          <w:rFonts w:hint="eastAsia" w:ascii="Times New Roman" w:hAnsi="Times New Roman" w:cs="Times New Roman"/>
        </w:rPr>
        <w:t>机械强度测定方法</w:t>
      </w:r>
      <w:bookmarkEnd w:id="23"/>
    </w:p>
    <w:p>
      <w:pPr>
        <w:pStyle w:val="61"/>
        <w:rPr>
          <w:rFonts w:hint="eastAsia" w:ascii="Times New Roman"/>
        </w:rPr>
      </w:pPr>
      <w:r>
        <w:rPr>
          <w:rFonts w:hint="eastAsia" w:ascii="Times New Roman"/>
        </w:rPr>
        <w:t>将制备好的兰炭试样用标准圆孔筛（Φ25 mm和Φ30 mm）筛选，获得目标粒度为25 mm～30 mm的兰炭，筛选过程包括机械振动筛和人工穿孔。对机械振筛2 min后的筛上物进行人工穿孔，目标试样1500.0 g±6.0 g，并分成三份各500.0 g±2.0 g。</w:t>
      </w:r>
    </w:p>
    <w:p>
      <w:pPr>
        <w:pStyle w:val="61"/>
        <w:rPr>
          <w:rFonts w:hint="eastAsia" w:ascii="Times New Roman"/>
        </w:rPr>
      </w:pPr>
      <w:r>
        <w:rPr>
          <w:rFonts w:hint="eastAsia" w:ascii="Times New Roman"/>
        </w:rPr>
        <w:t>将其中一份兰炭试样装入已清扫干净的转鼓内，关紧转鼓盖，启动转鼓，以20 r/min的速度转动10 min停止，静止2 min，使粉尘降落后，打开转鼓盖，把鼓内兰炭扫出并仔细清扫，收集转鼓内、转鼓盖上的兰炭粉末。</w:t>
      </w:r>
    </w:p>
    <w:p>
      <w:pPr>
        <w:pStyle w:val="61"/>
        <w:rPr>
          <w:rFonts w:hint="eastAsia" w:ascii="Times New Roman"/>
        </w:rPr>
      </w:pPr>
      <w:r>
        <w:rPr>
          <w:rFonts w:hint="eastAsia" w:ascii="Times New Roman"/>
        </w:rPr>
        <w:t>将出鼓的兰炭倒入25 mm圆孔标准筛中振筛5 min，之后对筛上物进行人工穿孔，收集并称重筛层上及嵌在筛孔上的试料，精确至0.1 g。称重转鼓内、转鼓盖上的粉末兰炭和筛下物的兰炭，精确至0.1 g。两次称重之和同入鼓兰炭质量之差为损失量，当损失量大于3.0 g时，试验作废。</w:t>
      </w:r>
    </w:p>
    <w:p>
      <w:pPr>
        <w:pStyle w:val="61"/>
        <w:rPr>
          <w:rFonts w:hint="eastAsia" w:ascii="Times New Roman"/>
        </w:rPr>
      </w:pPr>
      <w:r>
        <w:rPr>
          <w:rFonts w:hint="eastAsia" w:ascii="Times New Roman"/>
        </w:rPr>
        <w:t>将另外两份试样重复上述的7.2.2和7.2.3的两个步骤进行第二、三次试验。</w:t>
      </w:r>
    </w:p>
    <w:p>
      <w:pPr>
        <w:pStyle w:val="53"/>
        <w:numPr>
          <w:ilvl w:val="0"/>
          <w:numId w:val="3"/>
        </w:numPr>
        <w:spacing w:before="312" w:after="312"/>
        <w:rPr>
          <w:rFonts w:ascii="Times New Roman"/>
          <w:color w:val="000000" w:themeColor="text1"/>
          <w14:textFill>
            <w14:solidFill>
              <w14:schemeClr w14:val="tx1"/>
            </w14:solidFill>
          </w14:textFill>
        </w:rPr>
      </w:pPr>
      <w:bookmarkStart w:id="24" w:name="_Toc144468659"/>
      <w:r>
        <w:rPr>
          <w:rFonts w:ascii="Times New Roman"/>
          <w:color w:val="000000" w:themeColor="text1"/>
          <w14:textFill>
            <w14:solidFill>
              <w14:schemeClr w14:val="tx1"/>
            </w14:solidFill>
          </w14:textFill>
        </w:rPr>
        <w:t>结果计算</w:t>
      </w:r>
      <w:bookmarkEnd w:id="24"/>
    </w:p>
    <w:p>
      <w:pPr>
        <w:pStyle w:val="55"/>
        <w:bidi w:val="0"/>
        <w:ind w:left="0" w:leftChars="0" w:firstLine="0" w:firstLineChars="0"/>
        <w:rPr>
          <w:rFonts w:hint="default" w:ascii="Times New Roman" w:hAnsi="Times New Roman" w:cs="Times New Roman"/>
        </w:rPr>
      </w:pPr>
      <w:bookmarkStart w:id="25" w:name="_Toc144468660"/>
      <w:r>
        <w:rPr>
          <w:rFonts w:hint="eastAsia" w:ascii="Times New Roman" w:hAnsi="Times New Roman" w:cs="Times New Roman"/>
        </w:rPr>
        <w:t>兰炭小料（</w:t>
      </w:r>
      <w:r>
        <w:rPr>
          <w:rFonts w:hint="default" w:ascii="Times New Roman" w:hAnsi="Times New Roman" w:cs="Times New Roman"/>
        </w:rPr>
        <w:t>8 mm～18 mm</w:t>
      </w:r>
      <w:r>
        <w:rPr>
          <w:rFonts w:hint="eastAsia" w:ascii="Times New Roman" w:hAnsi="Times New Roman" w:cs="Times New Roman"/>
        </w:rPr>
        <w:t>）</w:t>
      </w:r>
      <w:r>
        <w:rPr>
          <w:rFonts w:hint="default" w:ascii="Times New Roman" w:hAnsi="Times New Roman" w:cs="Times New Roman"/>
        </w:rPr>
        <w:t>机械强度</w:t>
      </w:r>
      <w:r>
        <w:rPr>
          <w:rFonts w:hint="eastAsia" w:ascii="Times New Roman" w:hAnsi="Times New Roman" w:cs="Times New Roman"/>
        </w:rPr>
        <w:t>计算方法</w:t>
      </w:r>
      <w:bookmarkEnd w:id="25"/>
    </w:p>
    <w:p>
      <w:pPr>
        <w:pStyle w:val="23"/>
        <w:autoSpaceDE/>
        <w:autoSpaceDN/>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8 mm～18 mm兰炭的机械强度</w:t>
      </w:r>
      <w:r>
        <w:rPr>
          <w:rFonts w:ascii="Times New Roman"/>
          <w:i/>
          <w:iCs/>
          <w:color w:val="000000" w:themeColor="text1"/>
          <w14:textFill>
            <w14:solidFill>
              <w14:schemeClr w14:val="tx1"/>
            </w14:solidFill>
          </w14:textFill>
        </w:rPr>
        <w:t>M</w:t>
      </w:r>
      <w:r>
        <w:rPr>
          <w:rFonts w:ascii="Times New Roman"/>
          <w:color w:val="000000" w:themeColor="text1"/>
          <w:vertAlign w:val="subscript"/>
          <w14:textFill>
            <w14:solidFill>
              <w14:schemeClr w14:val="tx1"/>
            </w14:solidFill>
          </w14:textFill>
        </w:rPr>
        <w:t>10</w:t>
      </w:r>
      <w:r>
        <w:rPr>
          <w:rFonts w:ascii="Times New Roman"/>
          <w:color w:val="000000" w:themeColor="text1"/>
          <w14:textFill>
            <w14:solidFill>
              <w14:schemeClr w14:val="tx1"/>
            </w14:solidFill>
          </w14:textFill>
        </w:rPr>
        <w:t>按式（1）计算：</w:t>
      </w:r>
    </w:p>
    <w:p>
      <w:pPr>
        <w:pStyle w:val="23"/>
        <w:autoSpaceDE/>
        <w:autoSpaceDN/>
        <w:jc w:val="right"/>
        <w:rPr>
          <w:rFonts w:ascii="Times New Roman"/>
          <w:color w:val="000000" w:themeColor="text1"/>
          <w14:textFill>
            <w14:solidFill>
              <w14:schemeClr w14:val="tx1"/>
            </w14:solidFill>
          </w14:textFill>
        </w:rPr>
      </w:pPr>
      <w:r>
        <w:rPr>
          <w:rFonts w:ascii="Times New Roman"/>
          <w:i/>
          <w:iCs/>
          <w:color w:val="000000" w:themeColor="text1"/>
          <w14:textFill>
            <w14:solidFill>
              <w14:schemeClr w14:val="tx1"/>
            </w14:solidFill>
          </w14:textFill>
        </w:rPr>
        <w:t>M</w:t>
      </w:r>
      <w:r>
        <w:rPr>
          <w:rFonts w:ascii="Times New Roman"/>
          <w:color w:val="000000" w:themeColor="text1"/>
          <w:vertAlign w:val="subscript"/>
          <w14:textFill>
            <w14:solidFill>
              <w14:schemeClr w14:val="tx1"/>
            </w14:solidFill>
          </w14:textFill>
        </w:rPr>
        <w:t>10</w:t>
      </w:r>
      <w:r>
        <w:rPr>
          <w:rFonts w:ascii="Times New Roman"/>
          <w:color w:val="000000" w:themeColor="text1"/>
          <w14:textFill>
            <w14:solidFill>
              <w14:schemeClr w14:val="tx1"/>
            </w14:solidFill>
          </w14:textFill>
        </w:rPr>
        <w:t>=</w:t>
      </w:r>
      <w:r>
        <w:rPr>
          <w:rFonts w:ascii="Times New Roman"/>
          <w:i/>
          <w:iCs/>
          <w:color w:val="000000" w:themeColor="text1"/>
          <w14:textFill>
            <w14:solidFill>
              <w14:schemeClr w14:val="tx1"/>
            </w14:solidFill>
          </w14:textFill>
        </w:rPr>
        <w:t>m</w:t>
      </w:r>
      <w:r>
        <w:rPr>
          <w:rFonts w:ascii="Times New Roman"/>
          <w:color w:val="000000" w:themeColor="text1"/>
          <w:vertAlign w:val="subscript"/>
          <w14:textFill>
            <w14:solidFill>
              <w14:schemeClr w14:val="tx1"/>
            </w14:solidFill>
          </w14:textFill>
        </w:rPr>
        <w:t>1</w:t>
      </w:r>
      <w:r>
        <w:rPr>
          <w:rFonts w:ascii="Times New Roman"/>
          <w:color w:val="000000" w:themeColor="text1"/>
          <w14:textFill>
            <w14:solidFill>
              <w14:schemeClr w14:val="tx1"/>
            </w14:solidFill>
          </w14:textFill>
        </w:rPr>
        <w:t>/</w:t>
      </w:r>
      <w:r>
        <w:rPr>
          <w:rFonts w:ascii="Times New Roman"/>
          <w:i/>
          <w:iCs/>
          <w:color w:val="000000" w:themeColor="text1"/>
          <w14:textFill>
            <w14:solidFill>
              <w14:schemeClr w14:val="tx1"/>
            </w14:solidFill>
          </w14:textFill>
        </w:rPr>
        <w:t>m</w:t>
      </w:r>
      <w:r>
        <w:rPr>
          <w:rFonts w:ascii="Times New Roman"/>
          <w:color w:val="000000" w:themeColor="text1"/>
          <w:vertAlign w:val="subscript"/>
          <w14:textFill>
            <w14:solidFill>
              <w14:schemeClr w14:val="tx1"/>
            </w14:solidFill>
          </w14:textFill>
        </w:rPr>
        <w:t>2</w:t>
      </w:r>
      <w:r>
        <w:rPr>
          <w:rFonts w:ascii="Times New Roman"/>
          <w:color w:val="000000" w:themeColor="text1"/>
          <w14:textFill>
            <w14:solidFill>
              <w14:schemeClr w14:val="tx1"/>
            </w14:solidFill>
          </w14:textFill>
        </w:rPr>
        <w:t>×100%                                （1）</w:t>
      </w:r>
    </w:p>
    <w:p>
      <w:pPr>
        <w:pStyle w:val="23"/>
        <w:autoSpaceDE/>
        <w:autoSpaceDN/>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式中：</w:t>
      </w:r>
    </w:p>
    <w:p>
      <w:pPr>
        <w:pStyle w:val="23"/>
        <w:autoSpaceDE/>
        <w:autoSpaceDN/>
        <w:rPr>
          <w:rFonts w:ascii="Times New Roman"/>
          <w:i/>
          <w:iCs/>
          <w:color w:val="000000" w:themeColor="text1"/>
          <w14:textFill>
            <w14:solidFill>
              <w14:schemeClr w14:val="tx1"/>
            </w14:solidFill>
          </w14:textFill>
        </w:rPr>
      </w:pPr>
      <w:r>
        <w:rPr>
          <w:rFonts w:ascii="Times New Roman"/>
          <w:i/>
          <w:iCs/>
          <w:color w:val="000000" w:themeColor="text1"/>
          <w14:textFill>
            <w14:solidFill>
              <w14:schemeClr w14:val="tx1"/>
            </w14:solidFill>
          </w14:textFill>
        </w:rPr>
        <w:t>M</w:t>
      </w:r>
      <w:r>
        <w:rPr>
          <w:rFonts w:ascii="Times New Roman"/>
          <w:color w:val="000000" w:themeColor="text1"/>
          <w:vertAlign w:val="subscript"/>
          <w14:textFill>
            <w14:solidFill>
              <w14:schemeClr w14:val="tx1"/>
            </w14:solidFill>
          </w14:textFill>
        </w:rPr>
        <w:t>10</w:t>
      </w:r>
      <w:r>
        <w:rPr>
          <w:rFonts w:ascii="Times New Roman"/>
          <w:color w:val="000000" w:themeColor="text1"/>
          <w14:textFill>
            <w14:solidFill>
              <w14:schemeClr w14:val="tx1"/>
            </w14:solidFill>
          </w14:textFill>
        </w:rPr>
        <w:t>——8 mm～18 mm兰炭的机械强度</w:t>
      </w:r>
      <w:r>
        <w:rPr>
          <w:rFonts w:hint="eastAsia" w:ascii="Times New Roman"/>
          <w:color w:val="000000" w:themeColor="text1"/>
          <w14:textFill>
            <w14:solidFill>
              <w14:schemeClr w14:val="tx1"/>
            </w14:solidFill>
          </w14:textFill>
        </w:rPr>
        <w:t>，单位为%，其中下标1</w:t>
      </w:r>
      <w:r>
        <w:rPr>
          <w:rFonts w:ascii="Times New Roman"/>
          <w:color w:val="000000" w:themeColor="text1"/>
          <w14:textFill>
            <w14:solidFill>
              <w14:schemeClr w14:val="tx1"/>
            </w14:solidFill>
          </w14:textFill>
        </w:rPr>
        <w:t>0</w:t>
      </w:r>
      <w:r>
        <w:rPr>
          <w:rFonts w:hint="eastAsia" w:ascii="Times New Roman"/>
          <w:color w:val="000000" w:themeColor="text1"/>
          <w14:textFill>
            <w14:solidFill>
              <w14:schemeClr w14:val="tx1"/>
            </w14:solidFill>
          </w14:textFill>
        </w:rPr>
        <w:t>表示1</w:t>
      </w:r>
      <w:r>
        <w:rPr>
          <w:rFonts w:ascii="Times New Roman"/>
          <w:color w:val="000000" w:themeColor="text1"/>
          <w14:textFill>
            <w14:solidFill>
              <w14:schemeClr w14:val="tx1"/>
            </w14:solidFill>
          </w14:textFill>
        </w:rPr>
        <w:t>0 mm</w:t>
      </w:r>
      <w:r>
        <w:rPr>
          <w:rFonts w:hint="eastAsia" w:ascii="Times New Roman"/>
          <w:color w:val="000000" w:themeColor="text1"/>
          <w14:textFill>
            <w14:solidFill>
              <w14:schemeClr w14:val="tx1"/>
            </w14:solidFill>
          </w14:textFill>
        </w:rPr>
        <w:t>圆孔筛；</w:t>
      </w:r>
    </w:p>
    <w:p>
      <w:pPr>
        <w:pStyle w:val="23"/>
        <w:autoSpaceDE/>
        <w:autoSpaceDN/>
        <w:rPr>
          <w:rFonts w:ascii="Times New Roman"/>
          <w:color w:val="000000" w:themeColor="text1"/>
          <w14:textFill>
            <w14:solidFill>
              <w14:schemeClr w14:val="tx1"/>
            </w14:solidFill>
          </w14:textFill>
        </w:rPr>
      </w:pPr>
      <w:r>
        <w:rPr>
          <w:rFonts w:ascii="Times New Roman"/>
          <w:i/>
          <w:iCs/>
          <w:color w:val="000000" w:themeColor="text1"/>
          <w14:textFill>
            <w14:solidFill>
              <w14:schemeClr w14:val="tx1"/>
            </w14:solidFill>
          </w14:textFill>
        </w:rPr>
        <w:t>m</w:t>
      </w:r>
      <w:r>
        <w:rPr>
          <w:rFonts w:ascii="Times New Roman"/>
          <w:color w:val="000000" w:themeColor="text1"/>
          <w:vertAlign w:val="subscript"/>
          <w14:textFill>
            <w14:solidFill>
              <w14:schemeClr w14:val="tx1"/>
            </w14:solidFill>
          </w14:textFill>
        </w:rPr>
        <w:t>1</w:t>
      </w:r>
      <w:r>
        <w:rPr>
          <w:rFonts w:ascii="Times New Roman"/>
          <w:color w:val="000000" w:themeColor="text1"/>
          <w14:textFill>
            <w14:solidFill>
              <w14:schemeClr w14:val="tx1"/>
            </w14:solidFill>
          </w14:textFill>
        </w:rPr>
        <w:t>——转鼓筛分后大于10 mm粒级兰炭质量，</w:t>
      </w:r>
      <w:r>
        <w:rPr>
          <w:rFonts w:hint="eastAsia" w:ascii="Times New Roman"/>
          <w:color w:val="000000" w:themeColor="text1"/>
          <w14:textFill>
            <w14:solidFill>
              <w14:schemeClr w14:val="tx1"/>
            </w14:solidFill>
          </w14:textFill>
        </w:rPr>
        <w:t>单位为克</w:t>
      </w:r>
      <w:r>
        <w:rPr>
          <w:rFonts w:ascii="Times New Roman"/>
          <w:color w:val="000000" w:themeColor="text1"/>
          <w14:textFill>
            <w14:solidFill>
              <w14:schemeClr w14:val="tx1"/>
            </w14:solidFill>
          </w14:textFill>
        </w:rPr>
        <w:t>（g）；</w:t>
      </w:r>
    </w:p>
    <w:p>
      <w:pPr>
        <w:pStyle w:val="23"/>
        <w:autoSpaceDE/>
        <w:autoSpaceDN/>
        <w:rPr>
          <w:rFonts w:ascii="Times New Roman"/>
          <w:color w:val="000000" w:themeColor="text1"/>
          <w14:textFill>
            <w14:solidFill>
              <w14:schemeClr w14:val="tx1"/>
            </w14:solidFill>
          </w14:textFill>
        </w:rPr>
      </w:pPr>
      <w:r>
        <w:rPr>
          <w:rFonts w:ascii="Times New Roman"/>
          <w:i/>
          <w:iCs/>
          <w:color w:val="000000" w:themeColor="text1"/>
          <w14:textFill>
            <w14:solidFill>
              <w14:schemeClr w14:val="tx1"/>
            </w14:solidFill>
          </w14:textFill>
        </w:rPr>
        <w:t>m</w:t>
      </w:r>
      <w:r>
        <w:rPr>
          <w:rFonts w:ascii="Times New Roman"/>
          <w:color w:val="000000" w:themeColor="text1"/>
          <w:vertAlign w:val="subscript"/>
          <w14:textFill>
            <w14:solidFill>
              <w14:schemeClr w14:val="tx1"/>
            </w14:solidFill>
          </w14:textFill>
        </w:rPr>
        <w:t>2</w:t>
      </w:r>
      <w:r>
        <w:rPr>
          <w:rFonts w:ascii="Times New Roman"/>
          <w:color w:val="000000" w:themeColor="text1"/>
          <w14:textFill>
            <w14:solidFill>
              <w14:schemeClr w14:val="tx1"/>
            </w14:solidFill>
          </w14:textFill>
        </w:rPr>
        <w:t>——装入转鼓兰炭（10 mm～15 mm）质量，</w:t>
      </w:r>
      <w:r>
        <w:rPr>
          <w:rFonts w:hint="eastAsia" w:ascii="Times New Roman"/>
          <w:color w:val="000000" w:themeColor="text1"/>
          <w14:textFill>
            <w14:solidFill>
              <w14:schemeClr w14:val="tx1"/>
            </w14:solidFill>
          </w14:textFill>
        </w:rPr>
        <w:t>单位为克</w:t>
      </w:r>
      <w:r>
        <w:rPr>
          <w:rFonts w:ascii="Times New Roman"/>
          <w:color w:val="000000" w:themeColor="text1"/>
          <w14:textFill>
            <w14:solidFill>
              <w14:schemeClr w14:val="tx1"/>
            </w14:solidFill>
          </w14:textFill>
        </w:rPr>
        <w:t>（g）。</w:t>
      </w:r>
    </w:p>
    <w:p>
      <w:pPr>
        <w:pStyle w:val="55"/>
        <w:bidi w:val="0"/>
        <w:ind w:left="0" w:leftChars="0" w:firstLine="0" w:firstLineChars="0"/>
        <w:rPr>
          <w:rFonts w:hint="default" w:ascii="Times New Roman" w:hAnsi="Times New Roman" w:cs="Times New Roman"/>
        </w:rPr>
      </w:pPr>
      <w:bookmarkStart w:id="26" w:name="_Toc144468661"/>
      <w:r>
        <w:rPr>
          <w:rFonts w:hint="eastAsia" w:ascii="Times New Roman" w:hAnsi="Times New Roman" w:cs="Times New Roman"/>
        </w:rPr>
        <w:t>兰炭中料（</w:t>
      </w:r>
      <w:r>
        <w:rPr>
          <w:rFonts w:hint="default" w:ascii="Times New Roman" w:hAnsi="Times New Roman" w:cs="Times New Roman"/>
        </w:rPr>
        <w:t>18 mm～35 mm</w:t>
      </w:r>
      <w:r>
        <w:rPr>
          <w:rFonts w:hint="eastAsia" w:ascii="Times New Roman" w:hAnsi="Times New Roman" w:cs="Times New Roman"/>
        </w:rPr>
        <w:t>）</w:t>
      </w:r>
      <w:r>
        <w:rPr>
          <w:rFonts w:hint="default" w:ascii="Times New Roman" w:hAnsi="Times New Roman" w:cs="Times New Roman"/>
        </w:rPr>
        <w:t>机械强度</w:t>
      </w:r>
      <w:r>
        <w:rPr>
          <w:rFonts w:hint="eastAsia" w:ascii="Times New Roman" w:hAnsi="Times New Roman" w:cs="Times New Roman"/>
        </w:rPr>
        <w:t>计算方法</w:t>
      </w:r>
      <w:bookmarkEnd w:id="26"/>
    </w:p>
    <w:p>
      <w:pPr>
        <w:pStyle w:val="23"/>
        <w:autoSpaceDE/>
        <w:autoSpaceDN/>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18 mm～35 mm兰炭的机械强度</w:t>
      </w:r>
      <w:r>
        <w:rPr>
          <w:rFonts w:ascii="Times New Roman"/>
          <w:i/>
          <w:iCs/>
          <w:color w:val="000000" w:themeColor="text1"/>
          <w14:textFill>
            <w14:solidFill>
              <w14:schemeClr w14:val="tx1"/>
            </w14:solidFill>
          </w14:textFill>
        </w:rPr>
        <w:t>M</w:t>
      </w:r>
      <w:r>
        <w:rPr>
          <w:rFonts w:ascii="Times New Roman"/>
          <w:color w:val="000000" w:themeColor="text1"/>
          <w:vertAlign w:val="subscript"/>
          <w14:textFill>
            <w14:solidFill>
              <w14:schemeClr w14:val="tx1"/>
            </w14:solidFill>
          </w14:textFill>
        </w:rPr>
        <w:t>25</w:t>
      </w:r>
      <w:r>
        <w:rPr>
          <w:rFonts w:ascii="Times New Roman"/>
          <w:color w:val="000000" w:themeColor="text1"/>
          <w14:textFill>
            <w14:solidFill>
              <w14:schemeClr w14:val="tx1"/>
            </w14:solidFill>
          </w14:textFill>
        </w:rPr>
        <w:t>按式（2）计算：</w:t>
      </w:r>
    </w:p>
    <w:p>
      <w:pPr>
        <w:pStyle w:val="23"/>
        <w:autoSpaceDE/>
        <w:autoSpaceDN/>
        <w:jc w:val="right"/>
        <w:rPr>
          <w:rFonts w:ascii="Times New Roman"/>
          <w:color w:val="000000" w:themeColor="text1"/>
          <w14:textFill>
            <w14:solidFill>
              <w14:schemeClr w14:val="tx1"/>
            </w14:solidFill>
          </w14:textFill>
        </w:rPr>
      </w:pPr>
      <w:r>
        <w:rPr>
          <w:rFonts w:ascii="Times New Roman"/>
          <w:i/>
          <w:iCs/>
          <w:color w:val="000000" w:themeColor="text1"/>
          <w14:textFill>
            <w14:solidFill>
              <w14:schemeClr w14:val="tx1"/>
            </w14:solidFill>
          </w14:textFill>
        </w:rPr>
        <w:t>M</w:t>
      </w:r>
      <w:r>
        <w:rPr>
          <w:rFonts w:ascii="Times New Roman"/>
          <w:color w:val="000000" w:themeColor="text1"/>
          <w:vertAlign w:val="subscript"/>
          <w14:textFill>
            <w14:solidFill>
              <w14:schemeClr w14:val="tx1"/>
            </w14:solidFill>
          </w14:textFill>
        </w:rPr>
        <w:t>25</w:t>
      </w:r>
      <w:r>
        <w:rPr>
          <w:rFonts w:ascii="Times New Roman"/>
          <w:color w:val="000000" w:themeColor="text1"/>
          <w14:textFill>
            <w14:solidFill>
              <w14:schemeClr w14:val="tx1"/>
            </w14:solidFill>
          </w14:textFill>
        </w:rPr>
        <w:t>=</w:t>
      </w:r>
      <w:r>
        <w:rPr>
          <w:rFonts w:ascii="Times New Roman"/>
          <w:i/>
          <w:iCs/>
          <w:color w:val="000000" w:themeColor="text1"/>
          <w14:textFill>
            <w14:solidFill>
              <w14:schemeClr w14:val="tx1"/>
            </w14:solidFill>
          </w14:textFill>
        </w:rPr>
        <w:t>m</w:t>
      </w:r>
      <w:r>
        <w:rPr>
          <w:rFonts w:ascii="Times New Roman"/>
          <w:color w:val="000000" w:themeColor="text1"/>
          <w:vertAlign w:val="subscript"/>
          <w14:textFill>
            <w14:solidFill>
              <w14:schemeClr w14:val="tx1"/>
            </w14:solidFill>
          </w14:textFill>
        </w:rPr>
        <w:t>3</w:t>
      </w:r>
      <w:r>
        <w:rPr>
          <w:rFonts w:ascii="Times New Roman"/>
          <w:color w:val="000000" w:themeColor="text1"/>
          <w14:textFill>
            <w14:solidFill>
              <w14:schemeClr w14:val="tx1"/>
            </w14:solidFill>
          </w14:textFill>
        </w:rPr>
        <w:t>/</w:t>
      </w:r>
      <w:r>
        <w:rPr>
          <w:rFonts w:ascii="Times New Roman"/>
          <w:i/>
          <w:iCs/>
          <w:color w:val="000000" w:themeColor="text1"/>
          <w14:textFill>
            <w14:solidFill>
              <w14:schemeClr w14:val="tx1"/>
            </w14:solidFill>
          </w14:textFill>
        </w:rPr>
        <w:t>m</w:t>
      </w:r>
      <w:r>
        <w:rPr>
          <w:rFonts w:ascii="Times New Roman"/>
          <w:color w:val="000000" w:themeColor="text1"/>
          <w:vertAlign w:val="subscript"/>
          <w14:textFill>
            <w14:solidFill>
              <w14:schemeClr w14:val="tx1"/>
            </w14:solidFill>
          </w14:textFill>
        </w:rPr>
        <w:t>4</w:t>
      </w:r>
      <w:r>
        <w:rPr>
          <w:rFonts w:ascii="Times New Roman"/>
          <w:color w:val="000000" w:themeColor="text1"/>
          <w14:textFill>
            <w14:solidFill>
              <w14:schemeClr w14:val="tx1"/>
            </w14:solidFill>
          </w14:textFill>
        </w:rPr>
        <w:t>×100%                               （2）</w:t>
      </w:r>
    </w:p>
    <w:p>
      <w:pPr>
        <w:pStyle w:val="23"/>
        <w:autoSpaceDE/>
        <w:autoSpaceDN/>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式中：</w:t>
      </w:r>
    </w:p>
    <w:p>
      <w:pPr>
        <w:pStyle w:val="23"/>
        <w:autoSpaceDE/>
        <w:autoSpaceDN/>
        <w:rPr>
          <w:rFonts w:ascii="Times New Roman"/>
          <w:i/>
          <w:iCs/>
          <w:color w:val="000000" w:themeColor="text1"/>
          <w14:textFill>
            <w14:solidFill>
              <w14:schemeClr w14:val="tx1"/>
            </w14:solidFill>
          </w14:textFill>
        </w:rPr>
      </w:pPr>
      <w:r>
        <w:rPr>
          <w:rFonts w:ascii="Times New Roman"/>
          <w:i/>
          <w:iCs/>
          <w:color w:val="000000" w:themeColor="text1"/>
          <w14:textFill>
            <w14:solidFill>
              <w14:schemeClr w14:val="tx1"/>
            </w14:solidFill>
          </w14:textFill>
        </w:rPr>
        <w:t>M</w:t>
      </w:r>
      <w:r>
        <w:rPr>
          <w:rFonts w:ascii="Times New Roman"/>
          <w:color w:val="000000" w:themeColor="text1"/>
          <w:vertAlign w:val="subscript"/>
          <w14:textFill>
            <w14:solidFill>
              <w14:schemeClr w14:val="tx1"/>
            </w14:solidFill>
          </w14:textFill>
        </w:rPr>
        <w:t>25</w:t>
      </w:r>
      <w:r>
        <w:rPr>
          <w:rFonts w:ascii="Times New Roman"/>
          <w:color w:val="000000" w:themeColor="text1"/>
          <w14:textFill>
            <w14:solidFill>
              <w14:schemeClr w14:val="tx1"/>
            </w14:solidFill>
          </w14:textFill>
        </w:rPr>
        <w:t>——18 mm～35 mm兰炭的机械强度</w:t>
      </w:r>
      <w:r>
        <w:rPr>
          <w:rFonts w:hint="eastAsia" w:ascii="Times New Roman"/>
          <w:color w:val="000000" w:themeColor="text1"/>
          <w14:textFill>
            <w14:solidFill>
              <w14:schemeClr w14:val="tx1"/>
            </w14:solidFill>
          </w14:textFill>
        </w:rPr>
        <w:t>，单位为%，其中下标</w:t>
      </w:r>
      <w:r>
        <w:rPr>
          <w:rFonts w:ascii="Times New Roman"/>
          <w:color w:val="000000" w:themeColor="text1"/>
          <w14:textFill>
            <w14:solidFill>
              <w14:schemeClr w14:val="tx1"/>
            </w14:solidFill>
          </w14:textFill>
        </w:rPr>
        <w:t>25</w:t>
      </w:r>
      <w:r>
        <w:rPr>
          <w:rFonts w:hint="eastAsia" w:ascii="Times New Roman"/>
          <w:color w:val="000000" w:themeColor="text1"/>
          <w14:textFill>
            <w14:solidFill>
              <w14:schemeClr w14:val="tx1"/>
            </w14:solidFill>
          </w14:textFill>
        </w:rPr>
        <w:t>表示</w:t>
      </w:r>
      <w:r>
        <w:rPr>
          <w:rFonts w:ascii="Times New Roman"/>
          <w:color w:val="000000" w:themeColor="text1"/>
          <w14:textFill>
            <w14:solidFill>
              <w14:schemeClr w14:val="tx1"/>
            </w14:solidFill>
          </w14:textFill>
        </w:rPr>
        <w:t>25 mm</w:t>
      </w:r>
      <w:r>
        <w:rPr>
          <w:rFonts w:hint="eastAsia" w:ascii="Times New Roman"/>
          <w:color w:val="000000" w:themeColor="text1"/>
          <w14:textFill>
            <w14:solidFill>
              <w14:schemeClr w14:val="tx1"/>
            </w14:solidFill>
          </w14:textFill>
        </w:rPr>
        <w:t>圆孔筛；</w:t>
      </w:r>
    </w:p>
    <w:p>
      <w:pPr>
        <w:pStyle w:val="23"/>
        <w:autoSpaceDE/>
        <w:autoSpaceDN/>
        <w:rPr>
          <w:rFonts w:ascii="Times New Roman"/>
          <w:color w:val="000000" w:themeColor="text1"/>
          <w14:textFill>
            <w14:solidFill>
              <w14:schemeClr w14:val="tx1"/>
            </w14:solidFill>
          </w14:textFill>
        </w:rPr>
      </w:pPr>
      <w:r>
        <w:rPr>
          <w:rFonts w:ascii="Times New Roman"/>
          <w:i/>
          <w:iCs/>
          <w:color w:val="000000" w:themeColor="text1"/>
          <w14:textFill>
            <w14:solidFill>
              <w14:schemeClr w14:val="tx1"/>
            </w14:solidFill>
          </w14:textFill>
        </w:rPr>
        <w:t>m</w:t>
      </w:r>
      <w:r>
        <w:rPr>
          <w:rFonts w:ascii="Times New Roman"/>
          <w:color w:val="000000" w:themeColor="text1"/>
          <w:vertAlign w:val="subscript"/>
          <w14:textFill>
            <w14:solidFill>
              <w14:schemeClr w14:val="tx1"/>
            </w14:solidFill>
          </w14:textFill>
        </w:rPr>
        <w:t>3</w:t>
      </w:r>
      <w:r>
        <w:rPr>
          <w:rFonts w:ascii="Times New Roman"/>
          <w:color w:val="000000" w:themeColor="text1"/>
          <w14:textFill>
            <w14:solidFill>
              <w14:schemeClr w14:val="tx1"/>
            </w14:solidFill>
          </w14:textFill>
        </w:rPr>
        <w:t>——转鼓筛分后大于25 mm粒级兰炭质量，</w:t>
      </w:r>
      <w:r>
        <w:rPr>
          <w:rFonts w:hint="eastAsia" w:ascii="Times New Roman"/>
          <w:color w:val="000000" w:themeColor="text1"/>
          <w14:textFill>
            <w14:solidFill>
              <w14:schemeClr w14:val="tx1"/>
            </w14:solidFill>
          </w14:textFill>
        </w:rPr>
        <w:t>单位为克</w:t>
      </w:r>
      <w:r>
        <w:rPr>
          <w:rFonts w:ascii="Times New Roman"/>
          <w:color w:val="000000" w:themeColor="text1"/>
          <w14:textFill>
            <w14:solidFill>
              <w14:schemeClr w14:val="tx1"/>
            </w14:solidFill>
          </w14:textFill>
        </w:rPr>
        <w:t>（g）；</w:t>
      </w:r>
    </w:p>
    <w:p>
      <w:pPr>
        <w:pStyle w:val="23"/>
        <w:autoSpaceDE/>
        <w:autoSpaceDN/>
        <w:rPr>
          <w:rFonts w:ascii="Times New Roman"/>
          <w:color w:val="000000" w:themeColor="text1"/>
          <w14:textFill>
            <w14:solidFill>
              <w14:schemeClr w14:val="tx1"/>
            </w14:solidFill>
          </w14:textFill>
        </w:rPr>
      </w:pPr>
      <w:r>
        <w:rPr>
          <w:rFonts w:ascii="Times New Roman"/>
          <w:i/>
          <w:iCs/>
          <w:color w:val="000000" w:themeColor="text1"/>
          <w14:textFill>
            <w14:solidFill>
              <w14:schemeClr w14:val="tx1"/>
            </w14:solidFill>
          </w14:textFill>
        </w:rPr>
        <w:t>m</w:t>
      </w:r>
      <w:r>
        <w:rPr>
          <w:rFonts w:ascii="Times New Roman"/>
          <w:color w:val="000000" w:themeColor="text1"/>
          <w:vertAlign w:val="subscript"/>
          <w14:textFill>
            <w14:solidFill>
              <w14:schemeClr w14:val="tx1"/>
            </w14:solidFill>
          </w14:textFill>
        </w:rPr>
        <w:t>4</w:t>
      </w:r>
      <w:r>
        <w:rPr>
          <w:rFonts w:ascii="Times New Roman"/>
          <w:color w:val="000000" w:themeColor="text1"/>
          <w14:textFill>
            <w14:solidFill>
              <w14:schemeClr w14:val="tx1"/>
            </w14:solidFill>
          </w14:textFill>
        </w:rPr>
        <w:t>——装入转鼓兰炭（25 mm～30 mm）质量，</w:t>
      </w:r>
      <w:r>
        <w:rPr>
          <w:rFonts w:hint="eastAsia" w:ascii="Times New Roman"/>
          <w:color w:val="000000" w:themeColor="text1"/>
          <w14:textFill>
            <w14:solidFill>
              <w14:schemeClr w14:val="tx1"/>
            </w14:solidFill>
          </w14:textFill>
        </w:rPr>
        <w:t>单位为克</w:t>
      </w:r>
      <w:r>
        <w:rPr>
          <w:rFonts w:ascii="Times New Roman"/>
          <w:color w:val="000000" w:themeColor="text1"/>
          <w14:textFill>
            <w14:solidFill>
              <w14:schemeClr w14:val="tx1"/>
            </w14:solidFill>
          </w14:textFill>
        </w:rPr>
        <w:t>（g）。</w:t>
      </w:r>
    </w:p>
    <w:p>
      <w:pPr>
        <w:pStyle w:val="55"/>
        <w:rPr>
          <w:rFonts w:hint="eastAsia" w:ascii="Times New Roman" w:eastAsia="宋体"/>
        </w:rPr>
      </w:pPr>
      <w:r>
        <w:rPr>
          <w:rFonts w:hint="eastAsia" w:ascii="Times New Roman" w:eastAsia="宋体"/>
        </w:rPr>
        <w:t>试验结果保留一位小数点，同一兰炭试样需在重复条件下连续测量3次，以该3次测量值的算术平均值作为机械强度测定的最终结果。</w:t>
      </w:r>
    </w:p>
    <w:p>
      <w:pPr>
        <w:pStyle w:val="53"/>
        <w:numPr>
          <w:ilvl w:val="0"/>
          <w:numId w:val="3"/>
        </w:numPr>
        <w:spacing w:before="312" w:after="312"/>
        <w:rPr>
          <w:rFonts w:ascii="Times New Roman"/>
          <w:color w:val="000000" w:themeColor="text1"/>
          <w14:textFill>
            <w14:solidFill>
              <w14:schemeClr w14:val="tx1"/>
            </w14:solidFill>
          </w14:textFill>
        </w:rPr>
      </w:pPr>
      <w:bookmarkStart w:id="27" w:name="_Toc144468662"/>
      <w:r>
        <w:rPr>
          <w:rFonts w:hint="eastAsia" w:ascii="Times New Roman"/>
          <w:color w:val="000000" w:themeColor="text1"/>
          <w14:textFill>
            <w14:solidFill>
              <w14:schemeClr w14:val="tx1"/>
            </w14:solidFill>
          </w14:textFill>
        </w:rPr>
        <w:t>重复性</w:t>
      </w:r>
      <w:bookmarkEnd w:id="27"/>
    </w:p>
    <w:p>
      <w:pPr>
        <w:pStyle w:val="61"/>
        <w:numPr>
          <w:ilvl w:val="2"/>
          <w:numId w:val="0"/>
        </w:numPr>
        <w:ind w:leftChars="0" w:firstLine="420" w:firstLineChars="200"/>
        <w:rPr>
          <w:rFonts w:hint="eastAsia" w:ascii="Times New Roman"/>
        </w:rPr>
      </w:pPr>
      <w:r>
        <w:rPr>
          <w:rFonts w:hint="eastAsia" w:ascii="Times New Roman"/>
        </w:rPr>
        <w:t>为保证检测结果准确度，同一兰炭试样需在重复条件下连续测量3次。若试样检测结果的标准差≤1.5，则试验结果可信。</w:t>
      </w:r>
    </w:p>
    <w:p>
      <w:pPr>
        <w:rPr>
          <w:rFonts w:eastAsia="黑体"/>
        </w:rPr>
      </w:pPr>
      <w:r>
        <w:rPr>
          <w:rFonts w:eastAsia="黑体"/>
        </w:rPr>
        <w:br w:type="page"/>
      </w:r>
    </w:p>
    <w:p>
      <w:pPr>
        <w:pStyle w:val="23"/>
        <w:jc w:val="center"/>
        <w:rPr>
          <w:rFonts w:ascii="Times New Roman" w:eastAsia="黑体"/>
        </w:rPr>
      </w:pPr>
      <w:r>
        <w:rPr>
          <w:rFonts w:ascii="Times New Roman" w:eastAsia="黑体"/>
        </w:rPr>
        <w:t>附</w:t>
      </w:r>
      <w:r>
        <w:rPr>
          <w:rFonts w:hint="eastAsia" w:ascii="Times New Roman" w:eastAsia="黑体"/>
        </w:rPr>
        <w:t xml:space="preserve"> </w:t>
      </w:r>
      <w:r>
        <w:rPr>
          <w:rFonts w:ascii="Times New Roman" w:eastAsia="黑体"/>
        </w:rPr>
        <w:t xml:space="preserve"> 录</w:t>
      </w:r>
      <w:r>
        <w:rPr>
          <w:rFonts w:hint="eastAsia" w:ascii="Times New Roman" w:eastAsia="黑体"/>
        </w:rPr>
        <w:t xml:space="preserve">  </w:t>
      </w:r>
      <w:r>
        <w:rPr>
          <w:rFonts w:ascii="Times New Roman" w:eastAsia="黑体"/>
        </w:rPr>
        <w:t>A</w:t>
      </w:r>
    </w:p>
    <w:p>
      <w:pPr>
        <w:pStyle w:val="23"/>
        <w:jc w:val="center"/>
        <w:rPr>
          <w:rFonts w:ascii="Times New Roman" w:eastAsia="黑体"/>
        </w:rPr>
      </w:pPr>
      <w:r>
        <w:rPr>
          <w:rFonts w:ascii="Times New Roman" w:eastAsia="黑体"/>
        </w:rPr>
        <w:t>（</w:t>
      </w:r>
      <w:r>
        <w:rPr>
          <w:rFonts w:hint="eastAsia" w:ascii="Times New Roman" w:eastAsia="黑体"/>
          <w:lang w:val="en-US" w:eastAsia="zh-CN"/>
        </w:rPr>
        <w:t>资料</w:t>
      </w:r>
      <w:r>
        <w:rPr>
          <w:rFonts w:ascii="Times New Roman" w:eastAsia="黑体"/>
        </w:rPr>
        <w:t>性）</w:t>
      </w:r>
    </w:p>
    <w:p>
      <w:pPr>
        <w:pStyle w:val="23"/>
        <w:jc w:val="center"/>
        <w:rPr>
          <w:rFonts w:ascii="Times New Roman" w:eastAsia="黑体"/>
        </w:rPr>
      </w:pPr>
      <w:r>
        <w:rPr>
          <w:rFonts w:hint="eastAsia" w:ascii="Times New Roman" w:eastAsia="黑体"/>
        </w:rPr>
        <w:t>标准实施案例</w:t>
      </w:r>
    </w:p>
    <w:p>
      <w:pPr>
        <w:tabs>
          <w:tab w:val="left" w:pos="3390"/>
        </w:tabs>
        <w:rPr>
          <w:rFonts w:ascii="Times New Roman"/>
          <w:color w:val="000000" w:themeColor="text1"/>
          <w14:textFill>
            <w14:solidFill>
              <w14:schemeClr w14:val="tx1"/>
            </w14:solidFill>
          </w14:textFill>
        </w:rPr>
      </w:pPr>
      <w:r>
        <w:rPr>
          <w:rFonts w:hint="eastAsia"/>
        </w:rPr>
        <w:t>A.1</w:t>
      </w:r>
      <w:r>
        <w:rPr>
          <w:rFonts w:hint="eastAsia"/>
          <w:lang w:val="en-US" w:eastAsia="zh-CN"/>
        </w:rPr>
        <w:t xml:space="preserve">  </w:t>
      </w:r>
      <w:r>
        <w:rPr>
          <w:rFonts w:hint="eastAsia" w:ascii="Times New Roman"/>
          <w:color w:val="000000" w:themeColor="text1"/>
          <w14:textFill>
            <w14:solidFill>
              <w14:schemeClr w14:val="tx1"/>
            </w14:solidFill>
          </w14:textFill>
        </w:rPr>
        <w:t>依照本文件所述装置和</w:t>
      </w:r>
      <w:r>
        <w:rPr>
          <w:rFonts w:ascii="Times New Roman"/>
          <w:color w:val="000000" w:themeColor="text1"/>
          <w14:textFill>
            <w14:solidFill>
              <w14:schemeClr w14:val="tx1"/>
            </w14:solidFill>
          </w14:textFill>
        </w:rPr>
        <w:t>方法，对</w:t>
      </w:r>
      <w:r>
        <w:rPr>
          <w:rFonts w:hint="eastAsia" w:ascii="Times New Roman"/>
          <w:color w:val="000000" w:themeColor="text1"/>
          <w14:textFill>
            <w14:solidFill>
              <w14:schemeClr w14:val="tx1"/>
            </w14:solidFill>
          </w14:textFill>
        </w:rPr>
        <w:t>某</w:t>
      </w:r>
      <w:r>
        <w:rPr>
          <w:rFonts w:ascii="Times New Roman"/>
          <w:color w:val="000000" w:themeColor="text1"/>
          <w14:textFill>
            <w14:solidFill>
              <w14:schemeClr w14:val="tx1"/>
            </w14:solidFill>
          </w14:textFill>
        </w:rPr>
        <w:t>企业兰炭</w:t>
      </w:r>
      <w:r>
        <w:rPr>
          <w:rFonts w:hint="eastAsia" w:ascii="Times New Roman"/>
          <w:color w:val="000000" w:themeColor="text1"/>
          <w14:textFill>
            <w14:solidFill>
              <w14:schemeClr w14:val="tx1"/>
            </w14:solidFill>
          </w14:textFill>
        </w:rPr>
        <w:t>小料机械强度</w:t>
      </w:r>
      <w:r>
        <w:rPr>
          <w:rFonts w:ascii="Times New Roman"/>
          <w:color w:val="000000" w:themeColor="text1"/>
          <w14:textFill>
            <w14:solidFill>
              <w14:schemeClr w14:val="tx1"/>
            </w14:solidFill>
          </w14:textFill>
        </w:rPr>
        <w:t>进行</w:t>
      </w:r>
      <w:r>
        <w:rPr>
          <w:rFonts w:hint="eastAsia" w:ascii="Times New Roman"/>
          <w:color w:val="000000" w:themeColor="text1"/>
          <w14:textFill>
            <w14:solidFill>
              <w14:schemeClr w14:val="tx1"/>
            </w14:solidFill>
          </w14:textFill>
        </w:rPr>
        <w:t>了</w:t>
      </w:r>
      <w:r>
        <w:rPr>
          <w:rFonts w:ascii="Times New Roman"/>
          <w:color w:val="000000" w:themeColor="text1"/>
          <w14:textFill>
            <w14:solidFill>
              <w14:schemeClr w14:val="tx1"/>
            </w14:solidFill>
          </w14:textFill>
        </w:rPr>
        <w:t>测定，测定步骤如下</w:t>
      </w:r>
      <w:r>
        <w:rPr>
          <w:rFonts w:hint="eastAsia" w:ascii="Times New Roman"/>
          <w:color w:val="000000" w:themeColor="text1"/>
          <w14:textFill>
            <w14:solidFill>
              <w14:schemeClr w14:val="tx1"/>
            </w14:solidFill>
          </w14:textFill>
        </w:rPr>
        <w:t>：</w:t>
      </w:r>
    </w:p>
    <w:p>
      <w:pPr>
        <w:pStyle w:val="61"/>
        <w:numPr>
          <w:ilvl w:val="0"/>
          <w:numId w:val="18"/>
        </w:numPr>
        <w:ind w:leftChars="0" w:firstLine="420" w:firstLineChars="200"/>
        <w:rPr>
          <w:rFonts w:hint="eastAsia" w:ascii="Times New Roman"/>
        </w:rPr>
      </w:pPr>
      <w:r>
        <w:rPr>
          <w:rFonts w:hint="eastAsia" w:ascii="Times New Roman"/>
        </w:rPr>
        <w:t>入鼓兰炭样品的采取与制备：在预先干燥已称量过的称量皿中放入缩分后的全粒度兰炭试样8 kg，平摊在多个称量皿中。将装样的称量皿放入预先鼓风并已加热到105 °C的干燥箱中。在一直鼓风的条件下，干燥5 h。从干燥箱中取出称量皿，放入干燥器中冷却至室温后称量，多个称量皿中样品净重之和为6795.2 g。将样品重新放入干燥箱中烘干实施检查性干燥，15 min后取出称量皿，放入干燥器中冷却至室温后称量，样品净重之和为6795.1 g，样品烘干结束。</w:t>
      </w:r>
    </w:p>
    <w:p>
      <w:pPr>
        <w:pStyle w:val="61"/>
        <w:numPr>
          <w:ilvl w:val="2"/>
          <w:numId w:val="0"/>
        </w:numPr>
        <w:ind w:leftChars="0" w:firstLine="420" w:firstLineChars="200"/>
        <w:rPr>
          <w:rFonts w:hint="eastAsia" w:ascii="Times New Roman"/>
        </w:rPr>
      </w:pPr>
      <w:r>
        <w:rPr>
          <w:rFonts w:hint="eastAsia" w:ascii="Times New Roman"/>
        </w:rPr>
        <w:t>得到兰炭样品并用圆孔筛（</w:t>
      </w:r>
      <w:r>
        <w:rPr>
          <w:rFonts w:ascii="Times New Roman"/>
          <w:color w:val="000000" w:themeColor="text1"/>
          <w14:textFill>
            <w14:solidFill>
              <w14:schemeClr w14:val="tx1"/>
            </w14:solidFill>
          </w14:textFill>
        </w:rPr>
        <w:t>Φ</w:t>
      </w:r>
      <w:r>
        <w:rPr>
          <w:rFonts w:hint="eastAsia" w:ascii="Times New Roman"/>
        </w:rPr>
        <w:t>10mm和</w:t>
      </w:r>
      <w:r>
        <w:rPr>
          <w:rFonts w:ascii="Times New Roman"/>
          <w:color w:val="000000" w:themeColor="text1"/>
          <w14:textFill>
            <w14:solidFill>
              <w14:schemeClr w14:val="tx1"/>
            </w14:solidFill>
          </w14:textFill>
        </w:rPr>
        <w:t>Φ</w:t>
      </w:r>
      <w:r>
        <w:rPr>
          <w:rFonts w:hint="eastAsia" w:ascii="Times New Roman"/>
        </w:rPr>
        <w:t>15mm）筛选获得目标粒度为10～15 mm的兰炭，筛选过程包括机械振动筛和人工穿孔。对机械振筛2 min后的筛上物进行人工穿孔，目标试样1500.0 g±6.0 g，并分成三份样品（各500.0 g±2.0 g）；将三份样品分别标号为样品I、样品II和样品III，并称重记录结果。样品I：499.5 g；样品II：500.2 g；样品III：499.7 g。</w:t>
      </w:r>
    </w:p>
    <w:p>
      <w:pPr>
        <w:pStyle w:val="61"/>
        <w:numPr>
          <w:ilvl w:val="0"/>
          <w:numId w:val="18"/>
        </w:numPr>
        <w:ind w:left="0" w:leftChars="0" w:firstLine="420" w:firstLineChars="200"/>
        <w:rPr>
          <w:rFonts w:hint="eastAsia" w:ascii="Times New Roman"/>
        </w:rPr>
      </w:pPr>
      <w:r>
        <w:rPr>
          <w:rFonts w:hint="eastAsia" w:ascii="Times New Roman"/>
        </w:rPr>
        <w:t>转鼓：将兰炭样品I小心装入已清扫干净的转鼓内，关闭转鼓盖，开动转鼓，并以20 r/min的速度转动10 min，静止2 min，使粉尘降落后，打开鼓盖，把鼓内兰炭倒出，并仔细清扫，收集鼓盖上的兰炭粉末。</w:t>
      </w:r>
    </w:p>
    <w:p>
      <w:pPr>
        <w:pStyle w:val="61"/>
        <w:numPr>
          <w:ilvl w:val="0"/>
          <w:numId w:val="18"/>
        </w:numPr>
        <w:ind w:left="0" w:leftChars="0" w:firstLine="420" w:firstLineChars="200"/>
        <w:rPr>
          <w:rFonts w:hint="eastAsia" w:ascii="Times New Roman"/>
        </w:rPr>
      </w:pPr>
      <w:r>
        <w:rPr>
          <w:rFonts w:hint="eastAsia" w:ascii="Times New Roman"/>
        </w:rPr>
        <w:t>振筛：将出鼓的兰炭倒入10 mm圆孔标准筛中振筛10 min，之后对筛上物进行人工穿孔，收集并称重筛层上及嵌在筛孔上的试料，结果为403.4 g。称重转鼓内、转鼓盖上和筛下物的兰炭粉末，结果为95.9 g。两次称重之和为499.3 g，与入鼓兰炭质量损失量为0.2 g，试验有效。</w:t>
      </w:r>
    </w:p>
    <w:p>
      <w:pPr>
        <w:pStyle w:val="61"/>
        <w:numPr>
          <w:ilvl w:val="0"/>
          <w:numId w:val="18"/>
        </w:numPr>
        <w:ind w:left="0" w:leftChars="0" w:firstLine="420" w:firstLineChars="200"/>
        <w:rPr>
          <w:rFonts w:hint="eastAsia" w:ascii="Times New Roman"/>
        </w:rPr>
      </w:pPr>
      <w:r>
        <w:rPr>
          <w:rFonts w:hint="eastAsia" w:ascii="Times New Roman"/>
        </w:rPr>
        <w:t>样品I机械强度计算：M</w:t>
      </w:r>
      <w:r>
        <w:rPr>
          <w:rFonts w:hint="eastAsia" w:ascii="Times New Roman"/>
          <w:vertAlign w:val="subscript"/>
        </w:rPr>
        <w:t>10</w:t>
      </w:r>
      <w:r>
        <w:rPr>
          <w:rFonts w:hint="eastAsia" w:ascii="Times New Roman"/>
        </w:rPr>
        <w:t>=m</w:t>
      </w:r>
      <w:r>
        <w:rPr>
          <w:rFonts w:hint="eastAsia" w:ascii="Times New Roman"/>
          <w:vertAlign w:val="subscript"/>
        </w:rPr>
        <w:t>1</w:t>
      </w:r>
      <w:r>
        <w:rPr>
          <w:rFonts w:hint="eastAsia" w:ascii="Times New Roman"/>
        </w:rPr>
        <w:t>/m</w:t>
      </w:r>
      <w:r>
        <w:rPr>
          <w:rFonts w:hint="eastAsia" w:ascii="Times New Roman"/>
          <w:vertAlign w:val="subscript"/>
        </w:rPr>
        <w:t>2</w:t>
      </w:r>
      <w:r>
        <w:rPr>
          <w:rFonts w:hint="eastAsia" w:ascii="Times New Roman"/>
        </w:rPr>
        <w:t>×100%=403.4 g/499.5 g×100%=80.8%。</w:t>
      </w:r>
    </w:p>
    <w:p>
      <w:pPr>
        <w:pStyle w:val="61"/>
        <w:numPr>
          <w:ilvl w:val="0"/>
          <w:numId w:val="18"/>
        </w:numPr>
        <w:ind w:left="0" w:leftChars="0" w:firstLine="420" w:firstLineChars="200"/>
        <w:rPr>
          <w:rFonts w:hint="eastAsia" w:ascii="Times New Roman"/>
        </w:rPr>
      </w:pPr>
      <w:r>
        <w:rPr>
          <w:rFonts w:hint="eastAsia" w:ascii="Times New Roman"/>
        </w:rPr>
        <w:t>重复步骤2至步骤4，测量并计算样品II的机械强度。称重筛层上及嵌在筛孔上的试料，结果为403.2 g。称重转鼓内、转鼓盖上和筛下物的兰炭粉末，结果为96.9 g。两次称重之和为500.1 g，与入鼓兰炭质量损失量为0.1 g，试验有效。样品II的机械强度计算：M</w:t>
      </w:r>
      <w:r>
        <w:rPr>
          <w:rFonts w:hint="eastAsia" w:ascii="Times New Roman"/>
          <w:vertAlign w:val="subscript"/>
        </w:rPr>
        <w:t>10</w:t>
      </w:r>
      <w:r>
        <w:rPr>
          <w:rFonts w:hint="eastAsia" w:ascii="Times New Roman"/>
        </w:rPr>
        <w:t>=m</w:t>
      </w:r>
      <w:r>
        <w:rPr>
          <w:rFonts w:hint="eastAsia" w:ascii="Times New Roman"/>
          <w:vertAlign w:val="subscript"/>
        </w:rPr>
        <w:t>1</w:t>
      </w:r>
      <w:r>
        <w:rPr>
          <w:rFonts w:hint="eastAsia" w:ascii="Times New Roman"/>
        </w:rPr>
        <w:t>/m</w:t>
      </w:r>
      <w:r>
        <w:rPr>
          <w:rFonts w:hint="eastAsia" w:ascii="Times New Roman"/>
          <w:vertAlign w:val="subscript"/>
        </w:rPr>
        <w:t>2</w:t>
      </w:r>
      <w:r>
        <w:rPr>
          <w:rFonts w:hint="eastAsia" w:ascii="Times New Roman"/>
        </w:rPr>
        <w:t>×100%=403.2 g/500.2 g×100%=80.6%。</w:t>
      </w:r>
    </w:p>
    <w:p>
      <w:pPr>
        <w:pStyle w:val="61"/>
        <w:numPr>
          <w:ilvl w:val="0"/>
          <w:numId w:val="18"/>
        </w:numPr>
        <w:ind w:left="0" w:leftChars="0" w:firstLine="420" w:firstLineChars="200"/>
        <w:rPr>
          <w:rFonts w:hint="eastAsia" w:ascii="Times New Roman"/>
        </w:rPr>
      </w:pPr>
      <w:r>
        <w:rPr>
          <w:rFonts w:hint="eastAsia" w:ascii="Times New Roman"/>
        </w:rPr>
        <w:t>重复步骤2至步骤4，测量并计算样品III的机械强度。称重筛层上及嵌在筛孔上的试料，结果为404.7 g。称重转鼓内、转鼓盖上和筛下物的兰炭粉末，结果为94.7 g。两次称重之和为499.4 g，与入鼓兰炭质量损失量为0.3 g，试验有效。样品III的机械强度计算：M</w:t>
      </w:r>
      <w:r>
        <w:rPr>
          <w:rFonts w:hint="eastAsia" w:ascii="Times New Roman"/>
          <w:vertAlign w:val="subscript"/>
        </w:rPr>
        <w:t>10</w:t>
      </w:r>
      <w:r>
        <w:rPr>
          <w:rFonts w:hint="eastAsia" w:ascii="Times New Roman"/>
        </w:rPr>
        <w:t>=m</w:t>
      </w:r>
      <w:r>
        <w:rPr>
          <w:rFonts w:hint="eastAsia" w:ascii="Times New Roman"/>
          <w:vertAlign w:val="subscript"/>
        </w:rPr>
        <w:t>1</w:t>
      </w:r>
      <w:r>
        <w:rPr>
          <w:rFonts w:hint="eastAsia" w:ascii="Times New Roman"/>
        </w:rPr>
        <w:t>/m</w:t>
      </w:r>
      <w:r>
        <w:rPr>
          <w:rFonts w:hint="eastAsia" w:ascii="Times New Roman"/>
          <w:vertAlign w:val="subscript"/>
        </w:rPr>
        <w:t>2</w:t>
      </w:r>
      <w:r>
        <w:rPr>
          <w:rFonts w:hint="eastAsia" w:ascii="Times New Roman"/>
        </w:rPr>
        <w:t>×100%=404.7 g/499.7 g×100%=81.0%。</w:t>
      </w:r>
    </w:p>
    <w:p>
      <w:pPr>
        <w:pStyle w:val="61"/>
        <w:numPr>
          <w:ilvl w:val="0"/>
          <w:numId w:val="18"/>
        </w:numPr>
        <w:ind w:left="0" w:leftChars="0" w:firstLine="420" w:firstLineChars="200"/>
        <w:rPr>
          <w:rFonts w:hint="eastAsia" w:ascii="Times New Roman"/>
        </w:rPr>
      </w:pPr>
      <w:r>
        <w:rPr>
          <w:rFonts w:hint="eastAsia" w:ascii="Times New Roman"/>
        </w:rPr>
        <w:t>兰炭样品机械强度测试结果列于表</w:t>
      </w:r>
      <w:r>
        <w:rPr>
          <w:rFonts w:hint="eastAsia" w:ascii="Times New Roman"/>
          <w:lang w:val="en-US" w:eastAsia="zh-CN"/>
        </w:rPr>
        <w:t>A.</w:t>
      </w:r>
      <w:r>
        <w:rPr>
          <w:rFonts w:hint="eastAsia" w:ascii="Times New Roman"/>
        </w:rPr>
        <w:t>1。</w:t>
      </w:r>
    </w:p>
    <w:p>
      <w:pPr>
        <w:pStyle w:val="23"/>
        <w:autoSpaceDE/>
        <w:autoSpaceDN/>
        <w:spacing w:line="340" w:lineRule="exact"/>
        <w:jc w:val="center"/>
        <w:rPr>
          <w:rFonts w:ascii="Times New Roman" w:eastAsia="黑体"/>
          <w:color w:val="000000" w:themeColor="text1"/>
          <w14:textFill>
            <w14:solidFill>
              <w14:schemeClr w14:val="tx1"/>
            </w14:solidFill>
          </w14:textFill>
        </w:rPr>
      </w:pPr>
      <w:r>
        <w:rPr>
          <w:rFonts w:ascii="Times New Roman" w:eastAsia="黑体"/>
          <w:color w:val="000000" w:themeColor="text1"/>
          <w14:textFill>
            <w14:solidFill>
              <w14:schemeClr w14:val="tx1"/>
            </w14:solidFill>
          </w14:textFill>
        </w:rPr>
        <w:t>表</w:t>
      </w:r>
      <w:r>
        <w:rPr>
          <w:rFonts w:hint="eastAsia" w:ascii="Times New Roman" w:eastAsia="黑体"/>
          <w:color w:val="000000" w:themeColor="text1"/>
          <w:lang w:val="en-US" w:eastAsia="zh-CN"/>
          <w14:textFill>
            <w14:solidFill>
              <w14:schemeClr w14:val="tx1"/>
            </w14:solidFill>
          </w14:textFill>
        </w:rPr>
        <w:t>A.</w:t>
      </w:r>
      <w:r>
        <w:rPr>
          <w:rFonts w:ascii="Times New Roman" w:eastAsia="黑体"/>
          <w:color w:val="000000" w:themeColor="text1"/>
          <w14:textFill>
            <w14:solidFill>
              <w14:schemeClr w14:val="tx1"/>
            </w14:solidFill>
          </w14:textFill>
        </w:rPr>
        <w:t>1  兰炭样品机械强度测试结果记录表</w:t>
      </w:r>
    </w:p>
    <w:tbl>
      <w:tblPr>
        <w:tblStyle w:val="35"/>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32"/>
        <w:gridCol w:w="2331"/>
        <w:gridCol w:w="2800"/>
        <w:gridCol w:w="26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57" w:type="pct"/>
            <w:tcBorders>
              <w:top w:val="single" w:color="auto" w:sz="8" w:space="0"/>
              <w:bottom w:val="single" w:color="auto" w:sz="4" w:space="0"/>
            </w:tcBorders>
            <w:vAlign w:val="center"/>
          </w:tcPr>
          <w:p>
            <w:pPr>
              <w:pStyle w:val="23"/>
              <w:autoSpaceDE/>
              <w:autoSpaceDN/>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样品</w:t>
            </w:r>
            <w:r>
              <w:rPr>
                <w:rFonts w:hint="eastAsia" w:ascii="Times New Roman"/>
                <w:color w:val="000000" w:themeColor="text1"/>
                <w14:textFill>
                  <w14:solidFill>
                    <w14:schemeClr w14:val="tx1"/>
                  </w14:solidFill>
                </w14:textFill>
              </w:rPr>
              <w:t>编号</w:t>
            </w:r>
          </w:p>
        </w:tc>
        <w:tc>
          <w:tcPr>
            <w:tcW w:w="1218" w:type="pct"/>
            <w:tcBorders>
              <w:top w:val="single" w:color="auto" w:sz="8" w:space="0"/>
              <w:bottom w:val="single" w:color="auto" w:sz="4" w:space="0"/>
            </w:tcBorders>
            <w:vAlign w:val="center"/>
          </w:tcPr>
          <w:p>
            <w:pPr>
              <w:pStyle w:val="23"/>
              <w:autoSpaceDE/>
              <w:autoSpaceDN/>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入转鼓质量/g</w:t>
            </w:r>
          </w:p>
        </w:tc>
        <w:tc>
          <w:tcPr>
            <w:tcW w:w="1463" w:type="pct"/>
            <w:tcBorders>
              <w:top w:val="single" w:color="auto" w:sz="8" w:space="0"/>
              <w:bottom w:val="single" w:color="auto" w:sz="4" w:space="0"/>
            </w:tcBorders>
            <w:vAlign w:val="center"/>
          </w:tcPr>
          <w:p>
            <w:pPr>
              <w:pStyle w:val="23"/>
              <w:autoSpaceDE/>
              <w:autoSpaceDN/>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转鼓后（＞10mm）质量/g</w:t>
            </w:r>
          </w:p>
        </w:tc>
        <w:tc>
          <w:tcPr>
            <w:tcW w:w="1362" w:type="pct"/>
            <w:tcBorders>
              <w:top w:val="single" w:color="auto" w:sz="8" w:space="0"/>
              <w:bottom w:val="single" w:color="auto" w:sz="4" w:space="0"/>
            </w:tcBorders>
            <w:vAlign w:val="center"/>
          </w:tcPr>
          <w:p>
            <w:pPr>
              <w:pStyle w:val="23"/>
              <w:autoSpaceDE/>
              <w:autoSpaceDN/>
              <w:ind w:firstLine="0" w:firstLineChars="0"/>
              <w:jc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机械强度</w:t>
            </w:r>
            <w:r>
              <w:rPr>
                <w:rFonts w:ascii="Times New Roman"/>
                <w:i/>
                <w:iCs/>
                <w:color w:val="000000" w:themeColor="text1"/>
                <w14:textFill>
                  <w14:solidFill>
                    <w14:schemeClr w14:val="tx1"/>
                  </w14:solidFill>
                </w14:textFill>
              </w:rPr>
              <w:t>M</w:t>
            </w:r>
            <w:r>
              <w:rPr>
                <w:rFonts w:ascii="Times New Roman"/>
                <w:color w:val="000000" w:themeColor="text1"/>
                <w:vertAlign w:val="subscript"/>
                <w14:textFill>
                  <w14:solidFill>
                    <w14:schemeClr w14:val="tx1"/>
                  </w14:solidFill>
                </w14:textFill>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57" w:type="pct"/>
            <w:tcBorders>
              <w:top w:val="single" w:color="auto" w:sz="4" w:space="0"/>
            </w:tcBorders>
            <w:vAlign w:val="center"/>
          </w:tcPr>
          <w:p>
            <w:pPr>
              <w:pStyle w:val="23"/>
              <w:autoSpaceDE/>
              <w:autoSpaceDN/>
              <w:ind w:firstLine="0" w:firstLineChars="0"/>
              <w:jc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样品I</w:t>
            </w:r>
          </w:p>
        </w:tc>
        <w:tc>
          <w:tcPr>
            <w:tcW w:w="1218" w:type="pct"/>
            <w:tcBorders>
              <w:top w:val="single" w:color="auto" w:sz="4" w:space="0"/>
            </w:tcBorders>
            <w:vAlign w:val="center"/>
          </w:tcPr>
          <w:p>
            <w:pPr>
              <w:pStyle w:val="23"/>
              <w:autoSpaceDE/>
              <w:autoSpaceDN/>
              <w:ind w:firstLine="0" w:firstLineChars="0"/>
              <w:jc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4</w:t>
            </w:r>
            <w:r>
              <w:rPr>
                <w:rFonts w:ascii="Times New Roman"/>
                <w:color w:val="000000" w:themeColor="text1"/>
                <w14:textFill>
                  <w14:solidFill>
                    <w14:schemeClr w14:val="tx1"/>
                  </w14:solidFill>
                </w14:textFill>
              </w:rPr>
              <w:t>99.5</w:t>
            </w:r>
          </w:p>
        </w:tc>
        <w:tc>
          <w:tcPr>
            <w:tcW w:w="1463" w:type="pct"/>
            <w:tcBorders>
              <w:top w:val="single" w:color="auto" w:sz="4" w:space="0"/>
            </w:tcBorders>
            <w:vAlign w:val="center"/>
          </w:tcPr>
          <w:p>
            <w:pPr>
              <w:pStyle w:val="23"/>
              <w:autoSpaceDE/>
              <w:autoSpaceDN/>
              <w:ind w:firstLine="0" w:firstLineChars="0"/>
              <w:jc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4</w:t>
            </w:r>
            <w:r>
              <w:rPr>
                <w:rFonts w:ascii="Times New Roman"/>
                <w:color w:val="000000" w:themeColor="text1"/>
                <w14:textFill>
                  <w14:solidFill>
                    <w14:schemeClr w14:val="tx1"/>
                  </w14:solidFill>
                </w14:textFill>
              </w:rPr>
              <w:t>03.4</w:t>
            </w:r>
          </w:p>
        </w:tc>
        <w:tc>
          <w:tcPr>
            <w:tcW w:w="1362" w:type="pct"/>
            <w:tcBorders>
              <w:top w:val="single" w:color="auto" w:sz="4" w:space="0"/>
            </w:tcBorders>
            <w:vAlign w:val="center"/>
          </w:tcPr>
          <w:p>
            <w:pPr>
              <w:pStyle w:val="23"/>
              <w:autoSpaceDE/>
              <w:autoSpaceDN/>
              <w:ind w:firstLine="0" w:firstLineChars="0"/>
              <w:jc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8</w:t>
            </w:r>
            <w:r>
              <w:rPr>
                <w:rFonts w:ascii="Times New Roman"/>
                <w:color w:val="000000" w:themeColor="text1"/>
                <w14:textFill>
                  <w14:solidFill>
                    <w14:schemeClr w14:val="tx1"/>
                  </w14:solidFill>
                </w14:textFill>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57" w:type="pct"/>
            <w:vAlign w:val="center"/>
          </w:tcPr>
          <w:p>
            <w:pPr>
              <w:pStyle w:val="23"/>
              <w:autoSpaceDE/>
              <w:autoSpaceDN/>
              <w:ind w:firstLine="0" w:firstLineChars="0"/>
              <w:jc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样品I</w:t>
            </w:r>
            <w:r>
              <w:rPr>
                <w:rFonts w:ascii="Times New Roman"/>
                <w:color w:val="000000" w:themeColor="text1"/>
                <w14:textFill>
                  <w14:solidFill>
                    <w14:schemeClr w14:val="tx1"/>
                  </w14:solidFill>
                </w14:textFill>
              </w:rPr>
              <w:t>I</w:t>
            </w:r>
          </w:p>
        </w:tc>
        <w:tc>
          <w:tcPr>
            <w:tcW w:w="1218" w:type="pct"/>
            <w:vAlign w:val="center"/>
          </w:tcPr>
          <w:p>
            <w:pPr>
              <w:pStyle w:val="23"/>
              <w:autoSpaceDE/>
              <w:autoSpaceDN/>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500.2</w:t>
            </w:r>
          </w:p>
        </w:tc>
        <w:tc>
          <w:tcPr>
            <w:tcW w:w="1463" w:type="pct"/>
            <w:vAlign w:val="center"/>
          </w:tcPr>
          <w:p>
            <w:pPr>
              <w:pStyle w:val="23"/>
              <w:autoSpaceDE/>
              <w:autoSpaceDN/>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403.2</w:t>
            </w:r>
          </w:p>
        </w:tc>
        <w:tc>
          <w:tcPr>
            <w:tcW w:w="1362" w:type="pct"/>
            <w:vAlign w:val="center"/>
          </w:tcPr>
          <w:p>
            <w:pPr>
              <w:pStyle w:val="23"/>
              <w:autoSpaceDE/>
              <w:autoSpaceDN/>
              <w:ind w:firstLine="0" w:firstLineChars="0"/>
              <w:jc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8</w:t>
            </w:r>
            <w:r>
              <w:rPr>
                <w:rFonts w:ascii="Times New Roman"/>
                <w:color w:val="000000" w:themeColor="text1"/>
                <w14:textFill>
                  <w14:solidFill>
                    <w14:schemeClr w14:val="tx1"/>
                  </w14:solidFill>
                </w14:textFill>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57" w:type="pct"/>
            <w:tcBorders>
              <w:bottom w:val="single" w:color="auto" w:sz="8" w:space="0"/>
            </w:tcBorders>
            <w:vAlign w:val="center"/>
          </w:tcPr>
          <w:p>
            <w:pPr>
              <w:pStyle w:val="23"/>
              <w:autoSpaceDE/>
              <w:autoSpaceDN/>
              <w:ind w:firstLine="0" w:firstLineChars="0"/>
              <w:jc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样品I</w:t>
            </w:r>
            <w:r>
              <w:rPr>
                <w:rFonts w:ascii="Times New Roman"/>
                <w:color w:val="000000" w:themeColor="text1"/>
                <w14:textFill>
                  <w14:solidFill>
                    <w14:schemeClr w14:val="tx1"/>
                  </w14:solidFill>
                </w14:textFill>
              </w:rPr>
              <w:t>II</w:t>
            </w:r>
          </w:p>
        </w:tc>
        <w:tc>
          <w:tcPr>
            <w:tcW w:w="1218" w:type="pct"/>
            <w:tcBorders>
              <w:bottom w:val="single" w:color="auto" w:sz="8" w:space="0"/>
            </w:tcBorders>
            <w:vAlign w:val="center"/>
          </w:tcPr>
          <w:p>
            <w:pPr>
              <w:pStyle w:val="23"/>
              <w:autoSpaceDE/>
              <w:autoSpaceDN/>
              <w:ind w:firstLine="0" w:firstLineChars="0"/>
              <w:jc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4</w:t>
            </w:r>
            <w:r>
              <w:rPr>
                <w:rFonts w:ascii="Times New Roman"/>
                <w:color w:val="000000" w:themeColor="text1"/>
                <w14:textFill>
                  <w14:solidFill>
                    <w14:schemeClr w14:val="tx1"/>
                  </w14:solidFill>
                </w14:textFill>
              </w:rPr>
              <w:t>99.7</w:t>
            </w:r>
          </w:p>
        </w:tc>
        <w:tc>
          <w:tcPr>
            <w:tcW w:w="1463" w:type="pct"/>
            <w:tcBorders>
              <w:bottom w:val="single" w:color="auto" w:sz="8" w:space="0"/>
            </w:tcBorders>
            <w:vAlign w:val="center"/>
          </w:tcPr>
          <w:p>
            <w:pPr>
              <w:pStyle w:val="23"/>
              <w:autoSpaceDE/>
              <w:autoSpaceDN/>
              <w:ind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404.7</w:t>
            </w:r>
          </w:p>
        </w:tc>
        <w:tc>
          <w:tcPr>
            <w:tcW w:w="1362" w:type="pct"/>
            <w:tcBorders>
              <w:bottom w:val="single" w:color="auto" w:sz="8" w:space="0"/>
            </w:tcBorders>
            <w:vAlign w:val="center"/>
          </w:tcPr>
          <w:p>
            <w:pPr>
              <w:pStyle w:val="23"/>
              <w:autoSpaceDE/>
              <w:autoSpaceDN/>
              <w:ind w:firstLine="0" w:firstLineChars="0"/>
              <w:jc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8</w:t>
            </w:r>
            <w:r>
              <w:rPr>
                <w:rFonts w:ascii="Times New Roman"/>
                <w:color w:val="000000" w:themeColor="text1"/>
                <w14:textFill>
                  <w14:solidFill>
                    <w14:schemeClr w14:val="tx1"/>
                  </w14:solidFill>
                </w14:textFill>
              </w:rPr>
              <w:t>1.0%</w:t>
            </w:r>
          </w:p>
        </w:tc>
      </w:tr>
    </w:tbl>
    <w:p>
      <w:pPr>
        <w:pStyle w:val="23"/>
        <w:autoSpaceDE/>
        <w:autoSpaceDN/>
        <w:spacing w:line="340" w:lineRule="exact"/>
        <w:rPr>
          <w:rFonts w:ascii="Times New Roman"/>
          <w:color w:val="000000" w:themeColor="text1"/>
          <w14:textFill>
            <w14:solidFill>
              <w14:schemeClr w14:val="tx1"/>
            </w14:solidFill>
          </w14:textFill>
        </w:rPr>
      </w:pPr>
      <w:r>
        <w:rPr>
          <w:rFonts w:hint="eastAsia" w:ascii="Times New Roman" w:eastAsiaTheme="minorEastAsia"/>
          <w:color w:val="000000" w:themeColor="text1"/>
          <w14:textFill>
            <w14:solidFill>
              <w14:schemeClr w14:val="tx1"/>
            </w14:solidFill>
          </w14:textFill>
        </w:rPr>
        <w:t>计算该3次测量值的算术平均值，结果为</w:t>
      </w:r>
      <w:r>
        <w:rPr>
          <w:rFonts w:ascii="Times New Roman"/>
          <w:i/>
          <w:iCs/>
          <w:color w:val="000000" w:themeColor="text1"/>
          <w14:textFill>
            <w14:solidFill>
              <w14:schemeClr w14:val="tx1"/>
            </w14:solidFill>
          </w14:textFill>
        </w:rPr>
        <w:t>M</w:t>
      </w:r>
      <w:r>
        <w:rPr>
          <w:rFonts w:ascii="Times New Roman"/>
          <w:color w:val="000000" w:themeColor="text1"/>
          <w:vertAlign w:val="subscript"/>
          <w14:textFill>
            <w14:solidFill>
              <w14:schemeClr w14:val="tx1"/>
            </w14:solidFill>
          </w14:textFill>
        </w:rPr>
        <w:t>10</w:t>
      </w:r>
      <w:r>
        <w:rPr>
          <w:rFonts w:ascii="Times New Roman"/>
          <w:color w:val="000000" w:themeColor="text1"/>
          <w14:textFill>
            <w14:solidFill>
              <w14:schemeClr w14:val="tx1"/>
            </w14:solidFill>
          </w14:textFill>
        </w:rPr>
        <w:t>=(80.8%+80.6%+81.0%)/3=80.8%</w:t>
      </w:r>
      <w:r>
        <w:rPr>
          <w:rFonts w:hint="eastAsia" w:ascii="Times New Roman"/>
          <w:color w:val="000000" w:themeColor="text1"/>
          <w14:textFill>
            <w14:solidFill>
              <w14:schemeClr w14:val="tx1"/>
            </w14:solidFill>
          </w14:textFill>
        </w:rPr>
        <w:t>。该3次测量结果的标准差为0</w:t>
      </w:r>
      <w:r>
        <w:rPr>
          <w:rFonts w:ascii="Times New Roman"/>
          <w:color w:val="000000" w:themeColor="text1"/>
          <w14:textFill>
            <w14:solidFill>
              <w14:schemeClr w14:val="tx1"/>
            </w14:solidFill>
          </w14:textFill>
        </w:rPr>
        <w:t>.2</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试验结果</w:t>
      </w:r>
      <w:r>
        <w:rPr>
          <w:rFonts w:hint="eastAsia" w:ascii="Times New Roman"/>
          <w:color w:val="000000" w:themeColor="text1"/>
          <w14:textFill>
            <w14:solidFill>
              <w14:schemeClr w14:val="tx1"/>
            </w14:solidFill>
          </w14:textFill>
        </w:rPr>
        <w:t>可信。</w:t>
      </w:r>
      <w:r>
        <w:rPr>
          <w:rFonts w:hint="eastAsia" w:ascii="Times New Roman" w:eastAsiaTheme="minorEastAsia"/>
          <w:color w:val="000000" w:themeColor="text1"/>
          <w14:textFill>
            <w14:solidFill>
              <w14:schemeClr w14:val="tx1"/>
            </w14:solidFill>
          </w14:textFill>
        </w:rPr>
        <w:t>该兰炭样品机械强度测定的最终结果为8</w:t>
      </w:r>
      <w:r>
        <w:rPr>
          <w:rFonts w:ascii="Times New Roman" w:eastAsiaTheme="minorEastAsia"/>
          <w:color w:val="000000" w:themeColor="text1"/>
          <w14:textFill>
            <w14:solidFill>
              <w14:schemeClr w14:val="tx1"/>
            </w14:solidFill>
          </w14:textFill>
        </w:rPr>
        <w:t>0.8%</w:t>
      </w:r>
      <w:r>
        <w:rPr>
          <w:rFonts w:hint="eastAsia" w:ascii="Times New Roman" w:eastAsiaTheme="minorEastAsia"/>
          <w:color w:val="000000" w:themeColor="text1"/>
          <w14:textFill>
            <w14:solidFill>
              <w14:schemeClr w14:val="tx1"/>
            </w14:solidFill>
          </w14:textFill>
        </w:rPr>
        <w:t>。</w:t>
      </w:r>
    </w:p>
    <w:bookmarkEnd w:id="16"/>
    <w:p>
      <w:pPr>
        <w:pStyle w:val="2"/>
        <w:ind w:left="0" w:leftChars="0" w:firstLine="0" w:firstLineChars="0"/>
        <w:rPr>
          <w:kern w:val="0"/>
          <w:szCs w:val="20"/>
          <w:highlight w:val="yellow"/>
        </w:rPr>
      </w:pPr>
    </w:p>
    <w:p>
      <w:pPr>
        <w:widowControl/>
        <w:jc w:val="left"/>
        <w:rPr>
          <w:kern w:val="0"/>
          <w:szCs w:val="20"/>
          <w:highlight w:val="yellow"/>
        </w:rPr>
      </w:pPr>
      <w:r>
        <w:rPr>
          <w:kern w:val="0"/>
          <w:szCs w:val="20"/>
          <w:highlight w:val="yellow"/>
        </w:rPr>
        <mc:AlternateContent>
          <mc:Choice Requires="wps">
            <w:drawing>
              <wp:anchor distT="0" distB="0" distL="114300" distR="114300" simplePos="0" relativeHeight="251660288" behindDoc="0" locked="0" layoutInCell="1" allowOverlap="1">
                <wp:simplePos x="0" y="0"/>
                <wp:positionH relativeFrom="column">
                  <wp:posOffset>2095500</wp:posOffset>
                </wp:positionH>
                <wp:positionV relativeFrom="paragraph">
                  <wp:posOffset>86360</wp:posOffset>
                </wp:positionV>
                <wp:extent cx="1924050" cy="0"/>
                <wp:effectExtent l="0" t="0" r="0" b="0"/>
                <wp:wrapNone/>
                <wp:docPr id="3" name="AutoShape 3"/>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ln>
                        <a:effectLst/>
                      </wps:spPr>
                      <wps:bodyPr/>
                    </wps:wsp>
                  </a:graphicData>
                </a:graphic>
              </wp:anchor>
            </w:drawing>
          </mc:Choice>
          <mc:Fallback>
            <w:pict>
              <v:shape id="AutoShape 3" o:spid="_x0000_s1026" o:spt="32" type="#_x0000_t32" style="position:absolute;left:0pt;margin-left:165pt;margin-top:6.8pt;height:0pt;width:151.5pt;z-index:251660288;mso-width-relative:page;mso-height-relative:page;" filled="f" stroked="t" coordsize="21600,21600" o:gfxdata="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yODYfWAAAACQEAAA8AAAAAAAAA&#10;AQAgAAAAIgAAAGRycy9kb3ducmV2LnhtbFBLAQIUABQAAAAIAIdO4kCLip482gEAAMADAAAOAAAA&#10;AAAAAAEAIAAAACUBAABkcnMvZTJvRG9jLnhtbFBLBQYAAAAABgAGAFkBAABxBQAAAAA=&#10;">
                <v:fill on="f" focussize="0,0"/>
                <v:stroke color="#000000" joinstyle="round"/>
                <v:imagedata o:title=""/>
                <o:lock v:ext="edit" aspectratio="f"/>
              </v:shape>
            </w:pict>
          </mc:Fallback>
        </mc:AlternateContent>
      </w:r>
    </w:p>
    <w:sectPr>
      <w:footerReference r:id="rId8" w:type="default"/>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6"/>
                          </w:pPr>
                          <w:r>
                            <w:fldChar w:fldCharType="begin"/>
                          </w:r>
                          <w:r>
                            <w:instrText xml:space="preserve"> PAGE  \* MERGEFORMAT </w:instrText>
                          </w:r>
                          <w:r>
                            <w:fldChar w:fldCharType="separate"/>
                          </w:r>
                          <w:r>
                            <w:t>III</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eDRG8EBAACN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KI7dcYsDv/z8cfn15/L7O1lm&#10;efoANWbdB8xLwzs/4NLMfkBnZj2oaPMX+RCMo7jnq7hySETkR+vVel1hSGBsviA+e3geIqT30luS&#10;jYZGnF4RlZ8+QhpT55Rczfk7bUyZoHH/OBAze1jufewxW2nYDxOhvW/PyKfHwTfU4Z5TYj441DXv&#10;yGzE2dhPRq4B4faYsHDpJ6OOUFMxnFJhNG1UXoPH95L18Bdt/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BeDRG8EBAACNAwAADgAAAAAAAAABACAAAAAeAQAAZHJzL2Uyb0RvYy54bWxQSwUG&#10;AAAAAAYABgBZAQAAUQUAAAAA&#10;">
              <v:fill on="f" focussize="0,0"/>
              <v:stroke on="f"/>
              <v:imagedata o:title=""/>
              <o:lock v:ext="edit" aspectratio="f"/>
              <v:textbox inset="0mm,0mm,0mm,0mm" style="mso-fit-shape-to-text:t;">
                <w:txbxContent>
                  <w:p>
                    <w:pPr>
                      <w:pStyle w:val="66"/>
                    </w:pPr>
                    <w:r>
                      <w:fldChar w:fldCharType="begin"/>
                    </w:r>
                    <w:r>
                      <w:instrText xml:space="preserve"> PAGE  \* MERGEFORMAT </w:instrText>
                    </w:r>
                    <w:r>
                      <w:fldChar w:fldCharType="separate"/>
                    </w:r>
                    <w:r>
                      <w:t>III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eastAsia="黑体"/>
        <w:b/>
        <w:sz w:val="21"/>
        <w:szCs w:val="21"/>
      </w:rPr>
    </w:pPr>
    <w:r>
      <w:rPr>
        <w:rFonts w:ascii="黑体" w:eastAsia="黑体"/>
        <w:i/>
        <w:sz w:val="21"/>
        <w:szCs w:val="2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spacing w:before="120" w:after="120"/>
      <w:rPr>
        <w:color w:val="000000"/>
      </w:rPr>
    </w:pPr>
    <w:r>
      <w:t xml:space="preserve">T/SSEA </w:t>
    </w:r>
    <w:r>
      <w:rPr>
        <w:rFonts w:hint="eastAsia"/>
      </w:rPr>
      <w:t>X</w:t>
    </w:r>
    <w:r>
      <w:t>XXX-</w:t>
    </w:r>
    <w:r>
      <w:rPr>
        <w:rFonts w:hint="eastAsia"/>
        <w:color w:val="000000"/>
      </w:rPr>
      <w:t>2023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14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59"/>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137"/>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44"/>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138"/>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53"/>
      <w:suff w:val="nothing"/>
      <w:lvlText w:val="%1　"/>
      <w:lvlJc w:val="left"/>
      <w:pPr>
        <w:ind w:left="0" w:firstLine="0"/>
      </w:pPr>
      <w:rPr>
        <w:rFonts w:hint="default" w:ascii="Times New Roman" w:hAnsi="Times New Roman" w:eastAsia="黑体" w:cs="Times New Roman"/>
        <w:b w:val="0"/>
        <w:i w:val="0"/>
        <w:sz w:val="21"/>
        <w:szCs w:val="21"/>
      </w:rPr>
    </w:lvl>
    <w:lvl w:ilvl="1" w:tentative="0">
      <w:start w:val="1"/>
      <w:numFmt w:val="decimal"/>
      <w:pStyle w:val="55"/>
      <w:suff w:val="nothing"/>
      <w:lvlText w:val="%1.%2　"/>
      <w:lvlJc w:val="left"/>
      <w:rPr>
        <w:rFonts w:hint="default" w:ascii="Times New Roman"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61"/>
      <w:suff w:val="nothing"/>
      <w:lvlText w:val="%1.%2.%3　"/>
      <w:lvlJc w:val="left"/>
      <w:pPr>
        <w:ind w:left="0" w:firstLine="0"/>
      </w:pPr>
      <w:rPr>
        <w:rFonts w:hint="default" w:ascii="Times New Roman" w:hAnsi="Times New Roman" w:eastAsia="黑体" w:cs="Times New Roman"/>
        <w:b w:val="0"/>
        <w:i w:val="0"/>
        <w:sz w:val="21"/>
      </w:rPr>
    </w:lvl>
    <w:lvl w:ilvl="3" w:tentative="0">
      <w:start w:val="1"/>
      <w:numFmt w:val="decimal"/>
      <w:pStyle w:val="79"/>
      <w:suff w:val="nothing"/>
      <w:lvlText w:val="%1.%2.%3.%4　"/>
      <w:lvlJc w:val="left"/>
      <w:pPr>
        <w:ind w:left="0" w:firstLine="0"/>
      </w:pPr>
      <w:rPr>
        <w:rFonts w:hint="eastAsia" w:ascii="黑体" w:hAnsi="Times New Roman" w:eastAsia="黑体"/>
        <w:b w:val="0"/>
        <w:i w:val="0"/>
        <w:sz w:val="21"/>
      </w:rPr>
    </w:lvl>
    <w:lvl w:ilvl="4" w:tentative="0">
      <w:start w:val="1"/>
      <w:numFmt w:val="decimal"/>
      <w:pStyle w:val="80"/>
      <w:suff w:val="nothing"/>
      <w:lvlText w:val="%1.%2.%3.%4.%5　"/>
      <w:lvlJc w:val="left"/>
      <w:pPr>
        <w:ind w:left="0" w:firstLine="0"/>
      </w:pPr>
      <w:rPr>
        <w:rFonts w:hint="eastAsia" w:ascii="黑体" w:hAnsi="Times New Roman" w:eastAsia="黑体"/>
        <w:b w:val="0"/>
        <w:i w:val="0"/>
        <w:sz w:val="21"/>
      </w:rPr>
    </w:lvl>
    <w:lvl w:ilvl="5" w:tentative="0">
      <w:start w:val="1"/>
      <w:numFmt w:val="decimal"/>
      <w:pStyle w:val="10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127"/>
      <w:suff w:val="space"/>
      <w:lvlText w:val="%1"/>
      <w:lvlJc w:val="left"/>
      <w:pPr>
        <w:ind w:left="623" w:hanging="425"/>
      </w:pPr>
      <w:rPr>
        <w:rFonts w:hint="eastAsia"/>
      </w:rPr>
    </w:lvl>
    <w:lvl w:ilvl="1" w:tentative="0">
      <w:start w:val="1"/>
      <w:numFmt w:val="decimal"/>
      <w:pStyle w:val="13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65"/>
      <w:suff w:val="nothing"/>
      <w:lvlText w:val="%1——"/>
      <w:lvlJc w:val="left"/>
      <w:pPr>
        <w:ind w:left="833" w:hanging="408"/>
      </w:pPr>
      <w:rPr>
        <w:rFonts w:hint="eastAsia"/>
      </w:rPr>
    </w:lvl>
    <w:lvl w:ilvl="1" w:tentative="0">
      <w:start w:val="1"/>
      <w:numFmt w:val="bullet"/>
      <w:pStyle w:val="118"/>
      <w:lvlText w:val=""/>
      <w:lvlJc w:val="left"/>
      <w:pPr>
        <w:tabs>
          <w:tab w:val="left" w:pos="760"/>
        </w:tabs>
        <w:ind w:left="1264" w:hanging="413"/>
      </w:pPr>
      <w:rPr>
        <w:rFonts w:hint="default" w:ascii="Symbol" w:hAnsi="Symbol"/>
        <w:color w:val="auto"/>
      </w:rPr>
    </w:lvl>
    <w:lvl w:ilvl="2" w:tentative="0">
      <w:start w:val="1"/>
      <w:numFmt w:val="bullet"/>
      <w:pStyle w:val="62"/>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42D580B"/>
    <w:multiLevelType w:val="singleLevel"/>
    <w:tmpl w:val="342D580B"/>
    <w:lvl w:ilvl="0" w:tentative="0">
      <w:start w:val="1"/>
      <w:numFmt w:val="decimal"/>
      <w:suff w:val="space"/>
      <w:lvlText w:val="%1."/>
      <w:lvlJc w:val="left"/>
    </w:lvl>
  </w:abstractNum>
  <w:abstractNum w:abstractNumId="9">
    <w:nsid w:val="3D733618"/>
    <w:multiLevelType w:val="multilevel"/>
    <w:tmpl w:val="3D733618"/>
    <w:lvl w:ilvl="0" w:tentative="0">
      <w:start w:val="1"/>
      <w:numFmt w:val="decimal"/>
      <w:pStyle w:val="2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44C50F90"/>
    <w:multiLevelType w:val="multilevel"/>
    <w:tmpl w:val="44C50F90"/>
    <w:lvl w:ilvl="0" w:tentative="0">
      <w:start w:val="1"/>
      <w:numFmt w:val="lowerLetter"/>
      <w:pStyle w:val="136"/>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01"/>
      <w:lvlText w:val="%2)"/>
      <w:lvlJc w:val="left"/>
      <w:pPr>
        <w:tabs>
          <w:tab w:val="left" w:pos="1260"/>
        </w:tabs>
        <w:ind w:left="1259" w:hanging="419"/>
      </w:pPr>
      <w:rPr>
        <w:rFonts w:hint="eastAsia"/>
      </w:rPr>
    </w:lvl>
    <w:lvl w:ilvl="2" w:tentative="0">
      <w:start w:val="1"/>
      <w:numFmt w:val="decimal"/>
      <w:pStyle w:val="108"/>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4B733A5F"/>
    <w:multiLevelType w:val="multilevel"/>
    <w:tmpl w:val="4B733A5F"/>
    <w:lvl w:ilvl="0" w:tentative="0">
      <w:start w:val="1"/>
      <w:numFmt w:val="decimal"/>
      <w:pStyle w:val="8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557C2AF5"/>
    <w:multiLevelType w:val="multilevel"/>
    <w:tmpl w:val="557C2AF5"/>
    <w:lvl w:ilvl="0" w:tentative="0">
      <w:start w:val="1"/>
      <w:numFmt w:val="decimal"/>
      <w:pStyle w:val="92"/>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60B55DC2"/>
    <w:multiLevelType w:val="multilevel"/>
    <w:tmpl w:val="60B55DC2"/>
    <w:lvl w:ilvl="0" w:tentative="0">
      <w:start w:val="1"/>
      <w:numFmt w:val="upperLetter"/>
      <w:pStyle w:val="73"/>
      <w:lvlText w:val="%1"/>
      <w:lvlJc w:val="left"/>
      <w:pPr>
        <w:tabs>
          <w:tab w:val="left" w:pos="0"/>
        </w:tabs>
        <w:ind w:left="0" w:hanging="425"/>
      </w:pPr>
      <w:rPr>
        <w:rFonts w:hint="eastAsia"/>
      </w:rPr>
    </w:lvl>
    <w:lvl w:ilvl="1" w:tentative="0">
      <w:start w:val="1"/>
      <w:numFmt w:val="decimal"/>
      <w:pStyle w:val="95"/>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109"/>
      <w:suff w:val="nothing"/>
      <w:lvlText w:val="表%1　"/>
      <w:lvlJc w:val="left"/>
      <w:pPr>
        <w:ind w:left="0"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tentative="0">
      <w:start w:val="1"/>
      <w:numFmt w:val="upperLetter"/>
      <w:pStyle w:val="85"/>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2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30"/>
      <w:suff w:val="nothing"/>
      <w:lvlText w:val="%1.%2.%3　"/>
      <w:lvlJc w:val="left"/>
      <w:pPr>
        <w:ind w:left="0" w:firstLine="0"/>
      </w:pPr>
      <w:rPr>
        <w:rFonts w:hint="eastAsia" w:ascii="黑体" w:hAnsi="Times New Roman" w:eastAsia="黑体"/>
        <w:b w:val="0"/>
        <w:i w:val="0"/>
        <w:sz w:val="21"/>
      </w:rPr>
    </w:lvl>
    <w:lvl w:ilvl="3" w:tentative="0">
      <w:start w:val="1"/>
      <w:numFmt w:val="decimal"/>
      <w:pStyle w:val="78"/>
      <w:suff w:val="nothing"/>
      <w:lvlText w:val="%1.%2.%3.%4　"/>
      <w:lvlJc w:val="left"/>
      <w:pPr>
        <w:ind w:left="0" w:firstLine="0"/>
      </w:pPr>
      <w:rPr>
        <w:rFonts w:hint="eastAsia" w:ascii="黑体" w:hAnsi="Times New Roman" w:eastAsia="黑体"/>
        <w:b w:val="0"/>
        <w:i w:val="0"/>
        <w:sz w:val="21"/>
      </w:rPr>
    </w:lvl>
    <w:lvl w:ilvl="4" w:tentative="0">
      <w:start w:val="1"/>
      <w:numFmt w:val="decimal"/>
      <w:pStyle w:val="77"/>
      <w:suff w:val="nothing"/>
      <w:lvlText w:val="%1.%2.%3.%4.%5　"/>
      <w:lvlJc w:val="left"/>
      <w:pPr>
        <w:ind w:left="0" w:firstLine="0"/>
      </w:pPr>
      <w:rPr>
        <w:rFonts w:hint="eastAsia" w:ascii="黑体" w:hAnsi="Times New Roman" w:eastAsia="黑体"/>
        <w:b w:val="0"/>
        <w:i w:val="0"/>
        <w:sz w:val="21"/>
      </w:rPr>
    </w:lvl>
    <w:lvl w:ilvl="5" w:tentative="0">
      <w:start w:val="1"/>
      <w:numFmt w:val="decimal"/>
      <w:pStyle w:val="76"/>
      <w:suff w:val="nothing"/>
      <w:lvlText w:val="%1.%2.%3.%4.%5.%6　"/>
      <w:lvlJc w:val="left"/>
      <w:pPr>
        <w:ind w:left="0" w:firstLine="0"/>
      </w:pPr>
      <w:rPr>
        <w:rFonts w:hint="eastAsia" w:ascii="黑体" w:hAnsi="Times New Roman" w:eastAsia="黑体"/>
        <w:b w:val="0"/>
        <w:i w:val="0"/>
        <w:sz w:val="21"/>
      </w:rPr>
    </w:lvl>
    <w:lvl w:ilvl="6" w:tentative="0">
      <w:start w:val="1"/>
      <w:numFmt w:val="decimal"/>
      <w:pStyle w:val="10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tentative="0">
      <w:start w:val="1"/>
      <w:numFmt w:val="lowerLetter"/>
      <w:pStyle w:val="122"/>
      <w:lvlText w:val="%1)"/>
      <w:lvlJc w:val="left"/>
      <w:pPr>
        <w:tabs>
          <w:tab w:val="left" w:pos="839"/>
        </w:tabs>
        <w:ind w:left="839" w:hanging="419"/>
      </w:pPr>
      <w:rPr>
        <w:rFonts w:hint="eastAsia" w:ascii="宋体" w:eastAsia="宋体"/>
        <w:b w:val="0"/>
        <w:i w:val="0"/>
        <w:sz w:val="21"/>
      </w:rPr>
    </w:lvl>
    <w:lvl w:ilvl="1" w:tentative="0">
      <w:start w:val="1"/>
      <w:numFmt w:val="decimal"/>
      <w:pStyle w:val="14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119"/>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9"/>
  </w:num>
  <w:num w:numId="2">
    <w:abstractNumId w:val="3"/>
  </w:num>
  <w:num w:numId="3">
    <w:abstractNumId w:val="5"/>
  </w:num>
  <w:num w:numId="4">
    <w:abstractNumId w:val="1"/>
  </w:num>
  <w:num w:numId="5">
    <w:abstractNumId w:val="7"/>
  </w:num>
  <w:num w:numId="6">
    <w:abstractNumId w:val="13"/>
  </w:num>
  <w:num w:numId="7">
    <w:abstractNumId w:val="15"/>
  </w:num>
  <w:num w:numId="8">
    <w:abstractNumId w:val="11"/>
  </w:num>
  <w:num w:numId="9">
    <w:abstractNumId w:val="12"/>
  </w:num>
  <w:num w:numId="10">
    <w:abstractNumId w:val="10"/>
  </w:num>
  <w:num w:numId="11">
    <w:abstractNumId w:val="14"/>
  </w:num>
  <w:num w:numId="12">
    <w:abstractNumId w:val="17"/>
  </w:num>
  <w:num w:numId="13">
    <w:abstractNumId w:val="16"/>
  </w:num>
  <w:num w:numId="14">
    <w:abstractNumId w:val="6"/>
  </w:num>
  <w:num w:numId="15">
    <w:abstractNumId w:val="2"/>
  </w:num>
  <w:num w:numId="16">
    <w:abstractNumId w:val="4"/>
  </w:num>
  <w:num w:numId="17">
    <w:abstractNumId w:val="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yZWU2ZmQzMTQzOGI5YWRkZjI1NjkxYTMwMWY0M2QifQ=="/>
  </w:docVars>
  <w:rsids>
    <w:rsidRoot w:val="00172A27"/>
    <w:rsid w:val="00000244"/>
    <w:rsid w:val="0000185F"/>
    <w:rsid w:val="0000586F"/>
    <w:rsid w:val="00005D79"/>
    <w:rsid w:val="00007340"/>
    <w:rsid w:val="00012FB8"/>
    <w:rsid w:val="00013D86"/>
    <w:rsid w:val="00013E02"/>
    <w:rsid w:val="00014BD4"/>
    <w:rsid w:val="0002143C"/>
    <w:rsid w:val="00022016"/>
    <w:rsid w:val="00025A65"/>
    <w:rsid w:val="00026C31"/>
    <w:rsid w:val="00027280"/>
    <w:rsid w:val="000306E3"/>
    <w:rsid w:val="000320A7"/>
    <w:rsid w:val="0003279E"/>
    <w:rsid w:val="00032B43"/>
    <w:rsid w:val="000331CF"/>
    <w:rsid w:val="00034008"/>
    <w:rsid w:val="00035925"/>
    <w:rsid w:val="000366F4"/>
    <w:rsid w:val="00037DAC"/>
    <w:rsid w:val="00041127"/>
    <w:rsid w:val="00045C9B"/>
    <w:rsid w:val="000466F7"/>
    <w:rsid w:val="000639E9"/>
    <w:rsid w:val="00063E76"/>
    <w:rsid w:val="00065E6E"/>
    <w:rsid w:val="00067CDF"/>
    <w:rsid w:val="000725C7"/>
    <w:rsid w:val="00074FBE"/>
    <w:rsid w:val="000772BB"/>
    <w:rsid w:val="00083A09"/>
    <w:rsid w:val="0009005E"/>
    <w:rsid w:val="00090822"/>
    <w:rsid w:val="00090E08"/>
    <w:rsid w:val="000927ED"/>
    <w:rsid w:val="00092857"/>
    <w:rsid w:val="00093A47"/>
    <w:rsid w:val="000A20A9"/>
    <w:rsid w:val="000A48B1"/>
    <w:rsid w:val="000A5495"/>
    <w:rsid w:val="000B3143"/>
    <w:rsid w:val="000C30C7"/>
    <w:rsid w:val="000C6B05"/>
    <w:rsid w:val="000C6DD6"/>
    <w:rsid w:val="000C73D4"/>
    <w:rsid w:val="000D023E"/>
    <w:rsid w:val="000D3D4C"/>
    <w:rsid w:val="000D4406"/>
    <w:rsid w:val="000D4505"/>
    <w:rsid w:val="000D4F51"/>
    <w:rsid w:val="000D718B"/>
    <w:rsid w:val="000E0C46"/>
    <w:rsid w:val="000E1C10"/>
    <w:rsid w:val="000E3EC7"/>
    <w:rsid w:val="000E4B45"/>
    <w:rsid w:val="000F030C"/>
    <w:rsid w:val="000F04B4"/>
    <w:rsid w:val="000F129C"/>
    <w:rsid w:val="001056DE"/>
    <w:rsid w:val="00110B15"/>
    <w:rsid w:val="00111863"/>
    <w:rsid w:val="001124C0"/>
    <w:rsid w:val="00117690"/>
    <w:rsid w:val="00125647"/>
    <w:rsid w:val="001278EF"/>
    <w:rsid w:val="0013175F"/>
    <w:rsid w:val="0013601B"/>
    <w:rsid w:val="001510B1"/>
    <w:rsid w:val="001512B4"/>
    <w:rsid w:val="00152179"/>
    <w:rsid w:val="00156D41"/>
    <w:rsid w:val="001620A5"/>
    <w:rsid w:val="00164E53"/>
    <w:rsid w:val="0016699D"/>
    <w:rsid w:val="001701E9"/>
    <w:rsid w:val="0017083F"/>
    <w:rsid w:val="0017259F"/>
    <w:rsid w:val="00172A27"/>
    <w:rsid w:val="00175159"/>
    <w:rsid w:val="001758F2"/>
    <w:rsid w:val="00176208"/>
    <w:rsid w:val="0018211B"/>
    <w:rsid w:val="0018321B"/>
    <w:rsid w:val="001840D3"/>
    <w:rsid w:val="00187A9A"/>
    <w:rsid w:val="001900F8"/>
    <w:rsid w:val="00190147"/>
    <w:rsid w:val="00191258"/>
    <w:rsid w:val="00192680"/>
    <w:rsid w:val="00193037"/>
    <w:rsid w:val="00193A2C"/>
    <w:rsid w:val="00196A1C"/>
    <w:rsid w:val="001A01D4"/>
    <w:rsid w:val="001A25CD"/>
    <w:rsid w:val="001A288E"/>
    <w:rsid w:val="001A32EE"/>
    <w:rsid w:val="001B6DC2"/>
    <w:rsid w:val="001C149C"/>
    <w:rsid w:val="001C21AC"/>
    <w:rsid w:val="001C47BA"/>
    <w:rsid w:val="001C59EA"/>
    <w:rsid w:val="001D2EC0"/>
    <w:rsid w:val="001D3305"/>
    <w:rsid w:val="001D406C"/>
    <w:rsid w:val="001D41EE"/>
    <w:rsid w:val="001D7695"/>
    <w:rsid w:val="001E0380"/>
    <w:rsid w:val="001E13B1"/>
    <w:rsid w:val="001E55B7"/>
    <w:rsid w:val="001E69DB"/>
    <w:rsid w:val="001F10B2"/>
    <w:rsid w:val="001F3A19"/>
    <w:rsid w:val="001F63BB"/>
    <w:rsid w:val="002108B8"/>
    <w:rsid w:val="0022046A"/>
    <w:rsid w:val="00223B91"/>
    <w:rsid w:val="002250DA"/>
    <w:rsid w:val="00231142"/>
    <w:rsid w:val="00231970"/>
    <w:rsid w:val="00234467"/>
    <w:rsid w:val="00237D8D"/>
    <w:rsid w:val="00240FE6"/>
    <w:rsid w:val="00241DA2"/>
    <w:rsid w:val="00245B95"/>
    <w:rsid w:val="00247F3E"/>
    <w:rsid w:val="00247FEE"/>
    <w:rsid w:val="00250E7D"/>
    <w:rsid w:val="00252A3B"/>
    <w:rsid w:val="002565D5"/>
    <w:rsid w:val="00257C39"/>
    <w:rsid w:val="002622C0"/>
    <w:rsid w:val="00262D2E"/>
    <w:rsid w:val="002665C3"/>
    <w:rsid w:val="00276B08"/>
    <w:rsid w:val="00276C7B"/>
    <w:rsid w:val="002778AE"/>
    <w:rsid w:val="00281919"/>
    <w:rsid w:val="002824CB"/>
    <w:rsid w:val="0028269A"/>
    <w:rsid w:val="00283590"/>
    <w:rsid w:val="00285600"/>
    <w:rsid w:val="00286973"/>
    <w:rsid w:val="002904AF"/>
    <w:rsid w:val="00292517"/>
    <w:rsid w:val="00294831"/>
    <w:rsid w:val="00294E70"/>
    <w:rsid w:val="00296811"/>
    <w:rsid w:val="00296FB8"/>
    <w:rsid w:val="002A06B3"/>
    <w:rsid w:val="002A1924"/>
    <w:rsid w:val="002A2689"/>
    <w:rsid w:val="002A7420"/>
    <w:rsid w:val="002A76C4"/>
    <w:rsid w:val="002B03AE"/>
    <w:rsid w:val="002B0F12"/>
    <w:rsid w:val="002B1308"/>
    <w:rsid w:val="002B42B8"/>
    <w:rsid w:val="002B4554"/>
    <w:rsid w:val="002C2696"/>
    <w:rsid w:val="002C5283"/>
    <w:rsid w:val="002C72D8"/>
    <w:rsid w:val="002D11FA"/>
    <w:rsid w:val="002D23FF"/>
    <w:rsid w:val="002D6C7C"/>
    <w:rsid w:val="002E0914"/>
    <w:rsid w:val="002E0DDF"/>
    <w:rsid w:val="002E2906"/>
    <w:rsid w:val="002E5635"/>
    <w:rsid w:val="002E64C3"/>
    <w:rsid w:val="002E6A2C"/>
    <w:rsid w:val="002F1D8C"/>
    <w:rsid w:val="002F21DA"/>
    <w:rsid w:val="002F33DE"/>
    <w:rsid w:val="002F3F0D"/>
    <w:rsid w:val="002F42E2"/>
    <w:rsid w:val="002F57F3"/>
    <w:rsid w:val="00301F39"/>
    <w:rsid w:val="00305812"/>
    <w:rsid w:val="00307245"/>
    <w:rsid w:val="003073E0"/>
    <w:rsid w:val="00310478"/>
    <w:rsid w:val="003142F2"/>
    <w:rsid w:val="00316763"/>
    <w:rsid w:val="00317A37"/>
    <w:rsid w:val="0032071A"/>
    <w:rsid w:val="00325926"/>
    <w:rsid w:val="00326450"/>
    <w:rsid w:val="00327A8A"/>
    <w:rsid w:val="0033103B"/>
    <w:rsid w:val="0033256E"/>
    <w:rsid w:val="00336610"/>
    <w:rsid w:val="00340758"/>
    <w:rsid w:val="00341334"/>
    <w:rsid w:val="00343F73"/>
    <w:rsid w:val="00345060"/>
    <w:rsid w:val="00350439"/>
    <w:rsid w:val="00350BC9"/>
    <w:rsid w:val="003518CB"/>
    <w:rsid w:val="0035323B"/>
    <w:rsid w:val="0035488C"/>
    <w:rsid w:val="00355CB5"/>
    <w:rsid w:val="00356876"/>
    <w:rsid w:val="003609D2"/>
    <w:rsid w:val="00362B27"/>
    <w:rsid w:val="00363F22"/>
    <w:rsid w:val="003650D5"/>
    <w:rsid w:val="003659A4"/>
    <w:rsid w:val="00370570"/>
    <w:rsid w:val="0037473D"/>
    <w:rsid w:val="00375564"/>
    <w:rsid w:val="0037662F"/>
    <w:rsid w:val="003768C0"/>
    <w:rsid w:val="003810E5"/>
    <w:rsid w:val="00383191"/>
    <w:rsid w:val="00385020"/>
    <w:rsid w:val="003852DB"/>
    <w:rsid w:val="00386DED"/>
    <w:rsid w:val="003912E7"/>
    <w:rsid w:val="0039140F"/>
    <w:rsid w:val="00393947"/>
    <w:rsid w:val="00394718"/>
    <w:rsid w:val="00396E3A"/>
    <w:rsid w:val="003A08CD"/>
    <w:rsid w:val="003A1A43"/>
    <w:rsid w:val="003A1F65"/>
    <w:rsid w:val="003A2275"/>
    <w:rsid w:val="003A48CA"/>
    <w:rsid w:val="003A5281"/>
    <w:rsid w:val="003A6A4F"/>
    <w:rsid w:val="003A7088"/>
    <w:rsid w:val="003B00DF"/>
    <w:rsid w:val="003B1275"/>
    <w:rsid w:val="003B1778"/>
    <w:rsid w:val="003B7BE3"/>
    <w:rsid w:val="003C11CB"/>
    <w:rsid w:val="003C14AE"/>
    <w:rsid w:val="003C75F3"/>
    <w:rsid w:val="003C78A3"/>
    <w:rsid w:val="003D721E"/>
    <w:rsid w:val="003E0D6C"/>
    <w:rsid w:val="003E1867"/>
    <w:rsid w:val="003E5729"/>
    <w:rsid w:val="003E5A57"/>
    <w:rsid w:val="003F14E2"/>
    <w:rsid w:val="003F4EDB"/>
    <w:rsid w:val="003F4EE0"/>
    <w:rsid w:val="00400C28"/>
    <w:rsid w:val="00402153"/>
    <w:rsid w:val="00402FC1"/>
    <w:rsid w:val="00405E78"/>
    <w:rsid w:val="00412973"/>
    <w:rsid w:val="004134DD"/>
    <w:rsid w:val="00415CE8"/>
    <w:rsid w:val="004166CD"/>
    <w:rsid w:val="0041793A"/>
    <w:rsid w:val="00421875"/>
    <w:rsid w:val="00423779"/>
    <w:rsid w:val="00423DBC"/>
    <w:rsid w:val="00425082"/>
    <w:rsid w:val="00431DEB"/>
    <w:rsid w:val="00432288"/>
    <w:rsid w:val="0043307E"/>
    <w:rsid w:val="00444A4A"/>
    <w:rsid w:val="00446B29"/>
    <w:rsid w:val="004504B8"/>
    <w:rsid w:val="00453F9A"/>
    <w:rsid w:val="0045659F"/>
    <w:rsid w:val="00471E91"/>
    <w:rsid w:val="00472AF6"/>
    <w:rsid w:val="00472C6E"/>
    <w:rsid w:val="00474675"/>
    <w:rsid w:val="0047470C"/>
    <w:rsid w:val="00482F51"/>
    <w:rsid w:val="004851AE"/>
    <w:rsid w:val="00485828"/>
    <w:rsid w:val="0048737A"/>
    <w:rsid w:val="0049563D"/>
    <w:rsid w:val="0049603E"/>
    <w:rsid w:val="00497299"/>
    <w:rsid w:val="004A029F"/>
    <w:rsid w:val="004A0900"/>
    <w:rsid w:val="004A35F9"/>
    <w:rsid w:val="004B24C1"/>
    <w:rsid w:val="004B2F2F"/>
    <w:rsid w:val="004B3527"/>
    <w:rsid w:val="004B382F"/>
    <w:rsid w:val="004B5613"/>
    <w:rsid w:val="004B7A61"/>
    <w:rsid w:val="004B7D89"/>
    <w:rsid w:val="004C0DE4"/>
    <w:rsid w:val="004C292F"/>
    <w:rsid w:val="004C3B3C"/>
    <w:rsid w:val="004C44D8"/>
    <w:rsid w:val="004C52B4"/>
    <w:rsid w:val="004D197C"/>
    <w:rsid w:val="004D1D18"/>
    <w:rsid w:val="004D2F24"/>
    <w:rsid w:val="004D61D6"/>
    <w:rsid w:val="004E4034"/>
    <w:rsid w:val="004E7695"/>
    <w:rsid w:val="004F10FB"/>
    <w:rsid w:val="004F11CA"/>
    <w:rsid w:val="004F39D5"/>
    <w:rsid w:val="00506749"/>
    <w:rsid w:val="005077E9"/>
    <w:rsid w:val="00510280"/>
    <w:rsid w:val="005107C9"/>
    <w:rsid w:val="00513D73"/>
    <w:rsid w:val="00514A43"/>
    <w:rsid w:val="005174E5"/>
    <w:rsid w:val="00522393"/>
    <w:rsid w:val="00522620"/>
    <w:rsid w:val="00525656"/>
    <w:rsid w:val="005268E1"/>
    <w:rsid w:val="005301B5"/>
    <w:rsid w:val="00534C02"/>
    <w:rsid w:val="00534D29"/>
    <w:rsid w:val="00534EC9"/>
    <w:rsid w:val="0053731B"/>
    <w:rsid w:val="00540478"/>
    <w:rsid w:val="0054264B"/>
    <w:rsid w:val="00543786"/>
    <w:rsid w:val="00543F82"/>
    <w:rsid w:val="00550AC2"/>
    <w:rsid w:val="005533D7"/>
    <w:rsid w:val="00554F9E"/>
    <w:rsid w:val="005703DE"/>
    <w:rsid w:val="00572C1E"/>
    <w:rsid w:val="00573862"/>
    <w:rsid w:val="00575169"/>
    <w:rsid w:val="005828EB"/>
    <w:rsid w:val="0058464E"/>
    <w:rsid w:val="00587FD0"/>
    <w:rsid w:val="005922E0"/>
    <w:rsid w:val="00592C13"/>
    <w:rsid w:val="005944CE"/>
    <w:rsid w:val="005A01CB"/>
    <w:rsid w:val="005A58FF"/>
    <w:rsid w:val="005A5EAF"/>
    <w:rsid w:val="005A64C0"/>
    <w:rsid w:val="005B3C11"/>
    <w:rsid w:val="005B3CB5"/>
    <w:rsid w:val="005B5F07"/>
    <w:rsid w:val="005B73B1"/>
    <w:rsid w:val="005C1190"/>
    <w:rsid w:val="005C1C28"/>
    <w:rsid w:val="005C3DBE"/>
    <w:rsid w:val="005C3E7D"/>
    <w:rsid w:val="005C40BF"/>
    <w:rsid w:val="005C6DB5"/>
    <w:rsid w:val="005C752F"/>
    <w:rsid w:val="005C7E1D"/>
    <w:rsid w:val="005D347A"/>
    <w:rsid w:val="005D4226"/>
    <w:rsid w:val="005D4E43"/>
    <w:rsid w:val="005D62EE"/>
    <w:rsid w:val="005E0135"/>
    <w:rsid w:val="005E0E62"/>
    <w:rsid w:val="005E19E7"/>
    <w:rsid w:val="005E6661"/>
    <w:rsid w:val="005E71F4"/>
    <w:rsid w:val="005F1903"/>
    <w:rsid w:val="005F1913"/>
    <w:rsid w:val="005F2504"/>
    <w:rsid w:val="005F5A12"/>
    <w:rsid w:val="005F6A17"/>
    <w:rsid w:val="005F7EFC"/>
    <w:rsid w:val="006027F6"/>
    <w:rsid w:val="00603CAD"/>
    <w:rsid w:val="00603D6B"/>
    <w:rsid w:val="006164B5"/>
    <w:rsid w:val="0061716C"/>
    <w:rsid w:val="006231C5"/>
    <w:rsid w:val="006243A1"/>
    <w:rsid w:val="0063099E"/>
    <w:rsid w:val="0063111E"/>
    <w:rsid w:val="00632E56"/>
    <w:rsid w:val="00635CBA"/>
    <w:rsid w:val="006362C1"/>
    <w:rsid w:val="006371A4"/>
    <w:rsid w:val="00641C62"/>
    <w:rsid w:val="006423A6"/>
    <w:rsid w:val="0064338B"/>
    <w:rsid w:val="00644AEF"/>
    <w:rsid w:val="00644D56"/>
    <w:rsid w:val="0064636F"/>
    <w:rsid w:val="00646542"/>
    <w:rsid w:val="00646A44"/>
    <w:rsid w:val="00646A5E"/>
    <w:rsid w:val="006504F4"/>
    <w:rsid w:val="006505F0"/>
    <w:rsid w:val="00651D37"/>
    <w:rsid w:val="00652A8E"/>
    <w:rsid w:val="00654BC9"/>
    <w:rsid w:val="006552FD"/>
    <w:rsid w:val="006554A5"/>
    <w:rsid w:val="00661F72"/>
    <w:rsid w:val="00663AF3"/>
    <w:rsid w:val="00666B6C"/>
    <w:rsid w:val="00676D9C"/>
    <w:rsid w:val="00682682"/>
    <w:rsid w:val="00682702"/>
    <w:rsid w:val="006862EB"/>
    <w:rsid w:val="00690672"/>
    <w:rsid w:val="00691BF0"/>
    <w:rsid w:val="00692368"/>
    <w:rsid w:val="00692D89"/>
    <w:rsid w:val="006A2EBC"/>
    <w:rsid w:val="006A57AF"/>
    <w:rsid w:val="006A5EA0"/>
    <w:rsid w:val="006A6229"/>
    <w:rsid w:val="006A783B"/>
    <w:rsid w:val="006A7AEB"/>
    <w:rsid w:val="006A7B33"/>
    <w:rsid w:val="006B0009"/>
    <w:rsid w:val="006B4E13"/>
    <w:rsid w:val="006B75DD"/>
    <w:rsid w:val="006C3EC4"/>
    <w:rsid w:val="006C5EC8"/>
    <w:rsid w:val="006C67E0"/>
    <w:rsid w:val="006C7ABA"/>
    <w:rsid w:val="006D0D60"/>
    <w:rsid w:val="006D1122"/>
    <w:rsid w:val="006D1CC9"/>
    <w:rsid w:val="006D2D1E"/>
    <w:rsid w:val="006D3C00"/>
    <w:rsid w:val="006D4D2E"/>
    <w:rsid w:val="006E07A3"/>
    <w:rsid w:val="006E3675"/>
    <w:rsid w:val="006E4A7F"/>
    <w:rsid w:val="006E5E69"/>
    <w:rsid w:val="006E6C20"/>
    <w:rsid w:val="006F2AB3"/>
    <w:rsid w:val="006F433C"/>
    <w:rsid w:val="00702335"/>
    <w:rsid w:val="007040DE"/>
    <w:rsid w:val="00704DF6"/>
    <w:rsid w:val="0070651C"/>
    <w:rsid w:val="00707D93"/>
    <w:rsid w:val="00711B5A"/>
    <w:rsid w:val="007132A3"/>
    <w:rsid w:val="00716421"/>
    <w:rsid w:val="00717651"/>
    <w:rsid w:val="00724EFB"/>
    <w:rsid w:val="00726F13"/>
    <w:rsid w:val="00732949"/>
    <w:rsid w:val="00734AD2"/>
    <w:rsid w:val="00736FE7"/>
    <w:rsid w:val="007419C3"/>
    <w:rsid w:val="00741C60"/>
    <w:rsid w:val="00743B4A"/>
    <w:rsid w:val="00744D56"/>
    <w:rsid w:val="007467A7"/>
    <w:rsid w:val="007469DD"/>
    <w:rsid w:val="00747275"/>
    <w:rsid w:val="0074741B"/>
    <w:rsid w:val="0074759E"/>
    <w:rsid w:val="007478EA"/>
    <w:rsid w:val="00753E0E"/>
    <w:rsid w:val="0075415C"/>
    <w:rsid w:val="00756EA4"/>
    <w:rsid w:val="00763502"/>
    <w:rsid w:val="00765463"/>
    <w:rsid w:val="00767D83"/>
    <w:rsid w:val="00774E9B"/>
    <w:rsid w:val="00776E00"/>
    <w:rsid w:val="00783751"/>
    <w:rsid w:val="007848C5"/>
    <w:rsid w:val="00784DB9"/>
    <w:rsid w:val="0078587D"/>
    <w:rsid w:val="007913AB"/>
    <w:rsid w:val="007914F7"/>
    <w:rsid w:val="00797015"/>
    <w:rsid w:val="007B0BB7"/>
    <w:rsid w:val="007B0C68"/>
    <w:rsid w:val="007B1625"/>
    <w:rsid w:val="007B2AA6"/>
    <w:rsid w:val="007B706E"/>
    <w:rsid w:val="007B71EB"/>
    <w:rsid w:val="007B7F4D"/>
    <w:rsid w:val="007C0186"/>
    <w:rsid w:val="007C1C4D"/>
    <w:rsid w:val="007C31CC"/>
    <w:rsid w:val="007C6205"/>
    <w:rsid w:val="007C686A"/>
    <w:rsid w:val="007C728E"/>
    <w:rsid w:val="007D0E26"/>
    <w:rsid w:val="007D2C53"/>
    <w:rsid w:val="007D3D60"/>
    <w:rsid w:val="007D5C29"/>
    <w:rsid w:val="007D7CA2"/>
    <w:rsid w:val="007E1520"/>
    <w:rsid w:val="007E1980"/>
    <w:rsid w:val="007E4B76"/>
    <w:rsid w:val="007E4C8A"/>
    <w:rsid w:val="007E555E"/>
    <w:rsid w:val="007E5EA8"/>
    <w:rsid w:val="007F0CF1"/>
    <w:rsid w:val="007F12A5"/>
    <w:rsid w:val="007F3B0B"/>
    <w:rsid w:val="007F4CF1"/>
    <w:rsid w:val="007F758D"/>
    <w:rsid w:val="007F7D52"/>
    <w:rsid w:val="008044C1"/>
    <w:rsid w:val="0080654C"/>
    <w:rsid w:val="008071C6"/>
    <w:rsid w:val="00811E5C"/>
    <w:rsid w:val="008147CE"/>
    <w:rsid w:val="00815237"/>
    <w:rsid w:val="00817A00"/>
    <w:rsid w:val="00821C5F"/>
    <w:rsid w:val="0083410A"/>
    <w:rsid w:val="00835DB3"/>
    <w:rsid w:val="0083617B"/>
    <w:rsid w:val="008371BD"/>
    <w:rsid w:val="008504A8"/>
    <w:rsid w:val="0085282E"/>
    <w:rsid w:val="008533B6"/>
    <w:rsid w:val="00862151"/>
    <w:rsid w:val="00864FB4"/>
    <w:rsid w:val="00867AEC"/>
    <w:rsid w:val="0087198C"/>
    <w:rsid w:val="00872C1F"/>
    <w:rsid w:val="00873071"/>
    <w:rsid w:val="00873B42"/>
    <w:rsid w:val="00873F0B"/>
    <w:rsid w:val="00874A40"/>
    <w:rsid w:val="00876FA7"/>
    <w:rsid w:val="008770F5"/>
    <w:rsid w:val="00877177"/>
    <w:rsid w:val="0087773E"/>
    <w:rsid w:val="008807EC"/>
    <w:rsid w:val="00882D2B"/>
    <w:rsid w:val="008856D8"/>
    <w:rsid w:val="008857B3"/>
    <w:rsid w:val="00892E82"/>
    <w:rsid w:val="008949A7"/>
    <w:rsid w:val="008967DF"/>
    <w:rsid w:val="00897D79"/>
    <w:rsid w:val="008A720F"/>
    <w:rsid w:val="008C0D91"/>
    <w:rsid w:val="008C1B58"/>
    <w:rsid w:val="008C39AE"/>
    <w:rsid w:val="008C590D"/>
    <w:rsid w:val="008C5F12"/>
    <w:rsid w:val="008D009D"/>
    <w:rsid w:val="008D250B"/>
    <w:rsid w:val="008D4EA9"/>
    <w:rsid w:val="008D5353"/>
    <w:rsid w:val="008D7B45"/>
    <w:rsid w:val="008E031B"/>
    <w:rsid w:val="008E2388"/>
    <w:rsid w:val="008E4014"/>
    <w:rsid w:val="008E60C5"/>
    <w:rsid w:val="008E60E2"/>
    <w:rsid w:val="008E7029"/>
    <w:rsid w:val="008E7EF6"/>
    <w:rsid w:val="008F1F98"/>
    <w:rsid w:val="008F5765"/>
    <w:rsid w:val="008F6758"/>
    <w:rsid w:val="00902A08"/>
    <w:rsid w:val="0090326F"/>
    <w:rsid w:val="009040DD"/>
    <w:rsid w:val="00905B47"/>
    <w:rsid w:val="0091331C"/>
    <w:rsid w:val="0091457E"/>
    <w:rsid w:val="00917DEE"/>
    <w:rsid w:val="00920B44"/>
    <w:rsid w:val="009236CF"/>
    <w:rsid w:val="009240E8"/>
    <w:rsid w:val="009279DE"/>
    <w:rsid w:val="00930116"/>
    <w:rsid w:val="009363F2"/>
    <w:rsid w:val="0093742D"/>
    <w:rsid w:val="00940FAC"/>
    <w:rsid w:val="0094212C"/>
    <w:rsid w:val="009421BE"/>
    <w:rsid w:val="009442A4"/>
    <w:rsid w:val="00946042"/>
    <w:rsid w:val="009504BC"/>
    <w:rsid w:val="009507F6"/>
    <w:rsid w:val="00951D89"/>
    <w:rsid w:val="009520CA"/>
    <w:rsid w:val="00954689"/>
    <w:rsid w:val="009562D4"/>
    <w:rsid w:val="009602EB"/>
    <w:rsid w:val="009617C9"/>
    <w:rsid w:val="00961C93"/>
    <w:rsid w:val="00963087"/>
    <w:rsid w:val="00965324"/>
    <w:rsid w:val="0097091E"/>
    <w:rsid w:val="0097312C"/>
    <w:rsid w:val="0097334B"/>
    <w:rsid w:val="009760D3"/>
    <w:rsid w:val="00977132"/>
    <w:rsid w:val="009774CA"/>
    <w:rsid w:val="00980089"/>
    <w:rsid w:val="00981A4B"/>
    <w:rsid w:val="00982501"/>
    <w:rsid w:val="00987386"/>
    <w:rsid w:val="009877D3"/>
    <w:rsid w:val="00994E8F"/>
    <w:rsid w:val="009951DC"/>
    <w:rsid w:val="009959BB"/>
    <w:rsid w:val="00996669"/>
    <w:rsid w:val="00997158"/>
    <w:rsid w:val="009A0124"/>
    <w:rsid w:val="009A28A8"/>
    <w:rsid w:val="009A3A7C"/>
    <w:rsid w:val="009B2ADB"/>
    <w:rsid w:val="009B3E5A"/>
    <w:rsid w:val="009B603A"/>
    <w:rsid w:val="009C0478"/>
    <w:rsid w:val="009C0F68"/>
    <w:rsid w:val="009C2BC9"/>
    <w:rsid w:val="009C2D0E"/>
    <w:rsid w:val="009C3DAC"/>
    <w:rsid w:val="009C42E0"/>
    <w:rsid w:val="009C4EEC"/>
    <w:rsid w:val="009C6B48"/>
    <w:rsid w:val="009C7DCB"/>
    <w:rsid w:val="009D28B6"/>
    <w:rsid w:val="009D2A1C"/>
    <w:rsid w:val="009D2B49"/>
    <w:rsid w:val="009D5362"/>
    <w:rsid w:val="009D7913"/>
    <w:rsid w:val="009E09B4"/>
    <w:rsid w:val="009E1415"/>
    <w:rsid w:val="009E5754"/>
    <w:rsid w:val="009E6116"/>
    <w:rsid w:val="009E61E0"/>
    <w:rsid w:val="009E7F9D"/>
    <w:rsid w:val="009F11B8"/>
    <w:rsid w:val="009F1B15"/>
    <w:rsid w:val="009F460A"/>
    <w:rsid w:val="009F5D2B"/>
    <w:rsid w:val="009F73D8"/>
    <w:rsid w:val="00A0112A"/>
    <w:rsid w:val="00A02E43"/>
    <w:rsid w:val="00A065F9"/>
    <w:rsid w:val="00A07D96"/>
    <w:rsid w:val="00A07F34"/>
    <w:rsid w:val="00A1147E"/>
    <w:rsid w:val="00A131EA"/>
    <w:rsid w:val="00A15157"/>
    <w:rsid w:val="00A15926"/>
    <w:rsid w:val="00A1755F"/>
    <w:rsid w:val="00A22154"/>
    <w:rsid w:val="00A24393"/>
    <w:rsid w:val="00A25C38"/>
    <w:rsid w:val="00A26308"/>
    <w:rsid w:val="00A26638"/>
    <w:rsid w:val="00A2674E"/>
    <w:rsid w:val="00A26A96"/>
    <w:rsid w:val="00A2780C"/>
    <w:rsid w:val="00A27B20"/>
    <w:rsid w:val="00A32384"/>
    <w:rsid w:val="00A34D69"/>
    <w:rsid w:val="00A36BBE"/>
    <w:rsid w:val="00A41191"/>
    <w:rsid w:val="00A4307A"/>
    <w:rsid w:val="00A43097"/>
    <w:rsid w:val="00A4389A"/>
    <w:rsid w:val="00A457BA"/>
    <w:rsid w:val="00A47EBB"/>
    <w:rsid w:val="00A50675"/>
    <w:rsid w:val="00A516B4"/>
    <w:rsid w:val="00A51CDD"/>
    <w:rsid w:val="00A6107E"/>
    <w:rsid w:val="00A6394B"/>
    <w:rsid w:val="00A6730D"/>
    <w:rsid w:val="00A6746D"/>
    <w:rsid w:val="00A71625"/>
    <w:rsid w:val="00A71B9B"/>
    <w:rsid w:val="00A751C7"/>
    <w:rsid w:val="00A7521C"/>
    <w:rsid w:val="00A8284C"/>
    <w:rsid w:val="00A828DE"/>
    <w:rsid w:val="00A8492D"/>
    <w:rsid w:val="00A87844"/>
    <w:rsid w:val="00A92ADF"/>
    <w:rsid w:val="00A94C41"/>
    <w:rsid w:val="00AA038C"/>
    <w:rsid w:val="00AA1737"/>
    <w:rsid w:val="00AA447A"/>
    <w:rsid w:val="00AA7A09"/>
    <w:rsid w:val="00AB23EB"/>
    <w:rsid w:val="00AB2CD8"/>
    <w:rsid w:val="00AB2D90"/>
    <w:rsid w:val="00AB3B50"/>
    <w:rsid w:val="00AB3C6A"/>
    <w:rsid w:val="00AC05B1"/>
    <w:rsid w:val="00AC3C99"/>
    <w:rsid w:val="00AC4C0E"/>
    <w:rsid w:val="00AC6F5A"/>
    <w:rsid w:val="00AD356C"/>
    <w:rsid w:val="00AD529D"/>
    <w:rsid w:val="00AD6C43"/>
    <w:rsid w:val="00AE2914"/>
    <w:rsid w:val="00AE42A9"/>
    <w:rsid w:val="00AE59F6"/>
    <w:rsid w:val="00AE6D15"/>
    <w:rsid w:val="00AE7BBA"/>
    <w:rsid w:val="00AE7E42"/>
    <w:rsid w:val="00AF4D12"/>
    <w:rsid w:val="00B01D5B"/>
    <w:rsid w:val="00B01FF6"/>
    <w:rsid w:val="00B04182"/>
    <w:rsid w:val="00B065DF"/>
    <w:rsid w:val="00B07AE3"/>
    <w:rsid w:val="00B11430"/>
    <w:rsid w:val="00B249A7"/>
    <w:rsid w:val="00B32A8E"/>
    <w:rsid w:val="00B3352A"/>
    <w:rsid w:val="00B34238"/>
    <w:rsid w:val="00B34A96"/>
    <w:rsid w:val="00B353EB"/>
    <w:rsid w:val="00B370F1"/>
    <w:rsid w:val="00B439C4"/>
    <w:rsid w:val="00B440D6"/>
    <w:rsid w:val="00B4433A"/>
    <w:rsid w:val="00B4535E"/>
    <w:rsid w:val="00B50D6E"/>
    <w:rsid w:val="00B5197C"/>
    <w:rsid w:val="00B52A8C"/>
    <w:rsid w:val="00B55B7B"/>
    <w:rsid w:val="00B6239F"/>
    <w:rsid w:val="00B636A8"/>
    <w:rsid w:val="00B651BB"/>
    <w:rsid w:val="00B665C6"/>
    <w:rsid w:val="00B679EE"/>
    <w:rsid w:val="00B74EB5"/>
    <w:rsid w:val="00B805AF"/>
    <w:rsid w:val="00B869EC"/>
    <w:rsid w:val="00B86D7D"/>
    <w:rsid w:val="00B87644"/>
    <w:rsid w:val="00B9036C"/>
    <w:rsid w:val="00B9076F"/>
    <w:rsid w:val="00B9190E"/>
    <w:rsid w:val="00B9397A"/>
    <w:rsid w:val="00B95E90"/>
    <w:rsid w:val="00B9633D"/>
    <w:rsid w:val="00BA2AED"/>
    <w:rsid w:val="00BA2EBE"/>
    <w:rsid w:val="00BA78BF"/>
    <w:rsid w:val="00BB0F28"/>
    <w:rsid w:val="00BB0F47"/>
    <w:rsid w:val="00BB3FD4"/>
    <w:rsid w:val="00BB41EA"/>
    <w:rsid w:val="00BB458A"/>
    <w:rsid w:val="00BB5B1E"/>
    <w:rsid w:val="00BB5E19"/>
    <w:rsid w:val="00BC18E2"/>
    <w:rsid w:val="00BC2C27"/>
    <w:rsid w:val="00BC61C3"/>
    <w:rsid w:val="00BD00D3"/>
    <w:rsid w:val="00BD1659"/>
    <w:rsid w:val="00BD3AA9"/>
    <w:rsid w:val="00BD4A18"/>
    <w:rsid w:val="00BD6DB2"/>
    <w:rsid w:val="00BE042B"/>
    <w:rsid w:val="00BE11CF"/>
    <w:rsid w:val="00BE21AB"/>
    <w:rsid w:val="00BE2E40"/>
    <w:rsid w:val="00BE4E0E"/>
    <w:rsid w:val="00BE55CB"/>
    <w:rsid w:val="00BF356A"/>
    <w:rsid w:val="00BF4F6E"/>
    <w:rsid w:val="00BF617A"/>
    <w:rsid w:val="00BF7943"/>
    <w:rsid w:val="00C01267"/>
    <w:rsid w:val="00C0216D"/>
    <w:rsid w:val="00C0379D"/>
    <w:rsid w:val="00C03931"/>
    <w:rsid w:val="00C05FE3"/>
    <w:rsid w:val="00C127E7"/>
    <w:rsid w:val="00C13889"/>
    <w:rsid w:val="00C13D45"/>
    <w:rsid w:val="00C16220"/>
    <w:rsid w:val="00C174F4"/>
    <w:rsid w:val="00C2136D"/>
    <w:rsid w:val="00C214EE"/>
    <w:rsid w:val="00C21AC9"/>
    <w:rsid w:val="00C2314B"/>
    <w:rsid w:val="00C233BE"/>
    <w:rsid w:val="00C24971"/>
    <w:rsid w:val="00C26BE5"/>
    <w:rsid w:val="00C26E4D"/>
    <w:rsid w:val="00C27909"/>
    <w:rsid w:val="00C27B03"/>
    <w:rsid w:val="00C3025F"/>
    <w:rsid w:val="00C314E1"/>
    <w:rsid w:val="00C31A79"/>
    <w:rsid w:val="00C320CE"/>
    <w:rsid w:val="00C32DD9"/>
    <w:rsid w:val="00C34397"/>
    <w:rsid w:val="00C4095D"/>
    <w:rsid w:val="00C42054"/>
    <w:rsid w:val="00C458E9"/>
    <w:rsid w:val="00C50BA5"/>
    <w:rsid w:val="00C543C0"/>
    <w:rsid w:val="00C55F2B"/>
    <w:rsid w:val="00C56DF0"/>
    <w:rsid w:val="00C601D2"/>
    <w:rsid w:val="00C613DE"/>
    <w:rsid w:val="00C61CA0"/>
    <w:rsid w:val="00C62DC2"/>
    <w:rsid w:val="00C636F9"/>
    <w:rsid w:val="00C63C50"/>
    <w:rsid w:val="00C657AB"/>
    <w:rsid w:val="00C65BCC"/>
    <w:rsid w:val="00C66970"/>
    <w:rsid w:val="00C73BC7"/>
    <w:rsid w:val="00C77524"/>
    <w:rsid w:val="00C778A9"/>
    <w:rsid w:val="00C83E8C"/>
    <w:rsid w:val="00C8585D"/>
    <w:rsid w:val="00C8691C"/>
    <w:rsid w:val="00C86A9E"/>
    <w:rsid w:val="00C90606"/>
    <w:rsid w:val="00C90AB3"/>
    <w:rsid w:val="00C93958"/>
    <w:rsid w:val="00C95B40"/>
    <w:rsid w:val="00CA168A"/>
    <w:rsid w:val="00CA357E"/>
    <w:rsid w:val="00CA44F9"/>
    <w:rsid w:val="00CA4A69"/>
    <w:rsid w:val="00CA596B"/>
    <w:rsid w:val="00CB2D67"/>
    <w:rsid w:val="00CB6D04"/>
    <w:rsid w:val="00CC3E0C"/>
    <w:rsid w:val="00CC58D3"/>
    <w:rsid w:val="00CC6756"/>
    <w:rsid w:val="00CC784D"/>
    <w:rsid w:val="00CD2F47"/>
    <w:rsid w:val="00CD7EE0"/>
    <w:rsid w:val="00CE2006"/>
    <w:rsid w:val="00CE51F7"/>
    <w:rsid w:val="00CF15CF"/>
    <w:rsid w:val="00D0078B"/>
    <w:rsid w:val="00D0337B"/>
    <w:rsid w:val="00D04F64"/>
    <w:rsid w:val="00D05B87"/>
    <w:rsid w:val="00D079B2"/>
    <w:rsid w:val="00D114E9"/>
    <w:rsid w:val="00D11A67"/>
    <w:rsid w:val="00D11FDA"/>
    <w:rsid w:val="00D12894"/>
    <w:rsid w:val="00D2341F"/>
    <w:rsid w:val="00D2393C"/>
    <w:rsid w:val="00D242F8"/>
    <w:rsid w:val="00D26F9A"/>
    <w:rsid w:val="00D30300"/>
    <w:rsid w:val="00D36848"/>
    <w:rsid w:val="00D37A4C"/>
    <w:rsid w:val="00D41BB5"/>
    <w:rsid w:val="00D429C6"/>
    <w:rsid w:val="00D45385"/>
    <w:rsid w:val="00D47748"/>
    <w:rsid w:val="00D527CB"/>
    <w:rsid w:val="00D53257"/>
    <w:rsid w:val="00D54CC3"/>
    <w:rsid w:val="00D567B0"/>
    <w:rsid w:val="00D56FFC"/>
    <w:rsid w:val="00D6041A"/>
    <w:rsid w:val="00D616CA"/>
    <w:rsid w:val="00D633EB"/>
    <w:rsid w:val="00D71C2B"/>
    <w:rsid w:val="00D71E6C"/>
    <w:rsid w:val="00D726EE"/>
    <w:rsid w:val="00D72991"/>
    <w:rsid w:val="00D73803"/>
    <w:rsid w:val="00D80751"/>
    <w:rsid w:val="00D82FF7"/>
    <w:rsid w:val="00D83842"/>
    <w:rsid w:val="00D84019"/>
    <w:rsid w:val="00D847FE"/>
    <w:rsid w:val="00D85F8E"/>
    <w:rsid w:val="00D86EC2"/>
    <w:rsid w:val="00D87028"/>
    <w:rsid w:val="00D9561C"/>
    <w:rsid w:val="00D964EA"/>
    <w:rsid w:val="00D966D0"/>
    <w:rsid w:val="00DA0C59"/>
    <w:rsid w:val="00DA3991"/>
    <w:rsid w:val="00DB059D"/>
    <w:rsid w:val="00DB5F1D"/>
    <w:rsid w:val="00DB7566"/>
    <w:rsid w:val="00DB7E6C"/>
    <w:rsid w:val="00DC1267"/>
    <w:rsid w:val="00DC3B61"/>
    <w:rsid w:val="00DC4F15"/>
    <w:rsid w:val="00DC68C1"/>
    <w:rsid w:val="00DD5A29"/>
    <w:rsid w:val="00DD5D9D"/>
    <w:rsid w:val="00DD67CC"/>
    <w:rsid w:val="00DE12B9"/>
    <w:rsid w:val="00DE1E8C"/>
    <w:rsid w:val="00DE35CB"/>
    <w:rsid w:val="00DE54C0"/>
    <w:rsid w:val="00DF0701"/>
    <w:rsid w:val="00DF1F8F"/>
    <w:rsid w:val="00DF1FFE"/>
    <w:rsid w:val="00DF21E9"/>
    <w:rsid w:val="00DF2714"/>
    <w:rsid w:val="00DF3835"/>
    <w:rsid w:val="00DF463C"/>
    <w:rsid w:val="00DF4689"/>
    <w:rsid w:val="00DF5A51"/>
    <w:rsid w:val="00E00F14"/>
    <w:rsid w:val="00E014DB"/>
    <w:rsid w:val="00E01E2C"/>
    <w:rsid w:val="00E06386"/>
    <w:rsid w:val="00E06724"/>
    <w:rsid w:val="00E13407"/>
    <w:rsid w:val="00E13AFD"/>
    <w:rsid w:val="00E24EB4"/>
    <w:rsid w:val="00E2596C"/>
    <w:rsid w:val="00E26BAB"/>
    <w:rsid w:val="00E320ED"/>
    <w:rsid w:val="00E3298B"/>
    <w:rsid w:val="00E32DF6"/>
    <w:rsid w:val="00E33AFB"/>
    <w:rsid w:val="00E34218"/>
    <w:rsid w:val="00E36B6A"/>
    <w:rsid w:val="00E421D0"/>
    <w:rsid w:val="00E46282"/>
    <w:rsid w:val="00E470A3"/>
    <w:rsid w:val="00E47E10"/>
    <w:rsid w:val="00E51468"/>
    <w:rsid w:val="00E5216E"/>
    <w:rsid w:val="00E5375F"/>
    <w:rsid w:val="00E5504A"/>
    <w:rsid w:val="00E57BBB"/>
    <w:rsid w:val="00E608D9"/>
    <w:rsid w:val="00E60B84"/>
    <w:rsid w:val="00E62982"/>
    <w:rsid w:val="00E70631"/>
    <w:rsid w:val="00E72A9E"/>
    <w:rsid w:val="00E76C52"/>
    <w:rsid w:val="00E82344"/>
    <w:rsid w:val="00E84C82"/>
    <w:rsid w:val="00E84D64"/>
    <w:rsid w:val="00E87408"/>
    <w:rsid w:val="00E914C4"/>
    <w:rsid w:val="00E934F5"/>
    <w:rsid w:val="00E96961"/>
    <w:rsid w:val="00E976DB"/>
    <w:rsid w:val="00EA6B46"/>
    <w:rsid w:val="00EA72EC"/>
    <w:rsid w:val="00EA777A"/>
    <w:rsid w:val="00EB04E1"/>
    <w:rsid w:val="00EB11CB"/>
    <w:rsid w:val="00EB275A"/>
    <w:rsid w:val="00EB786A"/>
    <w:rsid w:val="00EC1578"/>
    <w:rsid w:val="00EC1C72"/>
    <w:rsid w:val="00EC2945"/>
    <w:rsid w:val="00EC3CC9"/>
    <w:rsid w:val="00EC680A"/>
    <w:rsid w:val="00ED1196"/>
    <w:rsid w:val="00ED39FB"/>
    <w:rsid w:val="00ED4868"/>
    <w:rsid w:val="00ED4DD7"/>
    <w:rsid w:val="00ED7AEE"/>
    <w:rsid w:val="00EE1BF1"/>
    <w:rsid w:val="00EE1FF1"/>
    <w:rsid w:val="00EE205B"/>
    <w:rsid w:val="00EE2BED"/>
    <w:rsid w:val="00EE3414"/>
    <w:rsid w:val="00EE374B"/>
    <w:rsid w:val="00EE59FB"/>
    <w:rsid w:val="00EF10F8"/>
    <w:rsid w:val="00EF58BA"/>
    <w:rsid w:val="00EF7629"/>
    <w:rsid w:val="00EF7A33"/>
    <w:rsid w:val="00F01332"/>
    <w:rsid w:val="00F11BB5"/>
    <w:rsid w:val="00F1417B"/>
    <w:rsid w:val="00F168B7"/>
    <w:rsid w:val="00F1787C"/>
    <w:rsid w:val="00F34B99"/>
    <w:rsid w:val="00F37A7F"/>
    <w:rsid w:val="00F43145"/>
    <w:rsid w:val="00F505F6"/>
    <w:rsid w:val="00F510E6"/>
    <w:rsid w:val="00F52DAB"/>
    <w:rsid w:val="00F543F0"/>
    <w:rsid w:val="00F6373D"/>
    <w:rsid w:val="00F66EDD"/>
    <w:rsid w:val="00F71AC4"/>
    <w:rsid w:val="00F72314"/>
    <w:rsid w:val="00F72DD2"/>
    <w:rsid w:val="00F737AD"/>
    <w:rsid w:val="00F81158"/>
    <w:rsid w:val="00F81D29"/>
    <w:rsid w:val="00F81D61"/>
    <w:rsid w:val="00F81DC8"/>
    <w:rsid w:val="00F8396F"/>
    <w:rsid w:val="00F83E15"/>
    <w:rsid w:val="00F90061"/>
    <w:rsid w:val="00F91C4D"/>
    <w:rsid w:val="00F92FD9"/>
    <w:rsid w:val="00F93254"/>
    <w:rsid w:val="00F96E22"/>
    <w:rsid w:val="00F976AD"/>
    <w:rsid w:val="00FA2541"/>
    <w:rsid w:val="00FA37C1"/>
    <w:rsid w:val="00FA425B"/>
    <w:rsid w:val="00FA42EF"/>
    <w:rsid w:val="00FA5E6B"/>
    <w:rsid w:val="00FA6470"/>
    <w:rsid w:val="00FA6684"/>
    <w:rsid w:val="00FA705E"/>
    <w:rsid w:val="00FA731E"/>
    <w:rsid w:val="00FB0B66"/>
    <w:rsid w:val="00FB2B38"/>
    <w:rsid w:val="00FB307D"/>
    <w:rsid w:val="00FB3791"/>
    <w:rsid w:val="00FC6358"/>
    <w:rsid w:val="00FC6C90"/>
    <w:rsid w:val="00FD04BB"/>
    <w:rsid w:val="00FD320D"/>
    <w:rsid w:val="00FD570D"/>
    <w:rsid w:val="00FE0568"/>
    <w:rsid w:val="00FE23DE"/>
    <w:rsid w:val="00FE30F6"/>
    <w:rsid w:val="00FF27D3"/>
    <w:rsid w:val="014268C2"/>
    <w:rsid w:val="015626C8"/>
    <w:rsid w:val="01926090"/>
    <w:rsid w:val="01AB2DB4"/>
    <w:rsid w:val="04AF42EF"/>
    <w:rsid w:val="04DC1CF8"/>
    <w:rsid w:val="05FF07B5"/>
    <w:rsid w:val="06613927"/>
    <w:rsid w:val="06DF1BB5"/>
    <w:rsid w:val="08786178"/>
    <w:rsid w:val="0A485081"/>
    <w:rsid w:val="0A842761"/>
    <w:rsid w:val="0BAC32E0"/>
    <w:rsid w:val="0C68411F"/>
    <w:rsid w:val="0DD7773F"/>
    <w:rsid w:val="0E8D76BF"/>
    <w:rsid w:val="0F073C55"/>
    <w:rsid w:val="0F0C7D92"/>
    <w:rsid w:val="114805EC"/>
    <w:rsid w:val="12463E5D"/>
    <w:rsid w:val="128A1009"/>
    <w:rsid w:val="13373D29"/>
    <w:rsid w:val="13DB6659"/>
    <w:rsid w:val="14567CEF"/>
    <w:rsid w:val="174A333A"/>
    <w:rsid w:val="19033B41"/>
    <w:rsid w:val="194201CB"/>
    <w:rsid w:val="19A5475F"/>
    <w:rsid w:val="1A446DE6"/>
    <w:rsid w:val="1AAE65BB"/>
    <w:rsid w:val="1AC90DBB"/>
    <w:rsid w:val="1B3C09DC"/>
    <w:rsid w:val="1B3E56DC"/>
    <w:rsid w:val="1BBD60F4"/>
    <w:rsid w:val="1D781DF9"/>
    <w:rsid w:val="1F3E57F5"/>
    <w:rsid w:val="1F46202B"/>
    <w:rsid w:val="20236CFE"/>
    <w:rsid w:val="202E6203"/>
    <w:rsid w:val="208A424A"/>
    <w:rsid w:val="208F11E7"/>
    <w:rsid w:val="214A5096"/>
    <w:rsid w:val="215C14F1"/>
    <w:rsid w:val="22465A58"/>
    <w:rsid w:val="23671F2C"/>
    <w:rsid w:val="236849E9"/>
    <w:rsid w:val="237E2300"/>
    <w:rsid w:val="24642242"/>
    <w:rsid w:val="24767468"/>
    <w:rsid w:val="26615569"/>
    <w:rsid w:val="274A5AC6"/>
    <w:rsid w:val="27742EBB"/>
    <w:rsid w:val="284C50A8"/>
    <w:rsid w:val="28886605"/>
    <w:rsid w:val="28CD5710"/>
    <w:rsid w:val="298567F4"/>
    <w:rsid w:val="29CD13F3"/>
    <w:rsid w:val="29E34B82"/>
    <w:rsid w:val="2A320AF0"/>
    <w:rsid w:val="2D1F1D65"/>
    <w:rsid w:val="2D493E50"/>
    <w:rsid w:val="2E0C7AFA"/>
    <w:rsid w:val="2E1C1A4E"/>
    <w:rsid w:val="2EEB0237"/>
    <w:rsid w:val="31F06277"/>
    <w:rsid w:val="321A12C0"/>
    <w:rsid w:val="32253FE8"/>
    <w:rsid w:val="323C519C"/>
    <w:rsid w:val="324B7B8D"/>
    <w:rsid w:val="32AC6BA0"/>
    <w:rsid w:val="33004A91"/>
    <w:rsid w:val="3442156A"/>
    <w:rsid w:val="35756644"/>
    <w:rsid w:val="35DB4005"/>
    <w:rsid w:val="36A01536"/>
    <w:rsid w:val="37F729B1"/>
    <w:rsid w:val="38325D41"/>
    <w:rsid w:val="38675EDD"/>
    <w:rsid w:val="38A5656B"/>
    <w:rsid w:val="38C94F80"/>
    <w:rsid w:val="39592168"/>
    <w:rsid w:val="39CC502E"/>
    <w:rsid w:val="3A7466AB"/>
    <w:rsid w:val="3BCA140E"/>
    <w:rsid w:val="3BCE742C"/>
    <w:rsid w:val="3C9433AB"/>
    <w:rsid w:val="3D4E2BA6"/>
    <w:rsid w:val="3DA35B5A"/>
    <w:rsid w:val="3DDA58BA"/>
    <w:rsid w:val="3EA45A61"/>
    <w:rsid w:val="3EFF3143"/>
    <w:rsid w:val="41086E32"/>
    <w:rsid w:val="41A704A5"/>
    <w:rsid w:val="425A149E"/>
    <w:rsid w:val="42870662"/>
    <w:rsid w:val="451C3C40"/>
    <w:rsid w:val="459E05CA"/>
    <w:rsid w:val="45C04ED7"/>
    <w:rsid w:val="45CC5137"/>
    <w:rsid w:val="469C2D08"/>
    <w:rsid w:val="484B347F"/>
    <w:rsid w:val="494914DD"/>
    <w:rsid w:val="4BE148C2"/>
    <w:rsid w:val="4DC024C2"/>
    <w:rsid w:val="4ECE779E"/>
    <w:rsid w:val="4F607BA8"/>
    <w:rsid w:val="4FFE506F"/>
    <w:rsid w:val="4FFE6D8F"/>
    <w:rsid w:val="507016C3"/>
    <w:rsid w:val="51B63A66"/>
    <w:rsid w:val="51C508AC"/>
    <w:rsid w:val="51D33F98"/>
    <w:rsid w:val="528E01D8"/>
    <w:rsid w:val="52CF406C"/>
    <w:rsid w:val="536E3CD2"/>
    <w:rsid w:val="539F6D06"/>
    <w:rsid w:val="54210261"/>
    <w:rsid w:val="56963C59"/>
    <w:rsid w:val="56D94B3D"/>
    <w:rsid w:val="57071021"/>
    <w:rsid w:val="58094B8B"/>
    <w:rsid w:val="58777528"/>
    <w:rsid w:val="599A38E3"/>
    <w:rsid w:val="5AE12A2F"/>
    <w:rsid w:val="5B457C42"/>
    <w:rsid w:val="5BBF0ED6"/>
    <w:rsid w:val="5C214C68"/>
    <w:rsid w:val="5C227DDB"/>
    <w:rsid w:val="5C7A3515"/>
    <w:rsid w:val="5CF13F80"/>
    <w:rsid w:val="5DFB45E3"/>
    <w:rsid w:val="5E3C3679"/>
    <w:rsid w:val="5E6B18C8"/>
    <w:rsid w:val="5F47332B"/>
    <w:rsid w:val="5F686E68"/>
    <w:rsid w:val="5F7B5377"/>
    <w:rsid w:val="60735499"/>
    <w:rsid w:val="60883EF9"/>
    <w:rsid w:val="60F21798"/>
    <w:rsid w:val="616151C6"/>
    <w:rsid w:val="618D663F"/>
    <w:rsid w:val="62301BA8"/>
    <w:rsid w:val="64BB2B10"/>
    <w:rsid w:val="64EB61BC"/>
    <w:rsid w:val="65286E95"/>
    <w:rsid w:val="654C45ED"/>
    <w:rsid w:val="6568477B"/>
    <w:rsid w:val="66E7353A"/>
    <w:rsid w:val="674B0307"/>
    <w:rsid w:val="68885BC3"/>
    <w:rsid w:val="68CF014E"/>
    <w:rsid w:val="68D52A0C"/>
    <w:rsid w:val="69BC62B3"/>
    <w:rsid w:val="6B037447"/>
    <w:rsid w:val="6C0932B3"/>
    <w:rsid w:val="6C936B1D"/>
    <w:rsid w:val="6CB41C58"/>
    <w:rsid w:val="6CE344B3"/>
    <w:rsid w:val="6D0B0E12"/>
    <w:rsid w:val="6E906FA7"/>
    <w:rsid w:val="6ECC672A"/>
    <w:rsid w:val="6F3F30B2"/>
    <w:rsid w:val="6F736C54"/>
    <w:rsid w:val="705262C9"/>
    <w:rsid w:val="716E3847"/>
    <w:rsid w:val="71736A9A"/>
    <w:rsid w:val="72354A54"/>
    <w:rsid w:val="73325C18"/>
    <w:rsid w:val="74E15A13"/>
    <w:rsid w:val="75C0670D"/>
    <w:rsid w:val="767F0FD8"/>
    <w:rsid w:val="76844FCB"/>
    <w:rsid w:val="77CA3CE3"/>
    <w:rsid w:val="77E61714"/>
    <w:rsid w:val="77EB02B8"/>
    <w:rsid w:val="79222B36"/>
    <w:rsid w:val="79C17923"/>
    <w:rsid w:val="7A0525D6"/>
    <w:rsid w:val="7B5B0730"/>
    <w:rsid w:val="7B7D5B65"/>
    <w:rsid w:val="7BF27B5E"/>
    <w:rsid w:val="7DC52314"/>
    <w:rsid w:val="7E41091B"/>
    <w:rsid w:val="7E4B5252"/>
    <w:rsid w:val="7F122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99"/>
    <w:pPr>
      <w:ind w:firstLine="524" w:firstLineChars="187"/>
    </w:pPr>
    <w:rPr>
      <w:sz w:val="28"/>
    </w:rPr>
  </w:style>
  <w:style w:type="paragraph" w:styleId="3">
    <w:name w:val="toc 7"/>
    <w:basedOn w:val="1"/>
    <w:next w:val="1"/>
    <w:semiHidden/>
    <w:qFormat/>
    <w:uiPriority w:val="0"/>
    <w:pPr>
      <w:tabs>
        <w:tab w:val="right" w:leader="dot" w:pos="9241"/>
      </w:tabs>
      <w:ind w:firstLine="500" w:firstLineChars="500"/>
      <w:jc w:val="left"/>
    </w:pPr>
    <w:rPr>
      <w:rFonts w:ascii="宋体"/>
      <w:szCs w:val="21"/>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semiHidden/>
    <w:qFormat/>
    <w:uiPriority w:val="0"/>
    <w:pPr>
      <w:shd w:val="clear" w:color="auto" w:fill="000080"/>
    </w:pPr>
  </w:style>
  <w:style w:type="paragraph" w:styleId="8">
    <w:name w:val="annotation text"/>
    <w:basedOn w:val="1"/>
    <w:link w:val="43"/>
    <w:qFormat/>
    <w:uiPriority w:val="0"/>
    <w:pPr>
      <w:jc w:val="left"/>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index 4"/>
    <w:basedOn w:val="1"/>
    <w:next w:val="1"/>
    <w:qFormat/>
    <w:uiPriority w:val="0"/>
    <w:pPr>
      <w:ind w:left="840" w:hanging="210"/>
      <w:jc w:val="left"/>
    </w:pPr>
    <w:rPr>
      <w:rFonts w:ascii="Calibri" w:hAnsi="Calibri"/>
      <w:sz w:val="20"/>
      <w:szCs w:val="20"/>
    </w:rPr>
  </w:style>
  <w:style w:type="paragraph" w:styleId="11">
    <w:name w:val="toc 5"/>
    <w:basedOn w:val="1"/>
    <w:next w:val="1"/>
    <w:semiHidden/>
    <w:qFormat/>
    <w:uiPriority w:val="0"/>
    <w:pPr>
      <w:tabs>
        <w:tab w:val="right" w:leader="dot" w:pos="9241"/>
      </w:tabs>
      <w:ind w:firstLine="300" w:firstLineChars="300"/>
      <w:jc w:val="left"/>
    </w:pPr>
    <w:rPr>
      <w:rFonts w:ascii="宋体"/>
      <w:szCs w:val="21"/>
    </w:rPr>
  </w:style>
  <w:style w:type="paragraph" w:styleId="12">
    <w:name w:val="toc 3"/>
    <w:basedOn w:val="1"/>
    <w:next w:val="1"/>
    <w:semiHidden/>
    <w:qFormat/>
    <w:uiPriority w:val="0"/>
    <w:pPr>
      <w:tabs>
        <w:tab w:val="right" w:leader="dot" w:pos="9241"/>
      </w:tabs>
      <w:ind w:firstLine="100" w:firstLineChars="100"/>
      <w:jc w:val="left"/>
    </w:pPr>
    <w:rPr>
      <w:rFonts w:ascii="宋体"/>
      <w:szCs w:val="21"/>
    </w:rPr>
  </w:style>
  <w:style w:type="paragraph" w:styleId="13">
    <w:name w:val="toc 8"/>
    <w:basedOn w:val="1"/>
    <w:next w:val="1"/>
    <w:semiHidden/>
    <w:qFormat/>
    <w:uiPriority w:val="0"/>
    <w:pPr>
      <w:tabs>
        <w:tab w:val="right" w:leader="dot" w:pos="9241"/>
      </w:tabs>
      <w:ind w:firstLine="607" w:firstLineChars="600"/>
      <w:jc w:val="left"/>
    </w:pPr>
    <w:rPr>
      <w:rFonts w:ascii="宋体"/>
      <w:szCs w:val="21"/>
    </w:rPr>
  </w:style>
  <w:style w:type="paragraph" w:styleId="14">
    <w:name w:val="index 3"/>
    <w:basedOn w:val="1"/>
    <w:next w:val="1"/>
    <w:qFormat/>
    <w:uiPriority w:val="0"/>
    <w:pPr>
      <w:ind w:left="630" w:hanging="210"/>
      <w:jc w:val="left"/>
    </w:pPr>
    <w:rPr>
      <w:rFonts w:ascii="Calibri" w:hAnsi="Calibri"/>
      <w:sz w:val="20"/>
      <w:szCs w:val="20"/>
    </w:rPr>
  </w:style>
  <w:style w:type="paragraph" w:styleId="15">
    <w:name w:val="endnote text"/>
    <w:basedOn w:val="1"/>
    <w:semiHidden/>
    <w:qFormat/>
    <w:uiPriority w:val="0"/>
    <w:pPr>
      <w:snapToGrid w:val="0"/>
      <w:jc w:val="left"/>
    </w:pPr>
  </w:style>
  <w:style w:type="paragraph" w:styleId="16">
    <w:name w:val="Balloon Text"/>
    <w:basedOn w:val="1"/>
    <w:link w:val="44"/>
    <w:qFormat/>
    <w:uiPriority w:val="0"/>
    <w:rPr>
      <w:sz w:val="18"/>
      <w:szCs w:val="18"/>
    </w:rPr>
  </w:style>
  <w:style w:type="paragraph" w:styleId="17">
    <w:name w:val="footer"/>
    <w:basedOn w:val="1"/>
    <w:link w:val="45"/>
    <w:qFormat/>
    <w:uiPriority w:val="99"/>
    <w:pPr>
      <w:snapToGrid w:val="0"/>
      <w:ind w:right="210" w:rightChars="100"/>
      <w:jc w:val="right"/>
    </w:pPr>
    <w:rPr>
      <w:sz w:val="18"/>
      <w:szCs w:val="18"/>
    </w:rPr>
  </w:style>
  <w:style w:type="paragraph" w:styleId="18">
    <w:name w:val="header"/>
    <w:basedOn w:val="1"/>
    <w:link w:val="46"/>
    <w:qFormat/>
    <w:uiPriority w:val="99"/>
    <w:pPr>
      <w:snapToGrid w:val="0"/>
      <w:jc w:val="left"/>
    </w:pPr>
    <w:rPr>
      <w:sz w:val="18"/>
      <w:szCs w:val="18"/>
    </w:rPr>
  </w:style>
  <w:style w:type="paragraph" w:styleId="19">
    <w:name w:val="toc 1"/>
    <w:basedOn w:val="1"/>
    <w:next w:val="1"/>
    <w:semiHidden/>
    <w:qFormat/>
    <w:uiPriority w:val="0"/>
    <w:pPr>
      <w:tabs>
        <w:tab w:val="right" w:leader="dot" w:pos="9242"/>
      </w:tabs>
      <w:spacing w:before="25" w:beforeLines="25" w:after="25" w:afterLines="25"/>
      <w:jc w:val="left"/>
    </w:pPr>
    <w:rPr>
      <w:rFonts w:ascii="宋体"/>
      <w:szCs w:val="21"/>
    </w:rPr>
  </w:style>
  <w:style w:type="paragraph" w:styleId="20">
    <w:name w:val="toc 4"/>
    <w:basedOn w:val="1"/>
    <w:next w:val="1"/>
    <w:semiHidden/>
    <w:qFormat/>
    <w:uiPriority w:val="0"/>
    <w:pPr>
      <w:tabs>
        <w:tab w:val="right" w:leader="dot" w:pos="9241"/>
      </w:tabs>
      <w:ind w:firstLine="200" w:firstLineChars="200"/>
      <w:jc w:val="left"/>
    </w:pPr>
    <w:rPr>
      <w:rFonts w:ascii="宋体"/>
      <w:szCs w:val="21"/>
    </w:rPr>
  </w:style>
  <w:style w:type="paragraph" w:styleId="21">
    <w:name w:val="index heading"/>
    <w:basedOn w:val="1"/>
    <w:next w:val="22"/>
    <w:qFormat/>
    <w:uiPriority w:val="0"/>
    <w:pPr>
      <w:spacing w:before="120" w:after="120"/>
      <w:jc w:val="center"/>
    </w:pPr>
    <w:rPr>
      <w:rFonts w:ascii="Calibri" w:hAnsi="Calibri"/>
      <w:b/>
      <w:bCs/>
      <w:iCs/>
      <w:szCs w:val="20"/>
    </w:rPr>
  </w:style>
  <w:style w:type="paragraph" w:styleId="22">
    <w:name w:val="index 1"/>
    <w:basedOn w:val="1"/>
    <w:next w:val="23"/>
    <w:qFormat/>
    <w:uiPriority w:val="0"/>
    <w:pPr>
      <w:tabs>
        <w:tab w:val="right" w:leader="dot" w:pos="9299"/>
      </w:tabs>
      <w:jc w:val="left"/>
    </w:pPr>
    <w:rPr>
      <w:rFonts w:ascii="宋体"/>
      <w:szCs w:val="21"/>
    </w:rPr>
  </w:style>
  <w:style w:type="paragraph" w:customStyle="1" w:styleId="23">
    <w:name w:val="段"/>
    <w:link w:val="4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4">
    <w:name w:val="footnote text"/>
    <w:basedOn w:val="1"/>
    <w:qFormat/>
    <w:uiPriority w:val="0"/>
    <w:pPr>
      <w:numPr>
        <w:ilvl w:val="0"/>
        <w:numId w:val="1"/>
      </w:numPr>
      <w:snapToGrid w:val="0"/>
      <w:jc w:val="left"/>
    </w:pPr>
    <w:rPr>
      <w:rFonts w:ascii="宋体"/>
      <w:sz w:val="18"/>
      <w:szCs w:val="18"/>
    </w:rPr>
  </w:style>
  <w:style w:type="paragraph" w:styleId="25">
    <w:name w:val="toc 6"/>
    <w:basedOn w:val="1"/>
    <w:next w:val="1"/>
    <w:semiHidden/>
    <w:qFormat/>
    <w:uiPriority w:val="0"/>
    <w:pPr>
      <w:tabs>
        <w:tab w:val="right" w:leader="dot" w:pos="9241"/>
      </w:tabs>
      <w:ind w:firstLine="400" w:firstLineChars="400"/>
      <w:jc w:val="left"/>
    </w:pPr>
    <w:rPr>
      <w:rFonts w:ascii="宋体"/>
      <w:szCs w:val="21"/>
    </w:rPr>
  </w:style>
  <w:style w:type="paragraph" w:styleId="26">
    <w:name w:val="Body Text Indent 3"/>
    <w:basedOn w:val="1"/>
    <w:qFormat/>
    <w:uiPriority w:val="99"/>
    <w:pPr>
      <w:spacing w:after="120"/>
      <w:ind w:left="420" w:leftChars="200"/>
    </w:pPr>
    <w:rPr>
      <w:sz w:val="16"/>
      <w:szCs w:val="16"/>
    </w:rPr>
  </w:style>
  <w:style w:type="paragraph" w:styleId="27">
    <w:name w:val="index 7"/>
    <w:basedOn w:val="1"/>
    <w:next w:val="1"/>
    <w:qFormat/>
    <w:uiPriority w:val="0"/>
    <w:pPr>
      <w:ind w:left="1470" w:hanging="210"/>
      <w:jc w:val="left"/>
    </w:pPr>
    <w:rPr>
      <w:rFonts w:ascii="Calibri" w:hAnsi="Calibri"/>
      <w:sz w:val="20"/>
      <w:szCs w:val="20"/>
    </w:rPr>
  </w:style>
  <w:style w:type="paragraph" w:styleId="28">
    <w:name w:val="index 9"/>
    <w:basedOn w:val="1"/>
    <w:next w:val="1"/>
    <w:qFormat/>
    <w:uiPriority w:val="0"/>
    <w:pPr>
      <w:ind w:left="1890" w:hanging="210"/>
      <w:jc w:val="left"/>
    </w:pPr>
    <w:rPr>
      <w:rFonts w:ascii="Calibri" w:hAnsi="Calibri"/>
      <w:sz w:val="20"/>
      <w:szCs w:val="20"/>
    </w:rPr>
  </w:style>
  <w:style w:type="paragraph" w:styleId="29">
    <w:name w:val="toc 2"/>
    <w:basedOn w:val="1"/>
    <w:next w:val="1"/>
    <w:semiHidden/>
    <w:qFormat/>
    <w:uiPriority w:val="0"/>
    <w:pPr>
      <w:tabs>
        <w:tab w:val="right" w:leader="dot" w:pos="9242"/>
      </w:tabs>
    </w:pPr>
    <w:rPr>
      <w:rFonts w:ascii="宋体"/>
      <w:szCs w:val="21"/>
    </w:rPr>
  </w:style>
  <w:style w:type="paragraph" w:styleId="30">
    <w:name w:val="toc 9"/>
    <w:basedOn w:val="1"/>
    <w:next w:val="1"/>
    <w:semiHidden/>
    <w:qFormat/>
    <w:uiPriority w:val="0"/>
    <w:pPr>
      <w:ind w:left="1470"/>
      <w:jc w:val="left"/>
    </w:pPr>
    <w:rPr>
      <w:sz w:val="20"/>
      <w:szCs w:val="20"/>
    </w:rPr>
  </w:style>
  <w:style w:type="paragraph" w:styleId="31">
    <w:name w:val="Normal (Web)"/>
    <w:basedOn w:val="1"/>
    <w:qFormat/>
    <w:uiPriority w:val="0"/>
    <w:rPr>
      <w:sz w:val="24"/>
    </w:rPr>
  </w:style>
  <w:style w:type="paragraph" w:styleId="32">
    <w:name w:val="index 2"/>
    <w:basedOn w:val="1"/>
    <w:next w:val="1"/>
    <w:qFormat/>
    <w:uiPriority w:val="0"/>
    <w:pPr>
      <w:ind w:left="420" w:hanging="210"/>
      <w:jc w:val="left"/>
    </w:pPr>
    <w:rPr>
      <w:rFonts w:ascii="Calibri" w:hAnsi="Calibri"/>
      <w:sz w:val="20"/>
      <w:szCs w:val="20"/>
    </w:rPr>
  </w:style>
  <w:style w:type="paragraph" w:styleId="33">
    <w:name w:val="annotation subject"/>
    <w:basedOn w:val="8"/>
    <w:next w:val="8"/>
    <w:link w:val="48"/>
    <w:qFormat/>
    <w:uiPriority w:val="0"/>
    <w:rPr>
      <w:b/>
      <w:bCs/>
    </w:rPr>
  </w:style>
  <w:style w:type="table" w:styleId="35">
    <w:name w:val="Table Grid"/>
    <w:basedOn w:val="34"/>
    <w:qFormat/>
    <w:uiPriority w:val="59"/>
    <w:pPr>
      <w:numPr>
        <w:numId w:val="2"/>
      </w:numPr>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endnote reference"/>
    <w:semiHidden/>
    <w:qFormat/>
    <w:uiPriority w:val="0"/>
    <w:rPr>
      <w:vertAlign w:val="superscript"/>
    </w:rPr>
  </w:style>
  <w:style w:type="character" w:styleId="38">
    <w:name w:val="page number"/>
    <w:qFormat/>
    <w:uiPriority w:val="0"/>
    <w:rPr>
      <w:rFonts w:ascii="Times New Roman" w:hAnsi="Times New Roman" w:eastAsia="宋体"/>
      <w:sz w:val="18"/>
    </w:rPr>
  </w:style>
  <w:style w:type="character" w:styleId="39">
    <w:name w:val="FollowedHyperlink"/>
    <w:qFormat/>
    <w:uiPriority w:val="0"/>
    <w:rPr>
      <w:color w:val="800080"/>
      <w:u w:val="single"/>
    </w:rPr>
  </w:style>
  <w:style w:type="character" w:styleId="40">
    <w:name w:val="Hyperlink"/>
    <w:qFormat/>
    <w:uiPriority w:val="0"/>
    <w:rPr>
      <w:color w:val="0000FF"/>
      <w:spacing w:val="0"/>
      <w:w w:val="100"/>
      <w:szCs w:val="21"/>
      <w:u w:val="single"/>
    </w:rPr>
  </w:style>
  <w:style w:type="character" w:styleId="41">
    <w:name w:val="annotation reference"/>
    <w:qFormat/>
    <w:uiPriority w:val="0"/>
    <w:rPr>
      <w:sz w:val="21"/>
      <w:szCs w:val="21"/>
    </w:rPr>
  </w:style>
  <w:style w:type="character" w:styleId="42">
    <w:name w:val="footnote reference"/>
    <w:semiHidden/>
    <w:qFormat/>
    <w:uiPriority w:val="0"/>
    <w:rPr>
      <w:vertAlign w:val="superscript"/>
    </w:rPr>
  </w:style>
  <w:style w:type="character" w:customStyle="1" w:styleId="43">
    <w:name w:val="批注文字 字符"/>
    <w:link w:val="8"/>
    <w:qFormat/>
    <w:uiPriority w:val="0"/>
    <w:rPr>
      <w:kern w:val="2"/>
      <w:sz w:val="21"/>
      <w:szCs w:val="24"/>
    </w:rPr>
  </w:style>
  <w:style w:type="character" w:customStyle="1" w:styleId="44">
    <w:name w:val="批注框文本 字符"/>
    <w:link w:val="16"/>
    <w:qFormat/>
    <w:uiPriority w:val="0"/>
    <w:rPr>
      <w:kern w:val="2"/>
      <w:sz w:val="18"/>
      <w:szCs w:val="18"/>
    </w:rPr>
  </w:style>
  <w:style w:type="character" w:customStyle="1" w:styleId="45">
    <w:name w:val="页脚 字符"/>
    <w:link w:val="17"/>
    <w:qFormat/>
    <w:uiPriority w:val="99"/>
    <w:rPr>
      <w:kern w:val="2"/>
      <w:sz w:val="18"/>
      <w:szCs w:val="18"/>
    </w:rPr>
  </w:style>
  <w:style w:type="character" w:customStyle="1" w:styleId="46">
    <w:name w:val="页眉 字符"/>
    <w:link w:val="18"/>
    <w:qFormat/>
    <w:uiPriority w:val="99"/>
    <w:rPr>
      <w:kern w:val="2"/>
      <w:sz w:val="18"/>
      <w:szCs w:val="18"/>
    </w:rPr>
  </w:style>
  <w:style w:type="character" w:customStyle="1" w:styleId="47">
    <w:name w:val="段 Char"/>
    <w:link w:val="23"/>
    <w:qFormat/>
    <w:uiPriority w:val="0"/>
    <w:rPr>
      <w:rFonts w:ascii="宋体"/>
      <w:sz w:val="21"/>
      <w:lang w:val="en-US" w:eastAsia="zh-CN" w:bidi="ar-SA"/>
    </w:rPr>
  </w:style>
  <w:style w:type="character" w:customStyle="1" w:styleId="48">
    <w:name w:val="批注主题 字符"/>
    <w:link w:val="33"/>
    <w:qFormat/>
    <w:uiPriority w:val="0"/>
    <w:rPr>
      <w:b/>
      <w:bCs/>
      <w:kern w:val="2"/>
      <w:sz w:val="21"/>
      <w:szCs w:val="24"/>
    </w:rPr>
  </w:style>
  <w:style w:type="character" w:customStyle="1" w:styleId="49">
    <w:name w:val="发布"/>
    <w:qFormat/>
    <w:uiPriority w:val="0"/>
    <w:rPr>
      <w:rFonts w:ascii="黑体" w:eastAsia="黑体"/>
      <w:spacing w:val="85"/>
      <w:w w:val="100"/>
      <w:position w:val="3"/>
      <w:sz w:val="28"/>
      <w:szCs w:val="28"/>
    </w:rPr>
  </w:style>
  <w:style w:type="character" w:customStyle="1" w:styleId="50">
    <w:name w:val="附录公式 Char"/>
    <w:link w:val="51"/>
    <w:qFormat/>
    <w:uiPriority w:val="0"/>
    <w:rPr>
      <w:lang w:val="en-US" w:eastAsia="zh-CN" w:bidi="ar-SA"/>
    </w:rPr>
  </w:style>
  <w:style w:type="paragraph" w:customStyle="1" w:styleId="51">
    <w:name w:val="附录公式"/>
    <w:basedOn w:val="23"/>
    <w:next w:val="23"/>
    <w:link w:val="50"/>
    <w:qFormat/>
    <w:uiPriority w:val="0"/>
    <w:rPr>
      <w:rFonts w:ascii="Times New Roman"/>
      <w:sz w:val="20"/>
    </w:rPr>
  </w:style>
  <w:style w:type="character" w:customStyle="1" w:styleId="52">
    <w:name w:val="章标题 Char"/>
    <w:link w:val="53"/>
    <w:qFormat/>
    <w:uiPriority w:val="0"/>
    <w:rPr>
      <w:rFonts w:ascii="黑体" w:eastAsia="黑体"/>
      <w:sz w:val="21"/>
      <w:lang w:val="en-US" w:eastAsia="zh-CN" w:bidi="ar-SA"/>
    </w:rPr>
  </w:style>
  <w:style w:type="paragraph" w:customStyle="1" w:styleId="53">
    <w:name w:val="章标题"/>
    <w:next w:val="23"/>
    <w:link w:val="52"/>
    <w:qFormat/>
    <w:uiPriority w:val="0"/>
    <w:pPr>
      <w:numPr>
        <w:ilvl w:val="0"/>
        <w:numId w:val="3"/>
      </w:numPr>
      <w:spacing w:before="312" w:beforeLines="100" w:after="312" w:afterLines="100"/>
      <w:jc w:val="both"/>
      <w:outlineLvl w:val="1"/>
    </w:pPr>
    <w:rPr>
      <w:rFonts w:ascii="黑体" w:hAnsi="Times New Roman" w:eastAsia="黑体" w:cs="Times New Roman"/>
      <w:sz w:val="21"/>
      <w:lang w:val="en-US" w:eastAsia="zh-CN" w:bidi="ar-SA"/>
    </w:rPr>
  </w:style>
  <w:style w:type="character" w:customStyle="1" w:styleId="54">
    <w:name w:val="一级条标题 Char"/>
    <w:link w:val="55"/>
    <w:qFormat/>
    <w:uiPriority w:val="0"/>
    <w:rPr>
      <w:rFonts w:ascii="黑体" w:eastAsia="黑体"/>
      <w:sz w:val="21"/>
      <w:szCs w:val="21"/>
      <w:lang w:val="en-US" w:eastAsia="zh-CN" w:bidi="ar-SA"/>
    </w:rPr>
  </w:style>
  <w:style w:type="paragraph" w:customStyle="1" w:styleId="55">
    <w:name w:val="一级条标题"/>
    <w:next w:val="23"/>
    <w:link w:val="54"/>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56">
    <w:name w:val="二级条标题 Char"/>
    <w:link w:val="57"/>
    <w:qFormat/>
    <w:uiPriority w:val="0"/>
    <w:rPr>
      <w:rFonts w:ascii="黑体" w:eastAsia="黑体"/>
      <w:sz w:val="21"/>
      <w:szCs w:val="21"/>
    </w:rPr>
  </w:style>
  <w:style w:type="paragraph" w:customStyle="1" w:styleId="57">
    <w:name w:val="二级条标题"/>
    <w:basedOn w:val="55"/>
    <w:next w:val="23"/>
    <w:link w:val="56"/>
    <w:qFormat/>
    <w:uiPriority w:val="0"/>
    <w:pPr>
      <w:numPr>
        <w:ilvl w:val="0"/>
        <w:numId w:val="0"/>
      </w:numPr>
      <w:spacing w:before="50" w:after="50"/>
      <w:outlineLvl w:val="3"/>
    </w:pPr>
  </w:style>
  <w:style w:type="character" w:customStyle="1" w:styleId="58">
    <w:name w:val="首示例 Char"/>
    <w:link w:val="59"/>
    <w:qFormat/>
    <w:uiPriority w:val="0"/>
    <w:rPr>
      <w:rFonts w:ascii="宋体" w:hAnsi="宋体"/>
      <w:kern w:val="2"/>
      <w:sz w:val="18"/>
      <w:szCs w:val="18"/>
      <w:lang w:val="en-US" w:eastAsia="zh-CN" w:bidi="ar-SA"/>
    </w:rPr>
  </w:style>
  <w:style w:type="paragraph" w:customStyle="1" w:styleId="59">
    <w:name w:val="首示例"/>
    <w:next w:val="23"/>
    <w:link w:val="58"/>
    <w:qFormat/>
    <w:uiPriority w:val="0"/>
    <w:pPr>
      <w:numPr>
        <w:ilvl w:val="0"/>
        <w:numId w:val="4"/>
      </w:numPr>
      <w:tabs>
        <w:tab w:val="left" w:pos="360"/>
      </w:tabs>
      <w:ind w:firstLine="0"/>
    </w:pPr>
    <w:rPr>
      <w:rFonts w:ascii="宋体" w:hAnsi="宋体" w:eastAsia="宋体" w:cs="Times New Roman"/>
      <w:kern w:val="2"/>
      <w:sz w:val="18"/>
      <w:szCs w:val="18"/>
      <w:lang w:val="en-US" w:eastAsia="zh-CN" w:bidi="ar-SA"/>
    </w:rPr>
  </w:style>
  <w:style w:type="character" w:customStyle="1" w:styleId="60">
    <w:name w:val="二级无 Char"/>
    <w:link w:val="61"/>
    <w:qFormat/>
    <w:uiPriority w:val="0"/>
    <w:rPr>
      <w:rFonts w:ascii="宋体"/>
      <w:sz w:val="21"/>
      <w:szCs w:val="21"/>
    </w:rPr>
  </w:style>
  <w:style w:type="paragraph" w:customStyle="1" w:styleId="61">
    <w:name w:val="二级无"/>
    <w:basedOn w:val="57"/>
    <w:link w:val="60"/>
    <w:qFormat/>
    <w:uiPriority w:val="0"/>
    <w:pPr>
      <w:numPr>
        <w:ilvl w:val="2"/>
        <w:numId w:val="3"/>
      </w:numPr>
      <w:spacing w:before="0" w:beforeLines="0" w:after="0" w:afterLines="0"/>
    </w:pPr>
    <w:rPr>
      <w:rFonts w:ascii="宋体" w:eastAsia="宋体"/>
    </w:rPr>
  </w:style>
  <w:style w:type="paragraph" w:customStyle="1" w:styleId="62">
    <w:name w:val="列项◆（三级）"/>
    <w:basedOn w:val="1"/>
    <w:qFormat/>
    <w:uiPriority w:val="0"/>
    <w:pPr>
      <w:numPr>
        <w:ilvl w:val="2"/>
        <w:numId w:val="5"/>
      </w:numPr>
    </w:pPr>
    <w:rPr>
      <w:rFonts w:ascii="宋体"/>
      <w:szCs w:val="21"/>
    </w:rPr>
  </w:style>
  <w:style w:type="paragraph" w:customStyle="1" w:styleId="6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4">
    <w:name w:val="条文脚注"/>
    <w:basedOn w:val="24"/>
    <w:qFormat/>
    <w:uiPriority w:val="0"/>
    <w:pPr>
      <w:numPr>
        <w:numId w:val="0"/>
      </w:numPr>
      <w:jc w:val="both"/>
    </w:pPr>
  </w:style>
  <w:style w:type="paragraph" w:customStyle="1" w:styleId="65">
    <w:name w:val="列项——（一级）"/>
    <w:qFormat/>
    <w:uiPriority w:val="0"/>
    <w:pPr>
      <w:widowControl w:val="0"/>
      <w:numPr>
        <w:ilvl w:val="0"/>
        <w:numId w:val="5"/>
      </w:numPr>
      <w:jc w:val="both"/>
    </w:pPr>
    <w:rPr>
      <w:rFonts w:ascii="宋体" w:hAnsi="Times New Roman" w:eastAsia="宋体" w:cs="Times New Roman"/>
      <w:sz w:val="21"/>
      <w:lang w:val="en-US" w:eastAsia="zh-CN" w:bidi="ar-SA"/>
    </w:rPr>
  </w:style>
  <w:style w:type="paragraph" w:customStyle="1" w:styleId="66">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67">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8">
    <w:name w:val="参考文献"/>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9">
    <w:name w:val="封面标准文稿类别"/>
    <w:basedOn w:val="70"/>
    <w:qFormat/>
    <w:uiPriority w:val="0"/>
    <w:pPr>
      <w:framePr w:wrap="around"/>
      <w:spacing w:after="160" w:line="240" w:lineRule="auto"/>
    </w:pPr>
    <w:rPr>
      <w:sz w:val="24"/>
    </w:rPr>
  </w:style>
  <w:style w:type="paragraph" w:customStyle="1" w:styleId="70">
    <w:name w:val="封面一致性程度标识"/>
    <w:basedOn w:val="71"/>
    <w:qFormat/>
    <w:uiPriority w:val="99"/>
    <w:pPr>
      <w:framePr w:wrap="around"/>
      <w:spacing w:before="440"/>
    </w:pPr>
    <w:rPr>
      <w:rFonts w:ascii="宋体" w:eastAsia="宋体"/>
    </w:rPr>
  </w:style>
  <w:style w:type="paragraph" w:customStyle="1" w:styleId="71">
    <w:name w:val="封面标准英文名称"/>
    <w:basedOn w:val="72"/>
    <w:qFormat/>
    <w:uiPriority w:val="0"/>
    <w:pPr>
      <w:framePr w:wrap="around"/>
      <w:spacing w:before="370" w:line="400" w:lineRule="exact"/>
    </w:pPr>
    <w:rPr>
      <w:rFonts w:ascii="Times New Roman"/>
      <w:sz w:val="28"/>
      <w:szCs w:val="28"/>
    </w:rPr>
  </w:style>
  <w:style w:type="paragraph" w:customStyle="1" w:styleId="72">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3">
    <w:name w:val="附录表标号"/>
    <w:basedOn w:val="1"/>
    <w:next w:val="23"/>
    <w:qFormat/>
    <w:uiPriority w:val="0"/>
    <w:pPr>
      <w:numPr>
        <w:ilvl w:val="0"/>
        <w:numId w:val="6"/>
      </w:numPr>
      <w:tabs>
        <w:tab w:val="clear" w:pos="0"/>
      </w:tabs>
      <w:spacing w:line="14" w:lineRule="exact"/>
      <w:ind w:left="811" w:hanging="448"/>
      <w:jc w:val="center"/>
      <w:outlineLvl w:val="0"/>
    </w:pPr>
    <w:rPr>
      <w:color w:val="FFFFFF"/>
    </w:rPr>
  </w:style>
  <w:style w:type="paragraph" w:customStyle="1" w:styleId="74">
    <w:name w:val="标准书眉一"/>
    <w:qFormat/>
    <w:uiPriority w:val="0"/>
    <w:pPr>
      <w:jc w:val="both"/>
    </w:pPr>
    <w:rPr>
      <w:rFonts w:ascii="Times New Roman" w:hAnsi="Times New Roman" w:eastAsia="宋体" w:cs="Times New Roman"/>
      <w:lang w:val="en-US" w:eastAsia="zh-CN" w:bidi="ar-SA"/>
    </w:rPr>
  </w:style>
  <w:style w:type="paragraph" w:customStyle="1" w:styleId="75">
    <w:name w:val="附录四级无"/>
    <w:basedOn w:val="76"/>
    <w:qFormat/>
    <w:uiPriority w:val="0"/>
    <w:pPr>
      <w:tabs>
        <w:tab w:val="left" w:pos="360"/>
      </w:tabs>
      <w:spacing w:before="0" w:beforeLines="0" w:after="0" w:afterLines="0"/>
    </w:pPr>
    <w:rPr>
      <w:rFonts w:ascii="宋体" w:eastAsia="宋体"/>
      <w:szCs w:val="21"/>
    </w:rPr>
  </w:style>
  <w:style w:type="paragraph" w:customStyle="1" w:styleId="76">
    <w:name w:val="附录四级条标题"/>
    <w:basedOn w:val="77"/>
    <w:next w:val="23"/>
    <w:qFormat/>
    <w:uiPriority w:val="0"/>
    <w:pPr>
      <w:numPr>
        <w:ilvl w:val="5"/>
      </w:numPr>
      <w:tabs>
        <w:tab w:val="left" w:pos="360"/>
      </w:tabs>
      <w:outlineLvl w:val="5"/>
    </w:pPr>
  </w:style>
  <w:style w:type="paragraph" w:customStyle="1" w:styleId="77">
    <w:name w:val="附录三级条标题"/>
    <w:basedOn w:val="78"/>
    <w:next w:val="23"/>
    <w:qFormat/>
    <w:uiPriority w:val="0"/>
    <w:pPr>
      <w:numPr>
        <w:ilvl w:val="4"/>
      </w:numPr>
      <w:tabs>
        <w:tab w:val="left" w:pos="360"/>
      </w:tabs>
      <w:outlineLvl w:val="4"/>
    </w:pPr>
  </w:style>
  <w:style w:type="paragraph" w:customStyle="1" w:styleId="78">
    <w:name w:val="附录二级条标题"/>
    <w:basedOn w:val="1"/>
    <w:next w:val="23"/>
    <w:qFormat/>
    <w:uiPriority w:val="0"/>
    <w:pPr>
      <w:widowControl/>
      <w:numPr>
        <w:ilvl w:val="3"/>
        <w:numId w:val="7"/>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79">
    <w:name w:val="三级条标题"/>
    <w:basedOn w:val="57"/>
    <w:next w:val="23"/>
    <w:qFormat/>
    <w:uiPriority w:val="0"/>
    <w:pPr>
      <w:numPr>
        <w:ilvl w:val="3"/>
        <w:numId w:val="3"/>
      </w:numPr>
      <w:outlineLvl w:val="4"/>
    </w:pPr>
  </w:style>
  <w:style w:type="paragraph" w:customStyle="1" w:styleId="80">
    <w:name w:val="四级条标题"/>
    <w:basedOn w:val="79"/>
    <w:next w:val="23"/>
    <w:qFormat/>
    <w:uiPriority w:val="0"/>
    <w:pPr>
      <w:numPr>
        <w:ilvl w:val="4"/>
      </w:numPr>
      <w:outlineLvl w:val="5"/>
    </w:pPr>
  </w:style>
  <w:style w:type="paragraph" w:customStyle="1" w:styleId="81">
    <w:name w:val="示例×："/>
    <w:basedOn w:val="53"/>
    <w:qFormat/>
    <w:uiPriority w:val="0"/>
    <w:pPr>
      <w:numPr>
        <w:numId w:val="8"/>
      </w:numPr>
      <w:spacing w:before="0" w:beforeLines="0" w:after="0" w:afterLines="0"/>
      <w:outlineLvl w:val="9"/>
    </w:pPr>
    <w:rPr>
      <w:rFonts w:ascii="宋体" w:eastAsia="宋体"/>
      <w:sz w:val="18"/>
      <w:szCs w:val="18"/>
    </w:rPr>
  </w:style>
  <w:style w:type="paragraph" w:customStyle="1" w:styleId="82">
    <w:name w:val="其他标准标志"/>
    <w:basedOn w:val="83"/>
    <w:qFormat/>
    <w:uiPriority w:val="0"/>
    <w:pPr>
      <w:framePr w:w="6101" w:wrap="around" w:vAnchor="page" w:hAnchor="page" w:x="4673" w:y="942"/>
    </w:pPr>
    <w:rPr>
      <w:w w:val="130"/>
    </w:rPr>
  </w:style>
  <w:style w:type="paragraph" w:customStyle="1" w:styleId="8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8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85">
    <w:name w:val="附录标识"/>
    <w:basedOn w:val="1"/>
    <w:next w:val="23"/>
    <w:qFormat/>
    <w:uiPriority w:val="0"/>
    <w:pPr>
      <w:keepNext/>
      <w:widowControl/>
      <w:numPr>
        <w:ilvl w:val="0"/>
        <w:numId w:val="7"/>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参考文献、索引标题"/>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7">
    <w:name w:val="封面标准文稿编辑信息2"/>
    <w:basedOn w:val="88"/>
    <w:qFormat/>
    <w:uiPriority w:val="0"/>
    <w:pPr>
      <w:framePr w:wrap="around" w:y="4469"/>
    </w:pPr>
  </w:style>
  <w:style w:type="paragraph" w:customStyle="1" w:styleId="88">
    <w:name w:val="封面标准文稿编辑信息"/>
    <w:basedOn w:val="69"/>
    <w:qFormat/>
    <w:uiPriority w:val="0"/>
    <w:pPr>
      <w:framePr w:wrap="around"/>
      <w:spacing w:before="180" w:line="180" w:lineRule="exact"/>
    </w:pPr>
    <w:rPr>
      <w:sz w:val="21"/>
    </w:rPr>
  </w:style>
  <w:style w:type="paragraph" w:customStyle="1" w:styleId="89">
    <w:name w:val="封面标准英文名称2"/>
    <w:basedOn w:val="71"/>
    <w:qFormat/>
    <w:uiPriority w:val="0"/>
    <w:pPr>
      <w:framePr w:wrap="around" w:y="4469"/>
    </w:pPr>
  </w:style>
  <w:style w:type="paragraph" w:customStyle="1" w:styleId="90">
    <w:name w:val="封面一致性程度标识2"/>
    <w:basedOn w:val="70"/>
    <w:qFormat/>
    <w:uiPriority w:val="0"/>
    <w:pPr>
      <w:framePr w:wrap="around" w:y="4469"/>
    </w:pPr>
  </w:style>
  <w:style w:type="paragraph" w:customStyle="1" w:styleId="91">
    <w:name w:val="前言、引言标题"/>
    <w:next w:val="2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2">
    <w:name w:val="正文图标题"/>
    <w:next w:val="23"/>
    <w:qFormat/>
    <w:uiPriority w:val="99"/>
    <w:pPr>
      <w:numPr>
        <w:ilvl w:val="0"/>
        <w:numId w:val="9"/>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93">
    <w:name w:val="其他实施日期"/>
    <w:basedOn w:val="94"/>
    <w:qFormat/>
    <w:uiPriority w:val="99"/>
    <w:pPr>
      <w:framePr w:wrap="around"/>
    </w:pPr>
  </w:style>
  <w:style w:type="paragraph" w:customStyle="1" w:styleId="94">
    <w:name w:val="实施日期"/>
    <w:basedOn w:val="67"/>
    <w:qFormat/>
    <w:uiPriority w:val="0"/>
    <w:pPr>
      <w:framePr w:wrap="around" w:vAnchor="page" w:hAnchor="text"/>
      <w:jc w:val="right"/>
    </w:pPr>
  </w:style>
  <w:style w:type="paragraph" w:customStyle="1" w:styleId="95">
    <w:name w:val="附录表标题"/>
    <w:basedOn w:val="1"/>
    <w:next w:val="23"/>
    <w:qFormat/>
    <w:uiPriority w:val="0"/>
    <w:pPr>
      <w:numPr>
        <w:ilvl w:val="1"/>
        <w:numId w:val="6"/>
      </w:numPr>
      <w:tabs>
        <w:tab w:val="left" w:pos="180"/>
      </w:tabs>
      <w:spacing w:before="50" w:beforeLines="50" w:after="50" w:afterLines="50"/>
      <w:ind w:left="0" w:firstLine="0"/>
      <w:jc w:val="center"/>
    </w:pPr>
    <w:rPr>
      <w:rFonts w:ascii="黑体" w:eastAsia="黑体"/>
      <w:szCs w:val="21"/>
    </w:rPr>
  </w:style>
  <w:style w:type="paragraph" w:customStyle="1" w:styleId="96">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7">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98">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99">
    <w:name w:val="示例后文字"/>
    <w:basedOn w:val="23"/>
    <w:next w:val="23"/>
    <w:qFormat/>
    <w:uiPriority w:val="0"/>
    <w:pPr>
      <w:ind w:firstLine="360"/>
    </w:pPr>
    <w:rPr>
      <w:sz w:val="18"/>
    </w:rPr>
  </w:style>
  <w:style w:type="paragraph" w:customStyle="1" w:styleId="100">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01">
    <w:name w:val="数字编号列项（二级）"/>
    <w:qFormat/>
    <w:uiPriority w:val="0"/>
    <w:pPr>
      <w:numPr>
        <w:ilvl w:val="1"/>
        <w:numId w:val="10"/>
      </w:numPr>
      <w:jc w:val="both"/>
    </w:pPr>
    <w:rPr>
      <w:rFonts w:ascii="宋体" w:hAnsi="Times New Roman" w:eastAsia="宋体" w:cs="Times New Roman"/>
      <w:sz w:val="21"/>
      <w:lang w:val="en-US" w:eastAsia="zh-CN" w:bidi="ar-SA"/>
    </w:rPr>
  </w:style>
  <w:style w:type="paragraph" w:customStyle="1" w:styleId="102">
    <w:name w:val="附录五级条标题"/>
    <w:basedOn w:val="76"/>
    <w:next w:val="23"/>
    <w:qFormat/>
    <w:uiPriority w:val="0"/>
    <w:pPr>
      <w:numPr>
        <w:ilvl w:val="6"/>
      </w:numPr>
      <w:outlineLvl w:val="6"/>
    </w:pPr>
  </w:style>
  <w:style w:type="paragraph" w:customStyle="1" w:styleId="103">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04">
    <w:name w:val="附录三级无"/>
    <w:basedOn w:val="77"/>
    <w:qFormat/>
    <w:uiPriority w:val="0"/>
    <w:pPr>
      <w:tabs>
        <w:tab w:val="clear" w:pos="360"/>
      </w:tabs>
      <w:spacing w:before="0" w:beforeLines="0" w:after="0" w:afterLines="0"/>
    </w:pPr>
    <w:rPr>
      <w:rFonts w:ascii="宋体" w:eastAsia="宋体"/>
      <w:szCs w:val="21"/>
    </w:rPr>
  </w:style>
  <w:style w:type="paragraph" w:customStyle="1" w:styleId="105">
    <w:name w:val="五级条标题"/>
    <w:basedOn w:val="80"/>
    <w:next w:val="23"/>
    <w:qFormat/>
    <w:uiPriority w:val="0"/>
    <w:pPr>
      <w:numPr>
        <w:ilvl w:val="5"/>
      </w:numPr>
      <w:outlineLvl w:val="6"/>
    </w:pPr>
  </w:style>
  <w:style w:type="paragraph" w:customStyle="1" w:styleId="106">
    <w:name w:val="发布部门"/>
    <w:next w:val="23"/>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07">
    <w:name w:val="目次、标准名称标题"/>
    <w:basedOn w:val="1"/>
    <w:next w:val="23"/>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08">
    <w:name w:val="编号列项（三级）"/>
    <w:qFormat/>
    <w:uiPriority w:val="0"/>
    <w:pPr>
      <w:numPr>
        <w:ilvl w:val="2"/>
        <w:numId w:val="10"/>
      </w:numPr>
    </w:pPr>
    <w:rPr>
      <w:rFonts w:ascii="宋体" w:hAnsi="Times New Roman" w:eastAsia="宋体" w:cs="Times New Roman"/>
      <w:sz w:val="21"/>
      <w:lang w:val="en-US" w:eastAsia="zh-CN" w:bidi="ar-SA"/>
    </w:rPr>
  </w:style>
  <w:style w:type="paragraph" w:customStyle="1" w:styleId="109">
    <w:name w:val="正文表标题"/>
    <w:next w:val="23"/>
    <w:qFormat/>
    <w:uiPriority w:val="0"/>
    <w:pPr>
      <w:numPr>
        <w:ilvl w:val="0"/>
        <w:numId w:val="11"/>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10">
    <w:name w:val="终结线"/>
    <w:basedOn w:val="1"/>
    <w:qFormat/>
    <w:uiPriority w:val="0"/>
    <w:pPr>
      <w:framePr w:hSpace="181" w:vSpace="181" w:wrap="around" w:vAnchor="text" w:hAnchor="margin" w:xAlign="center" w:y="285"/>
    </w:pPr>
  </w:style>
  <w:style w:type="paragraph" w:customStyle="1" w:styleId="111">
    <w:name w:val="其他发布部门"/>
    <w:basedOn w:val="106"/>
    <w:qFormat/>
    <w:uiPriority w:val="0"/>
    <w:pPr>
      <w:framePr w:wrap="around" w:y="15310"/>
      <w:spacing w:line="0" w:lineRule="atLeast"/>
    </w:pPr>
    <w:rPr>
      <w:rFonts w:ascii="黑体" w:eastAsia="黑体"/>
      <w:b w:val="0"/>
    </w:rPr>
  </w:style>
  <w:style w:type="paragraph" w:styleId="112">
    <w:name w:val="List Paragraph"/>
    <w:basedOn w:val="1"/>
    <w:qFormat/>
    <w:uiPriority w:val="34"/>
    <w:pPr>
      <w:ind w:firstLine="420" w:firstLineChars="200"/>
    </w:pPr>
    <w:rPr>
      <w:rFonts w:ascii="Calibri" w:hAnsi="Calibri"/>
      <w:szCs w:val="22"/>
    </w:rPr>
  </w:style>
  <w:style w:type="paragraph" w:customStyle="1" w:styleId="113">
    <w:name w:val="附录公式编号制表符"/>
    <w:basedOn w:val="1"/>
    <w:next w:val="23"/>
    <w:qFormat/>
    <w:uiPriority w:val="0"/>
    <w:pPr>
      <w:widowControl/>
      <w:tabs>
        <w:tab w:val="center" w:pos="4201"/>
        <w:tab w:val="right" w:leader="dot" w:pos="9298"/>
      </w:tabs>
      <w:autoSpaceDE w:val="0"/>
      <w:autoSpaceDN w:val="0"/>
    </w:pPr>
    <w:rPr>
      <w:rFonts w:ascii="宋体"/>
      <w:kern w:val="0"/>
      <w:szCs w:val="20"/>
    </w:rPr>
  </w:style>
  <w:style w:type="paragraph" w:customStyle="1" w:styleId="114">
    <w:name w:val="其他发布日期"/>
    <w:basedOn w:val="67"/>
    <w:qFormat/>
    <w:uiPriority w:val="99"/>
    <w:pPr>
      <w:framePr w:wrap="around" w:vAnchor="page" w:hAnchor="text" w:x="1419"/>
    </w:pPr>
  </w:style>
  <w:style w:type="paragraph" w:customStyle="1" w:styleId="115">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16">
    <w:name w:val="一级无"/>
    <w:basedOn w:val="55"/>
    <w:qFormat/>
    <w:uiPriority w:val="0"/>
    <w:pPr>
      <w:spacing w:before="0" w:beforeLines="0" w:after="0" w:afterLines="0"/>
    </w:pPr>
    <w:rPr>
      <w:rFonts w:ascii="宋体" w:eastAsia="宋体"/>
    </w:rPr>
  </w:style>
  <w:style w:type="paragraph" w:customStyle="1" w:styleId="117">
    <w:name w:val="三级无"/>
    <w:basedOn w:val="79"/>
    <w:qFormat/>
    <w:uiPriority w:val="0"/>
    <w:pPr>
      <w:spacing w:before="0" w:beforeLines="0" w:after="0" w:afterLines="0"/>
    </w:pPr>
    <w:rPr>
      <w:rFonts w:ascii="宋体" w:eastAsia="宋体"/>
    </w:rPr>
  </w:style>
  <w:style w:type="paragraph" w:customStyle="1" w:styleId="118">
    <w:name w:val="列项●（二级）"/>
    <w:qFormat/>
    <w:uiPriority w:val="0"/>
    <w:pPr>
      <w:numPr>
        <w:ilvl w:val="1"/>
        <w:numId w:val="5"/>
      </w:numPr>
      <w:tabs>
        <w:tab w:val="left" w:pos="840"/>
      </w:tabs>
      <w:jc w:val="both"/>
    </w:pPr>
    <w:rPr>
      <w:rFonts w:ascii="宋体" w:hAnsi="Times New Roman" w:eastAsia="宋体" w:cs="Times New Roman"/>
      <w:sz w:val="21"/>
      <w:lang w:val="en-US" w:eastAsia="zh-CN" w:bidi="ar-SA"/>
    </w:rPr>
  </w:style>
  <w:style w:type="paragraph" w:customStyle="1" w:styleId="119">
    <w:name w:val="注："/>
    <w:next w:val="23"/>
    <w:qFormat/>
    <w:uiPriority w:val="0"/>
    <w:pPr>
      <w:widowControl w:val="0"/>
      <w:numPr>
        <w:ilvl w:val="0"/>
        <w:numId w:val="12"/>
      </w:numPr>
      <w:autoSpaceDE w:val="0"/>
      <w:autoSpaceDN w:val="0"/>
      <w:jc w:val="both"/>
    </w:pPr>
    <w:rPr>
      <w:rFonts w:ascii="宋体" w:hAnsi="Times New Roman" w:eastAsia="宋体" w:cs="Times New Roman"/>
      <w:sz w:val="18"/>
      <w:szCs w:val="18"/>
      <w:lang w:val="en-US" w:eastAsia="zh-CN" w:bidi="ar-SA"/>
    </w:rPr>
  </w:style>
  <w:style w:type="paragraph" w:customStyle="1" w:styleId="120">
    <w:name w:val="封面标准文稿类别2"/>
    <w:basedOn w:val="69"/>
    <w:qFormat/>
    <w:uiPriority w:val="0"/>
    <w:pPr>
      <w:framePr w:wrap="around" w:y="4469"/>
    </w:pPr>
  </w:style>
  <w:style w:type="paragraph" w:customStyle="1" w:styleId="121">
    <w:name w:val="五级无"/>
    <w:basedOn w:val="105"/>
    <w:qFormat/>
    <w:uiPriority w:val="0"/>
    <w:pPr>
      <w:spacing w:before="0" w:beforeLines="0" w:after="0" w:afterLines="0"/>
    </w:pPr>
    <w:rPr>
      <w:rFonts w:ascii="宋体" w:eastAsia="宋体"/>
    </w:rPr>
  </w:style>
  <w:style w:type="paragraph" w:customStyle="1" w:styleId="122">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23">
    <w:name w:val="图的脚注"/>
    <w:next w:val="23"/>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5">
    <w:name w:val="附录章标题"/>
    <w:next w:val="23"/>
    <w:qFormat/>
    <w:uiPriority w:val="0"/>
    <w:pPr>
      <w:numPr>
        <w:ilvl w:val="1"/>
        <w:numId w:val="7"/>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6">
    <w:name w:val="封面标准名称2"/>
    <w:basedOn w:val="72"/>
    <w:qFormat/>
    <w:uiPriority w:val="0"/>
    <w:pPr>
      <w:framePr w:wrap="around" w:y="4469"/>
      <w:spacing w:before="630" w:beforeLines="630"/>
    </w:pPr>
  </w:style>
  <w:style w:type="paragraph" w:customStyle="1" w:styleId="127">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28">
    <w:name w:val="四级无"/>
    <w:basedOn w:val="80"/>
    <w:qFormat/>
    <w:uiPriority w:val="0"/>
    <w:pPr>
      <w:spacing w:before="0" w:beforeLines="0" w:after="0" w:afterLines="0"/>
    </w:pPr>
    <w:rPr>
      <w:rFonts w:ascii="宋体" w:eastAsia="宋体"/>
    </w:rPr>
  </w:style>
  <w:style w:type="paragraph" w:customStyle="1" w:styleId="129">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30">
    <w:name w:val="附录一级条标题"/>
    <w:basedOn w:val="125"/>
    <w:next w:val="23"/>
    <w:qFormat/>
    <w:uiPriority w:val="0"/>
    <w:pPr>
      <w:numPr>
        <w:ilvl w:val="2"/>
      </w:numPr>
      <w:autoSpaceDN w:val="0"/>
      <w:spacing w:before="50" w:beforeLines="50" w:after="50" w:afterLines="50"/>
      <w:outlineLvl w:val="2"/>
    </w:pPr>
  </w:style>
  <w:style w:type="paragraph" w:customStyle="1" w:styleId="131">
    <w:name w:val="附录标题"/>
    <w:basedOn w:val="23"/>
    <w:next w:val="23"/>
    <w:qFormat/>
    <w:uiPriority w:val="0"/>
    <w:pPr>
      <w:ind w:firstLine="0" w:firstLineChars="0"/>
      <w:jc w:val="center"/>
    </w:pPr>
    <w:rPr>
      <w:rFonts w:ascii="黑体" w:eastAsia="黑体"/>
    </w:rPr>
  </w:style>
  <w:style w:type="paragraph" w:customStyle="1" w:styleId="132">
    <w:name w:val="标准书眉_偶数页"/>
    <w:basedOn w:val="63"/>
    <w:next w:val="1"/>
    <w:qFormat/>
    <w:uiPriority w:val="0"/>
    <w:pPr>
      <w:jc w:val="left"/>
    </w:pPr>
  </w:style>
  <w:style w:type="paragraph" w:customStyle="1" w:styleId="13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34">
    <w:name w:val="注：（正文）"/>
    <w:basedOn w:val="119"/>
    <w:next w:val="23"/>
    <w:qFormat/>
    <w:uiPriority w:val="0"/>
  </w:style>
  <w:style w:type="paragraph" w:customStyle="1" w:styleId="135">
    <w:name w:val="附录图标题"/>
    <w:basedOn w:val="1"/>
    <w:next w:val="23"/>
    <w:qFormat/>
    <w:uiPriority w:val="0"/>
    <w:pPr>
      <w:numPr>
        <w:ilvl w:val="1"/>
        <w:numId w:val="14"/>
      </w:numPr>
      <w:tabs>
        <w:tab w:val="left" w:pos="363"/>
      </w:tabs>
      <w:spacing w:before="50" w:beforeLines="50" w:after="50" w:afterLines="50"/>
      <w:ind w:left="0" w:firstLine="0"/>
      <w:jc w:val="center"/>
    </w:pPr>
    <w:rPr>
      <w:rFonts w:ascii="黑体" w:eastAsia="黑体"/>
      <w:szCs w:val="21"/>
    </w:rPr>
  </w:style>
  <w:style w:type="paragraph" w:customStyle="1" w:styleId="136">
    <w:name w:val="字母编号列项（一级）"/>
    <w:qFormat/>
    <w:uiPriority w:val="0"/>
    <w:pPr>
      <w:numPr>
        <w:ilvl w:val="0"/>
        <w:numId w:val="10"/>
      </w:numPr>
      <w:jc w:val="both"/>
    </w:pPr>
    <w:rPr>
      <w:rFonts w:ascii="宋体" w:hAnsi="Times New Roman" w:eastAsia="宋体" w:cs="Times New Roman"/>
      <w:sz w:val="21"/>
      <w:lang w:val="en-US" w:eastAsia="zh-CN" w:bidi="ar-SA"/>
    </w:rPr>
  </w:style>
  <w:style w:type="paragraph" w:customStyle="1" w:styleId="137">
    <w:name w:val="示例"/>
    <w:next w:val="97"/>
    <w:qFormat/>
    <w:uiPriority w:val="0"/>
    <w:pPr>
      <w:widowControl w:val="0"/>
      <w:numPr>
        <w:ilvl w:val="0"/>
        <w:numId w:val="15"/>
      </w:numPr>
      <w:jc w:val="both"/>
    </w:pPr>
    <w:rPr>
      <w:rFonts w:ascii="宋体" w:hAnsi="Times New Roman" w:eastAsia="宋体" w:cs="Times New Roman"/>
      <w:sz w:val="18"/>
      <w:szCs w:val="18"/>
      <w:lang w:val="en-US" w:eastAsia="zh-CN" w:bidi="ar-SA"/>
    </w:rPr>
  </w:style>
  <w:style w:type="paragraph" w:customStyle="1" w:styleId="138">
    <w:name w:val="注×：（正文）"/>
    <w:qFormat/>
    <w:uiPriority w:val="0"/>
    <w:pPr>
      <w:numPr>
        <w:ilvl w:val="0"/>
        <w:numId w:val="16"/>
      </w:numPr>
      <w:jc w:val="both"/>
    </w:pPr>
    <w:rPr>
      <w:rFonts w:ascii="宋体" w:hAnsi="Times New Roman" w:eastAsia="宋体" w:cs="Times New Roman"/>
      <w:sz w:val="18"/>
      <w:szCs w:val="18"/>
      <w:lang w:val="en-US" w:eastAsia="zh-CN" w:bidi="ar-SA"/>
    </w:rPr>
  </w:style>
  <w:style w:type="paragraph" w:customStyle="1" w:styleId="139">
    <w:name w:val="封面正文"/>
    <w:qFormat/>
    <w:uiPriority w:val="0"/>
    <w:pPr>
      <w:jc w:val="both"/>
    </w:pPr>
    <w:rPr>
      <w:rFonts w:ascii="Times New Roman" w:hAnsi="Times New Roman" w:eastAsia="宋体" w:cs="Times New Roman"/>
      <w:lang w:val="en-US" w:eastAsia="zh-CN" w:bidi="ar-SA"/>
    </w:rPr>
  </w:style>
  <w:style w:type="paragraph" w:customStyle="1" w:styleId="140">
    <w:name w:val="附录一级无"/>
    <w:basedOn w:val="130"/>
    <w:qFormat/>
    <w:uiPriority w:val="0"/>
    <w:pPr>
      <w:tabs>
        <w:tab w:val="clear" w:pos="360"/>
      </w:tabs>
      <w:spacing w:before="0" w:beforeLines="0" w:after="0" w:afterLines="0"/>
    </w:pPr>
    <w:rPr>
      <w:rFonts w:ascii="宋体" w:eastAsia="宋体"/>
      <w:szCs w:val="21"/>
    </w:rPr>
  </w:style>
  <w:style w:type="paragraph" w:customStyle="1" w:styleId="141">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142">
    <w:name w:val="附录五级无"/>
    <w:basedOn w:val="102"/>
    <w:qFormat/>
    <w:uiPriority w:val="0"/>
    <w:pPr>
      <w:tabs>
        <w:tab w:val="clear" w:pos="360"/>
      </w:tabs>
      <w:spacing w:before="0" w:beforeLines="0" w:after="0" w:afterLines="0"/>
    </w:pPr>
    <w:rPr>
      <w:rFonts w:ascii="宋体" w:eastAsia="宋体"/>
      <w:szCs w:val="21"/>
    </w:rPr>
  </w:style>
  <w:style w:type="paragraph" w:customStyle="1" w:styleId="143">
    <w:name w:val="Char Char Char Char"/>
    <w:basedOn w:val="1"/>
    <w:qFormat/>
    <w:uiPriority w:val="0"/>
    <w:pPr>
      <w:adjustRightInd w:val="0"/>
      <w:spacing w:line="360" w:lineRule="auto"/>
    </w:pPr>
    <w:rPr>
      <w:kern w:val="0"/>
      <w:sz w:val="24"/>
      <w:szCs w:val="20"/>
    </w:rPr>
  </w:style>
  <w:style w:type="paragraph" w:customStyle="1" w:styleId="144">
    <w:name w:val="图表脚注说明"/>
    <w:basedOn w:val="1"/>
    <w:qFormat/>
    <w:uiPriority w:val="0"/>
    <w:pPr>
      <w:numPr>
        <w:ilvl w:val="0"/>
        <w:numId w:val="2"/>
      </w:numPr>
    </w:pPr>
    <w:rPr>
      <w:rFonts w:ascii="宋体"/>
      <w:sz w:val="18"/>
      <w:szCs w:val="18"/>
    </w:rPr>
  </w:style>
  <w:style w:type="paragraph" w:customStyle="1" w:styleId="145">
    <w:name w:val="标准文件_附录一级条标题"/>
    <w:basedOn w:val="1"/>
    <w:next w:val="1"/>
    <w:qFormat/>
    <w:uiPriority w:val="0"/>
    <w:pPr>
      <w:widowControl/>
      <w:wordWrap w:val="0"/>
      <w:overflowPunct w:val="0"/>
      <w:autoSpaceDE w:val="0"/>
      <w:autoSpaceDN w:val="0"/>
      <w:ind w:left="-50" w:leftChars="-50" w:right="-50" w:rightChars="-50"/>
      <w:textAlignment w:val="baseline"/>
      <w:outlineLvl w:val="2"/>
    </w:pPr>
    <w:rPr>
      <w:rFonts w:ascii="黑体" w:eastAsia="黑体"/>
      <w:spacing w:val="2"/>
      <w:kern w:val="21"/>
      <w:szCs w:val="20"/>
    </w:rPr>
  </w:style>
  <w:style w:type="paragraph" w:customStyle="1" w:styleId="146">
    <w:name w:val="图标脚注说明"/>
    <w:basedOn w:val="23"/>
    <w:qFormat/>
    <w:uiPriority w:val="0"/>
    <w:pPr>
      <w:ind w:left="840" w:hanging="420" w:firstLineChars="0"/>
    </w:pPr>
    <w:rPr>
      <w:sz w:val="18"/>
      <w:szCs w:val="18"/>
    </w:rPr>
  </w:style>
  <w:style w:type="paragraph" w:customStyle="1" w:styleId="147">
    <w:name w:val="附录二级无"/>
    <w:basedOn w:val="78"/>
    <w:qFormat/>
    <w:uiPriority w:val="0"/>
    <w:pPr>
      <w:tabs>
        <w:tab w:val="clear" w:pos="360"/>
      </w:tabs>
      <w:spacing w:before="0" w:beforeLines="0" w:after="0" w:afterLines="0"/>
    </w:pPr>
    <w:rPr>
      <w:rFonts w:ascii="宋体" w:eastAsia="宋体"/>
      <w:szCs w:val="21"/>
    </w:rPr>
  </w:style>
  <w:style w:type="paragraph" w:customStyle="1" w:styleId="148">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9">
    <w:name w:val="注×："/>
    <w:qFormat/>
    <w:uiPriority w:val="99"/>
    <w:pPr>
      <w:widowControl w:val="0"/>
      <w:numPr>
        <w:ilvl w:val="0"/>
        <w:numId w:val="17"/>
      </w:numPr>
      <w:autoSpaceDE w:val="0"/>
      <w:autoSpaceDN w:val="0"/>
      <w:jc w:val="both"/>
    </w:pPr>
    <w:rPr>
      <w:rFonts w:ascii="宋体" w:hAnsi="Times New Roman" w:eastAsia="宋体" w:cs="Times New Roman"/>
      <w:sz w:val="18"/>
      <w:szCs w:val="18"/>
      <w:lang w:val="en-US" w:eastAsia="zh-CN" w:bidi="ar-SA"/>
    </w:rPr>
  </w:style>
  <w:style w:type="paragraph" w:customStyle="1" w:styleId="150">
    <w:name w:val="正文公式编号制表符"/>
    <w:basedOn w:val="23"/>
    <w:next w:val="23"/>
    <w:qFormat/>
    <w:uiPriority w:val="0"/>
    <w:pPr>
      <w:ind w:firstLine="0" w:firstLineChars="0"/>
    </w:pPr>
  </w:style>
  <w:style w:type="character" w:customStyle="1" w:styleId="151">
    <w:name w:val="font41"/>
    <w:qFormat/>
    <w:uiPriority w:val="0"/>
    <w:rPr>
      <w:rFonts w:hint="eastAsia" w:ascii="黑体" w:hAnsi="宋体" w:eastAsia="黑体" w:cs="黑体"/>
      <w:b/>
      <w:bCs/>
      <w:color w:val="000000"/>
      <w:sz w:val="24"/>
      <w:szCs w:val="24"/>
      <w:u w:val="none"/>
    </w:rPr>
  </w:style>
  <w:style w:type="character" w:customStyle="1" w:styleId="152">
    <w:name w:val="font31"/>
    <w:qFormat/>
    <w:uiPriority w:val="0"/>
    <w:rPr>
      <w:rFonts w:hint="eastAsia" w:ascii="黑体" w:hAnsi="宋体" w:eastAsia="黑体" w:cs="黑体"/>
      <w:color w:val="000000"/>
      <w:sz w:val="22"/>
      <w:szCs w:val="22"/>
      <w:u w:val="none"/>
    </w:rPr>
  </w:style>
  <w:style w:type="character" w:customStyle="1" w:styleId="153">
    <w:name w:val="font01"/>
    <w:qFormat/>
    <w:uiPriority w:val="0"/>
    <w:rPr>
      <w:rFonts w:hint="eastAsia" w:ascii="宋体" w:hAnsi="宋体" w:eastAsia="宋体" w:cs="宋体"/>
      <w:color w:val="000000"/>
      <w:sz w:val="22"/>
      <w:szCs w:val="22"/>
      <w:u w:val="none"/>
    </w:rPr>
  </w:style>
  <w:style w:type="character" w:customStyle="1" w:styleId="154">
    <w:name w:val="fontstyle01"/>
    <w:qFormat/>
    <w:uiPriority w:val="0"/>
    <w:rPr>
      <w:rFonts w:ascii="TimesNewRomanPSMT" w:hAnsi="TimesNewRomanPSMT" w:eastAsia="TimesNewRomanPSMT" w:cs="TimesNewRomanPSMT"/>
      <w:color w:val="000000"/>
      <w:sz w:val="22"/>
      <w:szCs w:val="22"/>
    </w:rPr>
  </w:style>
  <w:style w:type="character" w:customStyle="1" w:styleId="155">
    <w:name w:val="fontstyle21"/>
    <w:qFormat/>
    <w:uiPriority w:val="0"/>
    <w:rPr>
      <w:rFonts w:ascii="宋体" w:hAnsi="宋体" w:eastAsia="宋体" w:cs="宋体"/>
      <w:color w:val="000000"/>
      <w:sz w:val="22"/>
      <w:szCs w:val="22"/>
    </w:rPr>
  </w:style>
  <w:style w:type="paragraph" w:customStyle="1" w:styleId="156">
    <w:name w:val="_Style 154"/>
    <w:unhideWhenUsed/>
    <w:qFormat/>
    <w:uiPriority w:val="99"/>
    <w:rPr>
      <w:rFonts w:ascii="Times New Roman" w:hAnsi="Times New Roman" w:eastAsia="宋体" w:cs="Times New Roman"/>
      <w:kern w:val="2"/>
      <w:sz w:val="21"/>
      <w:szCs w:val="24"/>
      <w:lang w:val="en-US" w:eastAsia="zh-CN" w:bidi="ar-SA"/>
    </w:rPr>
  </w:style>
  <w:style w:type="paragraph" w:customStyle="1" w:styleId="157">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58">
    <w:name w:val="修订2"/>
    <w:hidden/>
    <w:semiHidden/>
    <w:qFormat/>
    <w:uiPriority w:val="99"/>
    <w:rPr>
      <w:rFonts w:ascii="Times New Roman" w:hAnsi="Times New Roman" w:eastAsia="宋体" w:cs="Times New Roman"/>
      <w:kern w:val="2"/>
      <w:sz w:val="21"/>
      <w:szCs w:val="24"/>
      <w:lang w:val="en-US" w:eastAsia="zh-CN" w:bidi="ar-SA"/>
    </w:rPr>
  </w:style>
  <w:style w:type="character" w:styleId="159">
    <w:name w:val="Placeholder Text"/>
    <w:basedOn w:val="36"/>
    <w:semiHidden/>
    <w:qFormat/>
    <w:uiPriority w:val="99"/>
    <w:rPr>
      <w:color w:val="808080"/>
    </w:rPr>
  </w:style>
  <w:style w:type="paragraph" w:customStyle="1" w:styleId="160">
    <w:name w:val="修订3"/>
    <w:hidden/>
    <w:semiHidden/>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4447</Words>
  <Characters>5448</Characters>
  <Lines>46</Lines>
  <Paragraphs>13</Paragraphs>
  <TotalTime>3</TotalTime>
  <ScaleCrop>false</ScaleCrop>
  <LinksUpToDate>false</LinksUpToDate>
  <CharactersWithSpaces>5625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2023-04-03T02:10:00Z</dcterms:created>
  <cp:lastPrinted>2022-02-14T05:18:00Z</cp:lastPrinted>
  <dcterms:modified xsi:type="dcterms:W3CDTF">2023-09-07T06:31:40Z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2BC58642AEBF45BDBBEB0F78E93728DF_13</vt:lpwstr>
  </property>
</Properties>
</file>