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framePr w:wrap="around"/>
        <w:ind w:left="1134" w:right="1692"/>
        <w:rPr>
          <w:rFonts w:ascii="Times New Roman"/>
          <w:highlight w:val="none"/>
        </w:rPr>
      </w:pPr>
      <w:r>
        <w:rPr>
          <w:rFonts w:hint="eastAsia" w:ascii="Times New Roman"/>
          <w:highlight w:val="none"/>
        </w:rPr>
        <w:t>团体标准</w:t>
      </w:r>
    </w:p>
    <w:p>
      <w:pPr>
        <w:pStyle w:val="27"/>
        <w:framePr w:h="2001" w:hRule="exact" w:wrap="around"/>
        <w:pBdr>
          <w:bottom w:val="single" w:color="auto" w:sz="4" w:space="1"/>
        </w:pBdr>
        <w:wordWrap w:val="0"/>
        <w:rPr>
          <w:rFonts w:ascii="Times New Roman" w:eastAsia="宋体"/>
          <w:highlight w:val="none"/>
        </w:rPr>
      </w:pPr>
      <w:r>
        <w:rPr>
          <w:rFonts w:ascii="Times New Roman" w:eastAsia="宋体"/>
          <w:highlight w:val="none"/>
        </w:rPr>
        <w:t>T/SSEA XXXX—2022</w:t>
      </w:r>
    </w:p>
    <w:p>
      <w:pPr>
        <w:pStyle w:val="27"/>
        <w:framePr w:h="2001" w:hRule="exact" w:wrap="around"/>
        <w:pBdr>
          <w:bottom w:val="single" w:color="auto" w:sz="4" w:space="1"/>
        </w:pBdr>
        <w:wordWrap w:val="0"/>
        <w:rPr>
          <w:rFonts w:ascii="Times New Roman" w:eastAsia="宋体"/>
          <w:highlight w:val="none"/>
        </w:rPr>
      </w:pPr>
      <w:r>
        <w:rPr>
          <w:rFonts w:ascii="Times New Roman" w:eastAsia="宋体"/>
          <w:highlight w:val="none"/>
        </w:rPr>
        <w:t>T/CSTA XXXX—2022</w:t>
      </w:r>
    </w:p>
    <w:p>
      <w:pPr>
        <w:pStyle w:val="27"/>
        <w:framePr w:h="2001" w:hRule="exact" w:wrap="around"/>
        <w:rPr>
          <w:rFonts w:ascii="Times New Roman" w:eastAsia="宋体"/>
          <w:highlight w:val="none"/>
        </w:rPr>
      </w:pPr>
    </w:p>
    <w:p>
      <w:pPr>
        <w:pStyle w:val="27"/>
        <w:framePr w:h="2001" w:hRule="exact" w:wrap="around"/>
        <w:rPr>
          <w:rFonts w:ascii="Times New Roman" w:eastAsia="宋体"/>
          <w:highlight w:val="none"/>
        </w:rPr>
      </w:pPr>
    </w:p>
    <w:p>
      <w:pPr>
        <w:pStyle w:val="29"/>
        <w:framePr w:wrap="around" w:x="1168" w:y="6336"/>
        <w:rPr>
          <w:rFonts w:ascii="Times New Roman"/>
          <w:highlight w:val="none"/>
        </w:rPr>
      </w:pPr>
      <w:bookmarkStart w:id="0" w:name="OLE_LINK1"/>
      <w:r>
        <w:rPr>
          <w:rFonts w:hint="eastAsia" w:ascii="Times New Roman"/>
          <w:highlight w:val="none"/>
        </w:rPr>
        <w:t>半导体制造设备用超高纯度不锈钢棒</w:t>
      </w:r>
    </w:p>
    <w:bookmarkEnd w:id="0"/>
    <w:p>
      <w:pPr>
        <w:pStyle w:val="28"/>
        <w:framePr w:wrap="around" w:x="1168" w:y="6336"/>
        <w:tabs>
          <w:tab w:val="center" w:pos="4888"/>
          <w:tab w:val="left" w:pos="8291"/>
        </w:tabs>
        <w:jc w:val="left"/>
        <w:rPr>
          <w:highlight w:val="none"/>
        </w:rPr>
      </w:pPr>
      <w:r>
        <w:rPr>
          <w:highlight w:val="none"/>
        </w:rPr>
        <w:tab/>
      </w:r>
      <w:r>
        <w:rPr>
          <w:highlight w:val="none"/>
        </w:rPr>
        <w:t>Super high pure stainless steel bars for semiconductor manufacturing facilities</w:t>
      </w:r>
      <w:r>
        <w:rPr>
          <w:highlight w:val="none"/>
        </w:rPr>
        <w:tab/>
      </w:r>
    </w:p>
    <w:p>
      <w:pPr>
        <w:pStyle w:val="31"/>
        <w:framePr w:wrap="around" w:x="1168" w:y="6336"/>
        <w:spacing w:before="156" w:after="156"/>
        <w:rPr>
          <w:rFonts w:ascii="Times New Roman"/>
          <w:highlight w:val="none"/>
        </w:rPr>
      </w:pPr>
    </w:p>
    <w:p>
      <w:pPr>
        <w:pStyle w:val="34"/>
        <w:framePr w:wrap="around"/>
        <w:rPr>
          <w:rFonts w:eastAsia="宋体"/>
          <w:highlight w:val="none"/>
        </w:rPr>
      </w:pPr>
      <w:r>
        <w:rPr>
          <w:rFonts w:eastAsia="宋体"/>
          <w:highlight w:val="none"/>
        </w:rPr>
        <w:t>20</w:t>
      </w:r>
      <w:bookmarkStart w:id="1" w:name="FM"/>
      <w:r>
        <w:rPr>
          <w:rFonts w:eastAsia="宋体"/>
          <w:highlight w:val="none"/>
        </w:rPr>
        <w:t>22-</w:t>
      </w:r>
      <w:bookmarkEnd w:id="1"/>
      <w:r>
        <w:rPr>
          <w:rFonts w:eastAsia="宋体"/>
          <w:highlight w:val="none"/>
        </w:rPr>
        <w:t>xx-xx</w:t>
      </w:r>
      <w:r>
        <w:rPr>
          <w:rFonts w:hint="eastAsia" w:eastAsia="宋体"/>
          <w:highlight w:val="none"/>
        </w:rPr>
        <w:t>发布</w:t>
      </w:r>
      <w:r>
        <w:rPr>
          <w:highlight w:val="none"/>
        </w:rPr>
        <w:pict>
          <v:line id="_x0000_s1026" o:spid="_x0000_s1026" o:spt="20" style="position:absolute;left:0pt;margin-left:-0.05pt;margin-top:728.45pt;height:0pt;width:481.9pt;mso-position-vertical-relative:page;z-index:251659264;mso-width-relative:page;mso-height-relative:page;" coordsize="21600,21600">
            <v:path arrowok="t"/>
            <v:fill focussize="0,0"/>
            <v:stroke/>
            <v:imagedata o:title=""/>
            <o:lock v:ext="edit"/>
            <w10:anchorlock/>
          </v:line>
        </w:pict>
      </w:r>
    </w:p>
    <w:p>
      <w:pPr>
        <w:pStyle w:val="37"/>
        <w:framePr w:wrap="around"/>
        <w:rPr>
          <w:rFonts w:eastAsia="宋体"/>
          <w:highlight w:val="none"/>
        </w:rPr>
      </w:pPr>
      <w:r>
        <w:rPr>
          <w:rFonts w:eastAsia="宋体"/>
          <w:highlight w:val="none"/>
        </w:rPr>
        <w:t>2022-xx-xx</w:t>
      </w:r>
      <w:r>
        <w:rPr>
          <w:rFonts w:hint="eastAsia" w:eastAsia="宋体"/>
          <w:highlight w:val="none"/>
        </w:rPr>
        <w:t>实施</w:t>
      </w:r>
    </w:p>
    <w:p>
      <w:pPr>
        <w:pStyle w:val="36"/>
        <w:framePr w:w="9261" w:wrap="around" w:x="1536" w:y="14629"/>
        <w:rPr>
          <w:rFonts w:hAnsi="宋体"/>
          <w:sz w:val="24"/>
          <w:szCs w:val="36"/>
          <w:highlight w:val="none"/>
        </w:rPr>
      </w:pPr>
      <w:r>
        <w:rPr>
          <w:rFonts w:hint="eastAsia" w:hAnsi="宋体"/>
          <w:sz w:val="24"/>
          <w:szCs w:val="36"/>
          <w:highlight w:val="none"/>
        </w:rPr>
        <w:t>中国特钢企业协会</w:t>
      </w:r>
      <w:r>
        <w:rPr>
          <w:rFonts w:hAnsi="宋体"/>
          <w:sz w:val="24"/>
          <w:szCs w:val="36"/>
          <w:highlight w:val="none"/>
        </w:rPr>
        <w:t xml:space="preserve">                      </w:t>
      </w:r>
    </w:p>
    <w:p>
      <w:pPr>
        <w:pStyle w:val="36"/>
        <w:framePr w:w="9261" w:wrap="around" w:x="1536" w:y="14629"/>
        <w:jc w:val="right"/>
        <w:rPr>
          <w:rFonts w:hAnsi="宋体"/>
          <w:sz w:val="24"/>
          <w:szCs w:val="36"/>
          <w:highlight w:val="none"/>
        </w:rPr>
      </w:pPr>
      <w:r>
        <w:rPr>
          <w:rFonts w:hint="eastAsia" w:hAnsi="宋体"/>
          <w:sz w:val="24"/>
          <w:szCs w:val="36"/>
          <w:highlight w:val="none"/>
        </w:rPr>
        <w:t>中关村不锈及特种钢棒新材料</w:t>
      </w:r>
      <w:r>
        <w:rPr>
          <w:rFonts w:hAnsi="宋体"/>
          <w:sz w:val="24"/>
          <w:szCs w:val="36"/>
          <w:highlight w:val="none"/>
        </w:rPr>
        <w:t xml:space="preserve">       </w:t>
      </w:r>
      <w:r>
        <w:rPr>
          <w:rFonts w:hint="eastAsia" w:hAnsi="宋体"/>
          <w:sz w:val="24"/>
          <w:szCs w:val="36"/>
          <w:highlight w:val="none"/>
        </w:rPr>
        <w:t>发布</w:t>
      </w:r>
    </w:p>
    <w:p>
      <w:pPr>
        <w:pStyle w:val="36"/>
        <w:framePr w:w="9261" w:wrap="around" w:x="1536" w:y="14629"/>
        <w:rPr>
          <w:rFonts w:hAnsi="宋体"/>
          <w:sz w:val="21"/>
          <w:highlight w:val="none"/>
        </w:rPr>
      </w:pPr>
      <w:r>
        <w:rPr>
          <w:rFonts w:hint="eastAsia" w:hAnsi="宋体"/>
          <w:sz w:val="24"/>
          <w:szCs w:val="36"/>
          <w:highlight w:val="none"/>
        </w:rPr>
        <w:t>产业技术创新联盟</w:t>
      </w:r>
      <w:r>
        <w:rPr>
          <w:rFonts w:hAnsi="宋体"/>
          <w:sz w:val="24"/>
          <w:szCs w:val="36"/>
          <w:highlight w:val="none"/>
        </w:rPr>
        <w:t xml:space="preserve"> </w:t>
      </w:r>
    </w:p>
    <w:p>
      <w:pPr>
        <w:pStyle w:val="19"/>
        <w:spacing w:line="340" w:lineRule="exact"/>
        <w:ind w:firstLine="31680"/>
        <w:rPr>
          <w:rFonts w:ascii="Times New Roman"/>
          <w:sz w:val="22"/>
          <w:highlight w:val="none"/>
        </w:rPr>
      </w:pPr>
      <w:r>
        <w:rPr>
          <w:rFonts w:ascii="Times New Roman"/>
          <w:highlight w:val="none"/>
        </w:rPr>
        <w:t>ICS</w:t>
      </w:r>
      <w:r>
        <w:rPr>
          <w:rFonts w:ascii="Times New Roman"/>
          <w:sz w:val="22"/>
          <w:highlight w:val="none"/>
        </w:rPr>
        <w:t xml:space="preserve"> 77.140.60</w:t>
      </w:r>
    </w:p>
    <w:p>
      <w:pPr>
        <w:pStyle w:val="19"/>
        <w:spacing w:line="340" w:lineRule="exact"/>
        <w:ind w:firstLine="31680"/>
        <w:rPr>
          <w:rFonts w:ascii="Times New Roman"/>
          <w:highlight w:val="none"/>
        </w:rPr>
      </w:pPr>
      <w:r>
        <w:rPr>
          <w:rFonts w:ascii="Times New Roman"/>
          <w:highlight w:val="none"/>
        </w:rPr>
        <w:t>CCS H 43</w:t>
      </w:r>
    </w:p>
    <w:p>
      <w:pPr>
        <w:pStyle w:val="19"/>
        <w:spacing w:line="340" w:lineRule="exact"/>
        <w:ind w:firstLine="31680"/>
        <w:rPr>
          <w:rFonts w:ascii="Times New Roman"/>
          <w:highlight w:val="none"/>
        </w:rPr>
      </w:pPr>
    </w:p>
    <w:p>
      <w:pPr>
        <w:jc w:val="center"/>
        <w:rPr>
          <w:b/>
          <w:sz w:val="32"/>
          <w:highlight w:val="none"/>
        </w:rPr>
        <w:sectPr>
          <w:headerReference r:id="rId3" w:type="default"/>
          <w:pgSz w:w="11906" w:h="16838"/>
          <w:pgMar w:top="1134" w:right="1134" w:bottom="1134" w:left="1418" w:header="851" w:footer="992" w:gutter="0"/>
          <w:pgNumType w:start="0"/>
          <w:cols w:space="720" w:num="1"/>
          <w:docGrid w:type="lines" w:linePitch="312" w:charSpace="0"/>
        </w:sectPr>
      </w:pPr>
    </w:p>
    <w:p>
      <w:pPr>
        <w:pStyle w:val="23"/>
        <w:spacing w:before="156" w:after="156"/>
        <w:rPr>
          <w:highlight w:val="none"/>
        </w:rPr>
      </w:pPr>
      <w:bookmarkStart w:id="2" w:name="_Toc520380389"/>
    </w:p>
    <w:p>
      <w:pPr>
        <w:pStyle w:val="19"/>
        <w:ind w:firstLine="31680"/>
        <w:rPr>
          <w:highlight w:val="none"/>
        </w:rPr>
      </w:pPr>
    </w:p>
    <w:p>
      <w:pPr>
        <w:pStyle w:val="19"/>
        <w:ind w:firstLine="31680"/>
        <w:rPr>
          <w:highlight w:val="none"/>
        </w:rPr>
      </w:pPr>
    </w:p>
    <w:p>
      <w:pPr>
        <w:pStyle w:val="19"/>
        <w:ind w:firstLine="31680"/>
        <w:rPr>
          <w:highlight w:val="none"/>
        </w:rPr>
      </w:pPr>
    </w:p>
    <w:p>
      <w:pPr>
        <w:pStyle w:val="19"/>
        <w:ind w:firstLine="31680"/>
        <w:rPr>
          <w:highlight w:val="none"/>
        </w:rPr>
      </w:pPr>
    </w:p>
    <w:p>
      <w:pPr>
        <w:pStyle w:val="19"/>
        <w:ind w:firstLine="31680"/>
        <w:rPr>
          <w:highlight w:val="none"/>
        </w:rPr>
      </w:pPr>
    </w:p>
    <w:p>
      <w:pPr>
        <w:pStyle w:val="19"/>
        <w:ind w:firstLine="31680"/>
        <w:rPr>
          <w:highlight w:val="none"/>
        </w:rPr>
      </w:pPr>
    </w:p>
    <w:p>
      <w:pPr>
        <w:pStyle w:val="19"/>
        <w:ind w:firstLine="31680"/>
        <w:rPr>
          <w:highlight w:val="none"/>
        </w:rPr>
      </w:pPr>
    </w:p>
    <w:p>
      <w:pPr>
        <w:pStyle w:val="19"/>
        <w:ind w:firstLine="31680"/>
        <w:rPr>
          <w:highlight w:val="none"/>
        </w:rPr>
      </w:pPr>
    </w:p>
    <w:p>
      <w:pPr>
        <w:pStyle w:val="19"/>
        <w:ind w:firstLine="31680"/>
        <w:rPr>
          <w:highlight w:val="none"/>
        </w:rPr>
      </w:pPr>
    </w:p>
    <w:p>
      <w:pPr>
        <w:pStyle w:val="19"/>
        <w:ind w:firstLine="31680"/>
        <w:rPr>
          <w:highlight w:val="none"/>
        </w:rPr>
      </w:pPr>
    </w:p>
    <w:p>
      <w:pPr>
        <w:pStyle w:val="19"/>
        <w:ind w:firstLine="31680"/>
        <w:rPr>
          <w:highlight w:val="none"/>
        </w:rPr>
      </w:pPr>
    </w:p>
    <w:p>
      <w:pPr>
        <w:pStyle w:val="19"/>
        <w:ind w:firstLine="31680"/>
        <w:rPr>
          <w:highlight w:val="none"/>
        </w:rPr>
      </w:pPr>
    </w:p>
    <w:p>
      <w:pPr>
        <w:pStyle w:val="19"/>
        <w:ind w:firstLine="31680"/>
        <w:rPr>
          <w:highlight w:val="none"/>
        </w:rPr>
      </w:pPr>
    </w:p>
    <w:p>
      <w:pPr>
        <w:pStyle w:val="19"/>
        <w:ind w:firstLine="31680"/>
        <w:rPr>
          <w:highlight w:val="none"/>
        </w:rPr>
      </w:pPr>
    </w:p>
    <w:p>
      <w:pPr>
        <w:pStyle w:val="19"/>
        <w:ind w:firstLine="31680"/>
        <w:rPr>
          <w:highlight w:val="none"/>
        </w:rPr>
      </w:pPr>
    </w:p>
    <w:p>
      <w:pPr>
        <w:pStyle w:val="19"/>
        <w:ind w:firstLine="31680"/>
        <w:rPr>
          <w:highlight w:val="none"/>
        </w:rPr>
      </w:pPr>
    </w:p>
    <w:p>
      <w:pPr>
        <w:pStyle w:val="19"/>
        <w:ind w:firstLine="31680"/>
        <w:rPr>
          <w:highlight w:val="none"/>
        </w:rPr>
      </w:pPr>
    </w:p>
    <w:p>
      <w:pPr>
        <w:pStyle w:val="19"/>
        <w:ind w:firstLine="31680"/>
        <w:rPr>
          <w:highlight w:val="none"/>
        </w:rPr>
      </w:pPr>
    </w:p>
    <w:p>
      <w:pPr>
        <w:pStyle w:val="19"/>
        <w:ind w:firstLine="31680"/>
        <w:rPr>
          <w:highlight w:val="none"/>
        </w:rPr>
      </w:pPr>
    </w:p>
    <w:p>
      <w:pPr>
        <w:pStyle w:val="19"/>
        <w:ind w:firstLine="31680"/>
        <w:rPr>
          <w:highlight w:val="none"/>
        </w:rPr>
      </w:pPr>
    </w:p>
    <w:p>
      <w:pPr>
        <w:pStyle w:val="19"/>
        <w:ind w:firstLine="31680"/>
        <w:rPr>
          <w:highlight w:val="none"/>
        </w:rPr>
      </w:pPr>
    </w:p>
    <w:p>
      <w:pPr>
        <w:pStyle w:val="19"/>
        <w:ind w:firstLine="31680"/>
        <w:rPr>
          <w:highlight w:val="none"/>
        </w:rPr>
      </w:pPr>
    </w:p>
    <w:p>
      <w:pPr>
        <w:pStyle w:val="19"/>
        <w:ind w:firstLine="31680"/>
        <w:rPr>
          <w:highlight w:val="none"/>
        </w:rPr>
      </w:pPr>
    </w:p>
    <w:p>
      <w:pPr>
        <w:pStyle w:val="19"/>
        <w:ind w:firstLine="31680"/>
        <w:rPr>
          <w:highlight w:val="none"/>
        </w:rPr>
      </w:pPr>
    </w:p>
    <w:p>
      <w:pPr>
        <w:pStyle w:val="19"/>
        <w:ind w:firstLine="31680"/>
        <w:rPr>
          <w:highlight w:val="none"/>
        </w:rPr>
      </w:pPr>
    </w:p>
    <w:p>
      <w:pPr>
        <w:pStyle w:val="19"/>
        <w:ind w:firstLine="31680"/>
        <w:rPr>
          <w:highlight w:val="none"/>
        </w:rPr>
      </w:pPr>
    </w:p>
    <w:p>
      <w:pPr>
        <w:rPr>
          <w:rFonts w:ascii="宋体"/>
          <w:highlight w:val="none"/>
        </w:rPr>
      </w:pPr>
      <w:r>
        <w:rPr>
          <w:rFonts w:ascii="宋体"/>
          <w:highlight w:val="none"/>
        </w:rPr>
        <w:pict>
          <v:shape id="_x0000_i1026" o:spt="75" type="#_x0000_t75" style="height:59.25pt;width:62.25pt;" filled="f" o:preferrelative="t" stroked="f" coordsize="21600,21600">
            <v:path/>
            <v:fill on="f" focussize="0,0"/>
            <v:stroke on="f" joinstyle="miter"/>
            <v:imagedata r:id="rId13" o:title=""/>
            <o:lock v:ext="edit" aspectratio="t"/>
            <w10:wrap type="none"/>
            <w10:anchorlock/>
          </v:shape>
        </w:pict>
      </w:r>
      <w:r>
        <w:rPr>
          <w:rFonts w:hint="eastAsia" w:ascii="宋体"/>
          <w:highlight w:val="none"/>
        </w:rPr>
        <w:t>版权保护文件</w:t>
      </w:r>
    </w:p>
    <w:p>
      <w:pPr>
        <w:spacing w:beforeLines="50" w:afterLines="50"/>
        <w:rPr>
          <w:rFonts w:ascii="宋体"/>
          <w:highlight w:val="none"/>
        </w:rPr>
        <w:sectPr>
          <w:headerReference r:id="rId4" w:type="default"/>
          <w:footerReference r:id="rId5" w:type="default"/>
          <w:pgSz w:w="11906" w:h="16838"/>
          <w:pgMar w:top="1440" w:right="1466" w:bottom="1440" w:left="1620" w:header="851" w:footer="992" w:gutter="0"/>
          <w:pgNumType w:fmt="upperRoman" w:start="1"/>
          <w:cols w:space="425" w:num="1"/>
          <w:docGrid w:type="lines" w:linePitch="312" w:charSpace="0"/>
        </w:sectPr>
      </w:pPr>
      <w:r>
        <w:rPr>
          <w:rFonts w:hint="eastAsia" w:ascii="宋体"/>
          <w:highlight w:val="none"/>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bookmarkEnd w:id="2"/>
    <w:p>
      <w:pPr>
        <w:pStyle w:val="23"/>
        <w:rPr>
          <w:rFonts w:ascii="Times New Roman"/>
          <w:highlight w:val="none"/>
        </w:rPr>
      </w:pPr>
      <w:r>
        <w:rPr>
          <w:rFonts w:hint="eastAsia" w:ascii="Times New Roman"/>
          <w:highlight w:val="none"/>
        </w:rPr>
        <w:t>前</w:t>
      </w:r>
      <w:bookmarkStart w:id="3" w:name="BKQY"/>
      <w:r>
        <w:rPr>
          <w:rFonts w:ascii="Times New Roman"/>
          <w:highlight w:val="none"/>
        </w:rPr>
        <w:t>  </w:t>
      </w:r>
      <w:r>
        <w:rPr>
          <w:rFonts w:hint="eastAsia" w:ascii="Times New Roman"/>
          <w:highlight w:val="none"/>
        </w:rPr>
        <w:t>言</w:t>
      </w:r>
      <w:bookmarkEnd w:id="3"/>
    </w:p>
    <w:p>
      <w:pPr>
        <w:pStyle w:val="19"/>
        <w:ind w:firstLine="31680"/>
        <w:rPr>
          <w:rFonts w:ascii="Times New Roman" w:hAnsi="Calibri"/>
          <w:highlight w:val="none"/>
        </w:rPr>
      </w:pPr>
      <w:r>
        <w:rPr>
          <w:rFonts w:hint="eastAsia" w:ascii="Times New Roman" w:hAnsi="Calibri"/>
          <w:highlight w:val="none"/>
        </w:rPr>
        <w:t>本文件按照</w:t>
      </w:r>
      <w:r>
        <w:rPr>
          <w:rFonts w:ascii="Times New Roman" w:hAnsi="Calibri"/>
          <w:highlight w:val="none"/>
        </w:rPr>
        <w:t>GB/T 1.1-2020</w:t>
      </w:r>
      <w:r>
        <w:rPr>
          <w:rFonts w:hint="eastAsia" w:ascii="Times New Roman" w:hAnsi="Calibri"/>
          <w:highlight w:val="none"/>
        </w:rPr>
        <w:t>《标准化工作导则</w:t>
      </w:r>
      <w:r>
        <w:rPr>
          <w:rFonts w:ascii="Times New Roman" w:hAnsi="Calibri"/>
          <w:highlight w:val="none"/>
        </w:rPr>
        <w:t xml:space="preserve"> </w:t>
      </w:r>
      <w:r>
        <w:rPr>
          <w:rFonts w:hint="eastAsia" w:ascii="Times New Roman" w:hAnsi="Calibri"/>
          <w:highlight w:val="none"/>
        </w:rPr>
        <w:t>第</w:t>
      </w:r>
      <w:r>
        <w:rPr>
          <w:rFonts w:ascii="Times New Roman" w:hAnsi="Calibri"/>
          <w:highlight w:val="none"/>
        </w:rPr>
        <w:t>1</w:t>
      </w:r>
      <w:r>
        <w:rPr>
          <w:rFonts w:hint="eastAsia" w:ascii="Times New Roman" w:hAnsi="Calibri"/>
          <w:highlight w:val="none"/>
        </w:rPr>
        <w:t>部分：标准化文件的结构和起草规则》的规定起草。</w:t>
      </w:r>
    </w:p>
    <w:p>
      <w:pPr>
        <w:pStyle w:val="19"/>
        <w:ind w:firstLine="31680"/>
        <w:rPr>
          <w:rFonts w:ascii="Times New Roman" w:hAnsi="Calibri"/>
          <w:highlight w:val="none"/>
        </w:rPr>
      </w:pPr>
      <w:r>
        <w:rPr>
          <w:rFonts w:hint="eastAsia" w:ascii="Times New Roman" w:hAnsi="Calibri"/>
          <w:highlight w:val="none"/>
        </w:rPr>
        <w:t>请注意本文件的某些内容可能涉及专利。本文件的发布机构不承担识别专利的责任。</w:t>
      </w:r>
    </w:p>
    <w:p>
      <w:pPr>
        <w:ind w:firstLine="420" w:firstLineChars="200"/>
        <w:rPr>
          <w:highlight w:val="none"/>
        </w:rPr>
      </w:pPr>
      <w:r>
        <w:rPr>
          <w:rFonts w:hint="eastAsia"/>
          <w:highlight w:val="none"/>
        </w:rPr>
        <w:t>本文件由中国特钢企业协会团体标准化工作委员会、中关村不锈及特种钢棒新材料产业技术创新联盟团体标准化工作委员会联合提出并归口。</w:t>
      </w:r>
    </w:p>
    <w:p>
      <w:pPr>
        <w:pStyle w:val="19"/>
        <w:ind w:firstLine="31680"/>
        <w:rPr>
          <w:rFonts w:ascii="Times New Roman" w:hAnsi="Calibri"/>
          <w:highlight w:val="none"/>
        </w:rPr>
      </w:pPr>
      <w:r>
        <w:rPr>
          <w:rFonts w:hint="eastAsia" w:ascii="Times New Roman" w:hAnsi="Calibri"/>
          <w:highlight w:val="none"/>
        </w:rPr>
        <w:t>本文件起草单位：安徽富凯特材有限公司、冶金工业规划研究院。</w:t>
      </w:r>
    </w:p>
    <w:p>
      <w:pPr>
        <w:pStyle w:val="19"/>
        <w:ind w:firstLine="31680"/>
        <w:rPr>
          <w:rFonts w:ascii="Times New Roman" w:hAnsi="Calibri"/>
          <w:highlight w:val="none"/>
        </w:rPr>
      </w:pPr>
      <w:r>
        <w:rPr>
          <w:rFonts w:hint="eastAsia" w:ascii="Times New Roman" w:hAnsi="Calibri"/>
          <w:highlight w:val="none"/>
        </w:rPr>
        <w:t>本文件主要起草人：。</w:t>
      </w:r>
    </w:p>
    <w:p>
      <w:pPr>
        <w:pStyle w:val="19"/>
        <w:ind w:firstLine="31680"/>
        <w:rPr>
          <w:rFonts w:ascii="Times New Roman" w:hAnsi="Calibri"/>
          <w:highlight w:val="none"/>
        </w:rPr>
      </w:pPr>
    </w:p>
    <w:p>
      <w:pPr>
        <w:pStyle w:val="19"/>
        <w:ind w:firstLine="31680"/>
        <w:rPr>
          <w:rFonts w:ascii="Times New Roman" w:hAnsi="Calibri"/>
          <w:highlight w:val="none"/>
        </w:rPr>
      </w:pPr>
    </w:p>
    <w:p>
      <w:pPr>
        <w:pStyle w:val="19"/>
        <w:ind w:firstLine="31680"/>
        <w:rPr>
          <w:rFonts w:ascii="Times New Roman" w:hAnsi="Calibri"/>
          <w:highlight w:val="none"/>
        </w:rPr>
      </w:pPr>
    </w:p>
    <w:p>
      <w:pPr>
        <w:pStyle w:val="19"/>
        <w:ind w:firstLine="31680"/>
        <w:rPr>
          <w:rFonts w:ascii="Times New Roman" w:hAnsi="Calibri"/>
          <w:highlight w:val="none"/>
        </w:rPr>
      </w:pPr>
    </w:p>
    <w:p>
      <w:pPr>
        <w:pStyle w:val="30"/>
        <w:spacing w:afterLines="200"/>
        <w:rPr>
          <w:rFonts w:ascii="Times New Roman"/>
          <w:highlight w:val="none"/>
        </w:rPr>
      </w:pPr>
      <w:r>
        <w:rPr>
          <w:rFonts w:hint="eastAsia" w:ascii="Times New Roman"/>
          <w:highlight w:val="none"/>
        </w:rPr>
        <w:t>半导体制造设备用超高纯度不锈钢棒</w:t>
      </w:r>
    </w:p>
    <w:p>
      <w:pPr>
        <w:pStyle w:val="18"/>
        <w:numPr>
          <w:ilvl w:val="0"/>
          <w:numId w:val="7"/>
        </w:numPr>
        <w:spacing w:before="312" w:after="312"/>
        <w:ind w:left="0" w:firstLine="0"/>
        <w:rPr>
          <w:rFonts w:ascii="Times New Roman"/>
          <w:highlight w:val="none"/>
        </w:rPr>
      </w:pPr>
      <w:bookmarkStart w:id="4" w:name="_Toc520380391"/>
      <w:r>
        <w:rPr>
          <w:rFonts w:hint="eastAsia" w:ascii="Times New Roman"/>
          <w:highlight w:val="none"/>
        </w:rPr>
        <w:t>范围</w:t>
      </w:r>
      <w:bookmarkEnd w:id="4"/>
    </w:p>
    <w:p>
      <w:pPr>
        <w:pStyle w:val="19"/>
        <w:ind w:firstLine="31680"/>
        <w:rPr>
          <w:rFonts w:ascii="Times New Roman" w:hAnsi="Calibri"/>
          <w:highlight w:val="none"/>
        </w:rPr>
      </w:pPr>
      <w:bookmarkStart w:id="5" w:name="_Toc520380392"/>
      <w:r>
        <w:rPr>
          <w:rFonts w:hint="eastAsia" w:ascii="Times New Roman" w:hAnsi="Calibri"/>
          <w:highlight w:val="none"/>
        </w:rPr>
        <w:t>本文件规定了半导体制造设备用超高纯度不锈钢棒（圆钢、方钢、扁钢、六角钢的总称，以下简称钢棒）的分类、订货内容、尺寸、外形、重量、技术要求、试验方法、检验规则、包装、标志和质量证明书。</w:t>
      </w:r>
    </w:p>
    <w:p>
      <w:pPr>
        <w:pStyle w:val="19"/>
        <w:shd w:val="clear"/>
        <w:ind w:firstLine="31680"/>
        <w:rPr>
          <w:rFonts w:ascii="Times New Roman" w:hAnsi="Calibri"/>
          <w:color w:val="auto"/>
          <w:highlight w:val="none"/>
        </w:rPr>
      </w:pPr>
      <w:r>
        <w:rPr>
          <w:rFonts w:hint="eastAsia" w:ascii="Times New Roman" w:hAnsi="Calibri"/>
          <w:color w:val="auto"/>
          <w:highlight w:val="none"/>
        </w:rPr>
        <w:t>本文件适用于半导体制造设备阀门和钢管用尺寸（直径、边长、厚度或对边距离，以下简称尺寸）不大于</w:t>
      </w:r>
      <w:r>
        <w:rPr>
          <w:rFonts w:ascii="Times New Roman" w:hAnsi="Calibri"/>
          <w:color w:val="auto"/>
          <w:highlight w:val="none"/>
        </w:rPr>
        <w:t>150mm</w:t>
      </w:r>
      <w:r>
        <w:rPr>
          <w:rFonts w:hint="eastAsia" w:ascii="Times New Roman" w:hAnsi="Calibri"/>
          <w:color w:val="auto"/>
          <w:highlight w:val="none"/>
        </w:rPr>
        <w:t>的超高纯度不锈钢热轧钢棒、冷拉坯料和冷拉钢棒。经供需双方协商，也可供应尺寸大于</w:t>
      </w:r>
      <w:r>
        <w:rPr>
          <w:rFonts w:ascii="Times New Roman" w:hAnsi="Calibri"/>
          <w:color w:val="auto"/>
          <w:highlight w:val="none"/>
        </w:rPr>
        <w:t>150mm</w:t>
      </w:r>
      <w:r>
        <w:rPr>
          <w:rFonts w:hint="eastAsia" w:ascii="Times New Roman" w:hAnsi="Calibri"/>
          <w:color w:val="auto"/>
          <w:highlight w:val="none"/>
        </w:rPr>
        <w:t>的热轧钢棒、冷拉坯料和冷拉钢棒。</w:t>
      </w:r>
    </w:p>
    <w:p>
      <w:pPr>
        <w:pStyle w:val="18"/>
        <w:numPr>
          <w:ilvl w:val="0"/>
          <w:numId w:val="7"/>
        </w:numPr>
        <w:shd w:val="clear"/>
        <w:spacing w:before="312" w:after="312"/>
        <w:ind w:left="0" w:firstLine="0"/>
        <w:rPr>
          <w:rFonts w:ascii="Times New Roman"/>
          <w:color w:val="auto"/>
          <w:highlight w:val="none"/>
        </w:rPr>
      </w:pPr>
      <w:r>
        <w:rPr>
          <w:rFonts w:hint="eastAsia" w:ascii="Times New Roman"/>
          <w:color w:val="auto"/>
          <w:highlight w:val="none"/>
        </w:rPr>
        <w:t>规范性引用文件</w:t>
      </w:r>
      <w:bookmarkEnd w:id="5"/>
    </w:p>
    <w:p>
      <w:pPr>
        <w:pStyle w:val="19"/>
        <w:shd w:val="clear"/>
        <w:ind w:firstLine="31680"/>
        <w:rPr>
          <w:rFonts w:ascii="Times New Roman" w:hAnsi="Calibri"/>
          <w:color w:val="auto"/>
          <w:highlight w:val="none"/>
        </w:rPr>
      </w:pPr>
      <w:bookmarkStart w:id="6" w:name="_Toc520380394"/>
      <w:r>
        <w:rPr>
          <w:rFonts w:hint="eastAsia" w:ascii="Times New Roman" w:hAnsi="Calibri"/>
          <w:color w:val="auto"/>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pPr>
        <w:shd w:val="clear"/>
        <w:ind w:firstLine="570"/>
        <w:rPr>
          <w:color w:val="auto"/>
          <w:highlight w:val="none"/>
        </w:rPr>
      </w:pPr>
      <w:r>
        <w:rPr>
          <w:color w:val="auto"/>
          <w:highlight w:val="none"/>
        </w:rPr>
        <w:t xml:space="preserve">GB/T 222    </w:t>
      </w:r>
      <w:r>
        <w:rPr>
          <w:rFonts w:hint="eastAsia"/>
          <w:color w:val="auto"/>
          <w:highlight w:val="none"/>
        </w:rPr>
        <w:t>钢的成品化学成分允许偏差</w:t>
      </w:r>
    </w:p>
    <w:p>
      <w:pPr>
        <w:shd w:val="clear"/>
        <w:ind w:firstLine="570"/>
        <w:rPr>
          <w:color w:val="auto"/>
          <w:highlight w:val="none"/>
        </w:rPr>
      </w:pPr>
      <w:r>
        <w:rPr>
          <w:color w:val="auto"/>
          <w:highlight w:val="none"/>
        </w:rPr>
        <w:t xml:space="preserve">GB/T 223.9   </w:t>
      </w:r>
      <w:r>
        <w:rPr>
          <w:rFonts w:hint="eastAsia"/>
          <w:color w:val="auto"/>
          <w:highlight w:val="none"/>
        </w:rPr>
        <w:t>钢铁及钢棒</w:t>
      </w:r>
      <w:r>
        <w:rPr>
          <w:color w:val="auto"/>
          <w:highlight w:val="none"/>
        </w:rPr>
        <w:t xml:space="preserve"> </w:t>
      </w:r>
      <w:r>
        <w:rPr>
          <w:rFonts w:hint="eastAsia"/>
          <w:color w:val="auto"/>
          <w:highlight w:val="none"/>
        </w:rPr>
        <w:t>铝含量的测定</w:t>
      </w:r>
      <w:r>
        <w:rPr>
          <w:color w:val="auto"/>
          <w:highlight w:val="none"/>
        </w:rPr>
        <w:t xml:space="preserve"> </w:t>
      </w:r>
      <w:r>
        <w:rPr>
          <w:rFonts w:hint="eastAsia"/>
          <w:color w:val="auto"/>
          <w:highlight w:val="none"/>
        </w:rPr>
        <w:t>铬天青</w:t>
      </w:r>
      <w:r>
        <w:rPr>
          <w:color w:val="auto"/>
          <w:highlight w:val="none"/>
        </w:rPr>
        <w:t>S</w:t>
      </w:r>
      <w:r>
        <w:rPr>
          <w:rFonts w:hint="eastAsia"/>
          <w:color w:val="auto"/>
          <w:highlight w:val="none"/>
        </w:rPr>
        <w:t>分光光度法</w:t>
      </w:r>
    </w:p>
    <w:p>
      <w:pPr>
        <w:shd w:val="clear"/>
        <w:ind w:firstLine="570"/>
        <w:rPr>
          <w:color w:val="auto"/>
          <w:highlight w:val="none"/>
        </w:rPr>
      </w:pPr>
      <w:r>
        <w:rPr>
          <w:color w:val="auto"/>
          <w:highlight w:val="none"/>
        </w:rPr>
        <w:t xml:space="preserve">GB/T 223.11  </w:t>
      </w:r>
      <w:r>
        <w:rPr>
          <w:rFonts w:hint="eastAsia"/>
          <w:color w:val="auto"/>
          <w:highlight w:val="none"/>
        </w:rPr>
        <w:t>钢铁及合金</w:t>
      </w:r>
      <w:r>
        <w:rPr>
          <w:color w:val="auto"/>
          <w:highlight w:val="none"/>
        </w:rPr>
        <w:t xml:space="preserve"> </w:t>
      </w:r>
      <w:r>
        <w:rPr>
          <w:rFonts w:hint="eastAsia"/>
          <w:color w:val="auto"/>
          <w:highlight w:val="none"/>
        </w:rPr>
        <w:t>铬含量的测定</w:t>
      </w:r>
      <w:r>
        <w:rPr>
          <w:color w:val="auto"/>
          <w:highlight w:val="none"/>
        </w:rPr>
        <w:t xml:space="preserve"> </w:t>
      </w:r>
      <w:r>
        <w:rPr>
          <w:rFonts w:hint="eastAsia"/>
          <w:color w:val="auto"/>
          <w:highlight w:val="none"/>
        </w:rPr>
        <w:t>可视滴定或电位滴定法</w:t>
      </w:r>
    </w:p>
    <w:p>
      <w:pPr>
        <w:shd w:val="clear"/>
        <w:ind w:firstLine="570"/>
        <w:rPr>
          <w:color w:val="auto"/>
          <w:highlight w:val="none"/>
        </w:rPr>
      </w:pPr>
      <w:r>
        <w:rPr>
          <w:color w:val="auto"/>
          <w:highlight w:val="none"/>
        </w:rPr>
        <w:t xml:space="preserve">GB/T 223.19  </w:t>
      </w:r>
      <w:r>
        <w:rPr>
          <w:rFonts w:hint="eastAsia"/>
          <w:color w:val="auto"/>
          <w:highlight w:val="none"/>
        </w:rPr>
        <w:t>钢铁及合金化学分析方法</w:t>
      </w:r>
      <w:r>
        <w:rPr>
          <w:color w:val="auto"/>
          <w:highlight w:val="none"/>
        </w:rPr>
        <w:t xml:space="preserve"> </w:t>
      </w:r>
      <w:r>
        <w:rPr>
          <w:rFonts w:hint="eastAsia"/>
          <w:color w:val="auto"/>
          <w:highlight w:val="none"/>
        </w:rPr>
        <w:t>新亚铜灵</w:t>
      </w:r>
      <w:r>
        <w:rPr>
          <w:color w:val="auto"/>
          <w:highlight w:val="none"/>
        </w:rPr>
        <w:t>-</w:t>
      </w:r>
      <w:r>
        <w:rPr>
          <w:rFonts w:hint="eastAsia"/>
          <w:color w:val="auto"/>
          <w:highlight w:val="none"/>
        </w:rPr>
        <w:t>三氯甲烷萃取光度法测定铜量</w:t>
      </w:r>
    </w:p>
    <w:p>
      <w:pPr>
        <w:shd w:val="clear"/>
        <w:ind w:firstLine="570"/>
        <w:rPr>
          <w:color w:val="auto"/>
          <w:highlight w:val="none"/>
        </w:rPr>
      </w:pPr>
      <w:r>
        <w:rPr>
          <w:color w:val="auto"/>
          <w:highlight w:val="none"/>
        </w:rPr>
        <w:t xml:space="preserve">GB/T 223.25  </w:t>
      </w:r>
      <w:r>
        <w:rPr>
          <w:rFonts w:hint="eastAsia"/>
          <w:color w:val="auto"/>
          <w:highlight w:val="none"/>
        </w:rPr>
        <w:t>钢铁及合金化学分析方法</w:t>
      </w:r>
      <w:r>
        <w:rPr>
          <w:color w:val="auto"/>
          <w:highlight w:val="none"/>
        </w:rPr>
        <w:t xml:space="preserve"> </w:t>
      </w:r>
      <w:r>
        <w:rPr>
          <w:rFonts w:hint="eastAsia"/>
          <w:color w:val="auto"/>
          <w:highlight w:val="none"/>
        </w:rPr>
        <w:t>丁二酮肟重量法测定镍量</w:t>
      </w:r>
    </w:p>
    <w:p>
      <w:pPr>
        <w:shd w:val="clear"/>
        <w:ind w:firstLine="570"/>
        <w:rPr>
          <w:color w:val="auto"/>
          <w:highlight w:val="none"/>
        </w:rPr>
      </w:pPr>
      <w:r>
        <w:rPr>
          <w:color w:val="auto"/>
          <w:highlight w:val="none"/>
        </w:rPr>
        <w:t xml:space="preserve">GB/T 223.28  </w:t>
      </w:r>
      <w:r>
        <w:rPr>
          <w:rFonts w:hint="eastAsia"/>
          <w:color w:val="auto"/>
          <w:highlight w:val="none"/>
        </w:rPr>
        <w:t>钢铁及合金化学分析方法</w:t>
      </w:r>
      <w:r>
        <w:rPr>
          <w:color w:val="auto"/>
          <w:highlight w:val="none"/>
        </w:rPr>
        <w:t xml:space="preserve"> </w:t>
      </w:r>
      <w:r>
        <w:rPr>
          <w:rFonts w:hint="eastAsia"/>
          <w:color w:val="auto"/>
          <w:highlight w:val="none"/>
        </w:rPr>
        <w:t>α</w:t>
      </w:r>
      <w:r>
        <w:rPr>
          <w:color w:val="auto"/>
          <w:highlight w:val="none"/>
        </w:rPr>
        <w:t>-</w:t>
      </w:r>
      <w:r>
        <w:rPr>
          <w:rFonts w:hint="eastAsia"/>
          <w:color w:val="auto"/>
          <w:highlight w:val="none"/>
        </w:rPr>
        <w:t>安息香肟重量法测定钼量</w:t>
      </w:r>
    </w:p>
    <w:p>
      <w:pPr>
        <w:shd w:val="clear"/>
        <w:ind w:firstLine="570"/>
        <w:rPr>
          <w:color w:val="auto"/>
          <w:highlight w:val="none"/>
        </w:rPr>
      </w:pPr>
      <w:r>
        <w:rPr>
          <w:color w:val="auto"/>
          <w:highlight w:val="none"/>
        </w:rPr>
        <w:t xml:space="preserve">GB/T 223.36  </w:t>
      </w:r>
      <w:r>
        <w:rPr>
          <w:rFonts w:hint="eastAsia"/>
          <w:color w:val="auto"/>
          <w:highlight w:val="none"/>
        </w:rPr>
        <w:t>钢铁及合金化学分析方法</w:t>
      </w:r>
      <w:r>
        <w:rPr>
          <w:color w:val="auto"/>
          <w:highlight w:val="none"/>
        </w:rPr>
        <w:t xml:space="preserve"> </w:t>
      </w:r>
      <w:r>
        <w:rPr>
          <w:rFonts w:hint="eastAsia"/>
          <w:color w:val="auto"/>
          <w:highlight w:val="none"/>
        </w:rPr>
        <w:t>蒸馏分离</w:t>
      </w:r>
      <w:r>
        <w:rPr>
          <w:color w:val="auto"/>
          <w:highlight w:val="none"/>
        </w:rPr>
        <w:t>-</w:t>
      </w:r>
      <w:r>
        <w:rPr>
          <w:rFonts w:hint="eastAsia"/>
          <w:color w:val="auto"/>
          <w:highlight w:val="none"/>
        </w:rPr>
        <w:t>中和滴定法测定氮量</w:t>
      </w:r>
    </w:p>
    <w:p>
      <w:pPr>
        <w:shd w:val="clear"/>
        <w:ind w:firstLine="570"/>
        <w:rPr>
          <w:color w:val="auto"/>
          <w:highlight w:val="none"/>
        </w:rPr>
      </w:pPr>
      <w:r>
        <w:rPr>
          <w:color w:val="auto"/>
          <w:highlight w:val="none"/>
        </w:rPr>
        <w:t xml:space="preserve">GB/T 223.59  </w:t>
      </w:r>
      <w:r>
        <w:rPr>
          <w:rFonts w:hint="eastAsia"/>
          <w:color w:val="auto"/>
          <w:highlight w:val="none"/>
        </w:rPr>
        <w:t>钢铁及合金</w:t>
      </w:r>
      <w:r>
        <w:rPr>
          <w:color w:val="auto"/>
          <w:highlight w:val="none"/>
        </w:rPr>
        <w:t xml:space="preserve"> </w:t>
      </w:r>
      <w:r>
        <w:rPr>
          <w:rFonts w:hint="eastAsia"/>
          <w:color w:val="auto"/>
          <w:highlight w:val="none"/>
        </w:rPr>
        <w:t>磷含量的测定</w:t>
      </w:r>
      <w:r>
        <w:rPr>
          <w:color w:val="auto"/>
          <w:highlight w:val="none"/>
        </w:rPr>
        <w:t xml:space="preserve"> </w:t>
      </w:r>
      <w:r>
        <w:rPr>
          <w:rFonts w:hint="eastAsia"/>
          <w:color w:val="auto"/>
          <w:highlight w:val="none"/>
        </w:rPr>
        <w:t>铋磷钼蓝分光光度法和锑磷钼蓝分光光度法</w:t>
      </w:r>
    </w:p>
    <w:p>
      <w:pPr>
        <w:shd w:val="clear"/>
        <w:ind w:firstLine="570"/>
        <w:rPr>
          <w:color w:val="auto"/>
          <w:highlight w:val="none"/>
        </w:rPr>
      </w:pPr>
      <w:r>
        <w:rPr>
          <w:color w:val="auto"/>
          <w:highlight w:val="none"/>
        </w:rPr>
        <w:t xml:space="preserve">GB/T 223.60  </w:t>
      </w:r>
      <w:r>
        <w:rPr>
          <w:rFonts w:hint="eastAsia"/>
          <w:color w:val="auto"/>
          <w:highlight w:val="none"/>
        </w:rPr>
        <w:t>钢铁及合金化学分析方法</w:t>
      </w:r>
      <w:r>
        <w:rPr>
          <w:color w:val="auto"/>
          <w:highlight w:val="none"/>
        </w:rPr>
        <w:t xml:space="preserve"> </w:t>
      </w:r>
      <w:r>
        <w:rPr>
          <w:rFonts w:hint="eastAsia"/>
          <w:color w:val="auto"/>
          <w:highlight w:val="none"/>
        </w:rPr>
        <w:t>高氯酸脱水重量法测定硅含量</w:t>
      </w:r>
    </w:p>
    <w:p>
      <w:pPr>
        <w:shd w:val="clear"/>
        <w:ind w:firstLine="570"/>
        <w:rPr>
          <w:color w:val="auto"/>
          <w:highlight w:val="none"/>
        </w:rPr>
      </w:pPr>
      <w:r>
        <w:rPr>
          <w:color w:val="auto"/>
          <w:highlight w:val="none"/>
        </w:rPr>
        <w:t xml:space="preserve">GB/T 223.63  </w:t>
      </w:r>
      <w:r>
        <w:rPr>
          <w:rFonts w:hint="eastAsia"/>
          <w:color w:val="auto"/>
          <w:highlight w:val="none"/>
        </w:rPr>
        <w:t>钢铁及合金</w:t>
      </w:r>
      <w:r>
        <w:rPr>
          <w:color w:val="auto"/>
          <w:highlight w:val="none"/>
        </w:rPr>
        <w:t xml:space="preserve"> </w:t>
      </w:r>
      <w:r>
        <w:rPr>
          <w:rFonts w:hint="eastAsia"/>
          <w:color w:val="auto"/>
          <w:highlight w:val="none"/>
        </w:rPr>
        <w:t>锰含量的测定</w:t>
      </w:r>
      <w:r>
        <w:rPr>
          <w:color w:val="auto"/>
          <w:highlight w:val="none"/>
        </w:rPr>
        <w:t xml:space="preserve"> </w:t>
      </w:r>
      <w:r>
        <w:rPr>
          <w:rFonts w:hint="eastAsia"/>
          <w:color w:val="auto"/>
          <w:highlight w:val="none"/>
        </w:rPr>
        <w:t>高碘酸钠</w:t>
      </w:r>
      <w:r>
        <w:rPr>
          <w:color w:val="auto"/>
          <w:highlight w:val="none"/>
        </w:rPr>
        <w:t>(</w:t>
      </w:r>
      <w:r>
        <w:rPr>
          <w:rFonts w:hint="eastAsia"/>
          <w:color w:val="auto"/>
          <w:highlight w:val="none"/>
        </w:rPr>
        <w:t>钾</w:t>
      </w:r>
      <w:r>
        <w:rPr>
          <w:color w:val="auto"/>
          <w:highlight w:val="none"/>
        </w:rPr>
        <w:t>)</w:t>
      </w:r>
      <w:r>
        <w:rPr>
          <w:rFonts w:hint="eastAsia"/>
          <w:color w:val="auto"/>
          <w:highlight w:val="none"/>
        </w:rPr>
        <w:t>分光光度法</w:t>
      </w:r>
    </w:p>
    <w:p>
      <w:pPr>
        <w:shd w:val="clear"/>
        <w:ind w:firstLine="570"/>
        <w:rPr>
          <w:color w:val="auto"/>
          <w:highlight w:val="none"/>
        </w:rPr>
      </w:pPr>
      <w:r>
        <w:rPr>
          <w:color w:val="auto"/>
          <w:highlight w:val="none"/>
        </w:rPr>
        <w:t xml:space="preserve">GB/T 223.67  </w:t>
      </w:r>
      <w:r>
        <w:rPr>
          <w:rFonts w:hint="eastAsia"/>
          <w:color w:val="auto"/>
          <w:highlight w:val="none"/>
        </w:rPr>
        <w:t>钢铁及合金</w:t>
      </w:r>
      <w:r>
        <w:rPr>
          <w:color w:val="auto"/>
          <w:highlight w:val="none"/>
        </w:rPr>
        <w:t xml:space="preserve"> </w:t>
      </w:r>
      <w:r>
        <w:rPr>
          <w:rFonts w:hint="eastAsia"/>
          <w:color w:val="auto"/>
          <w:highlight w:val="none"/>
        </w:rPr>
        <w:t>硫含量的测定</w:t>
      </w:r>
      <w:r>
        <w:rPr>
          <w:color w:val="auto"/>
          <w:highlight w:val="none"/>
        </w:rPr>
        <w:t xml:space="preserve"> </w:t>
      </w:r>
      <w:r>
        <w:rPr>
          <w:rFonts w:hint="eastAsia"/>
          <w:color w:val="auto"/>
          <w:highlight w:val="none"/>
        </w:rPr>
        <w:t>次甲基蓝分光光度法</w:t>
      </w:r>
    </w:p>
    <w:p>
      <w:pPr>
        <w:shd w:val="clear"/>
        <w:ind w:firstLine="570"/>
        <w:rPr>
          <w:color w:val="auto"/>
          <w:highlight w:val="none"/>
        </w:rPr>
      </w:pPr>
      <w:r>
        <w:rPr>
          <w:color w:val="auto"/>
          <w:highlight w:val="none"/>
        </w:rPr>
        <w:t xml:space="preserve">GB/T 223.82  </w:t>
      </w:r>
      <w:r>
        <w:rPr>
          <w:rFonts w:hint="eastAsia"/>
          <w:color w:val="auto"/>
          <w:highlight w:val="none"/>
        </w:rPr>
        <w:t>钢铁氢含量的测定</w:t>
      </w:r>
      <w:r>
        <w:rPr>
          <w:rFonts w:hint="eastAsia"/>
          <w:color w:val="auto"/>
          <w:highlight w:val="none"/>
          <w:lang w:val="en-US" w:eastAsia="zh-CN"/>
        </w:rPr>
        <w:t xml:space="preserve"> </w:t>
      </w:r>
      <w:r>
        <w:rPr>
          <w:rFonts w:hint="eastAsia"/>
          <w:color w:val="auto"/>
          <w:highlight w:val="none"/>
        </w:rPr>
        <w:t>惰性气体熔融</w:t>
      </w:r>
      <w:r>
        <w:rPr>
          <w:color w:val="auto"/>
          <w:highlight w:val="none"/>
        </w:rPr>
        <w:t>-</w:t>
      </w:r>
      <w:r>
        <w:rPr>
          <w:rFonts w:hint="eastAsia"/>
          <w:color w:val="auto"/>
          <w:highlight w:val="none"/>
        </w:rPr>
        <w:t>热导或红外法</w:t>
      </w:r>
    </w:p>
    <w:p>
      <w:pPr>
        <w:shd w:val="clear"/>
        <w:ind w:firstLine="570"/>
        <w:rPr>
          <w:color w:val="auto"/>
          <w:highlight w:val="none"/>
        </w:rPr>
      </w:pPr>
      <w:r>
        <w:rPr>
          <w:color w:val="auto"/>
          <w:highlight w:val="none"/>
        </w:rPr>
        <w:t xml:space="preserve">GB/T 223.86  </w:t>
      </w:r>
      <w:r>
        <w:rPr>
          <w:rFonts w:hint="eastAsia"/>
          <w:color w:val="auto"/>
          <w:highlight w:val="none"/>
        </w:rPr>
        <w:t>钢铁及合金</w:t>
      </w:r>
      <w:r>
        <w:rPr>
          <w:color w:val="auto"/>
          <w:highlight w:val="none"/>
        </w:rPr>
        <w:t xml:space="preserve"> </w:t>
      </w:r>
      <w:r>
        <w:rPr>
          <w:rFonts w:hint="eastAsia"/>
          <w:color w:val="auto"/>
          <w:highlight w:val="none"/>
        </w:rPr>
        <w:t>总碳含量的测定</w:t>
      </w:r>
      <w:r>
        <w:rPr>
          <w:color w:val="auto"/>
          <w:highlight w:val="none"/>
        </w:rPr>
        <w:t xml:space="preserve"> </w:t>
      </w:r>
      <w:r>
        <w:rPr>
          <w:rFonts w:hint="eastAsia"/>
          <w:color w:val="auto"/>
          <w:highlight w:val="none"/>
        </w:rPr>
        <w:t>感应炉燃烧后红外吸收法</w:t>
      </w:r>
    </w:p>
    <w:p>
      <w:pPr>
        <w:shd w:val="clear"/>
        <w:ind w:firstLine="570"/>
        <w:rPr>
          <w:color w:val="auto"/>
          <w:highlight w:val="none"/>
        </w:rPr>
      </w:pPr>
      <w:r>
        <w:rPr>
          <w:color w:val="auto"/>
          <w:highlight w:val="none"/>
        </w:rPr>
        <w:t xml:space="preserve">GB/T 226     </w:t>
      </w:r>
      <w:r>
        <w:rPr>
          <w:rFonts w:hint="eastAsia"/>
          <w:color w:val="auto"/>
          <w:highlight w:val="none"/>
        </w:rPr>
        <w:t>钢的低倍组织及缺陷酸蚀检验法</w:t>
      </w:r>
    </w:p>
    <w:p>
      <w:pPr>
        <w:shd w:val="clear"/>
        <w:ind w:firstLine="570"/>
        <w:rPr>
          <w:color w:val="auto"/>
          <w:highlight w:val="none"/>
        </w:rPr>
      </w:pPr>
      <w:r>
        <w:rPr>
          <w:color w:val="auto"/>
          <w:highlight w:val="none"/>
        </w:rPr>
        <w:t xml:space="preserve">GB/T 228.1    </w:t>
      </w:r>
      <w:r>
        <w:rPr>
          <w:color w:val="auto"/>
          <w:highlight w:val="none"/>
        </w:rPr>
        <w:fldChar w:fldCharType="begin"/>
      </w:r>
      <w:r>
        <w:rPr>
          <w:color w:val="auto"/>
          <w:highlight w:val="none"/>
        </w:rPr>
        <w:instrText xml:space="preserve"> HYPERLINK "https://std.samr.gov.cn/gb/search/gbDetailed?id=D4BEFFF4EB12B241E05397BE0A0AF581" \t "https://std.samr.gov.cn/search/stdPage?q=GB/_blank" </w:instrText>
      </w:r>
      <w:r>
        <w:rPr>
          <w:color w:val="auto"/>
          <w:highlight w:val="none"/>
        </w:rPr>
        <w:fldChar w:fldCharType="separate"/>
      </w:r>
      <w:r>
        <w:rPr>
          <w:rFonts w:hint="eastAsia"/>
          <w:color w:val="auto"/>
          <w:highlight w:val="none"/>
        </w:rPr>
        <w:t>金属材料</w:t>
      </w:r>
      <w:r>
        <w:rPr>
          <w:color w:val="auto"/>
          <w:highlight w:val="none"/>
        </w:rPr>
        <w:t xml:space="preserve"> </w:t>
      </w:r>
      <w:r>
        <w:rPr>
          <w:rFonts w:hint="eastAsia"/>
          <w:color w:val="auto"/>
          <w:highlight w:val="none"/>
        </w:rPr>
        <w:t>拉伸试验</w:t>
      </w:r>
      <w:r>
        <w:rPr>
          <w:color w:val="auto"/>
          <w:highlight w:val="none"/>
        </w:rPr>
        <w:t xml:space="preserve"> </w:t>
      </w:r>
      <w:r>
        <w:rPr>
          <w:rFonts w:hint="eastAsia"/>
          <w:color w:val="auto"/>
          <w:highlight w:val="none"/>
        </w:rPr>
        <w:t>第</w:t>
      </w:r>
      <w:r>
        <w:rPr>
          <w:color w:val="auto"/>
          <w:highlight w:val="none"/>
        </w:rPr>
        <w:t>1</w:t>
      </w:r>
      <w:r>
        <w:rPr>
          <w:rFonts w:hint="eastAsia"/>
          <w:color w:val="auto"/>
          <w:highlight w:val="none"/>
        </w:rPr>
        <w:t>部分</w:t>
      </w:r>
      <w:r>
        <w:rPr>
          <w:color w:val="auto"/>
          <w:highlight w:val="none"/>
        </w:rPr>
        <w:t>:</w:t>
      </w:r>
      <w:r>
        <w:rPr>
          <w:rFonts w:hint="eastAsia"/>
          <w:color w:val="auto"/>
          <w:highlight w:val="none"/>
        </w:rPr>
        <w:t>室温试验方法</w:t>
      </w:r>
      <w:r>
        <w:rPr>
          <w:rFonts w:hint="eastAsia"/>
          <w:color w:val="auto"/>
          <w:highlight w:val="none"/>
        </w:rPr>
        <w:fldChar w:fldCharType="end"/>
      </w:r>
    </w:p>
    <w:p>
      <w:pPr>
        <w:shd w:val="clear"/>
        <w:ind w:firstLine="570"/>
        <w:rPr>
          <w:color w:val="auto"/>
          <w:highlight w:val="none"/>
        </w:rPr>
      </w:pPr>
      <w:r>
        <w:rPr>
          <w:color w:val="auto"/>
          <w:highlight w:val="none"/>
        </w:rPr>
        <w:t xml:space="preserve">GB/T 230.1    </w:t>
      </w:r>
      <w:r>
        <w:rPr>
          <w:rFonts w:hint="eastAsia"/>
          <w:color w:val="auto"/>
          <w:highlight w:val="none"/>
        </w:rPr>
        <w:t>金属材料</w:t>
      </w:r>
      <w:r>
        <w:rPr>
          <w:color w:val="auto"/>
          <w:highlight w:val="none"/>
        </w:rPr>
        <w:t xml:space="preserve"> </w:t>
      </w:r>
      <w:r>
        <w:rPr>
          <w:rFonts w:hint="eastAsia"/>
          <w:color w:val="auto"/>
          <w:highlight w:val="none"/>
        </w:rPr>
        <w:t>洛氏硬度试验</w:t>
      </w:r>
      <w:r>
        <w:rPr>
          <w:color w:val="auto"/>
          <w:highlight w:val="none"/>
        </w:rPr>
        <w:t xml:space="preserve"> </w:t>
      </w:r>
      <w:r>
        <w:rPr>
          <w:rFonts w:hint="eastAsia"/>
          <w:color w:val="auto"/>
          <w:highlight w:val="none"/>
        </w:rPr>
        <w:t>第</w:t>
      </w:r>
      <w:r>
        <w:rPr>
          <w:color w:val="auto"/>
          <w:highlight w:val="none"/>
        </w:rPr>
        <w:t>1</w:t>
      </w:r>
      <w:r>
        <w:rPr>
          <w:rFonts w:hint="eastAsia"/>
          <w:color w:val="auto"/>
          <w:highlight w:val="none"/>
        </w:rPr>
        <w:t>部分：试验方法</w:t>
      </w:r>
    </w:p>
    <w:p>
      <w:pPr>
        <w:shd w:val="clear"/>
        <w:ind w:firstLine="570"/>
        <w:rPr>
          <w:color w:val="auto"/>
          <w:highlight w:val="none"/>
        </w:rPr>
      </w:pPr>
      <w:r>
        <w:rPr>
          <w:color w:val="auto"/>
          <w:highlight w:val="none"/>
        </w:rPr>
        <w:t xml:space="preserve">GB/T 231.1    </w:t>
      </w:r>
      <w:r>
        <w:rPr>
          <w:rFonts w:hint="eastAsia"/>
          <w:color w:val="auto"/>
          <w:highlight w:val="none"/>
        </w:rPr>
        <w:t>金属材料</w:t>
      </w:r>
      <w:r>
        <w:rPr>
          <w:color w:val="auto"/>
          <w:highlight w:val="none"/>
        </w:rPr>
        <w:t xml:space="preserve"> </w:t>
      </w:r>
      <w:r>
        <w:rPr>
          <w:rFonts w:hint="eastAsia"/>
          <w:color w:val="auto"/>
          <w:highlight w:val="none"/>
        </w:rPr>
        <w:t>布氏硬度试验</w:t>
      </w:r>
      <w:r>
        <w:rPr>
          <w:color w:val="auto"/>
          <w:highlight w:val="none"/>
        </w:rPr>
        <w:t xml:space="preserve"> </w:t>
      </w:r>
      <w:r>
        <w:rPr>
          <w:rFonts w:hint="eastAsia"/>
          <w:color w:val="auto"/>
          <w:highlight w:val="none"/>
        </w:rPr>
        <w:t>第</w:t>
      </w:r>
      <w:r>
        <w:rPr>
          <w:color w:val="auto"/>
          <w:highlight w:val="none"/>
        </w:rPr>
        <w:t>1</w:t>
      </w:r>
      <w:r>
        <w:rPr>
          <w:rFonts w:hint="eastAsia"/>
          <w:color w:val="auto"/>
          <w:highlight w:val="none"/>
        </w:rPr>
        <w:t>部分：试验方法</w:t>
      </w:r>
    </w:p>
    <w:p>
      <w:pPr>
        <w:shd w:val="clear"/>
        <w:ind w:firstLine="570"/>
        <w:rPr>
          <w:color w:val="auto"/>
          <w:highlight w:val="none"/>
        </w:rPr>
      </w:pPr>
      <w:r>
        <w:rPr>
          <w:color w:val="auto"/>
          <w:highlight w:val="none"/>
        </w:rPr>
        <w:t xml:space="preserve">GB/T 702-2017 </w:t>
      </w:r>
      <w:r>
        <w:rPr>
          <w:rFonts w:hint="eastAsia"/>
          <w:color w:val="auto"/>
          <w:highlight w:val="none"/>
        </w:rPr>
        <w:t>热轧钢棒尺寸、外形、重量及允许偏差</w:t>
      </w:r>
    </w:p>
    <w:p>
      <w:pPr>
        <w:shd w:val="clear"/>
        <w:ind w:firstLine="570"/>
        <w:rPr>
          <w:color w:val="auto"/>
          <w:highlight w:val="none"/>
        </w:rPr>
      </w:pPr>
      <w:r>
        <w:rPr>
          <w:color w:val="auto"/>
          <w:highlight w:val="none"/>
        </w:rPr>
        <w:t>GB/T 905</w:t>
      </w:r>
      <w:r>
        <w:rPr>
          <w:rFonts w:hint="eastAsia"/>
          <w:color w:val="auto"/>
          <w:highlight w:val="none"/>
          <w:lang w:val="en-US" w:eastAsia="zh-CN"/>
        </w:rPr>
        <w:t xml:space="preserve">-1994 </w:t>
      </w:r>
      <w:r>
        <w:rPr>
          <w:rFonts w:hint="eastAsia"/>
          <w:color w:val="auto"/>
          <w:highlight w:val="none"/>
        </w:rPr>
        <w:t>冷拉圆钢、方钢、六角钢尺寸、外形、重量及允许偏差</w:t>
      </w:r>
    </w:p>
    <w:p>
      <w:pPr>
        <w:shd w:val="clear"/>
        <w:ind w:firstLine="570"/>
        <w:rPr>
          <w:rFonts w:hint="eastAsia"/>
          <w:color w:val="auto"/>
          <w:highlight w:val="none"/>
        </w:rPr>
      </w:pPr>
      <w:r>
        <w:rPr>
          <w:rFonts w:hint="eastAsia"/>
          <w:color w:val="auto"/>
          <w:highlight w:val="none"/>
        </w:rPr>
        <w:t>GB</w:t>
      </w:r>
      <w:r>
        <w:rPr>
          <w:rFonts w:hint="eastAsia"/>
          <w:color w:val="auto"/>
          <w:highlight w:val="none"/>
          <w:lang w:val="en-US" w:eastAsia="zh-CN"/>
        </w:rPr>
        <w:t>/</w:t>
      </w:r>
      <w:r>
        <w:rPr>
          <w:rFonts w:hint="eastAsia"/>
          <w:color w:val="auto"/>
          <w:highlight w:val="none"/>
        </w:rPr>
        <w:t>T1220-2007 不锈钢棒</w:t>
      </w:r>
    </w:p>
    <w:p>
      <w:pPr>
        <w:shd w:val="clear"/>
        <w:ind w:firstLine="570"/>
        <w:rPr>
          <w:color w:val="auto"/>
          <w:highlight w:val="none"/>
        </w:rPr>
      </w:pPr>
      <w:r>
        <w:rPr>
          <w:color w:val="auto"/>
          <w:highlight w:val="none"/>
        </w:rPr>
        <w:t xml:space="preserve">GB/T 1979     </w:t>
      </w:r>
      <w:r>
        <w:rPr>
          <w:rFonts w:hint="eastAsia"/>
          <w:color w:val="auto"/>
          <w:highlight w:val="none"/>
        </w:rPr>
        <w:t>结构钢低倍组织缺陷评级图</w:t>
      </w:r>
    </w:p>
    <w:p>
      <w:pPr>
        <w:shd w:val="clear"/>
        <w:ind w:firstLine="570"/>
        <w:rPr>
          <w:color w:val="auto"/>
          <w:highlight w:val="none"/>
        </w:rPr>
      </w:pPr>
      <w:r>
        <w:rPr>
          <w:color w:val="auto"/>
          <w:highlight w:val="none"/>
        </w:rPr>
        <w:t xml:space="preserve">GB/T 2101     </w:t>
      </w:r>
      <w:r>
        <w:rPr>
          <w:rFonts w:hint="eastAsia"/>
          <w:color w:val="auto"/>
          <w:highlight w:val="none"/>
        </w:rPr>
        <w:t>型钢验收、包装、标志及质量证明书的一般规定</w:t>
      </w:r>
    </w:p>
    <w:p>
      <w:pPr>
        <w:shd w:val="clear"/>
        <w:ind w:firstLine="570"/>
        <w:rPr>
          <w:color w:val="auto"/>
          <w:highlight w:val="none"/>
        </w:rPr>
      </w:pPr>
      <w:r>
        <w:rPr>
          <w:color w:val="auto"/>
          <w:highlight w:val="none"/>
        </w:rPr>
        <w:t>GB/T 4162-2022</w:t>
      </w:r>
      <w:r>
        <w:rPr>
          <w:rFonts w:hint="eastAsia"/>
          <w:color w:val="auto"/>
          <w:highlight w:val="none"/>
        </w:rPr>
        <w:t>锻轧钢棒超声检测方法</w:t>
      </w:r>
    </w:p>
    <w:p>
      <w:pPr>
        <w:shd w:val="clear"/>
        <w:ind w:firstLine="570"/>
        <w:rPr>
          <w:rFonts w:hint="default" w:eastAsia="宋体"/>
          <w:color w:val="auto"/>
          <w:highlight w:val="none"/>
          <w:lang w:val="en-US" w:eastAsia="zh-CN"/>
        </w:rPr>
      </w:pPr>
      <w:r>
        <w:rPr>
          <w:color w:val="auto"/>
          <w:highlight w:val="none"/>
        </w:rPr>
        <w:t>GB/T 4</w:t>
      </w:r>
      <w:r>
        <w:rPr>
          <w:rFonts w:hint="eastAsia"/>
          <w:color w:val="auto"/>
          <w:highlight w:val="none"/>
          <w:lang w:val="en-US" w:eastAsia="zh-CN"/>
        </w:rPr>
        <w:t>226-2009不锈钢冷加工钢棒</w:t>
      </w:r>
    </w:p>
    <w:p>
      <w:pPr>
        <w:shd w:val="clear"/>
        <w:ind w:firstLine="570"/>
        <w:rPr>
          <w:color w:val="auto"/>
          <w:highlight w:val="none"/>
        </w:rPr>
      </w:pPr>
      <w:r>
        <w:rPr>
          <w:color w:val="auto"/>
          <w:highlight w:val="none"/>
        </w:rPr>
        <w:t xml:space="preserve">GB/T 4334     </w:t>
      </w:r>
      <w:r>
        <w:rPr>
          <w:rFonts w:hint="eastAsia"/>
          <w:color w:val="auto"/>
          <w:highlight w:val="none"/>
        </w:rPr>
        <w:t>金属和合金的腐蚀</w:t>
      </w:r>
      <w:r>
        <w:rPr>
          <w:color w:val="auto"/>
          <w:highlight w:val="none"/>
        </w:rPr>
        <w:t xml:space="preserve"> </w:t>
      </w:r>
      <w:r>
        <w:rPr>
          <w:rFonts w:hint="eastAsia"/>
          <w:color w:val="auto"/>
          <w:highlight w:val="none"/>
        </w:rPr>
        <w:t>奥氏体及铁素体</w:t>
      </w:r>
      <w:r>
        <w:rPr>
          <w:color w:val="auto"/>
          <w:highlight w:val="none"/>
        </w:rPr>
        <w:t>-</w:t>
      </w:r>
      <w:r>
        <w:rPr>
          <w:rFonts w:hint="eastAsia"/>
          <w:color w:val="auto"/>
          <w:highlight w:val="none"/>
        </w:rPr>
        <w:t>奥氏体（</w:t>
      </w:r>
      <w:r>
        <w:rPr>
          <w:color w:val="auto"/>
          <w:highlight w:val="none"/>
        </w:rPr>
        <w:t></w:t>
      </w:r>
      <w:r>
        <w:rPr>
          <w:rFonts w:hint="eastAsia"/>
          <w:color w:val="auto"/>
          <w:highlight w:val="none"/>
        </w:rPr>
        <w:t>双相）不锈钢晶间腐蚀试验方法</w:t>
      </w:r>
    </w:p>
    <w:p>
      <w:pPr>
        <w:shd w:val="clear"/>
        <w:ind w:firstLine="570"/>
        <w:rPr>
          <w:color w:val="auto"/>
          <w:highlight w:val="none"/>
        </w:rPr>
      </w:pPr>
      <w:r>
        <w:rPr>
          <w:color w:val="auto"/>
          <w:highlight w:val="none"/>
        </w:rPr>
        <w:t xml:space="preserve">GB/T 6394     </w:t>
      </w:r>
      <w:r>
        <w:rPr>
          <w:rFonts w:hint="eastAsia"/>
          <w:color w:val="auto"/>
          <w:highlight w:val="none"/>
        </w:rPr>
        <w:t>金属平均晶粒度测定方法</w:t>
      </w:r>
    </w:p>
    <w:p>
      <w:pPr>
        <w:shd w:val="clear"/>
        <w:ind w:firstLine="570"/>
        <w:rPr>
          <w:color w:val="auto"/>
          <w:highlight w:val="none"/>
          <w:lang w:val="zh-CN"/>
        </w:rPr>
      </w:pPr>
      <w:r>
        <w:rPr>
          <w:color w:val="auto"/>
          <w:highlight w:val="none"/>
          <w:lang w:val="zh-CN"/>
        </w:rPr>
        <w:t>GB/T 7736</w:t>
      </w:r>
      <w:r>
        <w:rPr>
          <w:color w:val="auto"/>
          <w:highlight w:val="none"/>
        </w:rPr>
        <w:t xml:space="preserve">     </w:t>
      </w:r>
      <w:r>
        <w:rPr>
          <w:color w:val="auto"/>
          <w:highlight w:val="none"/>
        </w:rPr>
        <w:fldChar w:fldCharType="begin"/>
      </w:r>
      <w:r>
        <w:rPr>
          <w:color w:val="auto"/>
          <w:highlight w:val="none"/>
        </w:rPr>
        <w:instrText xml:space="preserve"> HYPERLINK "https://std.samr.gov.cn/gb/search/gbDetailed?id=71F772D759F3D3A7E05397BE0A0AB82A" \t "https://std.samr.gov.cn/search/_blank" </w:instrText>
      </w:r>
      <w:r>
        <w:rPr>
          <w:color w:val="auto"/>
          <w:highlight w:val="none"/>
        </w:rPr>
        <w:fldChar w:fldCharType="separate"/>
      </w:r>
      <w:r>
        <w:rPr>
          <w:rFonts w:hint="eastAsia"/>
          <w:color w:val="auto"/>
          <w:highlight w:val="none"/>
        </w:rPr>
        <w:t>钢的低倍缺陷超声波检验法</w:t>
      </w:r>
      <w:r>
        <w:rPr>
          <w:rFonts w:hint="eastAsia"/>
          <w:color w:val="auto"/>
          <w:highlight w:val="none"/>
        </w:rPr>
        <w:fldChar w:fldCharType="end"/>
      </w:r>
    </w:p>
    <w:p>
      <w:pPr>
        <w:shd w:val="clear"/>
        <w:ind w:firstLine="570"/>
        <w:rPr>
          <w:color w:val="auto"/>
          <w:highlight w:val="none"/>
        </w:rPr>
      </w:pPr>
      <w:r>
        <w:rPr>
          <w:color w:val="auto"/>
          <w:highlight w:val="none"/>
        </w:rPr>
        <w:t xml:space="preserve">GB/T 8170     </w:t>
      </w:r>
      <w:r>
        <w:rPr>
          <w:rFonts w:hint="eastAsia"/>
          <w:color w:val="auto"/>
          <w:highlight w:val="none"/>
        </w:rPr>
        <w:t>数值修约规则与极限数值的表示和判定</w:t>
      </w:r>
    </w:p>
    <w:p>
      <w:pPr>
        <w:shd w:val="clear"/>
        <w:ind w:firstLine="570"/>
        <w:rPr>
          <w:color w:val="auto"/>
          <w:highlight w:val="none"/>
        </w:rPr>
      </w:pPr>
      <w:r>
        <w:rPr>
          <w:color w:val="auto"/>
          <w:highlight w:val="none"/>
        </w:rPr>
        <w:t xml:space="preserve">GB/T 10561-2005    </w:t>
      </w:r>
      <w:r>
        <w:rPr>
          <w:rFonts w:hint="eastAsia"/>
          <w:color w:val="auto"/>
          <w:highlight w:val="none"/>
        </w:rPr>
        <w:t>钢中非金属夹杂物含量的测定</w:t>
      </w:r>
      <w:r>
        <w:rPr>
          <w:color w:val="auto"/>
          <w:highlight w:val="none"/>
        </w:rPr>
        <w:t xml:space="preserve">  </w:t>
      </w:r>
      <w:r>
        <w:rPr>
          <w:rFonts w:hint="eastAsia"/>
          <w:color w:val="auto"/>
          <w:highlight w:val="none"/>
        </w:rPr>
        <w:t>标准评级图显微检验法</w:t>
      </w:r>
    </w:p>
    <w:p>
      <w:pPr>
        <w:shd w:val="clear"/>
        <w:ind w:firstLine="570"/>
        <w:rPr>
          <w:color w:val="auto"/>
          <w:highlight w:val="none"/>
        </w:rPr>
      </w:pPr>
      <w:r>
        <w:rPr>
          <w:color w:val="auto"/>
          <w:highlight w:val="none"/>
        </w:rPr>
        <w:t xml:space="preserve">GB/T 11170    </w:t>
      </w:r>
      <w:r>
        <w:rPr>
          <w:rFonts w:hint="eastAsia"/>
          <w:color w:val="auto"/>
          <w:highlight w:val="none"/>
        </w:rPr>
        <w:t>不锈钢</w:t>
      </w:r>
      <w:r>
        <w:rPr>
          <w:color w:val="auto"/>
          <w:highlight w:val="none"/>
        </w:rPr>
        <w:t xml:space="preserve">  </w:t>
      </w:r>
      <w:r>
        <w:rPr>
          <w:rFonts w:hint="eastAsia"/>
          <w:color w:val="auto"/>
          <w:highlight w:val="none"/>
        </w:rPr>
        <w:t>多元素含量的测定</w:t>
      </w:r>
      <w:r>
        <w:rPr>
          <w:color w:val="auto"/>
          <w:highlight w:val="none"/>
        </w:rPr>
        <w:t xml:space="preserve">  </w:t>
      </w:r>
      <w:r>
        <w:rPr>
          <w:rFonts w:hint="eastAsia"/>
          <w:color w:val="auto"/>
          <w:highlight w:val="none"/>
        </w:rPr>
        <w:t>火花放电原子发射光谱法（常规法）</w:t>
      </w:r>
    </w:p>
    <w:p>
      <w:pPr>
        <w:shd w:val="clear"/>
        <w:ind w:firstLine="570"/>
        <w:rPr>
          <w:color w:val="auto"/>
          <w:highlight w:val="none"/>
        </w:rPr>
      </w:pPr>
      <w:r>
        <w:rPr>
          <w:color w:val="auto"/>
          <w:highlight w:val="none"/>
        </w:rPr>
        <w:t xml:space="preserve">GB/T 11261    </w:t>
      </w:r>
      <w:r>
        <w:rPr>
          <w:rFonts w:hint="eastAsia"/>
          <w:color w:val="auto"/>
          <w:highlight w:val="none"/>
        </w:rPr>
        <w:t>钢铁</w:t>
      </w:r>
      <w:r>
        <w:rPr>
          <w:color w:val="auto"/>
          <w:highlight w:val="none"/>
        </w:rPr>
        <w:t xml:space="preserve"> </w:t>
      </w:r>
      <w:r>
        <w:rPr>
          <w:rFonts w:hint="eastAsia"/>
          <w:color w:val="auto"/>
          <w:highlight w:val="none"/>
        </w:rPr>
        <w:t>氧含量的测定</w:t>
      </w:r>
      <w:r>
        <w:rPr>
          <w:color w:val="auto"/>
          <w:highlight w:val="none"/>
        </w:rPr>
        <w:t xml:space="preserve"> </w:t>
      </w:r>
      <w:r>
        <w:rPr>
          <w:rFonts w:hint="eastAsia"/>
          <w:color w:val="auto"/>
          <w:highlight w:val="none"/>
        </w:rPr>
        <w:t>脉冲加热惰气熔融</w:t>
      </w:r>
      <w:r>
        <w:rPr>
          <w:color w:val="auto"/>
          <w:highlight w:val="none"/>
        </w:rPr>
        <w:t>-</w:t>
      </w:r>
      <w:r>
        <w:rPr>
          <w:rFonts w:hint="eastAsia"/>
          <w:color w:val="auto"/>
          <w:highlight w:val="none"/>
        </w:rPr>
        <w:t>红外线吸收法</w:t>
      </w:r>
    </w:p>
    <w:p>
      <w:pPr>
        <w:shd w:val="clear"/>
        <w:ind w:firstLine="570"/>
        <w:rPr>
          <w:color w:val="auto"/>
          <w:highlight w:val="none"/>
        </w:rPr>
      </w:pPr>
      <w:r>
        <w:rPr>
          <w:color w:val="auto"/>
          <w:highlight w:val="none"/>
        </w:rPr>
        <w:t xml:space="preserve">GB/T 17505    </w:t>
      </w:r>
      <w:r>
        <w:rPr>
          <w:rFonts w:hint="eastAsia"/>
          <w:color w:val="auto"/>
          <w:highlight w:val="none"/>
        </w:rPr>
        <w:t>钢及钢产品</w:t>
      </w:r>
      <w:r>
        <w:rPr>
          <w:color w:val="auto"/>
          <w:highlight w:val="none"/>
        </w:rPr>
        <w:t xml:space="preserve">  </w:t>
      </w:r>
      <w:r>
        <w:rPr>
          <w:rFonts w:hint="eastAsia"/>
          <w:color w:val="auto"/>
          <w:highlight w:val="none"/>
        </w:rPr>
        <w:t>交货一般技术要求</w:t>
      </w:r>
    </w:p>
    <w:p>
      <w:pPr>
        <w:shd w:val="clear"/>
        <w:ind w:firstLine="570"/>
        <w:rPr>
          <w:color w:val="auto"/>
          <w:highlight w:val="none"/>
        </w:rPr>
      </w:pPr>
      <w:r>
        <w:rPr>
          <w:color w:val="auto"/>
          <w:highlight w:val="none"/>
        </w:rPr>
        <w:t xml:space="preserve">GB/T 20066    </w:t>
      </w:r>
      <w:r>
        <w:rPr>
          <w:rFonts w:hint="eastAsia"/>
          <w:color w:val="auto"/>
          <w:highlight w:val="none"/>
        </w:rPr>
        <w:t>钢和铁</w:t>
      </w:r>
      <w:r>
        <w:rPr>
          <w:color w:val="auto"/>
          <w:highlight w:val="none"/>
        </w:rPr>
        <w:t xml:space="preserve">  </w:t>
      </w:r>
      <w:r>
        <w:rPr>
          <w:rFonts w:hint="eastAsia"/>
          <w:color w:val="auto"/>
          <w:highlight w:val="none"/>
        </w:rPr>
        <w:t>化学分析测定用试样的取样和制样方法</w:t>
      </w:r>
    </w:p>
    <w:p>
      <w:pPr>
        <w:shd w:val="clear"/>
        <w:ind w:firstLine="570"/>
        <w:rPr>
          <w:color w:val="auto"/>
          <w:highlight w:val="none"/>
        </w:rPr>
      </w:pPr>
      <w:r>
        <w:rPr>
          <w:color w:val="auto"/>
          <w:highlight w:val="none"/>
        </w:rPr>
        <w:t xml:space="preserve">GB/T 20123    </w:t>
      </w:r>
      <w:r>
        <w:rPr>
          <w:rFonts w:hint="eastAsia"/>
          <w:color w:val="auto"/>
          <w:highlight w:val="none"/>
        </w:rPr>
        <w:t>钢铁</w:t>
      </w:r>
      <w:r>
        <w:rPr>
          <w:color w:val="auto"/>
          <w:highlight w:val="none"/>
        </w:rPr>
        <w:t xml:space="preserve"> </w:t>
      </w:r>
      <w:r>
        <w:rPr>
          <w:rFonts w:hint="eastAsia"/>
          <w:color w:val="auto"/>
          <w:highlight w:val="none"/>
        </w:rPr>
        <w:t>总碳硫含量的测定</w:t>
      </w:r>
      <w:r>
        <w:rPr>
          <w:color w:val="auto"/>
          <w:highlight w:val="none"/>
        </w:rPr>
        <w:t xml:space="preserve"> </w:t>
      </w:r>
      <w:r>
        <w:rPr>
          <w:rFonts w:hint="eastAsia"/>
          <w:color w:val="auto"/>
          <w:highlight w:val="none"/>
        </w:rPr>
        <w:t>高频感应炉燃烧后红外吸收法（常规方法）</w:t>
      </w:r>
    </w:p>
    <w:p>
      <w:pPr>
        <w:shd w:val="clear"/>
        <w:ind w:firstLine="570"/>
        <w:rPr>
          <w:rFonts w:hint="eastAsia"/>
          <w:color w:val="auto"/>
          <w:highlight w:val="none"/>
        </w:rPr>
      </w:pPr>
      <w:r>
        <w:rPr>
          <w:color w:val="auto"/>
          <w:highlight w:val="none"/>
        </w:rPr>
        <w:t xml:space="preserve">GB/T 20124    </w:t>
      </w:r>
      <w:r>
        <w:rPr>
          <w:rFonts w:hint="eastAsia"/>
          <w:color w:val="auto"/>
          <w:highlight w:val="none"/>
        </w:rPr>
        <w:t>钢铁</w:t>
      </w:r>
      <w:r>
        <w:rPr>
          <w:color w:val="auto"/>
          <w:highlight w:val="none"/>
        </w:rPr>
        <w:t xml:space="preserve"> </w:t>
      </w:r>
      <w:r>
        <w:rPr>
          <w:rFonts w:hint="eastAsia"/>
          <w:color w:val="auto"/>
          <w:highlight w:val="none"/>
        </w:rPr>
        <w:t>氮含量的测定</w:t>
      </w:r>
      <w:r>
        <w:rPr>
          <w:color w:val="auto"/>
          <w:highlight w:val="none"/>
        </w:rPr>
        <w:t xml:space="preserve"> </w:t>
      </w:r>
      <w:r>
        <w:rPr>
          <w:rFonts w:hint="eastAsia"/>
          <w:color w:val="auto"/>
          <w:highlight w:val="none"/>
        </w:rPr>
        <w:t>惰性气体熔融热导法（常规方法）</w:t>
      </w:r>
    </w:p>
    <w:p>
      <w:pPr>
        <w:shd w:val="clear"/>
        <w:ind w:firstLine="570"/>
        <w:rPr>
          <w:rFonts w:hint="eastAsia"/>
          <w:color w:val="auto"/>
          <w:highlight w:val="none"/>
        </w:rPr>
      </w:pPr>
      <w:r>
        <w:rPr>
          <w:rFonts w:hint="eastAsia"/>
          <w:color w:val="auto"/>
          <w:highlight w:val="none"/>
        </w:rPr>
        <w:t xml:space="preserve">GB/T 13288.4 </w:t>
      </w:r>
      <w:r>
        <w:rPr>
          <w:rFonts w:hint="eastAsia"/>
          <w:color w:val="auto"/>
          <w:highlight w:val="none"/>
          <w:lang w:val="en-US" w:eastAsia="zh-CN"/>
        </w:rPr>
        <w:t xml:space="preserve">  </w:t>
      </w:r>
      <w:r>
        <w:rPr>
          <w:rFonts w:hint="eastAsia"/>
          <w:color w:val="auto"/>
          <w:highlight w:val="none"/>
        </w:rPr>
        <w:t>涂覆涂料前钢材表面处理喷射清理后的钢材表面粗糙度特性第4部分：ISO表面粗糙度比较样块的校准和表面粗糙度的测定方法触针法</w:t>
      </w:r>
    </w:p>
    <w:p>
      <w:pPr>
        <w:shd w:val="clear"/>
        <w:ind w:firstLine="570"/>
        <w:rPr>
          <w:rFonts w:hint="eastAsia"/>
          <w:color w:val="auto"/>
          <w:highlight w:val="none"/>
        </w:rPr>
      </w:pPr>
      <w:r>
        <w:rPr>
          <w:rFonts w:hint="eastAsia"/>
          <w:color w:val="auto"/>
          <w:highlight w:val="none"/>
        </w:rPr>
        <w:t xml:space="preserve">GB/T </w:t>
      </w:r>
      <w:r>
        <w:rPr>
          <w:rFonts w:hint="eastAsia"/>
          <w:color w:val="auto"/>
          <w:highlight w:val="none"/>
          <w:lang w:val="en-US" w:eastAsia="zh-CN"/>
        </w:rPr>
        <w:t>13305   不锈钢中α相面积含量金相测定法</w:t>
      </w:r>
    </w:p>
    <w:p>
      <w:pPr>
        <w:pStyle w:val="18"/>
        <w:numPr>
          <w:ilvl w:val="0"/>
          <w:numId w:val="7"/>
        </w:numPr>
        <w:spacing w:before="312" w:after="312"/>
        <w:ind w:left="0" w:firstLine="0"/>
        <w:rPr>
          <w:rFonts w:ascii="Times New Roman"/>
          <w:highlight w:val="none"/>
        </w:rPr>
      </w:pPr>
      <w:r>
        <w:rPr>
          <w:rFonts w:hint="eastAsia" w:ascii="Times New Roman"/>
          <w:highlight w:val="none"/>
        </w:rPr>
        <w:t>术语和定义</w:t>
      </w:r>
    </w:p>
    <w:p>
      <w:pPr>
        <w:pStyle w:val="19"/>
        <w:ind w:firstLine="31680"/>
        <w:rPr>
          <w:rFonts w:hAnsi="Calibri"/>
          <w:highlight w:val="none"/>
        </w:rPr>
      </w:pPr>
      <w:r>
        <w:rPr>
          <w:rFonts w:hint="eastAsia" w:hAnsi="Calibri"/>
          <w:highlight w:val="none"/>
        </w:rPr>
        <w:t>本文件没有需要界定的术语和定义。</w:t>
      </w:r>
    </w:p>
    <w:p>
      <w:pPr>
        <w:pStyle w:val="18"/>
        <w:numPr>
          <w:ilvl w:val="0"/>
          <w:numId w:val="7"/>
        </w:numPr>
        <w:tabs>
          <w:tab w:val="left" w:pos="1301"/>
        </w:tabs>
        <w:spacing w:before="312" w:after="312"/>
        <w:ind w:left="0" w:firstLine="0"/>
        <w:rPr>
          <w:rFonts w:ascii="Times New Roman"/>
          <w:highlight w:val="none"/>
        </w:rPr>
      </w:pPr>
      <w:r>
        <w:rPr>
          <w:rFonts w:hint="eastAsia" w:ascii="Times New Roman"/>
          <w:highlight w:val="none"/>
        </w:rPr>
        <w:t>分类</w:t>
      </w:r>
      <w:r>
        <w:rPr>
          <w:rFonts w:ascii="Times New Roman"/>
          <w:highlight w:val="none"/>
        </w:rPr>
        <w:tab/>
      </w:r>
    </w:p>
    <w:p>
      <w:pPr>
        <w:pStyle w:val="21"/>
        <w:tabs>
          <w:tab w:val="left" w:pos="0"/>
        </w:tabs>
        <w:spacing w:before="156" w:after="156"/>
        <w:ind w:left="0" w:firstLine="0"/>
        <w:rPr>
          <w:rFonts w:ascii="Times New Roman" w:eastAsia="宋体"/>
          <w:highlight w:val="none"/>
        </w:rPr>
      </w:pPr>
      <w:r>
        <w:rPr>
          <w:rFonts w:hint="eastAsia" w:ascii="Times New Roman" w:eastAsia="宋体"/>
          <w:highlight w:val="none"/>
        </w:rPr>
        <w:t>钢棒按使用加工方法不同分为下列两类。钢棒的加工方法应在合同中注明，未注明默认为按照切削加工用钢供货</w:t>
      </w:r>
    </w:p>
    <w:p>
      <w:pPr>
        <w:pStyle w:val="43"/>
        <w:numPr>
          <w:ilvl w:val="0"/>
          <w:numId w:val="8"/>
        </w:numPr>
        <w:rPr>
          <w:highlight w:val="none"/>
        </w:rPr>
      </w:pPr>
      <w:r>
        <w:rPr>
          <w:rFonts w:hint="eastAsia"/>
          <w:highlight w:val="none"/>
        </w:rPr>
        <w:t>压力加工用钢</w:t>
      </w:r>
      <w:r>
        <w:rPr>
          <w:highlight w:val="none"/>
        </w:rPr>
        <w:t xml:space="preserve">  UP</w:t>
      </w:r>
    </w:p>
    <w:p>
      <w:pPr>
        <w:pStyle w:val="43"/>
        <w:numPr>
          <w:ilvl w:val="0"/>
          <w:numId w:val="9"/>
        </w:numPr>
        <w:ind w:left="0" w:firstLine="840" w:firstLineChars="400"/>
        <w:rPr>
          <w:highlight w:val="none"/>
        </w:rPr>
      </w:pPr>
      <w:r>
        <w:rPr>
          <w:rFonts w:hint="eastAsia"/>
          <w:highlight w:val="none"/>
        </w:rPr>
        <w:t>热压力加工</w:t>
      </w:r>
      <w:r>
        <w:rPr>
          <w:highlight w:val="none"/>
        </w:rPr>
        <w:t xml:space="preserve">   UHP</w:t>
      </w:r>
    </w:p>
    <w:p>
      <w:pPr>
        <w:pStyle w:val="43"/>
        <w:numPr>
          <w:ilvl w:val="0"/>
          <w:numId w:val="9"/>
        </w:numPr>
        <w:ind w:left="0" w:firstLine="840" w:firstLineChars="400"/>
        <w:rPr>
          <w:highlight w:val="none"/>
        </w:rPr>
      </w:pPr>
      <w:r>
        <w:rPr>
          <w:rFonts w:hint="eastAsia"/>
          <w:highlight w:val="none"/>
        </w:rPr>
        <w:t>冷拉坯料</w:t>
      </w:r>
      <w:r>
        <w:rPr>
          <w:highlight w:val="none"/>
        </w:rPr>
        <w:t xml:space="preserve">     UCD</w:t>
      </w:r>
    </w:p>
    <w:p>
      <w:pPr>
        <w:pStyle w:val="43"/>
        <w:numPr>
          <w:ilvl w:val="0"/>
          <w:numId w:val="8"/>
        </w:numPr>
        <w:rPr>
          <w:highlight w:val="none"/>
        </w:rPr>
      </w:pPr>
      <w:r>
        <w:rPr>
          <w:rFonts w:hint="eastAsia"/>
          <w:highlight w:val="none"/>
        </w:rPr>
        <w:t>切削加工用钢</w:t>
      </w:r>
      <w:r>
        <w:rPr>
          <w:highlight w:val="none"/>
        </w:rPr>
        <w:t xml:space="preserve">  UC</w:t>
      </w:r>
    </w:p>
    <w:p>
      <w:pPr>
        <w:pStyle w:val="18"/>
        <w:numPr>
          <w:ilvl w:val="0"/>
          <w:numId w:val="7"/>
        </w:numPr>
        <w:spacing w:before="312" w:after="312"/>
        <w:ind w:left="0" w:firstLine="0"/>
        <w:rPr>
          <w:rFonts w:ascii="Times New Roman"/>
          <w:highlight w:val="none"/>
        </w:rPr>
      </w:pPr>
      <w:r>
        <w:rPr>
          <w:rFonts w:hint="eastAsia" w:ascii="Times New Roman"/>
          <w:highlight w:val="none"/>
        </w:rPr>
        <w:t>订货内容</w:t>
      </w:r>
      <w:bookmarkEnd w:id="6"/>
    </w:p>
    <w:p>
      <w:pPr>
        <w:pStyle w:val="19"/>
        <w:ind w:firstLine="31680"/>
        <w:rPr>
          <w:rFonts w:ascii="Times New Roman"/>
          <w:szCs w:val="21"/>
          <w:highlight w:val="none"/>
        </w:rPr>
      </w:pPr>
      <w:bookmarkStart w:id="7" w:name="_Toc520380395"/>
      <w:r>
        <w:rPr>
          <w:rFonts w:hint="eastAsia" w:ascii="Times New Roman"/>
          <w:szCs w:val="21"/>
          <w:highlight w:val="none"/>
        </w:rPr>
        <w:t>按本文件订货的合同或订单应包括下列内容：</w:t>
      </w:r>
    </w:p>
    <w:p>
      <w:pPr>
        <w:pStyle w:val="19"/>
        <w:numPr>
          <w:ilvl w:val="0"/>
          <w:numId w:val="6"/>
        </w:numPr>
        <w:tabs>
          <w:tab w:val="clear" w:pos="4201"/>
          <w:tab w:val="clear" w:pos="9298"/>
        </w:tabs>
        <w:ind w:firstLineChars="0"/>
        <w:rPr>
          <w:rFonts w:ascii="Times New Roman"/>
          <w:szCs w:val="21"/>
          <w:highlight w:val="none"/>
        </w:rPr>
      </w:pPr>
      <w:r>
        <w:rPr>
          <w:rFonts w:hint="eastAsia" w:ascii="Times New Roman"/>
          <w:szCs w:val="21"/>
          <w:highlight w:val="none"/>
        </w:rPr>
        <w:t>本文件编号；</w:t>
      </w:r>
    </w:p>
    <w:p>
      <w:pPr>
        <w:pStyle w:val="19"/>
        <w:numPr>
          <w:ilvl w:val="0"/>
          <w:numId w:val="6"/>
        </w:numPr>
        <w:tabs>
          <w:tab w:val="clear" w:pos="4201"/>
          <w:tab w:val="clear" w:pos="9298"/>
        </w:tabs>
        <w:ind w:firstLineChars="0"/>
        <w:rPr>
          <w:rFonts w:ascii="Times New Roman"/>
          <w:szCs w:val="21"/>
          <w:highlight w:val="none"/>
        </w:rPr>
      </w:pPr>
      <w:r>
        <w:rPr>
          <w:rFonts w:hint="eastAsia" w:ascii="Times New Roman"/>
          <w:szCs w:val="21"/>
          <w:highlight w:val="none"/>
        </w:rPr>
        <w:t>产品名称；</w:t>
      </w:r>
    </w:p>
    <w:p>
      <w:pPr>
        <w:pStyle w:val="19"/>
        <w:numPr>
          <w:ilvl w:val="0"/>
          <w:numId w:val="6"/>
        </w:numPr>
        <w:tabs>
          <w:tab w:val="clear" w:pos="4201"/>
          <w:tab w:val="clear" w:pos="9298"/>
        </w:tabs>
        <w:ind w:firstLineChars="0"/>
        <w:rPr>
          <w:rFonts w:ascii="Times New Roman"/>
          <w:szCs w:val="21"/>
          <w:highlight w:val="none"/>
        </w:rPr>
      </w:pPr>
      <w:r>
        <w:rPr>
          <w:rFonts w:hint="eastAsia" w:ascii="Times New Roman"/>
          <w:szCs w:val="21"/>
          <w:highlight w:val="none"/>
        </w:rPr>
        <w:t>牌号；</w:t>
      </w:r>
    </w:p>
    <w:p>
      <w:pPr>
        <w:pStyle w:val="19"/>
        <w:numPr>
          <w:ilvl w:val="0"/>
          <w:numId w:val="6"/>
        </w:numPr>
        <w:tabs>
          <w:tab w:val="clear" w:pos="4201"/>
          <w:tab w:val="clear" w:pos="9298"/>
        </w:tabs>
        <w:ind w:firstLineChars="0"/>
        <w:rPr>
          <w:rFonts w:ascii="Times New Roman"/>
          <w:szCs w:val="21"/>
          <w:highlight w:val="none"/>
        </w:rPr>
      </w:pPr>
      <w:r>
        <w:rPr>
          <w:rFonts w:hint="eastAsia" w:ascii="Times New Roman"/>
          <w:szCs w:val="21"/>
          <w:highlight w:val="none"/>
        </w:rPr>
        <w:t>截面形状（圆、方、扁、六角等）</w:t>
      </w:r>
    </w:p>
    <w:p>
      <w:pPr>
        <w:pStyle w:val="19"/>
        <w:numPr>
          <w:ilvl w:val="0"/>
          <w:numId w:val="6"/>
        </w:numPr>
        <w:tabs>
          <w:tab w:val="clear" w:pos="4201"/>
          <w:tab w:val="clear" w:pos="9298"/>
        </w:tabs>
        <w:ind w:firstLineChars="0"/>
        <w:rPr>
          <w:rFonts w:ascii="Times New Roman"/>
          <w:szCs w:val="21"/>
          <w:highlight w:val="none"/>
        </w:rPr>
      </w:pPr>
      <w:r>
        <w:rPr>
          <w:rFonts w:hint="eastAsia" w:ascii="Times New Roman"/>
          <w:szCs w:val="21"/>
          <w:highlight w:val="none"/>
        </w:rPr>
        <w:t>尺寸与外形；</w:t>
      </w:r>
    </w:p>
    <w:p>
      <w:pPr>
        <w:pStyle w:val="19"/>
        <w:numPr>
          <w:ilvl w:val="0"/>
          <w:numId w:val="6"/>
        </w:numPr>
        <w:tabs>
          <w:tab w:val="clear" w:pos="4201"/>
          <w:tab w:val="clear" w:pos="9298"/>
        </w:tabs>
        <w:ind w:firstLineChars="0"/>
        <w:rPr>
          <w:rFonts w:ascii="Times New Roman"/>
          <w:szCs w:val="21"/>
          <w:highlight w:val="none"/>
        </w:rPr>
      </w:pPr>
      <w:r>
        <w:rPr>
          <w:rFonts w:hint="eastAsia" w:ascii="Times New Roman"/>
          <w:szCs w:val="21"/>
          <w:highlight w:val="none"/>
        </w:rPr>
        <w:t>交货长度；</w:t>
      </w:r>
    </w:p>
    <w:p>
      <w:pPr>
        <w:pStyle w:val="19"/>
        <w:numPr>
          <w:ilvl w:val="0"/>
          <w:numId w:val="6"/>
        </w:numPr>
        <w:tabs>
          <w:tab w:val="clear" w:pos="4201"/>
          <w:tab w:val="clear" w:pos="9298"/>
        </w:tabs>
        <w:ind w:firstLineChars="0"/>
        <w:rPr>
          <w:rFonts w:ascii="Times New Roman"/>
          <w:szCs w:val="21"/>
          <w:highlight w:val="none"/>
        </w:rPr>
      </w:pPr>
      <w:r>
        <w:rPr>
          <w:rFonts w:hint="eastAsia" w:ascii="Times New Roman"/>
          <w:szCs w:val="21"/>
          <w:highlight w:val="none"/>
        </w:rPr>
        <w:t>交货重量（或数量）；</w:t>
      </w:r>
    </w:p>
    <w:p>
      <w:pPr>
        <w:pStyle w:val="19"/>
        <w:numPr>
          <w:ilvl w:val="0"/>
          <w:numId w:val="6"/>
        </w:numPr>
        <w:tabs>
          <w:tab w:val="clear" w:pos="4201"/>
          <w:tab w:val="clear" w:pos="9298"/>
        </w:tabs>
        <w:ind w:firstLineChars="0"/>
        <w:rPr>
          <w:rFonts w:ascii="Times New Roman"/>
          <w:szCs w:val="21"/>
          <w:highlight w:val="none"/>
        </w:rPr>
      </w:pPr>
      <w:r>
        <w:rPr>
          <w:rFonts w:hint="eastAsia" w:ascii="Times New Roman"/>
          <w:szCs w:val="21"/>
          <w:highlight w:val="none"/>
        </w:rPr>
        <w:t>冶炼方法；</w:t>
      </w:r>
    </w:p>
    <w:p>
      <w:pPr>
        <w:pStyle w:val="19"/>
        <w:numPr>
          <w:ilvl w:val="0"/>
          <w:numId w:val="6"/>
        </w:numPr>
        <w:tabs>
          <w:tab w:val="clear" w:pos="4201"/>
          <w:tab w:val="clear" w:pos="9298"/>
        </w:tabs>
        <w:ind w:firstLineChars="0"/>
        <w:rPr>
          <w:rFonts w:ascii="Times New Roman"/>
          <w:szCs w:val="21"/>
          <w:highlight w:val="none"/>
        </w:rPr>
      </w:pPr>
      <w:r>
        <w:rPr>
          <w:rFonts w:hint="eastAsia" w:ascii="Times New Roman"/>
          <w:szCs w:val="21"/>
          <w:highlight w:val="none"/>
        </w:rPr>
        <w:t>交货状态；</w:t>
      </w:r>
    </w:p>
    <w:p>
      <w:pPr>
        <w:pStyle w:val="19"/>
        <w:numPr>
          <w:ilvl w:val="0"/>
          <w:numId w:val="6"/>
        </w:numPr>
        <w:tabs>
          <w:tab w:val="clear" w:pos="4201"/>
          <w:tab w:val="clear" w:pos="9298"/>
        </w:tabs>
        <w:ind w:firstLineChars="0"/>
        <w:rPr>
          <w:rFonts w:ascii="Times New Roman"/>
          <w:szCs w:val="21"/>
          <w:highlight w:val="none"/>
        </w:rPr>
      </w:pPr>
      <w:r>
        <w:rPr>
          <w:rFonts w:hint="eastAsia" w:ascii="Times New Roman"/>
          <w:szCs w:val="21"/>
          <w:highlight w:val="none"/>
        </w:rPr>
        <w:t>其他特殊要求。</w:t>
      </w:r>
    </w:p>
    <w:p>
      <w:pPr>
        <w:pStyle w:val="18"/>
        <w:numPr>
          <w:ilvl w:val="0"/>
          <w:numId w:val="7"/>
        </w:numPr>
        <w:spacing w:before="312" w:after="312"/>
        <w:ind w:left="0" w:firstLine="0"/>
        <w:rPr>
          <w:rFonts w:ascii="Times New Roman"/>
          <w:highlight w:val="none"/>
        </w:rPr>
      </w:pPr>
      <w:r>
        <w:rPr>
          <w:rFonts w:hint="eastAsia" w:ascii="Times New Roman"/>
          <w:highlight w:val="none"/>
        </w:rPr>
        <w:t>尺寸、外形、重量</w:t>
      </w:r>
      <w:bookmarkEnd w:id="7"/>
    </w:p>
    <w:p>
      <w:pPr>
        <w:pStyle w:val="21"/>
        <w:numPr>
          <w:ilvl w:val="1"/>
          <w:numId w:val="7"/>
        </w:numPr>
        <w:spacing w:before="156" w:after="156"/>
        <w:ind w:left="0" w:firstLine="0"/>
        <w:rPr>
          <w:rFonts w:ascii="Times New Roman"/>
          <w:highlight w:val="none"/>
          <w:lang w:val="zh-CN"/>
        </w:rPr>
      </w:pPr>
      <w:r>
        <w:rPr>
          <w:rFonts w:hint="eastAsia" w:ascii="Times New Roman"/>
          <w:highlight w:val="none"/>
        </w:rPr>
        <w:t>热轧钢棒的尺寸、外形</w:t>
      </w:r>
      <w:r>
        <w:rPr>
          <w:rFonts w:hint="eastAsia" w:ascii="Times New Roman"/>
          <w:highlight w:val="none"/>
          <w:lang w:val="zh-CN"/>
        </w:rPr>
        <w:t>及允许偏差</w:t>
      </w:r>
    </w:p>
    <w:p>
      <w:pPr>
        <w:pStyle w:val="26"/>
        <w:spacing w:before="156" w:after="156"/>
        <w:ind w:left="0" w:firstLine="420" w:firstLineChars="200"/>
        <w:rPr>
          <w:rFonts w:ascii="宋体" w:hAnsi="宋体" w:eastAsia="宋体" w:cs="宋体"/>
          <w:highlight w:val="none"/>
          <w:lang w:val="zh-CN"/>
        </w:rPr>
      </w:pPr>
      <w:r>
        <w:rPr>
          <w:rFonts w:hint="eastAsia" w:ascii="宋体" w:hAnsi="宋体" w:eastAsia="宋体" w:cs="宋体"/>
          <w:highlight w:val="none"/>
        </w:rPr>
        <w:t>热轧钢棒的尺寸、外形及允许偏差应符合</w:t>
      </w:r>
      <w:bookmarkStart w:id="8" w:name="OLE_LINK2"/>
      <w:r>
        <w:rPr>
          <w:rFonts w:ascii="宋体" w:hAnsi="宋体" w:eastAsia="宋体" w:cs="宋体"/>
          <w:highlight w:val="none"/>
        </w:rPr>
        <w:t>GB/T 702</w:t>
      </w:r>
      <w:bookmarkEnd w:id="8"/>
      <w:r>
        <w:rPr>
          <w:rFonts w:hint="eastAsia" w:ascii="宋体" w:hAnsi="宋体" w:eastAsia="宋体" w:cs="宋体"/>
          <w:highlight w:val="none"/>
          <w:lang w:val="en-US" w:eastAsia="zh-CN"/>
        </w:rPr>
        <w:t>-2017</w:t>
      </w:r>
      <w:r>
        <w:rPr>
          <w:rFonts w:hint="eastAsia" w:ascii="宋体" w:hAnsi="宋体" w:eastAsia="宋体" w:cs="宋体"/>
          <w:highlight w:val="none"/>
        </w:rPr>
        <w:t>的规定。</w:t>
      </w:r>
    </w:p>
    <w:p>
      <w:pPr>
        <w:pStyle w:val="21"/>
        <w:numPr>
          <w:ilvl w:val="1"/>
          <w:numId w:val="7"/>
        </w:numPr>
        <w:spacing w:before="156" w:after="156"/>
        <w:ind w:left="0" w:firstLine="0"/>
        <w:rPr>
          <w:rFonts w:ascii="Times New Roman"/>
          <w:highlight w:val="none"/>
          <w:lang w:val="zh-CN"/>
        </w:rPr>
      </w:pPr>
      <w:bookmarkStart w:id="9" w:name="bookmark7"/>
      <w:r>
        <w:rPr>
          <w:rFonts w:hint="eastAsia" w:ascii="Times New Roman"/>
          <w:highlight w:val="none"/>
        </w:rPr>
        <w:t>冷拉钢棒的尺寸、外形</w:t>
      </w:r>
      <w:r>
        <w:rPr>
          <w:rFonts w:hint="eastAsia" w:ascii="Times New Roman"/>
          <w:highlight w:val="none"/>
          <w:lang w:val="zh-CN"/>
        </w:rPr>
        <w:t>及允许偏差</w:t>
      </w:r>
    </w:p>
    <w:p>
      <w:pPr>
        <w:pStyle w:val="21"/>
        <w:tabs>
          <w:tab w:val="left" w:pos="2340"/>
        </w:tabs>
        <w:spacing w:before="156" w:after="156"/>
        <w:ind w:left="0" w:firstLine="420" w:firstLineChars="200"/>
        <w:rPr>
          <w:rFonts w:ascii="宋体" w:hAnsi="宋体" w:eastAsia="宋体" w:cs="宋体"/>
          <w:highlight w:val="none"/>
        </w:rPr>
      </w:pPr>
      <w:r>
        <w:rPr>
          <w:rFonts w:hint="eastAsia" w:ascii="宋体" w:hAnsi="宋体" w:eastAsia="宋体" w:cs="宋体"/>
          <w:highlight w:val="none"/>
        </w:rPr>
        <w:t>冷拉钢棒的尺寸、外形及允许偏差应符合</w:t>
      </w:r>
      <w:r>
        <w:rPr>
          <w:rFonts w:ascii="宋体" w:hAnsi="宋体" w:eastAsia="宋体" w:cs="宋体"/>
          <w:highlight w:val="none"/>
        </w:rPr>
        <w:t>GB/T 905</w:t>
      </w:r>
      <w:r>
        <w:rPr>
          <w:rFonts w:hint="eastAsia" w:ascii="宋体" w:hAnsi="宋体" w:eastAsia="宋体" w:cs="宋体"/>
          <w:highlight w:val="none"/>
          <w:lang w:val="en-US" w:eastAsia="zh-CN"/>
        </w:rPr>
        <w:t>-1994</w:t>
      </w:r>
      <w:r>
        <w:rPr>
          <w:rFonts w:hint="eastAsia" w:ascii="宋体" w:hAnsi="宋体" w:eastAsia="宋体" w:cs="宋体"/>
          <w:highlight w:val="none"/>
        </w:rPr>
        <w:t>的规定。</w:t>
      </w:r>
      <w:bookmarkEnd w:id="9"/>
    </w:p>
    <w:p>
      <w:pPr>
        <w:pStyle w:val="21"/>
        <w:numPr>
          <w:ilvl w:val="1"/>
          <w:numId w:val="7"/>
        </w:numPr>
        <w:spacing w:before="156" w:after="156"/>
        <w:ind w:left="0" w:firstLine="0"/>
        <w:rPr>
          <w:rFonts w:ascii="Times New Roman"/>
          <w:highlight w:val="none"/>
          <w:lang w:val="zh-CN"/>
        </w:rPr>
      </w:pPr>
      <w:r>
        <w:rPr>
          <w:rFonts w:hint="eastAsia" w:ascii="Times New Roman"/>
          <w:highlight w:val="none"/>
          <w:lang w:val="zh-CN"/>
        </w:rPr>
        <w:t>重量</w:t>
      </w:r>
    </w:p>
    <w:p>
      <w:pPr>
        <w:widowControl/>
        <w:spacing w:line="360" w:lineRule="exact"/>
        <w:ind w:firstLine="420" w:firstLineChars="200"/>
        <w:jc w:val="left"/>
        <w:outlineLvl w:val="3"/>
        <w:rPr>
          <w:szCs w:val="22"/>
          <w:highlight w:val="none"/>
          <w:lang w:val="zh-CN"/>
        </w:rPr>
      </w:pPr>
      <w:r>
        <w:rPr>
          <w:rFonts w:hint="eastAsia"/>
          <w:szCs w:val="22"/>
          <w:highlight w:val="none"/>
        </w:rPr>
        <w:t>钢棒</w:t>
      </w:r>
      <w:r>
        <w:rPr>
          <w:rFonts w:hint="eastAsia"/>
          <w:szCs w:val="22"/>
          <w:highlight w:val="none"/>
          <w:lang w:val="zh-CN"/>
        </w:rPr>
        <w:t>按实际重量交货。</w:t>
      </w:r>
    </w:p>
    <w:p>
      <w:pPr>
        <w:pStyle w:val="18"/>
        <w:numPr>
          <w:ilvl w:val="0"/>
          <w:numId w:val="7"/>
        </w:numPr>
        <w:spacing w:before="312" w:after="312"/>
        <w:ind w:left="0" w:firstLine="0"/>
        <w:rPr>
          <w:rFonts w:ascii="Times New Roman"/>
          <w:highlight w:val="none"/>
        </w:rPr>
      </w:pPr>
      <w:r>
        <w:rPr>
          <w:rFonts w:hint="eastAsia" w:ascii="Times New Roman"/>
          <w:highlight w:val="none"/>
        </w:rPr>
        <w:t>技术要求</w:t>
      </w:r>
    </w:p>
    <w:p>
      <w:pPr>
        <w:pStyle w:val="21"/>
        <w:numPr>
          <w:ilvl w:val="1"/>
          <w:numId w:val="7"/>
        </w:numPr>
        <w:spacing w:before="156" w:after="156"/>
        <w:ind w:left="0" w:firstLine="0"/>
        <w:rPr>
          <w:rFonts w:ascii="Times New Roman"/>
          <w:highlight w:val="none"/>
        </w:rPr>
      </w:pPr>
      <w:r>
        <w:rPr>
          <w:rFonts w:hint="eastAsia" w:ascii="Times New Roman"/>
          <w:highlight w:val="none"/>
        </w:rPr>
        <w:t>牌号及化学成分</w:t>
      </w:r>
    </w:p>
    <w:p>
      <w:pPr>
        <w:pStyle w:val="26"/>
        <w:numPr>
          <w:ilvl w:val="2"/>
          <w:numId w:val="7"/>
        </w:numPr>
        <w:spacing w:before="156" w:after="156"/>
        <w:ind w:left="0" w:firstLine="0"/>
        <w:rPr>
          <w:rFonts w:ascii="宋体" w:hAnsi="宋体" w:eastAsia="宋体" w:cs="宋体"/>
          <w:highlight w:val="none"/>
        </w:rPr>
      </w:pPr>
      <w:r>
        <w:rPr>
          <w:rFonts w:hint="eastAsia" w:ascii="宋体" w:hAnsi="宋体" w:eastAsia="宋体" w:cs="宋体"/>
          <w:highlight w:val="none"/>
        </w:rPr>
        <w:t>钢的牌号及化学成分（熔炼分析）应符合表</w:t>
      </w:r>
      <w:r>
        <w:rPr>
          <w:rFonts w:ascii="宋体" w:hAnsi="宋体" w:eastAsia="宋体" w:cs="宋体"/>
          <w:highlight w:val="none"/>
        </w:rPr>
        <w:t>1</w:t>
      </w:r>
      <w:r>
        <w:rPr>
          <w:rFonts w:hint="eastAsia" w:ascii="宋体" w:hAnsi="宋体" w:eastAsia="宋体" w:cs="宋体"/>
          <w:highlight w:val="none"/>
        </w:rPr>
        <w:t>、表</w:t>
      </w:r>
      <w:r>
        <w:rPr>
          <w:rFonts w:ascii="宋体" w:hAnsi="宋体" w:eastAsia="宋体" w:cs="宋体"/>
          <w:highlight w:val="none"/>
        </w:rPr>
        <w:t>2</w:t>
      </w:r>
      <w:r>
        <w:rPr>
          <w:rFonts w:hint="eastAsia" w:ascii="宋体" w:hAnsi="宋体" w:eastAsia="宋体" w:cs="宋体"/>
          <w:highlight w:val="none"/>
        </w:rPr>
        <w:t>的规定</w:t>
      </w:r>
      <w:r>
        <w:rPr>
          <w:rFonts w:hint="eastAsia" w:ascii="宋体" w:hAnsi="宋体" w:eastAsia="宋体" w:cs="宋体"/>
          <w:highlight w:val="none"/>
          <w:lang w:val="en-US" w:eastAsia="zh-CN"/>
        </w:rPr>
        <w:t>，</w:t>
      </w:r>
      <w:r>
        <w:rPr>
          <w:rFonts w:hint="eastAsia" w:ascii="宋体" w:hAnsi="宋体" w:eastAsia="宋体" w:cs="宋体"/>
          <w:highlight w:val="none"/>
        </w:rPr>
        <w:t>本文件牌号与其它文件牌号对照参见附录</w:t>
      </w:r>
      <w:r>
        <w:rPr>
          <w:rFonts w:ascii="宋体" w:hAnsi="宋体" w:eastAsia="宋体" w:cs="宋体"/>
          <w:highlight w:val="none"/>
        </w:rPr>
        <w:t>A</w:t>
      </w:r>
      <w:r>
        <w:rPr>
          <w:rFonts w:hint="eastAsia" w:ascii="宋体" w:hAnsi="宋体" w:eastAsia="宋体" w:cs="宋体"/>
          <w:highlight w:val="none"/>
        </w:rPr>
        <w:t>。</w:t>
      </w:r>
    </w:p>
    <w:p>
      <w:pPr>
        <w:pStyle w:val="26"/>
        <w:numPr>
          <w:ilvl w:val="2"/>
          <w:numId w:val="7"/>
        </w:numPr>
        <w:spacing w:before="156" w:after="156"/>
        <w:ind w:left="0" w:firstLine="0"/>
        <w:rPr>
          <w:rFonts w:ascii="宋体" w:hAnsi="宋体" w:eastAsia="宋体" w:cs="宋体"/>
          <w:highlight w:val="none"/>
        </w:rPr>
        <w:sectPr>
          <w:headerReference r:id="rId8" w:type="first"/>
          <w:footerReference r:id="rId11" w:type="first"/>
          <w:headerReference r:id="rId6" w:type="default"/>
          <w:footerReference r:id="rId9" w:type="default"/>
          <w:headerReference r:id="rId7" w:type="even"/>
          <w:footerReference r:id="rId10" w:type="even"/>
          <w:pgSz w:w="11906" w:h="16838"/>
          <w:pgMar w:top="567" w:right="1134" w:bottom="1134" w:left="1418" w:header="1418" w:footer="1134" w:gutter="0"/>
          <w:pgNumType w:start="1"/>
          <w:cols w:space="720" w:num="1"/>
          <w:formProt w:val="0"/>
          <w:docGrid w:type="lines" w:linePitch="312" w:charSpace="0"/>
        </w:sectPr>
      </w:pPr>
      <w:r>
        <w:rPr>
          <w:rFonts w:hint="eastAsia" w:ascii="宋体" w:hAnsi="宋体" w:eastAsia="宋体" w:cs="宋体"/>
          <w:highlight w:val="none"/>
          <w:lang w:val="en-US" w:eastAsia="zh-CN"/>
        </w:rPr>
        <w:t>经供需双方协商并在合同中注明，可供应其他牌号和化学成分的钢棒</w:t>
      </w:r>
      <w:r>
        <w:rPr>
          <w:rFonts w:hint="eastAsia" w:ascii="宋体" w:hAnsi="宋体" w:eastAsia="宋体" w:cs="宋体"/>
          <w:highlight w:val="none"/>
        </w:rPr>
        <w:t>。</w:t>
      </w:r>
    </w:p>
    <w:p>
      <w:pPr>
        <w:pStyle w:val="24"/>
        <w:numPr>
          <w:ilvl w:val="0"/>
          <w:numId w:val="10"/>
        </w:numPr>
        <w:spacing w:before="156" w:after="156"/>
        <w:rPr>
          <w:rFonts w:ascii="Times New Roman"/>
          <w:highlight w:val="none"/>
        </w:rPr>
      </w:pPr>
      <w:bookmarkStart w:id="10" w:name="_Toc520380396"/>
      <w:r>
        <w:rPr>
          <w:rFonts w:hint="eastAsia" w:ascii="Times New Roman"/>
          <w:highlight w:val="none"/>
        </w:rPr>
        <w:t>钢的牌号及化学成分（熔炼分析）</w:t>
      </w:r>
    </w:p>
    <w:tbl>
      <w:tblPr>
        <w:tblStyle w:val="7"/>
        <w:tblW w:w="4995"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88"/>
        <w:gridCol w:w="704"/>
        <w:gridCol w:w="532"/>
        <w:gridCol w:w="532"/>
        <w:gridCol w:w="706"/>
        <w:gridCol w:w="728"/>
        <w:gridCol w:w="908"/>
        <w:gridCol w:w="908"/>
        <w:gridCol w:w="807"/>
        <w:gridCol w:w="598"/>
        <w:gridCol w:w="707"/>
        <w:gridCol w:w="7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blHeader/>
          <w:jc w:val="center"/>
        </w:trPr>
        <w:tc>
          <w:tcPr>
            <w:tcW w:w="883" w:type="pct"/>
            <w:vMerge w:val="restart"/>
            <w:tcBorders>
              <w:top w:val="single" w:color="auto" w:sz="12" w:space="0"/>
            </w:tcBorders>
            <w:vAlign w:val="center"/>
          </w:tcPr>
          <w:p>
            <w:pPr>
              <w:spacing w:line="240" w:lineRule="exact"/>
              <w:jc w:val="center"/>
              <w:rPr>
                <w:rFonts w:ascii="宋体"/>
                <w:sz w:val="18"/>
                <w:highlight w:val="none"/>
              </w:rPr>
            </w:pPr>
            <w:r>
              <w:rPr>
                <w:rFonts w:hint="eastAsia" w:ascii="宋体" w:hAnsi="宋体" w:cs="宋体"/>
                <w:sz w:val="18"/>
                <w:szCs w:val="18"/>
                <w:highlight w:val="none"/>
              </w:rPr>
              <w:t>牌号</w:t>
            </w:r>
          </w:p>
        </w:tc>
        <w:tc>
          <w:tcPr>
            <w:tcW w:w="4117" w:type="pct"/>
            <w:gridSpan w:val="11"/>
            <w:tcBorders>
              <w:top w:val="single" w:color="auto" w:sz="12" w:space="0"/>
              <w:right w:val="single" w:color="auto" w:sz="4" w:space="0"/>
            </w:tcBorders>
          </w:tcPr>
          <w:p>
            <w:pPr>
              <w:spacing w:line="240" w:lineRule="exact"/>
              <w:jc w:val="center"/>
              <w:rPr>
                <w:rFonts w:ascii="宋体"/>
                <w:sz w:val="18"/>
                <w:highlight w:val="none"/>
              </w:rPr>
            </w:pPr>
            <w:r>
              <w:rPr>
                <w:rFonts w:hint="eastAsia" w:ascii="宋体" w:hAnsi="宋体" w:cs="宋体"/>
                <w:sz w:val="18"/>
                <w:szCs w:val="18"/>
                <w:highlight w:val="none"/>
              </w:rPr>
              <w:t>化学成分（质量分数）</w:t>
            </w:r>
            <w:r>
              <w:rPr>
                <w:rFonts w:ascii="宋体" w:hAnsi="宋体" w:cs="宋体"/>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9" w:hRule="atLeast"/>
          <w:tblHeader/>
          <w:jc w:val="center"/>
        </w:trPr>
        <w:tc>
          <w:tcPr>
            <w:tcW w:w="883" w:type="pct"/>
            <w:vMerge w:val="continue"/>
            <w:vAlign w:val="center"/>
          </w:tcPr>
          <w:p>
            <w:pPr>
              <w:spacing w:line="240" w:lineRule="exact"/>
              <w:jc w:val="center"/>
              <w:rPr>
                <w:rFonts w:ascii="宋体"/>
                <w:sz w:val="18"/>
                <w:highlight w:val="none"/>
              </w:rPr>
            </w:pPr>
          </w:p>
        </w:tc>
        <w:tc>
          <w:tcPr>
            <w:tcW w:w="368" w:type="pct"/>
            <w:tcBorders>
              <w:bottom w:val="single" w:color="auto" w:sz="12" w:space="0"/>
            </w:tcBorders>
            <w:vAlign w:val="center"/>
          </w:tcPr>
          <w:p>
            <w:pPr>
              <w:spacing w:line="240" w:lineRule="exact"/>
              <w:jc w:val="center"/>
              <w:rPr>
                <w:rFonts w:ascii="宋体"/>
                <w:sz w:val="18"/>
                <w:highlight w:val="none"/>
              </w:rPr>
            </w:pPr>
            <w:r>
              <w:rPr>
                <w:rFonts w:ascii="宋体"/>
                <w:sz w:val="18"/>
                <w:highlight w:val="none"/>
              </w:rPr>
              <w:t>C</w:t>
            </w:r>
          </w:p>
        </w:tc>
        <w:tc>
          <w:tcPr>
            <w:tcW w:w="278" w:type="pct"/>
            <w:tcBorders>
              <w:bottom w:val="single" w:color="auto" w:sz="12" w:space="0"/>
            </w:tcBorders>
            <w:vAlign w:val="center"/>
          </w:tcPr>
          <w:p>
            <w:pPr>
              <w:spacing w:line="240" w:lineRule="exact"/>
              <w:jc w:val="center"/>
              <w:rPr>
                <w:rFonts w:ascii="宋体"/>
                <w:sz w:val="18"/>
                <w:highlight w:val="none"/>
              </w:rPr>
            </w:pPr>
            <w:r>
              <w:rPr>
                <w:rFonts w:ascii="宋体"/>
                <w:sz w:val="18"/>
                <w:highlight w:val="none"/>
              </w:rPr>
              <w:t>Si</w:t>
            </w:r>
          </w:p>
        </w:tc>
        <w:tc>
          <w:tcPr>
            <w:tcW w:w="278" w:type="pct"/>
            <w:tcBorders>
              <w:bottom w:val="single" w:color="auto" w:sz="12" w:space="0"/>
            </w:tcBorders>
            <w:vAlign w:val="center"/>
          </w:tcPr>
          <w:p>
            <w:pPr>
              <w:spacing w:line="240" w:lineRule="exact"/>
              <w:jc w:val="center"/>
              <w:rPr>
                <w:rFonts w:ascii="宋体"/>
                <w:sz w:val="18"/>
                <w:highlight w:val="none"/>
              </w:rPr>
            </w:pPr>
            <w:r>
              <w:rPr>
                <w:rFonts w:ascii="宋体"/>
                <w:sz w:val="18"/>
                <w:highlight w:val="none"/>
              </w:rPr>
              <w:t>Mn</w:t>
            </w:r>
          </w:p>
        </w:tc>
        <w:tc>
          <w:tcPr>
            <w:tcW w:w="369" w:type="pct"/>
            <w:tcBorders>
              <w:bottom w:val="single" w:color="auto" w:sz="12" w:space="0"/>
            </w:tcBorders>
            <w:vAlign w:val="center"/>
          </w:tcPr>
          <w:p>
            <w:pPr>
              <w:spacing w:line="240" w:lineRule="exact"/>
              <w:jc w:val="center"/>
              <w:rPr>
                <w:rFonts w:ascii="宋体"/>
                <w:sz w:val="18"/>
                <w:highlight w:val="none"/>
              </w:rPr>
            </w:pPr>
            <w:r>
              <w:rPr>
                <w:rFonts w:ascii="宋体"/>
                <w:sz w:val="18"/>
                <w:highlight w:val="none"/>
              </w:rPr>
              <w:t>P</w:t>
            </w:r>
          </w:p>
        </w:tc>
        <w:tc>
          <w:tcPr>
            <w:tcW w:w="381" w:type="pct"/>
            <w:tcBorders>
              <w:bottom w:val="single" w:color="auto" w:sz="12" w:space="0"/>
            </w:tcBorders>
            <w:vAlign w:val="center"/>
          </w:tcPr>
          <w:p>
            <w:pPr>
              <w:spacing w:line="240" w:lineRule="exact"/>
              <w:jc w:val="center"/>
              <w:rPr>
                <w:rFonts w:ascii="宋体"/>
                <w:sz w:val="18"/>
                <w:highlight w:val="none"/>
              </w:rPr>
            </w:pPr>
            <w:r>
              <w:rPr>
                <w:rFonts w:ascii="宋体"/>
                <w:sz w:val="18"/>
                <w:highlight w:val="none"/>
              </w:rPr>
              <w:t>S</w:t>
            </w:r>
          </w:p>
        </w:tc>
        <w:tc>
          <w:tcPr>
            <w:tcW w:w="475" w:type="pct"/>
            <w:vMerge w:val="restart"/>
            <w:tcBorders>
              <w:right w:val="single" w:color="auto" w:sz="4" w:space="0"/>
            </w:tcBorders>
            <w:vAlign w:val="center"/>
          </w:tcPr>
          <w:p>
            <w:pPr>
              <w:spacing w:line="240" w:lineRule="exact"/>
              <w:jc w:val="center"/>
              <w:rPr>
                <w:rFonts w:ascii="宋体"/>
                <w:sz w:val="18"/>
                <w:highlight w:val="none"/>
              </w:rPr>
            </w:pPr>
            <w:r>
              <w:rPr>
                <w:rFonts w:ascii="宋体"/>
                <w:sz w:val="18"/>
                <w:highlight w:val="none"/>
              </w:rPr>
              <w:t>Ni</w:t>
            </w:r>
          </w:p>
        </w:tc>
        <w:tc>
          <w:tcPr>
            <w:tcW w:w="475" w:type="pct"/>
            <w:vMerge w:val="restart"/>
            <w:tcBorders>
              <w:left w:val="single" w:color="auto" w:sz="4" w:space="0"/>
            </w:tcBorders>
            <w:vAlign w:val="center"/>
          </w:tcPr>
          <w:p>
            <w:pPr>
              <w:spacing w:line="240" w:lineRule="exact"/>
              <w:jc w:val="center"/>
              <w:rPr>
                <w:rFonts w:ascii="宋体"/>
                <w:sz w:val="18"/>
                <w:highlight w:val="none"/>
              </w:rPr>
            </w:pPr>
            <w:r>
              <w:rPr>
                <w:rFonts w:ascii="宋体"/>
                <w:sz w:val="18"/>
                <w:highlight w:val="none"/>
              </w:rPr>
              <w:t>Cr</w:t>
            </w:r>
          </w:p>
        </w:tc>
        <w:tc>
          <w:tcPr>
            <w:tcW w:w="422" w:type="pct"/>
            <w:vMerge w:val="restart"/>
            <w:vAlign w:val="center"/>
          </w:tcPr>
          <w:p>
            <w:pPr>
              <w:spacing w:line="240" w:lineRule="exact"/>
              <w:jc w:val="center"/>
              <w:rPr>
                <w:rFonts w:ascii="宋体"/>
                <w:sz w:val="18"/>
                <w:highlight w:val="none"/>
              </w:rPr>
            </w:pPr>
            <w:r>
              <w:rPr>
                <w:rFonts w:ascii="宋体"/>
                <w:sz w:val="18"/>
                <w:highlight w:val="none"/>
              </w:rPr>
              <w:t>Mo</w:t>
            </w:r>
          </w:p>
        </w:tc>
        <w:tc>
          <w:tcPr>
            <w:tcW w:w="313" w:type="pct"/>
            <w:tcBorders>
              <w:bottom w:val="single" w:color="auto" w:sz="12" w:space="0"/>
            </w:tcBorders>
            <w:vAlign w:val="center"/>
          </w:tcPr>
          <w:p>
            <w:pPr>
              <w:spacing w:line="240" w:lineRule="exact"/>
              <w:jc w:val="center"/>
              <w:rPr>
                <w:rFonts w:ascii="宋体"/>
                <w:sz w:val="18"/>
                <w:highlight w:val="none"/>
              </w:rPr>
            </w:pPr>
            <w:r>
              <w:rPr>
                <w:rFonts w:ascii="宋体"/>
                <w:sz w:val="18"/>
                <w:highlight w:val="none"/>
              </w:rPr>
              <w:t>Cu</w:t>
            </w:r>
          </w:p>
        </w:tc>
        <w:tc>
          <w:tcPr>
            <w:tcW w:w="370" w:type="pct"/>
            <w:tcBorders>
              <w:bottom w:val="single" w:color="auto" w:sz="12" w:space="0"/>
            </w:tcBorders>
            <w:vAlign w:val="center"/>
          </w:tcPr>
          <w:p>
            <w:pPr>
              <w:spacing w:line="240" w:lineRule="exact"/>
              <w:jc w:val="center"/>
              <w:rPr>
                <w:rFonts w:ascii="宋体"/>
                <w:sz w:val="18"/>
                <w:highlight w:val="none"/>
              </w:rPr>
            </w:pPr>
            <w:r>
              <w:rPr>
                <w:rFonts w:ascii="宋体"/>
                <w:sz w:val="18"/>
                <w:highlight w:val="none"/>
              </w:rPr>
              <w:t>Al</w:t>
            </w:r>
          </w:p>
        </w:tc>
        <w:tc>
          <w:tcPr>
            <w:tcW w:w="389" w:type="pct"/>
            <w:tcBorders>
              <w:bottom w:val="single" w:color="auto" w:sz="12" w:space="0"/>
            </w:tcBorders>
            <w:vAlign w:val="center"/>
          </w:tcPr>
          <w:p>
            <w:pPr>
              <w:spacing w:line="240" w:lineRule="exact"/>
              <w:jc w:val="center"/>
              <w:rPr>
                <w:rFonts w:ascii="宋体"/>
                <w:sz w:val="18"/>
                <w:highlight w:val="none"/>
              </w:rPr>
            </w:pPr>
            <w:r>
              <w:rPr>
                <w:rFonts w:ascii="宋体"/>
                <w:sz w:val="18"/>
                <w:highlight w:val="none"/>
              </w:rPr>
              <w:t>Ti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9" w:hRule="atLeast"/>
          <w:tblHeader/>
          <w:jc w:val="center"/>
        </w:trPr>
        <w:tc>
          <w:tcPr>
            <w:tcW w:w="883" w:type="pct"/>
            <w:vMerge w:val="continue"/>
            <w:tcBorders>
              <w:bottom w:val="single" w:color="auto" w:sz="12" w:space="0"/>
            </w:tcBorders>
            <w:vAlign w:val="center"/>
          </w:tcPr>
          <w:p>
            <w:pPr>
              <w:spacing w:line="240" w:lineRule="exact"/>
              <w:jc w:val="center"/>
              <w:rPr>
                <w:rFonts w:ascii="宋体"/>
                <w:sz w:val="18"/>
                <w:highlight w:val="none"/>
              </w:rPr>
            </w:pPr>
          </w:p>
        </w:tc>
        <w:tc>
          <w:tcPr>
            <w:tcW w:w="1673" w:type="pct"/>
            <w:gridSpan w:val="5"/>
            <w:tcBorders>
              <w:bottom w:val="single" w:color="auto" w:sz="12" w:space="0"/>
            </w:tcBorders>
            <w:vAlign w:val="center"/>
          </w:tcPr>
          <w:p>
            <w:pPr>
              <w:spacing w:line="240" w:lineRule="exact"/>
              <w:jc w:val="center"/>
              <w:rPr>
                <w:rFonts w:ascii="宋体"/>
                <w:sz w:val="18"/>
                <w:highlight w:val="none"/>
              </w:rPr>
            </w:pPr>
            <w:r>
              <w:rPr>
                <w:rFonts w:hint="eastAsia" w:ascii="宋体"/>
                <w:sz w:val="18"/>
                <w:highlight w:val="none"/>
              </w:rPr>
              <w:t>不大于</w:t>
            </w:r>
          </w:p>
        </w:tc>
        <w:tc>
          <w:tcPr>
            <w:tcW w:w="475" w:type="pct"/>
            <w:vMerge w:val="continue"/>
            <w:tcBorders>
              <w:bottom w:val="single" w:color="auto" w:sz="12" w:space="0"/>
              <w:right w:val="single" w:color="auto" w:sz="4" w:space="0"/>
            </w:tcBorders>
            <w:vAlign w:val="center"/>
          </w:tcPr>
          <w:p>
            <w:pPr>
              <w:spacing w:line="240" w:lineRule="exact"/>
              <w:jc w:val="center"/>
              <w:rPr>
                <w:rFonts w:ascii="宋体"/>
                <w:sz w:val="18"/>
                <w:highlight w:val="none"/>
              </w:rPr>
            </w:pPr>
          </w:p>
        </w:tc>
        <w:tc>
          <w:tcPr>
            <w:tcW w:w="475" w:type="pct"/>
            <w:vMerge w:val="continue"/>
            <w:tcBorders>
              <w:left w:val="single" w:color="auto" w:sz="4" w:space="0"/>
              <w:bottom w:val="single" w:color="auto" w:sz="12" w:space="0"/>
            </w:tcBorders>
            <w:vAlign w:val="center"/>
          </w:tcPr>
          <w:p>
            <w:pPr>
              <w:spacing w:line="240" w:lineRule="exact"/>
              <w:jc w:val="center"/>
              <w:rPr>
                <w:rFonts w:ascii="宋体"/>
                <w:sz w:val="18"/>
                <w:highlight w:val="none"/>
              </w:rPr>
            </w:pPr>
          </w:p>
        </w:tc>
        <w:tc>
          <w:tcPr>
            <w:tcW w:w="422" w:type="pct"/>
            <w:vMerge w:val="continue"/>
            <w:tcBorders>
              <w:bottom w:val="single" w:color="auto" w:sz="12" w:space="0"/>
            </w:tcBorders>
            <w:vAlign w:val="center"/>
          </w:tcPr>
          <w:p>
            <w:pPr>
              <w:spacing w:line="240" w:lineRule="exact"/>
              <w:jc w:val="center"/>
              <w:rPr>
                <w:rFonts w:ascii="宋体"/>
                <w:sz w:val="18"/>
                <w:highlight w:val="none"/>
              </w:rPr>
            </w:pPr>
          </w:p>
        </w:tc>
        <w:tc>
          <w:tcPr>
            <w:tcW w:w="1072" w:type="pct"/>
            <w:gridSpan w:val="3"/>
            <w:tcBorders>
              <w:bottom w:val="single" w:color="auto" w:sz="12" w:space="0"/>
            </w:tcBorders>
            <w:vAlign w:val="center"/>
          </w:tcPr>
          <w:p>
            <w:pPr>
              <w:spacing w:line="240" w:lineRule="exact"/>
              <w:jc w:val="center"/>
              <w:rPr>
                <w:rFonts w:ascii="宋体"/>
                <w:sz w:val="18"/>
                <w:highlight w:val="none"/>
              </w:rPr>
            </w:pPr>
            <w:r>
              <w:rPr>
                <w:rFonts w:hint="eastAsia" w:ascii="宋体"/>
                <w:sz w:val="18"/>
                <w:highlight w:val="none"/>
              </w:rPr>
              <w:t>不大于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6" w:hRule="exact"/>
          <w:jc w:val="center"/>
        </w:trPr>
        <w:tc>
          <w:tcPr>
            <w:tcW w:w="883" w:type="pct"/>
            <w:tcBorders>
              <w:top w:val="single" w:color="auto" w:sz="12" w:space="0"/>
              <w:bottom w:val="single" w:color="auto" w:sz="12" w:space="0"/>
            </w:tcBorders>
            <w:vAlign w:val="center"/>
          </w:tcPr>
          <w:p>
            <w:pPr>
              <w:spacing w:line="240" w:lineRule="exact"/>
              <w:jc w:val="center"/>
              <w:rPr>
                <w:rFonts w:ascii="宋体"/>
                <w:sz w:val="18"/>
                <w:highlight w:val="none"/>
              </w:rPr>
            </w:pPr>
            <w:r>
              <w:rPr>
                <w:rFonts w:ascii="宋体"/>
                <w:sz w:val="18"/>
                <w:highlight w:val="none"/>
              </w:rPr>
              <w:t>008Cr17Ni15Mo3-A</w:t>
            </w:r>
          </w:p>
        </w:tc>
        <w:tc>
          <w:tcPr>
            <w:tcW w:w="368" w:type="pct"/>
            <w:tcBorders>
              <w:top w:val="single" w:color="auto" w:sz="12" w:space="0"/>
              <w:bottom w:val="single" w:color="auto" w:sz="12" w:space="0"/>
            </w:tcBorders>
            <w:vAlign w:val="center"/>
          </w:tcPr>
          <w:p>
            <w:pPr>
              <w:spacing w:line="220" w:lineRule="exact"/>
              <w:jc w:val="center"/>
              <w:rPr>
                <w:sz w:val="18"/>
                <w:szCs w:val="18"/>
                <w:highlight w:val="none"/>
              </w:rPr>
            </w:pPr>
            <w:r>
              <w:rPr>
                <w:sz w:val="18"/>
                <w:szCs w:val="18"/>
                <w:highlight w:val="none"/>
              </w:rPr>
              <w:t>0.010</w:t>
            </w:r>
          </w:p>
        </w:tc>
        <w:tc>
          <w:tcPr>
            <w:tcW w:w="278" w:type="pct"/>
            <w:tcBorders>
              <w:top w:val="single" w:color="auto" w:sz="12" w:space="0"/>
              <w:bottom w:val="single" w:color="auto" w:sz="12" w:space="0"/>
            </w:tcBorders>
            <w:vAlign w:val="center"/>
          </w:tcPr>
          <w:p>
            <w:pPr>
              <w:spacing w:line="220" w:lineRule="exact"/>
              <w:jc w:val="center"/>
              <w:rPr>
                <w:sz w:val="18"/>
                <w:szCs w:val="18"/>
                <w:highlight w:val="none"/>
              </w:rPr>
            </w:pPr>
            <w:r>
              <w:rPr>
                <w:sz w:val="18"/>
                <w:szCs w:val="18"/>
                <w:highlight w:val="none"/>
              </w:rPr>
              <w:t>0.15</w:t>
            </w:r>
          </w:p>
        </w:tc>
        <w:tc>
          <w:tcPr>
            <w:tcW w:w="278" w:type="pct"/>
            <w:tcBorders>
              <w:top w:val="single" w:color="auto" w:sz="12" w:space="0"/>
              <w:bottom w:val="single" w:color="auto" w:sz="12" w:space="0"/>
            </w:tcBorders>
            <w:vAlign w:val="center"/>
          </w:tcPr>
          <w:p>
            <w:pPr>
              <w:spacing w:line="220" w:lineRule="exact"/>
              <w:jc w:val="center"/>
              <w:rPr>
                <w:sz w:val="18"/>
                <w:szCs w:val="18"/>
                <w:highlight w:val="none"/>
              </w:rPr>
            </w:pPr>
            <w:r>
              <w:rPr>
                <w:sz w:val="18"/>
                <w:szCs w:val="18"/>
                <w:highlight w:val="none"/>
              </w:rPr>
              <w:t>0.05</w:t>
            </w:r>
          </w:p>
        </w:tc>
        <w:tc>
          <w:tcPr>
            <w:tcW w:w="369" w:type="pct"/>
            <w:tcBorders>
              <w:top w:val="single" w:color="auto" w:sz="12" w:space="0"/>
              <w:bottom w:val="single" w:color="auto" w:sz="12" w:space="0"/>
            </w:tcBorders>
            <w:vAlign w:val="center"/>
          </w:tcPr>
          <w:p>
            <w:pPr>
              <w:spacing w:line="220" w:lineRule="exact"/>
              <w:jc w:val="center"/>
              <w:rPr>
                <w:sz w:val="18"/>
                <w:szCs w:val="18"/>
                <w:highlight w:val="none"/>
              </w:rPr>
            </w:pPr>
            <w:r>
              <w:rPr>
                <w:sz w:val="18"/>
                <w:szCs w:val="18"/>
                <w:highlight w:val="none"/>
              </w:rPr>
              <w:t>0.020</w:t>
            </w:r>
          </w:p>
        </w:tc>
        <w:tc>
          <w:tcPr>
            <w:tcW w:w="381" w:type="pct"/>
            <w:tcBorders>
              <w:top w:val="single" w:color="auto" w:sz="12" w:space="0"/>
              <w:bottom w:val="single" w:color="auto" w:sz="12" w:space="0"/>
            </w:tcBorders>
            <w:vAlign w:val="center"/>
          </w:tcPr>
          <w:p>
            <w:pPr>
              <w:spacing w:line="220" w:lineRule="exact"/>
              <w:jc w:val="center"/>
              <w:rPr>
                <w:sz w:val="18"/>
                <w:szCs w:val="18"/>
                <w:highlight w:val="none"/>
              </w:rPr>
            </w:pPr>
            <w:r>
              <w:rPr>
                <w:sz w:val="18"/>
                <w:szCs w:val="18"/>
                <w:highlight w:val="none"/>
              </w:rPr>
              <w:t>0.002</w:t>
            </w:r>
          </w:p>
        </w:tc>
        <w:tc>
          <w:tcPr>
            <w:tcW w:w="475" w:type="pct"/>
            <w:tcBorders>
              <w:top w:val="single" w:color="auto" w:sz="12" w:space="0"/>
              <w:bottom w:val="single" w:color="auto" w:sz="12" w:space="0"/>
              <w:right w:val="single" w:color="auto" w:sz="4" w:space="0"/>
            </w:tcBorders>
            <w:vAlign w:val="center"/>
          </w:tcPr>
          <w:p>
            <w:pPr>
              <w:spacing w:line="220" w:lineRule="exact"/>
              <w:jc w:val="center"/>
              <w:rPr>
                <w:sz w:val="18"/>
                <w:szCs w:val="18"/>
                <w:highlight w:val="none"/>
              </w:rPr>
            </w:pPr>
            <w:r>
              <w:rPr>
                <w:sz w:val="18"/>
                <w:szCs w:val="18"/>
                <w:highlight w:val="none"/>
              </w:rPr>
              <w:t>14.00</w:t>
            </w:r>
            <w:r>
              <w:rPr>
                <w:rFonts w:hint="eastAsia"/>
                <w:sz w:val="18"/>
                <w:szCs w:val="18"/>
                <w:highlight w:val="none"/>
              </w:rPr>
              <w:t>～</w:t>
            </w:r>
            <w:r>
              <w:rPr>
                <w:sz w:val="18"/>
                <w:szCs w:val="18"/>
                <w:highlight w:val="none"/>
              </w:rPr>
              <w:t>15.00</w:t>
            </w:r>
          </w:p>
        </w:tc>
        <w:tc>
          <w:tcPr>
            <w:tcW w:w="475" w:type="pct"/>
            <w:tcBorders>
              <w:top w:val="single" w:color="auto" w:sz="12" w:space="0"/>
              <w:left w:val="single" w:color="auto" w:sz="4" w:space="0"/>
              <w:bottom w:val="single" w:color="auto" w:sz="12" w:space="0"/>
            </w:tcBorders>
            <w:vAlign w:val="center"/>
          </w:tcPr>
          <w:p>
            <w:pPr>
              <w:spacing w:line="220" w:lineRule="exact"/>
              <w:jc w:val="center"/>
              <w:rPr>
                <w:sz w:val="18"/>
                <w:szCs w:val="18"/>
                <w:highlight w:val="none"/>
              </w:rPr>
            </w:pPr>
            <w:r>
              <w:rPr>
                <w:sz w:val="18"/>
                <w:szCs w:val="18"/>
                <w:highlight w:val="none"/>
              </w:rPr>
              <w:t>16.50</w:t>
            </w:r>
            <w:r>
              <w:rPr>
                <w:rFonts w:hint="eastAsia"/>
                <w:sz w:val="18"/>
                <w:szCs w:val="18"/>
                <w:highlight w:val="none"/>
              </w:rPr>
              <w:t>～</w:t>
            </w:r>
            <w:r>
              <w:rPr>
                <w:sz w:val="18"/>
                <w:szCs w:val="18"/>
                <w:highlight w:val="none"/>
              </w:rPr>
              <w:t>17.50</w:t>
            </w:r>
          </w:p>
        </w:tc>
        <w:tc>
          <w:tcPr>
            <w:tcW w:w="422" w:type="pct"/>
            <w:tcBorders>
              <w:top w:val="single" w:color="auto" w:sz="12" w:space="0"/>
              <w:bottom w:val="single" w:color="auto" w:sz="12" w:space="0"/>
            </w:tcBorders>
            <w:vAlign w:val="center"/>
          </w:tcPr>
          <w:p>
            <w:pPr>
              <w:spacing w:line="220" w:lineRule="exact"/>
              <w:jc w:val="center"/>
              <w:rPr>
                <w:sz w:val="18"/>
                <w:szCs w:val="18"/>
                <w:highlight w:val="none"/>
              </w:rPr>
            </w:pPr>
            <w:r>
              <w:rPr>
                <w:sz w:val="18"/>
                <w:szCs w:val="18"/>
                <w:highlight w:val="none"/>
              </w:rPr>
              <w:t>2.20</w:t>
            </w:r>
            <w:r>
              <w:rPr>
                <w:rFonts w:hint="eastAsia"/>
                <w:sz w:val="18"/>
                <w:szCs w:val="18"/>
                <w:highlight w:val="none"/>
              </w:rPr>
              <w:t>～</w:t>
            </w:r>
            <w:r>
              <w:rPr>
                <w:sz w:val="18"/>
                <w:szCs w:val="18"/>
                <w:highlight w:val="none"/>
              </w:rPr>
              <w:t>2.50</w:t>
            </w:r>
          </w:p>
        </w:tc>
        <w:tc>
          <w:tcPr>
            <w:tcW w:w="313" w:type="pct"/>
            <w:tcBorders>
              <w:top w:val="single" w:color="auto" w:sz="12" w:space="0"/>
              <w:bottom w:val="single" w:color="auto" w:sz="12" w:space="0"/>
            </w:tcBorders>
            <w:vAlign w:val="center"/>
          </w:tcPr>
          <w:p>
            <w:pPr>
              <w:spacing w:line="220" w:lineRule="exact"/>
              <w:jc w:val="center"/>
              <w:rPr>
                <w:sz w:val="18"/>
                <w:szCs w:val="18"/>
                <w:highlight w:val="none"/>
              </w:rPr>
            </w:pPr>
            <w:r>
              <w:rPr>
                <w:sz w:val="18"/>
                <w:szCs w:val="18"/>
                <w:highlight w:val="none"/>
              </w:rPr>
              <w:t>0.25</w:t>
            </w:r>
          </w:p>
        </w:tc>
        <w:tc>
          <w:tcPr>
            <w:tcW w:w="370" w:type="pct"/>
            <w:tcBorders>
              <w:top w:val="single" w:color="auto" w:sz="12" w:space="0"/>
              <w:bottom w:val="single" w:color="auto" w:sz="12" w:space="0"/>
            </w:tcBorders>
            <w:vAlign w:val="center"/>
          </w:tcPr>
          <w:p>
            <w:pPr>
              <w:spacing w:line="220" w:lineRule="exact"/>
              <w:rPr>
                <w:sz w:val="18"/>
                <w:szCs w:val="18"/>
                <w:highlight w:val="none"/>
              </w:rPr>
            </w:pPr>
            <w:r>
              <w:rPr>
                <w:sz w:val="18"/>
                <w:szCs w:val="18"/>
                <w:highlight w:val="none"/>
              </w:rPr>
              <w:t>0.010</w:t>
            </w:r>
          </w:p>
        </w:tc>
        <w:tc>
          <w:tcPr>
            <w:tcW w:w="389" w:type="pct"/>
            <w:tcBorders>
              <w:top w:val="single" w:color="auto" w:sz="12" w:space="0"/>
              <w:bottom w:val="single" w:color="auto" w:sz="12" w:space="0"/>
            </w:tcBorders>
            <w:vAlign w:val="center"/>
          </w:tcPr>
          <w:p>
            <w:pPr>
              <w:spacing w:line="220" w:lineRule="exact"/>
              <w:rPr>
                <w:sz w:val="18"/>
                <w:szCs w:val="18"/>
                <w:highlight w:val="none"/>
              </w:rPr>
            </w:pPr>
            <w:r>
              <w:rPr>
                <w:sz w:val="18"/>
                <w:szCs w:val="18"/>
                <w:highlight w:val="none"/>
              </w:rPr>
              <w:t>0.005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6" w:hRule="exact"/>
          <w:jc w:val="center"/>
        </w:trPr>
        <w:tc>
          <w:tcPr>
            <w:tcW w:w="883" w:type="pct"/>
            <w:tcBorders>
              <w:top w:val="single" w:color="auto" w:sz="12" w:space="0"/>
              <w:bottom w:val="single" w:color="auto" w:sz="12" w:space="0"/>
            </w:tcBorders>
            <w:vAlign w:val="center"/>
          </w:tcPr>
          <w:p>
            <w:pPr>
              <w:spacing w:line="240" w:lineRule="exact"/>
              <w:jc w:val="center"/>
              <w:rPr>
                <w:rFonts w:ascii="宋体"/>
                <w:sz w:val="18"/>
                <w:highlight w:val="none"/>
              </w:rPr>
            </w:pPr>
            <w:r>
              <w:rPr>
                <w:rFonts w:ascii="宋体"/>
                <w:sz w:val="18"/>
                <w:highlight w:val="none"/>
              </w:rPr>
              <w:t>008Cr17Ni15Mo3-B</w:t>
            </w:r>
          </w:p>
        </w:tc>
        <w:tc>
          <w:tcPr>
            <w:tcW w:w="368" w:type="pct"/>
            <w:tcBorders>
              <w:top w:val="single" w:color="auto" w:sz="12" w:space="0"/>
              <w:bottom w:val="single" w:color="auto" w:sz="12" w:space="0"/>
            </w:tcBorders>
            <w:vAlign w:val="center"/>
          </w:tcPr>
          <w:p>
            <w:pPr>
              <w:spacing w:line="220" w:lineRule="exact"/>
              <w:jc w:val="center"/>
              <w:rPr>
                <w:sz w:val="18"/>
                <w:szCs w:val="18"/>
                <w:highlight w:val="none"/>
              </w:rPr>
            </w:pPr>
            <w:r>
              <w:rPr>
                <w:sz w:val="18"/>
                <w:szCs w:val="18"/>
                <w:highlight w:val="none"/>
              </w:rPr>
              <w:t>0.010</w:t>
            </w:r>
          </w:p>
        </w:tc>
        <w:tc>
          <w:tcPr>
            <w:tcW w:w="278" w:type="pct"/>
            <w:tcBorders>
              <w:top w:val="single" w:color="auto" w:sz="12" w:space="0"/>
              <w:bottom w:val="single" w:color="auto" w:sz="12" w:space="0"/>
            </w:tcBorders>
            <w:vAlign w:val="center"/>
          </w:tcPr>
          <w:p>
            <w:pPr>
              <w:spacing w:line="220" w:lineRule="exact"/>
              <w:jc w:val="center"/>
              <w:rPr>
                <w:sz w:val="18"/>
                <w:szCs w:val="18"/>
                <w:highlight w:val="none"/>
              </w:rPr>
            </w:pPr>
            <w:r>
              <w:rPr>
                <w:sz w:val="18"/>
                <w:szCs w:val="18"/>
                <w:highlight w:val="none"/>
              </w:rPr>
              <w:t>0.30</w:t>
            </w:r>
          </w:p>
        </w:tc>
        <w:tc>
          <w:tcPr>
            <w:tcW w:w="278" w:type="pct"/>
            <w:tcBorders>
              <w:top w:val="single" w:color="auto" w:sz="12" w:space="0"/>
              <w:bottom w:val="single" w:color="auto" w:sz="12" w:space="0"/>
            </w:tcBorders>
            <w:vAlign w:val="center"/>
          </w:tcPr>
          <w:p>
            <w:pPr>
              <w:spacing w:line="220" w:lineRule="exact"/>
              <w:jc w:val="center"/>
              <w:rPr>
                <w:sz w:val="18"/>
                <w:szCs w:val="18"/>
                <w:highlight w:val="none"/>
              </w:rPr>
            </w:pPr>
            <w:r>
              <w:rPr>
                <w:sz w:val="18"/>
                <w:szCs w:val="18"/>
                <w:highlight w:val="none"/>
              </w:rPr>
              <w:t>0.40</w:t>
            </w:r>
          </w:p>
        </w:tc>
        <w:tc>
          <w:tcPr>
            <w:tcW w:w="369" w:type="pct"/>
            <w:tcBorders>
              <w:top w:val="single" w:color="auto" w:sz="12" w:space="0"/>
              <w:bottom w:val="single" w:color="auto" w:sz="12" w:space="0"/>
            </w:tcBorders>
            <w:vAlign w:val="center"/>
          </w:tcPr>
          <w:p>
            <w:pPr>
              <w:spacing w:line="220" w:lineRule="exact"/>
              <w:jc w:val="center"/>
              <w:rPr>
                <w:sz w:val="18"/>
                <w:szCs w:val="18"/>
                <w:highlight w:val="none"/>
              </w:rPr>
            </w:pPr>
            <w:r>
              <w:rPr>
                <w:sz w:val="18"/>
                <w:szCs w:val="18"/>
                <w:highlight w:val="none"/>
              </w:rPr>
              <w:t>0.030</w:t>
            </w:r>
          </w:p>
        </w:tc>
        <w:tc>
          <w:tcPr>
            <w:tcW w:w="381" w:type="pct"/>
            <w:tcBorders>
              <w:top w:val="single" w:color="auto" w:sz="12" w:space="0"/>
              <w:bottom w:val="single" w:color="auto" w:sz="12" w:space="0"/>
            </w:tcBorders>
            <w:vAlign w:val="center"/>
          </w:tcPr>
          <w:p>
            <w:pPr>
              <w:spacing w:line="220" w:lineRule="exact"/>
              <w:jc w:val="center"/>
              <w:rPr>
                <w:sz w:val="18"/>
                <w:szCs w:val="18"/>
                <w:highlight w:val="none"/>
              </w:rPr>
            </w:pPr>
            <w:r>
              <w:rPr>
                <w:sz w:val="18"/>
                <w:szCs w:val="18"/>
                <w:highlight w:val="none"/>
              </w:rPr>
              <w:t>0.003</w:t>
            </w:r>
          </w:p>
        </w:tc>
        <w:tc>
          <w:tcPr>
            <w:tcW w:w="475" w:type="pct"/>
            <w:tcBorders>
              <w:top w:val="single" w:color="auto" w:sz="12" w:space="0"/>
              <w:bottom w:val="single" w:color="auto" w:sz="12" w:space="0"/>
              <w:right w:val="single" w:color="auto" w:sz="4" w:space="0"/>
            </w:tcBorders>
            <w:vAlign w:val="center"/>
          </w:tcPr>
          <w:p>
            <w:pPr>
              <w:spacing w:line="220" w:lineRule="exact"/>
              <w:jc w:val="center"/>
              <w:rPr>
                <w:sz w:val="18"/>
                <w:szCs w:val="18"/>
                <w:highlight w:val="none"/>
              </w:rPr>
            </w:pPr>
            <w:r>
              <w:rPr>
                <w:sz w:val="18"/>
                <w:szCs w:val="18"/>
                <w:highlight w:val="none"/>
              </w:rPr>
              <w:t>14.00</w:t>
            </w:r>
            <w:r>
              <w:rPr>
                <w:rFonts w:hint="eastAsia"/>
                <w:sz w:val="18"/>
                <w:szCs w:val="18"/>
                <w:highlight w:val="none"/>
              </w:rPr>
              <w:t>～</w:t>
            </w:r>
            <w:r>
              <w:rPr>
                <w:sz w:val="18"/>
                <w:szCs w:val="18"/>
                <w:highlight w:val="none"/>
              </w:rPr>
              <w:t>15.00</w:t>
            </w:r>
          </w:p>
        </w:tc>
        <w:tc>
          <w:tcPr>
            <w:tcW w:w="475" w:type="pct"/>
            <w:tcBorders>
              <w:top w:val="single" w:color="auto" w:sz="12" w:space="0"/>
              <w:left w:val="single" w:color="auto" w:sz="4" w:space="0"/>
              <w:bottom w:val="single" w:color="auto" w:sz="12" w:space="0"/>
            </w:tcBorders>
            <w:vAlign w:val="center"/>
          </w:tcPr>
          <w:p>
            <w:pPr>
              <w:spacing w:line="220" w:lineRule="exact"/>
              <w:jc w:val="center"/>
              <w:rPr>
                <w:sz w:val="18"/>
                <w:szCs w:val="18"/>
                <w:highlight w:val="none"/>
              </w:rPr>
            </w:pPr>
            <w:r>
              <w:rPr>
                <w:sz w:val="18"/>
                <w:szCs w:val="18"/>
                <w:highlight w:val="none"/>
              </w:rPr>
              <w:t>16.50</w:t>
            </w:r>
            <w:r>
              <w:rPr>
                <w:rFonts w:hint="eastAsia"/>
                <w:sz w:val="18"/>
                <w:szCs w:val="18"/>
                <w:highlight w:val="none"/>
              </w:rPr>
              <w:t>～</w:t>
            </w:r>
            <w:r>
              <w:rPr>
                <w:sz w:val="18"/>
                <w:szCs w:val="18"/>
                <w:highlight w:val="none"/>
              </w:rPr>
              <w:t>17.50</w:t>
            </w:r>
          </w:p>
        </w:tc>
        <w:tc>
          <w:tcPr>
            <w:tcW w:w="422" w:type="pct"/>
            <w:tcBorders>
              <w:top w:val="single" w:color="auto" w:sz="12" w:space="0"/>
              <w:bottom w:val="single" w:color="auto" w:sz="12" w:space="0"/>
            </w:tcBorders>
            <w:vAlign w:val="center"/>
          </w:tcPr>
          <w:p>
            <w:pPr>
              <w:spacing w:line="220" w:lineRule="exact"/>
              <w:jc w:val="center"/>
              <w:rPr>
                <w:sz w:val="18"/>
                <w:szCs w:val="18"/>
                <w:highlight w:val="none"/>
              </w:rPr>
            </w:pPr>
            <w:r>
              <w:rPr>
                <w:sz w:val="18"/>
                <w:szCs w:val="18"/>
                <w:highlight w:val="none"/>
              </w:rPr>
              <w:t>2.20</w:t>
            </w:r>
            <w:r>
              <w:rPr>
                <w:rFonts w:hint="eastAsia"/>
                <w:sz w:val="18"/>
                <w:szCs w:val="18"/>
                <w:highlight w:val="none"/>
              </w:rPr>
              <w:t>～</w:t>
            </w:r>
            <w:r>
              <w:rPr>
                <w:sz w:val="18"/>
                <w:szCs w:val="18"/>
                <w:highlight w:val="none"/>
              </w:rPr>
              <w:t>2.50</w:t>
            </w:r>
          </w:p>
        </w:tc>
        <w:tc>
          <w:tcPr>
            <w:tcW w:w="313" w:type="pct"/>
            <w:tcBorders>
              <w:top w:val="single" w:color="auto" w:sz="12" w:space="0"/>
              <w:bottom w:val="single" w:color="auto" w:sz="12" w:space="0"/>
            </w:tcBorders>
            <w:vAlign w:val="center"/>
          </w:tcPr>
          <w:p>
            <w:pPr>
              <w:spacing w:line="220" w:lineRule="exact"/>
              <w:jc w:val="center"/>
              <w:rPr>
                <w:sz w:val="18"/>
                <w:szCs w:val="18"/>
                <w:highlight w:val="none"/>
              </w:rPr>
            </w:pPr>
            <w:r>
              <w:rPr>
                <w:sz w:val="18"/>
                <w:szCs w:val="18"/>
                <w:highlight w:val="none"/>
              </w:rPr>
              <w:t>0.25</w:t>
            </w:r>
          </w:p>
        </w:tc>
        <w:tc>
          <w:tcPr>
            <w:tcW w:w="370" w:type="pct"/>
            <w:tcBorders>
              <w:top w:val="single" w:color="auto" w:sz="12" w:space="0"/>
              <w:bottom w:val="single" w:color="auto" w:sz="12" w:space="0"/>
            </w:tcBorders>
            <w:vAlign w:val="center"/>
          </w:tcPr>
          <w:p>
            <w:pPr>
              <w:spacing w:line="220" w:lineRule="exact"/>
              <w:rPr>
                <w:sz w:val="18"/>
                <w:szCs w:val="18"/>
                <w:highlight w:val="none"/>
              </w:rPr>
            </w:pPr>
            <w:r>
              <w:rPr>
                <w:sz w:val="18"/>
                <w:szCs w:val="18"/>
                <w:highlight w:val="none"/>
              </w:rPr>
              <w:t>0.010</w:t>
            </w:r>
          </w:p>
        </w:tc>
        <w:tc>
          <w:tcPr>
            <w:tcW w:w="389" w:type="pct"/>
            <w:tcBorders>
              <w:top w:val="single" w:color="auto" w:sz="12" w:space="0"/>
              <w:bottom w:val="single" w:color="auto" w:sz="12" w:space="0"/>
            </w:tcBorders>
            <w:vAlign w:val="center"/>
          </w:tcPr>
          <w:p>
            <w:pPr>
              <w:spacing w:line="220" w:lineRule="exact"/>
              <w:rPr>
                <w:sz w:val="18"/>
                <w:szCs w:val="18"/>
                <w:highlight w:val="none"/>
              </w:rPr>
            </w:pPr>
            <w:r>
              <w:rPr>
                <w:sz w:val="18"/>
                <w:szCs w:val="18"/>
                <w:highlight w:val="none"/>
              </w:rPr>
              <w:t>0.005</w:t>
            </w:r>
          </w:p>
        </w:tc>
      </w:tr>
    </w:tbl>
    <w:p>
      <w:pPr>
        <w:pStyle w:val="24"/>
        <w:numPr>
          <w:ilvl w:val="0"/>
          <w:numId w:val="10"/>
        </w:numPr>
        <w:spacing w:before="156" w:after="156"/>
        <w:rPr>
          <w:rFonts w:ascii="Times New Roman"/>
          <w:highlight w:val="none"/>
        </w:rPr>
      </w:pPr>
      <w:r>
        <w:rPr>
          <w:rFonts w:hint="eastAsia" w:ascii="Times New Roman"/>
          <w:highlight w:val="none"/>
        </w:rPr>
        <w:t>钢中氢氧氮元素含量（成品分析）</w:t>
      </w:r>
    </w:p>
    <w:tbl>
      <w:tblPr>
        <w:tblStyle w:val="7"/>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912"/>
        <w:gridCol w:w="1883"/>
        <w:gridCol w:w="1883"/>
        <w:gridCol w:w="18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blHeader/>
          <w:jc w:val="center"/>
        </w:trPr>
        <w:tc>
          <w:tcPr>
            <w:tcW w:w="2045" w:type="pct"/>
            <w:vMerge w:val="restart"/>
            <w:tcBorders>
              <w:top w:val="single" w:color="auto" w:sz="12" w:space="0"/>
            </w:tcBorders>
            <w:vAlign w:val="center"/>
          </w:tcPr>
          <w:p>
            <w:pPr>
              <w:spacing w:line="240" w:lineRule="exact"/>
              <w:jc w:val="center"/>
              <w:rPr>
                <w:rFonts w:ascii="宋体"/>
                <w:sz w:val="18"/>
                <w:highlight w:val="none"/>
              </w:rPr>
            </w:pPr>
            <w:r>
              <w:rPr>
                <w:rFonts w:hint="eastAsia" w:ascii="宋体" w:hAnsi="宋体" w:cs="宋体"/>
                <w:sz w:val="18"/>
                <w:szCs w:val="18"/>
                <w:highlight w:val="none"/>
              </w:rPr>
              <w:t>牌号</w:t>
            </w:r>
          </w:p>
        </w:tc>
        <w:tc>
          <w:tcPr>
            <w:tcW w:w="2955" w:type="pct"/>
            <w:gridSpan w:val="3"/>
            <w:tcBorders>
              <w:top w:val="single" w:color="auto" w:sz="12" w:space="0"/>
              <w:left w:val="single" w:color="auto" w:sz="4" w:space="0"/>
              <w:right w:val="single" w:color="auto" w:sz="4" w:space="0"/>
            </w:tcBorders>
          </w:tcPr>
          <w:p>
            <w:pPr>
              <w:spacing w:line="240" w:lineRule="exact"/>
              <w:jc w:val="center"/>
              <w:rPr>
                <w:rFonts w:ascii="宋体" w:cs="宋体"/>
                <w:sz w:val="18"/>
                <w:szCs w:val="18"/>
                <w:highlight w:val="none"/>
              </w:rPr>
            </w:pPr>
            <w:r>
              <w:rPr>
                <w:rFonts w:hint="eastAsia" w:ascii="宋体" w:hAnsi="宋体" w:cs="宋体"/>
                <w:sz w:val="18"/>
                <w:szCs w:val="18"/>
                <w:highlight w:val="none"/>
              </w:rPr>
              <w:t>化学成分（质量分数）</w:t>
            </w:r>
            <w:r>
              <w:rPr>
                <w:rFonts w:ascii="宋体" w:hAnsi="宋体" w:cs="宋体"/>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9" w:hRule="atLeast"/>
          <w:tblHeader/>
          <w:jc w:val="center"/>
        </w:trPr>
        <w:tc>
          <w:tcPr>
            <w:tcW w:w="2045" w:type="pct"/>
            <w:vMerge w:val="continue"/>
            <w:tcBorders>
              <w:bottom w:val="single" w:color="auto" w:sz="12" w:space="0"/>
            </w:tcBorders>
            <w:vAlign w:val="center"/>
          </w:tcPr>
          <w:p>
            <w:pPr>
              <w:spacing w:line="240" w:lineRule="exact"/>
              <w:jc w:val="center"/>
              <w:rPr>
                <w:rFonts w:ascii="宋体"/>
                <w:sz w:val="18"/>
                <w:highlight w:val="none"/>
              </w:rPr>
            </w:pPr>
          </w:p>
        </w:tc>
        <w:tc>
          <w:tcPr>
            <w:tcW w:w="984" w:type="pct"/>
            <w:tcBorders>
              <w:bottom w:val="single" w:color="auto" w:sz="12" w:space="0"/>
            </w:tcBorders>
            <w:vAlign w:val="center"/>
          </w:tcPr>
          <w:p>
            <w:pPr>
              <w:spacing w:line="240" w:lineRule="exact"/>
              <w:jc w:val="center"/>
              <w:rPr>
                <w:rFonts w:ascii="宋体"/>
                <w:sz w:val="18"/>
                <w:highlight w:val="none"/>
              </w:rPr>
            </w:pPr>
            <w:r>
              <w:rPr>
                <w:rFonts w:ascii="宋体"/>
                <w:sz w:val="18"/>
                <w:highlight w:val="none"/>
              </w:rPr>
              <w:t>O</w:t>
            </w:r>
          </w:p>
        </w:tc>
        <w:tc>
          <w:tcPr>
            <w:tcW w:w="984" w:type="pct"/>
            <w:tcBorders>
              <w:bottom w:val="single" w:color="auto" w:sz="12" w:space="0"/>
            </w:tcBorders>
            <w:vAlign w:val="center"/>
          </w:tcPr>
          <w:p>
            <w:pPr>
              <w:spacing w:line="240" w:lineRule="exact"/>
              <w:jc w:val="center"/>
              <w:rPr>
                <w:rFonts w:ascii="宋体"/>
                <w:sz w:val="18"/>
                <w:highlight w:val="none"/>
              </w:rPr>
            </w:pPr>
            <w:r>
              <w:rPr>
                <w:rFonts w:ascii="宋体"/>
                <w:sz w:val="18"/>
                <w:highlight w:val="none"/>
              </w:rPr>
              <w:t>N</w:t>
            </w:r>
          </w:p>
        </w:tc>
        <w:tc>
          <w:tcPr>
            <w:tcW w:w="987" w:type="pct"/>
            <w:tcBorders>
              <w:bottom w:val="single" w:color="auto" w:sz="12" w:space="0"/>
            </w:tcBorders>
            <w:vAlign w:val="center"/>
          </w:tcPr>
          <w:p>
            <w:pPr>
              <w:spacing w:line="240" w:lineRule="exact"/>
              <w:jc w:val="center"/>
              <w:rPr>
                <w:rFonts w:ascii="宋体"/>
                <w:sz w:val="18"/>
                <w:highlight w:val="none"/>
              </w:rPr>
            </w:pPr>
            <w:r>
              <w:rPr>
                <w:rFonts w:ascii="宋体"/>
                <w:sz w:val="18"/>
                <w:highlight w:val="none"/>
              </w:rPr>
              <w:t>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exact"/>
          <w:jc w:val="center"/>
        </w:trPr>
        <w:tc>
          <w:tcPr>
            <w:tcW w:w="2045" w:type="pct"/>
            <w:tcBorders>
              <w:top w:val="single" w:color="auto" w:sz="12" w:space="0"/>
              <w:bottom w:val="single" w:color="auto" w:sz="12" w:space="0"/>
            </w:tcBorders>
            <w:vAlign w:val="center"/>
          </w:tcPr>
          <w:p>
            <w:pPr>
              <w:spacing w:line="240" w:lineRule="exact"/>
              <w:jc w:val="center"/>
              <w:rPr>
                <w:rFonts w:ascii="宋体"/>
                <w:sz w:val="18"/>
                <w:highlight w:val="none"/>
              </w:rPr>
            </w:pPr>
            <w:r>
              <w:rPr>
                <w:rFonts w:ascii="宋体"/>
                <w:sz w:val="18"/>
                <w:highlight w:val="none"/>
              </w:rPr>
              <w:t>008Cr17Ni15Mo3-A</w:t>
            </w:r>
          </w:p>
        </w:tc>
        <w:tc>
          <w:tcPr>
            <w:tcW w:w="984" w:type="pct"/>
            <w:tcBorders>
              <w:top w:val="single" w:color="auto" w:sz="12" w:space="0"/>
              <w:bottom w:val="single" w:color="auto" w:sz="12" w:space="0"/>
            </w:tcBorders>
            <w:vAlign w:val="center"/>
          </w:tcPr>
          <w:p>
            <w:pPr>
              <w:spacing w:line="220" w:lineRule="exact"/>
              <w:jc w:val="center"/>
              <w:rPr>
                <w:sz w:val="18"/>
                <w:szCs w:val="18"/>
                <w:highlight w:val="none"/>
              </w:rPr>
            </w:pPr>
            <w:r>
              <w:rPr>
                <w:sz w:val="18"/>
                <w:szCs w:val="18"/>
                <w:highlight w:val="none"/>
              </w:rPr>
              <w:t>0.0015</w:t>
            </w:r>
          </w:p>
        </w:tc>
        <w:tc>
          <w:tcPr>
            <w:tcW w:w="984" w:type="pct"/>
            <w:tcBorders>
              <w:top w:val="single" w:color="auto" w:sz="12" w:space="0"/>
              <w:bottom w:val="single" w:color="auto" w:sz="12" w:space="0"/>
            </w:tcBorders>
            <w:vAlign w:val="center"/>
          </w:tcPr>
          <w:p>
            <w:pPr>
              <w:spacing w:line="220" w:lineRule="exact"/>
              <w:jc w:val="center"/>
              <w:rPr>
                <w:sz w:val="18"/>
                <w:szCs w:val="18"/>
                <w:highlight w:val="none"/>
              </w:rPr>
            </w:pPr>
            <w:r>
              <w:rPr>
                <w:sz w:val="18"/>
                <w:szCs w:val="18"/>
                <w:highlight w:val="none"/>
              </w:rPr>
              <w:t>0.0150</w:t>
            </w:r>
          </w:p>
        </w:tc>
        <w:tc>
          <w:tcPr>
            <w:tcW w:w="987" w:type="pct"/>
            <w:tcBorders>
              <w:top w:val="single" w:color="auto" w:sz="12" w:space="0"/>
              <w:bottom w:val="single" w:color="auto" w:sz="12" w:space="0"/>
            </w:tcBorders>
            <w:vAlign w:val="center"/>
          </w:tcPr>
          <w:p>
            <w:pPr>
              <w:spacing w:line="220" w:lineRule="exact"/>
              <w:jc w:val="center"/>
              <w:rPr>
                <w:sz w:val="18"/>
                <w:szCs w:val="18"/>
                <w:highlight w:val="none"/>
              </w:rPr>
            </w:pPr>
            <w:r>
              <w:rPr>
                <w:sz w:val="18"/>
                <w:szCs w:val="18"/>
                <w:highlight w:val="none"/>
              </w:rPr>
              <w:t>0.0002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exact"/>
          <w:jc w:val="center"/>
        </w:trPr>
        <w:tc>
          <w:tcPr>
            <w:tcW w:w="2045" w:type="pct"/>
            <w:tcBorders>
              <w:top w:val="single" w:color="auto" w:sz="12" w:space="0"/>
              <w:bottom w:val="single" w:color="auto" w:sz="12" w:space="0"/>
            </w:tcBorders>
            <w:vAlign w:val="center"/>
          </w:tcPr>
          <w:p>
            <w:pPr>
              <w:spacing w:line="240" w:lineRule="exact"/>
              <w:jc w:val="center"/>
              <w:rPr>
                <w:rFonts w:ascii="宋体"/>
                <w:sz w:val="18"/>
                <w:highlight w:val="none"/>
              </w:rPr>
            </w:pPr>
            <w:r>
              <w:rPr>
                <w:rFonts w:ascii="宋体"/>
                <w:sz w:val="18"/>
                <w:highlight w:val="none"/>
              </w:rPr>
              <w:t>008Cr17Ni15Mo3-B</w:t>
            </w:r>
          </w:p>
        </w:tc>
        <w:tc>
          <w:tcPr>
            <w:tcW w:w="984" w:type="pct"/>
            <w:tcBorders>
              <w:top w:val="single" w:color="auto" w:sz="12" w:space="0"/>
              <w:bottom w:val="single" w:color="auto" w:sz="12" w:space="0"/>
            </w:tcBorders>
            <w:vAlign w:val="center"/>
          </w:tcPr>
          <w:p>
            <w:pPr>
              <w:spacing w:line="220" w:lineRule="exact"/>
              <w:jc w:val="center"/>
              <w:rPr>
                <w:sz w:val="18"/>
                <w:szCs w:val="18"/>
                <w:highlight w:val="none"/>
              </w:rPr>
            </w:pPr>
            <w:r>
              <w:rPr>
                <w:sz w:val="18"/>
                <w:szCs w:val="18"/>
                <w:highlight w:val="none"/>
              </w:rPr>
              <w:t>0.0015</w:t>
            </w:r>
          </w:p>
        </w:tc>
        <w:tc>
          <w:tcPr>
            <w:tcW w:w="984" w:type="pct"/>
            <w:tcBorders>
              <w:top w:val="single" w:color="auto" w:sz="12" w:space="0"/>
              <w:bottom w:val="single" w:color="auto" w:sz="12" w:space="0"/>
            </w:tcBorders>
            <w:vAlign w:val="center"/>
          </w:tcPr>
          <w:p>
            <w:pPr>
              <w:spacing w:line="220" w:lineRule="exact"/>
              <w:jc w:val="center"/>
              <w:rPr>
                <w:sz w:val="18"/>
                <w:szCs w:val="18"/>
                <w:highlight w:val="none"/>
              </w:rPr>
            </w:pPr>
            <w:r>
              <w:rPr>
                <w:sz w:val="18"/>
                <w:szCs w:val="18"/>
                <w:highlight w:val="none"/>
              </w:rPr>
              <w:t>0.0150</w:t>
            </w:r>
          </w:p>
        </w:tc>
        <w:tc>
          <w:tcPr>
            <w:tcW w:w="987" w:type="pct"/>
            <w:tcBorders>
              <w:top w:val="single" w:color="auto" w:sz="12" w:space="0"/>
              <w:bottom w:val="single" w:color="auto" w:sz="12" w:space="0"/>
            </w:tcBorders>
            <w:vAlign w:val="center"/>
          </w:tcPr>
          <w:p>
            <w:pPr>
              <w:spacing w:line="220" w:lineRule="exact"/>
              <w:jc w:val="center"/>
              <w:rPr>
                <w:sz w:val="18"/>
                <w:szCs w:val="18"/>
                <w:highlight w:val="none"/>
              </w:rPr>
            </w:pPr>
            <w:r>
              <w:rPr>
                <w:sz w:val="18"/>
                <w:szCs w:val="18"/>
                <w:highlight w:val="none"/>
              </w:rPr>
              <w:t>0.0002</w:t>
            </w:r>
          </w:p>
        </w:tc>
      </w:tr>
    </w:tbl>
    <w:p>
      <w:pPr>
        <w:pStyle w:val="19"/>
        <w:ind w:firstLine="31680"/>
        <w:rPr>
          <w:highlight w:val="none"/>
        </w:rPr>
        <w:sectPr>
          <w:pgSz w:w="11906" w:h="16838"/>
          <w:pgMar w:top="567" w:right="1134" w:bottom="1134" w:left="1418" w:header="1418" w:footer="1134" w:gutter="0"/>
          <w:pgNumType w:start="1"/>
          <w:cols w:space="720" w:num="1"/>
          <w:formProt w:val="0"/>
          <w:docGrid w:type="lines" w:linePitch="312" w:charSpace="0"/>
        </w:sectPr>
      </w:pPr>
    </w:p>
    <w:p>
      <w:pPr>
        <w:pStyle w:val="26"/>
        <w:numPr>
          <w:ilvl w:val="2"/>
          <w:numId w:val="7"/>
        </w:numPr>
        <w:tabs>
          <w:tab w:val="left" w:pos="0"/>
        </w:tabs>
        <w:spacing w:before="156" w:after="156"/>
        <w:ind w:left="0" w:firstLine="0"/>
        <w:jc w:val="both"/>
        <w:rPr>
          <w:rFonts w:ascii="Times New Roman" w:hAnsi="Times New Roman" w:eastAsia="宋体"/>
          <w:szCs w:val="24"/>
          <w:highlight w:val="none"/>
        </w:rPr>
      </w:pPr>
      <w:r>
        <w:rPr>
          <w:rFonts w:hint="eastAsia" w:ascii="Times New Roman" w:hAnsi="Times New Roman" w:eastAsia="宋体"/>
          <w:szCs w:val="24"/>
          <w:highlight w:val="none"/>
        </w:rPr>
        <w:t>成品化学成分允许偏差应符合</w:t>
      </w:r>
      <w:r>
        <w:rPr>
          <w:rFonts w:ascii="Times New Roman" w:hAnsi="Times New Roman" w:eastAsia="宋体"/>
          <w:szCs w:val="24"/>
          <w:highlight w:val="none"/>
        </w:rPr>
        <w:t>GB/T 222</w:t>
      </w:r>
      <w:r>
        <w:rPr>
          <w:rFonts w:hint="eastAsia" w:ascii="Times New Roman" w:hAnsi="Times New Roman" w:eastAsia="宋体"/>
          <w:szCs w:val="24"/>
          <w:highlight w:val="none"/>
        </w:rPr>
        <w:t>的规定。</w:t>
      </w:r>
    </w:p>
    <w:p>
      <w:pPr>
        <w:pStyle w:val="21"/>
        <w:numPr>
          <w:ilvl w:val="1"/>
          <w:numId w:val="7"/>
        </w:numPr>
        <w:spacing w:before="156" w:after="156"/>
        <w:ind w:left="0" w:firstLine="0"/>
        <w:rPr>
          <w:rFonts w:ascii="Times New Roman"/>
          <w:highlight w:val="none"/>
        </w:rPr>
      </w:pPr>
      <w:r>
        <w:rPr>
          <w:rFonts w:hint="eastAsia" w:ascii="Times New Roman"/>
          <w:highlight w:val="none"/>
        </w:rPr>
        <w:t>冶炼方法</w:t>
      </w:r>
    </w:p>
    <w:p>
      <w:pPr>
        <w:ind w:firstLine="420" w:firstLineChars="200"/>
        <w:rPr>
          <w:rFonts w:hAnsi="宋体" w:cs="宋体"/>
          <w:szCs w:val="21"/>
          <w:highlight w:val="none"/>
        </w:rPr>
      </w:pPr>
      <w:r>
        <w:rPr>
          <w:rFonts w:hint="eastAsia" w:hAnsi="宋体" w:cs="宋体"/>
          <w:highlight w:val="none"/>
        </w:rPr>
        <w:t>钢</w:t>
      </w:r>
      <w:r>
        <w:rPr>
          <w:rFonts w:hint="eastAsia" w:hAnsi="宋体" w:cs="宋体"/>
          <w:szCs w:val="21"/>
          <w:highlight w:val="none"/>
        </w:rPr>
        <w:t>由真空感应</w:t>
      </w:r>
      <w:r>
        <w:rPr>
          <w:rFonts w:hAnsi="宋体" w:cs="宋体"/>
          <w:szCs w:val="21"/>
          <w:highlight w:val="none"/>
        </w:rPr>
        <w:t>+</w:t>
      </w:r>
      <w:r>
        <w:rPr>
          <w:rFonts w:hint="eastAsia" w:hAnsi="宋体" w:cs="宋体"/>
          <w:szCs w:val="21"/>
          <w:highlight w:val="none"/>
        </w:rPr>
        <w:t>真空自耗冶炼，经供需双方协商并在合同中注明，也可采用能满足本文件要求的其它方法冶炼。</w:t>
      </w:r>
    </w:p>
    <w:p>
      <w:pPr>
        <w:pStyle w:val="21"/>
        <w:numPr>
          <w:ilvl w:val="1"/>
          <w:numId w:val="7"/>
        </w:numPr>
        <w:spacing w:before="156" w:after="156"/>
        <w:ind w:left="0" w:firstLine="0"/>
        <w:rPr>
          <w:rFonts w:ascii="Times New Roman"/>
          <w:highlight w:val="none"/>
        </w:rPr>
      </w:pPr>
      <w:r>
        <w:rPr>
          <w:rFonts w:hint="eastAsia" w:ascii="Times New Roman"/>
          <w:highlight w:val="none"/>
        </w:rPr>
        <w:t>交货状态</w:t>
      </w:r>
    </w:p>
    <w:p>
      <w:pPr>
        <w:pStyle w:val="26"/>
        <w:numPr>
          <w:ilvl w:val="2"/>
          <w:numId w:val="7"/>
        </w:numPr>
        <w:tabs>
          <w:tab w:val="left" w:pos="0"/>
        </w:tabs>
        <w:spacing w:before="156" w:after="156"/>
        <w:ind w:left="0" w:firstLine="0"/>
        <w:rPr>
          <w:rFonts w:ascii="宋体" w:hAnsi="宋体" w:eastAsia="宋体" w:cs="宋体"/>
          <w:highlight w:val="none"/>
          <w:lang w:val="zh-CN"/>
        </w:rPr>
      </w:pPr>
      <w:r>
        <w:rPr>
          <w:rFonts w:hint="eastAsia" w:ascii="宋体" w:hAnsi="宋体" w:eastAsia="宋体" w:cs="宋体"/>
          <w:highlight w:val="none"/>
        </w:rPr>
        <w:t>钢棒</w:t>
      </w:r>
      <w:r>
        <w:rPr>
          <w:rFonts w:hint="eastAsia" w:ascii="宋体" w:hAnsi="宋体" w:eastAsia="宋体" w:cs="宋体"/>
          <w:highlight w:val="none"/>
          <w:lang w:val="zh-CN"/>
        </w:rPr>
        <w:t>以固溶状态交货。</w:t>
      </w:r>
    </w:p>
    <w:p>
      <w:pPr>
        <w:pStyle w:val="26"/>
        <w:numPr>
          <w:ilvl w:val="2"/>
          <w:numId w:val="7"/>
        </w:numPr>
        <w:tabs>
          <w:tab w:val="left" w:pos="0"/>
        </w:tabs>
        <w:spacing w:before="156" w:after="156"/>
        <w:ind w:left="0" w:firstLine="0"/>
        <w:rPr>
          <w:rFonts w:ascii="宋体" w:hAnsi="宋体" w:eastAsia="宋体" w:cs="宋体"/>
          <w:highlight w:val="none"/>
          <w:lang w:val="zh-CN"/>
        </w:rPr>
      </w:pPr>
      <w:r>
        <w:rPr>
          <w:rFonts w:hint="eastAsia" w:ascii="宋体" w:hAnsi="宋体" w:eastAsia="宋体" w:cs="宋体"/>
          <w:highlight w:val="none"/>
          <w:lang w:val="zh-CN"/>
        </w:rPr>
        <w:t>经供需双方协议，</w:t>
      </w:r>
      <w:r>
        <w:rPr>
          <w:rFonts w:hint="eastAsia" w:ascii="宋体" w:hAnsi="宋体" w:eastAsia="宋体" w:cs="宋体"/>
          <w:highlight w:val="none"/>
        </w:rPr>
        <w:t>钢棒</w:t>
      </w:r>
      <w:r>
        <w:rPr>
          <w:rFonts w:hint="eastAsia" w:ascii="宋体" w:hAnsi="宋体" w:eastAsia="宋体" w:cs="宋体"/>
          <w:highlight w:val="none"/>
          <w:lang w:val="zh-CN"/>
        </w:rPr>
        <w:t>可经车光或磨光交货。</w:t>
      </w:r>
    </w:p>
    <w:p>
      <w:pPr>
        <w:pStyle w:val="21"/>
        <w:numPr>
          <w:ilvl w:val="1"/>
          <w:numId w:val="7"/>
        </w:numPr>
        <w:spacing w:before="156" w:after="156"/>
        <w:ind w:left="0" w:firstLine="0"/>
        <w:rPr>
          <w:rFonts w:ascii="Times New Roman"/>
          <w:highlight w:val="none"/>
        </w:rPr>
      </w:pPr>
      <w:r>
        <w:rPr>
          <w:rFonts w:hint="eastAsia" w:ascii="Times New Roman"/>
          <w:highlight w:val="none"/>
        </w:rPr>
        <w:t>力学性能</w:t>
      </w:r>
    </w:p>
    <w:p>
      <w:pPr>
        <w:pStyle w:val="26"/>
        <w:numPr>
          <w:ilvl w:val="2"/>
          <w:numId w:val="7"/>
        </w:numPr>
        <w:tabs>
          <w:tab w:val="left" w:pos="0"/>
        </w:tabs>
        <w:spacing w:before="156" w:after="156"/>
        <w:ind w:left="0" w:firstLine="0"/>
        <w:rPr>
          <w:rFonts w:ascii="宋体" w:hAnsi="宋体" w:eastAsia="宋体" w:cs="宋体"/>
          <w:highlight w:val="none"/>
          <w:lang w:val="zh-CN"/>
        </w:rPr>
      </w:pPr>
      <w:r>
        <w:rPr>
          <w:rFonts w:hint="eastAsia" w:ascii="宋体" w:hAnsi="宋体" w:eastAsia="宋体" w:cs="宋体"/>
          <w:highlight w:val="none"/>
        </w:rPr>
        <w:t>钢棒</w:t>
      </w:r>
      <w:r>
        <w:rPr>
          <w:rFonts w:hint="eastAsia" w:ascii="宋体" w:hAnsi="宋体" w:eastAsia="宋体" w:cs="宋体"/>
          <w:highlight w:val="none"/>
          <w:lang w:val="zh-CN"/>
        </w:rPr>
        <w:t>固溶处理后的力学性能应符合表</w:t>
      </w:r>
      <w:r>
        <w:rPr>
          <w:rFonts w:ascii="宋体" w:hAnsi="宋体" w:eastAsia="宋体" w:cs="宋体"/>
          <w:highlight w:val="none"/>
        </w:rPr>
        <w:t>3</w:t>
      </w:r>
      <w:r>
        <w:rPr>
          <w:rFonts w:hint="eastAsia" w:ascii="宋体" w:hAnsi="宋体" w:eastAsia="宋体" w:cs="宋体"/>
          <w:highlight w:val="none"/>
          <w:lang w:val="zh-CN"/>
        </w:rPr>
        <w:t>的规定</w:t>
      </w:r>
      <w:r>
        <w:rPr>
          <w:rFonts w:hint="eastAsia" w:ascii="宋体" w:hAnsi="宋体" w:eastAsia="宋体" w:cs="宋体"/>
          <w:highlight w:val="none"/>
        </w:rPr>
        <w:t>。</w:t>
      </w:r>
    </w:p>
    <w:p>
      <w:pPr>
        <w:pStyle w:val="24"/>
        <w:numPr>
          <w:ilvl w:val="0"/>
          <w:numId w:val="10"/>
        </w:numPr>
        <w:spacing w:before="156" w:after="156"/>
        <w:rPr>
          <w:rFonts w:ascii="Times New Roman"/>
          <w:highlight w:val="none"/>
        </w:rPr>
      </w:pPr>
      <w:r>
        <w:rPr>
          <w:rFonts w:hint="eastAsia" w:ascii="Times New Roman"/>
          <w:highlight w:val="none"/>
        </w:rPr>
        <w:t>钢棒的力学性能</w:t>
      </w:r>
    </w:p>
    <w:tbl>
      <w:tblPr>
        <w:tblStyle w:val="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397"/>
        <w:gridCol w:w="2045"/>
        <w:gridCol w:w="1318"/>
        <w:gridCol w:w="1318"/>
        <w:gridCol w:w="1318"/>
        <w:gridCol w:w="1323"/>
        <w:gridCol w:w="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0" w:hRule="exact"/>
          <w:jc w:val="center"/>
        </w:trPr>
        <w:tc>
          <w:tcPr>
            <w:tcW w:w="746" w:type="pct"/>
            <w:vMerge w:val="restart"/>
            <w:shd w:val="clear" w:color="auto" w:fill="FFFFFF"/>
            <w:vAlign w:val="center"/>
          </w:tcPr>
          <w:p>
            <w:pPr>
              <w:spacing w:line="240" w:lineRule="exact"/>
              <w:jc w:val="center"/>
              <w:rPr>
                <w:sz w:val="18"/>
                <w:szCs w:val="18"/>
                <w:highlight w:val="none"/>
              </w:rPr>
            </w:pPr>
            <w:r>
              <w:rPr>
                <w:rFonts w:hint="eastAsia" w:ascii="宋体" w:hAnsi="宋体" w:cs="宋体"/>
                <w:sz w:val="18"/>
                <w:szCs w:val="18"/>
                <w:highlight w:val="none"/>
              </w:rPr>
              <w:t>牌号</w:t>
            </w:r>
          </w:p>
        </w:tc>
        <w:tc>
          <w:tcPr>
            <w:tcW w:w="1091" w:type="pct"/>
            <w:vMerge w:val="restart"/>
            <w:shd w:val="clear" w:color="auto" w:fill="FFFFFF"/>
            <w:vAlign w:val="center"/>
          </w:tcPr>
          <w:p>
            <w:pPr>
              <w:spacing w:line="260" w:lineRule="exact"/>
              <w:jc w:val="center"/>
              <w:rPr>
                <w:sz w:val="18"/>
                <w:szCs w:val="18"/>
                <w:highlight w:val="none"/>
              </w:rPr>
            </w:pPr>
            <w:r>
              <w:rPr>
                <w:rFonts w:hint="eastAsia"/>
                <w:sz w:val="18"/>
                <w:szCs w:val="18"/>
                <w:highlight w:val="none"/>
                <w:lang w:val="zh-TW" w:eastAsia="zh-TW"/>
              </w:rPr>
              <w:t>推荐固溶热处理制度</w:t>
            </w:r>
          </w:p>
        </w:tc>
        <w:tc>
          <w:tcPr>
            <w:tcW w:w="2815" w:type="pct"/>
            <w:gridSpan w:val="4"/>
            <w:shd w:val="clear" w:color="auto" w:fill="FFFFFF"/>
            <w:vAlign w:val="center"/>
          </w:tcPr>
          <w:p>
            <w:pPr>
              <w:spacing w:line="260" w:lineRule="exact"/>
              <w:jc w:val="center"/>
              <w:rPr>
                <w:sz w:val="18"/>
                <w:szCs w:val="18"/>
                <w:highlight w:val="none"/>
                <w:lang w:val="zh-TW" w:eastAsia="zh-TW"/>
              </w:rPr>
            </w:pPr>
            <w:r>
              <w:rPr>
                <w:rFonts w:hint="eastAsia"/>
                <w:sz w:val="18"/>
                <w:szCs w:val="18"/>
                <w:highlight w:val="none"/>
                <w:lang w:val="zh-TW" w:eastAsia="zh-TW"/>
              </w:rPr>
              <w:t>拉伸</w:t>
            </w:r>
          </w:p>
        </w:tc>
        <w:tc>
          <w:tcPr>
            <w:tcW w:w="346" w:type="pct"/>
            <w:vMerge w:val="restart"/>
            <w:shd w:val="clear" w:color="auto" w:fill="FFFFFF"/>
            <w:vAlign w:val="center"/>
          </w:tcPr>
          <w:p>
            <w:pPr>
              <w:spacing w:line="260" w:lineRule="exact"/>
              <w:jc w:val="center"/>
              <w:rPr>
                <w:sz w:val="18"/>
                <w:szCs w:val="18"/>
                <w:highlight w:val="none"/>
              </w:rPr>
            </w:pPr>
            <w:r>
              <w:rPr>
                <w:rFonts w:hint="eastAsia"/>
                <w:sz w:val="18"/>
                <w:szCs w:val="18"/>
                <w:highlight w:val="none"/>
                <w:lang w:val="zh-TW" w:eastAsia="zh-TW"/>
              </w:rPr>
              <w:t>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2" w:hRule="atLeast"/>
          <w:jc w:val="center"/>
        </w:trPr>
        <w:tc>
          <w:tcPr>
            <w:tcW w:w="746" w:type="pct"/>
            <w:vMerge w:val="continue"/>
            <w:shd w:val="clear" w:color="auto" w:fill="FFFFFF"/>
            <w:vAlign w:val="center"/>
          </w:tcPr>
          <w:p>
            <w:pPr>
              <w:spacing w:line="260" w:lineRule="exact"/>
              <w:jc w:val="center"/>
              <w:rPr>
                <w:sz w:val="18"/>
                <w:szCs w:val="18"/>
                <w:highlight w:val="none"/>
              </w:rPr>
            </w:pPr>
          </w:p>
        </w:tc>
        <w:tc>
          <w:tcPr>
            <w:tcW w:w="1091" w:type="pct"/>
            <w:vMerge w:val="continue"/>
            <w:shd w:val="clear" w:color="auto" w:fill="FFFFFF"/>
            <w:vAlign w:val="center"/>
          </w:tcPr>
          <w:p>
            <w:pPr>
              <w:spacing w:line="260" w:lineRule="exact"/>
              <w:jc w:val="center"/>
              <w:rPr>
                <w:sz w:val="18"/>
                <w:szCs w:val="18"/>
                <w:highlight w:val="none"/>
              </w:rPr>
            </w:pPr>
          </w:p>
        </w:tc>
        <w:tc>
          <w:tcPr>
            <w:tcW w:w="703" w:type="pct"/>
            <w:vMerge w:val="restart"/>
            <w:shd w:val="clear" w:color="auto" w:fill="FFFFFF"/>
            <w:vAlign w:val="center"/>
          </w:tcPr>
          <w:p>
            <w:pPr>
              <w:spacing w:line="260" w:lineRule="exact"/>
              <w:jc w:val="center"/>
              <w:rPr>
                <w:sz w:val="18"/>
                <w:szCs w:val="18"/>
                <w:highlight w:val="none"/>
              </w:rPr>
            </w:pPr>
            <w:r>
              <w:rPr>
                <w:rFonts w:hint="eastAsia"/>
                <w:sz w:val="18"/>
                <w:szCs w:val="18"/>
                <w:highlight w:val="none"/>
                <w:lang w:val="zh-TW" w:eastAsia="zh-TW"/>
              </w:rPr>
              <w:t>抗拉强度</w:t>
            </w:r>
          </w:p>
          <w:p>
            <w:pPr>
              <w:spacing w:line="260" w:lineRule="exact"/>
              <w:jc w:val="center"/>
              <w:rPr>
                <w:sz w:val="18"/>
                <w:szCs w:val="18"/>
                <w:highlight w:val="none"/>
              </w:rPr>
            </w:pPr>
            <w:r>
              <w:rPr>
                <w:sz w:val="18"/>
                <w:szCs w:val="18"/>
                <w:highlight w:val="none"/>
                <w:lang w:eastAsia="en-US"/>
              </w:rPr>
              <w:t>R</w:t>
            </w:r>
            <w:r>
              <w:rPr>
                <w:sz w:val="18"/>
                <w:szCs w:val="18"/>
                <w:highlight w:val="none"/>
                <w:vertAlign w:val="subscript"/>
                <w:lang w:eastAsia="en-US"/>
              </w:rPr>
              <w:t>m</w:t>
            </w:r>
          </w:p>
          <w:p>
            <w:pPr>
              <w:spacing w:line="260" w:lineRule="exact"/>
              <w:jc w:val="center"/>
              <w:rPr>
                <w:sz w:val="18"/>
                <w:szCs w:val="18"/>
                <w:highlight w:val="none"/>
              </w:rPr>
            </w:pPr>
            <w:r>
              <w:rPr>
                <w:sz w:val="18"/>
                <w:szCs w:val="18"/>
                <w:highlight w:val="none"/>
                <w:lang w:eastAsia="en-US"/>
              </w:rPr>
              <w:t>MPa</w:t>
            </w:r>
          </w:p>
        </w:tc>
        <w:tc>
          <w:tcPr>
            <w:tcW w:w="703" w:type="pct"/>
            <w:vMerge w:val="restart"/>
            <w:shd w:val="clear" w:color="auto" w:fill="FFFFFF"/>
            <w:vAlign w:val="center"/>
          </w:tcPr>
          <w:p>
            <w:pPr>
              <w:spacing w:line="260" w:lineRule="exact"/>
              <w:jc w:val="center"/>
              <w:rPr>
                <w:sz w:val="18"/>
                <w:szCs w:val="18"/>
                <w:highlight w:val="none"/>
              </w:rPr>
            </w:pPr>
            <w:r>
              <w:rPr>
                <w:rFonts w:hint="eastAsia"/>
                <w:sz w:val="18"/>
                <w:szCs w:val="18"/>
                <w:highlight w:val="none"/>
                <w:lang w:val="zh-TW" w:eastAsia="zh-TW"/>
              </w:rPr>
              <w:t>规定塑性延伸强度</w:t>
            </w:r>
          </w:p>
          <w:p>
            <w:pPr>
              <w:spacing w:line="260" w:lineRule="exact"/>
              <w:jc w:val="center"/>
              <w:rPr>
                <w:sz w:val="18"/>
                <w:szCs w:val="18"/>
                <w:highlight w:val="none"/>
              </w:rPr>
            </w:pPr>
            <w:r>
              <w:rPr>
                <w:sz w:val="18"/>
                <w:szCs w:val="18"/>
                <w:highlight w:val="none"/>
              </w:rPr>
              <w:t>R</w:t>
            </w:r>
            <w:r>
              <w:rPr>
                <w:sz w:val="18"/>
                <w:szCs w:val="18"/>
                <w:highlight w:val="none"/>
                <w:vertAlign w:val="subscript"/>
              </w:rPr>
              <w:t>p0.2</w:t>
            </w:r>
          </w:p>
          <w:p>
            <w:pPr>
              <w:spacing w:line="260" w:lineRule="exact"/>
              <w:jc w:val="center"/>
              <w:rPr>
                <w:sz w:val="18"/>
                <w:szCs w:val="18"/>
                <w:highlight w:val="none"/>
              </w:rPr>
            </w:pPr>
            <w:r>
              <w:rPr>
                <w:sz w:val="18"/>
                <w:szCs w:val="18"/>
                <w:highlight w:val="none"/>
                <w:lang w:eastAsia="en-US"/>
              </w:rPr>
              <w:t>MPa</w:t>
            </w:r>
          </w:p>
        </w:tc>
        <w:tc>
          <w:tcPr>
            <w:tcW w:w="703" w:type="pct"/>
            <w:vMerge w:val="restart"/>
            <w:shd w:val="clear" w:color="auto" w:fill="FFFFFF"/>
            <w:vAlign w:val="center"/>
          </w:tcPr>
          <w:p>
            <w:pPr>
              <w:spacing w:line="260" w:lineRule="exact"/>
              <w:jc w:val="center"/>
              <w:rPr>
                <w:sz w:val="18"/>
                <w:szCs w:val="18"/>
                <w:highlight w:val="none"/>
                <w:lang w:val="zh-TW" w:eastAsia="zh-TW"/>
              </w:rPr>
            </w:pPr>
            <w:r>
              <w:rPr>
                <w:rFonts w:hint="eastAsia"/>
                <w:sz w:val="18"/>
                <w:szCs w:val="18"/>
                <w:highlight w:val="none"/>
                <w:lang w:val="zh-TW" w:eastAsia="zh-TW"/>
              </w:rPr>
              <w:t>断后伸长率</w:t>
            </w:r>
            <w:r>
              <w:rPr>
                <w:sz w:val="18"/>
                <w:szCs w:val="18"/>
                <w:highlight w:val="none"/>
                <w:lang w:val="zh-TW" w:eastAsia="zh-TW"/>
              </w:rPr>
              <w:t xml:space="preserve"> </w:t>
            </w:r>
          </w:p>
          <w:p>
            <w:pPr>
              <w:spacing w:line="260" w:lineRule="exact"/>
              <w:jc w:val="center"/>
              <w:rPr>
                <w:sz w:val="18"/>
                <w:szCs w:val="18"/>
                <w:highlight w:val="none"/>
              </w:rPr>
            </w:pPr>
            <w:r>
              <w:rPr>
                <w:sz w:val="18"/>
                <w:szCs w:val="18"/>
                <w:highlight w:val="none"/>
              </w:rPr>
              <w:t>A</w:t>
            </w:r>
            <w:r>
              <w:rPr>
                <w:sz w:val="18"/>
                <w:szCs w:val="18"/>
                <w:highlight w:val="none"/>
                <w:lang w:val="zh-TW" w:eastAsia="zh-TW"/>
              </w:rPr>
              <w:t>%</w:t>
            </w:r>
          </w:p>
        </w:tc>
        <w:tc>
          <w:tcPr>
            <w:tcW w:w="705" w:type="pct"/>
            <w:vMerge w:val="restart"/>
            <w:shd w:val="clear" w:color="auto" w:fill="FFFFFF"/>
            <w:vAlign w:val="center"/>
          </w:tcPr>
          <w:p>
            <w:pPr>
              <w:spacing w:line="260" w:lineRule="exact"/>
              <w:jc w:val="center"/>
              <w:rPr>
                <w:sz w:val="18"/>
                <w:szCs w:val="18"/>
                <w:highlight w:val="none"/>
              </w:rPr>
            </w:pPr>
            <w:r>
              <w:rPr>
                <w:rFonts w:hint="eastAsia"/>
                <w:sz w:val="18"/>
                <w:szCs w:val="18"/>
                <w:highlight w:val="none"/>
              </w:rPr>
              <w:t>断面收缩率</w:t>
            </w:r>
          </w:p>
          <w:p>
            <w:pPr>
              <w:spacing w:line="260" w:lineRule="exact"/>
              <w:jc w:val="center"/>
              <w:rPr>
                <w:sz w:val="18"/>
                <w:szCs w:val="18"/>
                <w:highlight w:val="none"/>
              </w:rPr>
            </w:pPr>
            <w:r>
              <w:rPr>
                <w:sz w:val="18"/>
                <w:szCs w:val="18"/>
                <w:highlight w:val="none"/>
              </w:rPr>
              <w:t>Z</w:t>
            </w:r>
          </w:p>
        </w:tc>
        <w:tc>
          <w:tcPr>
            <w:tcW w:w="346" w:type="pct"/>
            <w:vMerge w:val="continue"/>
            <w:shd w:val="clear" w:color="auto" w:fill="FFFFFF"/>
            <w:vAlign w:val="center"/>
          </w:tcPr>
          <w:p>
            <w:pPr>
              <w:spacing w:line="260" w:lineRule="exact"/>
              <w:jc w:val="cente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0" w:hRule="exact"/>
          <w:jc w:val="center"/>
        </w:trPr>
        <w:tc>
          <w:tcPr>
            <w:tcW w:w="746" w:type="pct"/>
            <w:vMerge w:val="continue"/>
            <w:shd w:val="clear" w:color="auto" w:fill="FFFFFF"/>
            <w:vAlign w:val="center"/>
          </w:tcPr>
          <w:p>
            <w:pPr>
              <w:spacing w:line="260" w:lineRule="exact"/>
              <w:jc w:val="center"/>
              <w:rPr>
                <w:sz w:val="18"/>
                <w:szCs w:val="18"/>
                <w:highlight w:val="none"/>
              </w:rPr>
            </w:pPr>
          </w:p>
        </w:tc>
        <w:tc>
          <w:tcPr>
            <w:tcW w:w="1091" w:type="pct"/>
            <w:vMerge w:val="continue"/>
            <w:shd w:val="clear" w:color="auto" w:fill="FFFFFF"/>
            <w:vAlign w:val="center"/>
          </w:tcPr>
          <w:p>
            <w:pPr>
              <w:spacing w:line="260" w:lineRule="exact"/>
              <w:jc w:val="center"/>
              <w:rPr>
                <w:sz w:val="18"/>
                <w:szCs w:val="18"/>
                <w:highlight w:val="none"/>
              </w:rPr>
            </w:pPr>
          </w:p>
        </w:tc>
        <w:tc>
          <w:tcPr>
            <w:tcW w:w="703" w:type="pct"/>
            <w:vMerge w:val="continue"/>
            <w:shd w:val="clear" w:color="auto" w:fill="FFFFFF"/>
            <w:vAlign w:val="center"/>
          </w:tcPr>
          <w:p>
            <w:pPr>
              <w:spacing w:line="260" w:lineRule="exact"/>
              <w:jc w:val="center"/>
              <w:rPr>
                <w:sz w:val="18"/>
                <w:szCs w:val="18"/>
                <w:highlight w:val="none"/>
              </w:rPr>
            </w:pPr>
          </w:p>
        </w:tc>
        <w:tc>
          <w:tcPr>
            <w:tcW w:w="703" w:type="pct"/>
            <w:vMerge w:val="continue"/>
            <w:shd w:val="clear" w:color="auto" w:fill="FFFFFF"/>
            <w:vAlign w:val="center"/>
          </w:tcPr>
          <w:p>
            <w:pPr>
              <w:spacing w:line="260" w:lineRule="exact"/>
              <w:jc w:val="center"/>
              <w:rPr>
                <w:sz w:val="18"/>
                <w:szCs w:val="18"/>
                <w:highlight w:val="none"/>
              </w:rPr>
            </w:pPr>
          </w:p>
        </w:tc>
        <w:tc>
          <w:tcPr>
            <w:tcW w:w="703" w:type="pct"/>
            <w:vMerge w:val="continue"/>
            <w:shd w:val="clear" w:color="auto" w:fill="FFFFFF"/>
            <w:vAlign w:val="center"/>
          </w:tcPr>
          <w:p>
            <w:pPr>
              <w:spacing w:line="260" w:lineRule="exact"/>
              <w:jc w:val="center"/>
              <w:rPr>
                <w:sz w:val="18"/>
                <w:szCs w:val="18"/>
                <w:highlight w:val="none"/>
              </w:rPr>
            </w:pPr>
          </w:p>
        </w:tc>
        <w:tc>
          <w:tcPr>
            <w:tcW w:w="705" w:type="pct"/>
            <w:vMerge w:val="continue"/>
            <w:shd w:val="clear" w:color="auto" w:fill="FFFFFF"/>
            <w:vAlign w:val="center"/>
          </w:tcPr>
          <w:p>
            <w:pPr>
              <w:spacing w:line="260" w:lineRule="exact"/>
              <w:jc w:val="center"/>
              <w:rPr>
                <w:sz w:val="18"/>
                <w:szCs w:val="18"/>
                <w:highlight w:val="none"/>
              </w:rPr>
            </w:pPr>
          </w:p>
        </w:tc>
        <w:tc>
          <w:tcPr>
            <w:tcW w:w="346" w:type="pct"/>
            <w:shd w:val="clear" w:color="auto" w:fill="FFFFFF"/>
            <w:vAlign w:val="center"/>
          </w:tcPr>
          <w:p>
            <w:pPr>
              <w:spacing w:line="260" w:lineRule="exact"/>
              <w:jc w:val="center"/>
              <w:rPr>
                <w:sz w:val="18"/>
                <w:szCs w:val="18"/>
                <w:highlight w:val="none"/>
              </w:rPr>
            </w:pPr>
            <w:r>
              <w:rPr>
                <w:sz w:val="18"/>
                <w:szCs w:val="18"/>
                <w:highlight w:val="none"/>
                <w:lang w:eastAsia="en-US"/>
              </w:rPr>
              <w:t>HBW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exact"/>
          <w:jc w:val="center"/>
        </w:trPr>
        <w:tc>
          <w:tcPr>
            <w:tcW w:w="746" w:type="pct"/>
            <w:vMerge w:val="continue"/>
            <w:shd w:val="clear" w:color="auto" w:fill="FFFFFF"/>
            <w:vAlign w:val="center"/>
          </w:tcPr>
          <w:p>
            <w:pPr>
              <w:spacing w:line="260" w:lineRule="exact"/>
              <w:jc w:val="center"/>
              <w:rPr>
                <w:sz w:val="18"/>
                <w:szCs w:val="18"/>
                <w:highlight w:val="none"/>
              </w:rPr>
            </w:pPr>
          </w:p>
        </w:tc>
        <w:tc>
          <w:tcPr>
            <w:tcW w:w="1091" w:type="pct"/>
            <w:vMerge w:val="continue"/>
            <w:shd w:val="clear" w:color="auto" w:fill="FFFFFF"/>
            <w:vAlign w:val="center"/>
          </w:tcPr>
          <w:p>
            <w:pPr>
              <w:spacing w:line="260" w:lineRule="exact"/>
              <w:jc w:val="center"/>
              <w:rPr>
                <w:sz w:val="18"/>
                <w:szCs w:val="18"/>
                <w:highlight w:val="none"/>
              </w:rPr>
            </w:pPr>
          </w:p>
        </w:tc>
        <w:tc>
          <w:tcPr>
            <w:tcW w:w="2815" w:type="pct"/>
            <w:gridSpan w:val="4"/>
            <w:shd w:val="clear" w:color="auto" w:fill="FFFFFF"/>
            <w:vAlign w:val="center"/>
          </w:tcPr>
          <w:p>
            <w:pPr>
              <w:spacing w:line="260" w:lineRule="exact"/>
              <w:jc w:val="center"/>
              <w:rPr>
                <w:sz w:val="18"/>
                <w:szCs w:val="18"/>
                <w:highlight w:val="none"/>
                <w:lang w:val="zh-TW" w:eastAsia="zh-TW"/>
              </w:rPr>
            </w:pPr>
            <w:r>
              <w:rPr>
                <w:rFonts w:hint="eastAsia"/>
                <w:sz w:val="18"/>
                <w:szCs w:val="18"/>
                <w:highlight w:val="none"/>
                <w:lang w:val="zh-TW" w:eastAsia="zh-TW"/>
              </w:rPr>
              <w:t>不小于</w:t>
            </w:r>
          </w:p>
        </w:tc>
        <w:tc>
          <w:tcPr>
            <w:tcW w:w="346" w:type="pct"/>
            <w:shd w:val="clear" w:color="auto" w:fill="FFFFFF"/>
            <w:vAlign w:val="center"/>
          </w:tcPr>
          <w:p>
            <w:pPr>
              <w:spacing w:line="260" w:lineRule="exact"/>
              <w:jc w:val="center"/>
              <w:rPr>
                <w:sz w:val="18"/>
                <w:szCs w:val="18"/>
                <w:highlight w:val="none"/>
              </w:rPr>
            </w:pPr>
            <w:r>
              <w:rPr>
                <w:rFonts w:hint="eastAsia"/>
                <w:sz w:val="18"/>
                <w:szCs w:val="18"/>
                <w:highlight w:val="none"/>
                <w:lang w:val="zh-TW" w:eastAsia="zh-TW"/>
              </w:rPr>
              <w:t>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exact"/>
          <w:jc w:val="center"/>
        </w:trPr>
        <w:tc>
          <w:tcPr>
            <w:tcW w:w="746" w:type="pct"/>
            <w:shd w:val="clear" w:color="auto" w:fill="FFFFFF"/>
            <w:vAlign w:val="center"/>
          </w:tcPr>
          <w:p>
            <w:pPr>
              <w:spacing w:line="240" w:lineRule="exact"/>
              <w:jc w:val="center"/>
              <w:rPr>
                <w:rFonts w:ascii="宋体"/>
                <w:sz w:val="18"/>
                <w:highlight w:val="none"/>
              </w:rPr>
            </w:pPr>
            <w:r>
              <w:rPr>
                <w:rFonts w:ascii="宋体"/>
                <w:sz w:val="18"/>
                <w:highlight w:val="none"/>
              </w:rPr>
              <w:t>008Cr17Ni15Mo3</w:t>
            </w:r>
          </w:p>
        </w:tc>
        <w:tc>
          <w:tcPr>
            <w:tcW w:w="1091" w:type="pct"/>
            <w:shd w:val="clear" w:color="auto" w:fill="FFFFFF"/>
            <w:vAlign w:val="center"/>
          </w:tcPr>
          <w:p>
            <w:pPr>
              <w:spacing w:line="260" w:lineRule="exact"/>
              <w:jc w:val="center"/>
              <w:rPr>
                <w:sz w:val="18"/>
                <w:szCs w:val="18"/>
                <w:highlight w:val="none"/>
              </w:rPr>
            </w:pPr>
            <w:r>
              <w:rPr>
                <w:sz w:val="18"/>
                <w:szCs w:val="18"/>
                <w:highlight w:val="none"/>
              </w:rPr>
              <w:t>1010</w:t>
            </w:r>
            <w:r>
              <w:rPr>
                <w:rFonts w:hint="eastAsia"/>
                <w:sz w:val="18"/>
                <w:szCs w:val="18"/>
                <w:highlight w:val="none"/>
              </w:rPr>
              <w:t>℃～</w:t>
            </w:r>
            <w:r>
              <w:rPr>
                <w:sz w:val="18"/>
                <w:szCs w:val="18"/>
                <w:highlight w:val="none"/>
              </w:rPr>
              <w:t>1160</w:t>
            </w:r>
            <w:r>
              <w:rPr>
                <w:rFonts w:hint="eastAsia"/>
                <w:sz w:val="18"/>
                <w:szCs w:val="18"/>
                <w:highlight w:val="none"/>
              </w:rPr>
              <w:t>℃快速冷却</w:t>
            </w:r>
          </w:p>
        </w:tc>
        <w:tc>
          <w:tcPr>
            <w:tcW w:w="703" w:type="pct"/>
            <w:shd w:val="clear" w:color="auto" w:fill="FFFFFF"/>
            <w:vAlign w:val="center"/>
          </w:tcPr>
          <w:p>
            <w:pPr>
              <w:spacing w:line="260" w:lineRule="exact"/>
              <w:jc w:val="center"/>
              <w:rPr>
                <w:sz w:val="18"/>
                <w:szCs w:val="18"/>
                <w:highlight w:val="none"/>
              </w:rPr>
            </w:pPr>
            <w:r>
              <w:rPr>
                <w:sz w:val="18"/>
                <w:szCs w:val="18"/>
                <w:highlight w:val="none"/>
              </w:rPr>
              <w:t>480</w:t>
            </w:r>
          </w:p>
        </w:tc>
        <w:tc>
          <w:tcPr>
            <w:tcW w:w="703" w:type="pct"/>
            <w:shd w:val="clear" w:color="auto" w:fill="FFFFFF"/>
            <w:vAlign w:val="center"/>
          </w:tcPr>
          <w:p>
            <w:pPr>
              <w:spacing w:line="260" w:lineRule="exact"/>
              <w:jc w:val="center"/>
              <w:rPr>
                <w:sz w:val="18"/>
                <w:szCs w:val="18"/>
                <w:highlight w:val="none"/>
              </w:rPr>
            </w:pPr>
            <w:r>
              <w:rPr>
                <w:sz w:val="18"/>
                <w:szCs w:val="18"/>
                <w:highlight w:val="none"/>
              </w:rPr>
              <w:t>175</w:t>
            </w:r>
          </w:p>
        </w:tc>
        <w:tc>
          <w:tcPr>
            <w:tcW w:w="703" w:type="pct"/>
            <w:shd w:val="clear" w:color="auto" w:fill="FFFFFF"/>
            <w:vAlign w:val="center"/>
          </w:tcPr>
          <w:p>
            <w:pPr>
              <w:spacing w:line="260" w:lineRule="exact"/>
              <w:jc w:val="center"/>
              <w:rPr>
                <w:sz w:val="18"/>
                <w:szCs w:val="18"/>
                <w:highlight w:val="none"/>
              </w:rPr>
            </w:pPr>
            <w:r>
              <w:rPr>
                <w:sz w:val="18"/>
                <w:szCs w:val="18"/>
                <w:highlight w:val="none"/>
              </w:rPr>
              <w:t>40</w:t>
            </w:r>
          </w:p>
        </w:tc>
        <w:tc>
          <w:tcPr>
            <w:tcW w:w="705" w:type="pct"/>
            <w:shd w:val="clear" w:color="auto" w:fill="FFFFFF"/>
            <w:vAlign w:val="center"/>
          </w:tcPr>
          <w:p>
            <w:pPr>
              <w:spacing w:line="260" w:lineRule="exact"/>
              <w:jc w:val="center"/>
              <w:rPr>
                <w:sz w:val="18"/>
                <w:szCs w:val="18"/>
                <w:highlight w:val="none"/>
              </w:rPr>
            </w:pPr>
            <w:r>
              <w:rPr>
                <w:sz w:val="18"/>
                <w:szCs w:val="18"/>
                <w:highlight w:val="none"/>
              </w:rPr>
              <w:t>60</w:t>
            </w:r>
          </w:p>
        </w:tc>
        <w:tc>
          <w:tcPr>
            <w:tcW w:w="346" w:type="pct"/>
            <w:shd w:val="clear" w:color="auto" w:fill="FFFFFF"/>
            <w:vAlign w:val="center"/>
          </w:tcPr>
          <w:p>
            <w:pPr>
              <w:spacing w:line="260" w:lineRule="exact"/>
              <w:jc w:val="center"/>
              <w:rPr>
                <w:sz w:val="18"/>
                <w:szCs w:val="18"/>
                <w:highlight w:val="none"/>
              </w:rPr>
            </w:pPr>
            <w:r>
              <w:rPr>
                <w:sz w:val="18"/>
                <w:szCs w:val="18"/>
                <w:highlight w:val="none"/>
              </w:rPr>
              <w:t>187</w:t>
            </w:r>
          </w:p>
        </w:tc>
      </w:tr>
    </w:tbl>
    <w:p>
      <w:pPr>
        <w:pStyle w:val="19"/>
        <w:ind w:firstLine="31680"/>
        <w:rPr>
          <w:highlight w:val="none"/>
          <w:lang w:val="zh-CN"/>
        </w:rPr>
      </w:pPr>
    </w:p>
    <w:p>
      <w:pPr>
        <w:pStyle w:val="21"/>
        <w:numPr>
          <w:ilvl w:val="1"/>
          <w:numId w:val="7"/>
        </w:numPr>
        <w:spacing w:before="156" w:after="156"/>
        <w:ind w:left="0" w:firstLine="0"/>
        <w:rPr>
          <w:rFonts w:ascii="Times New Roman"/>
          <w:highlight w:val="none"/>
        </w:rPr>
      </w:pPr>
      <w:r>
        <w:rPr>
          <w:rFonts w:hint="eastAsia" w:ascii="Times New Roman"/>
          <w:highlight w:val="none"/>
        </w:rPr>
        <w:t>低倍组织</w:t>
      </w:r>
    </w:p>
    <w:p>
      <w:pPr>
        <w:pStyle w:val="26"/>
        <w:numPr>
          <w:ilvl w:val="2"/>
          <w:numId w:val="7"/>
        </w:numPr>
        <w:tabs>
          <w:tab w:val="left" w:pos="0"/>
        </w:tabs>
        <w:spacing w:before="156" w:after="156"/>
        <w:ind w:left="0" w:firstLine="0"/>
        <w:rPr>
          <w:rFonts w:ascii="宋体" w:hAnsi="宋体" w:eastAsia="宋体" w:cs="宋体"/>
          <w:highlight w:val="none"/>
          <w:lang w:val="zh-CN"/>
        </w:rPr>
      </w:pPr>
      <w:r>
        <w:rPr>
          <w:rFonts w:hint="eastAsia" w:ascii="宋体" w:hAnsi="宋体" w:eastAsia="宋体" w:cs="宋体"/>
          <w:highlight w:val="none"/>
        </w:rPr>
        <w:t>钢棒</w:t>
      </w:r>
      <w:r>
        <w:rPr>
          <w:rFonts w:hint="eastAsia" w:ascii="宋体" w:hAnsi="宋体" w:eastAsia="宋体" w:cs="宋体"/>
          <w:highlight w:val="none"/>
          <w:lang w:val="zh-CN"/>
        </w:rPr>
        <w:t>的横截面酸浸低倍试片上不允许有目视可见的缩孔、气泡、裂纹、翻皮、夹杂、夹渣、白点、分层等，一般疏松、中心疏松、偏析应符合表</w:t>
      </w:r>
      <w:r>
        <w:rPr>
          <w:rFonts w:ascii="宋体" w:hAnsi="宋体" w:eastAsia="宋体" w:cs="宋体"/>
          <w:highlight w:val="none"/>
        </w:rPr>
        <w:t>4</w:t>
      </w:r>
      <w:r>
        <w:rPr>
          <w:rFonts w:hint="eastAsia" w:ascii="宋体" w:hAnsi="宋体" w:eastAsia="宋体" w:cs="宋体"/>
          <w:highlight w:val="none"/>
        </w:rPr>
        <w:t>的</w:t>
      </w:r>
      <w:r>
        <w:rPr>
          <w:rFonts w:hint="eastAsia" w:ascii="宋体" w:hAnsi="宋体" w:eastAsia="宋体" w:cs="宋体"/>
          <w:highlight w:val="none"/>
          <w:lang w:val="zh-CN"/>
        </w:rPr>
        <w:t>规定。</w:t>
      </w:r>
    </w:p>
    <w:p>
      <w:pPr>
        <w:pStyle w:val="26"/>
        <w:numPr>
          <w:ilvl w:val="2"/>
          <w:numId w:val="7"/>
        </w:numPr>
        <w:tabs>
          <w:tab w:val="left" w:pos="0"/>
        </w:tabs>
        <w:spacing w:before="156" w:after="156"/>
        <w:ind w:left="0" w:firstLine="0"/>
        <w:rPr>
          <w:rFonts w:ascii="宋体" w:hAnsi="宋体" w:eastAsia="宋体" w:cs="宋体"/>
          <w:highlight w:val="none"/>
          <w:lang w:val="zh-CN"/>
        </w:rPr>
      </w:pPr>
      <w:r>
        <w:rPr>
          <w:rFonts w:hint="eastAsia" w:ascii="宋体" w:hAnsi="宋体" w:eastAsia="宋体" w:cs="宋体"/>
          <w:highlight w:val="none"/>
          <w:lang w:val="zh-CN"/>
        </w:rPr>
        <w:t>经供需双方协商，并在合同中注明，允许按照</w:t>
      </w:r>
      <w:r>
        <w:rPr>
          <w:rFonts w:ascii="宋体" w:hAnsi="宋体" w:eastAsia="宋体" w:cs="宋体"/>
          <w:highlight w:val="none"/>
          <w:lang w:val="zh-CN"/>
        </w:rPr>
        <w:t>GB/T 7736</w:t>
      </w:r>
      <w:r>
        <w:rPr>
          <w:rFonts w:hint="eastAsia" w:ascii="宋体" w:hAnsi="宋体" w:eastAsia="宋体" w:cs="宋体"/>
          <w:highlight w:val="none"/>
          <w:lang w:val="zh-CN"/>
        </w:rPr>
        <w:t>的规定采用超声波探伤法或其它无损探伤法代替低倍检验。</w:t>
      </w:r>
    </w:p>
    <w:p>
      <w:pPr>
        <w:pStyle w:val="24"/>
        <w:numPr>
          <w:ilvl w:val="0"/>
          <w:numId w:val="10"/>
        </w:numPr>
        <w:spacing w:before="156" w:after="156"/>
        <w:rPr>
          <w:rFonts w:ascii="Times New Roman"/>
          <w:szCs w:val="22"/>
          <w:highlight w:val="none"/>
        </w:rPr>
      </w:pPr>
      <w:r>
        <w:rPr>
          <w:rFonts w:hint="eastAsia" w:ascii="Times New Roman"/>
          <w:szCs w:val="22"/>
          <w:highlight w:val="none"/>
        </w:rPr>
        <w:t>低倍组织合格级别</w:t>
      </w:r>
    </w:p>
    <w:tbl>
      <w:tblPr>
        <w:tblStyle w:val="7"/>
        <w:tblW w:w="9374"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 w:type="dxa"/>
          <w:bottom w:w="0" w:type="dxa"/>
          <w:right w:w="10" w:type="dxa"/>
        </w:tblCellMar>
      </w:tblPr>
      <w:tblGrid>
        <w:gridCol w:w="3102"/>
        <w:gridCol w:w="3015"/>
        <w:gridCol w:w="3257"/>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42" w:hRule="exact"/>
          <w:jc w:val="center"/>
        </w:trPr>
        <w:tc>
          <w:tcPr>
            <w:tcW w:w="3102" w:type="dxa"/>
            <w:tcBorders>
              <w:top w:val="single" w:color="auto" w:sz="4" w:space="0"/>
            </w:tcBorders>
            <w:vAlign w:val="center"/>
          </w:tcPr>
          <w:p>
            <w:pPr>
              <w:pStyle w:val="19"/>
              <w:spacing w:line="360" w:lineRule="exact"/>
              <w:ind w:firstLine="31680"/>
              <w:jc w:val="center"/>
              <w:rPr>
                <w:rFonts w:hAnsi="Calibri"/>
                <w:sz w:val="18"/>
                <w:szCs w:val="18"/>
                <w:highlight w:val="none"/>
              </w:rPr>
            </w:pPr>
            <w:r>
              <w:rPr>
                <w:rFonts w:hint="eastAsia" w:hAnsi="Calibri"/>
                <w:sz w:val="18"/>
                <w:szCs w:val="18"/>
                <w:highlight w:val="none"/>
              </w:rPr>
              <w:t>一般疏松</w:t>
            </w:r>
          </w:p>
        </w:tc>
        <w:tc>
          <w:tcPr>
            <w:tcW w:w="3015" w:type="dxa"/>
            <w:tcBorders>
              <w:top w:val="single" w:color="auto" w:sz="4" w:space="0"/>
              <w:left w:val="single" w:color="auto" w:sz="4" w:space="0"/>
            </w:tcBorders>
            <w:vAlign w:val="center"/>
          </w:tcPr>
          <w:p>
            <w:pPr>
              <w:pStyle w:val="19"/>
              <w:spacing w:line="360" w:lineRule="exact"/>
              <w:ind w:firstLine="31680"/>
              <w:jc w:val="center"/>
              <w:rPr>
                <w:rFonts w:hAnsi="Calibri"/>
                <w:sz w:val="18"/>
                <w:szCs w:val="18"/>
                <w:highlight w:val="none"/>
              </w:rPr>
            </w:pPr>
            <w:r>
              <w:rPr>
                <w:rFonts w:hint="eastAsia" w:hAnsi="Calibri"/>
                <w:sz w:val="18"/>
                <w:szCs w:val="18"/>
                <w:highlight w:val="none"/>
              </w:rPr>
              <w:t>中心疏松</w:t>
            </w:r>
          </w:p>
        </w:tc>
        <w:tc>
          <w:tcPr>
            <w:tcW w:w="3257" w:type="dxa"/>
            <w:tcBorders>
              <w:top w:val="single" w:color="auto" w:sz="4" w:space="0"/>
              <w:left w:val="single" w:color="auto" w:sz="4" w:space="0"/>
            </w:tcBorders>
            <w:vAlign w:val="center"/>
          </w:tcPr>
          <w:p>
            <w:pPr>
              <w:pStyle w:val="19"/>
              <w:spacing w:line="360" w:lineRule="exact"/>
              <w:ind w:firstLine="31680"/>
              <w:jc w:val="center"/>
              <w:rPr>
                <w:rFonts w:hAnsi="Calibri"/>
                <w:sz w:val="18"/>
                <w:szCs w:val="18"/>
                <w:highlight w:val="none"/>
              </w:rPr>
            </w:pPr>
            <w:r>
              <w:rPr>
                <w:rFonts w:hint="eastAsia" w:hAnsi="Calibri"/>
                <w:sz w:val="18"/>
                <w:szCs w:val="18"/>
                <w:highlight w:val="none"/>
              </w:rPr>
              <w:t>偏析</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42" w:hRule="exact"/>
          <w:jc w:val="center"/>
        </w:trPr>
        <w:tc>
          <w:tcPr>
            <w:tcW w:w="3102" w:type="dxa"/>
            <w:tcBorders>
              <w:top w:val="single" w:color="auto" w:sz="4" w:space="0"/>
              <w:bottom w:val="single" w:color="auto" w:sz="4" w:space="0"/>
            </w:tcBorders>
            <w:vAlign w:val="center"/>
          </w:tcPr>
          <w:p>
            <w:pPr>
              <w:pStyle w:val="19"/>
              <w:spacing w:line="360" w:lineRule="exact"/>
              <w:ind w:firstLine="31680"/>
              <w:jc w:val="center"/>
              <w:rPr>
                <w:rFonts w:hAnsi="Calibri"/>
                <w:sz w:val="18"/>
                <w:szCs w:val="18"/>
                <w:highlight w:val="none"/>
              </w:rPr>
            </w:pPr>
            <w:r>
              <w:rPr>
                <w:rFonts w:hint="eastAsia" w:hAnsi="宋体"/>
                <w:sz w:val="18"/>
                <w:szCs w:val="18"/>
                <w:highlight w:val="none"/>
              </w:rPr>
              <w:t>≤</w:t>
            </w:r>
            <w:r>
              <w:rPr>
                <w:rFonts w:hAnsi="宋体"/>
                <w:sz w:val="18"/>
                <w:szCs w:val="18"/>
                <w:highlight w:val="none"/>
              </w:rPr>
              <w:t>1.5</w:t>
            </w:r>
          </w:p>
        </w:tc>
        <w:tc>
          <w:tcPr>
            <w:tcW w:w="3015" w:type="dxa"/>
            <w:tcBorders>
              <w:top w:val="single" w:color="auto" w:sz="4" w:space="0"/>
              <w:left w:val="single" w:color="auto" w:sz="4" w:space="0"/>
              <w:bottom w:val="single" w:color="auto" w:sz="4" w:space="0"/>
            </w:tcBorders>
            <w:vAlign w:val="center"/>
          </w:tcPr>
          <w:p>
            <w:pPr>
              <w:pStyle w:val="19"/>
              <w:spacing w:line="360" w:lineRule="exact"/>
              <w:ind w:firstLine="31680"/>
              <w:jc w:val="center"/>
              <w:rPr>
                <w:rFonts w:hAnsi="Calibri"/>
                <w:sz w:val="18"/>
                <w:szCs w:val="18"/>
                <w:highlight w:val="none"/>
              </w:rPr>
            </w:pPr>
            <w:r>
              <w:rPr>
                <w:rFonts w:hint="eastAsia" w:hAnsi="宋体"/>
                <w:sz w:val="18"/>
                <w:szCs w:val="18"/>
                <w:highlight w:val="none"/>
              </w:rPr>
              <w:t>≤</w:t>
            </w:r>
            <w:r>
              <w:rPr>
                <w:rFonts w:hAnsi="宋体"/>
                <w:sz w:val="18"/>
                <w:szCs w:val="18"/>
                <w:highlight w:val="none"/>
              </w:rPr>
              <w:t>1.5</w:t>
            </w:r>
          </w:p>
        </w:tc>
        <w:tc>
          <w:tcPr>
            <w:tcW w:w="3257" w:type="dxa"/>
            <w:tcBorders>
              <w:top w:val="single" w:color="auto" w:sz="4" w:space="0"/>
              <w:left w:val="single" w:color="auto" w:sz="4" w:space="0"/>
              <w:bottom w:val="single" w:color="auto" w:sz="4" w:space="0"/>
            </w:tcBorders>
            <w:vAlign w:val="center"/>
          </w:tcPr>
          <w:p>
            <w:pPr>
              <w:pStyle w:val="19"/>
              <w:spacing w:line="360" w:lineRule="exact"/>
              <w:ind w:firstLine="31680"/>
              <w:jc w:val="center"/>
              <w:rPr>
                <w:rFonts w:hAnsi="Calibri"/>
                <w:sz w:val="18"/>
                <w:szCs w:val="18"/>
                <w:highlight w:val="none"/>
              </w:rPr>
            </w:pPr>
            <w:r>
              <w:rPr>
                <w:rFonts w:hint="eastAsia" w:hAnsi="宋体"/>
                <w:sz w:val="18"/>
                <w:szCs w:val="18"/>
                <w:highlight w:val="none"/>
              </w:rPr>
              <w:t>≤</w:t>
            </w:r>
            <w:r>
              <w:rPr>
                <w:rFonts w:hAnsi="宋体"/>
                <w:sz w:val="18"/>
                <w:szCs w:val="18"/>
                <w:highlight w:val="none"/>
              </w:rPr>
              <w:t>1.5</w:t>
            </w:r>
          </w:p>
        </w:tc>
      </w:tr>
    </w:tbl>
    <w:p>
      <w:pPr>
        <w:pStyle w:val="21"/>
        <w:numPr>
          <w:ilvl w:val="1"/>
          <w:numId w:val="7"/>
        </w:numPr>
        <w:spacing w:before="156" w:after="156"/>
        <w:ind w:left="0" w:firstLine="0"/>
        <w:rPr>
          <w:rFonts w:ascii="Times New Roman"/>
          <w:highlight w:val="none"/>
        </w:rPr>
      </w:pPr>
      <w:r>
        <w:rPr>
          <w:rFonts w:hint="eastAsia" w:ascii="Times New Roman"/>
          <w:highlight w:val="none"/>
        </w:rPr>
        <w:t>非金属夹杂物</w:t>
      </w:r>
    </w:p>
    <w:p>
      <w:pPr>
        <w:pStyle w:val="19"/>
        <w:tabs>
          <w:tab w:val="center" w:pos="4677"/>
          <w:tab w:val="clear" w:pos="9298"/>
        </w:tabs>
        <w:ind w:firstLine="31680"/>
        <w:rPr>
          <w:rFonts w:hAnsi="宋体" w:cs="宋体"/>
          <w:szCs w:val="21"/>
          <w:highlight w:val="none"/>
        </w:rPr>
      </w:pPr>
      <w:r>
        <w:rPr>
          <w:rFonts w:hint="eastAsia" w:hAnsi="宋体" w:cs="宋体"/>
          <w:szCs w:val="21"/>
          <w:highlight w:val="none"/>
        </w:rPr>
        <w:t>钢棒应按</w:t>
      </w:r>
      <w:r>
        <w:rPr>
          <w:rFonts w:hAnsi="宋体" w:cs="宋体"/>
          <w:szCs w:val="21"/>
          <w:highlight w:val="none"/>
        </w:rPr>
        <w:t xml:space="preserve"> GB/T 10561-2005 </w:t>
      </w:r>
      <w:r>
        <w:rPr>
          <w:rFonts w:hint="eastAsia" w:hAnsi="宋体" w:cs="宋体"/>
          <w:szCs w:val="21"/>
          <w:highlight w:val="none"/>
        </w:rPr>
        <w:t>的</w:t>
      </w:r>
      <w:r>
        <w:rPr>
          <w:rFonts w:hAnsi="宋体" w:cs="宋体"/>
          <w:szCs w:val="21"/>
          <w:highlight w:val="none"/>
        </w:rPr>
        <w:t xml:space="preserve"> A </w:t>
      </w:r>
      <w:r>
        <w:rPr>
          <w:rFonts w:hint="eastAsia" w:hAnsi="宋体" w:cs="宋体"/>
          <w:szCs w:val="21"/>
          <w:highlight w:val="none"/>
        </w:rPr>
        <w:t>法进行非金属夹杂物检测，其合格级别应符合表</w:t>
      </w:r>
      <w:r>
        <w:rPr>
          <w:rFonts w:hAnsi="宋体" w:cs="宋体"/>
          <w:szCs w:val="21"/>
          <w:highlight w:val="none"/>
        </w:rPr>
        <w:t xml:space="preserve"> 5 </w:t>
      </w:r>
      <w:r>
        <w:rPr>
          <w:rFonts w:hint="eastAsia" w:hAnsi="宋体" w:cs="宋体"/>
          <w:szCs w:val="21"/>
          <w:highlight w:val="none"/>
        </w:rPr>
        <w:t>的规定。</w:t>
      </w:r>
    </w:p>
    <w:p>
      <w:pPr>
        <w:pStyle w:val="24"/>
        <w:numPr>
          <w:ilvl w:val="0"/>
          <w:numId w:val="10"/>
        </w:numPr>
        <w:spacing w:before="156" w:after="156"/>
        <w:rPr>
          <w:rFonts w:ascii="Times New Roman" w:eastAsia="宋体"/>
          <w:sz w:val="18"/>
          <w:highlight w:val="none"/>
        </w:rPr>
      </w:pPr>
      <w:r>
        <w:rPr>
          <w:rFonts w:hint="eastAsia" w:ascii="Times New Roman"/>
          <w:highlight w:val="none"/>
        </w:rPr>
        <w:t>非金属夹杂物合格级别</w:t>
      </w:r>
    </w:p>
    <w:tbl>
      <w:tblPr>
        <w:tblStyle w:val="7"/>
        <w:tblW w:w="9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0"/>
        <w:gridCol w:w="816"/>
        <w:gridCol w:w="816"/>
        <w:gridCol w:w="815"/>
        <w:gridCol w:w="815"/>
        <w:gridCol w:w="815"/>
        <w:gridCol w:w="815"/>
        <w:gridCol w:w="815"/>
        <w:gridCol w:w="815"/>
        <w:gridCol w:w="1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1810" w:type="dxa"/>
            <w:tcBorders>
              <w:bottom w:val="single" w:color="auto" w:sz="4" w:space="0"/>
            </w:tcBorders>
            <w:vAlign w:val="center"/>
          </w:tcPr>
          <w:p>
            <w:pPr>
              <w:widowControl/>
              <w:autoSpaceDE w:val="0"/>
              <w:autoSpaceDN w:val="0"/>
              <w:jc w:val="center"/>
              <w:rPr>
                <w:kern w:val="0"/>
                <w:sz w:val="18"/>
                <w:szCs w:val="18"/>
                <w:highlight w:val="none"/>
              </w:rPr>
            </w:pPr>
            <w:r>
              <w:rPr>
                <w:rFonts w:hint="eastAsia"/>
                <w:kern w:val="0"/>
                <w:sz w:val="18"/>
                <w:szCs w:val="18"/>
                <w:highlight w:val="none"/>
              </w:rPr>
              <w:t>夹杂物类型</w:t>
            </w:r>
          </w:p>
        </w:tc>
        <w:tc>
          <w:tcPr>
            <w:tcW w:w="1632" w:type="dxa"/>
            <w:gridSpan w:val="2"/>
            <w:tcBorders>
              <w:bottom w:val="single" w:color="auto" w:sz="4" w:space="0"/>
            </w:tcBorders>
            <w:vAlign w:val="center"/>
          </w:tcPr>
          <w:p>
            <w:pPr>
              <w:widowControl/>
              <w:autoSpaceDE w:val="0"/>
              <w:autoSpaceDN w:val="0"/>
              <w:jc w:val="center"/>
              <w:rPr>
                <w:kern w:val="0"/>
                <w:sz w:val="18"/>
                <w:szCs w:val="18"/>
                <w:highlight w:val="none"/>
              </w:rPr>
            </w:pPr>
            <w:r>
              <w:rPr>
                <w:kern w:val="0"/>
                <w:sz w:val="18"/>
                <w:szCs w:val="18"/>
                <w:highlight w:val="none"/>
              </w:rPr>
              <w:t>A</w:t>
            </w:r>
          </w:p>
        </w:tc>
        <w:tc>
          <w:tcPr>
            <w:tcW w:w="1630" w:type="dxa"/>
            <w:gridSpan w:val="2"/>
            <w:tcBorders>
              <w:bottom w:val="single" w:color="auto" w:sz="4" w:space="0"/>
            </w:tcBorders>
            <w:vAlign w:val="center"/>
          </w:tcPr>
          <w:p>
            <w:pPr>
              <w:widowControl/>
              <w:autoSpaceDE w:val="0"/>
              <w:autoSpaceDN w:val="0"/>
              <w:jc w:val="center"/>
              <w:rPr>
                <w:kern w:val="0"/>
                <w:sz w:val="18"/>
                <w:szCs w:val="18"/>
                <w:highlight w:val="none"/>
              </w:rPr>
            </w:pPr>
            <w:r>
              <w:rPr>
                <w:kern w:val="0"/>
                <w:sz w:val="18"/>
                <w:szCs w:val="18"/>
                <w:highlight w:val="none"/>
              </w:rPr>
              <w:t>B</w:t>
            </w:r>
          </w:p>
        </w:tc>
        <w:tc>
          <w:tcPr>
            <w:tcW w:w="1630" w:type="dxa"/>
            <w:gridSpan w:val="2"/>
            <w:tcBorders>
              <w:bottom w:val="single" w:color="auto" w:sz="4" w:space="0"/>
            </w:tcBorders>
            <w:vAlign w:val="center"/>
          </w:tcPr>
          <w:p>
            <w:pPr>
              <w:widowControl/>
              <w:autoSpaceDE w:val="0"/>
              <w:autoSpaceDN w:val="0"/>
              <w:jc w:val="center"/>
              <w:rPr>
                <w:kern w:val="0"/>
                <w:sz w:val="18"/>
                <w:szCs w:val="18"/>
                <w:highlight w:val="none"/>
              </w:rPr>
            </w:pPr>
            <w:r>
              <w:rPr>
                <w:kern w:val="0"/>
                <w:sz w:val="18"/>
                <w:szCs w:val="18"/>
                <w:highlight w:val="none"/>
              </w:rPr>
              <w:t>C</w:t>
            </w:r>
          </w:p>
        </w:tc>
        <w:tc>
          <w:tcPr>
            <w:tcW w:w="1630" w:type="dxa"/>
            <w:gridSpan w:val="2"/>
            <w:tcBorders>
              <w:bottom w:val="single" w:color="auto" w:sz="4" w:space="0"/>
              <w:right w:val="single" w:color="auto" w:sz="4" w:space="0"/>
            </w:tcBorders>
            <w:vAlign w:val="center"/>
          </w:tcPr>
          <w:p>
            <w:pPr>
              <w:widowControl/>
              <w:autoSpaceDE w:val="0"/>
              <w:autoSpaceDN w:val="0"/>
              <w:jc w:val="center"/>
              <w:rPr>
                <w:kern w:val="0"/>
                <w:sz w:val="18"/>
                <w:szCs w:val="18"/>
                <w:highlight w:val="none"/>
              </w:rPr>
            </w:pPr>
            <w:r>
              <w:rPr>
                <w:kern w:val="0"/>
                <w:sz w:val="18"/>
                <w:szCs w:val="18"/>
                <w:highlight w:val="none"/>
              </w:rPr>
              <w:t>D</w:t>
            </w:r>
          </w:p>
        </w:tc>
        <w:tc>
          <w:tcPr>
            <w:tcW w:w="1238" w:type="dxa"/>
            <w:vMerge w:val="restart"/>
            <w:tcBorders>
              <w:left w:val="single" w:color="auto" w:sz="4" w:space="0"/>
            </w:tcBorders>
            <w:vAlign w:val="center"/>
          </w:tcPr>
          <w:p>
            <w:pPr>
              <w:widowControl/>
              <w:autoSpaceDE w:val="0"/>
              <w:autoSpaceDN w:val="0"/>
              <w:jc w:val="center"/>
              <w:rPr>
                <w:kern w:val="0"/>
                <w:sz w:val="18"/>
                <w:szCs w:val="18"/>
                <w:highlight w:val="none"/>
              </w:rPr>
            </w:pPr>
            <w:r>
              <w:rPr>
                <w:kern w:val="0"/>
                <w:sz w:val="18"/>
                <w:szCs w:val="18"/>
                <w:highlight w:val="none"/>
              </w:rPr>
              <w:t>DS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 w:hRule="atLeast"/>
          <w:jc w:val="center"/>
        </w:trPr>
        <w:tc>
          <w:tcPr>
            <w:tcW w:w="1810" w:type="dxa"/>
            <w:vMerge w:val="restart"/>
            <w:tcBorders>
              <w:top w:val="single" w:color="auto" w:sz="4" w:space="0"/>
            </w:tcBorders>
            <w:vAlign w:val="center"/>
          </w:tcPr>
          <w:p>
            <w:pPr>
              <w:widowControl/>
              <w:autoSpaceDE w:val="0"/>
              <w:autoSpaceDN w:val="0"/>
              <w:jc w:val="center"/>
              <w:rPr>
                <w:kern w:val="0"/>
                <w:sz w:val="18"/>
                <w:szCs w:val="18"/>
                <w:highlight w:val="none"/>
              </w:rPr>
            </w:pPr>
            <w:r>
              <w:rPr>
                <w:rFonts w:hint="eastAsia"/>
                <w:kern w:val="0"/>
                <w:sz w:val="18"/>
                <w:szCs w:val="18"/>
                <w:highlight w:val="none"/>
              </w:rPr>
              <w:t>合格级别（不大于）</w:t>
            </w:r>
          </w:p>
        </w:tc>
        <w:tc>
          <w:tcPr>
            <w:tcW w:w="816" w:type="dxa"/>
            <w:tcBorders>
              <w:top w:val="single" w:color="auto" w:sz="4" w:space="0"/>
              <w:right w:val="single" w:color="auto" w:sz="4" w:space="0"/>
            </w:tcBorders>
            <w:vAlign w:val="center"/>
          </w:tcPr>
          <w:p>
            <w:pPr>
              <w:autoSpaceDE w:val="0"/>
              <w:autoSpaceDN w:val="0"/>
              <w:jc w:val="center"/>
              <w:rPr>
                <w:kern w:val="0"/>
                <w:sz w:val="18"/>
                <w:szCs w:val="18"/>
                <w:highlight w:val="none"/>
              </w:rPr>
            </w:pPr>
            <w:r>
              <w:rPr>
                <w:rFonts w:hint="eastAsia"/>
                <w:kern w:val="0"/>
                <w:sz w:val="18"/>
                <w:szCs w:val="18"/>
                <w:highlight w:val="none"/>
              </w:rPr>
              <w:t>细系</w:t>
            </w:r>
          </w:p>
        </w:tc>
        <w:tc>
          <w:tcPr>
            <w:tcW w:w="816" w:type="dxa"/>
            <w:tcBorders>
              <w:top w:val="single" w:color="auto" w:sz="4" w:space="0"/>
              <w:left w:val="single" w:color="auto" w:sz="4" w:space="0"/>
            </w:tcBorders>
            <w:vAlign w:val="center"/>
          </w:tcPr>
          <w:p>
            <w:pPr>
              <w:autoSpaceDE w:val="0"/>
              <w:autoSpaceDN w:val="0"/>
              <w:jc w:val="center"/>
              <w:rPr>
                <w:kern w:val="0"/>
                <w:sz w:val="18"/>
                <w:szCs w:val="18"/>
                <w:highlight w:val="none"/>
              </w:rPr>
            </w:pPr>
            <w:r>
              <w:rPr>
                <w:rFonts w:hint="eastAsia"/>
                <w:kern w:val="0"/>
                <w:sz w:val="18"/>
                <w:szCs w:val="18"/>
                <w:highlight w:val="none"/>
              </w:rPr>
              <w:t>粗系</w:t>
            </w:r>
          </w:p>
        </w:tc>
        <w:tc>
          <w:tcPr>
            <w:tcW w:w="815" w:type="dxa"/>
            <w:tcBorders>
              <w:top w:val="single" w:color="auto" w:sz="4" w:space="0"/>
              <w:right w:val="single" w:color="auto" w:sz="4" w:space="0"/>
            </w:tcBorders>
            <w:vAlign w:val="center"/>
          </w:tcPr>
          <w:p>
            <w:pPr>
              <w:autoSpaceDE w:val="0"/>
              <w:autoSpaceDN w:val="0"/>
              <w:jc w:val="center"/>
              <w:rPr>
                <w:kern w:val="0"/>
                <w:sz w:val="18"/>
                <w:szCs w:val="18"/>
                <w:highlight w:val="none"/>
              </w:rPr>
            </w:pPr>
            <w:r>
              <w:rPr>
                <w:rFonts w:hint="eastAsia"/>
                <w:kern w:val="0"/>
                <w:sz w:val="18"/>
                <w:szCs w:val="18"/>
                <w:highlight w:val="none"/>
              </w:rPr>
              <w:t>细系</w:t>
            </w:r>
          </w:p>
        </w:tc>
        <w:tc>
          <w:tcPr>
            <w:tcW w:w="815" w:type="dxa"/>
            <w:tcBorders>
              <w:top w:val="single" w:color="auto" w:sz="4" w:space="0"/>
              <w:left w:val="single" w:color="auto" w:sz="4" w:space="0"/>
            </w:tcBorders>
            <w:vAlign w:val="center"/>
          </w:tcPr>
          <w:p>
            <w:pPr>
              <w:autoSpaceDE w:val="0"/>
              <w:autoSpaceDN w:val="0"/>
              <w:jc w:val="center"/>
              <w:rPr>
                <w:kern w:val="0"/>
                <w:sz w:val="18"/>
                <w:szCs w:val="18"/>
                <w:highlight w:val="none"/>
              </w:rPr>
            </w:pPr>
            <w:r>
              <w:rPr>
                <w:rFonts w:hint="eastAsia"/>
                <w:kern w:val="0"/>
                <w:sz w:val="18"/>
                <w:szCs w:val="18"/>
                <w:highlight w:val="none"/>
              </w:rPr>
              <w:t>粗系</w:t>
            </w:r>
          </w:p>
        </w:tc>
        <w:tc>
          <w:tcPr>
            <w:tcW w:w="815" w:type="dxa"/>
            <w:tcBorders>
              <w:top w:val="single" w:color="auto" w:sz="4" w:space="0"/>
              <w:right w:val="single" w:color="auto" w:sz="4" w:space="0"/>
            </w:tcBorders>
            <w:vAlign w:val="center"/>
          </w:tcPr>
          <w:p>
            <w:pPr>
              <w:autoSpaceDE w:val="0"/>
              <w:autoSpaceDN w:val="0"/>
              <w:jc w:val="center"/>
              <w:rPr>
                <w:kern w:val="0"/>
                <w:sz w:val="18"/>
                <w:szCs w:val="18"/>
                <w:highlight w:val="none"/>
              </w:rPr>
            </w:pPr>
            <w:r>
              <w:rPr>
                <w:rFonts w:hint="eastAsia"/>
                <w:kern w:val="0"/>
                <w:sz w:val="18"/>
                <w:szCs w:val="18"/>
                <w:highlight w:val="none"/>
              </w:rPr>
              <w:t>细系</w:t>
            </w:r>
          </w:p>
        </w:tc>
        <w:tc>
          <w:tcPr>
            <w:tcW w:w="815" w:type="dxa"/>
            <w:tcBorders>
              <w:top w:val="single" w:color="auto" w:sz="4" w:space="0"/>
              <w:left w:val="single" w:color="auto" w:sz="4" w:space="0"/>
            </w:tcBorders>
            <w:vAlign w:val="center"/>
          </w:tcPr>
          <w:p>
            <w:pPr>
              <w:autoSpaceDE w:val="0"/>
              <w:autoSpaceDN w:val="0"/>
              <w:jc w:val="center"/>
              <w:rPr>
                <w:kern w:val="0"/>
                <w:sz w:val="18"/>
                <w:szCs w:val="18"/>
                <w:highlight w:val="none"/>
              </w:rPr>
            </w:pPr>
            <w:r>
              <w:rPr>
                <w:rFonts w:hint="eastAsia"/>
                <w:kern w:val="0"/>
                <w:sz w:val="18"/>
                <w:szCs w:val="18"/>
                <w:highlight w:val="none"/>
              </w:rPr>
              <w:t>粗系</w:t>
            </w:r>
          </w:p>
        </w:tc>
        <w:tc>
          <w:tcPr>
            <w:tcW w:w="815" w:type="dxa"/>
            <w:tcBorders>
              <w:top w:val="single" w:color="auto" w:sz="4" w:space="0"/>
              <w:right w:val="single" w:color="auto" w:sz="4" w:space="0"/>
            </w:tcBorders>
            <w:vAlign w:val="center"/>
          </w:tcPr>
          <w:p>
            <w:pPr>
              <w:autoSpaceDE w:val="0"/>
              <w:autoSpaceDN w:val="0"/>
              <w:jc w:val="center"/>
              <w:rPr>
                <w:kern w:val="0"/>
                <w:sz w:val="18"/>
                <w:szCs w:val="18"/>
                <w:highlight w:val="none"/>
              </w:rPr>
            </w:pPr>
            <w:r>
              <w:rPr>
                <w:rFonts w:hint="eastAsia"/>
                <w:kern w:val="0"/>
                <w:sz w:val="18"/>
                <w:szCs w:val="18"/>
                <w:highlight w:val="none"/>
              </w:rPr>
              <w:t>细系</w:t>
            </w:r>
          </w:p>
        </w:tc>
        <w:tc>
          <w:tcPr>
            <w:tcW w:w="815" w:type="dxa"/>
            <w:tcBorders>
              <w:top w:val="single" w:color="auto" w:sz="4" w:space="0"/>
              <w:right w:val="single" w:color="auto" w:sz="4" w:space="0"/>
            </w:tcBorders>
            <w:vAlign w:val="center"/>
          </w:tcPr>
          <w:p>
            <w:pPr>
              <w:autoSpaceDE w:val="0"/>
              <w:autoSpaceDN w:val="0"/>
              <w:jc w:val="center"/>
              <w:rPr>
                <w:kern w:val="0"/>
                <w:sz w:val="18"/>
                <w:szCs w:val="18"/>
                <w:highlight w:val="none"/>
              </w:rPr>
            </w:pPr>
            <w:r>
              <w:rPr>
                <w:rFonts w:hint="eastAsia"/>
                <w:kern w:val="0"/>
                <w:sz w:val="18"/>
                <w:szCs w:val="18"/>
                <w:highlight w:val="none"/>
              </w:rPr>
              <w:t>粗系</w:t>
            </w:r>
          </w:p>
        </w:tc>
        <w:tc>
          <w:tcPr>
            <w:tcW w:w="1238" w:type="dxa"/>
            <w:vMerge w:val="continue"/>
            <w:tcBorders>
              <w:left w:val="single" w:color="auto" w:sz="4" w:space="0"/>
            </w:tcBorders>
            <w:vAlign w:val="center"/>
          </w:tcPr>
          <w:p>
            <w:pPr>
              <w:autoSpaceDE w:val="0"/>
              <w:autoSpaceDN w:val="0"/>
              <w:jc w:val="center"/>
              <w:rPr>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10" w:type="dxa"/>
            <w:vMerge w:val="continue"/>
            <w:vAlign w:val="center"/>
          </w:tcPr>
          <w:p>
            <w:pPr>
              <w:widowControl/>
              <w:autoSpaceDE w:val="0"/>
              <w:autoSpaceDN w:val="0"/>
              <w:jc w:val="center"/>
              <w:rPr>
                <w:kern w:val="0"/>
                <w:sz w:val="18"/>
                <w:szCs w:val="18"/>
                <w:highlight w:val="none"/>
              </w:rPr>
            </w:pPr>
          </w:p>
        </w:tc>
        <w:tc>
          <w:tcPr>
            <w:tcW w:w="816" w:type="dxa"/>
            <w:tcBorders>
              <w:right w:val="single" w:color="auto" w:sz="4" w:space="0"/>
            </w:tcBorders>
            <w:vAlign w:val="center"/>
          </w:tcPr>
          <w:p>
            <w:pPr>
              <w:widowControl/>
              <w:jc w:val="center"/>
              <w:rPr>
                <w:rFonts w:ascii="宋体"/>
                <w:sz w:val="18"/>
                <w:szCs w:val="18"/>
                <w:highlight w:val="none"/>
              </w:rPr>
            </w:pPr>
            <w:r>
              <w:rPr>
                <w:rFonts w:ascii="宋体"/>
                <w:sz w:val="18"/>
                <w:szCs w:val="18"/>
                <w:highlight w:val="none"/>
              </w:rPr>
              <w:t>0</w:t>
            </w:r>
          </w:p>
        </w:tc>
        <w:tc>
          <w:tcPr>
            <w:tcW w:w="816" w:type="dxa"/>
            <w:tcBorders>
              <w:left w:val="single" w:color="auto" w:sz="4" w:space="0"/>
            </w:tcBorders>
            <w:vAlign w:val="center"/>
          </w:tcPr>
          <w:p>
            <w:pPr>
              <w:jc w:val="center"/>
              <w:rPr>
                <w:rFonts w:ascii="宋体"/>
                <w:sz w:val="18"/>
                <w:szCs w:val="18"/>
                <w:highlight w:val="none"/>
              </w:rPr>
            </w:pPr>
            <w:r>
              <w:rPr>
                <w:rFonts w:ascii="宋体"/>
                <w:sz w:val="18"/>
                <w:szCs w:val="18"/>
                <w:highlight w:val="none"/>
              </w:rPr>
              <w:t>0</w:t>
            </w:r>
          </w:p>
        </w:tc>
        <w:tc>
          <w:tcPr>
            <w:tcW w:w="815" w:type="dxa"/>
            <w:tcBorders>
              <w:right w:val="single" w:color="auto" w:sz="4" w:space="0"/>
            </w:tcBorders>
            <w:vAlign w:val="center"/>
          </w:tcPr>
          <w:p>
            <w:pPr>
              <w:jc w:val="center"/>
              <w:rPr>
                <w:rFonts w:ascii="宋体"/>
                <w:sz w:val="18"/>
                <w:szCs w:val="18"/>
                <w:highlight w:val="none"/>
              </w:rPr>
            </w:pPr>
            <w:r>
              <w:rPr>
                <w:rFonts w:ascii="宋体"/>
                <w:sz w:val="18"/>
                <w:szCs w:val="18"/>
                <w:highlight w:val="none"/>
              </w:rPr>
              <w:t>0</w:t>
            </w:r>
          </w:p>
        </w:tc>
        <w:tc>
          <w:tcPr>
            <w:tcW w:w="815" w:type="dxa"/>
            <w:tcBorders>
              <w:left w:val="single" w:color="auto" w:sz="4" w:space="0"/>
            </w:tcBorders>
            <w:vAlign w:val="center"/>
          </w:tcPr>
          <w:p>
            <w:pPr>
              <w:jc w:val="center"/>
              <w:rPr>
                <w:rFonts w:ascii="宋体"/>
                <w:sz w:val="18"/>
                <w:szCs w:val="18"/>
                <w:highlight w:val="none"/>
              </w:rPr>
            </w:pPr>
            <w:r>
              <w:rPr>
                <w:rFonts w:ascii="宋体"/>
                <w:sz w:val="18"/>
                <w:szCs w:val="18"/>
                <w:highlight w:val="none"/>
              </w:rPr>
              <w:t>0</w:t>
            </w:r>
          </w:p>
        </w:tc>
        <w:tc>
          <w:tcPr>
            <w:tcW w:w="815" w:type="dxa"/>
            <w:tcBorders>
              <w:right w:val="single" w:color="auto" w:sz="4" w:space="0"/>
            </w:tcBorders>
            <w:vAlign w:val="center"/>
          </w:tcPr>
          <w:p>
            <w:pPr>
              <w:jc w:val="center"/>
              <w:rPr>
                <w:rFonts w:ascii="宋体"/>
                <w:sz w:val="18"/>
                <w:szCs w:val="18"/>
                <w:highlight w:val="none"/>
              </w:rPr>
            </w:pPr>
            <w:r>
              <w:rPr>
                <w:rFonts w:ascii="宋体"/>
                <w:sz w:val="18"/>
                <w:szCs w:val="18"/>
                <w:highlight w:val="none"/>
              </w:rPr>
              <w:t>0</w:t>
            </w:r>
          </w:p>
        </w:tc>
        <w:tc>
          <w:tcPr>
            <w:tcW w:w="815" w:type="dxa"/>
            <w:tcBorders>
              <w:left w:val="single" w:color="auto" w:sz="4" w:space="0"/>
            </w:tcBorders>
            <w:vAlign w:val="center"/>
          </w:tcPr>
          <w:p>
            <w:pPr>
              <w:jc w:val="center"/>
              <w:rPr>
                <w:rFonts w:ascii="宋体"/>
                <w:sz w:val="18"/>
                <w:szCs w:val="18"/>
                <w:highlight w:val="none"/>
              </w:rPr>
            </w:pPr>
            <w:r>
              <w:rPr>
                <w:rFonts w:ascii="宋体"/>
                <w:sz w:val="18"/>
                <w:szCs w:val="18"/>
                <w:highlight w:val="none"/>
              </w:rPr>
              <w:t>0</w:t>
            </w:r>
          </w:p>
        </w:tc>
        <w:tc>
          <w:tcPr>
            <w:tcW w:w="815" w:type="dxa"/>
            <w:tcBorders>
              <w:right w:val="single" w:color="auto" w:sz="4" w:space="0"/>
            </w:tcBorders>
            <w:vAlign w:val="center"/>
          </w:tcPr>
          <w:p>
            <w:pPr>
              <w:jc w:val="center"/>
              <w:rPr>
                <w:rFonts w:ascii="宋体"/>
                <w:sz w:val="18"/>
                <w:szCs w:val="18"/>
                <w:highlight w:val="none"/>
              </w:rPr>
            </w:pPr>
            <w:r>
              <w:rPr>
                <w:rFonts w:ascii="宋体"/>
                <w:sz w:val="18"/>
                <w:szCs w:val="18"/>
                <w:highlight w:val="none"/>
              </w:rPr>
              <w:t>0.5</w:t>
            </w:r>
          </w:p>
        </w:tc>
        <w:tc>
          <w:tcPr>
            <w:tcW w:w="815" w:type="dxa"/>
            <w:tcBorders>
              <w:right w:val="single" w:color="auto" w:sz="4" w:space="0"/>
            </w:tcBorders>
            <w:vAlign w:val="center"/>
          </w:tcPr>
          <w:p>
            <w:pPr>
              <w:jc w:val="center"/>
              <w:rPr>
                <w:rFonts w:ascii="宋体"/>
                <w:sz w:val="18"/>
                <w:szCs w:val="18"/>
                <w:highlight w:val="none"/>
              </w:rPr>
            </w:pPr>
            <w:r>
              <w:rPr>
                <w:rFonts w:ascii="宋体"/>
                <w:sz w:val="18"/>
                <w:szCs w:val="18"/>
                <w:highlight w:val="none"/>
              </w:rPr>
              <w:t>0</w:t>
            </w:r>
          </w:p>
        </w:tc>
        <w:tc>
          <w:tcPr>
            <w:tcW w:w="1238" w:type="dxa"/>
            <w:tcBorders>
              <w:left w:val="single" w:color="auto" w:sz="4" w:space="0"/>
            </w:tcBorders>
            <w:vAlign w:val="center"/>
          </w:tcPr>
          <w:p>
            <w:pPr>
              <w:jc w:val="center"/>
              <w:rPr>
                <w:rFonts w:ascii="宋体"/>
                <w:sz w:val="18"/>
                <w:szCs w:val="18"/>
                <w:highlight w:val="none"/>
              </w:rPr>
            </w:pPr>
            <w:r>
              <w:rPr>
                <w:rFonts w:ascii="宋体"/>
                <w:sz w:val="18"/>
                <w:szCs w:val="18"/>
                <w:highlight w:val="none"/>
              </w:rPr>
              <w:t>0</w:t>
            </w:r>
          </w:p>
        </w:tc>
      </w:tr>
    </w:tbl>
    <w:p>
      <w:pPr>
        <w:pStyle w:val="19"/>
        <w:ind w:firstLine="31680"/>
        <w:rPr>
          <w:highlight w:val="none"/>
        </w:rPr>
      </w:pPr>
    </w:p>
    <w:p>
      <w:pPr>
        <w:pStyle w:val="21"/>
        <w:numPr>
          <w:ilvl w:val="1"/>
          <w:numId w:val="7"/>
        </w:numPr>
        <w:spacing w:before="156" w:after="156"/>
        <w:ind w:left="0" w:firstLine="0"/>
        <w:rPr>
          <w:rFonts w:ascii="Times New Roman"/>
          <w:highlight w:val="none"/>
        </w:rPr>
      </w:pPr>
      <w:r>
        <w:rPr>
          <w:rFonts w:hint="eastAsia" w:ascii="Times New Roman"/>
          <w:highlight w:val="none"/>
        </w:rPr>
        <w:t>晶粒度</w:t>
      </w:r>
    </w:p>
    <w:p>
      <w:pPr>
        <w:ind w:firstLine="435"/>
        <w:rPr>
          <w:highlight w:val="none"/>
        </w:rPr>
      </w:pPr>
      <w:r>
        <w:rPr>
          <w:rFonts w:hint="eastAsia"/>
          <w:highlight w:val="none"/>
        </w:rPr>
        <w:t>根据需方要求，并在合同中注明，钢棒应按</w:t>
      </w:r>
      <w:r>
        <w:rPr>
          <w:highlight w:val="none"/>
        </w:rPr>
        <w:t>GB/T 6394</w:t>
      </w:r>
      <w:r>
        <w:rPr>
          <w:rFonts w:hint="eastAsia"/>
          <w:highlight w:val="none"/>
        </w:rPr>
        <w:t>进行晶粒度检验</w:t>
      </w:r>
      <w:r>
        <w:rPr>
          <w:rFonts w:hint="eastAsia" w:hAnsi="宋体" w:cs="宋体"/>
          <w:szCs w:val="21"/>
          <w:highlight w:val="none"/>
        </w:rPr>
        <w:t>，</w:t>
      </w:r>
      <w:r>
        <w:rPr>
          <w:rFonts w:hint="eastAsia"/>
          <w:highlight w:val="none"/>
        </w:rPr>
        <w:t>钢棒公称直径≤</w:t>
      </w:r>
      <w:r>
        <w:rPr>
          <w:highlight w:val="none"/>
        </w:rPr>
        <w:t>80mm</w:t>
      </w:r>
      <w:r>
        <w:rPr>
          <w:rFonts w:hint="eastAsia"/>
          <w:highlight w:val="none"/>
        </w:rPr>
        <w:t>，晶粒度应≥</w:t>
      </w:r>
      <w:r>
        <w:rPr>
          <w:highlight w:val="none"/>
        </w:rPr>
        <w:t>5</w:t>
      </w:r>
      <w:r>
        <w:rPr>
          <w:rFonts w:hint="eastAsia"/>
          <w:highlight w:val="none"/>
        </w:rPr>
        <w:t>级；公称直径＞</w:t>
      </w:r>
      <w:r>
        <w:rPr>
          <w:highlight w:val="none"/>
        </w:rPr>
        <w:t>80mm</w:t>
      </w:r>
      <w:r>
        <w:rPr>
          <w:rFonts w:hint="eastAsia"/>
          <w:highlight w:val="none"/>
        </w:rPr>
        <w:t>，晶粒度应≥</w:t>
      </w:r>
      <w:r>
        <w:rPr>
          <w:highlight w:val="none"/>
        </w:rPr>
        <w:t>3</w:t>
      </w:r>
      <w:r>
        <w:rPr>
          <w:rFonts w:hint="eastAsia"/>
          <w:highlight w:val="none"/>
        </w:rPr>
        <w:t>级。</w:t>
      </w:r>
    </w:p>
    <w:p>
      <w:pPr>
        <w:pStyle w:val="21"/>
        <w:numPr>
          <w:ilvl w:val="1"/>
          <w:numId w:val="7"/>
        </w:numPr>
        <w:spacing w:before="156" w:after="156"/>
        <w:ind w:left="0" w:firstLine="0"/>
        <w:rPr>
          <w:rFonts w:ascii="Times New Roman"/>
          <w:highlight w:val="none"/>
        </w:rPr>
      </w:pPr>
      <w:r>
        <w:rPr>
          <w:rFonts w:hint="eastAsia" w:ascii="Times New Roman"/>
          <w:highlight w:val="none"/>
        </w:rPr>
        <w:t>耐腐蚀试验</w:t>
      </w:r>
    </w:p>
    <w:p>
      <w:pPr>
        <w:pStyle w:val="26"/>
        <w:tabs>
          <w:tab w:val="left" w:pos="0"/>
        </w:tabs>
        <w:spacing w:before="156" w:after="156"/>
        <w:ind w:left="0" w:firstLine="420" w:firstLineChars="200"/>
        <w:rPr>
          <w:rFonts w:ascii="宋体" w:hAnsi="宋体" w:eastAsia="宋体" w:cs="宋体"/>
          <w:highlight w:val="none"/>
        </w:rPr>
      </w:pPr>
      <w:r>
        <w:rPr>
          <w:rFonts w:hint="eastAsia" w:ascii="宋体" w:hAnsi="宋体" w:eastAsia="宋体" w:cs="宋体"/>
          <w:highlight w:val="none"/>
        </w:rPr>
        <w:t>根据需方要求，并由供需双方协商采用合适的试验方法，且在合同中注明。钢棒</w:t>
      </w:r>
      <w:r>
        <w:rPr>
          <w:rFonts w:hint="eastAsia" w:ascii="宋体" w:hAnsi="宋体" w:eastAsia="宋体" w:cs="宋体"/>
          <w:highlight w:val="none"/>
          <w:lang w:val="zh-CN"/>
        </w:rPr>
        <w:t>可</w:t>
      </w:r>
      <w:r>
        <w:rPr>
          <w:rFonts w:hint="eastAsia" w:ascii="宋体" w:hAnsi="宋体" w:eastAsia="宋体" w:cs="宋体"/>
          <w:highlight w:val="none"/>
        </w:rPr>
        <w:t>进行晶间腐蚀试验，其耐腐蚀性能见表</w:t>
      </w:r>
      <w:r>
        <w:rPr>
          <w:rFonts w:ascii="宋体" w:hAnsi="宋体" w:eastAsia="宋体" w:cs="宋体"/>
          <w:highlight w:val="none"/>
        </w:rPr>
        <w:t>6</w:t>
      </w:r>
      <w:r>
        <w:rPr>
          <w:rFonts w:hint="eastAsia" w:ascii="宋体" w:hAnsi="宋体" w:eastAsia="宋体" w:cs="宋体"/>
          <w:highlight w:val="none"/>
        </w:rPr>
        <w:t>和表</w:t>
      </w:r>
      <w:r>
        <w:rPr>
          <w:rFonts w:ascii="宋体" w:hAnsi="宋体" w:eastAsia="宋体" w:cs="宋体"/>
          <w:highlight w:val="none"/>
        </w:rPr>
        <w:t>7</w:t>
      </w:r>
      <w:r>
        <w:rPr>
          <w:rFonts w:hint="eastAsia" w:ascii="宋体" w:hAnsi="宋体" w:eastAsia="宋体" w:cs="宋体"/>
          <w:highlight w:val="none"/>
        </w:rPr>
        <w:t>。</w:t>
      </w:r>
    </w:p>
    <w:p>
      <w:pPr>
        <w:pStyle w:val="24"/>
        <w:numPr>
          <w:ilvl w:val="0"/>
          <w:numId w:val="10"/>
        </w:numPr>
        <w:spacing w:before="156" w:after="156"/>
        <w:rPr>
          <w:rFonts w:ascii="Times New Roman" w:eastAsia="宋体"/>
          <w:sz w:val="18"/>
          <w:highlight w:val="none"/>
        </w:rPr>
      </w:pPr>
      <w:r>
        <w:rPr>
          <w:rFonts w:ascii="Times New Roman"/>
          <w:highlight w:val="none"/>
        </w:rPr>
        <w:t>GB/T 4334</w:t>
      </w:r>
      <w:r>
        <w:rPr>
          <w:rFonts w:hint="eastAsia" w:ascii="Times New Roman"/>
          <w:highlight w:val="none"/>
        </w:rPr>
        <w:t>中</w:t>
      </w:r>
      <w:r>
        <w:rPr>
          <w:rFonts w:ascii="Times New Roman"/>
          <w:highlight w:val="none"/>
        </w:rPr>
        <w:t>10%</w:t>
      </w:r>
      <w:r>
        <w:rPr>
          <w:rFonts w:hint="eastAsia" w:ascii="Times New Roman"/>
          <w:highlight w:val="none"/>
        </w:rPr>
        <w:t>草酸浸蚀试验的判别</w:t>
      </w:r>
    </w:p>
    <w:tbl>
      <w:tblPr>
        <w:tblStyle w:val="7"/>
        <w:tblW w:w="499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5"/>
        <w:gridCol w:w="1775"/>
        <w:gridCol w:w="1775"/>
        <w:gridCol w:w="1775"/>
        <w:gridCol w:w="17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6" w:hRule="atLeast"/>
          <w:tblHeader/>
          <w:jc w:val="center"/>
        </w:trPr>
        <w:tc>
          <w:tcPr>
            <w:tcW w:w="1284" w:type="pct"/>
            <w:tcBorders>
              <w:top w:val="single" w:color="auto" w:sz="12" w:space="0"/>
            </w:tcBorders>
            <w:vAlign w:val="center"/>
          </w:tcPr>
          <w:p>
            <w:pPr>
              <w:spacing w:line="240" w:lineRule="exact"/>
              <w:jc w:val="center"/>
              <w:rPr>
                <w:rFonts w:ascii="宋体"/>
                <w:sz w:val="18"/>
                <w:highlight w:val="none"/>
              </w:rPr>
            </w:pPr>
            <w:r>
              <w:rPr>
                <w:rFonts w:hint="eastAsia" w:ascii="宋体" w:hAnsi="宋体" w:cs="宋体"/>
                <w:sz w:val="18"/>
                <w:szCs w:val="18"/>
                <w:highlight w:val="none"/>
              </w:rPr>
              <w:t>牌号</w:t>
            </w:r>
          </w:p>
        </w:tc>
        <w:tc>
          <w:tcPr>
            <w:tcW w:w="928" w:type="pct"/>
            <w:tcBorders>
              <w:top w:val="single" w:color="auto" w:sz="12" w:space="0"/>
              <w:left w:val="single" w:color="auto" w:sz="4" w:space="0"/>
              <w:right w:val="single" w:color="auto" w:sz="4" w:space="0"/>
            </w:tcBorders>
            <w:vAlign w:val="center"/>
          </w:tcPr>
          <w:p>
            <w:pPr>
              <w:spacing w:line="240" w:lineRule="exact"/>
              <w:jc w:val="center"/>
              <w:rPr>
                <w:rFonts w:ascii="宋体"/>
                <w:sz w:val="18"/>
                <w:highlight w:val="none"/>
              </w:rPr>
            </w:pPr>
            <w:r>
              <w:rPr>
                <w:rFonts w:hint="eastAsia" w:ascii="宋体"/>
                <w:sz w:val="18"/>
                <w:highlight w:val="none"/>
              </w:rPr>
              <w:t>试验状态</w:t>
            </w:r>
          </w:p>
        </w:tc>
        <w:tc>
          <w:tcPr>
            <w:tcW w:w="928" w:type="pct"/>
            <w:tcBorders>
              <w:top w:val="single" w:color="auto" w:sz="12" w:space="0"/>
              <w:left w:val="single" w:color="auto" w:sz="4" w:space="0"/>
              <w:right w:val="single" w:color="auto" w:sz="4" w:space="0"/>
            </w:tcBorders>
            <w:vAlign w:val="center"/>
          </w:tcPr>
          <w:p>
            <w:pPr>
              <w:spacing w:line="240" w:lineRule="exact"/>
              <w:jc w:val="center"/>
              <w:rPr>
                <w:rFonts w:ascii="宋体"/>
                <w:sz w:val="18"/>
                <w:highlight w:val="none"/>
              </w:rPr>
            </w:pPr>
            <w:r>
              <w:rPr>
                <w:rFonts w:ascii="宋体"/>
                <w:sz w:val="18"/>
                <w:highlight w:val="none"/>
              </w:rPr>
              <w:t>GB/T4334.2</w:t>
            </w:r>
          </w:p>
          <w:p>
            <w:pPr>
              <w:spacing w:line="240" w:lineRule="exact"/>
              <w:jc w:val="center"/>
              <w:rPr>
                <w:rFonts w:ascii="宋体"/>
                <w:sz w:val="18"/>
                <w:highlight w:val="none"/>
              </w:rPr>
            </w:pPr>
            <w:r>
              <w:rPr>
                <w:rFonts w:hint="eastAsia" w:ascii="宋体"/>
                <w:sz w:val="18"/>
                <w:highlight w:val="none"/>
              </w:rPr>
              <w:t>硫酸</w:t>
            </w:r>
            <w:r>
              <w:rPr>
                <w:rFonts w:ascii="宋体"/>
                <w:sz w:val="18"/>
                <w:highlight w:val="none"/>
              </w:rPr>
              <w:t>-</w:t>
            </w:r>
            <w:r>
              <w:rPr>
                <w:rFonts w:hint="eastAsia" w:ascii="宋体"/>
                <w:sz w:val="18"/>
                <w:highlight w:val="none"/>
              </w:rPr>
              <w:t>硫酸铁腐蚀试验</w:t>
            </w:r>
          </w:p>
        </w:tc>
        <w:tc>
          <w:tcPr>
            <w:tcW w:w="928" w:type="pct"/>
            <w:tcBorders>
              <w:top w:val="single" w:color="auto" w:sz="12" w:space="0"/>
              <w:left w:val="single" w:color="auto" w:sz="4" w:space="0"/>
              <w:right w:val="single" w:color="auto" w:sz="4" w:space="0"/>
            </w:tcBorders>
            <w:vAlign w:val="center"/>
          </w:tcPr>
          <w:p>
            <w:pPr>
              <w:spacing w:line="240" w:lineRule="exact"/>
              <w:jc w:val="center"/>
              <w:rPr>
                <w:rFonts w:ascii="宋体"/>
                <w:sz w:val="18"/>
                <w:highlight w:val="none"/>
              </w:rPr>
            </w:pPr>
            <w:r>
              <w:rPr>
                <w:rFonts w:ascii="宋体"/>
                <w:sz w:val="18"/>
                <w:highlight w:val="none"/>
              </w:rPr>
              <w:t>GB/T4334.3</w:t>
            </w:r>
          </w:p>
          <w:p>
            <w:pPr>
              <w:spacing w:line="240" w:lineRule="exact"/>
              <w:jc w:val="center"/>
              <w:rPr>
                <w:rFonts w:ascii="宋体" w:cs="宋体"/>
                <w:sz w:val="18"/>
                <w:szCs w:val="18"/>
                <w:highlight w:val="none"/>
              </w:rPr>
            </w:pPr>
            <w:r>
              <w:rPr>
                <w:rFonts w:ascii="宋体" w:hAnsi="宋体" w:cs="宋体"/>
                <w:sz w:val="18"/>
                <w:szCs w:val="18"/>
                <w:highlight w:val="none"/>
              </w:rPr>
              <w:t>65%</w:t>
            </w:r>
            <w:r>
              <w:rPr>
                <w:rFonts w:hint="eastAsia" w:ascii="宋体" w:hAnsi="宋体" w:cs="宋体"/>
                <w:sz w:val="18"/>
                <w:szCs w:val="18"/>
                <w:highlight w:val="none"/>
              </w:rPr>
              <w:t>硝酸腐蚀试验</w:t>
            </w:r>
          </w:p>
        </w:tc>
        <w:tc>
          <w:tcPr>
            <w:tcW w:w="930" w:type="pct"/>
            <w:tcBorders>
              <w:top w:val="single" w:color="auto" w:sz="12" w:space="0"/>
              <w:left w:val="single" w:color="auto" w:sz="4" w:space="0"/>
              <w:bottom w:val="single" w:color="auto" w:sz="12" w:space="0"/>
              <w:right w:val="single" w:color="auto" w:sz="4" w:space="0"/>
            </w:tcBorders>
            <w:vAlign w:val="center"/>
          </w:tcPr>
          <w:p>
            <w:pPr>
              <w:spacing w:line="240" w:lineRule="exact"/>
              <w:jc w:val="center"/>
              <w:rPr>
                <w:rFonts w:ascii="宋体"/>
                <w:sz w:val="18"/>
                <w:highlight w:val="none"/>
              </w:rPr>
            </w:pPr>
            <w:r>
              <w:rPr>
                <w:rFonts w:ascii="宋体"/>
                <w:sz w:val="18"/>
                <w:highlight w:val="none"/>
              </w:rPr>
              <w:t>GB/T4334.5</w:t>
            </w:r>
          </w:p>
          <w:p>
            <w:pPr>
              <w:spacing w:line="240" w:lineRule="exact"/>
              <w:jc w:val="center"/>
              <w:rPr>
                <w:rFonts w:ascii="宋体"/>
                <w:sz w:val="18"/>
                <w:highlight w:val="none"/>
              </w:rPr>
            </w:pPr>
            <w:r>
              <w:rPr>
                <w:rFonts w:hint="eastAsia" w:ascii="宋体"/>
                <w:sz w:val="18"/>
                <w:highlight w:val="none"/>
              </w:rPr>
              <w:t>硫酸</w:t>
            </w:r>
            <w:r>
              <w:rPr>
                <w:rFonts w:ascii="宋体"/>
                <w:sz w:val="18"/>
                <w:highlight w:val="none"/>
              </w:rPr>
              <w:t>-</w:t>
            </w:r>
            <w:r>
              <w:rPr>
                <w:rFonts w:hint="eastAsia" w:ascii="宋体"/>
                <w:sz w:val="18"/>
                <w:highlight w:val="none"/>
              </w:rPr>
              <w:t>硫酸铜腐蚀试验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exact"/>
          <w:jc w:val="center"/>
        </w:trPr>
        <w:tc>
          <w:tcPr>
            <w:tcW w:w="1284" w:type="pct"/>
            <w:tcBorders>
              <w:top w:val="single" w:color="auto" w:sz="12" w:space="0"/>
              <w:bottom w:val="single" w:color="auto" w:sz="12" w:space="0"/>
            </w:tcBorders>
            <w:vAlign w:val="center"/>
          </w:tcPr>
          <w:p>
            <w:pPr>
              <w:spacing w:line="240" w:lineRule="exact"/>
              <w:jc w:val="center"/>
              <w:rPr>
                <w:rFonts w:ascii="宋体"/>
                <w:sz w:val="18"/>
                <w:highlight w:val="none"/>
              </w:rPr>
            </w:pPr>
            <w:r>
              <w:rPr>
                <w:rFonts w:ascii="宋体"/>
                <w:sz w:val="18"/>
                <w:highlight w:val="none"/>
              </w:rPr>
              <w:t>008Cr17Ni15Mo3</w:t>
            </w:r>
          </w:p>
        </w:tc>
        <w:tc>
          <w:tcPr>
            <w:tcW w:w="928" w:type="pct"/>
            <w:tcBorders>
              <w:top w:val="single" w:color="auto" w:sz="12" w:space="0"/>
              <w:bottom w:val="single" w:color="auto" w:sz="12" w:space="0"/>
            </w:tcBorders>
            <w:vAlign w:val="center"/>
          </w:tcPr>
          <w:p>
            <w:pPr>
              <w:spacing w:line="220" w:lineRule="exact"/>
              <w:jc w:val="center"/>
              <w:rPr>
                <w:sz w:val="18"/>
                <w:szCs w:val="18"/>
                <w:highlight w:val="none"/>
              </w:rPr>
            </w:pPr>
            <w:r>
              <w:rPr>
                <w:rFonts w:hint="eastAsia"/>
                <w:sz w:val="18"/>
                <w:szCs w:val="18"/>
                <w:highlight w:val="none"/>
              </w:rPr>
              <w:t>固溶处理</w:t>
            </w:r>
            <w:r>
              <w:rPr>
                <w:sz w:val="18"/>
                <w:szCs w:val="18"/>
                <w:highlight w:val="none"/>
              </w:rPr>
              <w:t>/</w:t>
            </w:r>
            <w:r>
              <w:rPr>
                <w:rFonts w:hint="eastAsia"/>
                <w:sz w:val="18"/>
                <w:szCs w:val="18"/>
                <w:highlight w:val="none"/>
              </w:rPr>
              <w:t>敏化处理</w:t>
            </w:r>
          </w:p>
        </w:tc>
        <w:tc>
          <w:tcPr>
            <w:tcW w:w="928" w:type="pct"/>
            <w:tcBorders>
              <w:top w:val="single" w:color="auto" w:sz="12" w:space="0"/>
              <w:bottom w:val="single" w:color="auto" w:sz="12" w:space="0"/>
            </w:tcBorders>
            <w:vAlign w:val="center"/>
          </w:tcPr>
          <w:p>
            <w:pPr>
              <w:spacing w:line="220" w:lineRule="exact"/>
              <w:jc w:val="center"/>
              <w:rPr>
                <w:sz w:val="18"/>
                <w:szCs w:val="18"/>
                <w:highlight w:val="none"/>
              </w:rPr>
            </w:pPr>
            <w:r>
              <w:rPr>
                <w:rFonts w:hint="eastAsia"/>
                <w:sz w:val="18"/>
                <w:szCs w:val="18"/>
                <w:highlight w:val="none"/>
              </w:rPr>
              <w:t>沟状组织</w:t>
            </w:r>
          </w:p>
        </w:tc>
        <w:tc>
          <w:tcPr>
            <w:tcW w:w="928" w:type="pct"/>
            <w:tcBorders>
              <w:top w:val="single" w:color="auto" w:sz="12" w:space="0"/>
              <w:bottom w:val="single" w:color="auto" w:sz="12" w:space="0"/>
            </w:tcBorders>
            <w:vAlign w:val="center"/>
          </w:tcPr>
          <w:p>
            <w:pPr>
              <w:spacing w:line="220" w:lineRule="exact"/>
              <w:jc w:val="center"/>
              <w:rPr>
                <w:sz w:val="18"/>
                <w:szCs w:val="18"/>
                <w:highlight w:val="none"/>
              </w:rPr>
            </w:pPr>
            <w:r>
              <w:rPr>
                <w:sz w:val="18"/>
                <w:szCs w:val="18"/>
                <w:highlight w:val="none"/>
              </w:rPr>
              <w:t>——</w:t>
            </w:r>
          </w:p>
        </w:tc>
        <w:tc>
          <w:tcPr>
            <w:tcW w:w="930" w:type="pct"/>
            <w:tcBorders>
              <w:top w:val="single" w:color="auto" w:sz="12" w:space="0"/>
              <w:bottom w:val="single" w:color="auto" w:sz="12" w:space="0"/>
            </w:tcBorders>
            <w:vAlign w:val="center"/>
          </w:tcPr>
          <w:p>
            <w:pPr>
              <w:spacing w:line="220" w:lineRule="exact"/>
              <w:jc w:val="center"/>
              <w:rPr>
                <w:sz w:val="18"/>
                <w:szCs w:val="18"/>
                <w:highlight w:val="none"/>
              </w:rPr>
            </w:pPr>
            <w:r>
              <w:rPr>
                <w:rFonts w:hint="eastAsia"/>
                <w:sz w:val="18"/>
                <w:szCs w:val="18"/>
                <w:highlight w:val="none"/>
              </w:rPr>
              <w:t>沟状组织</w:t>
            </w:r>
          </w:p>
        </w:tc>
      </w:tr>
    </w:tbl>
    <w:p>
      <w:pPr>
        <w:pStyle w:val="19"/>
        <w:ind w:firstLine="31680"/>
        <w:rPr>
          <w:highlight w:val="none"/>
        </w:rPr>
      </w:pPr>
    </w:p>
    <w:p>
      <w:pPr>
        <w:pStyle w:val="24"/>
        <w:numPr>
          <w:ilvl w:val="0"/>
          <w:numId w:val="10"/>
        </w:numPr>
        <w:spacing w:before="156" w:after="156"/>
        <w:rPr>
          <w:rFonts w:ascii="Times New Roman" w:eastAsia="宋体"/>
          <w:sz w:val="18"/>
          <w:highlight w:val="none"/>
        </w:rPr>
      </w:pPr>
      <w:r>
        <w:rPr>
          <w:rFonts w:hint="eastAsia" w:ascii="Times New Roman"/>
          <w:highlight w:val="none"/>
        </w:rPr>
        <w:t>晶间腐蚀试验</w:t>
      </w:r>
    </w:p>
    <w:tbl>
      <w:tblPr>
        <w:tblStyle w:val="7"/>
        <w:tblW w:w="499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9"/>
        <w:gridCol w:w="1774"/>
        <w:gridCol w:w="1774"/>
        <w:gridCol w:w="1774"/>
        <w:gridCol w:w="17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6" w:hRule="atLeast"/>
          <w:tblHeader/>
          <w:jc w:val="center"/>
        </w:trPr>
        <w:tc>
          <w:tcPr>
            <w:tcW w:w="1286" w:type="pct"/>
            <w:vMerge w:val="restart"/>
            <w:tcBorders>
              <w:top w:val="single" w:color="auto" w:sz="12" w:space="0"/>
            </w:tcBorders>
            <w:vAlign w:val="center"/>
          </w:tcPr>
          <w:p>
            <w:pPr>
              <w:spacing w:line="240" w:lineRule="exact"/>
              <w:jc w:val="center"/>
              <w:rPr>
                <w:rFonts w:ascii="宋体"/>
                <w:sz w:val="18"/>
                <w:highlight w:val="none"/>
              </w:rPr>
            </w:pPr>
            <w:r>
              <w:rPr>
                <w:rFonts w:hint="eastAsia" w:ascii="宋体" w:hAnsi="宋体" w:cs="宋体"/>
                <w:sz w:val="18"/>
                <w:szCs w:val="18"/>
                <w:highlight w:val="none"/>
              </w:rPr>
              <w:t>牌号</w:t>
            </w:r>
          </w:p>
        </w:tc>
        <w:tc>
          <w:tcPr>
            <w:tcW w:w="928" w:type="pct"/>
            <w:vMerge w:val="restart"/>
            <w:tcBorders>
              <w:top w:val="single" w:color="auto" w:sz="12" w:space="0"/>
              <w:left w:val="single" w:color="auto" w:sz="4" w:space="0"/>
              <w:right w:val="single" w:color="auto" w:sz="4" w:space="0"/>
            </w:tcBorders>
            <w:vAlign w:val="center"/>
          </w:tcPr>
          <w:p>
            <w:pPr>
              <w:spacing w:line="240" w:lineRule="exact"/>
              <w:jc w:val="center"/>
              <w:rPr>
                <w:rFonts w:ascii="宋体"/>
                <w:sz w:val="18"/>
                <w:highlight w:val="none"/>
              </w:rPr>
            </w:pPr>
            <w:r>
              <w:rPr>
                <w:rFonts w:hint="eastAsia" w:ascii="宋体"/>
                <w:sz w:val="18"/>
                <w:highlight w:val="none"/>
              </w:rPr>
              <w:t>试验状态</w:t>
            </w:r>
          </w:p>
        </w:tc>
        <w:tc>
          <w:tcPr>
            <w:tcW w:w="928" w:type="pct"/>
            <w:tcBorders>
              <w:top w:val="single" w:color="auto" w:sz="12" w:space="0"/>
              <w:left w:val="single" w:color="auto" w:sz="4" w:space="0"/>
              <w:right w:val="single" w:color="auto" w:sz="4" w:space="0"/>
            </w:tcBorders>
            <w:vAlign w:val="center"/>
          </w:tcPr>
          <w:p>
            <w:pPr>
              <w:spacing w:line="240" w:lineRule="exact"/>
              <w:jc w:val="center"/>
              <w:rPr>
                <w:rFonts w:ascii="宋体" w:cs="宋体"/>
                <w:sz w:val="18"/>
                <w:highlight w:val="none"/>
              </w:rPr>
            </w:pPr>
            <w:r>
              <w:rPr>
                <w:rFonts w:ascii="宋体"/>
                <w:sz w:val="18"/>
                <w:highlight w:val="none"/>
              </w:rPr>
              <w:t>GB/T4334.2</w:t>
            </w:r>
          </w:p>
        </w:tc>
        <w:tc>
          <w:tcPr>
            <w:tcW w:w="928" w:type="pct"/>
            <w:tcBorders>
              <w:top w:val="single" w:color="auto" w:sz="12" w:space="0"/>
              <w:left w:val="single" w:color="auto" w:sz="4" w:space="0"/>
              <w:right w:val="single" w:color="auto" w:sz="4" w:space="0"/>
            </w:tcBorders>
            <w:vAlign w:val="center"/>
          </w:tcPr>
          <w:p>
            <w:pPr>
              <w:spacing w:line="240" w:lineRule="exact"/>
              <w:jc w:val="center"/>
              <w:rPr>
                <w:rFonts w:ascii="宋体"/>
                <w:sz w:val="18"/>
                <w:highlight w:val="none"/>
              </w:rPr>
            </w:pPr>
            <w:r>
              <w:rPr>
                <w:rFonts w:ascii="宋体"/>
                <w:sz w:val="18"/>
                <w:highlight w:val="none"/>
              </w:rPr>
              <w:t>GB/T4334.3</w:t>
            </w:r>
          </w:p>
        </w:tc>
        <w:tc>
          <w:tcPr>
            <w:tcW w:w="930" w:type="pct"/>
            <w:tcBorders>
              <w:top w:val="single" w:color="auto" w:sz="12" w:space="0"/>
              <w:left w:val="single" w:color="auto" w:sz="4" w:space="0"/>
              <w:bottom w:val="single" w:color="auto" w:sz="12" w:space="0"/>
              <w:right w:val="single" w:color="auto" w:sz="4" w:space="0"/>
            </w:tcBorders>
            <w:vAlign w:val="center"/>
          </w:tcPr>
          <w:p>
            <w:pPr>
              <w:spacing w:line="240" w:lineRule="exact"/>
              <w:jc w:val="center"/>
              <w:rPr>
                <w:rFonts w:ascii="宋体"/>
                <w:sz w:val="18"/>
                <w:highlight w:val="none"/>
              </w:rPr>
            </w:pPr>
            <w:r>
              <w:rPr>
                <w:rFonts w:ascii="宋体"/>
                <w:sz w:val="18"/>
                <w:highlight w:val="none"/>
              </w:rPr>
              <w:t>GB/T4334.5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6" w:hRule="atLeast"/>
          <w:tblHeader/>
          <w:jc w:val="center"/>
        </w:trPr>
        <w:tc>
          <w:tcPr>
            <w:tcW w:w="1286" w:type="pct"/>
            <w:vMerge w:val="continue"/>
            <w:vAlign w:val="center"/>
          </w:tcPr>
          <w:p>
            <w:pPr>
              <w:spacing w:line="240" w:lineRule="exact"/>
              <w:jc w:val="center"/>
              <w:rPr>
                <w:rFonts w:ascii="宋体" w:cs="宋体"/>
                <w:sz w:val="18"/>
                <w:szCs w:val="18"/>
                <w:highlight w:val="none"/>
              </w:rPr>
            </w:pPr>
          </w:p>
        </w:tc>
        <w:tc>
          <w:tcPr>
            <w:tcW w:w="928" w:type="pct"/>
            <w:vMerge w:val="continue"/>
            <w:tcBorders>
              <w:left w:val="single" w:color="auto" w:sz="4" w:space="0"/>
              <w:right w:val="single" w:color="auto" w:sz="4" w:space="0"/>
            </w:tcBorders>
            <w:vAlign w:val="center"/>
          </w:tcPr>
          <w:p>
            <w:pPr>
              <w:spacing w:line="240" w:lineRule="exact"/>
              <w:jc w:val="center"/>
              <w:rPr>
                <w:rFonts w:ascii="宋体"/>
                <w:sz w:val="18"/>
                <w:highlight w:val="none"/>
              </w:rPr>
            </w:pPr>
          </w:p>
        </w:tc>
        <w:tc>
          <w:tcPr>
            <w:tcW w:w="928" w:type="pct"/>
            <w:tcBorders>
              <w:top w:val="single" w:color="auto" w:sz="12" w:space="0"/>
              <w:left w:val="single" w:color="auto" w:sz="4" w:space="0"/>
              <w:right w:val="single" w:color="auto" w:sz="4" w:space="0"/>
            </w:tcBorders>
            <w:vAlign w:val="center"/>
          </w:tcPr>
          <w:p>
            <w:pPr>
              <w:spacing w:line="240" w:lineRule="exact"/>
              <w:jc w:val="center"/>
              <w:rPr>
                <w:rFonts w:ascii="宋体"/>
                <w:sz w:val="18"/>
                <w:highlight w:val="none"/>
              </w:rPr>
            </w:pPr>
            <w:r>
              <w:rPr>
                <w:rFonts w:hint="eastAsia" w:ascii="宋体"/>
                <w:sz w:val="18"/>
                <w:highlight w:val="none"/>
              </w:rPr>
              <w:t>硫酸</w:t>
            </w:r>
            <w:r>
              <w:rPr>
                <w:rFonts w:ascii="宋体"/>
                <w:sz w:val="18"/>
                <w:highlight w:val="none"/>
              </w:rPr>
              <w:t>-</w:t>
            </w:r>
            <w:r>
              <w:rPr>
                <w:rFonts w:hint="eastAsia" w:ascii="宋体"/>
                <w:sz w:val="18"/>
                <w:highlight w:val="none"/>
              </w:rPr>
              <w:t>硫酸铁腐蚀试验腐蚀减重</w:t>
            </w:r>
            <w:r>
              <w:rPr>
                <w:rFonts w:ascii="宋体"/>
                <w:sz w:val="18"/>
                <w:highlight w:val="none"/>
              </w:rPr>
              <w:t>/</w:t>
            </w:r>
          </w:p>
          <w:p>
            <w:pPr>
              <w:spacing w:line="240" w:lineRule="exact"/>
              <w:jc w:val="center"/>
              <w:rPr>
                <w:rFonts w:ascii="宋体" w:cs="宋体"/>
                <w:sz w:val="18"/>
                <w:highlight w:val="none"/>
              </w:rPr>
            </w:pPr>
            <w:r>
              <w:rPr>
                <w:rFonts w:ascii="宋体" w:hAnsi="宋体" w:cs="宋体"/>
                <w:sz w:val="18"/>
                <w:highlight w:val="none"/>
              </w:rPr>
              <w:t>[g/</w:t>
            </w:r>
            <w:r>
              <w:rPr>
                <w:rFonts w:hint="eastAsia" w:ascii="宋体" w:hAnsi="宋体" w:cs="宋体"/>
                <w:sz w:val="18"/>
                <w:highlight w:val="none"/>
              </w:rPr>
              <w:t>（</w:t>
            </w:r>
            <w:r>
              <w:rPr>
                <w:rFonts w:ascii="宋体" w:hAnsi="宋体" w:cs="宋体"/>
                <w:sz w:val="18"/>
                <w:highlight w:val="none"/>
              </w:rPr>
              <w:t>m</w:t>
            </w:r>
            <w:r>
              <w:rPr>
                <w:rFonts w:ascii="宋体" w:hAnsi="宋体" w:cs="宋体"/>
                <w:sz w:val="18"/>
                <w:highlight w:val="none"/>
                <w:vertAlign w:val="superscript"/>
              </w:rPr>
              <w:t>2</w:t>
            </w:r>
            <w:r>
              <w:rPr>
                <w:rFonts w:ascii="宋体" w:hAnsi="宋体" w:cs="宋体"/>
                <w:sz w:val="18"/>
                <w:highlight w:val="none"/>
              </w:rPr>
              <w:t>/h</w:t>
            </w:r>
            <w:r>
              <w:rPr>
                <w:rFonts w:hint="eastAsia" w:ascii="宋体" w:hAnsi="宋体" w:cs="宋体"/>
                <w:sz w:val="18"/>
                <w:highlight w:val="none"/>
              </w:rPr>
              <w:t>）</w:t>
            </w:r>
            <w:r>
              <w:rPr>
                <w:rFonts w:ascii="宋体" w:hAnsi="宋体" w:cs="宋体"/>
                <w:sz w:val="18"/>
                <w:highlight w:val="none"/>
              </w:rPr>
              <w:t>]</w:t>
            </w:r>
          </w:p>
        </w:tc>
        <w:tc>
          <w:tcPr>
            <w:tcW w:w="928" w:type="pct"/>
            <w:tcBorders>
              <w:top w:val="single" w:color="auto" w:sz="12" w:space="0"/>
              <w:left w:val="single" w:color="auto" w:sz="4" w:space="0"/>
              <w:right w:val="single" w:color="auto" w:sz="4" w:space="0"/>
            </w:tcBorders>
            <w:vAlign w:val="center"/>
          </w:tcPr>
          <w:p>
            <w:pPr>
              <w:spacing w:line="240" w:lineRule="exact"/>
              <w:jc w:val="center"/>
              <w:rPr>
                <w:rFonts w:ascii="宋体"/>
                <w:sz w:val="18"/>
                <w:highlight w:val="none"/>
              </w:rPr>
            </w:pPr>
            <w:r>
              <w:rPr>
                <w:rFonts w:ascii="宋体" w:hAnsi="宋体" w:cs="宋体"/>
                <w:sz w:val="18"/>
                <w:szCs w:val="18"/>
                <w:highlight w:val="none"/>
              </w:rPr>
              <w:t>65%</w:t>
            </w:r>
            <w:r>
              <w:rPr>
                <w:rFonts w:hint="eastAsia" w:ascii="宋体" w:hAnsi="宋体" w:cs="宋体"/>
                <w:sz w:val="18"/>
                <w:szCs w:val="18"/>
                <w:highlight w:val="none"/>
              </w:rPr>
              <w:t>硝酸腐蚀试验</w:t>
            </w:r>
            <w:r>
              <w:rPr>
                <w:rFonts w:hint="eastAsia" w:ascii="宋体"/>
                <w:sz w:val="18"/>
                <w:highlight w:val="none"/>
              </w:rPr>
              <w:t>腐蚀减重</w:t>
            </w:r>
            <w:r>
              <w:rPr>
                <w:rFonts w:ascii="宋体"/>
                <w:sz w:val="18"/>
                <w:highlight w:val="none"/>
              </w:rPr>
              <w:t>/</w:t>
            </w:r>
          </w:p>
          <w:p>
            <w:pPr>
              <w:spacing w:line="240" w:lineRule="exact"/>
              <w:jc w:val="center"/>
              <w:rPr>
                <w:rFonts w:ascii="宋体" w:cs="宋体"/>
                <w:sz w:val="18"/>
                <w:szCs w:val="18"/>
                <w:highlight w:val="none"/>
              </w:rPr>
            </w:pPr>
            <w:r>
              <w:rPr>
                <w:rFonts w:ascii="宋体" w:hAnsi="宋体" w:cs="宋体"/>
                <w:sz w:val="18"/>
                <w:highlight w:val="none"/>
              </w:rPr>
              <w:t>[g/</w:t>
            </w:r>
            <w:r>
              <w:rPr>
                <w:rFonts w:hint="eastAsia" w:ascii="宋体" w:hAnsi="宋体" w:cs="宋体"/>
                <w:sz w:val="18"/>
                <w:highlight w:val="none"/>
              </w:rPr>
              <w:t>（</w:t>
            </w:r>
            <w:r>
              <w:rPr>
                <w:rFonts w:ascii="宋体" w:hAnsi="宋体" w:cs="宋体"/>
                <w:sz w:val="18"/>
                <w:highlight w:val="none"/>
              </w:rPr>
              <w:t>m</w:t>
            </w:r>
            <w:r>
              <w:rPr>
                <w:rFonts w:ascii="宋体" w:hAnsi="宋体" w:cs="宋体"/>
                <w:sz w:val="18"/>
                <w:highlight w:val="none"/>
                <w:vertAlign w:val="superscript"/>
              </w:rPr>
              <w:t>2</w:t>
            </w:r>
            <w:r>
              <w:rPr>
                <w:rFonts w:ascii="宋体" w:hAnsi="宋体" w:cs="宋体"/>
                <w:sz w:val="18"/>
                <w:highlight w:val="none"/>
              </w:rPr>
              <w:t>/h</w:t>
            </w:r>
            <w:r>
              <w:rPr>
                <w:rFonts w:hint="eastAsia" w:ascii="宋体" w:hAnsi="宋体" w:cs="宋体"/>
                <w:sz w:val="18"/>
                <w:highlight w:val="none"/>
              </w:rPr>
              <w:t>）</w:t>
            </w:r>
            <w:r>
              <w:rPr>
                <w:rFonts w:ascii="宋体" w:hAnsi="宋体" w:cs="宋体"/>
                <w:sz w:val="18"/>
                <w:highlight w:val="none"/>
              </w:rPr>
              <w:t>]</w:t>
            </w:r>
          </w:p>
        </w:tc>
        <w:tc>
          <w:tcPr>
            <w:tcW w:w="930" w:type="pct"/>
            <w:tcBorders>
              <w:top w:val="single" w:color="auto" w:sz="12" w:space="0"/>
              <w:left w:val="single" w:color="auto" w:sz="4" w:space="0"/>
              <w:bottom w:val="single" w:color="auto" w:sz="12" w:space="0"/>
              <w:right w:val="single" w:color="auto" w:sz="4" w:space="0"/>
            </w:tcBorders>
            <w:vAlign w:val="center"/>
          </w:tcPr>
          <w:p>
            <w:pPr>
              <w:spacing w:line="240" w:lineRule="exact"/>
              <w:jc w:val="center"/>
              <w:rPr>
                <w:rFonts w:ascii="宋体"/>
                <w:sz w:val="18"/>
                <w:highlight w:val="none"/>
              </w:rPr>
            </w:pPr>
            <w:r>
              <w:rPr>
                <w:rFonts w:hint="eastAsia" w:ascii="宋体"/>
                <w:sz w:val="18"/>
                <w:highlight w:val="none"/>
              </w:rPr>
              <w:t>硫酸</w:t>
            </w:r>
            <w:r>
              <w:rPr>
                <w:rFonts w:ascii="宋体"/>
                <w:sz w:val="18"/>
                <w:highlight w:val="none"/>
              </w:rPr>
              <w:t>-</w:t>
            </w:r>
            <w:r>
              <w:rPr>
                <w:rFonts w:hint="eastAsia" w:ascii="宋体"/>
                <w:sz w:val="18"/>
                <w:highlight w:val="none"/>
              </w:rPr>
              <w:t>硫酸铜腐蚀试验试验弯曲面的状态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exact"/>
          <w:jc w:val="center"/>
        </w:trPr>
        <w:tc>
          <w:tcPr>
            <w:tcW w:w="1286" w:type="pct"/>
            <w:tcBorders>
              <w:top w:val="single" w:color="auto" w:sz="12" w:space="0"/>
              <w:bottom w:val="single" w:color="auto" w:sz="12" w:space="0"/>
            </w:tcBorders>
            <w:vAlign w:val="center"/>
          </w:tcPr>
          <w:p>
            <w:pPr>
              <w:spacing w:line="240" w:lineRule="exact"/>
              <w:jc w:val="center"/>
              <w:rPr>
                <w:rFonts w:ascii="宋体"/>
                <w:sz w:val="18"/>
                <w:highlight w:val="none"/>
              </w:rPr>
            </w:pPr>
            <w:r>
              <w:rPr>
                <w:rFonts w:ascii="宋体"/>
                <w:sz w:val="18"/>
                <w:highlight w:val="none"/>
              </w:rPr>
              <w:t>008Cr17Ni15Mo3</w:t>
            </w:r>
          </w:p>
        </w:tc>
        <w:tc>
          <w:tcPr>
            <w:tcW w:w="928" w:type="pct"/>
            <w:tcBorders>
              <w:top w:val="single" w:color="auto" w:sz="12" w:space="0"/>
              <w:bottom w:val="single" w:color="auto" w:sz="12" w:space="0"/>
            </w:tcBorders>
            <w:vAlign w:val="center"/>
          </w:tcPr>
          <w:p>
            <w:pPr>
              <w:spacing w:line="220" w:lineRule="exact"/>
              <w:jc w:val="center"/>
              <w:rPr>
                <w:sz w:val="18"/>
                <w:szCs w:val="18"/>
                <w:highlight w:val="none"/>
              </w:rPr>
            </w:pPr>
            <w:r>
              <w:rPr>
                <w:rFonts w:hint="eastAsia"/>
                <w:sz w:val="18"/>
                <w:szCs w:val="18"/>
                <w:highlight w:val="none"/>
              </w:rPr>
              <w:t>固溶处理</w:t>
            </w:r>
            <w:r>
              <w:rPr>
                <w:sz w:val="18"/>
                <w:szCs w:val="18"/>
                <w:highlight w:val="none"/>
              </w:rPr>
              <w:t>/</w:t>
            </w:r>
            <w:r>
              <w:rPr>
                <w:rFonts w:hint="eastAsia"/>
                <w:sz w:val="18"/>
                <w:szCs w:val="18"/>
                <w:highlight w:val="none"/>
              </w:rPr>
              <w:t>敏化处理</w:t>
            </w:r>
          </w:p>
        </w:tc>
        <w:tc>
          <w:tcPr>
            <w:tcW w:w="928" w:type="pct"/>
            <w:tcBorders>
              <w:top w:val="single" w:color="auto" w:sz="12" w:space="0"/>
              <w:bottom w:val="single" w:color="auto" w:sz="12" w:space="0"/>
            </w:tcBorders>
            <w:vAlign w:val="center"/>
          </w:tcPr>
          <w:p>
            <w:pPr>
              <w:spacing w:line="220" w:lineRule="exact"/>
              <w:jc w:val="center"/>
              <w:rPr>
                <w:sz w:val="18"/>
                <w:szCs w:val="18"/>
                <w:highlight w:val="none"/>
              </w:rPr>
            </w:pPr>
            <w:r>
              <w:rPr>
                <w:rFonts w:hint="eastAsia"/>
                <w:sz w:val="18"/>
                <w:szCs w:val="18"/>
                <w:highlight w:val="none"/>
              </w:rPr>
              <w:t>协议</w:t>
            </w:r>
          </w:p>
        </w:tc>
        <w:tc>
          <w:tcPr>
            <w:tcW w:w="928" w:type="pct"/>
            <w:tcBorders>
              <w:top w:val="single" w:color="auto" w:sz="12" w:space="0"/>
              <w:bottom w:val="single" w:color="auto" w:sz="12" w:space="0"/>
            </w:tcBorders>
            <w:vAlign w:val="center"/>
          </w:tcPr>
          <w:p>
            <w:pPr>
              <w:spacing w:line="220" w:lineRule="exact"/>
              <w:jc w:val="center"/>
              <w:rPr>
                <w:sz w:val="18"/>
                <w:szCs w:val="18"/>
                <w:highlight w:val="none"/>
              </w:rPr>
            </w:pPr>
            <w:r>
              <w:rPr>
                <w:rFonts w:hint="eastAsia"/>
                <w:sz w:val="18"/>
                <w:szCs w:val="18"/>
                <w:highlight w:val="none"/>
              </w:rPr>
              <w:t>协议</w:t>
            </w:r>
          </w:p>
        </w:tc>
        <w:tc>
          <w:tcPr>
            <w:tcW w:w="930" w:type="pct"/>
            <w:tcBorders>
              <w:top w:val="single" w:color="auto" w:sz="12" w:space="0"/>
              <w:bottom w:val="single" w:color="auto" w:sz="12" w:space="0"/>
            </w:tcBorders>
            <w:vAlign w:val="center"/>
          </w:tcPr>
          <w:p>
            <w:pPr>
              <w:spacing w:line="220" w:lineRule="exact"/>
              <w:jc w:val="center"/>
              <w:rPr>
                <w:sz w:val="18"/>
                <w:szCs w:val="18"/>
                <w:highlight w:val="none"/>
              </w:rPr>
            </w:pPr>
            <w:r>
              <w:rPr>
                <w:rFonts w:hint="eastAsia"/>
                <w:sz w:val="18"/>
                <w:szCs w:val="18"/>
                <w:highlight w:val="none"/>
              </w:rPr>
              <w:t>协议</w:t>
            </w:r>
          </w:p>
        </w:tc>
      </w:tr>
    </w:tbl>
    <w:p>
      <w:pPr>
        <w:pStyle w:val="19"/>
        <w:ind w:firstLine="31680"/>
        <w:rPr>
          <w:highlight w:val="none"/>
          <w:lang w:val="zh-CN"/>
        </w:rPr>
      </w:pPr>
    </w:p>
    <w:p>
      <w:pPr>
        <w:pStyle w:val="21"/>
        <w:numPr>
          <w:ilvl w:val="1"/>
          <w:numId w:val="7"/>
        </w:numPr>
        <w:spacing w:before="156" w:after="156"/>
        <w:ind w:left="0" w:firstLine="0"/>
        <w:rPr>
          <w:rFonts w:ascii="Times New Roman"/>
          <w:highlight w:val="none"/>
        </w:rPr>
      </w:pPr>
      <w:r>
        <w:rPr>
          <w:rFonts w:hint="eastAsia" w:ascii="Times New Roman"/>
          <w:highlight w:val="none"/>
        </w:rPr>
        <w:t>表面质量</w:t>
      </w:r>
    </w:p>
    <w:p>
      <w:pPr>
        <w:pStyle w:val="26"/>
        <w:numPr>
          <w:ilvl w:val="2"/>
          <w:numId w:val="7"/>
        </w:numPr>
        <w:tabs>
          <w:tab w:val="left" w:pos="0"/>
        </w:tabs>
        <w:spacing w:before="156" w:after="156"/>
        <w:ind w:left="0" w:firstLine="0"/>
        <w:rPr>
          <w:rFonts w:ascii="宋体" w:hAnsi="宋体" w:eastAsia="宋体" w:cs="宋体"/>
          <w:highlight w:val="none"/>
          <w:lang w:val="zh-CN"/>
        </w:rPr>
      </w:pPr>
      <w:r>
        <w:rPr>
          <w:rFonts w:hint="eastAsia" w:ascii="宋体" w:hAnsi="宋体" w:eastAsia="宋体" w:cs="宋体"/>
          <w:highlight w:val="none"/>
        </w:rPr>
        <w:t>压力加工用钢棒</w:t>
      </w:r>
      <w:r>
        <w:rPr>
          <w:rFonts w:hint="eastAsia" w:ascii="宋体" w:hAnsi="宋体" w:eastAsia="宋体" w:cs="宋体"/>
          <w:highlight w:val="none"/>
          <w:lang w:val="zh-CN"/>
        </w:rPr>
        <w:t>表面质量</w:t>
      </w:r>
      <w:r>
        <w:rPr>
          <w:rFonts w:hint="eastAsia" w:ascii="宋体" w:hAnsi="宋体" w:eastAsia="宋体" w:cs="宋体"/>
          <w:highlight w:val="none"/>
          <w:lang w:val="en-US" w:eastAsia="zh-CN"/>
        </w:rPr>
        <w:t>应符合</w:t>
      </w:r>
      <w:r>
        <w:rPr>
          <w:rFonts w:ascii="宋体" w:hAnsi="宋体" w:eastAsia="宋体" w:cs="宋体"/>
          <w:highlight w:val="none"/>
          <w:lang w:val="zh-CN"/>
        </w:rPr>
        <w:t>GB/T</w:t>
      </w:r>
      <w:r>
        <w:rPr>
          <w:rFonts w:hint="eastAsia" w:ascii="宋体" w:hAnsi="宋体" w:eastAsia="宋体" w:cs="宋体"/>
          <w:highlight w:val="none"/>
          <w:lang w:val="en-US" w:eastAsia="zh-CN"/>
        </w:rPr>
        <w:t xml:space="preserve"> </w:t>
      </w:r>
      <w:r>
        <w:rPr>
          <w:rFonts w:ascii="宋体" w:hAnsi="宋体" w:eastAsia="宋体" w:cs="宋体"/>
          <w:highlight w:val="none"/>
          <w:lang w:val="zh-CN"/>
        </w:rPr>
        <w:t>1220</w:t>
      </w:r>
      <w:r>
        <w:rPr>
          <w:rFonts w:hint="eastAsia" w:ascii="宋体" w:hAnsi="宋体" w:eastAsia="宋体" w:cs="宋体"/>
          <w:highlight w:val="none"/>
          <w:lang w:val="en-US" w:eastAsia="zh-CN"/>
        </w:rPr>
        <w:t>-2007中7.8的规定</w:t>
      </w:r>
      <w:r>
        <w:rPr>
          <w:rFonts w:hint="eastAsia" w:ascii="宋体" w:hAnsi="宋体" w:eastAsia="宋体" w:cs="宋体"/>
          <w:highlight w:val="none"/>
          <w:lang w:val="zh-CN"/>
        </w:rPr>
        <w:t>。</w:t>
      </w:r>
    </w:p>
    <w:p>
      <w:pPr>
        <w:pStyle w:val="26"/>
        <w:numPr>
          <w:ilvl w:val="2"/>
          <w:numId w:val="7"/>
        </w:numPr>
        <w:tabs>
          <w:tab w:val="left" w:pos="0"/>
        </w:tabs>
        <w:spacing w:before="156" w:after="156"/>
        <w:ind w:left="0" w:firstLine="0"/>
        <w:rPr>
          <w:rFonts w:ascii="宋体" w:hAnsi="宋体" w:eastAsia="宋体" w:cs="宋体"/>
          <w:highlight w:val="none"/>
          <w:lang w:val="zh-CN"/>
        </w:rPr>
      </w:pPr>
      <w:r>
        <w:rPr>
          <w:rFonts w:hint="eastAsia" w:ascii="宋体" w:hAnsi="宋体" w:eastAsia="宋体" w:cs="宋体"/>
          <w:highlight w:val="none"/>
        </w:rPr>
        <w:t>冷加工用</w:t>
      </w:r>
      <w:r>
        <w:rPr>
          <w:rFonts w:hint="eastAsia" w:ascii="宋体" w:hAnsi="宋体" w:eastAsia="宋体" w:cs="宋体"/>
          <w:highlight w:val="none"/>
          <w:lang w:val="en-US" w:eastAsia="zh-CN"/>
        </w:rPr>
        <w:t>钢</w:t>
      </w:r>
      <w:r>
        <w:rPr>
          <w:rFonts w:hint="eastAsia" w:ascii="宋体" w:hAnsi="宋体" w:eastAsia="宋体" w:cs="宋体"/>
          <w:highlight w:val="none"/>
        </w:rPr>
        <w:t>棒表面质</w:t>
      </w:r>
      <w:r>
        <w:rPr>
          <w:rFonts w:hint="eastAsia" w:ascii="宋体" w:hAnsi="宋体" w:eastAsia="宋体" w:cs="宋体"/>
          <w:highlight w:val="none"/>
          <w:shd w:val="clear"/>
        </w:rPr>
        <w:t>量</w:t>
      </w:r>
      <w:r>
        <w:rPr>
          <w:rFonts w:hint="eastAsia" w:ascii="宋体" w:hAnsi="宋体" w:eastAsia="宋体" w:cs="宋体"/>
          <w:highlight w:val="none"/>
          <w:shd w:val="clear"/>
          <w:lang w:val="en-US" w:eastAsia="zh-CN"/>
        </w:rPr>
        <w:t>应符合</w:t>
      </w:r>
      <w:r>
        <w:rPr>
          <w:rFonts w:ascii="宋体" w:hAnsi="宋体" w:eastAsia="宋体" w:cs="宋体"/>
          <w:highlight w:val="none"/>
          <w:shd w:val="clear" w:color="auto"/>
        </w:rPr>
        <w:t>GB/T</w:t>
      </w:r>
      <w:r>
        <w:rPr>
          <w:rFonts w:hint="eastAsia" w:ascii="宋体" w:hAnsi="宋体" w:eastAsia="宋体" w:cs="宋体"/>
          <w:highlight w:val="none"/>
          <w:shd w:val="clear" w:color="auto"/>
          <w:lang w:val="en-US" w:eastAsia="zh-CN"/>
        </w:rPr>
        <w:t xml:space="preserve"> </w:t>
      </w:r>
      <w:r>
        <w:rPr>
          <w:rFonts w:ascii="宋体" w:hAnsi="宋体" w:eastAsia="宋体" w:cs="宋体"/>
          <w:highlight w:val="none"/>
          <w:shd w:val="clear" w:color="auto"/>
        </w:rPr>
        <w:t>4226</w:t>
      </w:r>
      <w:r>
        <w:rPr>
          <w:rFonts w:hint="eastAsia" w:ascii="宋体" w:hAnsi="宋体" w:eastAsia="宋体" w:cs="宋体"/>
          <w:highlight w:val="none"/>
          <w:shd w:val="clear" w:color="auto"/>
          <w:lang w:val="en-US" w:eastAsia="zh-CN"/>
        </w:rPr>
        <w:t>-2009</w:t>
      </w:r>
      <w:r>
        <w:rPr>
          <w:rFonts w:hint="eastAsia" w:ascii="宋体" w:hAnsi="宋体" w:eastAsia="宋体" w:cs="宋体"/>
          <w:highlight w:val="none"/>
          <w:shd w:val="clear"/>
        </w:rPr>
        <w:t>中</w:t>
      </w:r>
      <w:r>
        <w:rPr>
          <w:rFonts w:hint="eastAsia" w:ascii="宋体" w:hAnsi="宋体" w:eastAsia="宋体" w:cs="宋体"/>
          <w:highlight w:val="none"/>
          <w:shd w:val="clear"/>
          <w:lang w:val="en-US" w:eastAsia="zh-CN"/>
        </w:rPr>
        <w:t>6.7</w:t>
      </w:r>
      <w:r>
        <w:rPr>
          <w:rFonts w:hint="eastAsia" w:ascii="宋体" w:hAnsi="宋体" w:eastAsia="宋体" w:cs="宋体"/>
          <w:highlight w:val="none"/>
          <w:lang w:val="en-US" w:eastAsia="zh-CN"/>
        </w:rPr>
        <w:t>的规定。</w:t>
      </w:r>
    </w:p>
    <w:p>
      <w:pPr>
        <w:pStyle w:val="21"/>
        <w:numPr>
          <w:ilvl w:val="1"/>
          <w:numId w:val="7"/>
        </w:numPr>
        <w:spacing w:before="156" w:after="156"/>
        <w:ind w:left="0" w:firstLine="0"/>
        <w:rPr>
          <w:rFonts w:ascii="Times New Roman"/>
          <w:highlight w:val="none"/>
        </w:rPr>
      </w:pPr>
      <w:r>
        <w:rPr>
          <w:rFonts w:hint="eastAsia" w:ascii="Times New Roman"/>
          <w:highlight w:val="none"/>
        </w:rPr>
        <w:t>超声波探伤</w:t>
      </w:r>
    </w:p>
    <w:p>
      <w:pPr>
        <w:pStyle w:val="26"/>
        <w:tabs>
          <w:tab w:val="left" w:pos="0"/>
        </w:tabs>
        <w:spacing w:before="156" w:after="156"/>
        <w:ind w:left="0" w:firstLine="420" w:firstLineChars="200"/>
        <w:rPr>
          <w:rFonts w:ascii="Times New Roman" w:eastAsia="宋体"/>
          <w:highlight w:val="none"/>
        </w:rPr>
      </w:pPr>
      <w:r>
        <w:rPr>
          <w:rFonts w:hint="eastAsia" w:ascii="宋体" w:hAnsi="宋体" w:eastAsia="宋体" w:cs="宋体"/>
          <w:highlight w:val="none"/>
          <w:lang w:val="zh-CN"/>
        </w:rPr>
        <w:t>钢棒应按照</w:t>
      </w:r>
      <w:r>
        <w:rPr>
          <w:rFonts w:ascii="宋体" w:hAnsi="宋体" w:eastAsia="宋体" w:cs="宋体"/>
          <w:highlight w:val="none"/>
          <w:lang w:val="zh-CN"/>
        </w:rPr>
        <w:t>GB/T 4162-20</w:t>
      </w:r>
      <w:r>
        <w:rPr>
          <w:rFonts w:ascii="宋体" w:hAnsi="宋体" w:eastAsia="宋体" w:cs="宋体"/>
          <w:highlight w:val="none"/>
        </w:rPr>
        <w:t>22</w:t>
      </w:r>
      <w:r>
        <w:rPr>
          <w:rFonts w:hint="eastAsia" w:ascii="宋体" w:hAnsi="宋体" w:eastAsia="宋体" w:cs="宋体"/>
          <w:highlight w:val="none"/>
          <w:lang w:val="zh-CN"/>
        </w:rPr>
        <w:t>的规定进行超声波探伤，其合格级别应达到</w:t>
      </w:r>
      <w:r>
        <w:rPr>
          <w:rFonts w:ascii="宋体" w:hAnsi="宋体" w:eastAsia="宋体" w:cs="宋体"/>
          <w:highlight w:val="none"/>
          <w:lang w:val="zh-CN"/>
        </w:rPr>
        <w:t>GB/T 4162-20</w:t>
      </w:r>
      <w:r>
        <w:rPr>
          <w:rFonts w:ascii="宋体" w:hAnsi="宋体" w:eastAsia="宋体" w:cs="宋体"/>
          <w:highlight w:val="none"/>
        </w:rPr>
        <w:t>22</w:t>
      </w:r>
      <w:r>
        <w:rPr>
          <w:rFonts w:ascii="宋体" w:hAnsi="宋体" w:eastAsia="宋体" w:cs="宋体"/>
          <w:highlight w:val="none"/>
          <w:lang w:val="zh-CN"/>
        </w:rPr>
        <w:t xml:space="preserve"> </w:t>
      </w:r>
      <w:r>
        <w:rPr>
          <w:rFonts w:hint="eastAsia" w:ascii="宋体" w:hAnsi="宋体" w:eastAsia="宋体" w:cs="宋体"/>
          <w:highlight w:val="none"/>
          <w:lang w:val="zh-CN"/>
        </w:rPr>
        <w:t>中表</w:t>
      </w:r>
      <w:r>
        <w:rPr>
          <w:rFonts w:ascii="宋体" w:hAnsi="宋体" w:eastAsia="宋体" w:cs="宋体"/>
          <w:highlight w:val="none"/>
        </w:rPr>
        <w:t>3</w:t>
      </w:r>
      <w:r>
        <w:rPr>
          <w:rFonts w:hint="eastAsia" w:ascii="宋体" w:hAnsi="宋体" w:eastAsia="宋体" w:cs="宋体"/>
          <w:highlight w:val="none"/>
          <w:lang w:val="zh-CN"/>
        </w:rPr>
        <w:t>质量等级中</w:t>
      </w:r>
      <w:r>
        <w:rPr>
          <w:rFonts w:ascii="宋体" w:hAnsi="宋体" w:eastAsia="宋体" w:cs="宋体"/>
          <w:highlight w:val="none"/>
        </w:rPr>
        <w:t>A</w:t>
      </w:r>
      <w:r>
        <w:rPr>
          <w:rFonts w:hint="eastAsia" w:ascii="宋体" w:hAnsi="宋体" w:eastAsia="宋体" w:cs="宋体"/>
          <w:highlight w:val="none"/>
          <w:lang w:val="zh-CN"/>
        </w:rPr>
        <w:t>级的规定</w:t>
      </w:r>
      <w:r>
        <w:rPr>
          <w:rFonts w:hint="eastAsia" w:ascii="宋体" w:hAnsi="宋体" w:eastAsia="宋体" w:cs="宋体"/>
          <w:highlight w:val="none"/>
        </w:rPr>
        <w:t>。</w:t>
      </w:r>
    </w:p>
    <w:p>
      <w:pPr>
        <w:pStyle w:val="21"/>
        <w:numPr>
          <w:ilvl w:val="1"/>
          <w:numId w:val="7"/>
        </w:numPr>
        <w:spacing w:before="156" w:after="156"/>
        <w:ind w:left="0" w:firstLine="0"/>
        <w:rPr>
          <w:rFonts w:ascii="Times New Roman"/>
          <w:highlight w:val="none"/>
        </w:rPr>
      </w:pPr>
      <w:r>
        <w:rPr>
          <w:rFonts w:hint="eastAsia" w:ascii="Times New Roman"/>
          <w:highlight w:val="none"/>
        </w:rPr>
        <w:t>特殊要求</w:t>
      </w:r>
    </w:p>
    <w:p>
      <w:pPr>
        <w:ind w:firstLine="435"/>
        <w:rPr>
          <w:highlight w:val="none"/>
        </w:rPr>
      </w:pPr>
      <w:r>
        <w:rPr>
          <w:rFonts w:hint="eastAsia"/>
          <w:highlight w:val="none"/>
        </w:rPr>
        <w:t>根据需方要求，可增加</w:t>
      </w:r>
      <w:r>
        <w:rPr>
          <w:rFonts w:hint="eastAsia"/>
          <w:highlight w:val="none"/>
          <w:lang w:val="en-US" w:eastAsia="zh-CN"/>
        </w:rPr>
        <w:t>冷拔坯料尺寸、外形及重量、</w:t>
      </w:r>
      <w:r>
        <w:rPr>
          <w:rFonts w:hint="eastAsia"/>
          <w:highlight w:val="none"/>
        </w:rPr>
        <w:t>α相含量</w:t>
      </w:r>
      <w:r>
        <w:rPr>
          <w:rFonts w:hint="eastAsia"/>
          <w:highlight w:val="none"/>
          <w:lang w:eastAsia="zh-CN"/>
        </w:rPr>
        <w:t>、</w:t>
      </w:r>
      <w:r>
        <w:rPr>
          <w:rFonts w:hint="eastAsia"/>
          <w:highlight w:val="none"/>
        </w:rPr>
        <w:t>表面粗糙度</w:t>
      </w:r>
      <w:r>
        <w:rPr>
          <w:rFonts w:hint="eastAsia"/>
          <w:highlight w:val="none"/>
          <w:lang w:eastAsia="zh-CN"/>
        </w:rPr>
        <w:t>、</w:t>
      </w:r>
      <w:r>
        <w:rPr>
          <w:rFonts w:hint="eastAsia"/>
          <w:highlight w:val="none"/>
        </w:rPr>
        <w:t>其他腐蚀试验以及其他检验项目，其试验方法、取样数量、评级标准及合格级别由供需双方协议并在合同中注明。</w:t>
      </w:r>
    </w:p>
    <w:bookmarkEnd w:id="10"/>
    <w:p>
      <w:pPr>
        <w:pStyle w:val="18"/>
        <w:numPr>
          <w:ilvl w:val="0"/>
          <w:numId w:val="7"/>
        </w:numPr>
        <w:spacing w:before="312" w:after="312"/>
        <w:ind w:left="0" w:firstLine="0"/>
        <w:rPr>
          <w:rFonts w:ascii="Times New Roman"/>
          <w:highlight w:val="none"/>
        </w:rPr>
      </w:pPr>
      <w:r>
        <w:rPr>
          <w:rFonts w:hint="eastAsia" w:ascii="Times New Roman"/>
          <w:highlight w:val="none"/>
        </w:rPr>
        <w:t>试验方法</w:t>
      </w:r>
    </w:p>
    <w:p>
      <w:pPr>
        <w:pStyle w:val="21"/>
        <w:numPr>
          <w:ilvl w:val="1"/>
          <w:numId w:val="7"/>
        </w:numPr>
        <w:spacing w:before="156" w:after="156"/>
        <w:ind w:left="0" w:firstLine="0"/>
        <w:rPr>
          <w:rFonts w:ascii="Times New Roman" w:eastAsia="宋体"/>
          <w:highlight w:val="none"/>
        </w:rPr>
      </w:pPr>
      <w:r>
        <w:rPr>
          <w:rFonts w:hint="eastAsia" w:ascii="Times New Roman" w:eastAsia="宋体"/>
          <w:highlight w:val="none"/>
        </w:rPr>
        <w:t>钢棒的化学成分试验应按</w:t>
      </w:r>
      <w:r>
        <w:rPr>
          <w:rFonts w:ascii="Times New Roman" w:eastAsia="宋体"/>
          <w:highlight w:val="none"/>
        </w:rPr>
        <w:t>GB/T 11170</w:t>
      </w:r>
      <w:r>
        <w:rPr>
          <w:rFonts w:hint="eastAsia" w:ascii="Times New Roman" w:eastAsia="宋体"/>
          <w:highlight w:val="none"/>
        </w:rPr>
        <w:t>、</w:t>
      </w:r>
      <w:r>
        <w:rPr>
          <w:rFonts w:ascii="Times New Roman" w:eastAsia="宋体"/>
          <w:highlight w:val="none"/>
        </w:rPr>
        <w:t>GB/T20123</w:t>
      </w:r>
      <w:r>
        <w:rPr>
          <w:rFonts w:hint="eastAsia" w:ascii="Times New Roman" w:eastAsia="宋体"/>
          <w:highlight w:val="none"/>
        </w:rPr>
        <w:t>、</w:t>
      </w:r>
      <w:r>
        <w:rPr>
          <w:rFonts w:ascii="Times New Roman" w:eastAsia="宋体"/>
          <w:highlight w:val="none"/>
        </w:rPr>
        <w:t>GB/T20124</w:t>
      </w:r>
      <w:r>
        <w:rPr>
          <w:rFonts w:hint="eastAsia" w:ascii="Times New Roman" w:eastAsia="宋体"/>
          <w:highlight w:val="none"/>
        </w:rPr>
        <w:t>或通用方法的规定进行，但仲裁时应按</w:t>
      </w:r>
      <w:r>
        <w:rPr>
          <w:rFonts w:ascii="Times New Roman" w:eastAsia="宋体"/>
          <w:highlight w:val="none"/>
        </w:rPr>
        <w:t>GB/T 22</w:t>
      </w:r>
      <w:bookmarkStart w:id="11" w:name="_GoBack"/>
      <w:bookmarkEnd w:id="11"/>
      <w:r>
        <w:rPr>
          <w:rFonts w:ascii="Times New Roman" w:eastAsia="宋体"/>
          <w:highlight w:val="none"/>
        </w:rPr>
        <w:t>3.9</w:t>
      </w:r>
      <w:r>
        <w:rPr>
          <w:rFonts w:hint="eastAsia" w:ascii="Times New Roman" w:eastAsia="宋体"/>
          <w:highlight w:val="none"/>
        </w:rPr>
        <w:t>、</w:t>
      </w:r>
      <w:r>
        <w:rPr>
          <w:rFonts w:ascii="Times New Roman" w:eastAsia="宋体"/>
          <w:highlight w:val="none"/>
        </w:rPr>
        <w:t>GB/T 223.11</w:t>
      </w:r>
      <w:r>
        <w:rPr>
          <w:rFonts w:hint="eastAsia" w:ascii="Times New Roman" w:eastAsia="宋体"/>
          <w:highlight w:val="none"/>
        </w:rPr>
        <w:t>、</w:t>
      </w:r>
      <w:r>
        <w:rPr>
          <w:rFonts w:ascii="Times New Roman" w:eastAsia="宋体"/>
          <w:highlight w:val="none"/>
        </w:rPr>
        <w:t>GB/T 223.1</w:t>
      </w:r>
      <w:r>
        <w:rPr>
          <w:rFonts w:hint="eastAsia" w:ascii="Times New Roman" w:eastAsia="宋体"/>
          <w:highlight w:val="none"/>
          <w:lang w:val="en-US" w:eastAsia="zh-CN"/>
        </w:rPr>
        <w:t>9</w:t>
      </w:r>
      <w:r>
        <w:rPr>
          <w:rFonts w:hint="eastAsia" w:ascii="Times New Roman" w:eastAsia="宋体"/>
          <w:highlight w:val="none"/>
        </w:rPr>
        <w:t>、</w:t>
      </w:r>
      <w:r>
        <w:rPr>
          <w:rFonts w:ascii="Times New Roman" w:eastAsia="宋体"/>
          <w:highlight w:val="none"/>
        </w:rPr>
        <w:t>GB/T 223.2</w:t>
      </w:r>
      <w:r>
        <w:rPr>
          <w:rFonts w:hint="eastAsia" w:ascii="Times New Roman" w:eastAsia="宋体"/>
          <w:highlight w:val="none"/>
          <w:lang w:val="en-US" w:eastAsia="zh-CN"/>
        </w:rPr>
        <w:t>5</w:t>
      </w:r>
      <w:r>
        <w:rPr>
          <w:rFonts w:hint="eastAsia" w:ascii="Times New Roman" w:eastAsia="宋体"/>
          <w:highlight w:val="none"/>
        </w:rPr>
        <w:t>、</w:t>
      </w:r>
      <w:r>
        <w:rPr>
          <w:rFonts w:ascii="Times New Roman" w:eastAsia="宋体"/>
          <w:highlight w:val="none"/>
        </w:rPr>
        <w:t>GB/T 223.28</w:t>
      </w:r>
      <w:r>
        <w:rPr>
          <w:rFonts w:hint="eastAsia" w:ascii="Times New Roman" w:eastAsia="宋体"/>
          <w:highlight w:val="none"/>
        </w:rPr>
        <w:t>、</w:t>
      </w:r>
      <w:r>
        <w:rPr>
          <w:rFonts w:ascii="Times New Roman" w:eastAsia="宋体"/>
          <w:highlight w:val="none"/>
        </w:rPr>
        <w:t>GB/T 223.36</w:t>
      </w:r>
      <w:r>
        <w:rPr>
          <w:rFonts w:hint="eastAsia" w:ascii="Times New Roman" w:eastAsia="宋体"/>
          <w:highlight w:val="none"/>
        </w:rPr>
        <w:t>、</w:t>
      </w:r>
      <w:r>
        <w:rPr>
          <w:rFonts w:ascii="Times New Roman" w:eastAsia="宋体"/>
          <w:highlight w:val="none"/>
        </w:rPr>
        <w:t>GB/T 223.59</w:t>
      </w:r>
      <w:r>
        <w:rPr>
          <w:rFonts w:hint="eastAsia" w:ascii="Times New Roman" w:eastAsia="宋体"/>
          <w:highlight w:val="none"/>
        </w:rPr>
        <w:t>、</w:t>
      </w:r>
      <w:r>
        <w:rPr>
          <w:rFonts w:ascii="Times New Roman" w:eastAsia="宋体"/>
          <w:highlight w:val="none"/>
        </w:rPr>
        <w:t>GB/T 223.60</w:t>
      </w:r>
      <w:r>
        <w:rPr>
          <w:rFonts w:hint="eastAsia" w:ascii="Times New Roman" w:eastAsia="宋体"/>
          <w:highlight w:val="none"/>
        </w:rPr>
        <w:t>、</w:t>
      </w:r>
      <w:r>
        <w:rPr>
          <w:rFonts w:ascii="Times New Roman" w:eastAsia="宋体"/>
          <w:highlight w:val="none"/>
        </w:rPr>
        <w:t>GB/T 223.63</w:t>
      </w:r>
      <w:r>
        <w:rPr>
          <w:rFonts w:hint="eastAsia" w:ascii="Times New Roman" w:eastAsia="宋体"/>
          <w:highlight w:val="none"/>
        </w:rPr>
        <w:t>、</w:t>
      </w:r>
      <w:r>
        <w:rPr>
          <w:rFonts w:ascii="Times New Roman" w:eastAsia="宋体"/>
          <w:highlight w:val="none"/>
        </w:rPr>
        <w:t>GB/T 223.67</w:t>
      </w:r>
      <w:r>
        <w:rPr>
          <w:rFonts w:hint="eastAsia" w:ascii="Times New Roman" w:eastAsia="宋体"/>
          <w:highlight w:val="none"/>
        </w:rPr>
        <w:t>、</w:t>
      </w:r>
      <w:r>
        <w:rPr>
          <w:rFonts w:ascii="Times New Roman" w:eastAsia="宋体"/>
          <w:highlight w:val="none"/>
        </w:rPr>
        <w:t>GB/T 223.8</w:t>
      </w:r>
      <w:r>
        <w:rPr>
          <w:rFonts w:hint="eastAsia" w:ascii="Times New Roman" w:eastAsia="宋体"/>
          <w:highlight w:val="none"/>
          <w:lang w:val="en-US" w:eastAsia="zh-CN"/>
        </w:rPr>
        <w:t>2</w:t>
      </w:r>
      <w:r>
        <w:rPr>
          <w:rFonts w:hint="eastAsia" w:ascii="Times New Roman" w:eastAsia="宋体"/>
          <w:highlight w:val="none"/>
          <w:lang w:eastAsia="zh-CN"/>
        </w:rPr>
        <w:t>、</w:t>
      </w:r>
      <w:r>
        <w:rPr>
          <w:rFonts w:ascii="Times New Roman" w:eastAsia="宋体"/>
          <w:highlight w:val="none"/>
        </w:rPr>
        <w:t>GB/T 223.86</w:t>
      </w:r>
      <w:r>
        <w:rPr>
          <w:rFonts w:hint="eastAsia" w:ascii="Times New Roman" w:eastAsia="宋体"/>
          <w:highlight w:val="none"/>
        </w:rPr>
        <w:t>、</w:t>
      </w:r>
      <w:r>
        <w:rPr>
          <w:rFonts w:ascii="Times New Roman" w:eastAsia="宋体"/>
          <w:highlight w:val="none"/>
        </w:rPr>
        <w:t>GB/T 11261</w:t>
      </w:r>
      <w:r>
        <w:rPr>
          <w:rFonts w:hint="eastAsia" w:ascii="Times New Roman" w:eastAsia="宋体"/>
          <w:highlight w:val="none"/>
        </w:rPr>
        <w:t>的规定进行。</w:t>
      </w:r>
    </w:p>
    <w:p>
      <w:pPr>
        <w:pStyle w:val="21"/>
        <w:numPr>
          <w:ilvl w:val="1"/>
          <w:numId w:val="7"/>
        </w:numPr>
        <w:spacing w:before="156" w:after="156"/>
        <w:ind w:left="0" w:firstLine="0"/>
        <w:rPr>
          <w:rFonts w:ascii="Times New Roman" w:eastAsia="宋体"/>
          <w:highlight w:val="none"/>
        </w:rPr>
      </w:pPr>
      <w:r>
        <w:rPr>
          <w:rFonts w:hint="eastAsia" w:ascii="Times New Roman" w:eastAsia="宋体"/>
          <w:highlight w:val="none"/>
        </w:rPr>
        <w:t>钢棒的检验项目、取样方法和试验方法应符合表</w:t>
      </w:r>
      <w:r>
        <w:rPr>
          <w:rFonts w:ascii="Times New Roman" w:eastAsia="宋体"/>
          <w:highlight w:val="none"/>
        </w:rPr>
        <w:t>5</w:t>
      </w:r>
      <w:r>
        <w:rPr>
          <w:rFonts w:hint="eastAsia" w:ascii="Times New Roman" w:eastAsia="宋体"/>
          <w:highlight w:val="none"/>
        </w:rPr>
        <w:t>规定。</w:t>
      </w:r>
    </w:p>
    <w:p>
      <w:pPr>
        <w:pStyle w:val="24"/>
        <w:numPr>
          <w:ilvl w:val="0"/>
          <w:numId w:val="10"/>
        </w:numPr>
        <w:spacing w:before="156" w:after="156"/>
        <w:rPr>
          <w:rFonts w:hAnsi="黑体" w:cs="黑体"/>
          <w:highlight w:val="none"/>
        </w:rPr>
      </w:pPr>
      <w:r>
        <w:rPr>
          <w:rStyle w:val="11"/>
          <w:rFonts w:hint="eastAsia" w:hAnsi="黑体" w:cs="黑体"/>
          <w:kern w:val="2"/>
          <w:szCs w:val="21"/>
          <w:highlight w:val="none"/>
        </w:rPr>
        <w:t>检验项目、取样数量、取样方法及试验方法</w:t>
      </w:r>
    </w:p>
    <w:tbl>
      <w:tblPr>
        <w:tblStyle w:val="7"/>
        <w:tblW w:w="92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960"/>
        <w:gridCol w:w="1023"/>
        <w:gridCol w:w="2982"/>
        <w:gridCol w:w="26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64" w:type="dxa"/>
            <w:tcBorders>
              <w:top w:val="single" w:color="auto" w:sz="8" w:space="0"/>
              <w:bottom w:val="single" w:color="auto" w:sz="8" w:space="0"/>
            </w:tcBorders>
            <w:vAlign w:val="center"/>
          </w:tcPr>
          <w:p>
            <w:pPr>
              <w:jc w:val="center"/>
              <w:rPr>
                <w:sz w:val="18"/>
                <w:szCs w:val="18"/>
                <w:highlight w:val="none"/>
              </w:rPr>
            </w:pPr>
            <w:r>
              <w:rPr>
                <w:rFonts w:hint="eastAsia"/>
                <w:sz w:val="18"/>
                <w:szCs w:val="18"/>
                <w:highlight w:val="none"/>
              </w:rPr>
              <w:t>序号</w:t>
            </w:r>
          </w:p>
        </w:tc>
        <w:tc>
          <w:tcPr>
            <w:tcW w:w="1960" w:type="dxa"/>
            <w:tcBorders>
              <w:top w:val="single" w:color="auto" w:sz="8" w:space="0"/>
              <w:bottom w:val="single" w:color="auto" w:sz="8" w:space="0"/>
            </w:tcBorders>
            <w:vAlign w:val="center"/>
          </w:tcPr>
          <w:p>
            <w:pPr>
              <w:jc w:val="center"/>
              <w:rPr>
                <w:sz w:val="18"/>
                <w:szCs w:val="18"/>
                <w:highlight w:val="none"/>
              </w:rPr>
            </w:pPr>
            <w:r>
              <w:rPr>
                <w:rFonts w:hint="eastAsia"/>
                <w:sz w:val="18"/>
                <w:szCs w:val="18"/>
                <w:highlight w:val="none"/>
              </w:rPr>
              <w:t>检验项目</w:t>
            </w:r>
          </w:p>
        </w:tc>
        <w:tc>
          <w:tcPr>
            <w:tcW w:w="1023" w:type="dxa"/>
            <w:tcBorders>
              <w:top w:val="single" w:color="auto" w:sz="8" w:space="0"/>
              <w:bottom w:val="single" w:color="auto" w:sz="8" w:space="0"/>
            </w:tcBorders>
            <w:vAlign w:val="center"/>
          </w:tcPr>
          <w:p>
            <w:pPr>
              <w:jc w:val="center"/>
              <w:rPr>
                <w:sz w:val="18"/>
                <w:szCs w:val="18"/>
                <w:highlight w:val="none"/>
              </w:rPr>
            </w:pPr>
            <w:r>
              <w:rPr>
                <w:rFonts w:hint="eastAsia"/>
                <w:sz w:val="18"/>
                <w:szCs w:val="18"/>
                <w:highlight w:val="none"/>
              </w:rPr>
              <w:t>取样数量</w:t>
            </w:r>
          </w:p>
        </w:tc>
        <w:tc>
          <w:tcPr>
            <w:tcW w:w="2982" w:type="dxa"/>
            <w:tcBorders>
              <w:top w:val="single" w:color="auto" w:sz="8" w:space="0"/>
              <w:bottom w:val="single" w:color="auto" w:sz="8" w:space="0"/>
            </w:tcBorders>
            <w:vAlign w:val="center"/>
          </w:tcPr>
          <w:p>
            <w:pPr>
              <w:jc w:val="center"/>
              <w:rPr>
                <w:sz w:val="18"/>
                <w:szCs w:val="18"/>
                <w:highlight w:val="none"/>
              </w:rPr>
            </w:pPr>
            <w:r>
              <w:rPr>
                <w:rFonts w:hint="eastAsia"/>
                <w:sz w:val="18"/>
                <w:szCs w:val="18"/>
                <w:highlight w:val="none"/>
              </w:rPr>
              <w:t>取样方法</w:t>
            </w:r>
          </w:p>
        </w:tc>
        <w:tc>
          <w:tcPr>
            <w:tcW w:w="2650" w:type="dxa"/>
            <w:tcBorders>
              <w:top w:val="single" w:color="auto" w:sz="8" w:space="0"/>
              <w:bottom w:val="single" w:color="auto" w:sz="8" w:space="0"/>
            </w:tcBorders>
            <w:vAlign w:val="center"/>
          </w:tcPr>
          <w:p>
            <w:pPr>
              <w:jc w:val="center"/>
              <w:rPr>
                <w:sz w:val="18"/>
                <w:szCs w:val="18"/>
                <w:highlight w:val="none"/>
              </w:rPr>
            </w:pPr>
            <w:r>
              <w:rPr>
                <w:rFonts w:hint="eastAsia"/>
                <w:sz w:val="18"/>
                <w:szCs w:val="18"/>
                <w:highlight w:val="none"/>
              </w:rPr>
              <w:t>试验方法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64" w:type="dxa"/>
            <w:tcBorders>
              <w:top w:val="single" w:color="auto" w:sz="8" w:space="0"/>
            </w:tcBorders>
            <w:vAlign w:val="center"/>
          </w:tcPr>
          <w:p>
            <w:pPr>
              <w:jc w:val="center"/>
              <w:rPr>
                <w:sz w:val="18"/>
                <w:szCs w:val="18"/>
                <w:highlight w:val="none"/>
              </w:rPr>
            </w:pPr>
            <w:r>
              <w:rPr>
                <w:sz w:val="18"/>
                <w:szCs w:val="18"/>
                <w:highlight w:val="none"/>
              </w:rPr>
              <w:t>1</w:t>
            </w:r>
          </w:p>
        </w:tc>
        <w:tc>
          <w:tcPr>
            <w:tcW w:w="1960" w:type="dxa"/>
            <w:tcBorders>
              <w:top w:val="single" w:color="auto" w:sz="8" w:space="0"/>
            </w:tcBorders>
            <w:vAlign w:val="center"/>
          </w:tcPr>
          <w:p>
            <w:pPr>
              <w:jc w:val="center"/>
              <w:rPr>
                <w:sz w:val="18"/>
                <w:szCs w:val="18"/>
                <w:highlight w:val="none"/>
              </w:rPr>
            </w:pPr>
            <w:r>
              <w:rPr>
                <w:rFonts w:hint="eastAsia"/>
                <w:sz w:val="18"/>
                <w:szCs w:val="18"/>
                <w:highlight w:val="none"/>
              </w:rPr>
              <w:t>化学成分</w:t>
            </w:r>
          </w:p>
        </w:tc>
        <w:tc>
          <w:tcPr>
            <w:tcW w:w="1023" w:type="dxa"/>
            <w:tcBorders>
              <w:top w:val="single" w:color="auto" w:sz="8" w:space="0"/>
            </w:tcBorders>
            <w:vAlign w:val="center"/>
          </w:tcPr>
          <w:p>
            <w:pPr>
              <w:jc w:val="center"/>
              <w:rPr>
                <w:sz w:val="18"/>
                <w:szCs w:val="18"/>
                <w:highlight w:val="none"/>
              </w:rPr>
            </w:pPr>
            <w:r>
              <w:rPr>
                <w:sz w:val="18"/>
                <w:szCs w:val="18"/>
                <w:highlight w:val="none"/>
              </w:rPr>
              <w:t>1</w:t>
            </w:r>
            <w:r>
              <w:rPr>
                <w:rFonts w:hint="eastAsia"/>
                <w:sz w:val="18"/>
                <w:szCs w:val="18"/>
                <w:highlight w:val="none"/>
              </w:rPr>
              <w:t>个</w:t>
            </w:r>
            <w:r>
              <w:rPr>
                <w:sz w:val="18"/>
                <w:szCs w:val="18"/>
                <w:highlight w:val="none"/>
              </w:rPr>
              <w:t>/</w:t>
            </w:r>
            <w:r>
              <w:rPr>
                <w:rFonts w:hint="eastAsia"/>
                <w:sz w:val="18"/>
                <w:szCs w:val="18"/>
                <w:highlight w:val="none"/>
              </w:rPr>
              <w:t>炉</w:t>
            </w:r>
          </w:p>
        </w:tc>
        <w:tc>
          <w:tcPr>
            <w:tcW w:w="2982" w:type="dxa"/>
            <w:tcBorders>
              <w:top w:val="single" w:color="auto" w:sz="8" w:space="0"/>
            </w:tcBorders>
            <w:vAlign w:val="center"/>
          </w:tcPr>
          <w:p>
            <w:pPr>
              <w:jc w:val="center"/>
              <w:rPr>
                <w:sz w:val="18"/>
                <w:szCs w:val="18"/>
                <w:highlight w:val="none"/>
              </w:rPr>
            </w:pPr>
            <w:r>
              <w:rPr>
                <w:sz w:val="18"/>
                <w:szCs w:val="18"/>
                <w:highlight w:val="none"/>
              </w:rPr>
              <w:t>GB/T 20066</w:t>
            </w:r>
          </w:p>
        </w:tc>
        <w:tc>
          <w:tcPr>
            <w:tcW w:w="2650" w:type="dxa"/>
            <w:tcBorders>
              <w:top w:val="single" w:color="auto" w:sz="8" w:space="0"/>
            </w:tcBorders>
            <w:vAlign w:val="center"/>
          </w:tcPr>
          <w:p>
            <w:pPr>
              <w:jc w:val="center"/>
              <w:rPr>
                <w:sz w:val="18"/>
                <w:szCs w:val="18"/>
                <w:highlight w:val="none"/>
              </w:rPr>
            </w:pPr>
            <w:r>
              <w:rPr>
                <w:rFonts w:hint="eastAsia"/>
                <w:sz w:val="18"/>
                <w:szCs w:val="18"/>
                <w:highlight w:val="none"/>
              </w:rPr>
              <w:t>见</w:t>
            </w:r>
            <w:r>
              <w:rPr>
                <w:sz w:val="18"/>
                <w:szCs w:val="18"/>
                <w:highlight w:val="none"/>
              </w:rPr>
              <w:t>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64" w:type="dxa"/>
            <w:vAlign w:val="center"/>
          </w:tcPr>
          <w:p>
            <w:pPr>
              <w:jc w:val="center"/>
              <w:rPr>
                <w:sz w:val="18"/>
                <w:szCs w:val="18"/>
                <w:highlight w:val="none"/>
              </w:rPr>
            </w:pPr>
            <w:r>
              <w:rPr>
                <w:sz w:val="18"/>
                <w:szCs w:val="18"/>
                <w:highlight w:val="none"/>
              </w:rPr>
              <w:t>2</w:t>
            </w:r>
          </w:p>
        </w:tc>
        <w:tc>
          <w:tcPr>
            <w:tcW w:w="1960" w:type="dxa"/>
            <w:vAlign w:val="center"/>
          </w:tcPr>
          <w:p>
            <w:pPr>
              <w:jc w:val="center"/>
              <w:rPr>
                <w:sz w:val="18"/>
                <w:szCs w:val="18"/>
                <w:highlight w:val="none"/>
              </w:rPr>
            </w:pPr>
            <w:r>
              <w:rPr>
                <w:rFonts w:hint="eastAsia"/>
                <w:sz w:val="18"/>
                <w:szCs w:val="18"/>
                <w:highlight w:val="none"/>
              </w:rPr>
              <w:t>拉伸</w:t>
            </w:r>
          </w:p>
        </w:tc>
        <w:tc>
          <w:tcPr>
            <w:tcW w:w="1023" w:type="dxa"/>
            <w:vAlign w:val="center"/>
          </w:tcPr>
          <w:p>
            <w:pPr>
              <w:jc w:val="center"/>
              <w:rPr>
                <w:sz w:val="18"/>
                <w:szCs w:val="18"/>
                <w:highlight w:val="none"/>
              </w:rPr>
            </w:pPr>
            <w:r>
              <w:rPr>
                <w:sz w:val="18"/>
                <w:szCs w:val="18"/>
                <w:highlight w:val="none"/>
              </w:rPr>
              <w:t>2</w:t>
            </w:r>
            <w:r>
              <w:rPr>
                <w:rFonts w:hint="eastAsia"/>
                <w:sz w:val="18"/>
                <w:szCs w:val="18"/>
                <w:highlight w:val="none"/>
              </w:rPr>
              <w:t>个</w:t>
            </w:r>
            <w:r>
              <w:rPr>
                <w:sz w:val="18"/>
                <w:szCs w:val="18"/>
                <w:highlight w:val="none"/>
              </w:rPr>
              <w:t>/</w:t>
            </w:r>
            <w:r>
              <w:rPr>
                <w:rFonts w:hint="eastAsia"/>
                <w:sz w:val="18"/>
                <w:szCs w:val="18"/>
                <w:highlight w:val="none"/>
              </w:rPr>
              <w:t>批</w:t>
            </w:r>
          </w:p>
        </w:tc>
        <w:tc>
          <w:tcPr>
            <w:tcW w:w="2982" w:type="dxa"/>
            <w:vAlign w:val="center"/>
          </w:tcPr>
          <w:p>
            <w:pPr>
              <w:jc w:val="center"/>
              <w:rPr>
                <w:sz w:val="18"/>
                <w:szCs w:val="18"/>
                <w:highlight w:val="none"/>
              </w:rPr>
            </w:pPr>
            <w:r>
              <w:rPr>
                <w:rFonts w:hint="eastAsia"/>
                <w:sz w:val="18"/>
                <w:szCs w:val="18"/>
                <w:highlight w:val="none"/>
              </w:rPr>
              <w:t>不同根钢棒</w:t>
            </w:r>
          </w:p>
        </w:tc>
        <w:tc>
          <w:tcPr>
            <w:tcW w:w="2650" w:type="dxa"/>
            <w:vAlign w:val="center"/>
          </w:tcPr>
          <w:p>
            <w:pPr>
              <w:jc w:val="center"/>
              <w:rPr>
                <w:sz w:val="18"/>
                <w:szCs w:val="18"/>
                <w:highlight w:val="none"/>
              </w:rPr>
            </w:pPr>
            <w:r>
              <w:rPr>
                <w:sz w:val="18"/>
                <w:szCs w:val="18"/>
                <w:highlight w:val="none"/>
              </w:rPr>
              <w:t>GB/T 228</w:t>
            </w:r>
            <w:r>
              <w:rPr>
                <w:rStyle w:val="11"/>
                <w:szCs w:val="21"/>
                <w:highlight w:val="none"/>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64" w:type="dxa"/>
            <w:vAlign w:val="center"/>
          </w:tcPr>
          <w:p>
            <w:pPr>
              <w:jc w:val="center"/>
              <w:rPr>
                <w:sz w:val="18"/>
                <w:szCs w:val="18"/>
                <w:highlight w:val="none"/>
              </w:rPr>
            </w:pPr>
            <w:r>
              <w:rPr>
                <w:sz w:val="18"/>
                <w:szCs w:val="18"/>
                <w:highlight w:val="none"/>
              </w:rPr>
              <w:t>3</w:t>
            </w:r>
          </w:p>
        </w:tc>
        <w:tc>
          <w:tcPr>
            <w:tcW w:w="1960" w:type="dxa"/>
            <w:vAlign w:val="center"/>
          </w:tcPr>
          <w:p>
            <w:pPr>
              <w:jc w:val="center"/>
              <w:rPr>
                <w:sz w:val="18"/>
                <w:szCs w:val="18"/>
                <w:highlight w:val="none"/>
              </w:rPr>
            </w:pPr>
            <w:r>
              <w:rPr>
                <w:rFonts w:hint="eastAsia"/>
                <w:sz w:val="18"/>
                <w:szCs w:val="18"/>
                <w:highlight w:val="none"/>
              </w:rPr>
              <w:t>硬度</w:t>
            </w:r>
          </w:p>
        </w:tc>
        <w:tc>
          <w:tcPr>
            <w:tcW w:w="1023" w:type="dxa"/>
            <w:vAlign w:val="center"/>
          </w:tcPr>
          <w:p>
            <w:pPr>
              <w:jc w:val="center"/>
              <w:rPr>
                <w:sz w:val="18"/>
                <w:szCs w:val="18"/>
                <w:highlight w:val="none"/>
              </w:rPr>
            </w:pPr>
            <w:r>
              <w:rPr>
                <w:sz w:val="18"/>
                <w:szCs w:val="18"/>
                <w:highlight w:val="none"/>
              </w:rPr>
              <w:t>3</w:t>
            </w:r>
            <w:r>
              <w:rPr>
                <w:rFonts w:hint="eastAsia"/>
                <w:sz w:val="18"/>
                <w:szCs w:val="18"/>
                <w:highlight w:val="none"/>
              </w:rPr>
              <w:t>个</w:t>
            </w:r>
            <w:r>
              <w:rPr>
                <w:sz w:val="18"/>
                <w:szCs w:val="18"/>
                <w:highlight w:val="none"/>
              </w:rPr>
              <w:t>/</w:t>
            </w:r>
            <w:r>
              <w:rPr>
                <w:rFonts w:hint="eastAsia"/>
                <w:sz w:val="18"/>
                <w:szCs w:val="18"/>
                <w:highlight w:val="none"/>
              </w:rPr>
              <w:t>批</w:t>
            </w:r>
          </w:p>
        </w:tc>
        <w:tc>
          <w:tcPr>
            <w:tcW w:w="2982" w:type="dxa"/>
            <w:vAlign w:val="center"/>
          </w:tcPr>
          <w:p>
            <w:pPr>
              <w:jc w:val="center"/>
              <w:rPr>
                <w:sz w:val="18"/>
                <w:szCs w:val="18"/>
                <w:highlight w:val="none"/>
              </w:rPr>
            </w:pPr>
            <w:r>
              <w:rPr>
                <w:rFonts w:hint="eastAsia"/>
                <w:sz w:val="18"/>
                <w:szCs w:val="18"/>
                <w:highlight w:val="none"/>
              </w:rPr>
              <w:t>不同根钢棒端部</w:t>
            </w:r>
          </w:p>
        </w:tc>
        <w:tc>
          <w:tcPr>
            <w:tcW w:w="2650" w:type="dxa"/>
            <w:vAlign w:val="center"/>
          </w:tcPr>
          <w:p>
            <w:pPr>
              <w:jc w:val="center"/>
              <w:rPr>
                <w:sz w:val="18"/>
                <w:szCs w:val="18"/>
                <w:highlight w:val="none"/>
              </w:rPr>
            </w:pPr>
            <w:r>
              <w:rPr>
                <w:sz w:val="18"/>
                <w:szCs w:val="18"/>
                <w:highlight w:val="none"/>
              </w:rPr>
              <w:t>GB/T 230.1</w:t>
            </w:r>
            <w:r>
              <w:rPr>
                <w:rFonts w:hint="eastAsia"/>
                <w:sz w:val="18"/>
                <w:szCs w:val="18"/>
                <w:highlight w:val="none"/>
              </w:rPr>
              <w:t>、</w:t>
            </w:r>
            <w:r>
              <w:rPr>
                <w:sz w:val="18"/>
                <w:szCs w:val="18"/>
                <w:highlight w:val="none"/>
              </w:rPr>
              <w:t>GB/T 231.1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64" w:type="dxa"/>
            <w:vAlign w:val="center"/>
          </w:tcPr>
          <w:p>
            <w:pPr>
              <w:jc w:val="center"/>
              <w:rPr>
                <w:sz w:val="18"/>
                <w:szCs w:val="18"/>
                <w:highlight w:val="none"/>
              </w:rPr>
            </w:pPr>
            <w:r>
              <w:rPr>
                <w:sz w:val="18"/>
                <w:szCs w:val="18"/>
                <w:highlight w:val="none"/>
              </w:rPr>
              <w:t>4</w:t>
            </w:r>
          </w:p>
        </w:tc>
        <w:tc>
          <w:tcPr>
            <w:tcW w:w="1960" w:type="dxa"/>
            <w:vAlign w:val="center"/>
          </w:tcPr>
          <w:p>
            <w:pPr>
              <w:jc w:val="center"/>
              <w:rPr>
                <w:sz w:val="18"/>
                <w:szCs w:val="18"/>
                <w:highlight w:val="none"/>
              </w:rPr>
            </w:pPr>
            <w:r>
              <w:rPr>
                <w:rFonts w:hint="eastAsia"/>
                <w:sz w:val="18"/>
                <w:szCs w:val="18"/>
                <w:highlight w:val="none"/>
              </w:rPr>
              <w:t>低倍组织</w:t>
            </w:r>
          </w:p>
        </w:tc>
        <w:tc>
          <w:tcPr>
            <w:tcW w:w="1023" w:type="dxa"/>
            <w:vAlign w:val="center"/>
          </w:tcPr>
          <w:p>
            <w:pPr>
              <w:jc w:val="center"/>
              <w:rPr>
                <w:sz w:val="18"/>
                <w:szCs w:val="18"/>
                <w:highlight w:val="none"/>
              </w:rPr>
            </w:pPr>
            <w:r>
              <w:rPr>
                <w:sz w:val="18"/>
                <w:szCs w:val="18"/>
                <w:highlight w:val="none"/>
              </w:rPr>
              <w:t>2</w:t>
            </w:r>
            <w:r>
              <w:rPr>
                <w:rFonts w:hint="eastAsia"/>
                <w:sz w:val="18"/>
                <w:szCs w:val="18"/>
                <w:highlight w:val="none"/>
              </w:rPr>
              <w:t>个</w:t>
            </w:r>
            <w:r>
              <w:rPr>
                <w:sz w:val="18"/>
                <w:szCs w:val="18"/>
                <w:highlight w:val="none"/>
              </w:rPr>
              <w:t>/</w:t>
            </w:r>
            <w:r>
              <w:rPr>
                <w:rFonts w:hint="eastAsia"/>
                <w:sz w:val="18"/>
                <w:szCs w:val="18"/>
                <w:highlight w:val="none"/>
              </w:rPr>
              <w:t>批</w:t>
            </w:r>
          </w:p>
        </w:tc>
        <w:tc>
          <w:tcPr>
            <w:tcW w:w="2982" w:type="dxa"/>
            <w:vAlign w:val="center"/>
          </w:tcPr>
          <w:p>
            <w:pPr>
              <w:jc w:val="center"/>
              <w:rPr>
                <w:sz w:val="18"/>
                <w:szCs w:val="18"/>
                <w:highlight w:val="none"/>
              </w:rPr>
            </w:pPr>
            <w:r>
              <w:rPr>
                <w:rFonts w:hint="eastAsia"/>
                <w:sz w:val="18"/>
                <w:szCs w:val="18"/>
                <w:highlight w:val="none"/>
              </w:rPr>
              <w:t>相当于钢棒锭头部不同支钢棒</w:t>
            </w:r>
          </w:p>
        </w:tc>
        <w:tc>
          <w:tcPr>
            <w:tcW w:w="2650" w:type="dxa"/>
            <w:vAlign w:val="center"/>
          </w:tcPr>
          <w:p>
            <w:pPr>
              <w:jc w:val="center"/>
              <w:rPr>
                <w:sz w:val="18"/>
                <w:szCs w:val="18"/>
                <w:highlight w:val="none"/>
              </w:rPr>
            </w:pPr>
            <w:r>
              <w:rPr>
                <w:sz w:val="18"/>
                <w:szCs w:val="18"/>
                <w:highlight w:val="none"/>
              </w:rPr>
              <w:t>GB/T 226</w:t>
            </w:r>
            <w:r>
              <w:rPr>
                <w:rFonts w:hint="eastAsia"/>
                <w:sz w:val="18"/>
                <w:szCs w:val="18"/>
                <w:highlight w:val="none"/>
              </w:rPr>
              <w:t>、</w:t>
            </w:r>
            <w:r>
              <w:rPr>
                <w:sz w:val="18"/>
                <w:szCs w:val="18"/>
                <w:highlight w:val="none"/>
              </w:rPr>
              <w:t>GB/T 1979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64" w:type="dxa"/>
            <w:vAlign w:val="center"/>
          </w:tcPr>
          <w:p>
            <w:pPr>
              <w:jc w:val="center"/>
              <w:rPr>
                <w:sz w:val="18"/>
                <w:szCs w:val="18"/>
                <w:highlight w:val="none"/>
              </w:rPr>
            </w:pPr>
            <w:r>
              <w:rPr>
                <w:sz w:val="18"/>
                <w:szCs w:val="18"/>
                <w:highlight w:val="none"/>
              </w:rPr>
              <w:t>5</w:t>
            </w:r>
          </w:p>
        </w:tc>
        <w:tc>
          <w:tcPr>
            <w:tcW w:w="1960" w:type="dxa"/>
            <w:vAlign w:val="center"/>
          </w:tcPr>
          <w:p>
            <w:pPr>
              <w:jc w:val="center"/>
              <w:rPr>
                <w:sz w:val="18"/>
                <w:szCs w:val="18"/>
                <w:highlight w:val="none"/>
              </w:rPr>
            </w:pPr>
            <w:r>
              <w:rPr>
                <w:rFonts w:hint="eastAsia"/>
                <w:sz w:val="18"/>
                <w:szCs w:val="18"/>
                <w:highlight w:val="none"/>
              </w:rPr>
              <w:t>晶粒度</w:t>
            </w:r>
          </w:p>
        </w:tc>
        <w:tc>
          <w:tcPr>
            <w:tcW w:w="1023" w:type="dxa"/>
            <w:vAlign w:val="center"/>
          </w:tcPr>
          <w:p>
            <w:pPr>
              <w:jc w:val="center"/>
              <w:rPr>
                <w:sz w:val="18"/>
                <w:szCs w:val="18"/>
                <w:highlight w:val="none"/>
              </w:rPr>
            </w:pPr>
            <w:r>
              <w:rPr>
                <w:sz w:val="18"/>
                <w:szCs w:val="18"/>
                <w:highlight w:val="none"/>
              </w:rPr>
              <w:t>1</w:t>
            </w:r>
            <w:r>
              <w:rPr>
                <w:rFonts w:hint="eastAsia"/>
                <w:sz w:val="18"/>
                <w:szCs w:val="18"/>
                <w:highlight w:val="none"/>
              </w:rPr>
              <w:t>个</w:t>
            </w:r>
            <w:r>
              <w:rPr>
                <w:sz w:val="18"/>
                <w:szCs w:val="18"/>
                <w:highlight w:val="none"/>
              </w:rPr>
              <w:t>/</w:t>
            </w:r>
            <w:r>
              <w:rPr>
                <w:rFonts w:hint="eastAsia"/>
                <w:sz w:val="18"/>
                <w:szCs w:val="18"/>
                <w:highlight w:val="none"/>
              </w:rPr>
              <w:t>批</w:t>
            </w:r>
          </w:p>
        </w:tc>
        <w:tc>
          <w:tcPr>
            <w:tcW w:w="2982" w:type="dxa"/>
            <w:vAlign w:val="center"/>
          </w:tcPr>
          <w:p>
            <w:pPr>
              <w:jc w:val="center"/>
              <w:rPr>
                <w:sz w:val="18"/>
                <w:szCs w:val="18"/>
                <w:highlight w:val="none"/>
              </w:rPr>
            </w:pPr>
            <w:r>
              <w:rPr>
                <w:rFonts w:hint="eastAsia"/>
                <w:sz w:val="18"/>
                <w:szCs w:val="18"/>
                <w:highlight w:val="none"/>
              </w:rPr>
              <w:t>任一根钢棒</w:t>
            </w:r>
          </w:p>
        </w:tc>
        <w:tc>
          <w:tcPr>
            <w:tcW w:w="2650" w:type="dxa"/>
            <w:vAlign w:val="center"/>
          </w:tcPr>
          <w:p>
            <w:pPr>
              <w:jc w:val="center"/>
              <w:rPr>
                <w:sz w:val="18"/>
                <w:szCs w:val="18"/>
                <w:highlight w:val="none"/>
              </w:rPr>
            </w:pPr>
            <w:r>
              <w:rPr>
                <w:sz w:val="18"/>
                <w:szCs w:val="18"/>
                <w:highlight w:val="none"/>
              </w:rPr>
              <w:t>GB/T 6394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64" w:type="dxa"/>
            <w:vAlign w:val="center"/>
          </w:tcPr>
          <w:p>
            <w:pPr>
              <w:jc w:val="center"/>
              <w:rPr>
                <w:sz w:val="18"/>
                <w:szCs w:val="18"/>
                <w:highlight w:val="none"/>
              </w:rPr>
            </w:pPr>
            <w:r>
              <w:rPr>
                <w:sz w:val="18"/>
                <w:szCs w:val="18"/>
                <w:highlight w:val="none"/>
              </w:rPr>
              <w:t>6</w:t>
            </w:r>
          </w:p>
        </w:tc>
        <w:tc>
          <w:tcPr>
            <w:tcW w:w="1960" w:type="dxa"/>
            <w:vAlign w:val="center"/>
          </w:tcPr>
          <w:p>
            <w:pPr>
              <w:jc w:val="center"/>
              <w:rPr>
                <w:sz w:val="18"/>
                <w:szCs w:val="18"/>
                <w:highlight w:val="none"/>
              </w:rPr>
            </w:pPr>
            <w:r>
              <w:rPr>
                <w:rFonts w:hint="eastAsia"/>
                <w:sz w:val="18"/>
                <w:szCs w:val="18"/>
                <w:highlight w:val="none"/>
              </w:rPr>
              <w:t>腐蚀</w:t>
            </w:r>
          </w:p>
        </w:tc>
        <w:tc>
          <w:tcPr>
            <w:tcW w:w="1023" w:type="dxa"/>
            <w:vAlign w:val="center"/>
          </w:tcPr>
          <w:p>
            <w:pPr>
              <w:jc w:val="center"/>
              <w:rPr>
                <w:sz w:val="18"/>
                <w:szCs w:val="18"/>
                <w:highlight w:val="none"/>
              </w:rPr>
            </w:pPr>
            <w:r>
              <w:rPr>
                <w:sz w:val="18"/>
                <w:szCs w:val="18"/>
                <w:highlight w:val="none"/>
              </w:rPr>
              <w:t>1</w:t>
            </w:r>
            <w:r>
              <w:rPr>
                <w:rFonts w:hint="eastAsia"/>
                <w:sz w:val="18"/>
                <w:szCs w:val="18"/>
                <w:highlight w:val="none"/>
              </w:rPr>
              <w:t>个</w:t>
            </w:r>
            <w:r>
              <w:rPr>
                <w:sz w:val="18"/>
                <w:szCs w:val="18"/>
                <w:highlight w:val="none"/>
              </w:rPr>
              <w:t>/</w:t>
            </w:r>
            <w:r>
              <w:rPr>
                <w:rFonts w:hint="eastAsia"/>
                <w:sz w:val="18"/>
                <w:szCs w:val="18"/>
                <w:highlight w:val="none"/>
              </w:rPr>
              <w:t>批</w:t>
            </w:r>
          </w:p>
        </w:tc>
        <w:tc>
          <w:tcPr>
            <w:tcW w:w="2982" w:type="dxa"/>
            <w:vAlign w:val="center"/>
          </w:tcPr>
          <w:p>
            <w:pPr>
              <w:jc w:val="center"/>
              <w:rPr>
                <w:sz w:val="18"/>
                <w:szCs w:val="18"/>
                <w:highlight w:val="none"/>
              </w:rPr>
            </w:pPr>
            <w:r>
              <w:rPr>
                <w:rFonts w:hint="eastAsia"/>
                <w:sz w:val="18"/>
                <w:szCs w:val="18"/>
                <w:highlight w:val="none"/>
              </w:rPr>
              <w:t>任一根钢棒</w:t>
            </w:r>
          </w:p>
        </w:tc>
        <w:tc>
          <w:tcPr>
            <w:tcW w:w="2650" w:type="dxa"/>
            <w:vAlign w:val="center"/>
          </w:tcPr>
          <w:p>
            <w:pPr>
              <w:jc w:val="center"/>
              <w:rPr>
                <w:sz w:val="18"/>
                <w:szCs w:val="18"/>
                <w:highlight w:val="none"/>
              </w:rPr>
            </w:pPr>
            <w:r>
              <w:rPr>
                <w:sz w:val="18"/>
                <w:szCs w:val="18"/>
                <w:highlight w:val="none"/>
              </w:rPr>
              <w:t>G</w:t>
            </w:r>
            <w:r>
              <w:rPr>
                <w:sz w:val="18"/>
                <w:szCs w:val="18"/>
                <w:highlight w:val="none"/>
              </w:rPr>
              <w:t>B/T 4334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64" w:type="dxa"/>
            <w:vAlign w:val="center"/>
          </w:tcPr>
          <w:p>
            <w:pPr>
              <w:jc w:val="center"/>
              <w:rPr>
                <w:sz w:val="18"/>
                <w:szCs w:val="18"/>
                <w:highlight w:val="none"/>
              </w:rPr>
            </w:pPr>
            <w:r>
              <w:rPr>
                <w:sz w:val="18"/>
                <w:szCs w:val="18"/>
                <w:highlight w:val="none"/>
              </w:rPr>
              <w:t>7</w:t>
            </w:r>
          </w:p>
        </w:tc>
        <w:tc>
          <w:tcPr>
            <w:tcW w:w="1960" w:type="dxa"/>
            <w:vAlign w:val="center"/>
          </w:tcPr>
          <w:p>
            <w:pPr>
              <w:jc w:val="center"/>
              <w:rPr>
                <w:sz w:val="18"/>
                <w:szCs w:val="18"/>
                <w:highlight w:val="none"/>
              </w:rPr>
            </w:pPr>
            <w:r>
              <w:rPr>
                <w:rFonts w:hint="eastAsia"/>
                <w:sz w:val="18"/>
                <w:szCs w:val="18"/>
                <w:highlight w:val="none"/>
              </w:rPr>
              <w:t>非金属夹杂物</w:t>
            </w:r>
          </w:p>
        </w:tc>
        <w:tc>
          <w:tcPr>
            <w:tcW w:w="1023" w:type="dxa"/>
            <w:vAlign w:val="center"/>
          </w:tcPr>
          <w:p>
            <w:pPr>
              <w:jc w:val="center"/>
              <w:rPr>
                <w:sz w:val="18"/>
                <w:szCs w:val="18"/>
                <w:highlight w:val="none"/>
              </w:rPr>
            </w:pPr>
            <w:r>
              <w:rPr>
                <w:sz w:val="18"/>
                <w:szCs w:val="18"/>
                <w:highlight w:val="none"/>
              </w:rPr>
              <w:t>2</w:t>
            </w:r>
            <w:r>
              <w:rPr>
                <w:rFonts w:hint="eastAsia"/>
                <w:sz w:val="18"/>
                <w:szCs w:val="18"/>
                <w:highlight w:val="none"/>
              </w:rPr>
              <w:t>个</w:t>
            </w:r>
            <w:r>
              <w:rPr>
                <w:sz w:val="18"/>
                <w:szCs w:val="18"/>
                <w:highlight w:val="none"/>
              </w:rPr>
              <w:t>/</w:t>
            </w:r>
            <w:r>
              <w:rPr>
                <w:rFonts w:hint="eastAsia"/>
                <w:sz w:val="18"/>
                <w:szCs w:val="18"/>
                <w:highlight w:val="none"/>
              </w:rPr>
              <w:t>批</w:t>
            </w:r>
          </w:p>
        </w:tc>
        <w:tc>
          <w:tcPr>
            <w:tcW w:w="2982" w:type="dxa"/>
            <w:vAlign w:val="center"/>
          </w:tcPr>
          <w:p>
            <w:pPr>
              <w:jc w:val="center"/>
              <w:rPr>
                <w:sz w:val="18"/>
                <w:szCs w:val="18"/>
                <w:highlight w:val="none"/>
              </w:rPr>
            </w:pPr>
            <w:r>
              <w:rPr>
                <w:rFonts w:hint="eastAsia"/>
                <w:sz w:val="18"/>
                <w:szCs w:val="18"/>
                <w:highlight w:val="none"/>
              </w:rPr>
              <w:t>不同根钢棒</w:t>
            </w:r>
          </w:p>
        </w:tc>
        <w:tc>
          <w:tcPr>
            <w:tcW w:w="2650" w:type="dxa"/>
            <w:vAlign w:val="center"/>
          </w:tcPr>
          <w:p>
            <w:pPr>
              <w:jc w:val="center"/>
              <w:rPr>
                <w:sz w:val="18"/>
                <w:szCs w:val="18"/>
                <w:highlight w:val="none"/>
              </w:rPr>
            </w:pPr>
            <w:r>
              <w:rPr>
                <w:sz w:val="18"/>
                <w:szCs w:val="18"/>
                <w:highlight w:val="none"/>
              </w:rPr>
              <w:t>GB/T 10561-2005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64" w:type="dxa"/>
            <w:vAlign w:val="center"/>
          </w:tcPr>
          <w:p>
            <w:pPr>
              <w:jc w:val="center"/>
              <w:rPr>
                <w:sz w:val="18"/>
                <w:szCs w:val="18"/>
                <w:highlight w:val="none"/>
              </w:rPr>
            </w:pPr>
            <w:r>
              <w:rPr>
                <w:sz w:val="18"/>
                <w:szCs w:val="18"/>
                <w:highlight w:val="none"/>
              </w:rPr>
              <w:t>8</w:t>
            </w:r>
          </w:p>
        </w:tc>
        <w:tc>
          <w:tcPr>
            <w:tcW w:w="1960" w:type="dxa"/>
            <w:vAlign w:val="center"/>
          </w:tcPr>
          <w:p>
            <w:pPr>
              <w:jc w:val="center"/>
              <w:rPr>
                <w:sz w:val="18"/>
                <w:szCs w:val="18"/>
                <w:highlight w:val="none"/>
              </w:rPr>
            </w:pPr>
            <w:r>
              <w:rPr>
                <w:rFonts w:hint="eastAsia"/>
                <w:sz w:val="18"/>
                <w:szCs w:val="18"/>
                <w:highlight w:val="none"/>
              </w:rPr>
              <w:t>超声波探伤</w:t>
            </w:r>
          </w:p>
        </w:tc>
        <w:tc>
          <w:tcPr>
            <w:tcW w:w="1023" w:type="dxa"/>
            <w:vAlign w:val="center"/>
          </w:tcPr>
          <w:p>
            <w:pPr>
              <w:jc w:val="center"/>
              <w:rPr>
                <w:sz w:val="18"/>
                <w:szCs w:val="18"/>
                <w:highlight w:val="none"/>
              </w:rPr>
            </w:pPr>
            <w:r>
              <w:rPr>
                <w:rFonts w:hint="eastAsia"/>
                <w:sz w:val="18"/>
                <w:szCs w:val="18"/>
                <w:highlight w:val="none"/>
              </w:rPr>
              <w:t>逐根</w:t>
            </w:r>
          </w:p>
        </w:tc>
        <w:tc>
          <w:tcPr>
            <w:tcW w:w="2982" w:type="dxa"/>
            <w:vAlign w:val="center"/>
          </w:tcPr>
          <w:p>
            <w:pPr>
              <w:jc w:val="center"/>
              <w:rPr>
                <w:sz w:val="18"/>
                <w:szCs w:val="18"/>
                <w:highlight w:val="none"/>
              </w:rPr>
            </w:pPr>
            <w:r>
              <w:rPr>
                <w:rFonts w:hint="eastAsia"/>
                <w:sz w:val="18"/>
                <w:szCs w:val="18"/>
                <w:highlight w:val="none"/>
              </w:rPr>
              <w:t>整根钢棒</w:t>
            </w:r>
          </w:p>
        </w:tc>
        <w:tc>
          <w:tcPr>
            <w:tcW w:w="2650" w:type="dxa"/>
            <w:vAlign w:val="center"/>
          </w:tcPr>
          <w:p>
            <w:pPr>
              <w:jc w:val="center"/>
              <w:rPr>
                <w:sz w:val="18"/>
                <w:szCs w:val="18"/>
                <w:highlight w:val="none"/>
              </w:rPr>
            </w:pPr>
            <w:r>
              <w:rPr>
                <w:sz w:val="18"/>
                <w:szCs w:val="18"/>
                <w:highlight w:val="none"/>
              </w:rPr>
              <w:t>GB/T 4162-2022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64" w:type="dxa"/>
            <w:vAlign w:val="center"/>
          </w:tcPr>
          <w:p>
            <w:pPr>
              <w:jc w:val="center"/>
              <w:rPr>
                <w:rFonts w:hint="eastAsia" w:eastAsia="宋体"/>
                <w:sz w:val="18"/>
                <w:szCs w:val="18"/>
                <w:highlight w:val="none"/>
                <w:lang w:val="en-US" w:eastAsia="zh-CN"/>
              </w:rPr>
            </w:pPr>
            <w:r>
              <w:rPr>
                <w:rFonts w:hint="eastAsia"/>
                <w:sz w:val="18"/>
                <w:szCs w:val="18"/>
                <w:highlight w:val="none"/>
                <w:lang w:val="en-US" w:eastAsia="zh-CN"/>
              </w:rPr>
              <w:t>9</w:t>
            </w:r>
          </w:p>
        </w:tc>
        <w:tc>
          <w:tcPr>
            <w:tcW w:w="1960" w:type="dxa"/>
            <w:vAlign w:val="center"/>
          </w:tcPr>
          <w:p>
            <w:pPr>
              <w:jc w:val="center"/>
              <w:rPr>
                <w:rFonts w:hint="eastAsia"/>
                <w:sz w:val="18"/>
                <w:szCs w:val="18"/>
                <w:highlight w:val="none"/>
              </w:rPr>
            </w:pPr>
            <w:r>
              <w:rPr>
                <w:rFonts w:hint="default" w:ascii="Times New Roman" w:hAnsi="Times New Roman" w:cs="Times New Roman"/>
                <w:sz w:val="18"/>
                <w:szCs w:val="18"/>
                <w:highlight w:val="none"/>
              </w:rPr>
              <w:t>α</w:t>
            </w:r>
            <w:r>
              <w:rPr>
                <w:rFonts w:hint="eastAsia"/>
                <w:sz w:val="18"/>
                <w:szCs w:val="18"/>
                <w:highlight w:val="none"/>
              </w:rPr>
              <w:t>相含量</w:t>
            </w:r>
          </w:p>
        </w:tc>
        <w:tc>
          <w:tcPr>
            <w:tcW w:w="1023" w:type="dxa"/>
            <w:vAlign w:val="center"/>
          </w:tcPr>
          <w:p>
            <w:pPr>
              <w:jc w:val="center"/>
              <w:rPr>
                <w:rFonts w:hint="default"/>
                <w:sz w:val="18"/>
                <w:szCs w:val="18"/>
                <w:highlight w:val="none"/>
                <w:lang w:val="en-US" w:eastAsia="zh-CN"/>
              </w:rPr>
            </w:pPr>
            <w:r>
              <w:rPr>
                <w:rFonts w:hint="eastAsia"/>
                <w:sz w:val="18"/>
                <w:szCs w:val="18"/>
                <w:highlight w:val="none"/>
                <w:lang w:val="en-US" w:eastAsia="zh-CN"/>
              </w:rPr>
              <w:t>2个/批</w:t>
            </w:r>
          </w:p>
        </w:tc>
        <w:tc>
          <w:tcPr>
            <w:tcW w:w="2982" w:type="dxa"/>
            <w:vAlign w:val="center"/>
          </w:tcPr>
          <w:p>
            <w:pPr>
              <w:jc w:val="center"/>
              <w:rPr>
                <w:rFonts w:hint="eastAsia"/>
                <w:sz w:val="18"/>
                <w:szCs w:val="18"/>
                <w:highlight w:val="none"/>
              </w:rPr>
            </w:pPr>
            <w:r>
              <w:rPr>
                <w:rFonts w:hint="eastAsia"/>
                <w:sz w:val="18"/>
                <w:szCs w:val="18"/>
                <w:highlight w:val="none"/>
              </w:rPr>
              <w:t>不同根钢棒</w:t>
            </w:r>
          </w:p>
        </w:tc>
        <w:tc>
          <w:tcPr>
            <w:tcW w:w="2650" w:type="dxa"/>
            <w:vAlign w:val="center"/>
          </w:tcPr>
          <w:p>
            <w:pPr>
              <w:jc w:val="center"/>
              <w:rPr>
                <w:rFonts w:hint="default"/>
                <w:sz w:val="18"/>
                <w:szCs w:val="18"/>
                <w:highlight w:val="none"/>
                <w:lang w:val="en-US" w:eastAsia="zh-CN"/>
              </w:rPr>
            </w:pPr>
            <w:r>
              <w:rPr>
                <w:rFonts w:hint="eastAsia"/>
                <w:sz w:val="18"/>
                <w:szCs w:val="18"/>
                <w:highlight w:val="none"/>
              </w:rPr>
              <w:t xml:space="preserve">GB/T </w:t>
            </w:r>
            <w:r>
              <w:rPr>
                <w:rFonts w:hint="eastAsia"/>
                <w:sz w:val="18"/>
                <w:szCs w:val="18"/>
                <w:highlight w:val="none"/>
                <w:lang w:val="en-US" w:eastAsia="zh-CN"/>
              </w:rPr>
              <w:t>13305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64" w:type="dxa"/>
            <w:vAlign w:val="center"/>
          </w:tcPr>
          <w:p>
            <w:pPr>
              <w:jc w:val="center"/>
              <w:rPr>
                <w:rFonts w:hint="default" w:eastAsia="宋体"/>
                <w:sz w:val="18"/>
                <w:szCs w:val="18"/>
                <w:highlight w:val="none"/>
                <w:lang w:val="en-US" w:eastAsia="zh-CN"/>
              </w:rPr>
            </w:pPr>
            <w:r>
              <w:rPr>
                <w:rFonts w:hint="eastAsia"/>
                <w:sz w:val="18"/>
                <w:szCs w:val="18"/>
                <w:highlight w:val="none"/>
                <w:lang w:val="en-US" w:eastAsia="zh-CN"/>
              </w:rPr>
              <w:t>10</w:t>
            </w:r>
          </w:p>
        </w:tc>
        <w:tc>
          <w:tcPr>
            <w:tcW w:w="1960" w:type="dxa"/>
            <w:vAlign w:val="center"/>
          </w:tcPr>
          <w:p>
            <w:pPr>
              <w:jc w:val="center"/>
              <w:rPr>
                <w:rFonts w:hint="eastAsia"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粗糙度</w:t>
            </w:r>
          </w:p>
        </w:tc>
        <w:tc>
          <w:tcPr>
            <w:tcW w:w="1023" w:type="dxa"/>
            <w:vAlign w:val="center"/>
          </w:tcPr>
          <w:p>
            <w:pPr>
              <w:jc w:val="center"/>
              <w:rPr>
                <w:rFonts w:hint="default" w:ascii="Times New Roman" w:hAnsi="Times New Roman" w:cs="Times New Roman"/>
                <w:sz w:val="18"/>
                <w:szCs w:val="18"/>
                <w:highlight w:val="none"/>
                <w:lang w:val="en-US" w:eastAsia="zh-CN"/>
              </w:rPr>
            </w:pPr>
            <w:r>
              <w:rPr>
                <w:rFonts w:hint="eastAsia" w:cs="Times New Roman"/>
                <w:sz w:val="18"/>
                <w:szCs w:val="18"/>
                <w:highlight w:val="none"/>
                <w:lang w:val="en-US" w:eastAsia="zh-CN"/>
              </w:rPr>
              <w:t>1个/批</w:t>
            </w:r>
          </w:p>
        </w:tc>
        <w:tc>
          <w:tcPr>
            <w:tcW w:w="2982" w:type="dxa"/>
            <w:vAlign w:val="center"/>
          </w:tcPr>
          <w:p>
            <w:pPr>
              <w:jc w:val="center"/>
              <w:rPr>
                <w:rFonts w:hint="eastAsia"/>
                <w:sz w:val="18"/>
                <w:szCs w:val="18"/>
                <w:highlight w:val="none"/>
              </w:rPr>
            </w:pPr>
            <w:r>
              <w:rPr>
                <w:rFonts w:hint="eastAsia"/>
                <w:sz w:val="18"/>
                <w:szCs w:val="18"/>
                <w:highlight w:val="none"/>
              </w:rPr>
              <w:t>任一根钢棒</w:t>
            </w:r>
          </w:p>
        </w:tc>
        <w:tc>
          <w:tcPr>
            <w:tcW w:w="2650" w:type="dxa"/>
            <w:vAlign w:val="center"/>
          </w:tcPr>
          <w:p>
            <w:pPr>
              <w:jc w:val="center"/>
              <w:rPr>
                <w:rFonts w:hint="default"/>
                <w:sz w:val="18"/>
                <w:szCs w:val="18"/>
                <w:highlight w:val="none"/>
              </w:rPr>
            </w:pPr>
            <w:r>
              <w:rPr>
                <w:rFonts w:hint="eastAsia"/>
                <w:sz w:val="18"/>
                <w:szCs w:val="18"/>
                <w:highlight w:val="none"/>
              </w:rPr>
              <w:t xml:space="preserve">GB/T 13288.4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64" w:type="dxa"/>
            <w:vAlign w:val="center"/>
          </w:tcPr>
          <w:p>
            <w:pPr>
              <w:jc w:val="center"/>
              <w:rPr>
                <w:rFonts w:hint="default" w:eastAsia="宋体"/>
                <w:sz w:val="18"/>
                <w:szCs w:val="18"/>
                <w:highlight w:val="none"/>
                <w:lang w:val="en-US" w:eastAsia="zh-CN"/>
              </w:rPr>
            </w:pPr>
            <w:r>
              <w:rPr>
                <w:rFonts w:hint="eastAsia"/>
                <w:sz w:val="18"/>
                <w:szCs w:val="18"/>
                <w:highlight w:val="none"/>
                <w:lang w:val="en-US" w:eastAsia="zh-CN"/>
              </w:rPr>
              <w:t>11</w:t>
            </w:r>
          </w:p>
        </w:tc>
        <w:tc>
          <w:tcPr>
            <w:tcW w:w="1960" w:type="dxa"/>
            <w:vAlign w:val="center"/>
          </w:tcPr>
          <w:p>
            <w:pPr>
              <w:jc w:val="center"/>
              <w:rPr>
                <w:sz w:val="18"/>
                <w:szCs w:val="18"/>
                <w:highlight w:val="none"/>
              </w:rPr>
            </w:pPr>
            <w:r>
              <w:rPr>
                <w:rFonts w:hint="eastAsia"/>
                <w:sz w:val="18"/>
                <w:szCs w:val="18"/>
                <w:highlight w:val="none"/>
              </w:rPr>
              <w:t>尺寸</w:t>
            </w:r>
          </w:p>
        </w:tc>
        <w:tc>
          <w:tcPr>
            <w:tcW w:w="1023" w:type="dxa"/>
            <w:vAlign w:val="center"/>
          </w:tcPr>
          <w:p>
            <w:pPr>
              <w:jc w:val="center"/>
              <w:rPr>
                <w:sz w:val="18"/>
                <w:szCs w:val="18"/>
                <w:highlight w:val="none"/>
              </w:rPr>
            </w:pPr>
            <w:r>
              <w:rPr>
                <w:rFonts w:hint="eastAsia"/>
                <w:sz w:val="18"/>
                <w:szCs w:val="18"/>
                <w:highlight w:val="none"/>
              </w:rPr>
              <w:t>逐根</w:t>
            </w:r>
          </w:p>
        </w:tc>
        <w:tc>
          <w:tcPr>
            <w:tcW w:w="2982" w:type="dxa"/>
            <w:vAlign w:val="center"/>
          </w:tcPr>
          <w:p>
            <w:pPr>
              <w:jc w:val="center"/>
              <w:rPr>
                <w:rFonts w:hint="eastAsia"/>
                <w:sz w:val="18"/>
                <w:szCs w:val="18"/>
                <w:highlight w:val="none"/>
              </w:rPr>
            </w:pPr>
            <w:r>
              <w:rPr>
                <w:rFonts w:hint="eastAsia"/>
                <w:sz w:val="18"/>
                <w:szCs w:val="18"/>
                <w:highlight w:val="none"/>
              </w:rPr>
              <w:t>整根钢棒</w:t>
            </w:r>
          </w:p>
        </w:tc>
        <w:tc>
          <w:tcPr>
            <w:tcW w:w="2650" w:type="dxa"/>
            <w:vAlign w:val="center"/>
          </w:tcPr>
          <w:p>
            <w:pPr>
              <w:jc w:val="center"/>
              <w:rPr>
                <w:rFonts w:hint="eastAsia"/>
                <w:sz w:val="18"/>
                <w:szCs w:val="18"/>
                <w:highlight w:val="none"/>
              </w:rPr>
            </w:pPr>
            <w:r>
              <w:rPr>
                <w:rFonts w:hint="eastAsia"/>
                <w:sz w:val="18"/>
                <w:szCs w:val="18"/>
                <w:highlight w:val="none"/>
              </w:rPr>
              <w:t>卡尺、千分尺、卷尺等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64" w:type="dxa"/>
            <w:tcBorders>
              <w:bottom w:val="single" w:color="auto" w:sz="8" w:space="0"/>
            </w:tcBorders>
            <w:vAlign w:val="center"/>
          </w:tcPr>
          <w:p>
            <w:pPr>
              <w:jc w:val="center"/>
              <w:rPr>
                <w:rFonts w:hint="eastAsia" w:eastAsia="宋体"/>
                <w:sz w:val="18"/>
                <w:szCs w:val="18"/>
                <w:highlight w:val="none"/>
                <w:lang w:val="en-US" w:eastAsia="zh-CN"/>
              </w:rPr>
            </w:pPr>
            <w:r>
              <w:rPr>
                <w:sz w:val="18"/>
                <w:szCs w:val="18"/>
                <w:highlight w:val="none"/>
              </w:rPr>
              <w:t>1</w:t>
            </w:r>
            <w:r>
              <w:rPr>
                <w:rFonts w:hint="eastAsia"/>
                <w:sz w:val="18"/>
                <w:szCs w:val="18"/>
                <w:highlight w:val="none"/>
                <w:lang w:val="en-US" w:eastAsia="zh-CN"/>
              </w:rPr>
              <w:t>2</w:t>
            </w:r>
          </w:p>
        </w:tc>
        <w:tc>
          <w:tcPr>
            <w:tcW w:w="1960" w:type="dxa"/>
            <w:tcBorders>
              <w:bottom w:val="single" w:color="auto" w:sz="8" w:space="0"/>
            </w:tcBorders>
            <w:vAlign w:val="center"/>
          </w:tcPr>
          <w:p>
            <w:pPr>
              <w:jc w:val="center"/>
              <w:rPr>
                <w:sz w:val="18"/>
                <w:szCs w:val="18"/>
                <w:highlight w:val="none"/>
              </w:rPr>
            </w:pPr>
            <w:r>
              <w:rPr>
                <w:rFonts w:hint="eastAsia"/>
                <w:sz w:val="18"/>
                <w:szCs w:val="18"/>
                <w:highlight w:val="none"/>
              </w:rPr>
              <w:t>表面</w:t>
            </w:r>
          </w:p>
        </w:tc>
        <w:tc>
          <w:tcPr>
            <w:tcW w:w="1023" w:type="dxa"/>
            <w:tcBorders>
              <w:bottom w:val="single" w:color="auto" w:sz="8" w:space="0"/>
            </w:tcBorders>
            <w:vAlign w:val="center"/>
          </w:tcPr>
          <w:p>
            <w:pPr>
              <w:jc w:val="center"/>
              <w:rPr>
                <w:sz w:val="18"/>
                <w:szCs w:val="18"/>
                <w:highlight w:val="none"/>
              </w:rPr>
            </w:pPr>
            <w:r>
              <w:rPr>
                <w:rFonts w:hint="eastAsia"/>
                <w:sz w:val="18"/>
                <w:szCs w:val="18"/>
                <w:highlight w:val="none"/>
              </w:rPr>
              <w:t>逐根</w:t>
            </w:r>
          </w:p>
        </w:tc>
        <w:tc>
          <w:tcPr>
            <w:tcW w:w="2982" w:type="dxa"/>
            <w:tcBorders>
              <w:bottom w:val="single" w:color="auto" w:sz="8" w:space="0"/>
            </w:tcBorders>
            <w:vAlign w:val="center"/>
          </w:tcPr>
          <w:p>
            <w:pPr>
              <w:jc w:val="center"/>
              <w:rPr>
                <w:sz w:val="18"/>
                <w:szCs w:val="18"/>
                <w:highlight w:val="none"/>
              </w:rPr>
            </w:pPr>
            <w:r>
              <w:rPr>
                <w:rFonts w:hint="eastAsia"/>
                <w:sz w:val="18"/>
                <w:szCs w:val="18"/>
                <w:highlight w:val="none"/>
              </w:rPr>
              <w:t>整根钢棒</w:t>
            </w:r>
          </w:p>
        </w:tc>
        <w:tc>
          <w:tcPr>
            <w:tcW w:w="2650" w:type="dxa"/>
            <w:tcBorders>
              <w:bottom w:val="single" w:color="auto" w:sz="8" w:space="0"/>
            </w:tcBorders>
            <w:vAlign w:val="center"/>
          </w:tcPr>
          <w:p>
            <w:pPr>
              <w:jc w:val="center"/>
              <w:rPr>
                <w:sz w:val="18"/>
                <w:szCs w:val="18"/>
                <w:highlight w:val="none"/>
              </w:rPr>
            </w:pPr>
            <w:r>
              <w:rPr>
                <w:rFonts w:hint="eastAsia"/>
                <w:sz w:val="18"/>
                <w:szCs w:val="18"/>
                <w:highlight w:val="none"/>
              </w:rPr>
              <w:t>目视</w:t>
            </w:r>
          </w:p>
        </w:tc>
      </w:tr>
    </w:tbl>
    <w:p>
      <w:pPr>
        <w:pStyle w:val="18"/>
        <w:numPr>
          <w:ilvl w:val="0"/>
          <w:numId w:val="7"/>
        </w:numPr>
        <w:spacing w:before="312" w:after="312"/>
        <w:ind w:left="0" w:firstLine="0"/>
        <w:rPr>
          <w:rFonts w:ascii="Times New Roman"/>
          <w:highlight w:val="none"/>
        </w:rPr>
      </w:pPr>
      <w:r>
        <w:rPr>
          <w:rFonts w:hint="eastAsia" w:ascii="Times New Roman"/>
          <w:highlight w:val="none"/>
        </w:rPr>
        <w:t>检验规则</w:t>
      </w:r>
    </w:p>
    <w:p>
      <w:pPr>
        <w:pStyle w:val="21"/>
        <w:numPr>
          <w:ilvl w:val="1"/>
          <w:numId w:val="7"/>
        </w:numPr>
        <w:spacing w:before="156" w:after="156"/>
        <w:ind w:left="0" w:firstLine="0"/>
        <w:rPr>
          <w:rFonts w:ascii="Times New Roman"/>
          <w:highlight w:val="none"/>
        </w:rPr>
      </w:pPr>
      <w:r>
        <w:rPr>
          <w:rFonts w:hint="eastAsia" w:ascii="Times New Roman"/>
          <w:highlight w:val="none"/>
        </w:rPr>
        <w:t>检查和验收</w:t>
      </w:r>
    </w:p>
    <w:p>
      <w:pPr>
        <w:pStyle w:val="35"/>
        <w:ind w:firstLine="373" w:firstLineChars="178"/>
        <w:rPr>
          <w:rFonts w:ascii="Times New Roman" w:hAnsi="Times New Roman"/>
          <w:highlight w:val="none"/>
        </w:rPr>
      </w:pPr>
      <w:r>
        <w:rPr>
          <w:rFonts w:hint="eastAsia" w:ascii="Times New Roman" w:hAnsi="Times New Roman"/>
          <w:highlight w:val="none"/>
        </w:rPr>
        <w:t>钢棒</w:t>
      </w:r>
      <w:r>
        <w:rPr>
          <w:rStyle w:val="11"/>
          <w:rFonts w:hint="eastAsia" w:ascii="Times New Roman" w:hAnsi="Times New Roman"/>
          <w:szCs w:val="21"/>
          <w:highlight w:val="none"/>
        </w:rPr>
        <w:t>的检查和验收由供方质量检验部门进行。</w:t>
      </w:r>
    </w:p>
    <w:p>
      <w:pPr>
        <w:pStyle w:val="21"/>
        <w:numPr>
          <w:ilvl w:val="1"/>
          <w:numId w:val="7"/>
        </w:numPr>
        <w:spacing w:before="156" w:after="156"/>
        <w:ind w:left="0" w:firstLine="0"/>
        <w:rPr>
          <w:rFonts w:ascii="Times New Roman"/>
          <w:highlight w:val="none"/>
        </w:rPr>
      </w:pPr>
      <w:r>
        <w:rPr>
          <w:rFonts w:hint="eastAsia" w:ascii="Times New Roman"/>
          <w:highlight w:val="none"/>
        </w:rPr>
        <w:t>组批规则</w:t>
      </w:r>
    </w:p>
    <w:p>
      <w:pPr>
        <w:pStyle w:val="35"/>
        <w:ind w:firstLine="373" w:firstLineChars="178"/>
        <w:rPr>
          <w:rFonts w:ascii="Times New Roman" w:hAnsi="Times New Roman"/>
          <w:highlight w:val="none"/>
        </w:rPr>
      </w:pPr>
      <w:r>
        <w:rPr>
          <w:rFonts w:hint="eastAsia" w:ascii="Times New Roman" w:hAnsi="Times New Roman"/>
          <w:highlight w:val="none"/>
        </w:rPr>
        <w:t>钢棒应成批验收。每批由同一牌号、同一炉号、同一加工方法、同一交货状态、同一规格和同一热处理炉次的钢棒组成。</w:t>
      </w:r>
    </w:p>
    <w:p>
      <w:pPr>
        <w:pStyle w:val="21"/>
        <w:numPr>
          <w:ilvl w:val="1"/>
          <w:numId w:val="7"/>
        </w:numPr>
        <w:spacing w:before="156" w:after="156"/>
        <w:ind w:left="0" w:firstLine="0"/>
        <w:rPr>
          <w:rFonts w:ascii="Times New Roman"/>
          <w:highlight w:val="none"/>
        </w:rPr>
      </w:pPr>
      <w:r>
        <w:rPr>
          <w:rFonts w:hint="eastAsia" w:ascii="Times New Roman"/>
          <w:highlight w:val="none"/>
        </w:rPr>
        <w:t>取样数量</w:t>
      </w:r>
    </w:p>
    <w:p>
      <w:pPr>
        <w:pStyle w:val="35"/>
        <w:ind w:left="374" w:firstLine="0" w:firstLineChars="0"/>
        <w:rPr>
          <w:rFonts w:ascii="Times New Roman" w:hAnsi="Times New Roman"/>
          <w:highlight w:val="none"/>
        </w:rPr>
      </w:pPr>
      <w:r>
        <w:rPr>
          <w:rFonts w:hint="eastAsia" w:ascii="Times New Roman" w:hAnsi="Times New Roman"/>
          <w:highlight w:val="none"/>
        </w:rPr>
        <w:t>钢棒的取样数量应符合表</w:t>
      </w:r>
      <w:r>
        <w:rPr>
          <w:rFonts w:ascii="Times New Roman" w:hAnsi="Times New Roman"/>
          <w:highlight w:val="none"/>
        </w:rPr>
        <w:t>5</w:t>
      </w:r>
      <w:r>
        <w:rPr>
          <w:rFonts w:hint="eastAsia" w:ascii="Times New Roman" w:hAnsi="Times New Roman"/>
          <w:highlight w:val="none"/>
        </w:rPr>
        <w:t>的规定。</w:t>
      </w:r>
    </w:p>
    <w:p>
      <w:pPr>
        <w:pStyle w:val="21"/>
        <w:numPr>
          <w:ilvl w:val="1"/>
          <w:numId w:val="7"/>
        </w:numPr>
        <w:spacing w:before="156" w:after="156"/>
        <w:ind w:left="0" w:firstLine="0"/>
        <w:rPr>
          <w:rFonts w:ascii="Times New Roman"/>
          <w:highlight w:val="none"/>
        </w:rPr>
      </w:pPr>
      <w:r>
        <w:rPr>
          <w:rFonts w:hint="eastAsia" w:ascii="Times New Roman"/>
          <w:highlight w:val="none"/>
        </w:rPr>
        <w:t>复验和判定规则</w:t>
      </w:r>
    </w:p>
    <w:p>
      <w:pPr>
        <w:pStyle w:val="35"/>
        <w:ind w:left="374" w:firstLine="0" w:firstLineChars="0"/>
        <w:rPr>
          <w:rFonts w:ascii="Times New Roman" w:hAnsi="Times New Roman"/>
          <w:highlight w:val="none"/>
        </w:rPr>
      </w:pPr>
      <w:r>
        <w:rPr>
          <w:rFonts w:hint="eastAsia" w:ascii="Times New Roman" w:hAnsi="Times New Roman"/>
          <w:highlight w:val="none"/>
        </w:rPr>
        <w:t>钢棒的复验与判定应符合</w:t>
      </w:r>
      <w:r>
        <w:rPr>
          <w:rFonts w:ascii="Times New Roman" w:hAnsi="Times New Roman"/>
          <w:highlight w:val="none"/>
        </w:rPr>
        <w:t>GB/T 17505</w:t>
      </w:r>
      <w:r>
        <w:rPr>
          <w:rFonts w:hint="eastAsia" w:ascii="Times New Roman" w:hAnsi="Times New Roman"/>
          <w:highlight w:val="none"/>
        </w:rPr>
        <w:t>的规定。</w:t>
      </w:r>
    </w:p>
    <w:p>
      <w:pPr>
        <w:pStyle w:val="21"/>
        <w:numPr>
          <w:ilvl w:val="1"/>
          <w:numId w:val="7"/>
        </w:numPr>
        <w:spacing w:before="156" w:after="156"/>
        <w:ind w:left="0" w:firstLine="0"/>
        <w:rPr>
          <w:rFonts w:ascii="Times New Roman"/>
          <w:highlight w:val="none"/>
        </w:rPr>
      </w:pPr>
      <w:r>
        <w:rPr>
          <w:rFonts w:hint="eastAsia" w:ascii="Times New Roman"/>
          <w:highlight w:val="none"/>
        </w:rPr>
        <w:t>数值修约</w:t>
      </w:r>
    </w:p>
    <w:p>
      <w:pPr>
        <w:pStyle w:val="35"/>
        <w:ind w:left="374" w:firstLine="0" w:firstLineChars="0"/>
        <w:rPr>
          <w:rFonts w:ascii="Times New Roman" w:hAnsi="Times New Roman"/>
          <w:highlight w:val="none"/>
        </w:rPr>
      </w:pPr>
      <w:r>
        <w:rPr>
          <w:rFonts w:hint="eastAsia" w:ascii="Times New Roman" w:hAnsi="Times New Roman"/>
          <w:highlight w:val="none"/>
        </w:rPr>
        <w:t>数值判定采用修约值比较法，数值修约按</w:t>
      </w:r>
      <w:r>
        <w:rPr>
          <w:rFonts w:ascii="Times New Roman" w:hAnsi="Times New Roman"/>
          <w:highlight w:val="none"/>
        </w:rPr>
        <w:t>GB/T 8170</w:t>
      </w:r>
      <w:r>
        <w:rPr>
          <w:rFonts w:hint="eastAsia" w:ascii="Times New Roman" w:hAnsi="Times New Roman"/>
          <w:highlight w:val="none"/>
        </w:rPr>
        <w:t>规定执行。</w:t>
      </w:r>
    </w:p>
    <w:p>
      <w:pPr>
        <w:pStyle w:val="18"/>
        <w:numPr>
          <w:ilvl w:val="0"/>
          <w:numId w:val="7"/>
        </w:numPr>
        <w:spacing w:before="312" w:after="312"/>
        <w:ind w:left="0" w:firstLine="0"/>
        <w:rPr>
          <w:rFonts w:ascii="Times New Roman"/>
          <w:highlight w:val="none"/>
        </w:rPr>
      </w:pPr>
      <w:r>
        <w:rPr>
          <w:rFonts w:hint="eastAsia" w:ascii="Times New Roman"/>
          <w:highlight w:val="none"/>
        </w:rPr>
        <w:t>包装、标志和质量证明书</w:t>
      </w:r>
    </w:p>
    <w:p>
      <w:pPr>
        <w:widowControl/>
        <w:tabs>
          <w:tab w:val="center" w:pos="4201"/>
          <w:tab w:val="right" w:leader="dot" w:pos="9298"/>
        </w:tabs>
        <w:autoSpaceDE w:val="0"/>
        <w:autoSpaceDN w:val="0"/>
        <w:ind w:firstLine="315" w:firstLineChars="150"/>
        <w:rPr>
          <w:highlight w:val="none"/>
        </w:rPr>
        <w:sectPr>
          <w:pgSz w:w="11906" w:h="16838"/>
          <w:pgMar w:top="567" w:right="1134" w:bottom="1134" w:left="1418" w:header="1418" w:footer="1134" w:gutter="0"/>
          <w:pgNumType w:start="1"/>
          <w:cols w:space="720" w:num="1"/>
          <w:formProt w:val="0"/>
          <w:docGrid w:type="lines" w:linePitch="312" w:charSpace="0"/>
        </w:sectPr>
      </w:pPr>
      <w:r>
        <w:rPr>
          <w:rFonts w:hint="eastAsia"/>
          <w:highlight w:val="none"/>
        </w:rPr>
        <w:t>钢棒的包装、标志和质量证明书应符合</w:t>
      </w:r>
      <w:r>
        <w:rPr>
          <w:highlight w:val="none"/>
        </w:rPr>
        <w:t>GB/T 2101</w:t>
      </w:r>
      <w:r>
        <w:rPr>
          <w:rFonts w:hint="eastAsia"/>
          <w:highlight w:val="none"/>
        </w:rPr>
        <w:t>的规定。</w:t>
      </w:r>
    </w:p>
    <w:p>
      <w:pPr>
        <w:pStyle w:val="56"/>
        <w:keepNext/>
        <w:numPr>
          <w:ilvl w:val="0"/>
          <w:numId w:val="0"/>
        </w:numPr>
        <w:spacing w:after="280"/>
        <w:rPr>
          <w:highlight w:val="none"/>
        </w:rPr>
      </w:pPr>
      <w:r>
        <w:rPr>
          <w:rFonts w:hint="eastAsia"/>
          <w:highlight w:val="none"/>
        </w:rPr>
        <w:t>附录</w:t>
      </w:r>
      <w:r>
        <w:rPr>
          <w:highlight w:val="none"/>
        </w:rPr>
        <w:t>A</w:t>
      </w:r>
      <w:r>
        <w:rPr>
          <w:highlight w:val="none"/>
        </w:rPr>
        <w:br w:type="textWrapping"/>
      </w:r>
      <w:r>
        <w:rPr>
          <w:rFonts w:hint="eastAsia"/>
          <w:highlight w:val="none"/>
        </w:rPr>
        <w:t>（资料性）</w:t>
      </w:r>
      <w:r>
        <w:rPr>
          <w:highlight w:val="none"/>
        </w:rPr>
        <w:br w:type="textWrapping"/>
      </w:r>
      <w:r>
        <w:rPr>
          <w:rFonts w:hint="eastAsia"/>
          <w:highlight w:val="none"/>
        </w:rPr>
        <w:t>本文件牌号与其他文件近似牌号对照</w:t>
      </w:r>
    </w:p>
    <w:p>
      <w:pPr>
        <w:widowControl/>
        <w:spacing w:beforeLines="50" w:afterLines="50"/>
        <w:ind w:firstLine="1890" w:firstLineChars="900"/>
        <w:rPr>
          <w:rFonts w:ascii="黑体" w:hAnsi="黑体" w:eastAsia="黑体"/>
          <w:highlight w:val="none"/>
        </w:rPr>
      </w:pPr>
      <w:r>
        <w:rPr>
          <w:rFonts w:eastAsia="黑体"/>
          <w:kern w:val="0"/>
          <w:szCs w:val="20"/>
          <w:highlight w:val="none"/>
        </w:rPr>
        <w:t xml:space="preserve">A.1 </w:t>
      </w:r>
      <w:r>
        <w:rPr>
          <w:rFonts w:hint="eastAsia" w:ascii="黑体" w:hAnsi="黑体" w:eastAsia="黑体"/>
          <w:highlight w:val="none"/>
        </w:rPr>
        <w:t>本文件牌号与其他文件近似牌号对照参见表</w:t>
      </w:r>
      <w:r>
        <w:rPr>
          <w:rFonts w:ascii="黑体" w:hAnsi="黑体" w:eastAsia="黑体"/>
          <w:highlight w:val="none"/>
        </w:rPr>
        <w:t>A.1</w:t>
      </w:r>
      <w:r>
        <w:rPr>
          <w:rFonts w:hint="eastAsia" w:ascii="黑体" w:hAnsi="黑体" w:eastAsia="黑体"/>
          <w:highlight w:val="none"/>
        </w:rPr>
        <w:t>。</w:t>
      </w:r>
    </w:p>
    <w:p>
      <w:pPr>
        <w:pStyle w:val="49"/>
        <w:widowControl w:val="0"/>
        <w:numPr>
          <w:ilvl w:val="0"/>
          <w:numId w:val="0"/>
        </w:numPr>
        <w:spacing w:beforeLines="50" w:afterLines="50"/>
        <w:textAlignment w:val="auto"/>
        <w:rPr>
          <w:rFonts w:cs="黑体"/>
          <w:highlight w:val="none"/>
        </w:rPr>
      </w:pPr>
      <w:r>
        <w:rPr>
          <w:rFonts w:hint="eastAsia" w:hAnsi="宋体" w:cs="宋体"/>
          <w:highlight w:val="none"/>
        </w:rPr>
        <w:t>表</w:t>
      </w:r>
      <w:r>
        <w:rPr>
          <w:rFonts w:hAnsi="宋体" w:cs="宋体"/>
          <w:highlight w:val="none"/>
        </w:rPr>
        <w:t xml:space="preserve">A.1  </w:t>
      </w:r>
      <w:r>
        <w:rPr>
          <w:rFonts w:hint="eastAsia" w:cs="黑体"/>
          <w:highlight w:val="none"/>
        </w:rPr>
        <w:t>本文件牌号与其他文件近似牌号对照</w:t>
      </w:r>
    </w:p>
    <w:tbl>
      <w:tblPr>
        <w:tblStyle w:val="7"/>
        <w:tblW w:w="35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6"/>
        <w:gridCol w:w="6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blHeader/>
          <w:jc w:val="center"/>
        </w:trPr>
        <w:tc>
          <w:tcPr>
            <w:tcW w:w="2213" w:type="pct"/>
            <w:vAlign w:val="center"/>
          </w:tcPr>
          <w:p>
            <w:pPr>
              <w:jc w:val="center"/>
              <w:rPr>
                <w:rFonts w:ascii="宋体"/>
                <w:sz w:val="18"/>
                <w:highlight w:val="none"/>
              </w:rPr>
            </w:pPr>
            <w:r>
              <w:rPr>
                <w:rFonts w:hint="eastAsia" w:ascii="宋体" w:hAnsi="宋体" w:cs="宋体"/>
                <w:sz w:val="18"/>
                <w:szCs w:val="18"/>
                <w:highlight w:val="none"/>
              </w:rPr>
              <w:t>本文件牌号</w:t>
            </w:r>
          </w:p>
        </w:tc>
        <w:tc>
          <w:tcPr>
            <w:tcW w:w="2787" w:type="pct"/>
            <w:vAlign w:val="center"/>
          </w:tcPr>
          <w:p>
            <w:pPr>
              <w:jc w:val="center"/>
              <w:rPr>
                <w:rFonts w:ascii="宋体"/>
                <w:sz w:val="18"/>
                <w:highlight w:val="none"/>
              </w:rPr>
            </w:pPr>
            <w:r>
              <w:rPr>
                <w:rFonts w:hint="eastAsia" w:ascii="宋体"/>
                <w:sz w:val="18"/>
                <w:highlight w:val="none"/>
              </w:rPr>
              <w:t>日本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213" w:type="pct"/>
            <w:vAlign w:val="center"/>
          </w:tcPr>
          <w:p>
            <w:pPr>
              <w:spacing w:line="240" w:lineRule="exact"/>
              <w:jc w:val="center"/>
              <w:rPr>
                <w:rFonts w:ascii="宋体" w:cs="宋体"/>
                <w:sz w:val="18"/>
                <w:szCs w:val="18"/>
                <w:highlight w:val="none"/>
              </w:rPr>
            </w:pPr>
            <w:r>
              <w:rPr>
                <w:rFonts w:ascii="宋体"/>
                <w:sz w:val="18"/>
                <w:highlight w:val="none"/>
              </w:rPr>
              <w:t>008Cr17Ni15Mo3-A</w:t>
            </w:r>
          </w:p>
        </w:tc>
        <w:tc>
          <w:tcPr>
            <w:tcW w:w="2787" w:type="pct"/>
            <w:vAlign w:val="center"/>
          </w:tcPr>
          <w:p>
            <w:pPr>
              <w:spacing w:line="240" w:lineRule="exact"/>
              <w:jc w:val="center"/>
              <w:rPr>
                <w:rFonts w:ascii="宋体" w:cs="宋体"/>
                <w:sz w:val="18"/>
                <w:szCs w:val="18"/>
                <w:highlight w:val="none"/>
              </w:rPr>
            </w:pPr>
            <w:r>
              <w:rPr>
                <w:rFonts w:ascii="宋体" w:cs="宋体"/>
                <w:sz w:val="18"/>
                <w:szCs w:val="18"/>
                <w:highlight w:val="none"/>
              </w:rPr>
              <w:t>SUS316L-A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213" w:type="pct"/>
            <w:vAlign w:val="center"/>
          </w:tcPr>
          <w:p>
            <w:pPr>
              <w:spacing w:line="240" w:lineRule="exact"/>
              <w:jc w:val="center"/>
              <w:rPr>
                <w:rFonts w:ascii="宋体"/>
                <w:sz w:val="18"/>
                <w:highlight w:val="none"/>
              </w:rPr>
            </w:pPr>
            <w:r>
              <w:rPr>
                <w:rFonts w:ascii="宋体"/>
                <w:sz w:val="18"/>
                <w:highlight w:val="none"/>
              </w:rPr>
              <w:t>008Cr17Ni15Mo3-B</w:t>
            </w:r>
          </w:p>
        </w:tc>
        <w:tc>
          <w:tcPr>
            <w:tcW w:w="2787" w:type="pct"/>
            <w:vAlign w:val="center"/>
          </w:tcPr>
          <w:p>
            <w:pPr>
              <w:spacing w:line="240" w:lineRule="exact"/>
              <w:jc w:val="center"/>
              <w:rPr>
                <w:rFonts w:ascii="宋体" w:cs="宋体"/>
                <w:sz w:val="18"/>
                <w:szCs w:val="18"/>
                <w:highlight w:val="none"/>
              </w:rPr>
            </w:pPr>
            <w:r>
              <w:rPr>
                <w:rFonts w:ascii="宋体" w:cs="宋体"/>
                <w:sz w:val="18"/>
                <w:szCs w:val="18"/>
                <w:highlight w:val="none"/>
              </w:rPr>
              <w:t>SUS316L-B</w:t>
            </w:r>
          </w:p>
        </w:tc>
      </w:tr>
    </w:tbl>
    <w:p>
      <w:pPr>
        <w:pStyle w:val="57"/>
        <w:tabs>
          <w:tab w:val="clear" w:pos="525"/>
        </w:tabs>
        <w:ind w:left="0" w:firstLine="0"/>
        <w:jc w:val="both"/>
        <w:rPr>
          <w:color w:val="auto"/>
          <w:highlight w:val="none"/>
        </w:rPr>
      </w:pPr>
    </w:p>
    <w:p>
      <w:pPr>
        <w:pStyle w:val="49"/>
        <w:widowControl w:val="0"/>
        <w:numPr>
          <w:ilvl w:val="0"/>
          <w:numId w:val="0"/>
        </w:numPr>
        <w:spacing w:beforeLines="50" w:afterLines="50"/>
        <w:textAlignment w:val="auto"/>
        <w:rPr>
          <w:rFonts w:hAnsi="宋体" w:cs="宋体"/>
          <w:highlight w:val="none"/>
        </w:rPr>
      </w:pPr>
    </w:p>
    <w:p>
      <w:pPr>
        <w:widowControl/>
        <w:jc w:val="left"/>
        <w:rPr>
          <w:highlight w:val="none"/>
        </w:rPr>
      </w:pPr>
    </w:p>
    <w:p>
      <w:pPr>
        <w:widowControl/>
        <w:jc w:val="left"/>
        <w:rPr>
          <w:highlight w:val="none"/>
        </w:rPr>
      </w:pPr>
      <w:r>
        <w:rPr>
          <w:highlight w:val="none"/>
        </w:rPr>
        <w:pict>
          <v:shape id="_x0000_s1027" o:spid="_x0000_s1027" o:spt="32" type="#_x0000_t32" style="position:absolute;left:0pt;margin-left:165pt;margin-top:6.75pt;height:0pt;width:151.5pt;z-index:251660288;mso-width-relative:page;mso-height-relative:page;" filled="f" coordsize="21600,21600">
            <v:path arrowok="t"/>
            <v:fill on="f" focussize="0,0"/>
            <v:stroke/>
            <v:imagedata o:title=""/>
            <o:lock v:ext="edit"/>
          </v:shape>
        </w:pict>
      </w:r>
    </w:p>
    <w:sectPr>
      <w:pgSz w:w="16838" w:h="11906" w:orient="landscape"/>
      <w:pgMar w:top="1134" w:right="1134" w:bottom="1418" w:left="567" w:header="1418" w:footer="1134" w:gutter="0"/>
      <w:pgNumType w:start="1"/>
      <w:cols w:space="720" w:num="1"/>
      <w:formProt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I</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before="120" w:after="120"/>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36224E"/>
    <w:multiLevelType w:val="multilevel"/>
    <w:tmpl w:val="CC36224E"/>
    <w:lvl w:ilvl="0" w:tentative="0">
      <w:start w:val="1"/>
      <w:numFmt w:val="decimal"/>
      <w:suff w:val="nothing"/>
      <w:lvlText w:val="%1　"/>
      <w:lvlJc w:val="left"/>
      <w:rPr>
        <w:rFonts w:hint="eastAsia" w:ascii="黑体" w:hAnsi="Times New Roman" w:eastAsia="黑体" w:cs="Times New Roman"/>
        <w:b w:val="0"/>
        <w:i w:val="0"/>
        <w:sz w:val="21"/>
        <w:szCs w:val="21"/>
      </w:rPr>
    </w:lvl>
    <w:lvl w:ilvl="1" w:tentative="0">
      <w:start w:val="1"/>
      <w:numFmt w:val="decimal"/>
      <w:suff w:val="nothing"/>
      <w:lvlText w:val="%1.%2　"/>
      <w:lvlJc w:val="left"/>
      <w:pPr>
        <w:tabs>
          <w:tab w:val="left" w:pos="2340"/>
        </w:tabs>
      </w:pPr>
      <w:rPr>
        <w:rFonts w:hint="default"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rPr>
        <w:rFonts w:hint="default" w:ascii="宋体" w:hAnsi="宋体" w:eastAsia="宋体" w:cs="宋体"/>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
    <w:nsid w:val="EBCC8ABA"/>
    <w:multiLevelType w:val="multilevel"/>
    <w:tmpl w:val="EBCC8ABA"/>
    <w:lvl w:ilvl="0" w:tentative="0">
      <w:start w:val="1"/>
      <w:numFmt w:val="lowerLetter"/>
      <w:pStyle w:val="43"/>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2">
    <w:nsid w:val="14943371"/>
    <w:multiLevelType w:val="multilevel"/>
    <w:tmpl w:val="14943371"/>
    <w:lvl w:ilvl="0" w:tentative="0">
      <w:start w:val="1"/>
      <w:numFmt w:val="lowerLetter"/>
      <w:lvlText w:val="%1)"/>
      <w:lvlJc w:val="left"/>
      <w:pPr>
        <w:tabs>
          <w:tab w:val="left" w:pos="839"/>
        </w:tabs>
        <w:ind w:left="839" w:hanging="419"/>
      </w:pPr>
      <w:rPr>
        <w:rFonts w:hint="eastAsia" w:ascii="宋体" w:hAnsi="宋体" w:eastAsia="宋体" w:cs="Times New Roman"/>
        <w:b w:val="0"/>
        <w:bCs w:val="0"/>
        <w:i w:val="0"/>
        <w:iCs w:val="0"/>
        <w:sz w:val="21"/>
        <w:szCs w:val="21"/>
      </w:rPr>
    </w:lvl>
    <w:lvl w:ilvl="1" w:tentative="0">
      <w:start w:val="1"/>
      <w:numFmt w:val="decimal"/>
      <w:lvlText w:val="%2)"/>
      <w:lvlJc w:val="left"/>
      <w:pPr>
        <w:tabs>
          <w:tab w:val="left" w:pos="1259"/>
        </w:tabs>
        <w:ind w:left="1259" w:hanging="420"/>
      </w:pPr>
      <w:rPr>
        <w:rFonts w:hint="eastAsia" w:ascii="宋体" w:hAnsi="宋体" w:eastAsia="宋体" w:cs="Times New Roman"/>
        <w:b w:val="0"/>
        <w:bCs w:val="0"/>
        <w:i w:val="0"/>
        <w:iCs w:val="0"/>
        <w:sz w:val="20"/>
        <w:szCs w:val="20"/>
      </w:rPr>
    </w:lvl>
    <w:lvl w:ilvl="2" w:tentative="0">
      <w:start w:val="1"/>
      <w:numFmt w:val="decimal"/>
      <w:lvlText w:val="(%3)"/>
      <w:lvlJc w:val="left"/>
      <w:pPr>
        <w:tabs>
          <w:tab w:val="left" w:pos="0"/>
        </w:tabs>
        <w:ind w:left="1678" w:hanging="419"/>
      </w:pPr>
      <w:rPr>
        <w:rFonts w:hint="eastAsia" w:ascii="宋体" w:hAnsi="宋体" w:eastAsia="宋体" w:cs="Times New Roman"/>
        <w:b w:val="0"/>
        <w:bCs w:val="0"/>
        <w:i w:val="0"/>
        <w:iCs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3">
    <w:nsid w:val="445C55A9"/>
    <w:multiLevelType w:val="singleLevel"/>
    <w:tmpl w:val="445C55A9"/>
    <w:lvl w:ilvl="0" w:tentative="0">
      <w:start w:val="1"/>
      <w:numFmt w:val="decimal"/>
      <w:suff w:val="nothing"/>
      <w:lvlText w:val="%1）"/>
      <w:lvlJc w:val="left"/>
      <w:rPr>
        <w:rFonts w:cs="Times New Roman"/>
      </w:rPr>
    </w:lvl>
  </w:abstractNum>
  <w:abstractNum w:abstractNumId="4">
    <w:nsid w:val="46806F7D"/>
    <w:multiLevelType w:val="multilevel"/>
    <w:tmpl w:val="46806F7D"/>
    <w:lvl w:ilvl="0" w:tentative="0">
      <w:start w:val="1"/>
      <w:numFmt w:val="none"/>
      <w:pStyle w:val="54"/>
      <w:lvlText w:val="图"/>
      <w:lvlJc w:val="left"/>
      <w:pPr>
        <w:tabs>
          <w:tab w:val="left" w:pos="360"/>
        </w:tabs>
      </w:pPr>
      <w:rPr>
        <w:rFonts w:hint="eastAsia" w:ascii="黑体" w:eastAsia="黑体" w:cs="Times New Roman"/>
        <w:b w:val="0"/>
        <w:i w:val="0"/>
        <w:sz w:val="21"/>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4F302902"/>
    <w:multiLevelType w:val="multilevel"/>
    <w:tmpl w:val="4F302902"/>
    <w:lvl w:ilvl="0" w:tentative="0">
      <w:start w:val="1"/>
      <w:numFmt w:val="none"/>
      <w:pStyle w:val="49"/>
      <w:lvlText w:val="表"/>
      <w:lvlJc w:val="left"/>
      <w:pPr>
        <w:tabs>
          <w:tab w:val="left" w:pos="360"/>
        </w:tabs>
      </w:pPr>
      <w:rPr>
        <w:rFonts w:hint="eastAsia" w:ascii="黑体" w:eastAsia="黑体" w:cs="Times New Roman"/>
        <w:b w:val="0"/>
        <w:i w:val="0"/>
        <w:sz w:val="21"/>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4FFD60E7"/>
    <w:multiLevelType w:val="multilevel"/>
    <w:tmpl w:val="4FFD60E7"/>
    <w:lvl w:ilvl="0" w:tentative="0">
      <w:start w:val="1"/>
      <w:numFmt w:val="decimal"/>
      <w:lvlText w:val="%1."/>
      <w:lvlJc w:val="left"/>
      <w:pPr>
        <w:tabs>
          <w:tab w:val="left" w:pos="720"/>
        </w:tabs>
        <w:ind w:left="720" w:hanging="720"/>
      </w:pPr>
      <w:rPr>
        <w:rFonts w:cs="Times New Roman"/>
      </w:rPr>
    </w:lvl>
    <w:lvl w:ilvl="1" w:tentative="0">
      <w:start w:val="1"/>
      <w:numFmt w:val="decimal"/>
      <w:lvlText w:val="%2."/>
      <w:lvlJc w:val="left"/>
      <w:pPr>
        <w:tabs>
          <w:tab w:val="left" w:pos="1440"/>
        </w:tabs>
        <w:ind w:left="1440" w:hanging="720"/>
      </w:pPr>
      <w:rPr>
        <w:rFonts w:cs="Times New Roman"/>
      </w:rPr>
    </w:lvl>
    <w:lvl w:ilvl="2" w:tentative="0">
      <w:start w:val="1"/>
      <w:numFmt w:val="decimal"/>
      <w:lvlText w:val="%3."/>
      <w:lvlJc w:val="left"/>
      <w:pPr>
        <w:tabs>
          <w:tab w:val="left" w:pos="2160"/>
        </w:tabs>
        <w:ind w:left="2160" w:hanging="720"/>
      </w:pPr>
      <w:rPr>
        <w:rFonts w:cs="Times New Roman"/>
      </w:rPr>
    </w:lvl>
    <w:lvl w:ilvl="3" w:tentative="0">
      <w:start w:val="1"/>
      <w:numFmt w:val="decimal"/>
      <w:lvlText w:val="%4."/>
      <w:lvlJc w:val="left"/>
      <w:pPr>
        <w:tabs>
          <w:tab w:val="left" w:pos="2880"/>
        </w:tabs>
        <w:ind w:left="2880" w:hanging="720"/>
      </w:pPr>
      <w:rPr>
        <w:rFonts w:cs="Times New Roman"/>
      </w:rPr>
    </w:lvl>
    <w:lvl w:ilvl="4" w:tentative="0">
      <w:start w:val="1"/>
      <w:numFmt w:val="decimal"/>
      <w:lvlText w:val="%5."/>
      <w:lvlJc w:val="left"/>
      <w:pPr>
        <w:tabs>
          <w:tab w:val="left" w:pos="3600"/>
        </w:tabs>
        <w:ind w:left="3600" w:hanging="720"/>
      </w:pPr>
      <w:rPr>
        <w:rFonts w:cs="Times New Roman"/>
      </w:rPr>
    </w:lvl>
    <w:lvl w:ilvl="5" w:tentative="0">
      <w:start w:val="1"/>
      <w:numFmt w:val="decimal"/>
      <w:lvlText w:val="%6."/>
      <w:lvlJc w:val="left"/>
      <w:pPr>
        <w:tabs>
          <w:tab w:val="left" w:pos="4320"/>
        </w:tabs>
        <w:ind w:left="4320" w:hanging="720"/>
      </w:pPr>
      <w:rPr>
        <w:rFonts w:cs="Times New Roman"/>
      </w:rPr>
    </w:lvl>
    <w:lvl w:ilvl="6" w:tentative="0">
      <w:start w:val="1"/>
      <w:numFmt w:val="decimal"/>
      <w:lvlText w:val="%7."/>
      <w:lvlJc w:val="left"/>
      <w:pPr>
        <w:tabs>
          <w:tab w:val="left" w:pos="5040"/>
        </w:tabs>
        <w:ind w:left="5040" w:hanging="720"/>
      </w:pPr>
      <w:rPr>
        <w:rFonts w:cs="Times New Roman"/>
      </w:rPr>
    </w:lvl>
    <w:lvl w:ilvl="7" w:tentative="0">
      <w:start w:val="1"/>
      <w:numFmt w:val="decimal"/>
      <w:lvlText w:val="%8."/>
      <w:lvlJc w:val="left"/>
      <w:pPr>
        <w:tabs>
          <w:tab w:val="left" w:pos="5760"/>
        </w:tabs>
        <w:ind w:left="5760" w:hanging="720"/>
      </w:pPr>
      <w:rPr>
        <w:rFonts w:cs="Times New Roman"/>
      </w:rPr>
    </w:lvl>
    <w:lvl w:ilvl="8" w:tentative="0">
      <w:start w:val="1"/>
      <w:numFmt w:val="decimal"/>
      <w:lvlText w:val="%9."/>
      <w:lvlJc w:val="left"/>
      <w:pPr>
        <w:tabs>
          <w:tab w:val="left" w:pos="6480"/>
        </w:tabs>
        <w:ind w:left="6480" w:hanging="720"/>
      </w:pPr>
      <w:rPr>
        <w:rFonts w:cs="Times New Roman"/>
      </w:rPr>
    </w:lvl>
  </w:abstractNum>
  <w:abstractNum w:abstractNumId="7">
    <w:nsid w:val="646260FA"/>
    <w:multiLevelType w:val="multilevel"/>
    <w:tmpl w:val="646260FA"/>
    <w:lvl w:ilvl="0" w:tentative="0">
      <w:start w:val="1"/>
      <w:numFmt w:val="decimal"/>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7229"/>
        </w:tabs>
        <w:ind w:left="7229" w:hanging="567"/>
      </w:pPr>
      <w:rPr>
        <w:rFonts w:hint="eastAsia" w:cs="Times New Roman"/>
      </w:rPr>
    </w:lvl>
    <w:lvl w:ilvl="2" w:tentative="0">
      <w:start w:val="1"/>
      <w:numFmt w:val="decimal"/>
      <w:lvlText w:val="%1.%2.%3"/>
      <w:lvlJc w:val="left"/>
      <w:pPr>
        <w:tabs>
          <w:tab w:val="left" w:pos="7655"/>
        </w:tabs>
        <w:ind w:left="7655" w:hanging="567"/>
      </w:pPr>
      <w:rPr>
        <w:rFonts w:hint="eastAsia" w:cs="Times New Roman"/>
      </w:rPr>
    </w:lvl>
    <w:lvl w:ilvl="3" w:tentative="0">
      <w:start w:val="1"/>
      <w:numFmt w:val="decimal"/>
      <w:lvlText w:val="%1.%2.%3.%4"/>
      <w:lvlJc w:val="left"/>
      <w:pPr>
        <w:tabs>
          <w:tab w:val="left" w:pos="8221"/>
        </w:tabs>
        <w:ind w:left="8221" w:hanging="708"/>
      </w:pPr>
      <w:rPr>
        <w:rFonts w:hint="eastAsia" w:cs="Times New Roman"/>
      </w:rPr>
    </w:lvl>
    <w:lvl w:ilvl="4" w:tentative="0">
      <w:start w:val="1"/>
      <w:numFmt w:val="decimal"/>
      <w:lvlText w:val="%1.%2.%3.%4.%5"/>
      <w:lvlJc w:val="left"/>
      <w:pPr>
        <w:tabs>
          <w:tab w:val="left" w:pos="8788"/>
        </w:tabs>
        <w:ind w:left="8788" w:hanging="850"/>
      </w:pPr>
      <w:rPr>
        <w:rFonts w:hint="eastAsia" w:cs="Times New Roman"/>
      </w:rPr>
    </w:lvl>
    <w:lvl w:ilvl="5" w:tentative="0">
      <w:start w:val="1"/>
      <w:numFmt w:val="decimal"/>
      <w:lvlText w:val="%1.%2.%3.%4.%5.%6"/>
      <w:lvlJc w:val="left"/>
      <w:pPr>
        <w:tabs>
          <w:tab w:val="left" w:pos="9497"/>
        </w:tabs>
        <w:ind w:left="9497" w:hanging="1134"/>
      </w:pPr>
      <w:rPr>
        <w:rFonts w:hint="eastAsia" w:cs="Times New Roman"/>
      </w:rPr>
    </w:lvl>
    <w:lvl w:ilvl="6" w:tentative="0">
      <w:start w:val="1"/>
      <w:numFmt w:val="decimal"/>
      <w:lvlText w:val="%1.%2.%3.%4.%5.%6.%7"/>
      <w:lvlJc w:val="left"/>
      <w:pPr>
        <w:tabs>
          <w:tab w:val="left" w:pos="10064"/>
        </w:tabs>
        <w:ind w:left="10064" w:hanging="1276"/>
      </w:pPr>
      <w:rPr>
        <w:rFonts w:hint="eastAsia" w:cs="Times New Roman"/>
      </w:rPr>
    </w:lvl>
    <w:lvl w:ilvl="7" w:tentative="0">
      <w:start w:val="1"/>
      <w:numFmt w:val="decimal"/>
      <w:lvlText w:val="%1.%2.%3.%4.%5.%6.%7.%8"/>
      <w:lvlJc w:val="left"/>
      <w:pPr>
        <w:tabs>
          <w:tab w:val="left" w:pos="10631"/>
        </w:tabs>
        <w:ind w:left="10631" w:hanging="1418"/>
      </w:pPr>
      <w:rPr>
        <w:rFonts w:hint="eastAsia" w:cs="Times New Roman"/>
      </w:rPr>
    </w:lvl>
    <w:lvl w:ilvl="8" w:tentative="0">
      <w:start w:val="1"/>
      <w:numFmt w:val="decimal"/>
      <w:lvlText w:val="%1.%2.%3.%4.%5.%6.%7.%8.%9"/>
      <w:lvlJc w:val="left"/>
      <w:pPr>
        <w:tabs>
          <w:tab w:val="left" w:pos="11339"/>
        </w:tabs>
        <w:ind w:left="11339" w:hanging="1700"/>
      </w:pPr>
      <w:rPr>
        <w:rFonts w:hint="eastAsia" w:cs="Times New Roman"/>
      </w:rPr>
    </w:lvl>
  </w:abstractNum>
  <w:abstractNum w:abstractNumId="8">
    <w:nsid w:val="657D3FBC"/>
    <w:multiLevelType w:val="multilevel"/>
    <w:tmpl w:val="657D3FBC"/>
    <w:lvl w:ilvl="0" w:tentative="0">
      <w:start w:val="1"/>
      <w:numFmt w:val="upperLetter"/>
      <w:suff w:val="nothing"/>
      <w:lvlText w:val="附　录　%1"/>
      <w:lvlJc w:val="left"/>
      <w:rPr>
        <w:rFonts w:hint="eastAsia" w:ascii="黑体" w:hAnsi="Times New Roman" w:eastAsia="黑体" w:cs="Times New Roman"/>
        <w:b w:val="0"/>
        <w:i w:val="0"/>
        <w:sz w:val="21"/>
      </w:rPr>
    </w:lvl>
    <w:lvl w:ilvl="1" w:tentative="0">
      <w:start w:val="1"/>
      <w:numFmt w:val="decimal"/>
      <w:pStyle w:val="50"/>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51"/>
      <w:suff w:val="nothing"/>
      <w:lvlText w:val="%1.%2.%3　"/>
      <w:lvlJc w:val="left"/>
      <w:rPr>
        <w:rFonts w:hint="eastAsia" w:ascii="黑体" w:hAnsi="Times New Roman" w:eastAsia="黑体" w:cs="Times New Roman"/>
        <w:b w:val="0"/>
        <w:i w:val="0"/>
        <w:sz w:val="21"/>
      </w:rPr>
    </w:lvl>
    <w:lvl w:ilvl="3" w:tentative="0">
      <w:start w:val="1"/>
      <w:numFmt w:val="decimal"/>
      <w:pStyle w:val="52"/>
      <w:suff w:val="nothing"/>
      <w:lvlText w:val="%1.%2.%3.%4　"/>
      <w:lvlJc w:val="left"/>
      <w:rPr>
        <w:rFonts w:hint="eastAsia" w:ascii="黑体" w:hAnsi="Times New Roman" w:eastAsia="黑体" w:cs="Times New Roman"/>
        <w:b w:val="0"/>
        <w:i w:val="0"/>
        <w:sz w:val="21"/>
      </w:rPr>
    </w:lvl>
    <w:lvl w:ilvl="4" w:tentative="0">
      <w:start w:val="1"/>
      <w:numFmt w:val="decimal"/>
      <w:pStyle w:val="53"/>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9">
    <w:nsid w:val="7F0B1D89"/>
    <w:multiLevelType w:val="multilevel"/>
    <w:tmpl w:val="7F0B1D89"/>
    <w:lvl w:ilvl="0" w:tentative="0">
      <w:start w:val="1"/>
      <w:numFmt w:val="lowerLetter"/>
      <w:pStyle w:val="56"/>
      <w:lvlText w:val="%1)"/>
      <w:lvlJc w:val="left"/>
      <w:pPr>
        <w:tabs>
          <w:tab w:val="left" w:pos="780"/>
        </w:tabs>
        <w:ind w:left="78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6"/>
  </w:num>
  <w:num w:numId="2">
    <w:abstractNumId w:val="1"/>
  </w:num>
  <w:num w:numId="3">
    <w:abstractNumId w:val="5"/>
  </w:num>
  <w:num w:numId="4">
    <w:abstractNumId w:val="8"/>
  </w:num>
  <w:num w:numId="5">
    <w:abstractNumId w:val="4"/>
  </w:num>
  <w:num w:numId="6">
    <w:abstractNumId w:val="9"/>
  </w:num>
  <w:num w:numId="7">
    <w:abstractNumId w:val="0"/>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lkM2VmYjQwZGQ2YWRkZTg4NjhiMDRlODRiYWM4ZjAifQ=="/>
  </w:docVars>
  <w:rsids>
    <w:rsidRoot w:val="00B11EAB"/>
    <w:rsid w:val="000000BA"/>
    <w:rsid w:val="000002F3"/>
    <w:rsid w:val="000004A8"/>
    <w:rsid w:val="00000693"/>
    <w:rsid w:val="00000ED7"/>
    <w:rsid w:val="00001628"/>
    <w:rsid w:val="0000206B"/>
    <w:rsid w:val="000027D5"/>
    <w:rsid w:val="00002AE5"/>
    <w:rsid w:val="000036AB"/>
    <w:rsid w:val="00004402"/>
    <w:rsid w:val="000063FF"/>
    <w:rsid w:val="00006521"/>
    <w:rsid w:val="000067D7"/>
    <w:rsid w:val="0001172F"/>
    <w:rsid w:val="0001458D"/>
    <w:rsid w:val="000155E7"/>
    <w:rsid w:val="00015689"/>
    <w:rsid w:val="00015FAE"/>
    <w:rsid w:val="00016EA4"/>
    <w:rsid w:val="00017C16"/>
    <w:rsid w:val="00017E56"/>
    <w:rsid w:val="000200C4"/>
    <w:rsid w:val="000214C6"/>
    <w:rsid w:val="00022972"/>
    <w:rsid w:val="00022D9B"/>
    <w:rsid w:val="0002443D"/>
    <w:rsid w:val="00026B98"/>
    <w:rsid w:val="0002763E"/>
    <w:rsid w:val="0002792D"/>
    <w:rsid w:val="00030785"/>
    <w:rsid w:val="00031319"/>
    <w:rsid w:val="0003166E"/>
    <w:rsid w:val="0003257D"/>
    <w:rsid w:val="00032EE6"/>
    <w:rsid w:val="00033E78"/>
    <w:rsid w:val="000340BE"/>
    <w:rsid w:val="0003460C"/>
    <w:rsid w:val="00036757"/>
    <w:rsid w:val="00037D50"/>
    <w:rsid w:val="00040112"/>
    <w:rsid w:val="00041DCA"/>
    <w:rsid w:val="00041FC3"/>
    <w:rsid w:val="0004346D"/>
    <w:rsid w:val="00044575"/>
    <w:rsid w:val="000457E1"/>
    <w:rsid w:val="00045EE1"/>
    <w:rsid w:val="000465AD"/>
    <w:rsid w:val="00046737"/>
    <w:rsid w:val="0004755E"/>
    <w:rsid w:val="00050C65"/>
    <w:rsid w:val="00050CB1"/>
    <w:rsid w:val="000529A5"/>
    <w:rsid w:val="000535E8"/>
    <w:rsid w:val="000549A3"/>
    <w:rsid w:val="00054E4A"/>
    <w:rsid w:val="000563F8"/>
    <w:rsid w:val="00056914"/>
    <w:rsid w:val="0006047B"/>
    <w:rsid w:val="00060630"/>
    <w:rsid w:val="00061652"/>
    <w:rsid w:val="00063C2C"/>
    <w:rsid w:val="00064376"/>
    <w:rsid w:val="0006471A"/>
    <w:rsid w:val="000653AC"/>
    <w:rsid w:val="000659C5"/>
    <w:rsid w:val="00066F92"/>
    <w:rsid w:val="00067E86"/>
    <w:rsid w:val="00067F5E"/>
    <w:rsid w:val="00070D77"/>
    <w:rsid w:val="0007256D"/>
    <w:rsid w:val="00072F1F"/>
    <w:rsid w:val="00072FF3"/>
    <w:rsid w:val="000739F4"/>
    <w:rsid w:val="000742BF"/>
    <w:rsid w:val="00074C62"/>
    <w:rsid w:val="000758B0"/>
    <w:rsid w:val="00075ABE"/>
    <w:rsid w:val="00075D6D"/>
    <w:rsid w:val="000766F5"/>
    <w:rsid w:val="00080929"/>
    <w:rsid w:val="00080A64"/>
    <w:rsid w:val="00081C6D"/>
    <w:rsid w:val="00081DDE"/>
    <w:rsid w:val="00081E94"/>
    <w:rsid w:val="0008203E"/>
    <w:rsid w:val="00082E2C"/>
    <w:rsid w:val="00083FAD"/>
    <w:rsid w:val="00085968"/>
    <w:rsid w:val="0009157D"/>
    <w:rsid w:val="00092B89"/>
    <w:rsid w:val="00092C6B"/>
    <w:rsid w:val="000942E6"/>
    <w:rsid w:val="00094395"/>
    <w:rsid w:val="00094730"/>
    <w:rsid w:val="00097B8D"/>
    <w:rsid w:val="000A07D8"/>
    <w:rsid w:val="000A1CD2"/>
    <w:rsid w:val="000A2551"/>
    <w:rsid w:val="000A6388"/>
    <w:rsid w:val="000A6DC3"/>
    <w:rsid w:val="000A73EC"/>
    <w:rsid w:val="000A7A04"/>
    <w:rsid w:val="000B02D4"/>
    <w:rsid w:val="000B150D"/>
    <w:rsid w:val="000B1DF7"/>
    <w:rsid w:val="000B1E7B"/>
    <w:rsid w:val="000B21CF"/>
    <w:rsid w:val="000B31D3"/>
    <w:rsid w:val="000B49E8"/>
    <w:rsid w:val="000B582F"/>
    <w:rsid w:val="000B584D"/>
    <w:rsid w:val="000B5D2E"/>
    <w:rsid w:val="000B7906"/>
    <w:rsid w:val="000C25F0"/>
    <w:rsid w:val="000C3099"/>
    <w:rsid w:val="000C413D"/>
    <w:rsid w:val="000C45E8"/>
    <w:rsid w:val="000C577C"/>
    <w:rsid w:val="000C7178"/>
    <w:rsid w:val="000D089C"/>
    <w:rsid w:val="000D14D7"/>
    <w:rsid w:val="000D36D3"/>
    <w:rsid w:val="000D3756"/>
    <w:rsid w:val="000D5E51"/>
    <w:rsid w:val="000D7487"/>
    <w:rsid w:val="000D7669"/>
    <w:rsid w:val="000E0105"/>
    <w:rsid w:val="000E0AB4"/>
    <w:rsid w:val="000E10D3"/>
    <w:rsid w:val="000E1BFA"/>
    <w:rsid w:val="000E2247"/>
    <w:rsid w:val="000E294F"/>
    <w:rsid w:val="000E39A2"/>
    <w:rsid w:val="000E3D91"/>
    <w:rsid w:val="000E5146"/>
    <w:rsid w:val="000E5C51"/>
    <w:rsid w:val="000E60A2"/>
    <w:rsid w:val="000E6E36"/>
    <w:rsid w:val="000F050E"/>
    <w:rsid w:val="000F1275"/>
    <w:rsid w:val="000F1683"/>
    <w:rsid w:val="000F2A4A"/>
    <w:rsid w:val="000F3A7B"/>
    <w:rsid w:val="000F4DBC"/>
    <w:rsid w:val="000F6BD0"/>
    <w:rsid w:val="000F7224"/>
    <w:rsid w:val="000F75A8"/>
    <w:rsid w:val="0010085E"/>
    <w:rsid w:val="001011ED"/>
    <w:rsid w:val="00101AFA"/>
    <w:rsid w:val="00103100"/>
    <w:rsid w:val="00103A0F"/>
    <w:rsid w:val="00105554"/>
    <w:rsid w:val="001064C4"/>
    <w:rsid w:val="00106B32"/>
    <w:rsid w:val="00106BF0"/>
    <w:rsid w:val="00107F7F"/>
    <w:rsid w:val="00110401"/>
    <w:rsid w:val="00110460"/>
    <w:rsid w:val="001110E9"/>
    <w:rsid w:val="0011533A"/>
    <w:rsid w:val="001209B0"/>
    <w:rsid w:val="001210EF"/>
    <w:rsid w:val="00121491"/>
    <w:rsid w:val="00121513"/>
    <w:rsid w:val="00123DFC"/>
    <w:rsid w:val="00124903"/>
    <w:rsid w:val="001251EB"/>
    <w:rsid w:val="00125D4A"/>
    <w:rsid w:val="001260B0"/>
    <w:rsid w:val="00126888"/>
    <w:rsid w:val="00130056"/>
    <w:rsid w:val="001301BF"/>
    <w:rsid w:val="00130516"/>
    <w:rsid w:val="00130FF8"/>
    <w:rsid w:val="00131AE4"/>
    <w:rsid w:val="001329A5"/>
    <w:rsid w:val="00133089"/>
    <w:rsid w:val="00133A27"/>
    <w:rsid w:val="00133F97"/>
    <w:rsid w:val="00135964"/>
    <w:rsid w:val="00141FE3"/>
    <w:rsid w:val="00142EDB"/>
    <w:rsid w:val="001431A6"/>
    <w:rsid w:val="00143D4F"/>
    <w:rsid w:val="001440DA"/>
    <w:rsid w:val="00144B3D"/>
    <w:rsid w:val="00144C72"/>
    <w:rsid w:val="00145966"/>
    <w:rsid w:val="00147946"/>
    <w:rsid w:val="00147FCC"/>
    <w:rsid w:val="001515FA"/>
    <w:rsid w:val="001519BC"/>
    <w:rsid w:val="00154C73"/>
    <w:rsid w:val="0015501C"/>
    <w:rsid w:val="0015518E"/>
    <w:rsid w:val="0015552F"/>
    <w:rsid w:val="00155C47"/>
    <w:rsid w:val="00155EE5"/>
    <w:rsid w:val="00156F53"/>
    <w:rsid w:val="00161956"/>
    <w:rsid w:val="00162B0B"/>
    <w:rsid w:val="00163694"/>
    <w:rsid w:val="0016374F"/>
    <w:rsid w:val="001646B5"/>
    <w:rsid w:val="001652E8"/>
    <w:rsid w:val="00165BF9"/>
    <w:rsid w:val="00165C48"/>
    <w:rsid w:val="00165CDA"/>
    <w:rsid w:val="00167066"/>
    <w:rsid w:val="001677AC"/>
    <w:rsid w:val="00167AB8"/>
    <w:rsid w:val="00167CDE"/>
    <w:rsid w:val="0017104C"/>
    <w:rsid w:val="00172CEA"/>
    <w:rsid w:val="00172EF0"/>
    <w:rsid w:val="001750AF"/>
    <w:rsid w:val="00176B46"/>
    <w:rsid w:val="0017767B"/>
    <w:rsid w:val="00177686"/>
    <w:rsid w:val="00177DE8"/>
    <w:rsid w:val="00180964"/>
    <w:rsid w:val="00182523"/>
    <w:rsid w:val="00182B64"/>
    <w:rsid w:val="00183E61"/>
    <w:rsid w:val="0018553E"/>
    <w:rsid w:val="0018651A"/>
    <w:rsid w:val="0018685F"/>
    <w:rsid w:val="00186B63"/>
    <w:rsid w:val="0018729E"/>
    <w:rsid w:val="00187984"/>
    <w:rsid w:val="00191451"/>
    <w:rsid w:val="0019224C"/>
    <w:rsid w:val="0019300E"/>
    <w:rsid w:val="001937D5"/>
    <w:rsid w:val="00194606"/>
    <w:rsid w:val="0019635F"/>
    <w:rsid w:val="00197284"/>
    <w:rsid w:val="00197689"/>
    <w:rsid w:val="00197C89"/>
    <w:rsid w:val="001A0303"/>
    <w:rsid w:val="001A2318"/>
    <w:rsid w:val="001A3EC2"/>
    <w:rsid w:val="001A4426"/>
    <w:rsid w:val="001A4622"/>
    <w:rsid w:val="001A7F96"/>
    <w:rsid w:val="001B1A00"/>
    <w:rsid w:val="001B205A"/>
    <w:rsid w:val="001B227A"/>
    <w:rsid w:val="001B2397"/>
    <w:rsid w:val="001B2878"/>
    <w:rsid w:val="001B34FB"/>
    <w:rsid w:val="001B3790"/>
    <w:rsid w:val="001B3DDA"/>
    <w:rsid w:val="001B4F2C"/>
    <w:rsid w:val="001B5630"/>
    <w:rsid w:val="001B66B2"/>
    <w:rsid w:val="001B6E3A"/>
    <w:rsid w:val="001B725F"/>
    <w:rsid w:val="001B7273"/>
    <w:rsid w:val="001B79D5"/>
    <w:rsid w:val="001B7CB6"/>
    <w:rsid w:val="001C1EE1"/>
    <w:rsid w:val="001C2495"/>
    <w:rsid w:val="001C2C71"/>
    <w:rsid w:val="001C2F52"/>
    <w:rsid w:val="001C369A"/>
    <w:rsid w:val="001C3CA6"/>
    <w:rsid w:val="001C4EC8"/>
    <w:rsid w:val="001C5EBC"/>
    <w:rsid w:val="001C6459"/>
    <w:rsid w:val="001C7494"/>
    <w:rsid w:val="001C74AC"/>
    <w:rsid w:val="001D0E4D"/>
    <w:rsid w:val="001D0F6C"/>
    <w:rsid w:val="001D1152"/>
    <w:rsid w:val="001D2865"/>
    <w:rsid w:val="001D3557"/>
    <w:rsid w:val="001D38FD"/>
    <w:rsid w:val="001D5B28"/>
    <w:rsid w:val="001D6124"/>
    <w:rsid w:val="001D6791"/>
    <w:rsid w:val="001D6BF4"/>
    <w:rsid w:val="001E0076"/>
    <w:rsid w:val="001E0B20"/>
    <w:rsid w:val="001E1BDE"/>
    <w:rsid w:val="001E24E9"/>
    <w:rsid w:val="001E271E"/>
    <w:rsid w:val="001E2D49"/>
    <w:rsid w:val="001E3114"/>
    <w:rsid w:val="001E3445"/>
    <w:rsid w:val="001E39B1"/>
    <w:rsid w:val="001E3F0A"/>
    <w:rsid w:val="001E5C31"/>
    <w:rsid w:val="001E6E2C"/>
    <w:rsid w:val="001F00D6"/>
    <w:rsid w:val="001F1877"/>
    <w:rsid w:val="001F19E3"/>
    <w:rsid w:val="001F5FA8"/>
    <w:rsid w:val="001F7D1C"/>
    <w:rsid w:val="00204406"/>
    <w:rsid w:val="00204946"/>
    <w:rsid w:val="00205678"/>
    <w:rsid w:val="00206C0E"/>
    <w:rsid w:val="00207A08"/>
    <w:rsid w:val="00211549"/>
    <w:rsid w:val="002121E7"/>
    <w:rsid w:val="00212AEA"/>
    <w:rsid w:val="00213356"/>
    <w:rsid w:val="00214A71"/>
    <w:rsid w:val="00214F97"/>
    <w:rsid w:val="002150EB"/>
    <w:rsid w:val="002164F8"/>
    <w:rsid w:val="00216A8E"/>
    <w:rsid w:val="00216B23"/>
    <w:rsid w:val="0021702F"/>
    <w:rsid w:val="002171B8"/>
    <w:rsid w:val="00220B86"/>
    <w:rsid w:val="00220CA4"/>
    <w:rsid w:val="00220DF0"/>
    <w:rsid w:val="00221E5F"/>
    <w:rsid w:val="00222097"/>
    <w:rsid w:val="0022350B"/>
    <w:rsid w:val="0022490E"/>
    <w:rsid w:val="00224C16"/>
    <w:rsid w:val="00224DB5"/>
    <w:rsid w:val="00226304"/>
    <w:rsid w:val="00226A57"/>
    <w:rsid w:val="002273D1"/>
    <w:rsid w:val="00227566"/>
    <w:rsid w:val="002304DB"/>
    <w:rsid w:val="0023053F"/>
    <w:rsid w:val="002314CC"/>
    <w:rsid w:val="00231B7F"/>
    <w:rsid w:val="00231E89"/>
    <w:rsid w:val="00231FD9"/>
    <w:rsid w:val="00232FB4"/>
    <w:rsid w:val="0023411D"/>
    <w:rsid w:val="00235E6B"/>
    <w:rsid w:val="002363AD"/>
    <w:rsid w:val="00236794"/>
    <w:rsid w:val="0023681E"/>
    <w:rsid w:val="0023798C"/>
    <w:rsid w:val="00237D6C"/>
    <w:rsid w:val="00240054"/>
    <w:rsid w:val="00240112"/>
    <w:rsid w:val="0024312D"/>
    <w:rsid w:val="0024366D"/>
    <w:rsid w:val="00243C8E"/>
    <w:rsid w:val="00244044"/>
    <w:rsid w:val="002444CE"/>
    <w:rsid w:val="00244C24"/>
    <w:rsid w:val="0024582C"/>
    <w:rsid w:val="0024637B"/>
    <w:rsid w:val="002469E0"/>
    <w:rsid w:val="00246F24"/>
    <w:rsid w:val="00252683"/>
    <w:rsid w:val="00252FE6"/>
    <w:rsid w:val="00253475"/>
    <w:rsid w:val="0025475C"/>
    <w:rsid w:val="00254D69"/>
    <w:rsid w:val="002550B2"/>
    <w:rsid w:val="0025521B"/>
    <w:rsid w:val="0025639A"/>
    <w:rsid w:val="00256D64"/>
    <w:rsid w:val="002571E1"/>
    <w:rsid w:val="0026237D"/>
    <w:rsid w:val="002629CA"/>
    <w:rsid w:val="0026495B"/>
    <w:rsid w:val="00264E94"/>
    <w:rsid w:val="0026715A"/>
    <w:rsid w:val="002676AE"/>
    <w:rsid w:val="00270FAC"/>
    <w:rsid w:val="00271950"/>
    <w:rsid w:val="0027208A"/>
    <w:rsid w:val="002727C9"/>
    <w:rsid w:val="00272BCF"/>
    <w:rsid w:val="00272C1E"/>
    <w:rsid w:val="00272EC2"/>
    <w:rsid w:val="002734D1"/>
    <w:rsid w:val="00273F1A"/>
    <w:rsid w:val="00273F21"/>
    <w:rsid w:val="00276760"/>
    <w:rsid w:val="00276ED7"/>
    <w:rsid w:val="002770C8"/>
    <w:rsid w:val="00277939"/>
    <w:rsid w:val="00277EBF"/>
    <w:rsid w:val="00280E24"/>
    <w:rsid w:val="00281232"/>
    <w:rsid w:val="00281E64"/>
    <w:rsid w:val="00283583"/>
    <w:rsid w:val="00285C58"/>
    <w:rsid w:val="002876E3"/>
    <w:rsid w:val="00287E1C"/>
    <w:rsid w:val="00287E4E"/>
    <w:rsid w:val="0029263E"/>
    <w:rsid w:val="002929E9"/>
    <w:rsid w:val="00293EB8"/>
    <w:rsid w:val="00295116"/>
    <w:rsid w:val="00295308"/>
    <w:rsid w:val="00295C63"/>
    <w:rsid w:val="00296EB9"/>
    <w:rsid w:val="00297023"/>
    <w:rsid w:val="00297530"/>
    <w:rsid w:val="00297E2E"/>
    <w:rsid w:val="002A2F5E"/>
    <w:rsid w:val="002A36DE"/>
    <w:rsid w:val="002A38E1"/>
    <w:rsid w:val="002A3997"/>
    <w:rsid w:val="002A517D"/>
    <w:rsid w:val="002A5CEE"/>
    <w:rsid w:val="002A5D87"/>
    <w:rsid w:val="002A69FB"/>
    <w:rsid w:val="002A7B8D"/>
    <w:rsid w:val="002B0ECA"/>
    <w:rsid w:val="002B27E3"/>
    <w:rsid w:val="002B2B17"/>
    <w:rsid w:val="002B2B9C"/>
    <w:rsid w:val="002B3576"/>
    <w:rsid w:val="002B4161"/>
    <w:rsid w:val="002B45CE"/>
    <w:rsid w:val="002B4BFD"/>
    <w:rsid w:val="002B5523"/>
    <w:rsid w:val="002B6316"/>
    <w:rsid w:val="002B65DB"/>
    <w:rsid w:val="002B6CAA"/>
    <w:rsid w:val="002B6F3A"/>
    <w:rsid w:val="002B71AB"/>
    <w:rsid w:val="002B75F7"/>
    <w:rsid w:val="002B7839"/>
    <w:rsid w:val="002C037F"/>
    <w:rsid w:val="002C1A07"/>
    <w:rsid w:val="002C2D36"/>
    <w:rsid w:val="002C4AA5"/>
    <w:rsid w:val="002C69DF"/>
    <w:rsid w:val="002C7289"/>
    <w:rsid w:val="002D0593"/>
    <w:rsid w:val="002D0898"/>
    <w:rsid w:val="002D0B72"/>
    <w:rsid w:val="002D126A"/>
    <w:rsid w:val="002D206A"/>
    <w:rsid w:val="002D23FB"/>
    <w:rsid w:val="002D2E63"/>
    <w:rsid w:val="002D5C05"/>
    <w:rsid w:val="002D5E91"/>
    <w:rsid w:val="002D7357"/>
    <w:rsid w:val="002E04D2"/>
    <w:rsid w:val="002E056C"/>
    <w:rsid w:val="002E057B"/>
    <w:rsid w:val="002E0623"/>
    <w:rsid w:val="002E072F"/>
    <w:rsid w:val="002E136C"/>
    <w:rsid w:val="002E3F80"/>
    <w:rsid w:val="002E58D3"/>
    <w:rsid w:val="002E640C"/>
    <w:rsid w:val="002E7933"/>
    <w:rsid w:val="002E7F39"/>
    <w:rsid w:val="002F33B6"/>
    <w:rsid w:val="002F423C"/>
    <w:rsid w:val="002F43E2"/>
    <w:rsid w:val="002F5CC1"/>
    <w:rsid w:val="002F5CDB"/>
    <w:rsid w:val="002F5EDB"/>
    <w:rsid w:val="002F60C8"/>
    <w:rsid w:val="002F66B1"/>
    <w:rsid w:val="002F73D3"/>
    <w:rsid w:val="002F7B3A"/>
    <w:rsid w:val="002F7EE2"/>
    <w:rsid w:val="0030015B"/>
    <w:rsid w:val="00300F7D"/>
    <w:rsid w:val="00303589"/>
    <w:rsid w:val="00307299"/>
    <w:rsid w:val="00307697"/>
    <w:rsid w:val="00310109"/>
    <w:rsid w:val="00310A80"/>
    <w:rsid w:val="00310C9E"/>
    <w:rsid w:val="0031121D"/>
    <w:rsid w:val="00311A3F"/>
    <w:rsid w:val="003124AD"/>
    <w:rsid w:val="0031285F"/>
    <w:rsid w:val="003132AF"/>
    <w:rsid w:val="00313476"/>
    <w:rsid w:val="003140A0"/>
    <w:rsid w:val="00316E61"/>
    <w:rsid w:val="00317142"/>
    <w:rsid w:val="00317469"/>
    <w:rsid w:val="00322C6B"/>
    <w:rsid w:val="00322EE8"/>
    <w:rsid w:val="00323F50"/>
    <w:rsid w:val="00323F88"/>
    <w:rsid w:val="0032407C"/>
    <w:rsid w:val="003263EA"/>
    <w:rsid w:val="00326E00"/>
    <w:rsid w:val="00330260"/>
    <w:rsid w:val="0033092B"/>
    <w:rsid w:val="00331363"/>
    <w:rsid w:val="003331B2"/>
    <w:rsid w:val="0033422D"/>
    <w:rsid w:val="0033436D"/>
    <w:rsid w:val="00336BB8"/>
    <w:rsid w:val="00337147"/>
    <w:rsid w:val="00337E64"/>
    <w:rsid w:val="0034059F"/>
    <w:rsid w:val="00344008"/>
    <w:rsid w:val="003453C6"/>
    <w:rsid w:val="00346BA3"/>
    <w:rsid w:val="00346FD4"/>
    <w:rsid w:val="00347DC1"/>
    <w:rsid w:val="00351C65"/>
    <w:rsid w:val="003531B5"/>
    <w:rsid w:val="00353FC3"/>
    <w:rsid w:val="0035414D"/>
    <w:rsid w:val="00355A2D"/>
    <w:rsid w:val="00355C90"/>
    <w:rsid w:val="0035637D"/>
    <w:rsid w:val="00360255"/>
    <w:rsid w:val="00361163"/>
    <w:rsid w:val="0036174A"/>
    <w:rsid w:val="00362621"/>
    <w:rsid w:val="003629AD"/>
    <w:rsid w:val="00363995"/>
    <w:rsid w:val="00363B66"/>
    <w:rsid w:val="00365B67"/>
    <w:rsid w:val="00365D1C"/>
    <w:rsid w:val="00366830"/>
    <w:rsid w:val="00366C35"/>
    <w:rsid w:val="00366E7B"/>
    <w:rsid w:val="003702BC"/>
    <w:rsid w:val="00371B65"/>
    <w:rsid w:val="003726CC"/>
    <w:rsid w:val="00372A45"/>
    <w:rsid w:val="003734F2"/>
    <w:rsid w:val="00373622"/>
    <w:rsid w:val="00374589"/>
    <w:rsid w:val="00375CBE"/>
    <w:rsid w:val="003767D7"/>
    <w:rsid w:val="0037751E"/>
    <w:rsid w:val="003776C8"/>
    <w:rsid w:val="00377E16"/>
    <w:rsid w:val="00380F14"/>
    <w:rsid w:val="003828CB"/>
    <w:rsid w:val="003832EB"/>
    <w:rsid w:val="003847BB"/>
    <w:rsid w:val="0038755D"/>
    <w:rsid w:val="00387A63"/>
    <w:rsid w:val="003901A9"/>
    <w:rsid w:val="00391917"/>
    <w:rsid w:val="00391CA6"/>
    <w:rsid w:val="00392935"/>
    <w:rsid w:val="003937D9"/>
    <w:rsid w:val="003948E8"/>
    <w:rsid w:val="00394946"/>
    <w:rsid w:val="00395615"/>
    <w:rsid w:val="00395B57"/>
    <w:rsid w:val="00396CF6"/>
    <w:rsid w:val="003974E5"/>
    <w:rsid w:val="00397A58"/>
    <w:rsid w:val="00397A61"/>
    <w:rsid w:val="00397E85"/>
    <w:rsid w:val="003A05DB"/>
    <w:rsid w:val="003A15EB"/>
    <w:rsid w:val="003A2ACB"/>
    <w:rsid w:val="003A2C57"/>
    <w:rsid w:val="003A3024"/>
    <w:rsid w:val="003A308F"/>
    <w:rsid w:val="003A39F3"/>
    <w:rsid w:val="003A3B34"/>
    <w:rsid w:val="003A3BC3"/>
    <w:rsid w:val="003A405D"/>
    <w:rsid w:val="003A43BC"/>
    <w:rsid w:val="003A4920"/>
    <w:rsid w:val="003A4D1A"/>
    <w:rsid w:val="003A4F20"/>
    <w:rsid w:val="003A6328"/>
    <w:rsid w:val="003A6DD0"/>
    <w:rsid w:val="003A7FE7"/>
    <w:rsid w:val="003B005A"/>
    <w:rsid w:val="003B06FB"/>
    <w:rsid w:val="003B08B7"/>
    <w:rsid w:val="003B0D22"/>
    <w:rsid w:val="003B0FB7"/>
    <w:rsid w:val="003B1543"/>
    <w:rsid w:val="003B1564"/>
    <w:rsid w:val="003B15BA"/>
    <w:rsid w:val="003B444E"/>
    <w:rsid w:val="003B4A48"/>
    <w:rsid w:val="003B4F35"/>
    <w:rsid w:val="003B4FCE"/>
    <w:rsid w:val="003B6899"/>
    <w:rsid w:val="003B78AD"/>
    <w:rsid w:val="003B791F"/>
    <w:rsid w:val="003C012F"/>
    <w:rsid w:val="003C078C"/>
    <w:rsid w:val="003C2210"/>
    <w:rsid w:val="003C2428"/>
    <w:rsid w:val="003C2445"/>
    <w:rsid w:val="003C302B"/>
    <w:rsid w:val="003C3FBE"/>
    <w:rsid w:val="003C59C9"/>
    <w:rsid w:val="003C6CFE"/>
    <w:rsid w:val="003C70CB"/>
    <w:rsid w:val="003D0A87"/>
    <w:rsid w:val="003D2C5D"/>
    <w:rsid w:val="003D3186"/>
    <w:rsid w:val="003D3BF8"/>
    <w:rsid w:val="003D3F79"/>
    <w:rsid w:val="003D6902"/>
    <w:rsid w:val="003E02D0"/>
    <w:rsid w:val="003E1FD9"/>
    <w:rsid w:val="003E344E"/>
    <w:rsid w:val="003E36F2"/>
    <w:rsid w:val="003E3E89"/>
    <w:rsid w:val="003E3EE1"/>
    <w:rsid w:val="003E5760"/>
    <w:rsid w:val="003E5D13"/>
    <w:rsid w:val="003E5F52"/>
    <w:rsid w:val="003E6227"/>
    <w:rsid w:val="003F0234"/>
    <w:rsid w:val="003F0325"/>
    <w:rsid w:val="003F0D5C"/>
    <w:rsid w:val="003F0E3B"/>
    <w:rsid w:val="003F247D"/>
    <w:rsid w:val="003F2AA9"/>
    <w:rsid w:val="003F3E71"/>
    <w:rsid w:val="003F5C71"/>
    <w:rsid w:val="003F6350"/>
    <w:rsid w:val="003F683C"/>
    <w:rsid w:val="004038FF"/>
    <w:rsid w:val="00403A51"/>
    <w:rsid w:val="004049A5"/>
    <w:rsid w:val="00404E75"/>
    <w:rsid w:val="004102CE"/>
    <w:rsid w:val="004105F4"/>
    <w:rsid w:val="00410AF6"/>
    <w:rsid w:val="00410F09"/>
    <w:rsid w:val="004114CA"/>
    <w:rsid w:val="00411722"/>
    <w:rsid w:val="00411728"/>
    <w:rsid w:val="00411787"/>
    <w:rsid w:val="00412C13"/>
    <w:rsid w:val="004143B3"/>
    <w:rsid w:val="00415122"/>
    <w:rsid w:val="004151B2"/>
    <w:rsid w:val="00415E25"/>
    <w:rsid w:val="004165E7"/>
    <w:rsid w:val="00416627"/>
    <w:rsid w:val="00420A0A"/>
    <w:rsid w:val="00422620"/>
    <w:rsid w:val="0042337D"/>
    <w:rsid w:val="00423801"/>
    <w:rsid w:val="004239A2"/>
    <w:rsid w:val="00425201"/>
    <w:rsid w:val="00426946"/>
    <w:rsid w:val="00426D10"/>
    <w:rsid w:val="00427704"/>
    <w:rsid w:val="00427A50"/>
    <w:rsid w:val="00430CCA"/>
    <w:rsid w:val="004310C2"/>
    <w:rsid w:val="004321CB"/>
    <w:rsid w:val="00433B88"/>
    <w:rsid w:val="00433FB2"/>
    <w:rsid w:val="004341F7"/>
    <w:rsid w:val="004344CF"/>
    <w:rsid w:val="00435090"/>
    <w:rsid w:val="004354A7"/>
    <w:rsid w:val="004361CC"/>
    <w:rsid w:val="00437B39"/>
    <w:rsid w:val="00445069"/>
    <w:rsid w:val="00445476"/>
    <w:rsid w:val="00447F4B"/>
    <w:rsid w:val="004523E0"/>
    <w:rsid w:val="004542F5"/>
    <w:rsid w:val="00454550"/>
    <w:rsid w:val="00456653"/>
    <w:rsid w:val="004572DF"/>
    <w:rsid w:val="004578E3"/>
    <w:rsid w:val="00457B71"/>
    <w:rsid w:val="0046025F"/>
    <w:rsid w:val="00460B12"/>
    <w:rsid w:val="00461D3E"/>
    <w:rsid w:val="00462720"/>
    <w:rsid w:val="004639D5"/>
    <w:rsid w:val="0046630A"/>
    <w:rsid w:val="00467E6F"/>
    <w:rsid w:val="00470291"/>
    <w:rsid w:val="00470D9C"/>
    <w:rsid w:val="004715E5"/>
    <w:rsid w:val="00471879"/>
    <w:rsid w:val="004746CD"/>
    <w:rsid w:val="00474A66"/>
    <w:rsid w:val="004752F0"/>
    <w:rsid w:val="00476162"/>
    <w:rsid w:val="004770E6"/>
    <w:rsid w:val="004803CD"/>
    <w:rsid w:val="0048099B"/>
    <w:rsid w:val="00480CF2"/>
    <w:rsid w:val="00481E2B"/>
    <w:rsid w:val="0048201E"/>
    <w:rsid w:val="00482A23"/>
    <w:rsid w:val="004839EF"/>
    <w:rsid w:val="004840B1"/>
    <w:rsid w:val="00484846"/>
    <w:rsid w:val="00485429"/>
    <w:rsid w:val="00486BB4"/>
    <w:rsid w:val="00486D8E"/>
    <w:rsid w:val="00486F9A"/>
    <w:rsid w:val="0048732E"/>
    <w:rsid w:val="0048768F"/>
    <w:rsid w:val="00487788"/>
    <w:rsid w:val="00487C09"/>
    <w:rsid w:val="004900DE"/>
    <w:rsid w:val="00491475"/>
    <w:rsid w:val="004924E1"/>
    <w:rsid w:val="0049361C"/>
    <w:rsid w:val="004938E6"/>
    <w:rsid w:val="0049399C"/>
    <w:rsid w:val="00493BD7"/>
    <w:rsid w:val="00494B9D"/>
    <w:rsid w:val="004952F0"/>
    <w:rsid w:val="00495981"/>
    <w:rsid w:val="00495E5E"/>
    <w:rsid w:val="00495F64"/>
    <w:rsid w:val="00495FFF"/>
    <w:rsid w:val="00496B13"/>
    <w:rsid w:val="004A1FBA"/>
    <w:rsid w:val="004A3CD9"/>
    <w:rsid w:val="004A531B"/>
    <w:rsid w:val="004A563D"/>
    <w:rsid w:val="004A5FAF"/>
    <w:rsid w:val="004A60F2"/>
    <w:rsid w:val="004A6E31"/>
    <w:rsid w:val="004A7C18"/>
    <w:rsid w:val="004B00F9"/>
    <w:rsid w:val="004B0112"/>
    <w:rsid w:val="004B0345"/>
    <w:rsid w:val="004B04C8"/>
    <w:rsid w:val="004B0F69"/>
    <w:rsid w:val="004B1CD3"/>
    <w:rsid w:val="004B1FB5"/>
    <w:rsid w:val="004B2046"/>
    <w:rsid w:val="004B3E79"/>
    <w:rsid w:val="004B4363"/>
    <w:rsid w:val="004B4A22"/>
    <w:rsid w:val="004B4E2E"/>
    <w:rsid w:val="004B6EC7"/>
    <w:rsid w:val="004B7EBF"/>
    <w:rsid w:val="004C0128"/>
    <w:rsid w:val="004C02E4"/>
    <w:rsid w:val="004C087C"/>
    <w:rsid w:val="004C0D59"/>
    <w:rsid w:val="004C0E27"/>
    <w:rsid w:val="004C1EB4"/>
    <w:rsid w:val="004C3983"/>
    <w:rsid w:val="004C5A91"/>
    <w:rsid w:val="004C71A8"/>
    <w:rsid w:val="004C7DFF"/>
    <w:rsid w:val="004D04E0"/>
    <w:rsid w:val="004D2A02"/>
    <w:rsid w:val="004D2B1A"/>
    <w:rsid w:val="004D2C5F"/>
    <w:rsid w:val="004D3322"/>
    <w:rsid w:val="004D3B53"/>
    <w:rsid w:val="004D3DA2"/>
    <w:rsid w:val="004D458F"/>
    <w:rsid w:val="004D4DBB"/>
    <w:rsid w:val="004D5050"/>
    <w:rsid w:val="004D652E"/>
    <w:rsid w:val="004D6C69"/>
    <w:rsid w:val="004D6D7E"/>
    <w:rsid w:val="004D7922"/>
    <w:rsid w:val="004E01B6"/>
    <w:rsid w:val="004E119E"/>
    <w:rsid w:val="004E12C2"/>
    <w:rsid w:val="004E1EE1"/>
    <w:rsid w:val="004E3D92"/>
    <w:rsid w:val="004E40DF"/>
    <w:rsid w:val="004E4372"/>
    <w:rsid w:val="004E4B67"/>
    <w:rsid w:val="004E62A2"/>
    <w:rsid w:val="004E6420"/>
    <w:rsid w:val="004F01A8"/>
    <w:rsid w:val="004F0883"/>
    <w:rsid w:val="004F33B3"/>
    <w:rsid w:val="004F38DD"/>
    <w:rsid w:val="004F4271"/>
    <w:rsid w:val="004F701E"/>
    <w:rsid w:val="004F7A91"/>
    <w:rsid w:val="005009C6"/>
    <w:rsid w:val="00501448"/>
    <w:rsid w:val="005019D0"/>
    <w:rsid w:val="00503A6D"/>
    <w:rsid w:val="0050436D"/>
    <w:rsid w:val="00505F72"/>
    <w:rsid w:val="005063B2"/>
    <w:rsid w:val="00507424"/>
    <w:rsid w:val="0051092A"/>
    <w:rsid w:val="00510ED6"/>
    <w:rsid w:val="005112FF"/>
    <w:rsid w:val="00511467"/>
    <w:rsid w:val="0051165F"/>
    <w:rsid w:val="00511842"/>
    <w:rsid w:val="005141BC"/>
    <w:rsid w:val="00514622"/>
    <w:rsid w:val="00514AA0"/>
    <w:rsid w:val="005160E5"/>
    <w:rsid w:val="005179DE"/>
    <w:rsid w:val="0052011B"/>
    <w:rsid w:val="00520408"/>
    <w:rsid w:val="00520BC7"/>
    <w:rsid w:val="00520E0E"/>
    <w:rsid w:val="0052157B"/>
    <w:rsid w:val="00522A16"/>
    <w:rsid w:val="00522E48"/>
    <w:rsid w:val="00526FC1"/>
    <w:rsid w:val="0052777F"/>
    <w:rsid w:val="00527ABF"/>
    <w:rsid w:val="005310E6"/>
    <w:rsid w:val="00532C6F"/>
    <w:rsid w:val="0053360C"/>
    <w:rsid w:val="00533749"/>
    <w:rsid w:val="00534DEF"/>
    <w:rsid w:val="005353E7"/>
    <w:rsid w:val="00535E07"/>
    <w:rsid w:val="0053609F"/>
    <w:rsid w:val="00536408"/>
    <w:rsid w:val="00536A3A"/>
    <w:rsid w:val="00540125"/>
    <w:rsid w:val="00540B53"/>
    <w:rsid w:val="00540CFB"/>
    <w:rsid w:val="00541D98"/>
    <w:rsid w:val="00542306"/>
    <w:rsid w:val="005427CE"/>
    <w:rsid w:val="00544465"/>
    <w:rsid w:val="00544DBE"/>
    <w:rsid w:val="005451BB"/>
    <w:rsid w:val="00545C45"/>
    <w:rsid w:val="00547134"/>
    <w:rsid w:val="005478AB"/>
    <w:rsid w:val="00547C10"/>
    <w:rsid w:val="005506A7"/>
    <w:rsid w:val="00550B2C"/>
    <w:rsid w:val="0055492C"/>
    <w:rsid w:val="00555218"/>
    <w:rsid w:val="00555997"/>
    <w:rsid w:val="00555BBE"/>
    <w:rsid w:val="00557A5B"/>
    <w:rsid w:val="00557AC6"/>
    <w:rsid w:val="00560002"/>
    <w:rsid w:val="00560415"/>
    <w:rsid w:val="0056092D"/>
    <w:rsid w:val="00560D05"/>
    <w:rsid w:val="00560E15"/>
    <w:rsid w:val="00561602"/>
    <w:rsid w:val="005618AE"/>
    <w:rsid w:val="00561A72"/>
    <w:rsid w:val="00563AFB"/>
    <w:rsid w:val="005642DA"/>
    <w:rsid w:val="005654D3"/>
    <w:rsid w:val="00567A17"/>
    <w:rsid w:val="00567DF6"/>
    <w:rsid w:val="00574399"/>
    <w:rsid w:val="0057526E"/>
    <w:rsid w:val="005755E4"/>
    <w:rsid w:val="00575CB8"/>
    <w:rsid w:val="0058014D"/>
    <w:rsid w:val="00581530"/>
    <w:rsid w:val="00582A2E"/>
    <w:rsid w:val="00585456"/>
    <w:rsid w:val="00592D9B"/>
    <w:rsid w:val="00592DF4"/>
    <w:rsid w:val="00593F73"/>
    <w:rsid w:val="00595EBA"/>
    <w:rsid w:val="00595F52"/>
    <w:rsid w:val="00595FB7"/>
    <w:rsid w:val="00596255"/>
    <w:rsid w:val="00597088"/>
    <w:rsid w:val="00597101"/>
    <w:rsid w:val="00597799"/>
    <w:rsid w:val="005A255B"/>
    <w:rsid w:val="005A2FE9"/>
    <w:rsid w:val="005A3B98"/>
    <w:rsid w:val="005A4E6C"/>
    <w:rsid w:val="005A6601"/>
    <w:rsid w:val="005A6B01"/>
    <w:rsid w:val="005A6F5D"/>
    <w:rsid w:val="005A7772"/>
    <w:rsid w:val="005A7C7E"/>
    <w:rsid w:val="005B0922"/>
    <w:rsid w:val="005B3496"/>
    <w:rsid w:val="005B34A4"/>
    <w:rsid w:val="005B48BA"/>
    <w:rsid w:val="005B57BB"/>
    <w:rsid w:val="005B60D3"/>
    <w:rsid w:val="005B6470"/>
    <w:rsid w:val="005B6C16"/>
    <w:rsid w:val="005C25DF"/>
    <w:rsid w:val="005C277A"/>
    <w:rsid w:val="005C3698"/>
    <w:rsid w:val="005C3BB0"/>
    <w:rsid w:val="005C61E1"/>
    <w:rsid w:val="005C642E"/>
    <w:rsid w:val="005C6A13"/>
    <w:rsid w:val="005D186F"/>
    <w:rsid w:val="005D1F6B"/>
    <w:rsid w:val="005D3379"/>
    <w:rsid w:val="005D617F"/>
    <w:rsid w:val="005E2347"/>
    <w:rsid w:val="005E4311"/>
    <w:rsid w:val="005E4593"/>
    <w:rsid w:val="005E5E78"/>
    <w:rsid w:val="005E6052"/>
    <w:rsid w:val="005E6219"/>
    <w:rsid w:val="005E6306"/>
    <w:rsid w:val="005F1173"/>
    <w:rsid w:val="005F1EF2"/>
    <w:rsid w:val="005F2558"/>
    <w:rsid w:val="005F396F"/>
    <w:rsid w:val="005F3DC8"/>
    <w:rsid w:val="005F5A9C"/>
    <w:rsid w:val="005F5F9D"/>
    <w:rsid w:val="005F6815"/>
    <w:rsid w:val="005F689A"/>
    <w:rsid w:val="00600419"/>
    <w:rsid w:val="00600FED"/>
    <w:rsid w:val="006022F7"/>
    <w:rsid w:val="006040DA"/>
    <w:rsid w:val="006066EC"/>
    <w:rsid w:val="00606C80"/>
    <w:rsid w:val="00607E83"/>
    <w:rsid w:val="006111F2"/>
    <w:rsid w:val="00611787"/>
    <w:rsid w:val="00611AD9"/>
    <w:rsid w:val="00612193"/>
    <w:rsid w:val="00612C36"/>
    <w:rsid w:val="00614311"/>
    <w:rsid w:val="00614A7B"/>
    <w:rsid w:val="00620E61"/>
    <w:rsid w:val="00622293"/>
    <w:rsid w:val="00624325"/>
    <w:rsid w:val="00624787"/>
    <w:rsid w:val="006268EA"/>
    <w:rsid w:val="006271BE"/>
    <w:rsid w:val="00627318"/>
    <w:rsid w:val="00630401"/>
    <w:rsid w:val="0063087B"/>
    <w:rsid w:val="00630A74"/>
    <w:rsid w:val="00630DF2"/>
    <w:rsid w:val="00631331"/>
    <w:rsid w:val="00631906"/>
    <w:rsid w:val="0063262E"/>
    <w:rsid w:val="00633259"/>
    <w:rsid w:val="006336F0"/>
    <w:rsid w:val="00634FAF"/>
    <w:rsid w:val="00635C24"/>
    <w:rsid w:val="006379D3"/>
    <w:rsid w:val="00641E28"/>
    <w:rsid w:val="00642A4C"/>
    <w:rsid w:val="00642D85"/>
    <w:rsid w:val="00643101"/>
    <w:rsid w:val="006438A3"/>
    <w:rsid w:val="006440D8"/>
    <w:rsid w:val="00644EA1"/>
    <w:rsid w:val="00645974"/>
    <w:rsid w:val="00645DEA"/>
    <w:rsid w:val="0064629C"/>
    <w:rsid w:val="00646D87"/>
    <w:rsid w:val="00646DF7"/>
    <w:rsid w:val="00650958"/>
    <w:rsid w:val="00650D0B"/>
    <w:rsid w:val="0065102A"/>
    <w:rsid w:val="00653C81"/>
    <w:rsid w:val="00654A36"/>
    <w:rsid w:val="00654C51"/>
    <w:rsid w:val="00656632"/>
    <w:rsid w:val="006570FB"/>
    <w:rsid w:val="0065783A"/>
    <w:rsid w:val="00660049"/>
    <w:rsid w:val="00663985"/>
    <w:rsid w:val="00663BF5"/>
    <w:rsid w:val="00663EF9"/>
    <w:rsid w:val="006655AE"/>
    <w:rsid w:val="00665C9A"/>
    <w:rsid w:val="00671137"/>
    <w:rsid w:val="006715E4"/>
    <w:rsid w:val="00671E88"/>
    <w:rsid w:val="00672501"/>
    <w:rsid w:val="00672641"/>
    <w:rsid w:val="00672CDF"/>
    <w:rsid w:val="00673300"/>
    <w:rsid w:val="00673486"/>
    <w:rsid w:val="006737B2"/>
    <w:rsid w:val="0067411B"/>
    <w:rsid w:val="00675346"/>
    <w:rsid w:val="00677339"/>
    <w:rsid w:val="00677FEF"/>
    <w:rsid w:val="00680535"/>
    <w:rsid w:val="006838E4"/>
    <w:rsid w:val="00683E6A"/>
    <w:rsid w:val="006846B5"/>
    <w:rsid w:val="0068655C"/>
    <w:rsid w:val="00686BC3"/>
    <w:rsid w:val="0068716E"/>
    <w:rsid w:val="0068740F"/>
    <w:rsid w:val="00687996"/>
    <w:rsid w:val="00690385"/>
    <w:rsid w:val="006907D8"/>
    <w:rsid w:val="0069167A"/>
    <w:rsid w:val="00692302"/>
    <w:rsid w:val="00692C03"/>
    <w:rsid w:val="00692FE4"/>
    <w:rsid w:val="006932E3"/>
    <w:rsid w:val="0069386A"/>
    <w:rsid w:val="00694637"/>
    <w:rsid w:val="00696A9F"/>
    <w:rsid w:val="006975D2"/>
    <w:rsid w:val="006A03D8"/>
    <w:rsid w:val="006A11E8"/>
    <w:rsid w:val="006A2003"/>
    <w:rsid w:val="006A2387"/>
    <w:rsid w:val="006A49FC"/>
    <w:rsid w:val="006A4A1B"/>
    <w:rsid w:val="006A53A9"/>
    <w:rsid w:val="006A57FF"/>
    <w:rsid w:val="006A681C"/>
    <w:rsid w:val="006A6E2F"/>
    <w:rsid w:val="006A791E"/>
    <w:rsid w:val="006B0851"/>
    <w:rsid w:val="006B184B"/>
    <w:rsid w:val="006B3F8F"/>
    <w:rsid w:val="006B4299"/>
    <w:rsid w:val="006B5158"/>
    <w:rsid w:val="006B5696"/>
    <w:rsid w:val="006B7743"/>
    <w:rsid w:val="006B7A55"/>
    <w:rsid w:val="006C1298"/>
    <w:rsid w:val="006C18F9"/>
    <w:rsid w:val="006C19CF"/>
    <w:rsid w:val="006C1E11"/>
    <w:rsid w:val="006C62D1"/>
    <w:rsid w:val="006C6667"/>
    <w:rsid w:val="006C7BA6"/>
    <w:rsid w:val="006D09E3"/>
    <w:rsid w:val="006D1681"/>
    <w:rsid w:val="006D1D33"/>
    <w:rsid w:val="006D2E3C"/>
    <w:rsid w:val="006D3410"/>
    <w:rsid w:val="006D5E4B"/>
    <w:rsid w:val="006D60D8"/>
    <w:rsid w:val="006D65B8"/>
    <w:rsid w:val="006D6C5D"/>
    <w:rsid w:val="006D7731"/>
    <w:rsid w:val="006E00A0"/>
    <w:rsid w:val="006E0924"/>
    <w:rsid w:val="006E2B73"/>
    <w:rsid w:val="006E31E4"/>
    <w:rsid w:val="006E3571"/>
    <w:rsid w:val="006E3A51"/>
    <w:rsid w:val="006E5C5E"/>
    <w:rsid w:val="006E5D25"/>
    <w:rsid w:val="006E602E"/>
    <w:rsid w:val="006E6C3D"/>
    <w:rsid w:val="006E7A41"/>
    <w:rsid w:val="006F00FD"/>
    <w:rsid w:val="006F09DA"/>
    <w:rsid w:val="006F0D21"/>
    <w:rsid w:val="006F1C43"/>
    <w:rsid w:val="006F279C"/>
    <w:rsid w:val="006F4601"/>
    <w:rsid w:val="006F5A66"/>
    <w:rsid w:val="006F637C"/>
    <w:rsid w:val="006F6E51"/>
    <w:rsid w:val="006F7389"/>
    <w:rsid w:val="00701A46"/>
    <w:rsid w:val="00701BAD"/>
    <w:rsid w:val="00701DDD"/>
    <w:rsid w:val="007034A2"/>
    <w:rsid w:val="00703C41"/>
    <w:rsid w:val="0070402E"/>
    <w:rsid w:val="007048B4"/>
    <w:rsid w:val="007057A9"/>
    <w:rsid w:val="00705A31"/>
    <w:rsid w:val="0070653E"/>
    <w:rsid w:val="00706746"/>
    <w:rsid w:val="00707FAC"/>
    <w:rsid w:val="00710882"/>
    <w:rsid w:val="007122AC"/>
    <w:rsid w:val="007139B1"/>
    <w:rsid w:val="0071583E"/>
    <w:rsid w:val="00715F1C"/>
    <w:rsid w:val="00716016"/>
    <w:rsid w:val="007177A7"/>
    <w:rsid w:val="00720767"/>
    <w:rsid w:val="0072094A"/>
    <w:rsid w:val="007216A9"/>
    <w:rsid w:val="00721E53"/>
    <w:rsid w:val="00722E93"/>
    <w:rsid w:val="0072444F"/>
    <w:rsid w:val="007248A7"/>
    <w:rsid w:val="007253EA"/>
    <w:rsid w:val="007308EE"/>
    <w:rsid w:val="00730CF5"/>
    <w:rsid w:val="007323B8"/>
    <w:rsid w:val="00734D2B"/>
    <w:rsid w:val="0073560D"/>
    <w:rsid w:val="007357CB"/>
    <w:rsid w:val="00736728"/>
    <w:rsid w:val="0073734A"/>
    <w:rsid w:val="0073759A"/>
    <w:rsid w:val="007406A1"/>
    <w:rsid w:val="00740F59"/>
    <w:rsid w:val="007410DC"/>
    <w:rsid w:val="00741790"/>
    <w:rsid w:val="007422EE"/>
    <w:rsid w:val="00742B60"/>
    <w:rsid w:val="00742B6F"/>
    <w:rsid w:val="00742E62"/>
    <w:rsid w:val="007440A0"/>
    <w:rsid w:val="00744351"/>
    <w:rsid w:val="0074435A"/>
    <w:rsid w:val="007443A0"/>
    <w:rsid w:val="00744CE8"/>
    <w:rsid w:val="00744D93"/>
    <w:rsid w:val="00744F8A"/>
    <w:rsid w:val="007457FD"/>
    <w:rsid w:val="00746B29"/>
    <w:rsid w:val="007472FE"/>
    <w:rsid w:val="007508C5"/>
    <w:rsid w:val="00750B82"/>
    <w:rsid w:val="00750DDA"/>
    <w:rsid w:val="0075195D"/>
    <w:rsid w:val="00751AC2"/>
    <w:rsid w:val="00752259"/>
    <w:rsid w:val="0075262F"/>
    <w:rsid w:val="0075382F"/>
    <w:rsid w:val="00756484"/>
    <w:rsid w:val="00757509"/>
    <w:rsid w:val="00757EC1"/>
    <w:rsid w:val="00757FC4"/>
    <w:rsid w:val="00761607"/>
    <w:rsid w:val="00762480"/>
    <w:rsid w:val="00763AEC"/>
    <w:rsid w:val="00763D1F"/>
    <w:rsid w:val="00765CBF"/>
    <w:rsid w:val="007662AD"/>
    <w:rsid w:val="00767644"/>
    <w:rsid w:val="00767DD8"/>
    <w:rsid w:val="00770C6D"/>
    <w:rsid w:val="00771B47"/>
    <w:rsid w:val="00771BB0"/>
    <w:rsid w:val="007726B2"/>
    <w:rsid w:val="0077403B"/>
    <w:rsid w:val="0077450D"/>
    <w:rsid w:val="00774691"/>
    <w:rsid w:val="00775521"/>
    <w:rsid w:val="007770BB"/>
    <w:rsid w:val="00781BA1"/>
    <w:rsid w:val="0078308B"/>
    <w:rsid w:val="00784876"/>
    <w:rsid w:val="00784CF4"/>
    <w:rsid w:val="0078500D"/>
    <w:rsid w:val="00787072"/>
    <w:rsid w:val="007903FF"/>
    <w:rsid w:val="007905B2"/>
    <w:rsid w:val="0079165B"/>
    <w:rsid w:val="00791EAF"/>
    <w:rsid w:val="0079228C"/>
    <w:rsid w:val="00792D37"/>
    <w:rsid w:val="00794A5A"/>
    <w:rsid w:val="007951F5"/>
    <w:rsid w:val="00795996"/>
    <w:rsid w:val="00796984"/>
    <w:rsid w:val="007A24D3"/>
    <w:rsid w:val="007A25AA"/>
    <w:rsid w:val="007A38A3"/>
    <w:rsid w:val="007A4137"/>
    <w:rsid w:val="007A4F72"/>
    <w:rsid w:val="007A5007"/>
    <w:rsid w:val="007A58A8"/>
    <w:rsid w:val="007A596D"/>
    <w:rsid w:val="007A5DAA"/>
    <w:rsid w:val="007A6079"/>
    <w:rsid w:val="007A60D1"/>
    <w:rsid w:val="007A6641"/>
    <w:rsid w:val="007A7AED"/>
    <w:rsid w:val="007A7F42"/>
    <w:rsid w:val="007B01E9"/>
    <w:rsid w:val="007B1B24"/>
    <w:rsid w:val="007B32AC"/>
    <w:rsid w:val="007B57A5"/>
    <w:rsid w:val="007B5980"/>
    <w:rsid w:val="007B60A9"/>
    <w:rsid w:val="007B6A38"/>
    <w:rsid w:val="007B6F2B"/>
    <w:rsid w:val="007B759C"/>
    <w:rsid w:val="007C3D01"/>
    <w:rsid w:val="007C4D6A"/>
    <w:rsid w:val="007C62CA"/>
    <w:rsid w:val="007C63BB"/>
    <w:rsid w:val="007C773F"/>
    <w:rsid w:val="007C7A53"/>
    <w:rsid w:val="007D0B81"/>
    <w:rsid w:val="007D1003"/>
    <w:rsid w:val="007D1B48"/>
    <w:rsid w:val="007D359D"/>
    <w:rsid w:val="007D40FD"/>
    <w:rsid w:val="007D4CFF"/>
    <w:rsid w:val="007D585B"/>
    <w:rsid w:val="007D74BE"/>
    <w:rsid w:val="007D788C"/>
    <w:rsid w:val="007D7CA9"/>
    <w:rsid w:val="007E0CB3"/>
    <w:rsid w:val="007E0D93"/>
    <w:rsid w:val="007E2565"/>
    <w:rsid w:val="007E3364"/>
    <w:rsid w:val="007E3DF4"/>
    <w:rsid w:val="007E4DC4"/>
    <w:rsid w:val="007E5201"/>
    <w:rsid w:val="007E5205"/>
    <w:rsid w:val="007E66AF"/>
    <w:rsid w:val="007F1951"/>
    <w:rsid w:val="007F2CBD"/>
    <w:rsid w:val="007F34CA"/>
    <w:rsid w:val="007F440A"/>
    <w:rsid w:val="007F47D6"/>
    <w:rsid w:val="007F4C91"/>
    <w:rsid w:val="007F5864"/>
    <w:rsid w:val="007F5D44"/>
    <w:rsid w:val="007F5F1D"/>
    <w:rsid w:val="007F706B"/>
    <w:rsid w:val="007F7097"/>
    <w:rsid w:val="00800778"/>
    <w:rsid w:val="0080153D"/>
    <w:rsid w:val="00802062"/>
    <w:rsid w:val="00802065"/>
    <w:rsid w:val="00803C22"/>
    <w:rsid w:val="0080793D"/>
    <w:rsid w:val="00807F12"/>
    <w:rsid w:val="008115AC"/>
    <w:rsid w:val="00812011"/>
    <w:rsid w:val="00812CEB"/>
    <w:rsid w:val="00815DFC"/>
    <w:rsid w:val="00816B83"/>
    <w:rsid w:val="00816FCE"/>
    <w:rsid w:val="00817D1C"/>
    <w:rsid w:val="0082100C"/>
    <w:rsid w:val="00821C76"/>
    <w:rsid w:val="008230D9"/>
    <w:rsid w:val="008251C5"/>
    <w:rsid w:val="008269A9"/>
    <w:rsid w:val="008272E6"/>
    <w:rsid w:val="008274BA"/>
    <w:rsid w:val="00827BF3"/>
    <w:rsid w:val="0083042A"/>
    <w:rsid w:val="00831602"/>
    <w:rsid w:val="00832178"/>
    <w:rsid w:val="008349E5"/>
    <w:rsid w:val="00835323"/>
    <w:rsid w:val="0083676A"/>
    <w:rsid w:val="00840358"/>
    <w:rsid w:val="0084121B"/>
    <w:rsid w:val="00841846"/>
    <w:rsid w:val="00842444"/>
    <w:rsid w:val="008427A4"/>
    <w:rsid w:val="00843744"/>
    <w:rsid w:val="00845021"/>
    <w:rsid w:val="008459E6"/>
    <w:rsid w:val="0084787B"/>
    <w:rsid w:val="008478C2"/>
    <w:rsid w:val="00847B19"/>
    <w:rsid w:val="00850E5F"/>
    <w:rsid w:val="0085157A"/>
    <w:rsid w:val="008538A4"/>
    <w:rsid w:val="00854133"/>
    <w:rsid w:val="0085498E"/>
    <w:rsid w:val="00855154"/>
    <w:rsid w:val="008553F9"/>
    <w:rsid w:val="00856742"/>
    <w:rsid w:val="00856E29"/>
    <w:rsid w:val="00856E32"/>
    <w:rsid w:val="00857F67"/>
    <w:rsid w:val="0086049A"/>
    <w:rsid w:val="00860B5F"/>
    <w:rsid w:val="00861722"/>
    <w:rsid w:val="00863D13"/>
    <w:rsid w:val="008652B3"/>
    <w:rsid w:val="0086736E"/>
    <w:rsid w:val="00870D0A"/>
    <w:rsid w:val="00871074"/>
    <w:rsid w:val="008718AE"/>
    <w:rsid w:val="008720DB"/>
    <w:rsid w:val="00872395"/>
    <w:rsid w:val="00874BB8"/>
    <w:rsid w:val="00874F00"/>
    <w:rsid w:val="00875022"/>
    <w:rsid w:val="00876190"/>
    <w:rsid w:val="00876382"/>
    <w:rsid w:val="0088000C"/>
    <w:rsid w:val="0088019A"/>
    <w:rsid w:val="0088057B"/>
    <w:rsid w:val="008806F6"/>
    <w:rsid w:val="00880B6C"/>
    <w:rsid w:val="008824CF"/>
    <w:rsid w:val="00883ADD"/>
    <w:rsid w:val="008840FD"/>
    <w:rsid w:val="00884D5C"/>
    <w:rsid w:val="0088516C"/>
    <w:rsid w:val="00885D91"/>
    <w:rsid w:val="00886265"/>
    <w:rsid w:val="0088657D"/>
    <w:rsid w:val="00886C47"/>
    <w:rsid w:val="008877CD"/>
    <w:rsid w:val="00887800"/>
    <w:rsid w:val="00887F91"/>
    <w:rsid w:val="00891228"/>
    <w:rsid w:val="00891C27"/>
    <w:rsid w:val="00894963"/>
    <w:rsid w:val="00894AC7"/>
    <w:rsid w:val="00895230"/>
    <w:rsid w:val="008955EA"/>
    <w:rsid w:val="00896B9B"/>
    <w:rsid w:val="00897D33"/>
    <w:rsid w:val="008A1AAC"/>
    <w:rsid w:val="008A285E"/>
    <w:rsid w:val="008A3549"/>
    <w:rsid w:val="008A3E31"/>
    <w:rsid w:val="008A418E"/>
    <w:rsid w:val="008A4ADF"/>
    <w:rsid w:val="008A607A"/>
    <w:rsid w:val="008A7C17"/>
    <w:rsid w:val="008B1D37"/>
    <w:rsid w:val="008B2522"/>
    <w:rsid w:val="008B2CCB"/>
    <w:rsid w:val="008B4DBE"/>
    <w:rsid w:val="008B5CDB"/>
    <w:rsid w:val="008B7E84"/>
    <w:rsid w:val="008C0A3E"/>
    <w:rsid w:val="008C0CDE"/>
    <w:rsid w:val="008C0DB0"/>
    <w:rsid w:val="008C3C11"/>
    <w:rsid w:val="008C4DDD"/>
    <w:rsid w:val="008C5CC0"/>
    <w:rsid w:val="008C6453"/>
    <w:rsid w:val="008C6C04"/>
    <w:rsid w:val="008D0968"/>
    <w:rsid w:val="008D21D0"/>
    <w:rsid w:val="008D239B"/>
    <w:rsid w:val="008D3881"/>
    <w:rsid w:val="008D7E1D"/>
    <w:rsid w:val="008E0421"/>
    <w:rsid w:val="008E0ED6"/>
    <w:rsid w:val="008E0FF4"/>
    <w:rsid w:val="008E15C9"/>
    <w:rsid w:val="008E1EF8"/>
    <w:rsid w:val="008E2063"/>
    <w:rsid w:val="008E3ED0"/>
    <w:rsid w:val="008E4EFA"/>
    <w:rsid w:val="008E541A"/>
    <w:rsid w:val="008E5848"/>
    <w:rsid w:val="008E7046"/>
    <w:rsid w:val="008E7251"/>
    <w:rsid w:val="008E7418"/>
    <w:rsid w:val="008F1C3E"/>
    <w:rsid w:val="008F25C8"/>
    <w:rsid w:val="008F3DDF"/>
    <w:rsid w:val="008F3FE2"/>
    <w:rsid w:val="008F5685"/>
    <w:rsid w:val="008F5771"/>
    <w:rsid w:val="008F73EA"/>
    <w:rsid w:val="009005A9"/>
    <w:rsid w:val="00900A17"/>
    <w:rsid w:val="00900DEC"/>
    <w:rsid w:val="00900FAD"/>
    <w:rsid w:val="00902D42"/>
    <w:rsid w:val="00905265"/>
    <w:rsid w:val="009054CF"/>
    <w:rsid w:val="00906864"/>
    <w:rsid w:val="00906A2D"/>
    <w:rsid w:val="009074BB"/>
    <w:rsid w:val="00910A2F"/>
    <w:rsid w:val="00911191"/>
    <w:rsid w:val="009118E5"/>
    <w:rsid w:val="00912FFA"/>
    <w:rsid w:val="00915CF8"/>
    <w:rsid w:val="00917FC7"/>
    <w:rsid w:val="00921A1E"/>
    <w:rsid w:val="00922C53"/>
    <w:rsid w:val="00922E19"/>
    <w:rsid w:val="0092436D"/>
    <w:rsid w:val="00925C38"/>
    <w:rsid w:val="00925C9F"/>
    <w:rsid w:val="00925CF6"/>
    <w:rsid w:val="00927517"/>
    <w:rsid w:val="0093041C"/>
    <w:rsid w:val="00930AEA"/>
    <w:rsid w:val="009312CB"/>
    <w:rsid w:val="00933A16"/>
    <w:rsid w:val="009340E9"/>
    <w:rsid w:val="0093412B"/>
    <w:rsid w:val="00934421"/>
    <w:rsid w:val="00935C33"/>
    <w:rsid w:val="00935EBF"/>
    <w:rsid w:val="00936345"/>
    <w:rsid w:val="009423E7"/>
    <w:rsid w:val="00943518"/>
    <w:rsid w:val="00945E75"/>
    <w:rsid w:val="0094718D"/>
    <w:rsid w:val="00953295"/>
    <w:rsid w:val="009532C2"/>
    <w:rsid w:val="009533D2"/>
    <w:rsid w:val="00953A2B"/>
    <w:rsid w:val="0095420D"/>
    <w:rsid w:val="009547DD"/>
    <w:rsid w:val="00957024"/>
    <w:rsid w:val="00957F66"/>
    <w:rsid w:val="0096022D"/>
    <w:rsid w:val="009614FE"/>
    <w:rsid w:val="00962A0A"/>
    <w:rsid w:val="00962AA8"/>
    <w:rsid w:val="00962CD0"/>
    <w:rsid w:val="00963404"/>
    <w:rsid w:val="00964DD2"/>
    <w:rsid w:val="009652F3"/>
    <w:rsid w:val="00966B90"/>
    <w:rsid w:val="00967069"/>
    <w:rsid w:val="00967D2B"/>
    <w:rsid w:val="00971F80"/>
    <w:rsid w:val="009731BC"/>
    <w:rsid w:val="009735E3"/>
    <w:rsid w:val="009737A8"/>
    <w:rsid w:val="00975A7F"/>
    <w:rsid w:val="009763E0"/>
    <w:rsid w:val="00976B28"/>
    <w:rsid w:val="00976E6B"/>
    <w:rsid w:val="00977037"/>
    <w:rsid w:val="00977690"/>
    <w:rsid w:val="00977A65"/>
    <w:rsid w:val="00977E13"/>
    <w:rsid w:val="00980280"/>
    <w:rsid w:val="00980305"/>
    <w:rsid w:val="0098247E"/>
    <w:rsid w:val="00982D27"/>
    <w:rsid w:val="00982F60"/>
    <w:rsid w:val="00984D93"/>
    <w:rsid w:val="009851DD"/>
    <w:rsid w:val="00985A8E"/>
    <w:rsid w:val="00986C8C"/>
    <w:rsid w:val="0098712E"/>
    <w:rsid w:val="009872D8"/>
    <w:rsid w:val="009905C6"/>
    <w:rsid w:val="0099136C"/>
    <w:rsid w:val="00991702"/>
    <w:rsid w:val="00991E17"/>
    <w:rsid w:val="00994FE2"/>
    <w:rsid w:val="0099562F"/>
    <w:rsid w:val="00995851"/>
    <w:rsid w:val="0099717A"/>
    <w:rsid w:val="009A1018"/>
    <w:rsid w:val="009A17D5"/>
    <w:rsid w:val="009A1856"/>
    <w:rsid w:val="009A25A9"/>
    <w:rsid w:val="009A3154"/>
    <w:rsid w:val="009A4E46"/>
    <w:rsid w:val="009A6A68"/>
    <w:rsid w:val="009A6F68"/>
    <w:rsid w:val="009A705D"/>
    <w:rsid w:val="009B0972"/>
    <w:rsid w:val="009B142B"/>
    <w:rsid w:val="009B2021"/>
    <w:rsid w:val="009B28DB"/>
    <w:rsid w:val="009B32BD"/>
    <w:rsid w:val="009B47B3"/>
    <w:rsid w:val="009B585C"/>
    <w:rsid w:val="009B75EB"/>
    <w:rsid w:val="009B7B34"/>
    <w:rsid w:val="009C062B"/>
    <w:rsid w:val="009C1C13"/>
    <w:rsid w:val="009C217B"/>
    <w:rsid w:val="009C2CB7"/>
    <w:rsid w:val="009C40B8"/>
    <w:rsid w:val="009C4E61"/>
    <w:rsid w:val="009C5598"/>
    <w:rsid w:val="009C5DC8"/>
    <w:rsid w:val="009C6E90"/>
    <w:rsid w:val="009C7C75"/>
    <w:rsid w:val="009D118C"/>
    <w:rsid w:val="009D4060"/>
    <w:rsid w:val="009D449A"/>
    <w:rsid w:val="009D44DE"/>
    <w:rsid w:val="009D55AB"/>
    <w:rsid w:val="009D6239"/>
    <w:rsid w:val="009D7F49"/>
    <w:rsid w:val="009E10CE"/>
    <w:rsid w:val="009E176B"/>
    <w:rsid w:val="009E5C95"/>
    <w:rsid w:val="009F02E2"/>
    <w:rsid w:val="009F083D"/>
    <w:rsid w:val="009F148D"/>
    <w:rsid w:val="009F16DE"/>
    <w:rsid w:val="009F278F"/>
    <w:rsid w:val="009F2C75"/>
    <w:rsid w:val="009F312B"/>
    <w:rsid w:val="009F4C5E"/>
    <w:rsid w:val="009F5628"/>
    <w:rsid w:val="009F5F10"/>
    <w:rsid w:val="009F64BA"/>
    <w:rsid w:val="009F6DEC"/>
    <w:rsid w:val="009F736F"/>
    <w:rsid w:val="009F7B1C"/>
    <w:rsid w:val="00A00381"/>
    <w:rsid w:val="00A00F78"/>
    <w:rsid w:val="00A01598"/>
    <w:rsid w:val="00A016D9"/>
    <w:rsid w:val="00A021ED"/>
    <w:rsid w:val="00A034F3"/>
    <w:rsid w:val="00A03D30"/>
    <w:rsid w:val="00A042FC"/>
    <w:rsid w:val="00A046D3"/>
    <w:rsid w:val="00A04AE9"/>
    <w:rsid w:val="00A04D8D"/>
    <w:rsid w:val="00A065ED"/>
    <w:rsid w:val="00A066C6"/>
    <w:rsid w:val="00A101EA"/>
    <w:rsid w:val="00A10A0A"/>
    <w:rsid w:val="00A114BB"/>
    <w:rsid w:val="00A12551"/>
    <w:rsid w:val="00A1299B"/>
    <w:rsid w:val="00A12FE8"/>
    <w:rsid w:val="00A14341"/>
    <w:rsid w:val="00A1487D"/>
    <w:rsid w:val="00A1501A"/>
    <w:rsid w:val="00A17EDC"/>
    <w:rsid w:val="00A17F59"/>
    <w:rsid w:val="00A2081A"/>
    <w:rsid w:val="00A20BB0"/>
    <w:rsid w:val="00A2146D"/>
    <w:rsid w:val="00A214D2"/>
    <w:rsid w:val="00A23529"/>
    <w:rsid w:val="00A2382C"/>
    <w:rsid w:val="00A24D04"/>
    <w:rsid w:val="00A25989"/>
    <w:rsid w:val="00A26CAC"/>
    <w:rsid w:val="00A300B9"/>
    <w:rsid w:val="00A3014E"/>
    <w:rsid w:val="00A308A9"/>
    <w:rsid w:val="00A3266A"/>
    <w:rsid w:val="00A34778"/>
    <w:rsid w:val="00A353A9"/>
    <w:rsid w:val="00A35513"/>
    <w:rsid w:val="00A3596E"/>
    <w:rsid w:val="00A36605"/>
    <w:rsid w:val="00A3742E"/>
    <w:rsid w:val="00A37BBA"/>
    <w:rsid w:val="00A41C1D"/>
    <w:rsid w:val="00A42162"/>
    <w:rsid w:val="00A429B3"/>
    <w:rsid w:val="00A4336C"/>
    <w:rsid w:val="00A43388"/>
    <w:rsid w:val="00A45514"/>
    <w:rsid w:val="00A45DDB"/>
    <w:rsid w:val="00A46445"/>
    <w:rsid w:val="00A47385"/>
    <w:rsid w:val="00A50607"/>
    <w:rsid w:val="00A52926"/>
    <w:rsid w:val="00A55C41"/>
    <w:rsid w:val="00A56022"/>
    <w:rsid w:val="00A56C4B"/>
    <w:rsid w:val="00A57430"/>
    <w:rsid w:val="00A6080E"/>
    <w:rsid w:val="00A61863"/>
    <w:rsid w:val="00A61F37"/>
    <w:rsid w:val="00A62131"/>
    <w:rsid w:val="00A634C1"/>
    <w:rsid w:val="00A641C6"/>
    <w:rsid w:val="00A6428F"/>
    <w:rsid w:val="00A6611A"/>
    <w:rsid w:val="00A6667C"/>
    <w:rsid w:val="00A66F0A"/>
    <w:rsid w:val="00A720F7"/>
    <w:rsid w:val="00A74931"/>
    <w:rsid w:val="00A75E03"/>
    <w:rsid w:val="00A7699B"/>
    <w:rsid w:val="00A76D6B"/>
    <w:rsid w:val="00A777BB"/>
    <w:rsid w:val="00A803E8"/>
    <w:rsid w:val="00A8172C"/>
    <w:rsid w:val="00A8234C"/>
    <w:rsid w:val="00A824C7"/>
    <w:rsid w:val="00A8251E"/>
    <w:rsid w:val="00A82E9E"/>
    <w:rsid w:val="00A83034"/>
    <w:rsid w:val="00A84DA0"/>
    <w:rsid w:val="00A84EFD"/>
    <w:rsid w:val="00A85F38"/>
    <w:rsid w:val="00A86001"/>
    <w:rsid w:val="00A90439"/>
    <w:rsid w:val="00A9046A"/>
    <w:rsid w:val="00A90E17"/>
    <w:rsid w:val="00A9131C"/>
    <w:rsid w:val="00A922C1"/>
    <w:rsid w:val="00A923E2"/>
    <w:rsid w:val="00A933DE"/>
    <w:rsid w:val="00A957CB"/>
    <w:rsid w:val="00A97D37"/>
    <w:rsid w:val="00AA0A75"/>
    <w:rsid w:val="00AA0E34"/>
    <w:rsid w:val="00AA19BD"/>
    <w:rsid w:val="00AA22D7"/>
    <w:rsid w:val="00AA2C7C"/>
    <w:rsid w:val="00AA411F"/>
    <w:rsid w:val="00AA4462"/>
    <w:rsid w:val="00AA4CFE"/>
    <w:rsid w:val="00AA67E1"/>
    <w:rsid w:val="00AA7155"/>
    <w:rsid w:val="00AA77DA"/>
    <w:rsid w:val="00AB02F6"/>
    <w:rsid w:val="00AB06BB"/>
    <w:rsid w:val="00AB12C0"/>
    <w:rsid w:val="00AB3C5F"/>
    <w:rsid w:val="00AB43AD"/>
    <w:rsid w:val="00AB6276"/>
    <w:rsid w:val="00AB6507"/>
    <w:rsid w:val="00AB7560"/>
    <w:rsid w:val="00AB7DAC"/>
    <w:rsid w:val="00AC0208"/>
    <w:rsid w:val="00AC0DA5"/>
    <w:rsid w:val="00AC14D5"/>
    <w:rsid w:val="00AC19D9"/>
    <w:rsid w:val="00AC1E17"/>
    <w:rsid w:val="00AC3C19"/>
    <w:rsid w:val="00AC46AB"/>
    <w:rsid w:val="00AC6D12"/>
    <w:rsid w:val="00AC733C"/>
    <w:rsid w:val="00AC7861"/>
    <w:rsid w:val="00AD1492"/>
    <w:rsid w:val="00AD3039"/>
    <w:rsid w:val="00AD4802"/>
    <w:rsid w:val="00AD4A34"/>
    <w:rsid w:val="00AD5980"/>
    <w:rsid w:val="00AD649D"/>
    <w:rsid w:val="00AD6D9D"/>
    <w:rsid w:val="00AD7165"/>
    <w:rsid w:val="00AD76A8"/>
    <w:rsid w:val="00AE0242"/>
    <w:rsid w:val="00AE0372"/>
    <w:rsid w:val="00AE07A7"/>
    <w:rsid w:val="00AE0E81"/>
    <w:rsid w:val="00AE137A"/>
    <w:rsid w:val="00AE365C"/>
    <w:rsid w:val="00AE380A"/>
    <w:rsid w:val="00AE3957"/>
    <w:rsid w:val="00AE3D96"/>
    <w:rsid w:val="00AE4A36"/>
    <w:rsid w:val="00AE530E"/>
    <w:rsid w:val="00AE557A"/>
    <w:rsid w:val="00AE61F2"/>
    <w:rsid w:val="00AE6C2B"/>
    <w:rsid w:val="00AE6F80"/>
    <w:rsid w:val="00AE7D29"/>
    <w:rsid w:val="00AF2422"/>
    <w:rsid w:val="00AF24AD"/>
    <w:rsid w:val="00AF2523"/>
    <w:rsid w:val="00AF2BEB"/>
    <w:rsid w:val="00AF2F00"/>
    <w:rsid w:val="00AF333C"/>
    <w:rsid w:val="00AF5A38"/>
    <w:rsid w:val="00AF7074"/>
    <w:rsid w:val="00AF799A"/>
    <w:rsid w:val="00B000D5"/>
    <w:rsid w:val="00B01D59"/>
    <w:rsid w:val="00B02172"/>
    <w:rsid w:val="00B038D0"/>
    <w:rsid w:val="00B04689"/>
    <w:rsid w:val="00B04A93"/>
    <w:rsid w:val="00B056B6"/>
    <w:rsid w:val="00B0581E"/>
    <w:rsid w:val="00B07C5F"/>
    <w:rsid w:val="00B10329"/>
    <w:rsid w:val="00B109D2"/>
    <w:rsid w:val="00B11EAB"/>
    <w:rsid w:val="00B12A06"/>
    <w:rsid w:val="00B12DBC"/>
    <w:rsid w:val="00B12F37"/>
    <w:rsid w:val="00B14353"/>
    <w:rsid w:val="00B1456B"/>
    <w:rsid w:val="00B17573"/>
    <w:rsid w:val="00B17D3E"/>
    <w:rsid w:val="00B201FC"/>
    <w:rsid w:val="00B21188"/>
    <w:rsid w:val="00B22C0D"/>
    <w:rsid w:val="00B242FD"/>
    <w:rsid w:val="00B25DE9"/>
    <w:rsid w:val="00B260A8"/>
    <w:rsid w:val="00B27A01"/>
    <w:rsid w:val="00B27FCE"/>
    <w:rsid w:val="00B31076"/>
    <w:rsid w:val="00B311D3"/>
    <w:rsid w:val="00B32715"/>
    <w:rsid w:val="00B34D19"/>
    <w:rsid w:val="00B35136"/>
    <w:rsid w:val="00B35240"/>
    <w:rsid w:val="00B355F2"/>
    <w:rsid w:val="00B35A35"/>
    <w:rsid w:val="00B35F2F"/>
    <w:rsid w:val="00B36A06"/>
    <w:rsid w:val="00B36DB4"/>
    <w:rsid w:val="00B36DB5"/>
    <w:rsid w:val="00B37B26"/>
    <w:rsid w:val="00B4297B"/>
    <w:rsid w:val="00B43BE3"/>
    <w:rsid w:val="00B4506F"/>
    <w:rsid w:val="00B45544"/>
    <w:rsid w:val="00B4584C"/>
    <w:rsid w:val="00B46308"/>
    <w:rsid w:val="00B46FD5"/>
    <w:rsid w:val="00B476F0"/>
    <w:rsid w:val="00B508BE"/>
    <w:rsid w:val="00B5113C"/>
    <w:rsid w:val="00B521E4"/>
    <w:rsid w:val="00B52946"/>
    <w:rsid w:val="00B52F6E"/>
    <w:rsid w:val="00B538D7"/>
    <w:rsid w:val="00B54234"/>
    <w:rsid w:val="00B551AB"/>
    <w:rsid w:val="00B5648E"/>
    <w:rsid w:val="00B568B6"/>
    <w:rsid w:val="00B57534"/>
    <w:rsid w:val="00B6128C"/>
    <w:rsid w:val="00B616E4"/>
    <w:rsid w:val="00B61CB4"/>
    <w:rsid w:val="00B61DA2"/>
    <w:rsid w:val="00B63DAB"/>
    <w:rsid w:val="00B64AB2"/>
    <w:rsid w:val="00B6546A"/>
    <w:rsid w:val="00B6562F"/>
    <w:rsid w:val="00B65F5F"/>
    <w:rsid w:val="00B67968"/>
    <w:rsid w:val="00B67D3B"/>
    <w:rsid w:val="00B700E1"/>
    <w:rsid w:val="00B7050E"/>
    <w:rsid w:val="00B716AF"/>
    <w:rsid w:val="00B719CD"/>
    <w:rsid w:val="00B71AA5"/>
    <w:rsid w:val="00B73C68"/>
    <w:rsid w:val="00B740A2"/>
    <w:rsid w:val="00B74B0B"/>
    <w:rsid w:val="00B751B3"/>
    <w:rsid w:val="00B81834"/>
    <w:rsid w:val="00B81A80"/>
    <w:rsid w:val="00B82FEF"/>
    <w:rsid w:val="00B83F47"/>
    <w:rsid w:val="00B843BE"/>
    <w:rsid w:val="00B851BA"/>
    <w:rsid w:val="00B86216"/>
    <w:rsid w:val="00B8676C"/>
    <w:rsid w:val="00B87E39"/>
    <w:rsid w:val="00B90F87"/>
    <w:rsid w:val="00B924DB"/>
    <w:rsid w:val="00B96548"/>
    <w:rsid w:val="00BA0490"/>
    <w:rsid w:val="00BA0A04"/>
    <w:rsid w:val="00BA3D37"/>
    <w:rsid w:val="00BA4899"/>
    <w:rsid w:val="00BA5158"/>
    <w:rsid w:val="00BA5A4E"/>
    <w:rsid w:val="00BA5ECF"/>
    <w:rsid w:val="00BA60A6"/>
    <w:rsid w:val="00BA7779"/>
    <w:rsid w:val="00BB1CBB"/>
    <w:rsid w:val="00BB1F40"/>
    <w:rsid w:val="00BB3301"/>
    <w:rsid w:val="00BB52C8"/>
    <w:rsid w:val="00BB69F7"/>
    <w:rsid w:val="00BC0A90"/>
    <w:rsid w:val="00BC0CC9"/>
    <w:rsid w:val="00BC189C"/>
    <w:rsid w:val="00BC1EE3"/>
    <w:rsid w:val="00BC266A"/>
    <w:rsid w:val="00BC3764"/>
    <w:rsid w:val="00BC4F3D"/>
    <w:rsid w:val="00BC50FC"/>
    <w:rsid w:val="00BC558D"/>
    <w:rsid w:val="00BC635A"/>
    <w:rsid w:val="00BC7CA4"/>
    <w:rsid w:val="00BD039D"/>
    <w:rsid w:val="00BD0435"/>
    <w:rsid w:val="00BD1D31"/>
    <w:rsid w:val="00BD235F"/>
    <w:rsid w:val="00BD261F"/>
    <w:rsid w:val="00BD30FB"/>
    <w:rsid w:val="00BD4AE2"/>
    <w:rsid w:val="00BD4DCD"/>
    <w:rsid w:val="00BD5BB4"/>
    <w:rsid w:val="00BD661B"/>
    <w:rsid w:val="00BD6956"/>
    <w:rsid w:val="00BD6F67"/>
    <w:rsid w:val="00BE1733"/>
    <w:rsid w:val="00BE24B4"/>
    <w:rsid w:val="00BE30F9"/>
    <w:rsid w:val="00BE3483"/>
    <w:rsid w:val="00BE3611"/>
    <w:rsid w:val="00BE3C2F"/>
    <w:rsid w:val="00BE452E"/>
    <w:rsid w:val="00BE49B5"/>
    <w:rsid w:val="00BE654A"/>
    <w:rsid w:val="00BE70AD"/>
    <w:rsid w:val="00BE798A"/>
    <w:rsid w:val="00BF05DD"/>
    <w:rsid w:val="00BF1D8E"/>
    <w:rsid w:val="00BF2C5B"/>
    <w:rsid w:val="00BF3819"/>
    <w:rsid w:val="00BF6E1F"/>
    <w:rsid w:val="00C000EA"/>
    <w:rsid w:val="00C00B32"/>
    <w:rsid w:val="00C01561"/>
    <w:rsid w:val="00C019FD"/>
    <w:rsid w:val="00C02A16"/>
    <w:rsid w:val="00C030FB"/>
    <w:rsid w:val="00C03354"/>
    <w:rsid w:val="00C03CB7"/>
    <w:rsid w:val="00C04798"/>
    <w:rsid w:val="00C0527D"/>
    <w:rsid w:val="00C0558E"/>
    <w:rsid w:val="00C05F5B"/>
    <w:rsid w:val="00C06AB8"/>
    <w:rsid w:val="00C07F32"/>
    <w:rsid w:val="00C1018A"/>
    <w:rsid w:val="00C1023B"/>
    <w:rsid w:val="00C11400"/>
    <w:rsid w:val="00C12BDE"/>
    <w:rsid w:val="00C12DF4"/>
    <w:rsid w:val="00C131FC"/>
    <w:rsid w:val="00C13827"/>
    <w:rsid w:val="00C13A5A"/>
    <w:rsid w:val="00C15EAD"/>
    <w:rsid w:val="00C17AC5"/>
    <w:rsid w:val="00C20BB5"/>
    <w:rsid w:val="00C20BF3"/>
    <w:rsid w:val="00C21891"/>
    <w:rsid w:val="00C22C22"/>
    <w:rsid w:val="00C2313E"/>
    <w:rsid w:val="00C23DBE"/>
    <w:rsid w:val="00C2546B"/>
    <w:rsid w:val="00C25751"/>
    <w:rsid w:val="00C26458"/>
    <w:rsid w:val="00C26864"/>
    <w:rsid w:val="00C27056"/>
    <w:rsid w:val="00C27269"/>
    <w:rsid w:val="00C278A8"/>
    <w:rsid w:val="00C27919"/>
    <w:rsid w:val="00C30563"/>
    <w:rsid w:val="00C31F90"/>
    <w:rsid w:val="00C3208A"/>
    <w:rsid w:val="00C3241E"/>
    <w:rsid w:val="00C34479"/>
    <w:rsid w:val="00C34846"/>
    <w:rsid w:val="00C34DC3"/>
    <w:rsid w:val="00C36140"/>
    <w:rsid w:val="00C36AF1"/>
    <w:rsid w:val="00C37F74"/>
    <w:rsid w:val="00C40631"/>
    <w:rsid w:val="00C41C4A"/>
    <w:rsid w:val="00C41F24"/>
    <w:rsid w:val="00C428EB"/>
    <w:rsid w:val="00C4568A"/>
    <w:rsid w:val="00C47A40"/>
    <w:rsid w:val="00C5169F"/>
    <w:rsid w:val="00C54A0E"/>
    <w:rsid w:val="00C54A10"/>
    <w:rsid w:val="00C54E96"/>
    <w:rsid w:val="00C552D0"/>
    <w:rsid w:val="00C55D17"/>
    <w:rsid w:val="00C55F5B"/>
    <w:rsid w:val="00C567A4"/>
    <w:rsid w:val="00C57620"/>
    <w:rsid w:val="00C57AB7"/>
    <w:rsid w:val="00C60F59"/>
    <w:rsid w:val="00C6149D"/>
    <w:rsid w:val="00C61D81"/>
    <w:rsid w:val="00C62299"/>
    <w:rsid w:val="00C62B93"/>
    <w:rsid w:val="00C63546"/>
    <w:rsid w:val="00C63AF2"/>
    <w:rsid w:val="00C65400"/>
    <w:rsid w:val="00C6547B"/>
    <w:rsid w:val="00C65C39"/>
    <w:rsid w:val="00C66E84"/>
    <w:rsid w:val="00C66F23"/>
    <w:rsid w:val="00C670FE"/>
    <w:rsid w:val="00C675C1"/>
    <w:rsid w:val="00C701CE"/>
    <w:rsid w:val="00C71F52"/>
    <w:rsid w:val="00C7219F"/>
    <w:rsid w:val="00C725E2"/>
    <w:rsid w:val="00C735DA"/>
    <w:rsid w:val="00C74028"/>
    <w:rsid w:val="00C746A7"/>
    <w:rsid w:val="00C76292"/>
    <w:rsid w:val="00C76404"/>
    <w:rsid w:val="00C76E59"/>
    <w:rsid w:val="00C775FA"/>
    <w:rsid w:val="00C804DC"/>
    <w:rsid w:val="00C81DA6"/>
    <w:rsid w:val="00C81DAD"/>
    <w:rsid w:val="00C824C6"/>
    <w:rsid w:val="00C82603"/>
    <w:rsid w:val="00C82BD4"/>
    <w:rsid w:val="00C83291"/>
    <w:rsid w:val="00C846D1"/>
    <w:rsid w:val="00C8551B"/>
    <w:rsid w:val="00C85716"/>
    <w:rsid w:val="00C85C7B"/>
    <w:rsid w:val="00C90140"/>
    <w:rsid w:val="00C90465"/>
    <w:rsid w:val="00C90469"/>
    <w:rsid w:val="00C93220"/>
    <w:rsid w:val="00C94036"/>
    <w:rsid w:val="00C94632"/>
    <w:rsid w:val="00C951A9"/>
    <w:rsid w:val="00C95953"/>
    <w:rsid w:val="00C96836"/>
    <w:rsid w:val="00C97B70"/>
    <w:rsid w:val="00CA01D8"/>
    <w:rsid w:val="00CA094C"/>
    <w:rsid w:val="00CA19AA"/>
    <w:rsid w:val="00CA2798"/>
    <w:rsid w:val="00CA2E57"/>
    <w:rsid w:val="00CA354B"/>
    <w:rsid w:val="00CA35EC"/>
    <w:rsid w:val="00CA431B"/>
    <w:rsid w:val="00CA649E"/>
    <w:rsid w:val="00CA6D64"/>
    <w:rsid w:val="00CA73D4"/>
    <w:rsid w:val="00CB01D8"/>
    <w:rsid w:val="00CB0433"/>
    <w:rsid w:val="00CB0E4E"/>
    <w:rsid w:val="00CB143F"/>
    <w:rsid w:val="00CB2684"/>
    <w:rsid w:val="00CB40B0"/>
    <w:rsid w:val="00CB46F0"/>
    <w:rsid w:val="00CB58A5"/>
    <w:rsid w:val="00CC0D01"/>
    <w:rsid w:val="00CC0FC3"/>
    <w:rsid w:val="00CC12D3"/>
    <w:rsid w:val="00CC1B51"/>
    <w:rsid w:val="00CC1B54"/>
    <w:rsid w:val="00CC1CF8"/>
    <w:rsid w:val="00CC294B"/>
    <w:rsid w:val="00CC4ED6"/>
    <w:rsid w:val="00CC568E"/>
    <w:rsid w:val="00CC5A21"/>
    <w:rsid w:val="00CC5B9F"/>
    <w:rsid w:val="00CC7030"/>
    <w:rsid w:val="00CC7BE5"/>
    <w:rsid w:val="00CD0332"/>
    <w:rsid w:val="00CD0D99"/>
    <w:rsid w:val="00CD103C"/>
    <w:rsid w:val="00CD15AA"/>
    <w:rsid w:val="00CD2D17"/>
    <w:rsid w:val="00CD4045"/>
    <w:rsid w:val="00CD4341"/>
    <w:rsid w:val="00CD49B4"/>
    <w:rsid w:val="00CD50FF"/>
    <w:rsid w:val="00CD6793"/>
    <w:rsid w:val="00CD7D89"/>
    <w:rsid w:val="00CE0660"/>
    <w:rsid w:val="00CE2318"/>
    <w:rsid w:val="00CE327A"/>
    <w:rsid w:val="00CE3FFD"/>
    <w:rsid w:val="00CE4DDC"/>
    <w:rsid w:val="00CE502F"/>
    <w:rsid w:val="00CE55C8"/>
    <w:rsid w:val="00CE6CB4"/>
    <w:rsid w:val="00CE6FB6"/>
    <w:rsid w:val="00CE7B49"/>
    <w:rsid w:val="00CF0F2F"/>
    <w:rsid w:val="00CF205F"/>
    <w:rsid w:val="00CF2408"/>
    <w:rsid w:val="00CF24C6"/>
    <w:rsid w:val="00CF4A8D"/>
    <w:rsid w:val="00CF51F2"/>
    <w:rsid w:val="00CF5943"/>
    <w:rsid w:val="00CF5ED2"/>
    <w:rsid w:val="00CF6242"/>
    <w:rsid w:val="00CF6FAF"/>
    <w:rsid w:val="00D0088C"/>
    <w:rsid w:val="00D00CB0"/>
    <w:rsid w:val="00D0129F"/>
    <w:rsid w:val="00D0165B"/>
    <w:rsid w:val="00D01758"/>
    <w:rsid w:val="00D0558D"/>
    <w:rsid w:val="00D055CC"/>
    <w:rsid w:val="00D0582C"/>
    <w:rsid w:val="00D059DF"/>
    <w:rsid w:val="00D05C96"/>
    <w:rsid w:val="00D05F34"/>
    <w:rsid w:val="00D05FC1"/>
    <w:rsid w:val="00D0655C"/>
    <w:rsid w:val="00D1114D"/>
    <w:rsid w:val="00D111C2"/>
    <w:rsid w:val="00D12C08"/>
    <w:rsid w:val="00D135F3"/>
    <w:rsid w:val="00D13CF6"/>
    <w:rsid w:val="00D161B0"/>
    <w:rsid w:val="00D1680A"/>
    <w:rsid w:val="00D16E5C"/>
    <w:rsid w:val="00D17B28"/>
    <w:rsid w:val="00D20B13"/>
    <w:rsid w:val="00D2184E"/>
    <w:rsid w:val="00D21897"/>
    <w:rsid w:val="00D231C1"/>
    <w:rsid w:val="00D23DC0"/>
    <w:rsid w:val="00D25AEA"/>
    <w:rsid w:val="00D262B4"/>
    <w:rsid w:val="00D26BD4"/>
    <w:rsid w:val="00D27394"/>
    <w:rsid w:val="00D30076"/>
    <w:rsid w:val="00D314B8"/>
    <w:rsid w:val="00D315EC"/>
    <w:rsid w:val="00D32123"/>
    <w:rsid w:val="00D3465F"/>
    <w:rsid w:val="00D36BE2"/>
    <w:rsid w:val="00D37D14"/>
    <w:rsid w:val="00D40012"/>
    <w:rsid w:val="00D40C64"/>
    <w:rsid w:val="00D4140F"/>
    <w:rsid w:val="00D416B6"/>
    <w:rsid w:val="00D4192B"/>
    <w:rsid w:val="00D41EA7"/>
    <w:rsid w:val="00D42746"/>
    <w:rsid w:val="00D428FA"/>
    <w:rsid w:val="00D445C8"/>
    <w:rsid w:val="00D45621"/>
    <w:rsid w:val="00D4583A"/>
    <w:rsid w:val="00D46235"/>
    <w:rsid w:val="00D46899"/>
    <w:rsid w:val="00D46926"/>
    <w:rsid w:val="00D50C57"/>
    <w:rsid w:val="00D5247F"/>
    <w:rsid w:val="00D54249"/>
    <w:rsid w:val="00D54327"/>
    <w:rsid w:val="00D547C9"/>
    <w:rsid w:val="00D549A5"/>
    <w:rsid w:val="00D5501F"/>
    <w:rsid w:val="00D55BD5"/>
    <w:rsid w:val="00D56D06"/>
    <w:rsid w:val="00D56FEF"/>
    <w:rsid w:val="00D57F82"/>
    <w:rsid w:val="00D6010E"/>
    <w:rsid w:val="00D60673"/>
    <w:rsid w:val="00D60843"/>
    <w:rsid w:val="00D6205E"/>
    <w:rsid w:val="00D62328"/>
    <w:rsid w:val="00D63FAD"/>
    <w:rsid w:val="00D64CD8"/>
    <w:rsid w:val="00D64D8B"/>
    <w:rsid w:val="00D66B8D"/>
    <w:rsid w:val="00D7154F"/>
    <w:rsid w:val="00D71654"/>
    <w:rsid w:val="00D71746"/>
    <w:rsid w:val="00D71FCE"/>
    <w:rsid w:val="00D72A6D"/>
    <w:rsid w:val="00D738BE"/>
    <w:rsid w:val="00D73911"/>
    <w:rsid w:val="00D750C9"/>
    <w:rsid w:val="00D7533B"/>
    <w:rsid w:val="00D75DD4"/>
    <w:rsid w:val="00D76F0E"/>
    <w:rsid w:val="00D80716"/>
    <w:rsid w:val="00D814EF"/>
    <w:rsid w:val="00D81590"/>
    <w:rsid w:val="00D837D4"/>
    <w:rsid w:val="00D83FEF"/>
    <w:rsid w:val="00D84541"/>
    <w:rsid w:val="00D86F61"/>
    <w:rsid w:val="00D873FF"/>
    <w:rsid w:val="00D90A55"/>
    <w:rsid w:val="00D91E91"/>
    <w:rsid w:val="00D9239B"/>
    <w:rsid w:val="00D923B4"/>
    <w:rsid w:val="00D93364"/>
    <w:rsid w:val="00D933A6"/>
    <w:rsid w:val="00D948C8"/>
    <w:rsid w:val="00D97EBF"/>
    <w:rsid w:val="00D97F90"/>
    <w:rsid w:val="00DA02B5"/>
    <w:rsid w:val="00DA0E47"/>
    <w:rsid w:val="00DA185C"/>
    <w:rsid w:val="00DA2234"/>
    <w:rsid w:val="00DA266F"/>
    <w:rsid w:val="00DA3011"/>
    <w:rsid w:val="00DA3876"/>
    <w:rsid w:val="00DA3B3F"/>
    <w:rsid w:val="00DA3BAE"/>
    <w:rsid w:val="00DA3D07"/>
    <w:rsid w:val="00DA56AC"/>
    <w:rsid w:val="00DA6E7E"/>
    <w:rsid w:val="00DA79FD"/>
    <w:rsid w:val="00DB0BDF"/>
    <w:rsid w:val="00DB0D54"/>
    <w:rsid w:val="00DB3331"/>
    <w:rsid w:val="00DB3BD9"/>
    <w:rsid w:val="00DB4087"/>
    <w:rsid w:val="00DB4ADD"/>
    <w:rsid w:val="00DB5784"/>
    <w:rsid w:val="00DB5826"/>
    <w:rsid w:val="00DB5A3D"/>
    <w:rsid w:val="00DB5CD4"/>
    <w:rsid w:val="00DB6059"/>
    <w:rsid w:val="00DB60D2"/>
    <w:rsid w:val="00DC08DE"/>
    <w:rsid w:val="00DC196D"/>
    <w:rsid w:val="00DC214C"/>
    <w:rsid w:val="00DC2E4E"/>
    <w:rsid w:val="00DC7819"/>
    <w:rsid w:val="00DC7FA1"/>
    <w:rsid w:val="00DD0232"/>
    <w:rsid w:val="00DD0525"/>
    <w:rsid w:val="00DD1401"/>
    <w:rsid w:val="00DD1D6B"/>
    <w:rsid w:val="00DD2030"/>
    <w:rsid w:val="00DD2EBF"/>
    <w:rsid w:val="00DD372E"/>
    <w:rsid w:val="00DD62B0"/>
    <w:rsid w:val="00DD6C3D"/>
    <w:rsid w:val="00DE1FA1"/>
    <w:rsid w:val="00DE2ADE"/>
    <w:rsid w:val="00DE2B56"/>
    <w:rsid w:val="00DE431B"/>
    <w:rsid w:val="00DE587A"/>
    <w:rsid w:val="00DE58E8"/>
    <w:rsid w:val="00DE5FDC"/>
    <w:rsid w:val="00DE68C4"/>
    <w:rsid w:val="00DE6DA4"/>
    <w:rsid w:val="00DE6EDD"/>
    <w:rsid w:val="00DE725E"/>
    <w:rsid w:val="00DF04BA"/>
    <w:rsid w:val="00DF04FA"/>
    <w:rsid w:val="00DF2A86"/>
    <w:rsid w:val="00DF5E22"/>
    <w:rsid w:val="00DF76B4"/>
    <w:rsid w:val="00DF7933"/>
    <w:rsid w:val="00DF7A00"/>
    <w:rsid w:val="00E022AA"/>
    <w:rsid w:val="00E02914"/>
    <w:rsid w:val="00E0363E"/>
    <w:rsid w:val="00E03A49"/>
    <w:rsid w:val="00E04C93"/>
    <w:rsid w:val="00E06DE4"/>
    <w:rsid w:val="00E10668"/>
    <w:rsid w:val="00E10962"/>
    <w:rsid w:val="00E113BE"/>
    <w:rsid w:val="00E12085"/>
    <w:rsid w:val="00E13531"/>
    <w:rsid w:val="00E149B1"/>
    <w:rsid w:val="00E14D46"/>
    <w:rsid w:val="00E169A0"/>
    <w:rsid w:val="00E20401"/>
    <w:rsid w:val="00E207CA"/>
    <w:rsid w:val="00E218F1"/>
    <w:rsid w:val="00E219EC"/>
    <w:rsid w:val="00E21FEB"/>
    <w:rsid w:val="00E22EB4"/>
    <w:rsid w:val="00E25769"/>
    <w:rsid w:val="00E27B09"/>
    <w:rsid w:val="00E302D9"/>
    <w:rsid w:val="00E3163B"/>
    <w:rsid w:val="00E32A8F"/>
    <w:rsid w:val="00E3434C"/>
    <w:rsid w:val="00E34CF1"/>
    <w:rsid w:val="00E357FF"/>
    <w:rsid w:val="00E3659A"/>
    <w:rsid w:val="00E37302"/>
    <w:rsid w:val="00E37438"/>
    <w:rsid w:val="00E4037D"/>
    <w:rsid w:val="00E41980"/>
    <w:rsid w:val="00E41A0B"/>
    <w:rsid w:val="00E41DD3"/>
    <w:rsid w:val="00E42241"/>
    <w:rsid w:val="00E43E1B"/>
    <w:rsid w:val="00E46248"/>
    <w:rsid w:val="00E46A6C"/>
    <w:rsid w:val="00E47838"/>
    <w:rsid w:val="00E50674"/>
    <w:rsid w:val="00E507DF"/>
    <w:rsid w:val="00E51B03"/>
    <w:rsid w:val="00E51B0C"/>
    <w:rsid w:val="00E51FB9"/>
    <w:rsid w:val="00E534BE"/>
    <w:rsid w:val="00E54D65"/>
    <w:rsid w:val="00E54E20"/>
    <w:rsid w:val="00E54E4A"/>
    <w:rsid w:val="00E55B99"/>
    <w:rsid w:val="00E5613B"/>
    <w:rsid w:val="00E56E86"/>
    <w:rsid w:val="00E609A9"/>
    <w:rsid w:val="00E62E16"/>
    <w:rsid w:val="00E633EA"/>
    <w:rsid w:val="00E650C2"/>
    <w:rsid w:val="00E65D07"/>
    <w:rsid w:val="00E673A4"/>
    <w:rsid w:val="00E71123"/>
    <w:rsid w:val="00E7185E"/>
    <w:rsid w:val="00E71AD5"/>
    <w:rsid w:val="00E72234"/>
    <w:rsid w:val="00E724FB"/>
    <w:rsid w:val="00E72FDF"/>
    <w:rsid w:val="00E74B47"/>
    <w:rsid w:val="00E74C4A"/>
    <w:rsid w:val="00E80606"/>
    <w:rsid w:val="00E8371F"/>
    <w:rsid w:val="00E837A8"/>
    <w:rsid w:val="00E84BB2"/>
    <w:rsid w:val="00E84BE6"/>
    <w:rsid w:val="00E85707"/>
    <w:rsid w:val="00E87C60"/>
    <w:rsid w:val="00E9033A"/>
    <w:rsid w:val="00E908F0"/>
    <w:rsid w:val="00E9094F"/>
    <w:rsid w:val="00E90EB1"/>
    <w:rsid w:val="00E92D0A"/>
    <w:rsid w:val="00E92DF0"/>
    <w:rsid w:val="00E93C56"/>
    <w:rsid w:val="00E9481E"/>
    <w:rsid w:val="00E95264"/>
    <w:rsid w:val="00E9540D"/>
    <w:rsid w:val="00E95578"/>
    <w:rsid w:val="00E964C1"/>
    <w:rsid w:val="00E96AD6"/>
    <w:rsid w:val="00E97012"/>
    <w:rsid w:val="00E97984"/>
    <w:rsid w:val="00EA0773"/>
    <w:rsid w:val="00EA0DD5"/>
    <w:rsid w:val="00EA349C"/>
    <w:rsid w:val="00EA408B"/>
    <w:rsid w:val="00EA4978"/>
    <w:rsid w:val="00EA51F7"/>
    <w:rsid w:val="00EA6F19"/>
    <w:rsid w:val="00EA705E"/>
    <w:rsid w:val="00EA73A4"/>
    <w:rsid w:val="00EA73A8"/>
    <w:rsid w:val="00EA75AF"/>
    <w:rsid w:val="00EA7EB9"/>
    <w:rsid w:val="00EB0377"/>
    <w:rsid w:val="00EB03BE"/>
    <w:rsid w:val="00EB0B98"/>
    <w:rsid w:val="00EB0CF2"/>
    <w:rsid w:val="00EB1298"/>
    <w:rsid w:val="00EB2B72"/>
    <w:rsid w:val="00EB2ED5"/>
    <w:rsid w:val="00EB3389"/>
    <w:rsid w:val="00EB41DC"/>
    <w:rsid w:val="00EB49F7"/>
    <w:rsid w:val="00EB628A"/>
    <w:rsid w:val="00EB70BF"/>
    <w:rsid w:val="00EC0C09"/>
    <w:rsid w:val="00EC1CD2"/>
    <w:rsid w:val="00EC31DF"/>
    <w:rsid w:val="00EC4078"/>
    <w:rsid w:val="00EC4E3D"/>
    <w:rsid w:val="00EC60AB"/>
    <w:rsid w:val="00EC74CD"/>
    <w:rsid w:val="00ED0AC1"/>
    <w:rsid w:val="00ED0EEA"/>
    <w:rsid w:val="00ED1CA5"/>
    <w:rsid w:val="00ED31D3"/>
    <w:rsid w:val="00ED3406"/>
    <w:rsid w:val="00ED37D8"/>
    <w:rsid w:val="00ED6B6E"/>
    <w:rsid w:val="00ED7B15"/>
    <w:rsid w:val="00EE0137"/>
    <w:rsid w:val="00EE01BD"/>
    <w:rsid w:val="00EE0216"/>
    <w:rsid w:val="00EE05B4"/>
    <w:rsid w:val="00EE0814"/>
    <w:rsid w:val="00EE0EF2"/>
    <w:rsid w:val="00EE1995"/>
    <w:rsid w:val="00EE28BA"/>
    <w:rsid w:val="00EE34EB"/>
    <w:rsid w:val="00EE3554"/>
    <w:rsid w:val="00EE61FD"/>
    <w:rsid w:val="00EE6D3B"/>
    <w:rsid w:val="00EF0143"/>
    <w:rsid w:val="00EF0975"/>
    <w:rsid w:val="00EF0B18"/>
    <w:rsid w:val="00EF10EB"/>
    <w:rsid w:val="00EF1502"/>
    <w:rsid w:val="00EF1ADC"/>
    <w:rsid w:val="00EF2BCE"/>
    <w:rsid w:val="00EF2F3B"/>
    <w:rsid w:val="00EF474E"/>
    <w:rsid w:val="00EF5CA6"/>
    <w:rsid w:val="00EF5D30"/>
    <w:rsid w:val="00EF69CE"/>
    <w:rsid w:val="00EF6DA9"/>
    <w:rsid w:val="00EF7929"/>
    <w:rsid w:val="00EF7E77"/>
    <w:rsid w:val="00F000F1"/>
    <w:rsid w:val="00F0124F"/>
    <w:rsid w:val="00F0131C"/>
    <w:rsid w:val="00F02255"/>
    <w:rsid w:val="00F042D6"/>
    <w:rsid w:val="00F04439"/>
    <w:rsid w:val="00F0515B"/>
    <w:rsid w:val="00F052DA"/>
    <w:rsid w:val="00F0536C"/>
    <w:rsid w:val="00F06862"/>
    <w:rsid w:val="00F07080"/>
    <w:rsid w:val="00F07109"/>
    <w:rsid w:val="00F0789D"/>
    <w:rsid w:val="00F11791"/>
    <w:rsid w:val="00F11E5C"/>
    <w:rsid w:val="00F1264C"/>
    <w:rsid w:val="00F127AB"/>
    <w:rsid w:val="00F12A7E"/>
    <w:rsid w:val="00F13242"/>
    <w:rsid w:val="00F1329F"/>
    <w:rsid w:val="00F133EF"/>
    <w:rsid w:val="00F13A4C"/>
    <w:rsid w:val="00F15C66"/>
    <w:rsid w:val="00F15FD7"/>
    <w:rsid w:val="00F1666D"/>
    <w:rsid w:val="00F17E34"/>
    <w:rsid w:val="00F204E2"/>
    <w:rsid w:val="00F209E4"/>
    <w:rsid w:val="00F21C54"/>
    <w:rsid w:val="00F220B4"/>
    <w:rsid w:val="00F2347C"/>
    <w:rsid w:val="00F23C53"/>
    <w:rsid w:val="00F24D0A"/>
    <w:rsid w:val="00F256F0"/>
    <w:rsid w:val="00F259F1"/>
    <w:rsid w:val="00F261EB"/>
    <w:rsid w:val="00F26AF1"/>
    <w:rsid w:val="00F3047B"/>
    <w:rsid w:val="00F31073"/>
    <w:rsid w:val="00F3170C"/>
    <w:rsid w:val="00F31AE5"/>
    <w:rsid w:val="00F32D9A"/>
    <w:rsid w:val="00F3320B"/>
    <w:rsid w:val="00F3528E"/>
    <w:rsid w:val="00F35F18"/>
    <w:rsid w:val="00F36A45"/>
    <w:rsid w:val="00F36F61"/>
    <w:rsid w:val="00F40DAD"/>
    <w:rsid w:val="00F4101D"/>
    <w:rsid w:val="00F41422"/>
    <w:rsid w:val="00F4206E"/>
    <w:rsid w:val="00F43188"/>
    <w:rsid w:val="00F45F0F"/>
    <w:rsid w:val="00F46C10"/>
    <w:rsid w:val="00F4724F"/>
    <w:rsid w:val="00F47BD0"/>
    <w:rsid w:val="00F504A6"/>
    <w:rsid w:val="00F50912"/>
    <w:rsid w:val="00F50AD2"/>
    <w:rsid w:val="00F50DB1"/>
    <w:rsid w:val="00F52F1D"/>
    <w:rsid w:val="00F53E6A"/>
    <w:rsid w:val="00F5437D"/>
    <w:rsid w:val="00F54960"/>
    <w:rsid w:val="00F565E9"/>
    <w:rsid w:val="00F57ACD"/>
    <w:rsid w:val="00F6054E"/>
    <w:rsid w:val="00F636E7"/>
    <w:rsid w:val="00F638B7"/>
    <w:rsid w:val="00F63E92"/>
    <w:rsid w:val="00F66107"/>
    <w:rsid w:val="00F66485"/>
    <w:rsid w:val="00F66A93"/>
    <w:rsid w:val="00F712BB"/>
    <w:rsid w:val="00F7131F"/>
    <w:rsid w:val="00F71A0F"/>
    <w:rsid w:val="00F73911"/>
    <w:rsid w:val="00F74CB3"/>
    <w:rsid w:val="00F7592D"/>
    <w:rsid w:val="00F76ECC"/>
    <w:rsid w:val="00F770EA"/>
    <w:rsid w:val="00F77C78"/>
    <w:rsid w:val="00F80EBA"/>
    <w:rsid w:val="00F80F48"/>
    <w:rsid w:val="00F8169A"/>
    <w:rsid w:val="00F818B3"/>
    <w:rsid w:val="00F84027"/>
    <w:rsid w:val="00F871E4"/>
    <w:rsid w:val="00F877AD"/>
    <w:rsid w:val="00F87C5F"/>
    <w:rsid w:val="00F90A05"/>
    <w:rsid w:val="00F9211C"/>
    <w:rsid w:val="00F92920"/>
    <w:rsid w:val="00F9298C"/>
    <w:rsid w:val="00F92C6E"/>
    <w:rsid w:val="00F92D31"/>
    <w:rsid w:val="00F933A2"/>
    <w:rsid w:val="00F93ED5"/>
    <w:rsid w:val="00F94EC5"/>
    <w:rsid w:val="00F9544A"/>
    <w:rsid w:val="00F955A5"/>
    <w:rsid w:val="00F9615D"/>
    <w:rsid w:val="00F96C91"/>
    <w:rsid w:val="00F97E0F"/>
    <w:rsid w:val="00F97F6B"/>
    <w:rsid w:val="00FA0234"/>
    <w:rsid w:val="00FA0AF8"/>
    <w:rsid w:val="00FA0FAA"/>
    <w:rsid w:val="00FA16B3"/>
    <w:rsid w:val="00FA188A"/>
    <w:rsid w:val="00FA2C0A"/>
    <w:rsid w:val="00FA462A"/>
    <w:rsid w:val="00FA5649"/>
    <w:rsid w:val="00FA64C2"/>
    <w:rsid w:val="00FA670A"/>
    <w:rsid w:val="00FB198D"/>
    <w:rsid w:val="00FB54D8"/>
    <w:rsid w:val="00FB552C"/>
    <w:rsid w:val="00FB61A4"/>
    <w:rsid w:val="00FB6ACB"/>
    <w:rsid w:val="00FC0337"/>
    <w:rsid w:val="00FC14ED"/>
    <w:rsid w:val="00FC2A48"/>
    <w:rsid w:val="00FC2A89"/>
    <w:rsid w:val="00FC2C32"/>
    <w:rsid w:val="00FC2D20"/>
    <w:rsid w:val="00FC3295"/>
    <w:rsid w:val="00FC32AA"/>
    <w:rsid w:val="00FC3D78"/>
    <w:rsid w:val="00FC7477"/>
    <w:rsid w:val="00FD0112"/>
    <w:rsid w:val="00FD04A5"/>
    <w:rsid w:val="00FD31C0"/>
    <w:rsid w:val="00FD3BD7"/>
    <w:rsid w:val="00FD3C47"/>
    <w:rsid w:val="00FD4CA5"/>
    <w:rsid w:val="00FD6285"/>
    <w:rsid w:val="00FD67EA"/>
    <w:rsid w:val="00FD7809"/>
    <w:rsid w:val="00FD7882"/>
    <w:rsid w:val="00FD7894"/>
    <w:rsid w:val="00FD7C31"/>
    <w:rsid w:val="00FE06A1"/>
    <w:rsid w:val="00FE13DC"/>
    <w:rsid w:val="00FE2D33"/>
    <w:rsid w:val="00FE36B6"/>
    <w:rsid w:val="00FE4F2F"/>
    <w:rsid w:val="00FE547A"/>
    <w:rsid w:val="00FE58EA"/>
    <w:rsid w:val="00FE6257"/>
    <w:rsid w:val="00FE6929"/>
    <w:rsid w:val="00FE72AE"/>
    <w:rsid w:val="00FE7C65"/>
    <w:rsid w:val="00FF0F2F"/>
    <w:rsid w:val="00FF1327"/>
    <w:rsid w:val="00FF14CD"/>
    <w:rsid w:val="00FF165E"/>
    <w:rsid w:val="00FF241F"/>
    <w:rsid w:val="00FF2F83"/>
    <w:rsid w:val="00FF3954"/>
    <w:rsid w:val="00FF3D97"/>
    <w:rsid w:val="00FF4061"/>
    <w:rsid w:val="00FF4AB8"/>
    <w:rsid w:val="00FF4F07"/>
    <w:rsid w:val="00FF53E0"/>
    <w:rsid w:val="00FF7ADF"/>
    <w:rsid w:val="01831ED0"/>
    <w:rsid w:val="01EA5275"/>
    <w:rsid w:val="023B1471"/>
    <w:rsid w:val="0528540D"/>
    <w:rsid w:val="05D221D5"/>
    <w:rsid w:val="08243A2E"/>
    <w:rsid w:val="08256601"/>
    <w:rsid w:val="084414A3"/>
    <w:rsid w:val="09F15406"/>
    <w:rsid w:val="0A1011EB"/>
    <w:rsid w:val="0B0A6467"/>
    <w:rsid w:val="0D2E3A47"/>
    <w:rsid w:val="0DFB2AC7"/>
    <w:rsid w:val="11812C71"/>
    <w:rsid w:val="118E62B7"/>
    <w:rsid w:val="129E79DE"/>
    <w:rsid w:val="145A4D13"/>
    <w:rsid w:val="1470796A"/>
    <w:rsid w:val="147C46D7"/>
    <w:rsid w:val="16BC6834"/>
    <w:rsid w:val="1758344C"/>
    <w:rsid w:val="17DB4B3F"/>
    <w:rsid w:val="18870B59"/>
    <w:rsid w:val="18AA2E33"/>
    <w:rsid w:val="18E42F2E"/>
    <w:rsid w:val="19425964"/>
    <w:rsid w:val="19597463"/>
    <w:rsid w:val="19597C05"/>
    <w:rsid w:val="19F920A4"/>
    <w:rsid w:val="1A5A793E"/>
    <w:rsid w:val="1B2226A6"/>
    <w:rsid w:val="1BDD2D6F"/>
    <w:rsid w:val="1C676686"/>
    <w:rsid w:val="1C933E06"/>
    <w:rsid w:val="1E291869"/>
    <w:rsid w:val="1EE96226"/>
    <w:rsid w:val="1F3210B4"/>
    <w:rsid w:val="210A6AB1"/>
    <w:rsid w:val="21620019"/>
    <w:rsid w:val="22240F78"/>
    <w:rsid w:val="22A22D88"/>
    <w:rsid w:val="232546E6"/>
    <w:rsid w:val="24A07E15"/>
    <w:rsid w:val="2847393F"/>
    <w:rsid w:val="28F46D15"/>
    <w:rsid w:val="2B6A734B"/>
    <w:rsid w:val="2C397BFC"/>
    <w:rsid w:val="2DB607D2"/>
    <w:rsid w:val="2ED53362"/>
    <w:rsid w:val="2F612423"/>
    <w:rsid w:val="3064511F"/>
    <w:rsid w:val="3240775C"/>
    <w:rsid w:val="325C578F"/>
    <w:rsid w:val="329B0EDE"/>
    <w:rsid w:val="3423635B"/>
    <w:rsid w:val="34746B25"/>
    <w:rsid w:val="35242230"/>
    <w:rsid w:val="3BEC4718"/>
    <w:rsid w:val="3CA90C26"/>
    <w:rsid w:val="3D1538C5"/>
    <w:rsid w:val="426618B4"/>
    <w:rsid w:val="42AC06A4"/>
    <w:rsid w:val="45227A3E"/>
    <w:rsid w:val="46AA3009"/>
    <w:rsid w:val="480A7168"/>
    <w:rsid w:val="493059DD"/>
    <w:rsid w:val="496909C8"/>
    <w:rsid w:val="4B714066"/>
    <w:rsid w:val="4B8E3E43"/>
    <w:rsid w:val="4BD02008"/>
    <w:rsid w:val="4C3C1E76"/>
    <w:rsid w:val="4E324E83"/>
    <w:rsid w:val="4EA25810"/>
    <w:rsid w:val="4EE11442"/>
    <w:rsid w:val="4EF11B71"/>
    <w:rsid w:val="4FB13EA6"/>
    <w:rsid w:val="504E6B5B"/>
    <w:rsid w:val="510D36CE"/>
    <w:rsid w:val="511B1EB8"/>
    <w:rsid w:val="51697B42"/>
    <w:rsid w:val="51D91FF5"/>
    <w:rsid w:val="53143EDC"/>
    <w:rsid w:val="539E1366"/>
    <w:rsid w:val="55306D65"/>
    <w:rsid w:val="553B2D66"/>
    <w:rsid w:val="55586E5B"/>
    <w:rsid w:val="56315185"/>
    <w:rsid w:val="58231729"/>
    <w:rsid w:val="5A627CE7"/>
    <w:rsid w:val="5AF736BA"/>
    <w:rsid w:val="5BDB6A45"/>
    <w:rsid w:val="5C097093"/>
    <w:rsid w:val="5E2A2EEB"/>
    <w:rsid w:val="5F4347F9"/>
    <w:rsid w:val="5F6467AB"/>
    <w:rsid w:val="611B4897"/>
    <w:rsid w:val="61237A5D"/>
    <w:rsid w:val="62736E68"/>
    <w:rsid w:val="66110F21"/>
    <w:rsid w:val="66DE49F3"/>
    <w:rsid w:val="689455CC"/>
    <w:rsid w:val="6935309D"/>
    <w:rsid w:val="6A024AAD"/>
    <w:rsid w:val="6AA64D62"/>
    <w:rsid w:val="6B90471D"/>
    <w:rsid w:val="6B947BF6"/>
    <w:rsid w:val="6BB05660"/>
    <w:rsid w:val="6D755A9B"/>
    <w:rsid w:val="6E036252"/>
    <w:rsid w:val="6E334649"/>
    <w:rsid w:val="6E8D2BBE"/>
    <w:rsid w:val="6EDB7F87"/>
    <w:rsid w:val="6F560B08"/>
    <w:rsid w:val="70F07506"/>
    <w:rsid w:val="70F620B9"/>
    <w:rsid w:val="71E048CD"/>
    <w:rsid w:val="731C155B"/>
    <w:rsid w:val="73F209CC"/>
    <w:rsid w:val="74086CFF"/>
    <w:rsid w:val="75990239"/>
    <w:rsid w:val="7681051D"/>
    <w:rsid w:val="7690154B"/>
    <w:rsid w:val="76DA0D88"/>
    <w:rsid w:val="772439A7"/>
    <w:rsid w:val="77A87088"/>
    <w:rsid w:val="78A70F68"/>
    <w:rsid w:val="7C724F58"/>
    <w:rsid w:val="7D3D08F3"/>
    <w:rsid w:val="7F9F25B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semiHidden="0"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iPriority w:val="99"/>
    <w:pPr>
      <w:jc w:val="left"/>
    </w:pPr>
    <w:rPr>
      <w:kern w:val="0"/>
      <w:sz w:val="24"/>
      <w:szCs w:val="20"/>
    </w:rPr>
  </w:style>
  <w:style w:type="paragraph" w:styleId="3">
    <w:name w:val="Balloon Text"/>
    <w:basedOn w:val="1"/>
    <w:link w:val="13"/>
    <w:semiHidden/>
    <w:uiPriority w:val="99"/>
    <w:rPr>
      <w:kern w:val="0"/>
      <w:sz w:val="18"/>
      <w:szCs w:val="20"/>
    </w:rPr>
  </w:style>
  <w:style w:type="paragraph" w:styleId="4">
    <w:name w:val="footer"/>
    <w:basedOn w:val="1"/>
    <w:link w:val="14"/>
    <w:uiPriority w:val="99"/>
    <w:pPr>
      <w:tabs>
        <w:tab w:val="center" w:pos="4153"/>
        <w:tab w:val="right" w:pos="8306"/>
      </w:tabs>
      <w:snapToGrid w:val="0"/>
      <w:jc w:val="left"/>
    </w:pPr>
    <w:rPr>
      <w:kern w:val="0"/>
      <w:sz w:val="18"/>
      <w:szCs w:val="20"/>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kern w:val="0"/>
      <w:sz w:val="18"/>
      <w:szCs w:val="20"/>
    </w:rPr>
  </w:style>
  <w:style w:type="paragraph" w:styleId="6">
    <w:name w:val="annotation subject"/>
    <w:basedOn w:val="2"/>
    <w:next w:val="2"/>
    <w:link w:val="16"/>
    <w:semiHidden/>
    <w:qFormat/>
    <w:uiPriority w:val="99"/>
    <w:rPr>
      <w:b/>
      <w:kern w:val="2"/>
    </w:rPr>
  </w:style>
  <w:style w:type="table" w:styleId="8">
    <w:name w:val="Table Grid"/>
    <w:basedOn w:val="7"/>
    <w:qFormat/>
    <w:uiPriority w:val="99"/>
    <w:pPr>
      <w:numPr>
        <w:numId w:val="1"/>
      </w:numPr>
    </w:pPr>
    <w:rPr>
      <w:rFonts w:ascii="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Hyperlink"/>
    <w:basedOn w:val="9"/>
    <w:semiHidden/>
    <w:qFormat/>
    <w:uiPriority w:val="99"/>
    <w:rPr>
      <w:rFonts w:cs="Times New Roman"/>
      <w:color w:val="0000FF"/>
      <w:u w:val="single"/>
    </w:rPr>
  </w:style>
  <w:style w:type="character" w:styleId="11">
    <w:name w:val="annotation reference"/>
    <w:basedOn w:val="9"/>
    <w:semiHidden/>
    <w:qFormat/>
    <w:uiPriority w:val="99"/>
    <w:rPr>
      <w:rFonts w:cs="Times New Roman"/>
      <w:sz w:val="21"/>
    </w:rPr>
  </w:style>
  <w:style w:type="character" w:customStyle="1" w:styleId="12">
    <w:name w:val="Comment Text Char"/>
    <w:basedOn w:val="9"/>
    <w:link w:val="2"/>
    <w:qFormat/>
    <w:locked/>
    <w:uiPriority w:val="99"/>
    <w:rPr>
      <w:rFonts w:ascii="Times New Roman" w:hAnsi="Times New Roman" w:eastAsia="宋体" w:cs="Times New Roman"/>
      <w:sz w:val="24"/>
    </w:rPr>
  </w:style>
  <w:style w:type="character" w:customStyle="1" w:styleId="13">
    <w:name w:val="Balloon Text Char"/>
    <w:basedOn w:val="9"/>
    <w:link w:val="3"/>
    <w:semiHidden/>
    <w:qFormat/>
    <w:locked/>
    <w:uiPriority w:val="99"/>
    <w:rPr>
      <w:rFonts w:ascii="Times New Roman" w:hAnsi="Times New Roman" w:eastAsia="宋体" w:cs="Times New Roman"/>
      <w:sz w:val="18"/>
    </w:rPr>
  </w:style>
  <w:style w:type="character" w:customStyle="1" w:styleId="14">
    <w:name w:val="Footer Char"/>
    <w:basedOn w:val="9"/>
    <w:link w:val="4"/>
    <w:qFormat/>
    <w:locked/>
    <w:uiPriority w:val="99"/>
    <w:rPr>
      <w:rFonts w:cs="Times New Roman"/>
      <w:sz w:val="18"/>
    </w:rPr>
  </w:style>
  <w:style w:type="character" w:customStyle="1" w:styleId="15">
    <w:name w:val="Header Char"/>
    <w:basedOn w:val="9"/>
    <w:link w:val="5"/>
    <w:qFormat/>
    <w:locked/>
    <w:uiPriority w:val="99"/>
    <w:rPr>
      <w:rFonts w:cs="Times New Roman"/>
      <w:sz w:val="18"/>
    </w:rPr>
  </w:style>
  <w:style w:type="character" w:customStyle="1" w:styleId="16">
    <w:name w:val="Comment Subject Char"/>
    <w:basedOn w:val="12"/>
    <w:link w:val="6"/>
    <w:semiHidden/>
    <w:qFormat/>
    <w:locked/>
    <w:uiPriority w:val="99"/>
    <w:rPr>
      <w:b/>
      <w:kern w:val="2"/>
    </w:rPr>
  </w:style>
  <w:style w:type="character" w:customStyle="1" w:styleId="17">
    <w:name w:val="章标题 Char"/>
    <w:link w:val="18"/>
    <w:qFormat/>
    <w:locked/>
    <w:uiPriority w:val="99"/>
    <w:rPr>
      <w:rFonts w:ascii="黑体" w:hAnsi="Calibri" w:eastAsia="黑体"/>
      <w:kern w:val="2"/>
      <w:sz w:val="22"/>
      <w:lang w:val="en-US" w:eastAsia="zh-CN"/>
    </w:rPr>
  </w:style>
  <w:style w:type="paragraph" w:customStyle="1" w:styleId="18">
    <w:name w:val="章标题"/>
    <w:next w:val="19"/>
    <w:link w:val="17"/>
    <w:qFormat/>
    <w:uiPriority w:val="99"/>
    <w:pPr>
      <w:spacing w:beforeLines="100" w:afterLines="100"/>
      <w:ind w:left="544" w:hanging="181"/>
      <w:jc w:val="both"/>
      <w:outlineLvl w:val="1"/>
    </w:pPr>
    <w:rPr>
      <w:rFonts w:ascii="黑体" w:hAnsi="Calibri" w:eastAsia="黑体" w:cs="Times New Roman"/>
      <w:kern w:val="2"/>
      <w:sz w:val="21"/>
      <w:szCs w:val="22"/>
      <w:lang w:val="en-US" w:eastAsia="zh-CN" w:bidi="ar-SA"/>
    </w:rPr>
  </w:style>
  <w:style w:type="paragraph" w:customStyle="1" w:styleId="19">
    <w:name w:val="段"/>
    <w:link w:val="22"/>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character" w:customStyle="1" w:styleId="20">
    <w:name w:val="一级条标题 Char"/>
    <w:link w:val="21"/>
    <w:qFormat/>
    <w:locked/>
    <w:uiPriority w:val="99"/>
    <w:rPr>
      <w:rFonts w:ascii="黑体" w:hAnsi="Calibri" w:eastAsia="黑体"/>
      <w:kern w:val="2"/>
      <w:sz w:val="21"/>
      <w:lang w:val="en-US" w:eastAsia="zh-CN"/>
    </w:rPr>
  </w:style>
  <w:style w:type="paragraph" w:customStyle="1" w:styleId="21">
    <w:name w:val="一级条标题"/>
    <w:next w:val="19"/>
    <w:link w:val="20"/>
    <w:qFormat/>
    <w:uiPriority w:val="99"/>
    <w:pPr>
      <w:tabs>
        <w:tab w:val="left" w:pos="57"/>
      </w:tabs>
      <w:spacing w:beforeLines="50" w:afterLines="50"/>
      <w:ind w:left="363" w:hanging="363"/>
      <w:outlineLvl w:val="2"/>
    </w:pPr>
    <w:rPr>
      <w:rFonts w:ascii="黑体" w:hAnsi="Calibri" w:eastAsia="黑体" w:cs="Times New Roman"/>
      <w:kern w:val="2"/>
      <w:sz w:val="21"/>
      <w:szCs w:val="21"/>
      <w:lang w:val="en-US" w:eastAsia="zh-CN" w:bidi="ar-SA"/>
    </w:rPr>
  </w:style>
  <w:style w:type="character" w:customStyle="1" w:styleId="22">
    <w:name w:val="段 Char"/>
    <w:link w:val="19"/>
    <w:qFormat/>
    <w:locked/>
    <w:uiPriority w:val="99"/>
    <w:rPr>
      <w:rFonts w:ascii="宋体"/>
      <w:kern w:val="2"/>
      <w:sz w:val="22"/>
      <w:lang w:val="en-US" w:eastAsia="zh-CN"/>
    </w:rPr>
  </w:style>
  <w:style w:type="paragraph" w:customStyle="1" w:styleId="23">
    <w:name w:val="前言、引言标题"/>
    <w:next w:val="19"/>
    <w:qFormat/>
    <w:uiPriority w:val="99"/>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24">
    <w:name w:val="正文表标题"/>
    <w:next w:val="19"/>
    <w:qFormat/>
    <w:uiPriority w:val="99"/>
    <w:pPr>
      <w:tabs>
        <w:tab w:val="left" w:pos="360"/>
      </w:tabs>
      <w:spacing w:beforeLines="50" w:afterLines="50"/>
      <w:jc w:val="center"/>
    </w:pPr>
    <w:rPr>
      <w:rFonts w:ascii="黑体" w:hAnsi="Times New Roman" w:eastAsia="黑体" w:cs="Times New Roman"/>
      <w:kern w:val="0"/>
      <w:sz w:val="21"/>
      <w:szCs w:val="20"/>
      <w:lang w:val="en-US" w:eastAsia="zh-CN" w:bidi="ar-SA"/>
    </w:rPr>
  </w:style>
  <w:style w:type="paragraph" w:customStyle="1" w:styleId="25">
    <w:name w:val="标准书眉_奇数页"/>
    <w:next w:val="1"/>
    <w:qFormat/>
    <w:uiPriority w:val="99"/>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paragraph" w:customStyle="1" w:styleId="26">
    <w:name w:val="二级条标题"/>
    <w:basedOn w:val="21"/>
    <w:next w:val="19"/>
    <w:qFormat/>
    <w:uiPriority w:val="99"/>
    <w:pPr>
      <w:spacing w:before="50" w:after="50"/>
      <w:outlineLvl w:val="3"/>
    </w:pPr>
  </w:style>
  <w:style w:type="paragraph" w:customStyle="1" w:styleId="27">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28">
    <w:name w:val="封面标准英文名称"/>
    <w:basedOn w:val="29"/>
    <w:qFormat/>
    <w:uiPriority w:val="99"/>
    <w:pPr>
      <w:framePr w:wrap="around"/>
      <w:spacing w:before="370" w:line="400" w:lineRule="exact"/>
    </w:pPr>
    <w:rPr>
      <w:rFonts w:ascii="Times New Roman"/>
      <w:sz w:val="28"/>
      <w:szCs w:val="28"/>
    </w:rPr>
  </w:style>
  <w:style w:type="paragraph" w:customStyle="1" w:styleId="29">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30">
    <w:name w:val="目次、标准名称标题"/>
    <w:basedOn w:val="1"/>
    <w:next w:val="19"/>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1">
    <w:name w:val="封面一致性程度标识"/>
    <w:basedOn w:val="28"/>
    <w:qFormat/>
    <w:uiPriority w:val="99"/>
    <w:pPr>
      <w:framePr w:wrap="around"/>
      <w:spacing w:before="440"/>
    </w:pPr>
    <w:rPr>
      <w:rFonts w:ascii="宋体" w:eastAsia="宋体"/>
    </w:rPr>
  </w:style>
  <w:style w:type="paragraph" w:customStyle="1" w:styleId="32">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kern w:val="0"/>
      <w:sz w:val="48"/>
      <w:szCs w:val="20"/>
      <w:lang w:val="en-US" w:eastAsia="zh-CN" w:bidi="ar-SA"/>
    </w:rPr>
  </w:style>
  <w:style w:type="paragraph" w:customStyle="1" w:styleId="33">
    <w:name w:val="标准书脚_奇数页"/>
    <w:qFormat/>
    <w:uiPriority w:val="99"/>
    <w:pPr>
      <w:spacing w:before="120"/>
      <w:ind w:right="198"/>
      <w:jc w:val="right"/>
    </w:pPr>
    <w:rPr>
      <w:rFonts w:ascii="宋体" w:hAnsi="Times New Roman" w:eastAsia="宋体" w:cs="Times New Roman"/>
      <w:kern w:val="0"/>
      <w:sz w:val="18"/>
      <w:szCs w:val="18"/>
      <w:lang w:val="en-US" w:eastAsia="zh-CN" w:bidi="ar-SA"/>
    </w:rPr>
  </w:style>
  <w:style w:type="paragraph" w:customStyle="1" w:styleId="34">
    <w:name w:val="其他发布日期"/>
    <w:basedOn w:val="1"/>
    <w:qFormat/>
    <w:uiPriority w:val="99"/>
    <w:pPr>
      <w:framePr w:w="3997" w:h="471" w:hRule="exact" w:vSpace="181" w:wrap="around" w:vAnchor="page" w:hAnchor="page" w:x="1419" w:y="14097" w:anchorLock="1"/>
      <w:widowControl/>
      <w:jc w:val="left"/>
    </w:pPr>
    <w:rPr>
      <w:rFonts w:eastAsia="黑体"/>
      <w:kern w:val="0"/>
      <w:sz w:val="28"/>
      <w:szCs w:val="20"/>
    </w:rPr>
  </w:style>
  <w:style w:type="paragraph" w:styleId="35">
    <w:name w:val="List Paragraph"/>
    <w:basedOn w:val="1"/>
    <w:qFormat/>
    <w:uiPriority w:val="99"/>
    <w:pPr>
      <w:ind w:firstLine="420" w:firstLineChars="200"/>
    </w:pPr>
    <w:rPr>
      <w:rFonts w:ascii="Calibri" w:hAnsi="Calibri"/>
      <w:szCs w:val="22"/>
    </w:rPr>
  </w:style>
  <w:style w:type="paragraph" w:customStyle="1" w:styleId="36">
    <w:name w:val="发布部门"/>
    <w:next w:val="19"/>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kern w:val="0"/>
      <w:sz w:val="28"/>
      <w:szCs w:val="20"/>
      <w:lang w:val="en-US" w:eastAsia="zh-CN" w:bidi="ar-SA"/>
    </w:rPr>
  </w:style>
  <w:style w:type="paragraph" w:customStyle="1" w:styleId="37">
    <w:name w:val="其他实施日期"/>
    <w:basedOn w:val="1"/>
    <w:qFormat/>
    <w:uiPriority w:val="99"/>
    <w:pPr>
      <w:framePr w:w="3997" w:h="471" w:hRule="exact" w:vSpace="181" w:wrap="around" w:vAnchor="page" w:hAnchor="page" w:x="7089" w:y="14097" w:anchorLock="1"/>
      <w:widowControl/>
      <w:jc w:val="right"/>
    </w:pPr>
    <w:rPr>
      <w:rFonts w:eastAsia="黑体"/>
      <w:kern w:val="0"/>
      <w:sz w:val="28"/>
      <w:szCs w:val="20"/>
    </w:rPr>
  </w:style>
  <w:style w:type="paragraph" w:customStyle="1" w:styleId="38">
    <w:name w:val="Body text|1"/>
    <w:basedOn w:val="1"/>
    <w:qFormat/>
    <w:uiPriority w:val="99"/>
    <w:pPr>
      <w:spacing w:line="346" w:lineRule="auto"/>
    </w:pPr>
    <w:rPr>
      <w:rFonts w:ascii="宋体" w:hAnsi="宋体" w:cs="宋体"/>
      <w:sz w:val="18"/>
      <w:szCs w:val="18"/>
      <w:lang w:val="zh-TW" w:eastAsia="zh-TW"/>
    </w:rPr>
  </w:style>
  <w:style w:type="paragraph" w:customStyle="1" w:styleId="39">
    <w:name w:val="Body text|3"/>
    <w:basedOn w:val="1"/>
    <w:qFormat/>
    <w:uiPriority w:val="99"/>
    <w:pPr>
      <w:spacing w:line="326" w:lineRule="auto"/>
      <w:ind w:firstLine="420"/>
    </w:pPr>
    <w:rPr>
      <w:sz w:val="20"/>
      <w:szCs w:val="20"/>
    </w:rPr>
  </w:style>
  <w:style w:type="paragraph" w:customStyle="1" w:styleId="40">
    <w:name w:val="Other|1"/>
    <w:basedOn w:val="1"/>
    <w:qFormat/>
    <w:uiPriority w:val="99"/>
    <w:rPr>
      <w:sz w:val="18"/>
      <w:szCs w:val="18"/>
    </w:rPr>
  </w:style>
  <w:style w:type="paragraph" w:customStyle="1" w:styleId="41">
    <w:name w:val="Other|2"/>
    <w:basedOn w:val="1"/>
    <w:qFormat/>
    <w:uiPriority w:val="99"/>
    <w:pPr>
      <w:spacing w:line="215" w:lineRule="exact"/>
      <w:jc w:val="center"/>
    </w:pPr>
    <w:rPr>
      <w:rFonts w:ascii="宋体" w:hAnsi="宋体" w:cs="宋体"/>
      <w:sz w:val="20"/>
      <w:szCs w:val="20"/>
      <w:lang w:val="zh-TW" w:eastAsia="zh-TW"/>
    </w:rPr>
  </w:style>
  <w:style w:type="paragraph" w:customStyle="1" w:styleId="42">
    <w:name w:val="Header or footer|2"/>
    <w:basedOn w:val="1"/>
    <w:qFormat/>
    <w:uiPriority w:val="99"/>
    <w:rPr>
      <w:sz w:val="20"/>
      <w:szCs w:val="20"/>
    </w:rPr>
  </w:style>
  <w:style w:type="paragraph" w:customStyle="1" w:styleId="43">
    <w:name w:val="字母编号列项（一级）"/>
    <w:qFormat/>
    <w:uiPriority w:val="99"/>
    <w:pPr>
      <w:numPr>
        <w:ilvl w:val="0"/>
        <w:numId w:val="2"/>
      </w:numPr>
      <w:jc w:val="both"/>
    </w:pPr>
    <w:rPr>
      <w:rFonts w:ascii="Times New Roman" w:hAnsi="Times New Roman" w:eastAsia="宋体" w:cs="Times New Roman"/>
      <w:kern w:val="0"/>
      <w:sz w:val="21"/>
      <w:szCs w:val="20"/>
      <w:lang w:val="en-US" w:eastAsia="zh-CN" w:bidi="ar-SA"/>
    </w:rPr>
  </w:style>
  <w:style w:type="paragraph" w:customStyle="1" w:styleId="44">
    <w:name w:val="Body text|2"/>
    <w:basedOn w:val="1"/>
    <w:qFormat/>
    <w:uiPriority w:val="99"/>
    <w:pPr>
      <w:shd w:val="clear" w:color="auto" w:fill="FFFFFF"/>
      <w:spacing w:after="2880" w:line="232" w:lineRule="exact"/>
    </w:pPr>
    <w:rPr>
      <w:rFonts w:ascii="PMingLiU" w:hAnsi="PMingLiU" w:eastAsia="PMingLiU"/>
      <w:spacing w:val="10"/>
      <w:kern w:val="0"/>
      <w:sz w:val="19"/>
      <w:szCs w:val="19"/>
    </w:rPr>
  </w:style>
  <w:style w:type="character" w:customStyle="1" w:styleId="45">
    <w:name w:val="Body text|2 + 8.5 pt"/>
    <w:qFormat/>
    <w:uiPriority w:val="99"/>
    <w:rPr>
      <w:rFonts w:ascii="PMingLiU" w:hAnsi="PMingLiU" w:eastAsia="PMingLiU"/>
      <w:color w:val="000000"/>
      <w:spacing w:val="0"/>
      <w:w w:val="100"/>
      <w:position w:val="0"/>
      <w:sz w:val="17"/>
      <w:u w:val="none"/>
      <w:lang w:val="zh-CN" w:eastAsia="zh-CN"/>
    </w:rPr>
  </w:style>
  <w:style w:type="character" w:customStyle="1" w:styleId="46">
    <w:name w:val="段 Char Char"/>
    <w:qFormat/>
    <w:uiPriority w:val="99"/>
    <w:rPr>
      <w:rFonts w:ascii="宋体"/>
      <w:sz w:val="21"/>
      <w:lang w:val="en-US" w:eastAsia="zh-CN"/>
    </w:rPr>
  </w:style>
  <w:style w:type="paragraph" w:customStyle="1" w:styleId="47">
    <w:name w:val="实施日期"/>
    <w:basedOn w:val="1"/>
    <w:qFormat/>
    <w:uiPriority w:val="99"/>
    <w:pPr>
      <w:framePr w:w="4000" w:h="473" w:hRule="exact" w:vSpace="180" w:wrap="around" w:vAnchor="margin" w:hAnchor="margin" w:xAlign="right" w:y="13511" w:anchorLock="1"/>
      <w:widowControl/>
      <w:jc w:val="right"/>
    </w:pPr>
    <w:rPr>
      <w:rFonts w:eastAsia="黑体"/>
      <w:kern w:val="0"/>
      <w:sz w:val="28"/>
      <w:szCs w:val="20"/>
    </w:rPr>
  </w:style>
  <w:style w:type="paragraph" w:customStyle="1" w:styleId="48">
    <w:name w:val="图表脚注"/>
    <w:next w:val="19"/>
    <w:qFormat/>
    <w:uiPriority w:val="99"/>
    <w:pPr>
      <w:ind w:left="300" w:leftChars="200" w:hanging="100" w:hangingChars="100"/>
      <w:jc w:val="both"/>
    </w:pPr>
    <w:rPr>
      <w:rFonts w:ascii="宋体" w:hAnsi="Times New Roman" w:eastAsia="宋体" w:cs="Times New Roman"/>
      <w:kern w:val="0"/>
      <w:sz w:val="18"/>
      <w:szCs w:val="20"/>
      <w:lang w:val="en-US" w:eastAsia="zh-CN" w:bidi="ar-SA"/>
    </w:rPr>
  </w:style>
  <w:style w:type="paragraph" w:customStyle="1" w:styleId="49">
    <w:name w:val="附录表标题"/>
    <w:next w:val="19"/>
    <w:qFormat/>
    <w:uiPriority w:val="99"/>
    <w:pPr>
      <w:numPr>
        <w:ilvl w:val="0"/>
        <w:numId w:val="3"/>
      </w:numPr>
      <w:jc w:val="center"/>
      <w:textAlignment w:val="baseline"/>
    </w:pPr>
    <w:rPr>
      <w:rFonts w:ascii="黑体" w:hAnsi="Times New Roman" w:eastAsia="黑体" w:cs="Times New Roman"/>
      <w:kern w:val="21"/>
      <w:sz w:val="21"/>
      <w:szCs w:val="20"/>
      <w:lang w:val="en-US" w:eastAsia="zh-CN" w:bidi="ar-SA"/>
    </w:rPr>
  </w:style>
  <w:style w:type="paragraph" w:customStyle="1" w:styleId="50">
    <w:name w:val="附录一级条标题"/>
    <w:basedOn w:val="1"/>
    <w:next w:val="19"/>
    <w:qFormat/>
    <w:uiPriority w:val="99"/>
    <w:pPr>
      <w:widowControl/>
      <w:numPr>
        <w:ilvl w:val="1"/>
        <w:numId w:val="4"/>
      </w:numPr>
      <w:wordWrap w:val="0"/>
      <w:overflowPunct w:val="0"/>
      <w:autoSpaceDE w:val="0"/>
      <w:autoSpaceDN w:val="0"/>
      <w:textAlignment w:val="baseline"/>
      <w:outlineLvl w:val="2"/>
    </w:pPr>
    <w:rPr>
      <w:rFonts w:ascii="黑体" w:eastAsia="黑体"/>
      <w:kern w:val="21"/>
      <w:szCs w:val="20"/>
    </w:rPr>
  </w:style>
  <w:style w:type="paragraph" w:customStyle="1" w:styleId="51">
    <w:name w:val="附录二级条标题"/>
    <w:basedOn w:val="50"/>
    <w:next w:val="19"/>
    <w:qFormat/>
    <w:uiPriority w:val="99"/>
    <w:pPr>
      <w:numPr>
        <w:ilvl w:val="2"/>
      </w:numPr>
      <w:outlineLvl w:val="3"/>
    </w:pPr>
  </w:style>
  <w:style w:type="paragraph" w:customStyle="1" w:styleId="52">
    <w:name w:val="附录三级条标题"/>
    <w:basedOn w:val="51"/>
    <w:next w:val="19"/>
    <w:qFormat/>
    <w:uiPriority w:val="99"/>
    <w:pPr>
      <w:numPr>
        <w:ilvl w:val="3"/>
      </w:numPr>
      <w:outlineLvl w:val="4"/>
    </w:pPr>
  </w:style>
  <w:style w:type="paragraph" w:customStyle="1" w:styleId="53">
    <w:name w:val="附录四级条标题"/>
    <w:basedOn w:val="52"/>
    <w:next w:val="19"/>
    <w:qFormat/>
    <w:uiPriority w:val="99"/>
    <w:pPr>
      <w:numPr>
        <w:ilvl w:val="4"/>
      </w:numPr>
      <w:outlineLvl w:val="5"/>
    </w:pPr>
  </w:style>
  <w:style w:type="paragraph" w:customStyle="1" w:styleId="54">
    <w:name w:val="附录图标题"/>
    <w:next w:val="19"/>
    <w:qFormat/>
    <w:uiPriority w:val="99"/>
    <w:pPr>
      <w:numPr>
        <w:ilvl w:val="0"/>
        <w:numId w:val="5"/>
      </w:numPr>
      <w:jc w:val="center"/>
    </w:pPr>
    <w:rPr>
      <w:rFonts w:ascii="黑体" w:hAnsi="Times New Roman" w:eastAsia="黑体" w:cs="Times New Roman"/>
      <w:kern w:val="0"/>
      <w:sz w:val="21"/>
      <w:szCs w:val="20"/>
      <w:lang w:val="en-US" w:eastAsia="zh-CN" w:bidi="ar-SA"/>
    </w:rPr>
  </w:style>
  <w:style w:type="character" w:customStyle="1" w:styleId="55">
    <w:name w:val="EmailStyle65"/>
    <w:qFormat/>
    <w:uiPriority w:val="99"/>
    <w:rPr>
      <w:rFonts w:ascii="Arial" w:hAnsi="Arial" w:eastAsia="宋体"/>
      <w:color w:val="auto"/>
      <w:sz w:val="20"/>
    </w:rPr>
  </w:style>
  <w:style w:type="paragraph" w:customStyle="1" w:styleId="56">
    <w:name w:val="附录标识"/>
    <w:basedOn w:val="23"/>
    <w:qFormat/>
    <w:uiPriority w:val="99"/>
    <w:pPr>
      <w:keepNext w:val="0"/>
      <w:pageBreakBefore w:val="0"/>
      <w:numPr>
        <w:ilvl w:val="0"/>
        <w:numId w:val="6"/>
      </w:numPr>
      <w:tabs>
        <w:tab w:val="left" w:pos="6405"/>
      </w:tabs>
      <w:spacing w:after="200"/>
    </w:pPr>
    <w:rPr>
      <w:sz w:val="21"/>
    </w:rPr>
  </w:style>
  <w:style w:type="paragraph" w:customStyle="1" w:styleId="57">
    <w:name w:val="附录表标号"/>
    <w:basedOn w:val="1"/>
    <w:qFormat/>
    <w:uiPriority w:val="99"/>
    <w:pPr>
      <w:tabs>
        <w:tab w:val="left" w:pos="525"/>
      </w:tabs>
      <w:spacing w:line="14" w:lineRule="exact"/>
      <w:ind w:left="811" w:hanging="448"/>
      <w:jc w:val="center"/>
      <w:outlineLvl w:val="0"/>
    </w:pPr>
    <w:rPr>
      <w:color w:va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11</Pages>
  <Words>3518</Words>
  <Characters>4696</Characters>
  <Lines>0</Lines>
  <Paragraphs>0</Paragraphs>
  <TotalTime>1</TotalTime>
  <ScaleCrop>false</ScaleCrop>
  <LinksUpToDate>false</LinksUpToDate>
  <CharactersWithSpaces>5011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2023-08-31T07:40:00Z</dcterms:created>
  <dc:creator>王然</dc:creator>
  <cp:lastModifiedBy>Feeling</cp:lastModifiedBy>
  <cp:lastPrinted>2023-09-01T08:30:46Z</cp:lastPrinted>
  <dcterms:modified xsi:type="dcterms:W3CDTF">2023-09-01T09:14:04Z</dcterms:modified>
  <dc:title>团体标准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83B7A3238E6D485685DFA2B2738567A5</vt:lpwstr>
  </property>
</Properties>
</file>