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4"/>
        <w:framePr w:w="0" w:hRule="auto" w:wrap="around" w:x="1590" w:y="2356"/>
        <w:rPr>
          <w:rFonts w:ascii="Times New Roman"/>
          <w:color w:val="000000"/>
          <w:szCs w:val="48"/>
        </w:rPr>
      </w:pPr>
      <w:r>
        <w:rPr>
          <w:rFonts w:ascii="Times New Roman"/>
          <w:color w:val="000000"/>
        </w:rPr>
        <w:t>团体标准</w:t>
      </w:r>
    </w:p>
    <w:p>
      <w:pPr>
        <w:pStyle w:val="85"/>
        <w:framePr w:wrap="around"/>
        <w:pBdr>
          <w:bottom w:val="single" w:color="auto" w:sz="4" w:space="1"/>
        </w:pBdr>
        <w:wordWrap w:val="0"/>
        <w:rPr>
          <w:rFonts w:ascii="Times New Roman" w:eastAsia="宋体"/>
        </w:rPr>
      </w:pPr>
      <w:r>
        <w:rPr>
          <w:rFonts w:ascii="Times New Roman" w:eastAsia="宋体"/>
        </w:rPr>
        <w:t>T/SSEA XXXX—XXXX</w:t>
      </w:r>
    </w:p>
    <w:p>
      <w:pPr>
        <w:pStyle w:val="85"/>
        <w:framePr w:wrap="around"/>
        <w:pBdr>
          <w:bottom w:val="single" w:color="auto" w:sz="4" w:space="1"/>
        </w:pBdr>
        <w:wordWrap w:val="0"/>
        <w:spacing w:before="120"/>
        <w:rPr>
          <w:rFonts w:ascii="Times New Roman" w:eastAsia="宋体"/>
        </w:rPr>
      </w:pPr>
      <w:r>
        <w:rPr>
          <w:rFonts w:ascii="Times New Roman" w:eastAsia="宋体"/>
        </w:rPr>
        <w:t>T/CSTA XXXX—XXXX</w:t>
      </w:r>
    </w:p>
    <w:p>
      <w:pPr>
        <w:pStyle w:val="85"/>
        <w:framePr w:wrap="around"/>
        <w:rPr>
          <w:rFonts w:ascii="Times New Roman" w:eastAsia="宋体"/>
        </w:rPr>
      </w:pPr>
    </w:p>
    <w:p>
      <w:pPr>
        <w:pStyle w:val="85"/>
        <w:framePr w:wrap="around"/>
        <w:rPr>
          <w:rFonts w:ascii="Times New Roman" w:eastAsia="宋体"/>
        </w:rPr>
      </w:pPr>
    </w:p>
    <w:p>
      <w:pPr>
        <w:pStyle w:val="75"/>
        <w:framePr w:w="9108" w:wrap="around" w:x="1455" w:y="5231"/>
        <w:rPr>
          <w:rFonts w:ascii="Times New Roman"/>
        </w:rPr>
      </w:pPr>
      <w:r>
        <w:rPr>
          <w:rFonts w:ascii="Times New Roman"/>
        </w:rPr>
        <w:t>绿色设计产品评价技术规范 特殊用途热轧圆钢</w:t>
      </w:r>
    </w:p>
    <w:p>
      <w:pPr>
        <w:pStyle w:val="74"/>
        <w:framePr w:w="9108" w:wrap="around" w:x="1455" w:y="5231"/>
      </w:pPr>
      <w:r>
        <w:t>Technical specification for green-design product assessment                 Hot rolled steel bar for special application</w:t>
      </w:r>
    </w:p>
    <w:p>
      <w:pPr>
        <w:pStyle w:val="73"/>
        <w:framePr w:w="9108" w:wrap="around" w:x="1455" w:y="5231"/>
        <w:spacing w:before="156" w:after="156"/>
        <w:rPr>
          <w:rFonts w:ascii="Times New Roman"/>
        </w:rPr>
      </w:pPr>
    </w:p>
    <w:p>
      <w:pPr>
        <w:pStyle w:val="116"/>
        <w:framePr w:wrap="around" w:hAnchor="page" w:x="1175" w:y="14086"/>
        <w:rPr>
          <w:rFonts w:eastAsia="宋体"/>
        </w:rPr>
      </w:pPr>
      <w:bookmarkStart w:id="0" w:name="FM"/>
      <w:r>
        <mc:AlternateContent>
          <mc:Choice Requires="wps">
            <w:drawing>
              <wp:anchor distT="0" distB="0" distL="114300" distR="114300" simplePos="0" relativeHeight="251659264" behindDoc="1" locked="0" layoutInCell="1" allowOverlap="1">
                <wp:simplePos x="0" y="0"/>
                <wp:positionH relativeFrom="column">
                  <wp:posOffset>12700</wp:posOffset>
                </wp:positionH>
                <wp:positionV relativeFrom="paragraph">
                  <wp:posOffset>342900</wp:posOffset>
                </wp:positionV>
                <wp:extent cx="5948680" cy="0"/>
                <wp:effectExtent l="0" t="0" r="33020" b="19050"/>
                <wp:wrapTight wrapText="bothSides">
                  <wp:wrapPolygon>
                    <wp:start x="0" y="-1"/>
                    <wp:lineTo x="0" y="-1"/>
                    <wp:lineTo x="21651" y="-1"/>
                    <wp:lineTo x="21651" y="-1"/>
                    <wp:lineTo x="0" y="-1"/>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pt;margin-top:27pt;height:0pt;width:468.4pt;mso-wrap-distance-left:9pt;mso-wrap-distance-right:9pt;z-index:-251657216;mso-width-relative:page;mso-height-relative:page;" filled="f" stroked="t" coordsize="21600,21600" wrapcoords="0 -1 0 -1 21651 -1 21651 -1 0 -1" o:gfxdata="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21UybVAAAABwEAAA8AAAAAAAAAAQAgAAAAIgAAAGRycy9kb3du&#10;cmV2LnhtbFBLAQIUABQAAAAIAIdO4kA8CvUmyQEAAJ8DAAAOAAAAAAAAAAEAIAAAACQBAABkcnMv&#10;ZTJvRG9jLnhtbFBLBQYAAAAABgAGAFkBAABfBQAAAAA=&#10;">
                <v:fill on="f" focussize="0,0"/>
                <v:stroke color="#000000" joinstyle="round"/>
                <v:imagedata o:title=""/>
                <o:lock v:ext="edit" aspectratio="f"/>
                <w10:wrap type="tight"/>
              </v:line>
            </w:pict>
          </mc:Fallback>
        </mc:AlternateContent>
      </w:r>
      <w:r>
        <w:rPr>
          <w:rFonts w:eastAsia="宋体"/>
        </w:rPr>
        <w:t>XXXX-</w:t>
      </w:r>
      <w:bookmarkEnd w:id="0"/>
      <w:r>
        <w:rPr>
          <w:rFonts w:eastAsia="宋体"/>
        </w:rPr>
        <w:t>XX-XX</w:t>
      </w:r>
      <w:r>
        <w:t>发布</w:t>
      </w:r>
    </w:p>
    <w:p>
      <w:pPr>
        <w:pStyle w:val="147"/>
        <w:framePr w:wrap="around" w:hAnchor="page" w:x="6661" w:y="14041"/>
      </w:pPr>
      <w:r>
        <w:rPr>
          <w:rFonts w:eastAsia="宋体"/>
        </w:rPr>
        <w:t>XXXX-XX-XX</w:t>
      </w:r>
      <w:r>
        <w:t>实施</w:t>
      </w:r>
    </w:p>
    <w:p>
      <w:pPr>
        <w:pStyle w:val="141"/>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41"/>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50"/>
          <w:rFonts w:ascii="Times New Roman" w:eastAsia="宋体"/>
        </w:rPr>
        <w:t>发布</w:t>
      </w:r>
    </w:p>
    <w:p>
      <w:pPr>
        <w:pStyle w:val="141"/>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4"/>
        <w:spacing w:line="340" w:lineRule="exact"/>
        <w:rPr>
          <w:rFonts w:ascii="Times New Roman"/>
          <w:kern w:val="2"/>
          <w:sz w:val="22"/>
          <w:szCs w:val="22"/>
        </w:rPr>
      </w:pPr>
      <w:r>
        <w:rPr>
          <w:rFonts w:ascii="Times New Roman"/>
        </w:rPr>
        <w:t>ICS</w:t>
      </w:r>
      <w:r>
        <w:rPr>
          <w:rFonts w:ascii="Times New Roman"/>
          <w:kern w:val="2"/>
          <w:sz w:val="22"/>
          <w:szCs w:val="22"/>
        </w:rPr>
        <w:t xml:space="preserve"> 77.140.70</w:t>
      </w:r>
    </w:p>
    <w:p>
      <w:pPr>
        <w:pStyle w:val="24"/>
        <w:spacing w:line="340" w:lineRule="exact"/>
        <w:rPr>
          <w:rFonts w:ascii="Times New Roman"/>
        </w:rPr>
      </w:pPr>
      <w:r>
        <w:rPr>
          <w:rFonts w:ascii="Times New Roman"/>
        </w:rPr>
        <w:t>CCS H 44</w:t>
      </w:r>
    </w:p>
    <w:p>
      <w:pPr>
        <w:pStyle w:val="24"/>
        <w:spacing w:line="340" w:lineRule="exact"/>
        <w:rPr>
          <w:rFonts w:ascii="Times New Roman"/>
        </w:rPr>
      </w:pPr>
    </w:p>
    <w:p>
      <w:pPr>
        <w:jc w:val="center"/>
        <w:rPr>
          <w:spacing w:val="20"/>
          <w:sz w:val="28"/>
          <w:szCs w:val="28"/>
        </w:rPr>
      </w:pPr>
    </w:p>
    <w:p>
      <w:pPr>
        <w:jc w:val="center"/>
        <w:rPr>
          <w:spacing w:val="20"/>
          <w:sz w:val="28"/>
          <w:szCs w:val="28"/>
        </w:rPr>
      </w:pP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spacing w:before="640" w:after="560"/>
        <w:jc w:val="center"/>
        <w:outlineLvl w:val="0"/>
        <w:rPr>
          <w:rFonts w:eastAsia="黑体"/>
          <w:kern w:val="0"/>
          <w:sz w:val="32"/>
          <w:szCs w:val="20"/>
        </w:rPr>
      </w:pPr>
      <w:bookmarkStart w:id="1" w:name="_Toc520380389"/>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rPr>
          <w:szCs w:val="21"/>
        </w:rPr>
      </w:pPr>
      <w:r>
        <w:rPr>
          <w:szCs w:val="21"/>
        </w:rPr>
        <w:drawing>
          <wp:inline distT="0" distB="0" distL="114300" distR="114300">
            <wp:extent cx="808990" cy="765175"/>
            <wp:effectExtent l="0" t="0" r="1016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808990" cy="765175"/>
                    </a:xfrm>
                    <a:prstGeom prst="rect">
                      <a:avLst/>
                    </a:prstGeom>
                    <a:noFill/>
                    <a:ln>
                      <a:noFill/>
                    </a:ln>
                  </pic:spPr>
                </pic:pic>
              </a:graphicData>
            </a:graphic>
          </wp:inline>
        </w:drawing>
      </w:r>
      <w:r>
        <w:rPr>
          <w:szCs w:val="21"/>
        </w:rPr>
        <w:t xml:space="preserve"> 版权保护文件</w:t>
      </w:r>
    </w:p>
    <w:p>
      <w:pPr>
        <w:spacing w:before="156" w:beforeLines="50" w:after="156" w:afterLines="50"/>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88"/>
        <w:rPr>
          <w:rFonts w:ascii="Times New Roman"/>
        </w:rPr>
      </w:pPr>
      <w:r>
        <w:rPr>
          <w:rFonts w:ascii="Times New Roman"/>
        </w:rPr>
        <w:t>前言</w:t>
      </w:r>
      <w:bookmarkEnd w:id="1"/>
    </w:p>
    <w:p>
      <w:pPr>
        <w:pStyle w:val="24"/>
        <w:rPr>
          <w:rFonts w:ascii="Times New Roman"/>
        </w:rPr>
      </w:pPr>
      <w:r>
        <w:rPr>
          <w:rFonts w:ascii="Times New Roman"/>
        </w:rPr>
        <w:t>本文件按照GB/T 1.1-2020《标准化工作导则  第1部分：标准化文件的结构和起草规则》的规定起草。</w:t>
      </w:r>
    </w:p>
    <w:p>
      <w:pPr>
        <w:pStyle w:val="24"/>
        <w:rPr>
          <w:rFonts w:ascii="Times New Roman"/>
        </w:rPr>
      </w:pPr>
      <w:r>
        <w:rPr>
          <w:rFonts w:ascii="Times New Roman"/>
        </w:rPr>
        <w:t>请注意本文件的某些内容可能涉及专利。本文件的发布机构不承担识别专利的责任。</w:t>
      </w:r>
    </w:p>
    <w:p>
      <w:pPr>
        <w:ind w:firstLine="420" w:firstLineChars="200"/>
        <w:rPr>
          <w:rFonts w:ascii="Times New Roman"/>
        </w:rPr>
      </w:pPr>
      <w:r>
        <w:rPr>
          <w:rFonts w:ascii="Times New Roman" w:hAnsi="Times New Roman" w:eastAsia="宋体" w:cs="Times New Roman"/>
          <w:szCs w:val="21"/>
        </w:rPr>
        <w:t>本标准由中国特钢企业协会团体标准化工作委员会</w:t>
      </w:r>
      <w:r>
        <w:rPr>
          <w:rFonts w:hint="eastAsia" w:ascii="Times New Roman" w:hAnsi="Times New Roman" w:eastAsia="宋体" w:cs="Times New Roman"/>
        </w:rPr>
        <w:t>、中关村不锈及特种合金新材料产业技术创新联盟标准化工作委员会联合</w:t>
      </w:r>
      <w:r>
        <w:rPr>
          <w:rFonts w:ascii="Times New Roman" w:hAnsi="Times New Roman" w:eastAsia="宋体" w:cs="Times New Roman"/>
        </w:rPr>
        <w:t>提出并归口。</w:t>
      </w:r>
      <w:bookmarkStart w:id="22" w:name="_GoBack"/>
      <w:bookmarkEnd w:id="22"/>
    </w:p>
    <w:p>
      <w:pPr>
        <w:pStyle w:val="24"/>
        <w:rPr>
          <w:rFonts w:ascii="Times New Roman"/>
        </w:rPr>
      </w:pPr>
      <w:r>
        <w:rPr>
          <w:rFonts w:ascii="Times New Roman"/>
        </w:rPr>
        <w:t>本文件起草单位：</w:t>
      </w:r>
    </w:p>
    <w:p>
      <w:pPr>
        <w:pStyle w:val="24"/>
        <w:rPr>
          <w:rFonts w:ascii="Times New Roman"/>
        </w:rPr>
      </w:pPr>
      <w:r>
        <w:rPr>
          <w:rFonts w:ascii="Times New Roman"/>
        </w:rPr>
        <w:t>本文件主要起草人：</w:t>
      </w:r>
    </w:p>
    <w:p>
      <w:pPr>
        <w:pStyle w:val="24"/>
        <w:rPr>
          <w:rFonts w:ascii="Times New Roman"/>
        </w:rPr>
      </w:pPr>
    </w:p>
    <w:p>
      <w:pPr>
        <w:pStyle w:val="24"/>
        <w:rPr>
          <w:rFonts w:ascii="Times New Roman"/>
        </w:rPr>
      </w:pPr>
    </w:p>
    <w:p>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p>
    <w:p>
      <w:pPr>
        <w:pStyle w:val="65"/>
        <w:spacing w:after="624" w:afterLines="200"/>
        <w:rPr>
          <w:rFonts w:ascii="Times New Roman"/>
        </w:rPr>
      </w:pPr>
      <w:r>
        <w:rPr>
          <w:rFonts w:ascii="Times New Roman"/>
        </w:rPr>
        <w:t>绿色设计产品评价技术规范  特殊用途热轧圆钢</w:t>
      </w:r>
    </w:p>
    <w:p>
      <w:pPr>
        <w:pStyle w:val="52"/>
        <w:numPr>
          <w:ilvl w:val="0"/>
          <w:numId w:val="3"/>
        </w:numPr>
        <w:spacing w:before="312" w:after="312"/>
        <w:rPr>
          <w:rFonts w:ascii="Times New Roman"/>
        </w:rPr>
      </w:pPr>
      <w:bookmarkStart w:id="2" w:name="_Toc512093859"/>
      <w:bookmarkStart w:id="3" w:name="_Toc499733966"/>
      <w:bookmarkStart w:id="4" w:name="_Toc63427522"/>
      <w:bookmarkStart w:id="5" w:name="_Toc499730568"/>
      <w:bookmarkStart w:id="6" w:name="_Toc499735462"/>
      <w:r>
        <w:rPr>
          <w:rFonts w:ascii="Times New Roman"/>
        </w:rPr>
        <w:t>范围</w:t>
      </w:r>
      <w:bookmarkEnd w:id="2"/>
      <w:bookmarkEnd w:id="3"/>
      <w:bookmarkEnd w:id="4"/>
      <w:bookmarkEnd w:id="5"/>
      <w:bookmarkEnd w:id="6"/>
    </w:p>
    <w:p>
      <w:pPr>
        <w:pStyle w:val="24"/>
        <w:rPr>
          <w:rFonts w:ascii="Times New Roman"/>
        </w:rPr>
      </w:pPr>
      <w:r>
        <w:rPr>
          <w:rFonts w:ascii="Times New Roman"/>
        </w:rPr>
        <w:t>本文件规定了特殊用途热轧圆钢绿色设计产品评价的术语和定义、评价原则和方法、评价要求、生命周期评价报告编制方法。</w:t>
      </w:r>
    </w:p>
    <w:p>
      <w:pPr>
        <w:pStyle w:val="24"/>
        <w:rPr>
          <w:rFonts w:ascii="Times New Roman"/>
        </w:rPr>
      </w:pPr>
      <w:r>
        <w:rPr>
          <w:rFonts w:ascii="Times New Roman"/>
        </w:rPr>
        <w:t>本文件适用于特殊用途热轧圆钢绿色设计产品评价。</w:t>
      </w:r>
    </w:p>
    <w:p>
      <w:pPr>
        <w:pStyle w:val="52"/>
        <w:numPr>
          <w:ilvl w:val="0"/>
          <w:numId w:val="3"/>
        </w:numPr>
        <w:spacing w:before="312" w:after="312"/>
        <w:rPr>
          <w:rFonts w:ascii="Times New Roman"/>
        </w:rPr>
      </w:pPr>
      <w:bookmarkStart w:id="7" w:name="_Toc63427523"/>
      <w:bookmarkStart w:id="8" w:name="_Toc499735463"/>
      <w:bookmarkStart w:id="9" w:name="_Toc499730569"/>
      <w:bookmarkStart w:id="10" w:name="_Toc512093860"/>
      <w:bookmarkStart w:id="11" w:name="_Toc499733967"/>
      <w:r>
        <w:rPr>
          <w:rFonts w:ascii="Times New Roman"/>
        </w:rPr>
        <w:t>规范性引用文件</w:t>
      </w:r>
      <w:bookmarkEnd w:id="7"/>
      <w:bookmarkEnd w:id="8"/>
      <w:bookmarkEnd w:id="9"/>
      <w:bookmarkEnd w:id="10"/>
      <w:bookmarkEnd w:id="11"/>
    </w:p>
    <w:p>
      <w:pPr>
        <w:pStyle w:val="24"/>
        <w:rPr>
          <w:rFonts w:ascii="Times New Roman"/>
          <w:color w:val="FF0000"/>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rPr>
          <w:rFonts w:ascii="Times New Roman"/>
        </w:rPr>
      </w:pPr>
      <w:bookmarkStart w:id="12" w:name="_Toc499730570"/>
      <w:bookmarkEnd w:id="12"/>
      <w:bookmarkStart w:id="13" w:name="_Toc63427524"/>
      <w:r>
        <w:rPr>
          <w:rFonts w:hint="eastAsia" w:ascii="Times New Roman"/>
        </w:rPr>
        <w:t>GB/T 699　优质碳素结构钢</w:t>
      </w:r>
    </w:p>
    <w:p>
      <w:pPr>
        <w:pStyle w:val="24"/>
        <w:rPr>
          <w:rFonts w:ascii="Times New Roman"/>
        </w:rPr>
      </w:pPr>
      <w:r>
        <w:rPr>
          <w:rFonts w:ascii="Times New Roman"/>
        </w:rPr>
        <w:t xml:space="preserve">GB/T 1996  </w:t>
      </w:r>
      <w:r>
        <w:rPr>
          <w:rFonts w:hint="eastAsia" w:ascii="Times New Roman"/>
        </w:rPr>
        <w:t>冶金焦炭</w:t>
      </w:r>
    </w:p>
    <w:p>
      <w:pPr>
        <w:pStyle w:val="24"/>
        <w:rPr>
          <w:rFonts w:ascii="Times New Roman"/>
        </w:rPr>
      </w:pPr>
      <w:r>
        <w:rPr>
          <w:rFonts w:ascii="Times New Roman"/>
        </w:rPr>
        <w:t xml:space="preserve">GB/T 3077-2015  </w:t>
      </w:r>
      <w:r>
        <w:rPr>
          <w:rFonts w:hint="eastAsia" w:ascii="Times New Roman"/>
        </w:rPr>
        <w:t>合金结构钢</w:t>
      </w:r>
    </w:p>
    <w:p>
      <w:pPr>
        <w:pStyle w:val="24"/>
        <w:rPr>
          <w:rFonts w:ascii="Times New Roman"/>
        </w:rPr>
      </w:pPr>
      <w:r>
        <w:rPr>
          <w:rFonts w:ascii="Times New Roman"/>
        </w:rPr>
        <w:t>GB 17167  用能单位能源计量器具配备和管理通则</w:t>
      </w:r>
    </w:p>
    <w:p>
      <w:pPr>
        <w:pStyle w:val="24"/>
        <w:rPr>
          <w:rFonts w:ascii="Times New Roman"/>
        </w:rPr>
      </w:pPr>
      <w:r>
        <w:rPr>
          <w:rFonts w:ascii="Times New Roman"/>
        </w:rPr>
        <w:t xml:space="preserve">GB/T 18512  </w:t>
      </w:r>
      <w:r>
        <w:rPr>
          <w:rFonts w:hint="eastAsia" w:ascii="Times New Roman"/>
        </w:rPr>
        <w:t>高炉</w:t>
      </w:r>
      <w:r>
        <w:rPr>
          <w:rFonts w:ascii="Times New Roman"/>
        </w:rPr>
        <w:t>喷吹用无烟煤技术条件</w:t>
      </w:r>
    </w:p>
    <w:p>
      <w:pPr>
        <w:pStyle w:val="24"/>
        <w:rPr>
          <w:rFonts w:ascii="Times New Roman"/>
        </w:rPr>
      </w:pPr>
      <w:r>
        <w:rPr>
          <w:rFonts w:ascii="Times New Roman"/>
        </w:rPr>
        <w:t>GB/T 19001  质量管理体系要求</w:t>
      </w:r>
    </w:p>
    <w:p>
      <w:pPr>
        <w:pStyle w:val="24"/>
        <w:rPr>
          <w:rFonts w:ascii="Times New Roman"/>
        </w:rPr>
      </w:pPr>
      <w:r>
        <w:rPr>
          <w:rFonts w:ascii="Times New Roman"/>
        </w:rPr>
        <w:t xml:space="preserve">GB 21342  </w:t>
      </w:r>
      <w:r>
        <w:rPr>
          <w:rFonts w:hint="eastAsia" w:ascii="Times New Roman"/>
        </w:rPr>
        <w:t>焦炭</w:t>
      </w:r>
      <w:r>
        <w:rPr>
          <w:rFonts w:ascii="Times New Roman"/>
        </w:rPr>
        <w:t>单位产品能耗限额标准</w:t>
      </w:r>
    </w:p>
    <w:p>
      <w:pPr>
        <w:pStyle w:val="24"/>
        <w:rPr>
          <w:rFonts w:ascii="Times New Roman"/>
        </w:rPr>
      </w:pPr>
      <w:r>
        <w:rPr>
          <w:rFonts w:ascii="Times New Roman"/>
        </w:rPr>
        <w:t>GB/T 23331  能源管理体系要求</w:t>
      </w:r>
    </w:p>
    <w:p>
      <w:pPr>
        <w:pStyle w:val="24"/>
        <w:rPr>
          <w:rFonts w:ascii="Times New Roman"/>
        </w:rPr>
      </w:pPr>
      <w:r>
        <w:rPr>
          <w:rFonts w:ascii="Times New Roman"/>
        </w:rPr>
        <w:t>GB/T 24001  环境管理体系要求及使用指南</w:t>
      </w:r>
    </w:p>
    <w:p>
      <w:pPr>
        <w:pStyle w:val="24"/>
        <w:rPr>
          <w:rFonts w:ascii="Times New Roman"/>
        </w:rPr>
      </w:pPr>
      <w:r>
        <w:rPr>
          <w:rFonts w:ascii="Times New Roman"/>
        </w:rPr>
        <w:t xml:space="preserve">GB/T 26924  </w:t>
      </w:r>
      <w:r>
        <w:rPr>
          <w:rFonts w:hint="eastAsia" w:ascii="Times New Roman"/>
        </w:rPr>
        <w:t>节水型企业</w:t>
      </w:r>
      <w:r>
        <w:rPr>
          <w:rFonts w:ascii="Times New Roman"/>
        </w:rPr>
        <w:t>钢铁行业</w:t>
      </w:r>
    </w:p>
    <w:p>
      <w:pPr>
        <w:pStyle w:val="24"/>
        <w:rPr>
          <w:rFonts w:ascii="Times New Roman"/>
        </w:rPr>
      </w:pPr>
      <w:r>
        <w:rPr>
          <w:rFonts w:hint="eastAsia" w:ascii="Times New Roman"/>
        </w:rPr>
        <w:t>GB/T 30052  钢铁产品制造生命周期评价技术规范</w:t>
      </w:r>
    </w:p>
    <w:p>
      <w:pPr>
        <w:pStyle w:val="24"/>
        <w:rPr>
          <w:rFonts w:ascii="Times New Roman"/>
        </w:rPr>
      </w:pPr>
      <w:r>
        <w:rPr>
          <w:rFonts w:hint="eastAsia" w:ascii="Times New Roman"/>
        </w:rPr>
        <w:t>GB/T 32161  生态设计产品评价通则</w:t>
      </w:r>
    </w:p>
    <w:p>
      <w:pPr>
        <w:pStyle w:val="24"/>
        <w:rPr>
          <w:rFonts w:ascii="Times New Roman"/>
        </w:rPr>
      </w:pPr>
      <w:r>
        <w:rPr>
          <w:rFonts w:ascii="Times New Roman"/>
        </w:rPr>
        <w:t>GB/T 45001  职业健康安全管理体系要求及使用指南</w:t>
      </w:r>
    </w:p>
    <w:p>
      <w:pPr>
        <w:pStyle w:val="24"/>
        <w:rPr>
          <w:rFonts w:ascii="Times New Roman"/>
        </w:rPr>
      </w:pPr>
      <w:r>
        <w:rPr>
          <w:rFonts w:ascii="Times New Roman"/>
        </w:rPr>
        <w:t xml:space="preserve">GB 50427  </w:t>
      </w:r>
      <w:r>
        <w:rPr>
          <w:rFonts w:hint="eastAsia" w:ascii="Times New Roman"/>
        </w:rPr>
        <w:t>高炉炼铁</w:t>
      </w:r>
      <w:r>
        <w:rPr>
          <w:rFonts w:ascii="Times New Roman"/>
        </w:rPr>
        <w:t>工程设计规范</w:t>
      </w:r>
    </w:p>
    <w:p>
      <w:pPr>
        <w:pStyle w:val="24"/>
        <w:rPr>
          <w:rFonts w:ascii="Times New Roman"/>
        </w:rPr>
      </w:pPr>
      <w:r>
        <w:rPr>
          <w:rFonts w:ascii="Times New Roman"/>
        </w:rPr>
        <w:t>GB/T 50632  钢铁企业节能设计标准</w:t>
      </w:r>
    </w:p>
    <w:p>
      <w:pPr>
        <w:pStyle w:val="24"/>
        <w:rPr>
          <w:rFonts w:ascii="Times New Roman"/>
        </w:rPr>
      </w:pPr>
      <w:r>
        <w:rPr>
          <w:rFonts w:ascii="Times New Roman"/>
        </w:rPr>
        <w:t xml:space="preserve">YB/T 4416  </w:t>
      </w:r>
      <w:r>
        <w:rPr>
          <w:rFonts w:hint="eastAsia" w:ascii="Times New Roman"/>
        </w:rPr>
        <w:t>焦化行业</w:t>
      </w:r>
      <w:r>
        <w:rPr>
          <w:rFonts w:ascii="Times New Roman"/>
        </w:rPr>
        <w:t>清洁生产水平评价标准</w:t>
      </w:r>
    </w:p>
    <w:p>
      <w:pPr>
        <w:pStyle w:val="24"/>
        <w:rPr>
          <w:rFonts w:ascii="Times New Roman"/>
        </w:rPr>
      </w:pPr>
      <w:r>
        <w:rPr>
          <w:rFonts w:hint="eastAsia" w:ascii="Times New Roman"/>
        </w:rPr>
        <w:t>《钢铁行业（烧结、球团）清洁生产评价指标体系》（2018版）</w:t>
      </w:r>
    </w:p>
    <w:p>
      <w:pPr>
        <w:pStyle w:val="24"/>
        <w:rPr>
          <w:rFonts w:ascii="Times New Roman"/>
        </w:rPr>
      </w:pPr>
      <w:r>
        <w:rPr>
          <w:rFonts w:hint="eastAsia" w:ascii="Times New Roman"/>
        </w:rPr>
        <w:t>《钢铁</w:t>
      </w:r>
      <w:r>
        <w:rPr>
          <w:rFonts w:ascii="Times New Roman"/>
        </w:rPr>
        <w:t>行业（</w:t>
      </w:r>
      <w:r>
        <w:rPr>
          <w:rFonts w:hint="eastAsia" w:ascii="Times New Roman"/>
        </w:rPr>
        <w:t>高炉炼铁</w:t>
      </w:r>
      <w:r>
        <w:rPr>
          <w:rFonts w:ascii="Times New Roman"/>
        </w:rPr>
        <w:t>）</w:t>
      </w:r>
      <w:r>
        <w:rPr>
          <w:rFonts w:hint="eastAsia" w:ascii="Times New Roman"/>
        </w:rPr>
        <w:t>清洁生产</w:t>
      </w:r>
      <w:r>
        <w:rPr>
          <w:rFonts w:ascii="Times New Roman"/>
        </w:rPr>
        <w:t>评价指标</w:t>
      </w:r>
      <w:r>
        <w:rPr>
          <w:rFonts w:hint="eastAsia" w:ascii="Times New Roman"/>
        </w:rPr>
        <w:t>体系》（2018版）</w:t>
      </w:r>
    </w:p>
    <w:p>
      <w:pPr>
        <w:pStyle w:val="24"/>
        <w:rPr>
          <w:rFonts w:ascii="Times New Roman"/>
        </w:rPr>
      </w:pPr>
      <w:r>
        <w:rPr>
          <w:rFonts w:hint="eastAsia" w:ascii="Times New Roman"/>
        </w:rPr>
        <w:t>《钢铁</w:t>
      </w:r>
      <w:r>
        <w:rPr>
          <w:rFonts w:ascii="Times New Roman"/>
        </w:rPr>
        <w:t>行业（</w:t>
      </w:r>
      <w:r>
        <w:rPr>
          <w:rFonts w:hint="eastAsia" w:ascii="Times New Roman"/>
        </w:rPr>
        <w:t>炼钢</w:t>
      </w:r>
      <w:r>
        <w:rPr>
          <w:rFonts w:ascii="Times New Roman"/>
        </w:rPr>
        <w:t>）</w:t>
      </w:r>
      <w:r>
        <w:rPr>
          <w:rFonts w:hint="eastAsia" w:ascii="Times New Roman"/>
        </w:rPr>
        <w:t>清洁生产</w:t>
      </w:r>
      <w:r>
        <w:rPr>
          <w:rFonts w:ascii="Times New Roman"/>
        </w:rPr>
        <w:t>评价指标</w:t>
      </w:r>
      <w:r>
        <w:rPr>
          <w:rFonts w:hint="eastAsia" w:ascii="Times New Roman"/>
        </w:rPr>
        <w:t>体系》（2018版）</w:t>
      </w:r>
    </w:p>
    <w:p>
      <w:pPr>
        <w:pStyle w:val="24"/>
        <w:rPr>
          <w:rFonts w:ascii="Times New Roman"/>
        </w:rPr>
      </w:pPr>
      <w:r>
        <w:rPr>
          <w:rFonts w:hint="eastAsia" w:ascii="Times New Roman"/>
        </w:rPr>
        <w:t>《钢铁</w:t>
      </w:r>
      <w:r>
        <w:rPr>
          <w:rFonts w:ascii="Times New Roman"/>
        </w:rPr>
        <w:t>行业（</w:t>
      </w:r>
      <w:r>
        <w:rPr>
          <w:rFonts w:hint="eastAsia" w:ascii="Times New Roman"/>
        </w:rPr>
        <w:t>钢压延加工</w:t>
      </w:r>
      <w:r>
        <w:rPr>
          <w:rFonts w:ascii="Times New Roman"/>
        </w:rPr>
        <w:t>）</w:t>
      </w:r>
      <w:r>
        <w:rPr>
          <w:rFonts w:hint="eastAsia" w:ascii="Times New Roman"/>
        </w:rPr>
        <w:t>清洁生产</w:t>
      </w:r>
      <w:r>
        <w:rPr>
          <w:rFonts w:ascii="Times New Roman"/>
        </w:rPr>
        <w:t>评价指标</w:t>
      </w:r>
      <w:r>
        <w:rPr>
          <w:rFonts w:hint="eastAsia" w:ascii="Times New Roman"/>
        </w:rPr>
        <w:t>体系》（2018版）</w:t>
      </w:r>
    </w:p>
    <w:p>
      <w:pPr>
        <w:pStyle w:val="52"/>
        <w:numPr>
          <w:ilvl w:val="0"/>
          <w:numId w:val="3"/>
        </w:numPr>
        <w:spacing w:before="312" w:after="312"/>
        <w:rPr>
          <w:rFonts w:ascii="Times New Roman"/>
        </w:rPr>
      </w:pPr>
      <w:r>
        <w:rPr>
          <w:rFonts w:ascii="Times New Roman"/>
        </w:rPr>
        <w:t>术语和定义</w:t>
      </w:r>
      <w:bookmarkEnd w:id="13"/>
    </w:p>
    <w:p>
      <w:pPr>
        <w:widowControl/>
        <w:tabs>
          <w:tab w:val="center" w:pos="4201"/>
          <w:tab w:val="right" w:leader="dot" w:pos="9298"/>
        </w:tabs>
        <w:autoSpaceDE w:val="0"/>
        <w:autoSpaceDN w:val="0"/>
        <w:ind w:firstLine="420" w:firstLineChars="200"/>
        <w:rPr>
          <w:kern w:val="0"/>
          <w:szCs w:val="20"/>
        </w:rPr>
      </w:pPr>
      <w:r>
        <w:rPr>
          <w:kern w:val="0"/>
          <w:szCs w:val="20"/>
        </w:rPr>
        <w:t>GB/T 32161界定的以及下列术语和定义适用于本文件。</w:t>
      </w:r>
    </w:p>
    <w:p>
      <w:pPr>
        <w:pStyle w:val="54"/>
        <w:numPr>
          <w:ilvl w:val="1"/>
          <w:numId w:val="3"/>
        </w:numPr>
        <w:spacing w:before="156" w:after="156"/>
        <w:ind w:left="0"/>
        <w:jc w:val="both"/>
        <w:rPr>
          <w:rFonts w:ascii="Times New Roman"/>
        </w:rPr>
      </w:pPr>
    </w:p>
    <w:p>
      <w:pPr>
        <w:pStyle w:val="54"/>
        <w:tabs>
          <w:tab w:val="left" w:pos="0"/>
        </w:tabs>
        <w:spacing w:before="156" w:after="156"/>
        <w:ind w:firstLine="420" w:firstLineChars="200"/>
        <w:rPr>
          <w:rFonts w:ascii="Times New Roman"/>
          <w:color w:val="000000"/>
        </w:rPr>
      </w:pPr>
      <w:r>
        <w:rPr>
          <w:rFonts w:ascii="Times New Roman"/>
          <w:color w:val="000000"/>
        </w:rPr>
        <w:t>产品制造生命周期  manufacture of steel products life cycle</w:t>
      </w:r>
    </w:p>
    <w:p>
      <w:pPr>
        <w:pStyle w:val="24"/>
        <w:rPr>
          <w:rFonts w:ascii="Times New Roman"/>
        </w:rPr>
      </w:pPr>
      <w:r>
        <w:rPr>
          <w:rFonts w:ascii="Times New Roman"/>
        </w:rPr>
        <w:t>从铁矿石、煤炭等原料、燃料开采开始，经过焦化、烧结等原料加工工序，炼铁、炼钢、轧钢等制造工序，形成钢铁产品的过程，即“从摇篮到大门（from cradle to gate）”的生命周期过程。</w:t>
      </w:r>
    </w:p>
    <w:p>
      <w:pPr>
        <w:widowControl/>
        <w:tabs>
          <w:tab w:val="center" w:pos="4201"/>
          <w:tab w:val="right" w:leader="dot" w:pos="9298"/>
        </w:tabs>
        <w:autoSpaceDE w:val="0"/>
        <w:autoSpaceDN w:val="0"/>
        <w:ind w:firstLine="420" w:firstLineChars="200"/>
        <w:rPr>
          <w:kern w:val="0"/>
          <w:szCs w:val="22"/>
        </w:rPr>
      </w:pPr>
      <w:r>
        <w:rPr>
          <w:kern w:val="0"/>
          <w:szCs w:val="22"/>
        </w:rPr>
        <w:t>[来源：GB/T 30052，3.1，有修改]</w:t>
      </w:r>
    </w:p>
    <w:p>
      <w:pPr>
        <w:pStyle w:val="54"/>
        <w:numPr>
          <w:ilvl w:val="1"/>
          <w:numId w:val="3"/>
        </w:numPr>
        <w:spacing w:before="156" w:after="156"/>
        <w:ind w:left="0"/>
        <w:jc w:val="both"/>
        <w:rPr>
          <w:rFonts w:ascii="Times New Roman"/>
        </w:rPr>
      </w:pPr>
    </w:p>
    <w:p>
      <w:pPr>
        <w:pStyle w:val="54"/>
        <w:tabs>
          <w:tab w:val="left" w:pos="0"/>
        </w:tabs>
        <w:spacing w:before="156" w:after="156"/>
        <w:ind w:firstLine="420" w:firstLineChars="200"/>
        <w:rPr>
          <w:rFonts w:ascii="Times New Roman"/>
          <w:color w:val="000000"/>
        </w:rPr>
      </w:pPr>
      <w:r>
        <w:rPr>
          <w:rFonts w:ascii="Times New Roman"/>
        </w:rPr>
        <w:t>绿色设计 green-design</w:t>
      </w:r>
    </w:p>
    <w:p>
      <w:pPr>
        <w:pStyle w:val="24"/>
        <w:rPr>
          <w:rFonts w:ascii="Times New Roman"/>
        </w:rPr>
      </w:pPr>
      <w:r>
        <w:rPr>
          <w:rFonts w:ascii="Times New Roman"/>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pPr>
        <w:pStyle w:val="24"/>
        <w:rPr>
          <w:rFonts w:ascii="Times New Roman"/>
        </w:rPr>
      </w:pPr>
      <w:r>
        <w:rPr>
          <w:rFonts w:ascii="Times New Roman"/>
        </w:rPr>
        <w:t>[来源：GB/T 32161-2015，3.2，有修改]</w:t>
      </w:r>
    </w:p>
    <w:p>
      <w:pPr>
        <w:pStyle w:val="54"/>
        <w:numPr>
          <w:ilvl w:val="1"/>
          <w:numId w:val="3"/>
        </w:numPr>
        <w:spacing w:before="156" w:after="156"/>
        <w:ind w:left="0"/>
        <w:jc w:val="both"/>
        <w:rPr>
          <w:rFonts w:ascii="Times New Roman"/>
        </w:rPr>
      </w:pPr>
    </w:p>
    <w:p>
      <w:pPr>
        <w:pStyle w:val="54"/>
        <w:tabs>
          <w:tab w:val="left" w:pos="0"/>
        </w:tabs>
        <w:spacing w:before="156" w:after="156"/>
        <w:ind w:firstLine="420" w:firstLineChars="200"/>
        <w:rPr>
          <w:rFonts w:ascii="Times New Roman"/>
          <w:color w:val="000000"/>
        </w:rPr>
      </w:pPr>
      <w:r>
        <w:rPr>
          <w:rFonts w:ascii="Times New Roman"/>
          <w:color w:val="000000"/>
        </w:rPr>
        <w:t>绿色设计产品 green-design product</w:t>
      </w:r>
    </w:p>
    <w:p>
      <w:pPr>
        <w:pStyle w:val="24"/>
        <w:rPr>
          <w:rFonts w:ascii="Times New Roman"/>
        </w:rPr>
      </w:pPr>
      <w:r>
        <w:rPr>
          <w:rFonts w:ascii="Times New Roman"/>
        </w:rPr>
        <w:t>符合绿色设计理念和评价要求的产品。</w:t>
      </w:r>
    </w:p>
    <w:p>
      <w:pPr>
        <w:pStyle w:val="24"/>
        <w:rPr>
          <w:rFonts w:ascii="Times New Roman"/>
        </w:rPr>
      </w:pPr>
      <w:r>
        <w:rPr>
          <w:rFonts w:ascii="Times New Roman"/>
        </w:rPr>
        <w:t>[来源：GB/T 32161-2015，3.3，有修改]</w:t>
      </w:r>
    </w:p>
    <w:p>
      <w:pPr>
        <w:pStyle w:val="54"/>
        <w:numPr>
          <w:ilvl w:val="1"/>
          <w:numId w:val="3"/>
        </w:numPr>
        <w:spacing w:before="156" w:after="156"/>
        <w:ind w:left="0"/>
        <w:jc w:val="both"/>
        <w:rPr>
          <w:rFonts w:ascii="Times New Roman"/>
        </w:rPr>
      </w:pPr>
    </w:p>
    <w:p>
      <w:pPr>
        <w:pStyle w:val="54"/>
        <w:tabs>
          <w:tab w:val="left" w:pos="0"/>
        </w:tabs>
        <w:spacing w:before="156" w:after="156"/>
        <w:ind w:firstLine="420" w:firstLineChars="200"/>
        <w:rPr>
          <w:rFonts w:ascii="Times New Roman"/>
          <w:color w:val="000000"/>
        </w:rPr>
      </w:pPr>
      <w:r>
        <w:rPr>
          <w:rFonts w:ascii="Times New Roman"/>
          <w:color w:val="000000"/>
        </w:rPr>
        <w:t>生命周期评价报告 report for life cycle assessment</w:t>
      </w:r>
    </w:p>
    <w:p>
      <w:pPr>
        <w:pStyle w:val="24"/>
        <w:rPr>
          <w:rFonts w:ascii="Times New Roman"/>
        </w:rPr>
      </w:pPr>
      <w:r>
        <w:rPr>
          <w:rFonts w:ascii="Times New Roman"/>
        </w:rPr>
        <w:t>依据生命周期评价方法编制的，用于披露产品绿色设计情况及钢铁产品制造生命周期环境影响信息的报告。</w:t>
      </w:r>
    </w:p>
    <w:p>
      <w:pPr>
        <w:pStyle w:val="24"/>
        <w:rPr>
          <w:rFonts w:ascii="Times New Roman"/>
        </w:rPr>
      </w:pPr>
      <w:r>
        <w:rPr>
          <w:rFonts w:ascii="Times New Roman"/>
        </w:rPr>
        <w:t>[来源：GB/T 32161-2015，3.7，有修改]</w:t>
      </w:r>
    </w:p>
    <w:p>
      <w:pPr>
        <w:pStyle w:val="52"/>
        <w:numPr>
          <w:ilvl w:val="0"/>
          <w:numId w:val="3"/>
        </w:numPr>
        <w:spacing w:before="312" w:after="312"/>
        <w:rPr>
          <w:rFonts w:ascii="Times New Roman"/>
        </w:rPr>
      </w:pPr>
      <w:r>
        <w:rPr>
          <w:rFonts w:ascii="Times New Roman"/>
        </w:rPr>
        <w:t>评价指标体系</w:t>
      </w:r>
    </w:p>
    <w:p>
      <w:pPr>
        <w:pStyle w:val="54"/>
        <w:numPr>
          <w:ilvl w:val="1"/>
          <w:numId w:val="3"/>
        </w:numPr>
        <w:spacing w:before="156" w:after="156"/>
        <w:ind w:left="0"/>
        <w:jc w:val="both"/>
        <w:rPr>
          <w:rFonts w:ascii="Times New Roman"/>
        </w:rPr>
      </w:pPr>
      <w:bookmarkStart w:id="14" w:name="_Toc499735466"/>
      <w:bookmarkStart w:id="15" w:name="_Toc499733970"/>
      <w:bookmarkStart w:id="16" w:name="_Toc496267158"/>
      <w:bookmarkStart w:id="17" w:name="_Toc512093863"/>
      <w:r>
        <w:rPr>
          <w:rFonts w:ascii="Times New Roman"/>
        </w:rPr>
        <w:t>评价原则</w:t>
      </w:r>
    </w:p>
    <w:p>
      <w:pPr>
        <w:pStyle w:val="57"/>
        <w:numPr>
          <w:ilvl w:val="2"/>
          <w:numId w:val="3"/>
        </w:numPr>
        <w:spacing w:before="156" w:after="156"/>
        <w:rPr>
          <w:rFonts w:ascii="Times New Roman"/>
        </w:rPr>
      </w:pPr>
      <w:r>
        <w:rPr>
          <w:rFonts w:ascii="Times New Roman"/>
        </w:rPr>
        <w:t>指标评价与生命周期评价相结合的原则</w:t>
      </w:r>
    </w:p>
    <w:p>
      <w:pPr>
        <w:pStyle w:val="24"/>
        <w:rPr>
          <w:rFonts w:ascii="Times New Roman"/>
        </w:rPr>
      </w:pPr>
      <w:r>
        <w:rPr>
          <w:rFonts w:ascii="Times New Roman"/>
        </w:rPr>
        <w:t>依据生命周期评价方法，考虑特殊用途热轧圆钢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pPr>
        <w:pStyle w:val="57"/>
        <w:numPr>
          <w:ilvl w:val="2"/>
          <w:numId w:val="3"/>
        </w:numPr>
        <w:spacing w:before="156" w:after="156"/>
        <w:rPr>
          <w:rFonts w:ascii="Times New Roman"/>
        </w:rPr>
      </w:pPr>
      <w:r>
        <w:rPr>
          <w:rFonts w:ascii="Times New Roman"/>
        </w:rPr>
        <w:t>环境影响种类最优选取原则</w:t>
      </w:r>
    </w:p>
    <w:p>
      <w:pPr>
        <w:pStyle w:val="24"/>
        <w:rPr>
          <w:rFonts w:ascii="Times New Roman"/>
        </w:rPr>
      </w:pPr>
      <w:r>
        <w:rPr>
          <w:rFonts w:ascii="Times New Roman"/>
        </w:rPr>
        <w:t>为降低生命周期生命评价的难度，宜选取具有影响大、社会关注度高、国家法律或政策明确要求的环境影响种类，通常可在人体毒性-癌症影响、可吸入颗粒物、水资源消耗、臭氧层破坏、气候变化、水体生态毒性、人体毒性-非癌症影响、电离辐射-人体健康影响、光化学臭氧生成潜势、酸化、富营养化-陆地、富营养化-水体、矿物和化石能源消耗、土地利用变化等种类中选取，选取的数量不宜过多。</w:t>
      </w:r>
    </w:p>
    <w:p>
      <w:pPr>
        <w:pStyle w:val="54"/>
        <w:numPr>
          <w:ilvl w:val="1"/>
          <w:numId w:val="3"/>
        </w:numPr>
        <w:spacing w:before="156" w:after="156"/>
        <w:ind w:left="0"/>
        <w:jc w:val="both"/>
        <w:rPr>
          <w:rFonts w:ascii="Times New Roman"/>
        </w:rPr>
      </w:pPr>
      <w:r>
        <w:rPr>
          <w:rFonts w:ascii="Times New Roman"/>
        </w:rPr>
        <w:t>评价方法和流程</w:t>
      </w:r>
    </w:p>
    <w:p>
      <w:pPr>
        <w:widowControl/>
        <w:tabs>
          <w:tab w:val="center" w:pos="4201"/>
          <w:tab w:val="right" w:leader="dot" w:pos="9298"/>
        </w:tabs>
        <w:autoSpaceDE w:val="0"/>
        <w:autoSpaceDN w:val="0"/>
        <w:ind w:firstLine="420" w:firstLineChars="200"/>
        <w:rPr>
          <w:kern w:val="0"/>
          <w:szCs w:val="22"/>
        </w:rPr>
      </w:pPr>
      <w:r>
        <w:rPr>
          <w:kern w:val="0"/>
          <w:szCs w:val="22"/>
        </w:rPr>
        <w:t>本文件采用指标评价和生命周期评价相结合的方法。特殊用途热轧圆钢产品应同时满足以下两个条件，可判定为绿色设计产品：</w:t>
      </w:r>
    </w:p>
    <w:p>
      <w:pPr>
        <w:widowControl/>
        <w:tabs>
          <w:tab w:val="center" w:pos="4201"/>
          <w:tab w:val="right" w:leader="dot" w:pos="9298"/>
        </w:tabs>
        <w:autoSpaceDE w:val="0"/>
        <w:autoSpaceDN w:val="0"/>
        <w:ind w:firstLine="420" w:firstLineChars="200"/>
        <w:rPr>
          <w:kern w:val="0"/>
          <w:szCs w:val="22"/>
        </w:rPr>
      </w:pPr>
      <w:r>
        <w:rPr>
          <w:kern w:val="0"/>
          <w:szCs w:val="22"/>
        </w:rPr>
        <w:t>a）满足基本要求（见5.1）和评价指标要求（见5.2）；</w:t>
      </w:r>
    </w:p>
    <w:p>
      <w:pPr>
        <w:widowControl/>
        <w:tabs>
          <w:tab w:val="center" w:pos="4201"/>
          <w:tab w:val="right" w:leader="dot" w:pos="9298"/>
        </w:tabs>
        <w:autoSpaceDE w:val="0"/>
        <w:autoSpaceDN w:val="0"/>
        <w:ind w:firstLine="420" w:firstLineChars="200"/>
        <w:rPr>
          <w:kern w:val="0"/>
          <w:szCs w:val="22"/>
        </w:rPr>
      </w:pPr>
      <w:r>
        <w:rPr>
          <w:kern w:val="0"/>
          <w:szCs w:val="22"/>
        </w:rPr>
        <w:t>b）提供特殊用途热轧圆钢产品生命周期评价报告（见6.2）。</w:t>
      </w:r>
    </w:p>
    <w:p>
      <w:pPr>
        <w:pStyle w:val="52"/>
        <w:numPr>
          <w:ilvl w:val="0"/>
          <w:numId w:val="3"/>
        </w:numPr>
        <w:spacing w:before="312" w:after="312"/>
        <w:rPr>
          <w:rFonts w:ascii="Times New Roman"/>
        </w:rPr>
      </w:pPr>
      <w:r>
        <w:rPr>
          <w:rFonts w:ascii="Times New Roman"/>
        </w:rPr>
        <w:t>评价要求</w:t>
      </w:r>
    </w:p>
    <w:p>
      <w:pPr>
        <w:pStyle w:val="54"/>
        <w:numPr>
          <w:ilvl w:val="1"/>
          <w:numId w:val="3"/>
        </w:numPr>
        <w:spacing w:before="156" w:after="156"/>
        <w:ind w:left="0"/>
        <w:jc w:val="both"/>
        <w:rPr>
          <w:rFonts w:ascii="Times New Roman"/>
        </w:rPr>
      </w:pPr>
      <w:r>
        <w:rPr>
          <w:rFonts w:ascii="Times New Roman"/>
        </w:rPr>
        <w:t>基本要求</w:t>
      </w:r>
    </w:p>
    <w:p>
      <w:pPr>
        <w:widowControl/>
        <w:tabs>
          <w:tab w:val="center" w:pos="4201"/>
          <w:tab w:val="right" w:leader="dot" w:pos="9298"/>
        </w:tabs>
        <w:autoSpaceDE w:val="0"/>
        <w:autoSpaceDN w:val="0"/>
        <w:ind w:firstLine="420" w:firstLineChars="200"/>
        <w:rPr>
          <w:kern w:val="0"/>
          <w:szCs w:val="22"/>
        </w:rPr>
      </w:pPr>
      <w:r>
        <w:rPr>
          <w:kern w:val="0"/>
          <w:szCs w:val="22"/>
        </w:rPr>
        <w:t>特殊用途热轧圆钢生产企业应满足以下要求，包括但不限于：</w:t>
      </w:r>
    </w:p>
    <w:p>
      <w:pPr>
        <w:widowControl/>
        <w:tabs>
          <w:tab w:val="center" w:pos="4201"/>
          <w:tab w:val="right" w:leader="dot" w:pos="9298"/>
        </w:tabs>
        <w:autoSpaceDE w:val="0"/>
        <w:autoSpaceDN w:val="0"/>
        <w:ind w:firstLine="420" w:firstLineChars="200"/>
        <w:rPr>
          <w:kern w:val="0"/>
          <w:szCs w:val="22"/>
        </w:rPr>
      </w:pPr>
      <w:r>
        <w:rPr>
          <w:kern w:val="0"/>
          <w:szCs w:val="22"/>
        </w:rPr>
        <w:t>a）特殊用途热轧圆钢生产企业的污染物排放应达到国家或地方污染物排放标准的要求，近三年（投产不足三年的企业自投产之日起）无重大安全和环境污染事故；</w:t>
      </w:r>
    </w:p>
    <w:p>
      <w:pPr>
        <w:widowControl/>
        <w:tabs>
          <w:tab w:val="center" w:pos="4201"/>
          <w:tab w:val="right" w:leader="dot" w:pos="9298"/>
        </w:tabs>
        <w:autoSpaceDE w:val="0"/>
        <w:autoSpaceDN w:val="0"/>
        <w:ind w:firstLine="420" w:firstLineChars="200"/>
        <w:rPr>
          <w:kern w:val="0"/>
          <w:szCs w:val="22"/>
        </w:rPr>
      </w:pPr>
      <w:r>
        <w:rPr>
          <w:kern w:val="0"/>
          <w:szCs w:val="22"/>
        </w:rPr>
        <w:t>b）企业稳定生产特殊用途热轧圆钢应至少满一年；</w:t>
      </w:r>
    </w:p>
    <w:p>
      <w:pPr>
        <w:widowControl/>
        <w:tabs>
          <w:tab w:val="center" w:pos="4201"/>
          <w:tab w:val="right" w:leader="dot" w:pos="9298"/>
        </w:tabs>
        <w:autoSpaceDE w:val="0"/>
        <w:autoSpaceDN w:val="0"/>
        <w:ind w:firstLine="420" w:firstLineChars="200"/>
        <w:rPr>
          <w:kern w:val="0"/>
          <w:szCs w:val="22"/>
        </w:rPr>
      </w:pPr>
      <w:r>
        <w:rPr>
          <w:kern w:val="0"/>
          <w:szCs w:val="22"/>
        </w:rPr>
        <w:t>c）生产企业清洁生产水平国内先进；</w:t>
      </w:r>
    </w:p>
    <w:p>
      <w:pPr>
        <w:widowControl/>
        <w:tabs>
          <w:tab w:val="center" w:pos="4201"/>
          <w:tab w:val="right" w:leader="dot" w:pos="9298"/>
        </w:tabs>
        <w:autoSpaceDE w:val="0"/>
        <w:autoSpaceDN w:val="0"/>
        <w:ind w:firstLine="420" w:firstLineChars="200"/>
        <w:rPr>
          <w:kern w:val="0"/>
          <w:szCs w:val="22"/>
        </w:rPr>
      </w:pPr>
      <w:r>
        <w:rPr>
          <w:kern w:val="0"/>
          <w:szCs w:val="22"/>
        </w:rPr>
        <w:t>d）产品节能降耗和综合利用水平，应达到国家标准、行业标准的相关要求；</w:t>
      </w:r>
    </w:p>
    <w:p>
      <w:pPr>
        <w:widowControl/>
        <w:tabs>
          <w:tab w:val="center" w:pos="4201"/>
          <w:tab w:val="right" w:leader="dot" w:pos="9298"/>
        </w:tabs>
        <w:autoSpaceDE w:val="0"/>
        <w:autoSpaceDN w:val="0"/>
        <w:ind w:firstLine="420" w:firstLineChars="200"/>
        <w:rPr>
          <w:kern w:val="0"/>
          <w:szCs w:val="22"/>
        </w:rPr>
      </w:pPr>
      <w:r>
        <w:rPr>
          <w:kern w:val="0"/>
          <w:szCs w:val="22"/>
        </w:rPr>
        <w:t>e）生产企业宜采用国家鼓励的先进技术工艺，不应使用国家或有关部门发布的淘汰或禁止的技术、工艺、装备及相关物质；</w:t>
      </w:r>
    </w:p>
    <w:p>
      <w:pPr>
        <w:widowControl/>
        <w:tabs>
          <w:tab w:val="center" w:pos="4201"/>
          <w:tab w:val="right" w:leader="dot" w:pos="9298"/>
        </w:tabs>
        <w:autoSpaceDE w:val="0"/>
        <w:autoSpaceDN w:val="0"/>
        <w:ind w:firstLine="420" w:firstLineChars="200"/>
        <w:rPr>
          <w:kern w:val="0"/>
          <w:szCs w:val="22"/>
        </w:rPr>
      </w:pPr>
      <w:r>
        <w:rPr>
          <w:kern w:val="0"/>
          <w:szCs w:val="22"/>
        </w:rPr>
        <w:t>f）生产企业污染物总量控制，满足排污许可证载明的许可排放总量与管理要求，达到国家和地方污染物排放总量控制指标；</w:t>
      </w:r>
    </w:p>
    <w:p>
      <w:pPr>
        <w:widowControl/>
        <w:tabs>
          <w:tab w:val="center" w:pos="4201"/>
          <w:tab w:val="right" w:leader="dot" w:pos="9298"/>
        </w:tabs>
        <w:autoSpaceDE w:val="0"/>
        <w:autoSpaceDN w:val="0"/>
        <w:ind w:firstLine="420" w:firstLineChars="200"/>
        <w:rPr>
          <w:kern w:val="0"/>
          <w:szCs w:val="22"/>
        </w:rPr>
      </w:pPr>
      <w:r>
        <w:rPr>
          <w:kern w:val="0"/>
          <w:szCs w:val="22"/>
        </w:rPr>
        <w:t>g）生产企业所生产的特殊用途热轧圆钢产品质量应满足</w:t>
      </w:r>
      <w:r>
        <w:rPr>
          <w:rFonts w:hint="eastAsia"/>
          <w:kern w:val="0"/>
          <w:szCs w:val="22"/>
        </w:rPr>
        <w:t>相关国家标准</w:t>
      </w:r>
      <w:r>
        <w:rPr>
          <w:kern w:val="0"/>
          <w:szCs w:val="22"/>
        </w:rPr>
        <w:t>、</w:t>
      </w:r>
      <w:r>
        <w:rPr>
          <w:rFonts w:hint="eastAsia"/>
          <w:kern w:val="0"/>
          <w:szCs w:val="22"/>
        </w:rPr>
        <w:t>行业标准</w:t>
      </w:r>
      <w:r>
        <w:rPr>
          <w:kern w:val="0"/>
          <w:szCs w:val="22"/>
        </w:rPr>
        <w:t>的规定；</w:t>
      </w:r>
    </w:p>
    <w:p>
      <w:pPr>
        <w:widowControl/>
        <w:tabs>
          <w:tab w:val="center" w:pos="4201"/>
          <w:tab w:val="right" w:leader="dot" w:pos="9298"/>
        </w:tabs>
        <w:autoSpaceDE w:val="0"/>
        <w:autoSpaceDN w:val="0"/>
        <w:ind w:firstLine="420" w:firstLineChars="200"/>
        <w:rPr>
          <w:kern w:val="0"/>
          <w:szCs w:val="22"/>
        </w:rPr>
      </w:pPr>
      <w:r>
        <w:rPr>
          <w:kern w:val="0"/>
          <w:szCs w:val="22"/>
        </w:rPr>
        <w:t>h）生产企业的环境管理，应按照GB/T 19001、GB/T 23331、GB/T 24001和GB/T 45001分别建立并运行质量管理体系、能源管理体系、环境管理体系和职业健康安全管理体系；</w:t>
      </w:r>
    </w:p>
    <w:p>
      <w:pPr>
        <w:widowControl/>
        <w:tabs>
          <w:tab w:val="center" w:pos="4201"/>
          <w:tab w:val="right" w:leader="dot" w:pos="9298"/>
        </w:tabs>
        <w:autoSpaceDE w:val="0"/>
        <w:autoSpaceDN w:val="0"/>
        <w:ind w:firstLine="420" w:firstLineChars="200"/>
        <w:rPr>
          <w:kern w:val="0"/>
          <w:szCs w:val="22"/>
        </w:rPr>
      </w:pPr>
      <w:r>
        <w:rPr>
          <w:kern w:val="0"/>
          <w:szCs w:val="22"/>
        </w:rPr>
        <w:t>i）生产企业应按照GB 17167配备能源计量器具并有效执行，根据环保法律法规和标准要求配备污染物检测和在线监测设备并有效执行。</w:t>
      </w:r>
    </w:p>
    <w:p>
      <w:pPr>
        <w:pStyle w:val="54"/>
        <w:numPr>
          <w:ilvl w:val="1"/>
          <w:numId w:val="3"/>
        </w:numPr>
        <w:spacing w:before="156" w:after="156"/>
        <w:ind w:left="0"/>
        <w:jc w:val="both"/>
        <w:rPr>
          <w:rFonts w:ascii="Times New Roman"/>
        </w:rPr>
      </w:pPr>
      <w:r>
        <w:rPr>
          <w:rFonts w:ascii="Times New Roman"/>
        </w:rPr>
        <w:t>评价指标要求</w:t>
      </w:r>
    </w:p>
    <w:p>
      <w:pPr>
        <w:widowControl/>
        <w:tabs>
          <w:tab w:val="center" w:pos="4201"/>
          <w:tab w:val="right" w:leader="dot" w:pos="9298"/>
        </w:tabs>
        <w:autoSpaceDE w:val="0"/>
        <w:autoSpaceDN w:val="0"/>
        <w:ind w:firstLine="420" w:firstLineChars="200"/>
        <w:rPr>
          <w:kern w:val="0"/>
          <w:szCs w:val="22"/>
        </w:rPr>
      </w:pPr>
      <w:r>
        <w:rPr>
          <w:kern w:val="0"/>
          <w:szCs w:val="22"/>
        </w:rPr>
        <w:t>特殊用途热轧圆钢的评价指标由一级指标和二级指标组成，其中一级指标包括资源属性指标、能源属性指标、环境属性指标和产品属性指标。特殊用途热轧圆钢的评价指标名称、基准值、判定依据等要求见表1。</w:t>
      </w:r>
    </w:p>
    <w:p>
      <w:pPr>
        <w:widowControl/>
        <w:tabs>
          <w:tab w:val="center" w:pos="4201"/>
          <w:tab w:val="right" w:leader="dot" w:pos="9298"/>
        </w:tabs>
        <w:autoSpaceDE w:val="0"/>
        <w:autoSpaceDN w:val="0"/>
        <w:ind w:firstLine="420" w:firstLineChars="200"/>
        <w:rPr>
          <w:kern w:val="0"/>
          <w:szCs w:val="22"/>
        </w:rPr>
      </w:pPr>
    </w:p>
    <w:p>
      <w:pPr>
        <w:widowControl/>
        <w:tabs>
          <w:tab w:val="center" w:pos="4201"/>
          <w:tab w:val="right" w:leader="dot" w:pos="9298"/>
        </w:tabs>
        <w:autoSpaceDE w:val="0"/>
        <w:autoSpaceDN w:val="0"/>
        <w:jc w:val="center"/>
        <w:rPr>
          <w:rFonts w:eastAsia="黑体"/>
          <w:kern w:val="0"/>
          <w:szCs w:val="22"/>
        </w:rPr>
      </w:pPr>
      <w:r>
        <w:rPr>
          <w:rFonts w:eastAsia="黑体"/>
          <w:kern w:val="0"/>
          <w:szCs w:val="22"/>
        </w:rPr>
        <w:t>表1 特殊用途热轧圆钢评价指标要求</w:t>
      </w:r>
    </w:p>
    <w:tbl>
      <w:tblPr>
        <w:tblStyle w:val="3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13"/>
        <w:gridCol w:w="802"/>
        <w:gridCol w:w="709"/>
        <w:gridCol w:w="141"/>
        <w:gridCol w:w="284"/>
        <w:gridCol w:w="1417"/>
        <w:gridCol w:w="709"/>
        <w:gridCol w:w="1868"/>
        <w:gridCol w:w="2144"/>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765" w:type="dxa"/>
            <w:vAlign w:val="center"/>
          </w:tcPr>
          <w:p>
            <w:pPr>
              <w:jc w:val="center"/>
              <w:rPr>
                <w:sz w:val="18"/>
                <w:szCs w:val="18"/>
              </w:rPr>
            </w:pPr>
            <w:r>
              <w:rPr>
                <w:sz w:val="18"/>
                <w:szCs w:val="18"/>
              </w:rPr>
              <w:t>一级指标</w:t>
            </w:r>
          </w:p>
        </w:tc>
        <w:tc>
          <w:tcPr>
            <w:tcW w:w="3766" w:type="dxa"/>
            <w:gridSpan w:val="6"/>
            <w:vAlign w:val="center"/>
          </w:tcPr>
          <w:p>
            <w:pPr>
              <w:jc w:val="center"/>
              <w:rPr>
                <w:sz w:val="18"/>
                <w:szCs w:val="18"/>
              </w:rPr>
            </w:pPr>
            <w:r>
              <w:rPr>
                <w:sz w:val="18"/>
                <w:szCs w:val="18"/>
              </w:rPr>
              <w:t>二级指标</w:t>
            </w:r>
          </w:p>
        </w:tc>
        <w:tc>
          <w:tcPr>
            <w:tcW w:w="709" w:type="dxa"/>
            <w:vAlign w:val="center"/>
          </w:tcPr>
          <w:p>
            <w:pPr>
              <w:jc w:val="center"/>
              <w:rPr>
                <w:sz w:val="18"/>
                <w:szCs w:val="18"/>
              </w:rPr>
            </w:pPr>
            <w:r>
              <w:rPr>
                <w:sz w:val="18"/>
                <w:szCs w:val="18"/>
              </w:rPr>
              <w:t>单位</w:t>
            </w:r>
          </w:p>
        </w:tc>
        <w:tc>
          <w:tcPr>
            <w:tcW w:w="1868" w:type="dxa"/>
            <w:vAlign w:val="center"/>
          </w:tcPr>
          <w:p>
            <w:pPr>
              <w:jc w:val="center"/>
              <w:rPr>
                <w:sz w:val="18"/>
                <w:szCs w:val="18"/>
              </w:rPr>
            </w:pPr>
            <w:r>
              <w:rPr>
                <w:sz w:val="18"/>
                <w:szCs w:val="18"/>
              </w:rPr>
              <w:t>基准值</w:t>
            </w:r>
          </w:p>
        </w:tc>
        <w:tc>
          <w:tcPr>
            <w:tcW w:w="2144" w:type="dxa"/>
            <w:vAlign w:val="center"/>
          </w:tcPr>
          <w:p>
            <w:pPr>
              <w:jc w:val="center"/>
              <w:rPr>
                <w:sz w:val="18"/>
                <w:szCs w:val="18"/>
              </w:rPr>
            </w:pPr>
            <w:r>
              <w:rPr>
                <w:sz w:val="18"/>
                <w:szCs w:val="18"/>
              </w:rPr>
              <w:t>测试依据和确认条件</w:t>
            </w:r>
          </w:p>
        </w:tc>
        <w:tc>
          <w:tcPr>
            <w:tcW w:w="977" w:type="dxa"/>
            <w:vAlign w:val="center"/>
          </w:tcPr>
          <w:p>
            <w:pPr>
              <w:jc w:val="center"/>
              <w:rPr>
                <w:sz w:val="18"/>
                <w:szCs w:val="18"/>
              </w:rPr>
            </w:pPr>
            <w:r>
              <w:rPr>
                <w:sz w:val="18"/>
                <w:szCs w:val="18"/>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restart"/>
            <w:vAlign w:val="center"/>
          </w:tcPr>
          <w:p>
            <w:pPr>
              <w:jc w:val="center"/>
              <w:rPr>
                <w:sz w:val="18"/>
                <w:szCs w:val="18"/>
              </w:rPr>
            </w:pPr>
            <w:r>
              <w:rPr>
                <w:sz w:val="18"/>
                <w:szCs w:val="18"/>
              </w:rPr>
              <w:t>资源属性</w:t>
            </w:r>
          </w:p>
        </w:tc>
        <w:tc>
          <w:tcPr>
            <w:tcW w:w="1215" w:type="dxa"/>
            <w:gridSpan w:val="2"/>
            <w:vMerge w:val="restart"/>
            <w:vAlign w:val="center"/>
          </w:tcPr>
          <w:p>
            <w:pPr>
              <w:jc w:val="center"/>
              <w:rPr>
                <w:sz w:val="18"/>
                <w:szCs w:val="18"/>
              </w:rPr>
            </w:pPr>
            <w:r>
              <w:rPr>
                <w:sz w:val="18"/>
                <w:szCs w:val="18"/>
              </w:rPr>
              <w:t>原材料质量要求</w:t>
            </w:r>
          </w:p>
        </w:tc>
        <w:tc>
          <w:tcPr>
            <w:tcW w:w="850" w:type="dxa"/>
            <w:gridSpan w:val="2"/>
            <w:vMerge w:val="restart"/>
            <w:vAlign w:val="center"/>
          </w:tcPr>
          <w:p>
            <w:pPr>
              <w:jc w:val="center"/>
              <w:rPr>
                <w:sz w:val="18"/>
                <w:szCs w:val="18"/>
              </w:rPr>
            </w:pPr>
            <w:r>
              <w:rPr>
                <w:sz w:val="18"/>
                <w:szCs w:val="18"/>
              </w:rPr>
              <w:t>高炉原燃料</w:t>
            </w:r>
          </w:p>
        </w:tc>
        <w:tc>
          <w:tcPr>
            <w:tcW w:w="1701" w:type="dxa"/>
            <w:gridSpan w:val="2"/>
            <w:vAlign w:val="center"/>
          </w:tcPr>
          <w:p>
            <w:pPr>
              <w:jc w:val="center"/>
              <w:rPr>
                <w:sz w:val="18"/>
                <w:szCs w:val="18"/>
              </w:rPr>
            </w:pPr>
            <w:r>
              <w:rPr>
                <w:sz w:val="18"/>
                <w:szCs w:val="18"/>
              </w:rPr>
              <w:t>高炉入炉品位</w:t>
            </w:r>
          </w:p>
        </w:tc>
        <w:tc>
          <w:tcPr>
            <w:tcW w:w="709" w:type="dxa"/>
            <w:vAlign w:val="center"/>
          </w:tcPr>
          <w:p>
            <w:pPr>
              <w:jc w:val="center"/>
              <w:rPr>
                <w:sz w:val="18"/>
                <w:szCs w:val="18"/>
              </w:rPr>
            </w:pPr>
            <w:r>
              <w:rPr>
                <w:sz w:val="18"/>
                <w:szCs w:val="18"/>
              </w:rPr>
              <w:t>%</w:t>
            </w:r>
          </w:p>
        </w:tc>
        <w:tc>
          <w:tcPr>
            <w:tcW w:w="1868" w:type="dxa"/>
            <w:vAlign w:val="center"/>
          </w:tcPr>
          <w:p>
            <w:pPr>
              <w:jc w:val="center"/>
              <w:rPr>
                <w:sz w:val="18"/>
                <w:szCs w:val="18"/>
              </w:rPr>
            </w:pPr>
            <w:r>
              <w:rPr>
                <w:sz w:val="18"/>
                <w:szCs w:val="18"/>
              </w:rPr>
              <w:t>≥57.0</w:t>
            </w:r>
          </w:p>
        </w:tc>
        <w:tc>
          <w:tcPr>
            <w:tcW w:w="2144" w:type="dxa"/>
            <w:vAlign w:val="center"/>
          </w:tcPr>
          <w:p>
            <w:pPr>
              <w:jc w:val="center"/>
              <w:rPr>
                <w:sz w:val="18"/>
                <w:szCs w:val="18"/>
              </w:rPr>
            </w:pPr>
            <w:r>
              <w:rPr>
                <w:sz w:val="18"/>
                <w:szCs w:val="18"/>
              </w:rPr>
              <w:t>按照《钢铁行业（高炉炼铁）清洁生产评价指标体系》和GB 50427标准，提供采购合同、采购原料清单及证明材料</w:t>
            </w:r>
          </w:p>
        </w:tc>
        <w:tc>
          <w:tcPr>
            <w:tcW w:w="977" w:type="dxa"/>
            <w:vMerge w:val="restart"/>
            <w:vAlign w:val="center"/>
          </w:tcPr>
          <w:p>
            <w:pPr>
              <w:jc w:val="center"/>
              <w:rPr>
                <w:sz w:val="18"/>
                <w:szCs w:val="18"/>
              </w:rPr>
            </w:pPr>
            <w:r>
              <w:rPr>
                <w:sz w:val="18"/>
                <w:szCs w:val="18"/>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850" w:type="dxa"/>
            <w:gridSpan w:val="2"/>
            <w:vMerge w:val="continue"/>
            <w:vAlign w:val="center"/>
          </w:tcPr>
          <w:p>
            <w:pPr>
              <w:jc w:val="center"/>
              <w:rPr>
                <w:sz w:val="18"/>
                <w:szCs w:val="18"/>
              </w:rPr>
            </w:pPr>
          </w:p>
        </w:tc>
        <w:tc>
          <w:tcPr>
            <w:tcW w:w="1701" w:type="dxa"/>
            <w:gridSpan w:val="2"/>
            <w:vAlign w:val="center"/>
          </w:tcPr>
          <w:p>
            <w:pPr>
              <w:jc w:val="center"/>
              <w:rPr>
                <w:sz w:val="18"/>
                <w:szCs w:val="18"/>
              </w:rPr>
            </w:pPr>
            <w:r>
              <w:rPr>
                <w:sz w:val="18"/>
                <w:szCs w:val="18"/>
              </w:rPr>
              <w:t>焦炭硫含量</w:t>
            </w:r>
          </w:p>
        </w:tc>
        <w:tc>
          <w:tcPr>
            <w:tcW w:w="709" w:type="dxa"/>
            <w:vAlign w:val="center"/>
          </w:tcPr>
          <w:p>
            <w:pPr>
              <w:jc w:val="center"/>
              <w:rPr>
                <w:sz w:val="18"/>
                <w:szCs w:val="18"/>
              </w:rPr>
            </w:pPr>
            <w:r>
              <w:rPr>
                <w:sz w:val="18"/>
                <w:szCs w:val="18"/>
              </w:rPr>
              <w:t>%</w:t>
            </w:r>
          </w:p>
        </w:tc>
        <w:tc>
          <w:tcPr>
            <w:tcW w:w="1868" w:type="dxa"/>
            <w:vAlign w:val="center"/>
          </w:tcPr>
          <w:p>
            <w:pPr>
              <w:jc w:val="center"/>
              <w:rPr>
                <w:sz w:val="18"/>
                <w:szCs w:val="18"/>
              </w:rPr>
            </w:pPr>
            <w:r>
              <w:rPr>
                <w:sz w:val="18"/>
                <w:szCs w:val="18"/>
              </w:rPr>
              <w:t>≤1.10</w:t>
            </w:r>
          </w:p>
        </w:tc>
        <w:tc>
          <w:tcPr>
            <w:tcW w:w="2144" w:type="dxa"/>
            <w:vAlign w:val="center"/>
          </w:tcPr>
          <w:p>
            <w:pPr>
              <w:jc w:val="center"/>
              <w:rPr>
                <w:sz w:val="18"/>
                <w:szCs w:val="18"/>
              </w:rPr>
            </w:pPr>
            <w:r>
              <w:rPr>
                <w:sz w:val="18"/>
                <w:szCs w:val="18"/>
              </w:rPr>
              <w:t>按照GB/T 1996标准，并提供基础数据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850" w:type="dxa"/>
            <w:gridSpan w:val="2"/>
            <w:vMerge w:val="continue"/>
            <w:vAlign w:val="center"/>
          </w:tcPr>
          <w:p>
            <w:pPr>
              <w:jc w:val="center"/>
              <w:rPr>
                <w:sz w:val="18"/>
                <w:szCs w:val="18"/>
              </w:rPr>
            </w:pPr>
          </w:p>
        </w:tc>
        <w:tc>
          <w:tcPr>
            <w:tcW w:w="1701" w:type="dxa"/>
            <w:gridSpan w:val="2"/>
            <w:vAlign w:val="center"/>
          </w:tcPr>
          <w:p>
            <w:pPr>
              <w:jc w:val="center"/>
              <w:rPr>
                <w:sz w:val="18"/>
                <w:szCs w:val="18"/>
              </w:rPr>
            </w:pPr>
            <w:r>
              <w:rPr>
                <w:sz w:val="18"/>
                <w:szCs w:val="18"/>
              </w:rPr>
              <w:t>喷吹煤硫含量</w:t>
            </w:r>
          </w:p>
        </w:tc>
        <w:tc>
          <w:tcPr>
            <w:tcW w:w="709" w:type="dxa"/>
            <w:vAlign w:val="center"/>
          </w:tcPr>
          <w:p>
            <w:pPr>
              <w:jc w:val="center"/>
              <w:rPr>
                <w:sz w:val="18"/>
                <w:szCs w:val="18"/>
              </w:rPr>
            </w:pPr>
            <w:r>
              <w:rPr>
                <w:sz w:val="18"/>
                <w:szCs w:val="18"/>
              </w:rPr>
              <w:t>%</w:t>
            </w:r>
          </w:p>
        </w:tc>
        <w:tc>
          <w:tcPr>
            <w:tcW w:w="1868" w:type="dxa"/>
            <w:vAlign w:val="center"/>
          </w:tcPr>
          <w:p>
            <w:pPr>
              <w:jc w:val="center"/>
              <w:rPr>
                <w:sz w:val="18"/>
                <w:szCs w:val="18"/>
              </w:rPr>
            </w:pPr>
            <w:r>
              <w:rPr>
                <w:sz w:val="18"/>
                <w:szCs w:val="18"/>
              </w:rPr>
              <w:t>≤1.00</w:t>
            </w:r>
          </w:p>
        </w:tc>
        <w:tc>
          <w:tcPr>
            <w:tcW w:w="2144" w:type="dxa"/>
            <w:vAlign w:val="center"/>
          </w:tcPr>
          <w:p>
            <w:pPr>
              <w:jc w:val="center"/>
              <w:rPr>
                <w:sz w:val="18"/>
                <w:szCs w:val="18"/>
              </w:rPr>
            </w:pPr>
            <w:r>
              <w:rPr>
                <w:sz w:val="18"/>
                <w:szCs w:val="18"/>
              </w:rPr>
              <w:t>按照GB/T 18512标准，并提供采购合同、采购原料清单及证明材料</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jc w:val="center"/>
              <w:rPr>
                <w:sz w:val="18"/>
                <w:szCs w:val="18"/>
              </w:rPr>
            </w:pPr>
            <w:r>
              <w:rPr>
                <w:sz w:val="18"/>
                <w:szCs w:val="18"/>
              </w:rPr>
              <w:t>废钢</w:t>
            </w:r>
          </w:p>
        </w:tc>
        <w:tc>
          <w:tcPr>
            <w:tcW w:w="709" w:type="dxa"/>
            <w:vAlign w:val="center"/>
          </w:tcPr>
          <w:p>
            <w:pPr>
              <w:jc w:val="center"/>
              <w:rPr>
                <w:sz w:val="18"/>
                <w:szCs w:val="18"/>
              </w:rPr>
            </w:pPr>
            <w:r>
              <w:rPr>
                <w:sz w:val="18"/>
                <w:szCs w:val="18"/>
              </w:rPr>
              <w:t>—</w:t>
            </w:r>
          </w:p>
        </w:tc>
        <w:tc>
          <w:tcPr>
            <w:tcW w:w="1868" w:type="dxa"/>
            <w:vAlign w:val="center"/>
          </w:tcPr>
          <w:p>
            <w:pPr>
              <w:jc w:val="center"/>
              <w:rPr>
                <w:sz w:val="18"/>
                <w:szCs w:val="18"/>
              </w:rPr>
            </w:pPr>
            <w:r>
              <w:rPr>
                <w:sz w:val="18"/>
                <w:szCs w:val="18"/>
              </w:rPr>
              <w:t>不含放射性物质</w:t>
            </w:r>
          </w:p>
        </w:tc>
        <w:tc>
          <w:tcPr>
            <w:tcW w:w="2144" w:type="dxa"/>
            <w:vAlign w:val="center"/>
          </w:tcPr>
          <w:p>
            <w:pPr>
              <w:jc w:val="center"/>
              <w:rPr>
                <w:sz w:val="18"/>
                <w:szCs w:val="18"/>
              </w:rPr>
            </w:pPr>
            <w:r>
              <w:rPr>
                <w:sz w:val="18"/>
                <w:szCs w:val="18"/>
              </w:rPr>
              <w:t>提供采购合同、采购原料清单及证明材料</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413" w:type="dxa"/>
            <w:vMerge w:val="restart"/>
            <w:vAlign w:val="center"/>
          </w:tcPr>
          <w:p>
            <w:pPr>
              <w:jc w:val="center"/>
              <w:rPr>
                <w:sz w:val="18"/>
                <w:szCs w:val="18"/>
              </w:rPr>
            </w:pPr>
            <w:r>
              <w:rPr>
                <w:sz w:val="18"/>
                <w:szCs w:val="18"/>
              </w:rPr>
              <w:t>水资源</w:t>
            </w:r>
          </w:p>
        </w:tc>
        <w:tc>
          <w:tcPr>
            <w:tcW w:w="802" w:type="dxa"/>
            <w:vMerge w:val="restart"/>
            <w:vAlign w:val="center"/>
          </w:tcPr>
          <w:p>
            <w:pPr>
              <w:jc w:val="center"/>
              <w:rPr>
                <w:sz w:val="18"/>
                <w:szCs w:val="18"/>
              </w:rPr>
            </w:pPr>
            <w:r>
              <w:rPr>
                <w:sz w:val="18"/>
                <w:szCs w:val="18"/>
              </w:rPr>
              <w:t>单位产品取水量</w:t>
            </w:r>
          </w:p>
        </w:tc>
        <w:tc>
          <w:tcPr>
            <w:tcW w:w="2551" w:type="dxa"/>
            <w:gridSpan w:val="4"/>
            <w:vAlign w:val="center"/>
          </w:tcPr>
          <w:p>
            <w:pPr>
              <w:jc w:val="center"/>
              <w:rPr>
                <w:sz w:val="18"/>
                <w:szCs w:val="18"/>
              </w:rPr>
            </w:pPr>
            <w:r>
              <w:rPr>
                <w:sz w:val="18"/>
                <w:szCs w:val="18"/>
              </w:rPr>
              <w:t>高炉-转炉生产工艺</w:t>
            </w:r>
          </w:p>
        </w:tc>
        <w:tc>
          <w:tcPr>
            <w:tcW w:w="709" w:type="dxa"/>
            <w:vAlign w:val="center"/>
          </w:tcPr>
          <w:p>
            <w:pPr>
              <w:jc w:val="center"/>
              <w:rPr>
                <w:sz w:val="18"/>
                <w:szCs w:val="18"/>
              </w:rPr>
            </w:pPr>
            <w:r>
              <w:rPr>
                <w:sz w:val="18"/>
                <w:szCs w:val="18"/>
              </w:rPr>
              <w:t>m</w:t>
            </w:r>
            <w:r>
              <w:rPr>
                <w:sz w:val="18"/>
                <w:szCs w:val="18"/>
                <w:vertAlign w:val="superscript"/>
              </w:rPr>
              <w:t>3</w:t>
            </w:r>
            <w:r>
              <w:rPr>
                <w:sz w:val="18"/>
                <w:szCs w:val="18"/>
              </w:rPr>
              <w:t>/t</w:t>
            </w:r>
          </w:p>
        </w:tc>
        <w:tc>
          <w:tcPr>
            <w:tcW w:w="1868" w:type="dxa"/>
            <w:vAlign w:val="center"/>
          </w:tcPr>
          <w:p>
            <w:pPr>
              <w:jc w:val="center"/>
              <w:rPr>
                <w:sz w:val="18"/>
                <w:szCs w:val="18"/>
                <w:highlight w:val="yellow"/>
              </w:rPr>
            </w:pPr>
            <w:r>
              <w:rPr>
                <w:sz w:val="18"/>
                <w:szCs w:val="18"/>
              </w:rPr>
              <w:t>≤</w:t>
            </w:r>
            <w:r>
              <w:rPr>
                <w:rFonts w:hint="eastAsia"/>
                <w:sz w:val="18"/>
                <w:szCs w:val="18"/>
              </w:rPr>
              <w:t>4.</w:t>
            </w:r>
            <w:r>
              <w:rPr>
                <w:sz w:val="18"/>
                <w:szCs w:val="18"/>
              </w:rPr>
              <w:t>0</w:t>
            </w:r>
          </w:p>
        </w:tc>
        <w:tc>
          <w:tcPr>
            <w:tcW w:w="2144" w:type="dxa"/>
            <w:vMerge w:val="restart"/>
            <w:vAlign w:val="center"/>
          </w:tcPr>
          <w:p>
            <w:pPr>
              <w:jc w:val="center"/>
              <w:rPr>
                <w:sz w:val="18"/>
                <w:szCs w:val="18"/>
              </w:rPr>
            </w:pPr>
            <w:r>
              <w:rPr>
                <w:sz w:val="18"/>
                <w:szCs w:val="18"/>
              </w:rPr>
              <w:t>按照附录A，并提供基础数据（按照一年生产周期计算平均值）</w:t>
            </w:r>
          </w:p>
        </w:tc>
        <w:tc>
          <w:tcPr>
            <w:tcW w:w="977" w:type="dxa"/>
            <w:vMerge w:val="restart"/>
            <w:vAlign w:val="center"/>
          </w:tcPr>
          <w:p>
            <w:pPr>
              <w:jc w:val="center"/>
              <w:rPr>
                <w:sz w:val="18"/>
                <w:szCs w:val="18"/>
              </w:rPr>
            </w:pPr>
            <w:r>
              <w:rPr>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413" w:type="dxa"/>
            <w:vMerge w:val="continue"/>
            <w:vAlign w:val="center"/>
          </w:tcPr>
          <w:p>
            <w:pPr>
              <w:jc w:val="center"/>
              <w:rPr>
                <w:sz w:val="18"/>
                <w:szCs w:val="18"/>
              </w:rPr>
            </w:pPr>
          </w:p>
        </w:tc>
        <w:tc>
          <w:tcPr>
            <w:tcW w:w="802" w:type="dxa"/>
            <w:vMerge w:val="continue"/>
            <w:vAlign w:val="center"/>
          </w:tcPr>
          <w:p>
            <w:pPr>
              <w:jc w:val="center"/>
              <w:rPr>
                <w:sz w:val="18"/>
                <w:szCs w:val="18"/>
              </w:rPr>
            </w:pPr>
          </w:p>
        </w:tc>
        <w:tc>
          <w:tcPr>
            <w:tcW w:w="2551" w:type="dxa"/>
            <w:gridSpan w:val="4"/>
            <w:vAlign w:val="center"/>
          </w:tcPr>
          <w:p>
            <w:pPr>
              <w:jc w:val="center"/>
              <w:rPr>
                <w:sz w:val="18"/>
                <w:szCs w:val="18"/>
              </w:rPr>
            </w:pPr>
            <w:r>
              <w:rPr>
                <w:sz w:val="18"/>
                <w:szCs w:val="18"/>
              </w:rPr>
              <w:t>电炉生产工艺</w:t>
            </w:r>
          </w:p>
        </w:tc>
        <w:tc>
          <w:tcPr>
            <w:tcW w:w="709" w:type="dxa"/>
            <w:vAlign w:val="center"/>
          </w:tcPr>
          <w:p>
            <w:pPr>
              <w:jc w:val="center"/>
              <w:rPr>
                <w:sz w:val="18"/>
                <w:szCs w:val="18"/>
              </w:rPr>
            </w:pPr>
            <w:r>
              <w:rPr>
                <w:sz w:val="18"/>
                <w:szCs w:val="18"/>
              </w:rPr>
              <w:t>m</w:t>
            </w:r>
            <w:r>
              <w:rPr>
                <w:sz w:val="18"/>
                <w:szCs w:val="18"/>
                <w:vertAlign w:val="superscript"/>
              </w:rPr>
              <w:t>3</w:t>
            </w:r>
            <w:r>
              <w:rPr>
                <w:sz w:val="18"/>
                <w:szCs w:val="18"/>
              </w:rPr>
              <w:t>/t</w:t>
            </w:r>
          </w:p>
        </w:tc>
        <w:tc>
          <w:tcPr>
            <w:tcW w:w="1868" w:type="dxa"/>
            <w:vAlign w:val="center"/>
          </w:tcPr>
          <w:p>
            <w:pPr>
              <w:jc w:val="center"/>
              <w:rPr>
                <w:sz w:val="18"/>
                <w:szCs w:val="18"/>
              </w:rPr>
            </w:pPr>
            <w:r>
              <w:rPr>
                <w:sz w:val="18"/>
                <w:szCs w:val="18"/>
              </w:rPr>
              <w:t>≤2.6</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413" w:type="dxa"/>
            <w:vMerge w:val="continue"/>
            <w:vAlign w:val="center"/>
          </w:tcPr>
          <w:p>
            <w:pPr>
              <w:jc w:val="center"/>
              <w:rPr>
                <w:sz w:val="18"/>
                <w:szCs w:val="18"/>
              </w:rPr>
            </w:pPr>
          </w:p>
        </w:tc>
        <w:tc>
          <w:tcPr>
            <w:tcW w:w="3353" w:type="dxa"/>
            <w:gridSpan w:val="5"/>
            <w:vAlign w:val="center"/>
          </w:tcPr>
          <w:p>
            <w:pPr>
              <w:jc w:val="center"/>
              <w:rPr>
                <w:sz w:val="18"/>
                <w:szCs w:val="18"/>
              </w:rPr>
            </w:pPr>
            <w:r>
              <w:rPr>
                <w:sz w:val="18"/>
                <w:szCs w:val="18"/>
              </w:rPr>
              <w:t>水重复利用率</w:t>
            </w:r>
          </w:p>
        </w:tc>
        <w:tc>
          <w:tcPr>
            <w:tcW w:w="709" w:type="dxa"/>
            <w:vAlign w:val="center"/>
          </w:tcPr>
          <w:p>
            <w:pPr>
              <w:jc w:val="center"/>
              <w:rPr>
                <w:sz w:val="18"/>
                <w:szCs w:val="18"/>
              </w:rPr>
            </w:pPr>
            <w:r>
              <w:rPr>
                <w:sz w:val="18"/>
                <w:szCs w:val="18"/>
              </w:rPr>
              <w:t>%</w:t>
            </w:r>
          </w:p>
        </w:tc>
        <w:tc>
          <w:tcPr>
            <w:tcW w:w="1868" w:type="dxa"/>
            <w:vAlign w:val="center"/>
          </w:tcPr>
          <w:p>
            <w:pPr>
              <w:jc w:val="center"/>
              <w:rPr>
                <w:sz w:val="18"/>
                <w:szCs w:val="18"/>
              </w:rPr>
            </w:pPr>
            <w:r>
              <w:rPr>
                <w:sz w:val="18"/>
                <w:szCs w:val="18"/>
              </w:rPr>
              <w:t>≥97</w:t>
            </w:r>
          </w:p>
        </w:tc>
        <w:tc>
          <w:tcPr>
            <w:tcW w:w="2144" w:type="dxa"/>
            <w:vAlign w:val="center"/>
          </w:tcPr>
          <w:p>
            <w:pPr>
              <w:adjustRightInd w:val="0"/>
              <w:snapToGrid w:val="0"/>
              <w:spacing w:line="240" w:lineRule="atLeast"/>
              <w:jc w:val="center"/>
              <w:rPr>
                <w:sz w:val="18"/>
                <w:szCs w:val="18"/>
              </w:rPr>
            </w:pPr>
            <w:r>
              <w:rPr>
                <w:sz w:val="18"/>
                <w:szCs w:val="18"/>
              </w:rPr>
              <w:t>按照GB/T 26924标准和附录A，并提供基础数据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restart"/>
            <w:vAlign w:val="center"/>
          </w:tcPr>
          <w:p>
            <w:pPr>
              <w:jc w:val="center"/>
              <w:rPr>
                <w:sz w:val="18"/>
                <w:szCs w:val="18"/>
              </w:rPr>
            </w:pPr>
            <w:r>
              <w:rPr>
                <w:sz w:val="18"/>
                <w:szCs w:val="18"/>
              </w:rPr>
              <w:t>能源属性</w:t>
            </w:r>
          </w:p>
        </w:tc>
        <w:tc>
          <w:tcPr>
            <w:tcW w:w="1215" w:type="dxa"/>
            <w:gridSpan w:val="2"/>
            <w:vMerge w:val="restart"/>
            <w:vAlign w:val="center"/>
          </w:tcPr>
          <w:p>
            <w:pPr>
              <w:jc w:val="center"/>
              <w:rPr>
                <w:sz w:val="18"/>
                <w:szCs w:val="18"/>
              </w:rPr>
            </w:pPr>
            <w:r>
              <w:rPr>
                <w:sz w:val="18"/>
                <w:szCs w:val="18"/>
              </w:rPr>
              <w:t>单位产品能耗指标</w:t>
            </w:r>
          </w:p>
        </w:tc>
        <w:tc>
          <w:tcPr>
            <w:tcW w:w="2551" w:type="dxa"/>
            <w:gridSpan w:val="4"/>
            <w:vAlign w:val="center"/>
          </w:tcPr>
          <w:p>
            <w:pPr>
              <w:widowControl/>
              <w:snapToGrid w:val="0"/>
              <w:jc w:val="center"/>
              <w:rPr>
                <w:kern w:val="0"/>
                <w:sz w:val="18"/>
                <w:szCs w:val="18"/>
              </w:rPr>
            </w:pPr>
            <w:r>
              <w:rPr>
                <w:kern w:val="0"/>
                <w:sz w:val="18"/>
                <w:szCs w:val="18"/>
              </w:rPr>
              <w:t>焦化工序（顶装）</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sz w:val="18"/>
                <w:szCs w:val="18"/>
              </w:rPr>
            </w:pPr>
            <w:r>
              <w:rPr>
                <w:sz w:val="18"/>
                <w:szCs w:val="18"/>
              </w:rPr>
              <w:t>≤122</w:t>
            </w:r>
          </w:p>
        </w:tc>
        <w:tc>
          <w:tcPr>
            <w:tcW w:w="2144" w:type="dxa"/>
            <w:vAlign w:val="center"/>
          </w:tcPr>
          <w:p>
            <w:pPr>
              <w:jc w:val="center"/>
              <w:rPr>
                <w:sz w:val="18"/>
                <w:szCs w:val="18"/>
              </w:rPr>
            </w:pPr>
            <w:r>
              <w:rPr>
                <w:sz w:val="18"/>
                <w:szCs w:val="18"/>
              </w:rPr>
              <w:t>按照GB 21342要求，并提供基础数据</w:t>
            </w:r>
          </w:p>
        </w:tc>
        <w:tc>
          <w:tcPr>
            <w:tcW w:w="977" w:type="dxa"/>
            <w:vMerge w:val="restart"/>
            <w:vAlign w:val="center"/>
          </w:tcPr>
          <w:p>
            <w:pPr>
              <w:jc w:val="center"/>
              <w:rPr>
                <w:sz w:val="18"/>
                <w:szCs w:val="18"/>
              </w:rPr>
            </w:pPr>
            <w:r>
              <w:rPr>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widowControl/>
              <w:snapToGrid w:val="0"/>
              <w:jc w:val="center"/>
              <w:rPr>
                <w:sz w:val="18"/>
                <w:szCs w:val="18"/>
              </w:rPr>
            </w:pPr>
            <w:r>
              <w:rPr>
                <w:kern w:val="0"/>
                <w:sz w:val="18"/>
                <w:szCs w:val="18"/>
              </w:rPr>
              <w:t>焦化工序（捣固）</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sz w:val="18"/>
                <w:szCs w:val="18"/>
              </w:rPr>
            </w:pPr>
            <w:r>
              <w:rPr>
                <w:sz w:val="18"/>
                <w:szCs w:val="18"/>
              </w:rPr>
              <w:t>≤127</w:t>
            </w:r>
          </w:p>
        </w:tc>
        <w:tc>
          <w:tcPr>
            <w:tcW w:w="2144" w:type="dxa"/>
            <w:vAlign w:val="center"/>
          </w:tcPr>
          <w:p>
            <w:pPr>
              <w:jc w:val="center"/>
              <w:rPr>
                <w:sz w:val="18"/>
                <w:szCs w:val="18"/>
              </w:rPr>
            </w:pPr>
            <w:r>
              <w:rPr>
                <w:sz w:val="18"/>
                <w:szCs w:val="18"/>
              </w:rPr>
              <w:t>按照GB 21342要求，并提供基础数据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widowControl/>
              <w:snapToGrid w:val="0"/>
              <w:jc w:val="center"/>
              <w:rPr>
                <w:sz w:val="18"/>
                <w:szCs w:val="18"/>
              </w:rPr>
            </w:pPr>
            <w:r>
              <w:rPr>
                <w:sz w:val="18"/>
                <w:szCs w:val="18"/>
              </w:rPr>
              <w:t>烧结工序（含脱硫脱硝）</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sz w:val="18"/>
                <w:szCs w:val="18"/>
              </w:rPr>
            </w:pPr>
            <w:r>
              <w:rPr>
                <w:sz w:val="18"/>
                <w:szCs w:val="18"/>
              </w:rPr>
              <w:t>≤54</w:t>
            </w:r>
          </w:p>
        </w:tc>
        <w:tc>
          <w:tcPr>
            <w:tcW w:w="2144" w:type="dxa"/>
            <w:vMerge w:val="restart"/>
            <w:vAlign w:val="center"/>
          </w:tcPr>
          <w:p>
            <w:pPr>
              <w:jc w:val="center"/>
              <w:rPr>
                <w:sz w:val="18"/>
                <w:szCs w:val="18"/>
              </w:rPr>
            </w:pPr>
            <w:r>
              <w:rPr>
                <w:sz w:val="18"/>
                <w:szCs w:val="18"/>
              </w:rPr>
              <w:t>按照《钢铁行业（烧结、球团）清洁生产评价指标体系》标准和附录A，并提供基础数据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widowControl/>
              <w:snapToGrid w:val="0"/>
              <w:jc w:val="center"/>
              <w:rPr>
                <w:kern w:val="0"/>
                <w:sz w:val="18"/>
                <w:szCs w:val="18"/>
              </w:rPr>
            </w:pPr>
            <w:r>
              <w:rPr>
                <w:sz w:val="18"/>
                <w:szCs w:val="18"/>
              </w:rPr>
              <w:t>球团工序</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sz w:val="18"/>
                <w:szCs w:val="18"/>
              </w:rPr>
            </w:pPr>
            <w:r>
              <w:rPr>
                <w:sz w:val="18"/>
                <w:szCs w:val="18"/>
              </w:rPr>
              <w:t>≤24</w:t>
            </w:r>
          </w:p>
        </w:tc>
        <w:tc>
          <w:tcPr>
            <w:tcW w:w="2144" w:type="dxa"/>
            <w:vMerge w:val="continue"/>
            <w:vAlign w:val="center"/>
          </w:tcPr>
          <w:p>
            <w:pP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widowControl/>
              <w:snapToGrid w:val="0"/>
              <w:jc w:val="center"/>
              <w:rPr>
                <w:kern w:val="0"/>
                <w:sz w:val="18"/>
                <w:szCs w:val="18"/>
              </w:rPr>
            </w:pPr>
            <w:r>
              <w:rPr>
                <w:sz w:val="18"/>
                <w:szCs w:val="18"/>
              </w:rPr>
              <w:t>高炉工序</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sz w:val="18"/>
                <w:szCs w:val="18"/>
              </w:rPr>
            </w:pPr>
            <w:r>
              <w:rPr>
                <w:sz w:val="18"/>
                <w:szCs w:val="18"/>
              </w:rPr>
              <w:t>≤390</w:t>
            </w:r>
          </w:p>
        </w:tc>
        <w:tc>
          <w:tcPr>
            <w:tcW w:w="2144" w:type="dxa"/>
            <w:vAlign w:val="center"/>
          </w:tcPr>
          <w:p>
            <w:pPr>
              <w:rPr>
                <w:sz w:val="18"/>
                <w:szCs w:val="18"/>
              </w:rPr>
            </w:pPr>
            <w:r>
              <w:rPr>
                <w:sz w:val="18"/>
                <w:szCs w:val="18"/>
              </w:rPr>
              <w:t>按照《钢铁行业（高炉炼铁）清洁生产评价指标体系》标准和附录A，并提供基础数据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shd w:val="clear" w:color="auto" w:fill="auto"/>
            <w:vAlign w:val="center"/>
          </w:tcPr>
          <w:p>
            <w:pPr>
              <w:widowControl/>
              <w:snapToGrid w:val="0"/>
              <w:jc w:val="center"/>
              <w:rPr>
                <w:kern w:val="0"/>
                <w:sz w:val="18"/>
                <w:szCs w:val="18"/>
              </w:rPr>
            </w:pPr>
            <w:r>
              <w:rPr>
                <w:sz w:val="18"/>
                <w:szCs w:val="18"/>
              </w:rPr>
              <w:t>转炉工序</w:t>
            </w:r>
            <w:r>
              <w:rPr>
                <w:sz w:val="18"/>
                <w:szCs w:val="18"/>
                <w:vertAlign w:val="superscript"/>
              </w:rPr>
              <w:t>a</w:t>
            </w:r>
          </w:p>
        </w:tc>
        <w:tc>
          <w:tcPr>
            <w:tcW w:w="709" w:type="dxa"/>
            <w:shd w:val="clear" w:color="auto" w:fill="auto"/>
            <w:vAlign w:val="center"/>
          </w:tcPr>
          <w:p>
            <w:pPr>
              <w:widowControl/>
              <w:snapToGrid w:val="0"/>
              <w:jc w:val="center"/>
              <w:rPr>
                <w:kern w:val="0"/>
                <w:sz w:val="18"/>
                <w:szCs w:val="18"/>
              </w:rPr>
            </w:pPr>
            <w:r>
              <w:rPr>
                <w:kern w:val="0"/>
                <w:sz w:val="18"/>
                <w:szCs w:val="18"/>
              </w:rPr>
              <w:t>kgce/t</w:t>
            </w:r>
          </w:p>
        </w:tc>
        <w:tc>
          <w:tcPr>
            <w:tcW w:w="1868" w:type="dxa"/>
            <w:shd w:val="clear" w:color="auto" w:fill="auto"/>
            <w:vAlign w:val="center"/>
          </w:tcPr>
          <w:p>
            <w:pPr>
              <w:jc w:val="center"/>
              <w:rPr>
                <w:sz w:val="18"/>
                <w:szCs w:val="18"/>
              </w:rPr>
            </w:pPr>
            <w:r>
              <w:rPr>
                <w:sz w:val="18"/>
                <w:szCs w:val="18"/>
              </w:rPr>
              <w:t>≤-20</w:t>
            </w:r>
          </w:p>
        </w:tc>
        <w:tc>
          <w:tcPr>
            <w:tcW w:w="2144" w:type="dxa"/>
            <w:vMerge w:val="restart"/>
            <w:vAlign w:val="center"/>
          </w:tcPr>
          <w:p>
            <w:pPr>
              <w:rPr>
                <w:sz w:val="18"/>
                <w:szCs w:val="18"/>
              </w:rPr>
            </w:pPr>
            <w:r>
              <w:rPr>
                <w:sz w:val="18"/>
                <w:szCs w:val="18"/>
              </w:rPr>
              <w:t>按照《钢铁行业（炼钢）清洁生产评价指标体系》标准和附录A，并提供基础数据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shd w:val="clear" w:color="auto" w:fill="auto"/>
            <w:vAlign w:val="center"/>
          </w:tcPr>
          <w:p>
            <w:pPr>
              <w:widowControl/>
              <w:snapToGrid w:val="0"/>
              <w:jc w:val="center"/>
              <w:rPr>
                <w:kern w:val="0"/>
                <w:sz w:val="18"/>
                <w:szCs w:val="18"/>
              </w:rPr>
            </w:pPr>
            <w:r>
              <w:rPr>
                <w:sz w:val="18"/>
                <w:szCs w:val="18"/>
              </w:rPr>
              <w:t>电炉工序</w:t>
            </w:r>
            <w:r>
              <w:rPr>
                <w:sz w:val="18"/>
                <w:szCs w:val="18"/>
                <w:vertAlign w:val="superscript"/>
              </w:rPr>
              <w:t>b</w:t>
            </w:r>
          </w:p>
        </w:tc>
        <w:tc>
          <w:tcPr>
            <w:tcW w:w="709" w:type="dxa"/>
            <w:shd w:val="clear" w:color="auto" w:fill="auto"/>
            <w:vAlign w:val="center"/>
          </w:tcPr>
          <w:p>
            <w:pPr>
              <w:widowControl/>
              <w:snapToGrid w:val="0"/>
              <w:jc w:val="center"/>
              <w:rPr>
                <w:kern w:val="0"/>
                <w:sz w:val="18"/>
                <w:szCs w:val="18"/>
              </w:rPr>
            </w:pPr>
            <w:r>
              <w:rPr>
                <w:kern w:val="0"/>
                <w:sz w:val="18"/>
                <w:szCs w:val="18"/>
              </w:rPr>
              <w:t>kgce/t</w:t>
            </w:r>
          </w:p>
        </w:tc>
        <w:tc>
          <w:tcPr>
            <w:tcW w:w="1868" w:type="dxa"/>
            <w:shd w:val="clear" w:color="auto" w:fill="auto"/>
            <w:vAlign w:val="center"/>
          </w:tcPr>
          <w:p>
            <w:pPr>
              <w:jc w:val="center"/>
              <w:rPr>
                <w:sz w:val="18"/>
                <w:szCs w:val="18"/>
              </w:rPr>
            </w:pPr>
            <w:r>
              <w:rPr>
                <w:sz w:val="18"/>
                <w:szCs w:val="18"/>
              </w:rPr>
              <w:t>≤64</w:t>
            </w:r>
          </w:p>
        </w:tc>
        <w:tc>
          <w:tcPr>
            <w:tcW w:w="2144" w:type="dxa"/>
            <w:vMerge w:val="continue"/>
            <w:vAlign w:val="center"/>
          </w:tcPr>
          <w:p>
            <w:pP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1134" w:type="dxa"/>
            <w:gridSpan w:val="3"/>
            <w:vMerge w:val="restart"/>
            <w:vAlign w:val="center"/>
          </w:tcPr>
          <w:p>
            <w:pPr>
              <w:jc w:val="center"/>
              <w:rPr>
                <w:sz w:val="18"/>
                <w:szCs w:val="18"/>
              </w:rPr>
            </w:pPr>
            <w:r>
              <w:rPr>
                <w:sz w:val="18"/>
                <w:szCs w:val="18"/>
              </w:rPr>
              <w:t>轧钢工序</w:t>
            </w:r>
            <w:r>
              <w:rPr>
                <w:rFonts w:hint="eastAsia"/>
                <w:sz w:val="18"/>
                <w:szCs w:val="18"/>
                <w:vertAlign w:val="superscript"/>
              </w:rPr>
              <w:t>c</w:t>
            </w:r>
          </w:p>
        </w:tc>
        <w:tc>
          <w:tcPr>
            <w:tcW w:w="1417" w:type="dxa"/>
            <w:vAlign w:val="center"/>
          </w:tcPr>
          <w:p>
            <w:pPr>
              <w:jc w:val="center"/>
              <w:rPr>
                <w:sz w:val="18"/>
                <w:szCs w:val="18"/>
              </w:rPr>
            </w:pPr>
            <w:r>
              <w:rPr>
                <w:rFonts w:hint="eastAsia"/>
                <w:sz w:val="18"/>
                <w:szCs w:val="18"/>
              </w:rPr>
              <w:t>大型棒材</w:t>
            </w:r>
            <w:r>
              <w:rPr>
                <w:sz w:val="18"/>
                <w:szCs w:val="18"/>
              </w:rPr>
              <w:t>轧机</w:t>
            </w:r>
          </w:p>
        </w:tc>
        <w:tc>
          <w:tcPr>
            <w:tcW w:w="709" w:type="dxa"/>
            <w:vMerge w:val="restart"/>
            <w:vAlign w:val="center"/>
          </w:tcPr>
          <w:p>
            <w:pPr>
              <w:widowControl/>
              <w:snapToGrid w:val="0"/>
              <w:jc w:val="center"/>
              <w:rPr>
                <w:color w:val="000000"/>
                <w:kern w:val="0"/>
                <w:sz w:val="18"/>
                <w:szCs w:val="18"/>
              </w:rPr>
            </w:pPr>
            <w:r>
              <w:rPr>
                <w:color w:val="000000"/>
                <w:kern w:val="0"/>
                <w:sz w:val="18"/>
                <w:szCs w:val="18"/>
              </w:rPr>
              <w:t>kgce/t</w:t>
            </w:r>
          </w:p>
        </w:tc>
        <w:tc>
          <w:tcPr>
            <w:tcW w:w="1868" w:type="dxa"/>
            <w:vAlign w:val="center"/>
          </w:tcPr>
          <w:p>
            <w:pPr>
              <w:widowControl/>
              <w:snapToGrid w:val="0"/>
              <w:jc w:val="center"/>
              <w:rPr>
                <w:color w:val="000000"/>
                <w:kern w:val="0"/>
                <w:sz w:val="18"/>
                <w:szCs w:val="18"/>
              </w:rPr>
            </w:pPr>
            <w:r>
              <w:rPr>
                <w:color w:val="000000"/>
                <w:kern w:val="0"/>
                <w:sz w:val="18"/>
                <w:szCs w:val="18"/>
              </w:rPr>
              <w:t>≤45.2</w:t>
            </w:r>
          </w:p>
        </w:tc>
        <w:tc>
          <w:tcPr>
            <w:tcW w:w="2144" w:type="dxa"/>
            <w:vMerge w:val="restart"/>
            <w:vAlign w:val="center"/>
          </w:tcPr>
          <w:p>
            <w:pPr>
              <w:jc w:val="center"/>
              <w:rPr>
                <w:sz w:val="18"/>
                <w:szCs w:val="18"/>
              </w:rPr>
            </w:pPr>
            <w:r>
              <w:rPr>
                <w:sz w:val="18"/>
                <w:szCs w:val="18"/>
              </w:rPr>
              <w:t>按照GB 50632标准和附录A，并提供基础数据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1134" w:type="dxa"/>
            <w:gridSpan w:val="3"/>
            <w:vMerge w:val="continue"/>
            <w:vAlign w:val="center"/>
          </w:tcPr>
          <w:p>
            <w:pPr>
              <w:jc w:val="center"/>
              <w:rPr>
                <w:sz w:val="18"/>
                <w:szCs w:val="18"/>
              </w:rPr>
            </w:pPr>
          </w:p>
        </w:tc>
        <w:tc>
          <w:tcPr>
            <w:tcW w:w="1417" w:type="dxa"/>
            <w:vAlign w:val="center"/>
          </w:tcPr>
          <w:p>
            <w:pPr>
              <w:jc w:val="center"/>
              <w:rPr>
                <w:sz w:val="18"/>
                <w:szCs w:val="18"/>
              </w:rPr>
            </w:pPr>
            <w:r>
              <w:rPr>
                <w:rFonts w:hint="eastAsia"/>
                <w:sz w:val="18"/>
                <w:szCs w:val="18"/>
              </w:rPr>
              <w:t>中型棒材轧机</w:t>
            </w:r>
          </w:p>
        </w:tc>
        <w:tc>
          <w:tcPr>
            <w:tcW w:w="709" w:type="dxa"/>
            <w:vMerge w:val="continue"/>
            <w:vAlign w:val="center"/>
          </w:tcPr>
          <w:p>
            <w:pPr>
              <w:widowControl/>
              <w:snapToGrid w:val="0"/>
              <w:jc w:val="center"/>
              <w:rPr>
                <w:color w:val="000000"/>
                <w:kern w:val="0"/>
                <w:sz w:val="18"/>
                <w:szCs w:val="18"/>
              </w:rPr>
            </w:pPr>
          </w:p>
        </w:tc>
        <w:tc>
          <w:tcPr>
            <w:tcW w:w="1868" w:type="dxa"/>
            <w:vAlign w:val="center"/>
          </w:tcPr>
          <w:p>
            <w:pPr>
              <w:widowControl/>
              <w:snapToGrid w:val="0"/>
              <w:jc w:val="center"/>
              <w:rPr>
                <w:color w:val="000000"/>
                <w:kern w:val="0"/>
                <w:sz w:val="18"/>
                <w:szCs w:val="18"/>
              </w:rPr>
            </w:pPr>
            <w:r>
              <w:rPr>
                <w:color w:val="000000"/>
                <w:kern w:val="0"/>
                <w:sz w:val="18"/>
                <w:szCs w:val="18"/>
              </w:rPr>
              <w:t>≤41.5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1134" w:type="dxa"/>
            <w:gridSpan w:val="3"/>
            <w:vMerge w:val="continue"/>
            <w:vAlign w:val="center"/>
          </w:tcPr>
          <w:p>
            <w:pPr>
              <w:jc w:val="center"/>
              <w:rPr>
                <w:sz w:val="18"/>
                <w:szCs w:val="18"/>
              </w:rPr>
            </w:pPr>
          </w:p>
        </w:tc>
        <w:tc>
          <w:tcPr>
            <w:tcW w:w="1417" w:type="dxa"/>
            <w:vAlign w:val="center"/>
          </w:tcPr>
          <w:p>
            <w:pPr>
              <w:jc w:val="center"/>
              <w:rPr>
                <w:sz w:val="18"/>
                <w:szCs w:val="18"/>
              </w:rPr>
            </w:pPr>
            <w:r>
              <w:rPr>
                <w:rFonts w:hint="eastAsia"/>
                <w:sz w:val="18"/>
                <w:szCs w:val="18"/>
              </w:rPr>
              <w:t>小型棒材</w:t>
            </w:r>
            <w:r>
              <w:rPr>
                <w:sz w:val="18"/>
                <w:szCs w:val="18"/>
              </w:rPr>
              <w:t>轧机</w:t>
            </w:r>
          </w:p>
        </w:tc>
        <w:tc>
          <w:tcPr>
            <w:tcW w:w="709" w:type="dxa"/>
            <w:vMerge w:val="continue"/>
            <w:vAlign w:val="center"/>
          </w:tcPr>
          <w:p>
            <w:pPr>
              <w:widowControl/>
              <w:snapToGrid w:val="0"/>
              <w:jc w:val="center"/>
              <w:rPr>
                <w:color w:val="000000"/>
                <w:kern w:val="0"/>
                <w:sz w:val="18"/>
                <w:szCs w:val="18"/>
              </w:rPr>
            </w:pPr>
          </w:p>
        </w:tc>
        <w:tc>
          <w:tcPr>
            <w:tcW w:w="1868" w:type="dxa"/>
            <w:vAlign w:val="center"/>
          </w:tcPr>
          <w:p>
            <w:pPr>
              <w:snapToGrid w:val="0"/>
              <w:jc w:val="center"/>
              <w:rPr>
                <w:color w:val="000000"/>
                <w:kern w:val="0"/>
                <w:sz w:val="18"/>
                <w:szCs w:val="18"/>
              </w:rPr>
            </w:pPr>
            <w:r>
              <w:rPr>
                <w:color w:val="000000"/>
                <w:kern w:val="0"/>
                <w:sz w:val="18"/>
                <w:szCs w:val="18"/>
              </w:rPr>
              <w:t>≤38.2</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restart"/>
            <w:vAlign w:val="center"/>
          </w:tcPr>
          <w:p>
            <w:pPr>
              <w:jc w:val="center"/>
              <w:rPr>
                <w:sz w:val="18"/>
                <w:szCs w:val="18"/>
              </w:rPr>
            </w:pPr>
            <w:r>
              <w:rPr>
                <w:sz w:val="18"/>
                <w:szCs w:val="18"/>
              </w:rPr>
              <w:t>环境属性</w:t>
            </w:r>
          </w:p>
        </w:tc>
        <w:tc>
          <w:tcPr>
            <w:tcW w:w="1215" w:type="dxa"/>
            <w:gridSpan w:val="2"/>
            <w:vMerge w:val="restart"/>
            <w:vAlign w:val="center"/>
          </w:tcPr>
          <w:p>
            <w:pPr>
              <w:jc w:val="center"/>
              <w:rPr>
                <w:sz w:val="18"/>
                <w:szCs w:val="18"/>
              </w:rPr>
            </w:pPr>
            <w:r>
              <w:rPr>
                <w:sz w:val="18"/>
                <w:szCs w:val="18"/>
              </w:rPr>
              <w:t>生产过程中污染物排放量</w:t>
            </w:r>
          </w:p>
        </w:tc>
        <w:tc>
          <w:tcPr>
            <w:tcW w:w="2551" w:type="dxa"/>
            <w:gridSpan w:val="4"/>
            <w:vAlign w:val="center"/>
          </w:tcPr>
          <w:p>
            <w:pPr>
              <w:jc w:val="center"/>
              <w:rPr>
                <w:sz w:val="18"/>
                <w:szCs w:val="18"/>
              </w:rPr>
            </w:pPr>
            <w:r>
              <w:rPr>
                <w:sz w:val="18"/>
                <w:szCs w:val="18"/>
              </w:rPr>
              <w:t>无组织排放（颗粒物）</w:t>
            </w:r>
          </w:p>
        </w:tc>
        <w:tc>
          <w:tcPr>
            <w:tcW w:w="709" w:type="dxa"/>
            <w:vAlign w:val="center"/>
          </w:tcPr>
          <w:p>
            <w:pPr>
              <w:widowControl/>
              <w:snapToGrid w:val="0"/>
              <w:jc w:val="center"/>
              <w:rPr>
                <w:color w:val="000000"/>
                <w:kern w:val="0"/>
                <w:sz w:val="18"/>
                <w:szCs w:val="18"/>
              </w:rPr>
            </w:pPr>
            <w:r>
              <w:rPr>
                <w:color w:val="000000"/>
                <w:kern w:val="0"/>
                <w:sz w:val="18"/>
                <w:szCs w:val="18"/>
              </w:rPr>
              <w:t>—</w:t>
            </w:r>
          </w:p>
        </w:tc>
        <w:tc>
          <w:tcPr>
            <w:tcW w:w="1868" w:type="dxa"/>
            <w:vAlign w:val="center"/>
          </w:tcPr>
          <w:p>
            <w:pPr>
              <w:widowControl/>
              <w:snapToGrid w:val="0"/>
              <w:jc w:val="center"/>
              <w:rPr>
                <w:color w:val="000000"/>
                <w:kern w:val="0"/>
                <w:sz w:val="18"/>
                <w:szCs w:val="18"/>
              </w:rPr>
            </w:pPr>
            <w:r>
              <w:rPr>
                <w:color w:val="000000"/>
                <w:kern w:val="0"/>
                <w:sz w:val="18"/>
                <w:szCs w:val="18"/>
              </w:rPr>
              <w:t>车间（工序）无组织排放控制措施与浓度标准满足钢铁行业排污许可要求</w:t>
            </w:r>
          </w:p>
        </w:tc>
        <w:tc>
          <w:tcPr>
            <w:tcW w:w="2144" w:type="dxa"/>
            <w:vAlign w:val="center"/>
          </w:tcPr>
          <w:p>
            <w:pPr>
              <w:jc w:val="center"/>
              <w:rPr>
                <w:sz w:val="18"/>
                <w:szCs w:val="18"/>
              </w:rPr>
            </w:pPr>
            <w:r>
              <w:rPr>
                <w:sz w:val="18"/>
                <w:szCs w:val="18"/>
              </w:rPr>
              <w:t>提供无组织排放控制措施清单；每半年监测报告中所涉及的车间（工序）无组织监测结果</w:t>
            </w:r>
          </w:p>
        </w:tc>
        <w:tc>
          <w:tcPr>
            <w:tcW w:w="977" w:type="dxa"/>
            <w:vMerge w:val="restart"/>
            <w:vAlign w:val="center"/>
          </w:tcPr>
          <w:p>
            <w:pPr>
              <w:jc w:val="center"/>
              <w:rPr>
                <w:color w:val="FF0000"/>
                <w:sz w:val="18"/>
                <w:szCs w:val="18"/>
              </w:rPr>
            </w:pPr>
            <w:r>
              <w:rPr>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rFonts w:hint="eastAsia"/>
                <w:sz w:val="18"/>
                <w:szCs w:val="18"/>
              </w:rPr>
              <w:t>焦化工序</w:t>
            </w:r>
          </w:p>
        </w:tc>
        <w:tc>
          <w:tcPr>
            <w:tcW w:w="1842" w:type="dxa"/>
            <w:gridSpan w:val="3"/>
            <w:vAlign w:val="center"/>
          </w:tcPr>
          <w:p>
            <w:pPr>
              <w:widowControl/>
              <w:snapToGrid w:val="0"/>
              <w:jc w:val="center"/>
              <w:rPr>
                <w:kern w:val="0"/>
                <w:sz w:val="18"/>
                <w:szCs w:val="18"/>
              </w:rPr>
            </w:pPr>
            <w:r>
              <w:rPr>
                <w:kern w:val="0"/>
                <w:sz w:val="18"/>
                <w:szCs w:val="18"/>
              </w:rPr>
              <w:t>颗粒物</w:t>
            </w:r>
          </w:p>
        </w:tc>
        <w:tc>
          <w:tcPr>
            <w:tcW w:w="709" w:type="dxa"/>
            <w:vAlign w:val="center"/>
          </w:tcPr>
          <w:p>
            <w:pPr>
              <w:widowControl/>
              <w:snapToGrid w:val="0"/>
              <w:jc w:val="center"/>
              <w:rPr>
                <w:color w:val="000000"/>
                <w:kern w:val="0"/>
                <w:sz w:val="18"/>
                <w:szCs w:val="18"/>
              </w:rPr>
            </w:pPr>
            <w:r>
              <w:rPr>
                <w:color w:val="000000"/>
                <w:kern w:val="0"/>
                <w:sz w:val="18"/>
                <w:szCs w:val="18"/>
              </w:rPr>
              <w:t>k</w:t>
            </w: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≤0.55</w:t>
            </w:r>
          </w:p>
        </w:tc>
        <w:tc>
          <w:tcPr>
            <w:tcW w:w="2144" w:type="dxa"/>
            <w:vMerge w:val="restart"/>
            <w:vAlign w:val="center"/>
          </w:tcPr>
          <w:p>
            <w:pPr>
              <w:jc w:val="center"/>
              <w:rPr>
                <w:sz w:val="18"/>
                <w:szCs w:val="18"/>
              </w:rPr>
            </w:pPr>
            <w:r>
              <w:rPr>
                <w:rFonts w:hint="eastAsia"/>
                <w:sz w:val="18"/>
                <w:szCs w:val="18"/>
              </w:rPr>
              <w:t>按照YB/T</w:t>
            </w:r>
            <w:r>
              <w:rPr>
                <w:sz w:val="18"/>
                <w:szCs w:val="18"/>
              </w:rPr>
              <w:t xml:space="preserve"> 4416</w:t>
            </w:r>
            <w:r>
              <w:rPr>
                <w:rFonts w:hint="eastAsia"/>
                <w:sz w:val="18"/>
                <w:szCs w:val="18"/>
              </w:rPr>
              <w:t>标准</w:t>
            </w:r>
            <w:r>
              <w:rPr>
                <w:sz w:val="18"/>
                <w:szCs w:val="18"/>
              </w:rPr>
              <w:t>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SO</w:t>
            </w:r>
            <w:r>
              <w:rPr>
                <w:kern w:val="0"/>
                <w:sz w:val="18"/>
                <w:szCs w:val="18"/>
                <w:vertAlign w:val="subscript"/>
              </w:rPr>
              <w:t>2</w:t>
            </w:r>
          </w:p>
        </w:tc>
        <w:tc>
          <w:tcPr>
            <w:tcW w:w="709" w:type="dxa"/>
            <w:vAlign w:val="center"/>
          </w:tcPr>
          <w:p>
            <w:pPr>
              <w:widowControl/>
              <w:snapToGrid w:val="0"/>
              <w:jc w:val="center"/>
              <w:rPr>
                <w:color w:val="000000"/>
                <w:kern w:val="0"/>
                <w:sz w:val="18"/>
                <w:szCs w:val="18"/>
              </w:rPr>
            </w:pPr>
            <w:r>
              <w:rPr>
                <w:color w:val="000000"/>
                <w:kern w:val="0"/>
                <w:sz w:val="18"/>
                <w:szCs w:val="18"/>
              </w:rPr>
              <w:t>k</w:t>
            </w: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≤0.14</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NO</w:t>
            </w:r>
            <w:r>
              <w:rPr>
                <w:kern w:val="0"/>
                <w:sz w:val="18"/>
                <w:szCs w:val="18"/>
                <w:vertAlign w:val="subscript"/>
              </w:rPr>
              <w:t>X</w:t>
            </w:r>
          </w:p>
        </w:tc>
        <w:tc>
          <w:tcPr>
            <w:tcW w:w="709" w:type="dxa"/>
            <w:vAlign w:val="center"/>
          </w:tcPr>
          <w:p>
            <w:pPr>
              <w:widowControl/>
              <w:snapToGrid w:val="0"/>
              <w:jc w:val="center"/>
              <w:rPr>
                <w:color w:val="000000"/>
                <w:kern w:val="0"/>
                <w:sz w:val="18"/>
                <w:szCs w:val="18"/>
              </w:rPr>
            </w:pPr>
            <w:r>
              <w:rPr>
                <w:color w:val="000000"/>
                <w:kern w:val="0"/>
                <w:sz w:val="18"/>
                <w:szCs w:val="18"/>
              </w:rPr>
              <w:t>k</w:t>
            </w: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≤0.77</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BaP（废气）</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≤0.05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废水</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m</w:t>
            </w:r>
            <w:r>
              <w:rPr>
                <w:color w:val="000000"/>
                <w:kern w:val="0"/>
                <w:sz w:val="18"/>
                <w:szCs w:val="18"/>
                <w:vertAlign w:val="superscript"/>
              </w:rPr>
              <w:t>3</w:t>
            </w:r>
            <w:r>
              <w:rPr>
                <w:rFonts w:hint="eastAsia"/>
                <w:color w:val="000000"/>
                <w:kern w:val="0"/>
                <w:sz w:val="18"/>
                <w:szCs w:val="18"/>
              </w:rPr>
              <w:t>/t</w:t>
            </w:r>
          </w:p>
        </w:tc>
        <w:tc>
          <w:tcPr>
            <w:tcW w:w="1868" w:type="dxa"/>
            <w:vAlign w:val="center"/>
          </w:tcPr>
          <w:p>
            <w:pPr>
              <w:widowControl/>
              <w:adjustRightInd w:val="0"/>
              <w:snapToGrid w:val="0"/>
              <w:jc w:val="center"/>
              <w:rPr>
                <w:kern w:val="0"/>
                <w:sz w:val="18"/>
                <w:szCs w:val="18"/>
                <w:highlight w:val="yellow"/>
              </w:rPr>
            </w:pPr>
            <w:r>
              <w:rPr>
                <w:sz w:val="18"/>
                <w:szCs w:val="18"/>
              </w:rPr>
              <w:t>≤0.3</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CODCr</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≤12</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氨氮</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≤1.5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石油类</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≤0.3</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挥发酚</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≤0.03</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氰化物</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≤0.06</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BaP（废水）</w:t>
            </w:r>
          </w:p>
        </w:tc>
        <w:tc>
          <w:tcPr>
            <w:tcW w:w="709" w:type="dxa"/>
            <w:vAlign w:val="center"/>
          </w:tcPr>
          <w:p>
            <w:pPr>
              <w:widowControl/>
              <w:snapToGrid w:val="0"/>
              <w:jc w:val="center"/>
              <w:rPr>
                <w:color w:val="000000"/>
                <w:kern w:val="0"/>
                <w:sz w:val="18"/>
                <w:szCs w:val="18"/>
              </w:rPr>
            </w:pPr>
            <w:r>
              <w:rPr>
                <w:color w:val="000000"/>
                <w:kern w:val="0"/>
                <w:sz w:val="18"/>
                <w:szCs w:val="18"/>
              </w:rPr>
              <w:t>μg/t</w:t>
            </w:r>
          </w:p>
        </w:tc>
        <w:tc>
          <w:tcPr>
            <w:tcW w:w="1868" w:type="dxa"/>
            <w:vAlign w:val="center"/>
          </w:tcPr>
          <w:p>
            <w:pPr>
              <w:widowControl/>
              <w:adjustRightInd w:val="0"/>
              <w:snapToGrid w:val="0"/>
              <w:jc w:val="center"/>
              <w:rPr>
                <w:kern w:val="0"/>
                <w:sz w:val="18"/>
                <w:szCs w:val="18"/>
                <w:highlight w:val="yellow"/>
              </w:rPr>
            </w:pPr>
            <w:r>
              <w:rPr>
                <w:sz w:val="18"/>
                <w:szCs w:val="18"/>
              </w:rPr>
              <w:t>≤0.009</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sz w:val="18"/>
                <w:szCs w:val="18"/>
              </w:rPr>
              <w:t>烧结工序</w:t>
            </w:r>
          </w:p>
        </w:tc>
        <w:tc>
          <w:tcPr>
            <w:tcW w:w="1842" w:type="dxa"/>
            <w:gridSpan w:val="3"/>
            <w:vAlign w:val="center"/>
          </w:tcPr>
          <w:p>
            <w:pPr>
              <w:widowControl/>
              <w:snapToGrid w:val="0"/>
              <w:jc w:val="center"/>
              <w:rPr>
                <w:color w:val="000000"/>
                <w:kern w:val="0"/>
                <w:sz w:val="18"/>
                <w:szCs w:val="18"/>
              </w:rPr>
            </w:pPr>
            <w:r>
              <w:rPr>
                <w:kern w:val="0"/>
                <w:sz w:val="18"/>
                <w:szCs w:val="18"/>
              </w:rPr>
              <w:t>颗粒物</w:t>
            </w:r>
          </w:p>
        </w:tc>
        <w:tc>
          <w:tcPr>
            <w:tcW w:w="709" w:type="dxa"/>
            <w:vAlign w:val="center"/>
          </w:tcPr>
          <w:p>
            <w:pPr>
              <w:widowControl/>
              <w:snapToGrid w:val="0"/>
              <w:jc w:val="center"/>
              <w:rPr>
                <w:color w:val="000000"/>
                <w:kern w:val="0"/>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≤0.09</w:t>
            </w:r>
          </w:p>
        </w:tc>
        <w:tc>
          <w:tcPr>
            <w:tcW w:w="2144" w:type="dxa"/>
            <w:vMerge w:val="restart"/>
            <w:vAlign w:val="center"/>
          </w:tcPr>
          <w:p>
            <w:pPr>
              <w:jc w:val="center"/>
              <w:rPr>
                <w:sz w:val="18"/>
                <w:szCs w:val="18"/>
              </w:rPr>
            </w:pPr>
            <w:r>
              <w:rPr>
                <w:sz w:val="18"/>
                <w:szCs w:val="18"/>
              </w:rPr>
              <w:t>按照《钢铁行业（烧结、球团）清洁生产评价指标体系》标准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color w:val="000000"/>
                <w:kern w:val="0"/>
                <w:sz w:val="18"/>
                <w:szCs w:val="18"/>
              </w:rPr>
            </w:pPr>
            <w:r>
              <w:rPr>
                <w:kern w:val="0"/>
                <w:sz w:val="18"/>
                <w:szCs w:val="18"/>
              </w:rPr>
              <w:t>SO</w:t>
            </w:r>
            <w:r>
              <w:rPr>
                <w:kern w:val="0"/>
                <w:sz w:val="18"/>
                <w:szCs w:val="18"/>
                <w:vertAlign w:val="subscript"/>
              </w:rPr>
              <w:t>2</w:t>
            </w:r>
          </w:p>
        </w:tc>
        <w:tc>
          <w:tcPr>
            <w:tcW w:w="709" w:type="dxa"/>
            <w:vAlign w:val="center"/>
          </w:tcPr>
          <w:p>
            <w:pPr>
              <w:jc w:val="center"/>
              <w:rPr>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≤0.14</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color w:val="000000"/>
                <w:kern w:val="0"/>
                <w:sz w:val="18"/>
                <w:szCs w:val="18"/>
              </w:rPr>
            </w:pPr>
            <w:r>
              <w:rPr>
                <w:kern w:val="0"/>
                <w:sz w:val="18"/>
                <w:szCs w:val="18"/>
              </w:rPr>
              <w:t>NO</w:t>
            </w:r>
            <w:r>
              <w:rPr>
                <w:kern w:val="0"/>
                <w:sz w:val="18"/>
                <w:szCs w:val="18"/>
                <w:vertAlign w:val="subscript"/>
              </w:rPr>
              <w:t>X</w:t>
            </w:r>
            <w:r>
              <w:rPr>
                <w:kern w:val="0"/>
                <w:sz w:val="18"/>
                <w:szCs w:val="18"/>
              </w:rPr>
              <w:t>（以NO</w:t>
            </w:r>
            <w:r>
              <w:rPr>
                <w:kern w:val="0"/>
                <w:sz w:val="18"/>
                <w:szCs w:val="18"/>
                <w:vertAlign w:val="subscript"/>
              </w:rPr>
              <w:t>2</w:t>
            </w:r>
            <w:r>
              <w:rPr>
                <w:kern w:val="0"/>
                <w:sz w:val="18"/>
                <w:szCs w:val="18"/>
              </w:rPr>
              <w:t>计）</w:t>
            </w:r>
          </w:p>
        </w:tc>
        <w:tc>
          <w:tcPr>
            <w:tcW w:w="709" w:type="dxa"/>
            <w:vAlign w:val="center"/>
          </w:tcPr>
          <w:p>
            <w:pPr>
              <w:jc w:val="center"/>
              <w:rPr>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≤0.28</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sz w:val="18"/>
                <w:szCs w:val="18"/>
              </w:rPr>
              <w:t>球团工序</w:t>
            </w:r>
          </w:p>
        </w:tc>
        <w:tc>
          <w:tcPr>
            <w:tcW w:w="1842" w:type="dxa"/>
            <w:gridSpan w:val="3"/>
            <w:vAlign w:val="center"/>
          </w:tcPr>
          <w:p>
            <w:pPr>
              <w:widowControl/>
              <w:snapToGrid w:val="0"/>
              <w:jc w:val="center"/>
              <w:rPr>
                <w:color w:val="000000"/>
                <w:kern w:val="0"/>
                <w:sz w:val="18"/>
                <w:szCs w:val="18"/>
              </w:rPr>
            </w:pPr>
            <w:r>
              <w:rPr>
                <w:kern w:val="0"/>
                <w:sz w:val="18"/>
                <w:szCs w:val="18"/>
              </w:rPr>
              <w:t>颗粒物</w:t>
            </w:r>
          </w:p>
        </w:tc>
        <w:tc>
          <w:tcPr>
            <w:tcW w:w="709" w:type="dxa"/>
            <w:vAlign w:val="center"/>
          </w:tcPr>
          <w:p>
            <w:pPr>
              <w:widowControl/>
              <w:snapToGrid w:val="0"/>
              <w:jc w:val="center"/>
              <w:rPr>
                <w:color w:val="000000"/>
                <w:kern w:val="0"/>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≤0.08</w:t>
            </w:r>
          </w:p>
        </w:tc>
        <w:tc>
          <w:tcPr>
            <w:tcW w:w="2144" w:type="dxa"/>
            <w:vMerge w:val="restart"/>
            <w:vAlign w:val="center"/>
          </w:tcPr>
          <w:p>
            <w:pPr>
              <w:jc w:val="center"/>
              <w:rPr>
                <w:sz w:val="18"/>
                <w:szCs w:val="18"/>
              </w:rPr>
            </w:pPr>
            <w:r>
              <w:rPr>
                <w:sz w:val="18"/>
                <w:szCs w:val="18"/>
              </w:rPr>
              <w:t>按照《钢铁行业（烧结、球团）清洁生产评价指标体系》标准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color w:val="000000"/>
                <w:kern w:val="0"/>
                <w:sz w:val="18"/>
                <w:szCs w:val="18"/>
              </w:rPr>
            </w:pPr>
            <w:r>
              <w:rPr>
                <w:kern w:val="0"/>
                <w:sz w:val="18"/>
                <w:szCs w:val="18"/>
              </w:rPr>
              <w:t>SO</w:t>
            </w:r>
            <w:r>
              <w:rPr>
                <w:kern w:val="0"/>
                <w:sz w:val="18"/>
                <w:szCs w:val="18"/>
                <w:vertAlign w:val="subscript"/>
              </w:rPr>
              <w:t>2</w:t>
            </w:r>
          </w:p>
        </w:tc>
        <w:tc>
          <w:tcPr>
            <w:tcW w:w="709" w:type="dxa"/>
            <w:vAlign w:val="center"/>
          </w:tcPr>
          <w:p>
            <w:pPr>
              <w:jc w:val="center"/>
              <w:rPr>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≤0.13</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color w:val="000000"/>
                <w:kern w:val="0"/>
                <w:sz w:val="18"/>
                <w:szCs w:val="18"/>
              </w:rPr>
            </w:pPr>
            <w:r>
              <w:rPr>
                <w:kern w:val="0"/>
                <w:sz w:val="18"/>
                <w:szCs w:val="18"/>
              </w:rPr>
              <w:t>NO</w:t>
            </w:r>
            <w:r>
              <w:rPr>
                <w:kern w:val="0"/>
                <w:sz w:val="18"/>
                <w:szCs w:val="18"/>
                <w:vertAlign w:val="subscript"/>
              </w:rPr>
              <w:t>X</w:t>
            </w:r>
            <w:r>
              <w:rPr>
                <w:kern w:val="0"/>
                <w:sz w:val="18"/>
                <w:szCs w:val="18"/>
              </w:rPr>
              <w:t>（以NO</w:t>
            </w:r>
            <w:r>
              <w:rPr>
                <w:kern w:val="0"/>
                <w:sz w:val="18"/>
                <w:szCs w:val="18"/>
                <w:vertAlign w:val="subscript"/>
              </w:rPr>
              <w:t>2</w:t>
            </w:r>
            <w:r>
              <w:rPr>
                <w:kern w:val="0"/>
                <w:sz w:val="18"/>
                <w:szCs w:val="18"/>
              </w:rPr>
              <w:t>计）</w:t>
            </w:r>
          </w:p>
        </w:tc>
        <w:tc>
          <w:tcPr>
            <w:tcW w:w="709" w:type="dxa"/>
            <w:vAlign w:val="center"/>
          </w:tcPr>
          <w:p>
            <w:pPr>
              <w:jc w:val="center"/>
              <w:rPr>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≤0.25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sz w:val="18"/>
                <w:szCs w:val="18"/>
              </w:rPr>
              <w:t>高炉</w:t>
            </w:r>
            <w:r>
              <w:rPr>
                <w:rFonts w:hint="eastAsia"/>
                <w:sz w:val="18"/>
                <w:szCs w:val="18"/>
              </w:rPr>
              <w:t>工序</w:t>
            </w:r>
          </w:p>
        </w:tc>
        <w:tc>
          <w:tcPr>
            <w:tcW w:w="1842" w:type="dxa"/>
            <w:gridSpan w:val="3"/>
            <w:vAlign w:val="center"/>
          </w:tcPr>
          <w:p>
            <w:pPr>
              <w:jc w:val="center"/>
              <w:rPr>
                <w:sz w:val="18"/>
                <w:szCs w:val="18"/>
              </w:rPr>
            </w:pPr>
            <w:r>
              <w:rPr>
                <w:sz w:val="18"/>
                <w:szCs w:val="18"/>
              </w:rPr>
              <w:t>颗粒物</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≤0.20</w:t>
            </w:r>
          </w:p>
        </w:tc>
        <w:tc>
          <w:tcPr>
            <w:tcW w:w="2144" w:type="dxa"/>
            <w:vMerge w:val="restart"/>
            <w:vAlign w:val="center"/>
          </w:tcPr>
          <w:p>
            <w:pPr>
              <w:jc w:val="center"/>
              <w:rPr>
                <w:sz w:val="18"/>
                <w:szCs w:val="18"/>
              </w:rPr>
            </w:pPr>
            <w:r>
              <w:rPr>
                <w:sz w:val="18"/>
                <w:szCs w:val="18"/>
              </w:rPr>
              <w:t>按照《钢铁行业（</w:t>
            </w:r>
            <w:r>
              <w:rPr>
                <w:rFonts w:hint="eastAsia"/>
                <w:sz w:val="18"/>
                <w:szCs w:val="18"/>
              </w:rPr>
              <w:t>高炉炼铁</w:t>
            </w:r>
            <w:r>
              <w:rPr>
                <w:sz w:val="18"/>
                <w:szCs w:val="18"/>
              </w:rPr>
              <w:t>）清洁生产评价指标体系》标准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sz w:val="18"/>
                <w:szCs w:val="18"/>
              </w:rPr>
            </w:pPr>
            <w:r>
              <w:rPr>
                <w:sz w:val="18"/>
                <w:szCs w:val="18"/>
              </w:rPr>
              <w:t>SO</w:t>
            </w:r>
            <w:r>
              <w:rPr>
                <w:sz w:val="18"/>
                <w:szCs w:val="18"/>
                <w:vertAlign w:val="subscript"/>
              </w:rPr>
              <w:t>2</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sz w:val="18"/>
                <w:szCs w:val="18"/>
              </w:rPr>
            </w:pPr>
            <w:r>
              <w:rPr>
                <w:sz w:val="18"/>
                <w:szCs w:val="18"/>
              </w:rPr>
              <w:t>NO</w:t>
            </w:r>
            <w:r>
              <w:rPr>
                <w:sz w:val="18"/>
                <w:szCs w:val="18"/>
                <w:vertAlign w:val="subscript"/>
              </w:rPr>
              <w:t>X</w:t>
            </w:r>
            <w:r>
              <w:rPr>
                <w:sz w:val="18"/>
                <w:szCs w:val="18"/>
              </w:rPr>
              <w:t>（以NO</w:t>
            </w:r>
            <w:r>
              <w:rPr>
                <w:sz w:val="18"/>
                <w:szCs w:val="18"/>
                <w:vertAlign w:val="subscript"/>
              </w:rPr>
              <w:t>2</w:t>
            </w:r>
            <w:r>
              <w:rPr>
                <w:sz w:val="18"/>
                <w:szCs w:val="18"/>
              </w:rPr>
              <w:t>计）</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≤0.30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Align w:val="center"/>
          </w:tcPr>
          <w:p>
            <w:pPr>
              <w:jc w:val="center"/>
              <w:rPr>
                <w:sz w:val="18"/>
                <w:szCs w:val="18"/>
              </w:rPr>
            </w:pPr>
            <w:r>
              <w:rPr>
                <w:sz w:val="18"/>
                <w:szCs w:val="18"/>
              </w:rPr>
              <w:t>转炉</w:t>
            </w:r>
          </w:p>
        </w:tc>
        <w:tc>
          <w:tcPr>
            <w:tcW w:w="1842" w:type="dxa"/>
            <w:gridSpan w:val="3"/>
            <w:vAlign w:val="center"/>
          </w:tcPr>
          <w:p>
            <w:pPr>
              <w:jc w:val="center"/>
              <w:rPr>
                <w:sz w:val="18"/>
                <w:szCs w:val="18"/>
              </w:rPr>
            </w:pPr>
            <w:r>
              <w:rPr>
                <w:sz w:val="18"/>
                <w:szCs w:val="18"/>
              </w:rPr>
              <w:t>颗粒物</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≤0.11</w:t>
            </w:r>
          </w:p>
        </w:tc>
        <w:tc>
          <w:tcPr>
            <w:tcW w:w="2144" w:type="dxa"/>
            <w:vMerge w:val="restart"/>
            <w:vAlign w:val="center"/>
          </w:tcPr>
          <w:p>
            <w:pPr>
              <w:jc w:val="center"/>
              <w:rPr>
                <w:sz w:val="18"/>
                <w:szCs w:val="18"/>
              </w:rPr>
            </w:pPr>
            <w:r>
              <w:rPr>
                <w:sz w:val="18"/>
                <w:szCs w:val="18"/>
              </w:rPr>
              <w:t>按照《钢铁行业（</w:t>
            </w:r>
            <w:r>
              <w:rPr>
                <w:rFonts w:hint="eastAsia"/>
                <w:sz w:val="18"/>
                <w:szCs w:val="18"/>
              </w:rPr>
              <w:t>炼钢</w:t>
            </w:r>
            <w:r>
              <w:rPr>
                <w:sz w:val="18"/>
                <w:szCs w:val="18"/>
              </w:rPr>
              <w:t>）清洁生产评价指标体系》标准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Align w:val="center"/>
          </w:tcPr>
          <w:p>
            <w:pPr>
              <w:jc w:val="center"/>
              <w:rPr>
                <w:sz w:val="18"/>
                <w:szCs w:val="18"/>
              </w:rPr>
            </w:pPr>
            <w:r>
              <w:rPr>
                <w:sz w:val="18"/>
                <w:szCs w:val="18"/>
              </w:rPr>
              <w:t>电炉</w:t>
            </w:r>
          </w:p>
        </w:tc>
        <w:tc>
          <w:tcPr>
            <w:tcW w:w="1842" w:type="dxa"/>
            <w:gridSpan w:val="3"/>
            <w:vAlign w:val="center"/>
          </w:tcPr>
          <w:p>
            <w:pPr>
              <w:jc w:val="center"/>
              <w:rPr>
                <w:sz w:val="18"/>
                <w:szCs w:val="18"/>
              </w:rPr>
            </w:pPr>
            <w:r>
              <w:rPr>
                <w:sz w:val="18"/>
                <w:szCs w:val="18"/>
              </w:rPr>
              <w:t>颗粒物</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sz w:val="18"/>
                <w:szCs w:val="18"/>
              </w:rPr>
              <w:t>轧钢工序</w:t>
            </w:r>
          </w:p>
        </w:tc>
        <w:tc>
          <w:tcPr>
            <w:tcW w:w="1842" w:type="dxa"/>
            <w:gridSpan w:val="3"/>
            <w:vAlign w:val="center"/>
          </w:tcPr>
          <w:p>
            <w:pPr>
              <w:jc w:val="center"/>
              <w:rPr>
                <w:sz w:val="18"/>
                <w:szCs w:val="18"/>
              </w:rPr>
            </w:pPr>
            <w:r>
              <w:rPr>
                <w:sz w:val="18"/>
                <w:szCs w:val="18"/>
              </w:rPr>
              <w:t>颗粒物</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≤0.025</w:t>
            </w:r>
          </w:p>
        </w:tc>
        <w:tc>
          <w:tcPr>
            <w:tcW w:w="2144" w:type="dxa"/>
            <w:vMerge w:val="restart"/>
            <w:vAlign w:val="center"/>
          </w:tcPr>
          <w:p>
            <w:pPr>
              <w:jc w:val="center"/>
              <w:rPr>
                <w:sz w:val="18"/>
                <w:szCs w:val="18"/>
              </w:rPr>
            </w:pPr>
            <w:r>
              <w:rPr>
                <w:sz w:val="18"/>
                <w:szCs w:val="18"/>
              </w:rPr>
              <w:t>按照《钢铁行业（</w:t>
            </w:r>
            <w:r>
              <w:rPr>
                <w:rFonts w:hint="eastAsia"/>
                <w:sz w:val="18"/>
                <w:szCs w:val="18"/>
              </w:rPr>
              <w:t>钢压延加工</w:t>
            </w:r>
            <w:r>
              <w:rPr>
                <w:sz w:val="18"/>
                <w:szCs w:val="18"/>
              </w:rPr>
              <w:t>）清洁生产评价指标体系》标准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sz w:val="18"/>
                <w:szCs w:val="18"/>
              </w:rPr>
            </w:pPr>
            <w:r>
              <w:rPr>
                <w:sz w:val="18"/>
                <w:szCs w:val="18"/>
              </w:rPr>
              <w:t>SO</w:t>
            </w:r>
            <w:r>
              <w:rPr>
                <w:sz w:val="18"/>
                <w:szCs w:val="18"/>
                <w:vertAlign w:val="subscript"/>
              </w:rPr>
              <w:t>2</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≤0.05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sz w:val="18"/>
                <w:szCs w:val="18"/>
              </w:rPr>
            </w:pPr>
            <w:r>
              <w:rPr>
                <w:sz w:val="18"/>
                <w:szCs w:val="18"/>
              </w:rPr>
              <w:t>NO</w:t>
            </w:r>
            <w:r>
              <w:rPr>
                <w:sz w:val="18"/>
                <w:szCs w:val="18"/>
                <w:vertAlign w:val="subscript"/>
              </w:rPr>
              <w:t>X</w:t>
            </w:r>
            <w:r>
              <w:rPr>
                <w:sz w:val="18"/>
                <w:szCs w:val="18"/>
              </w:rPr>
              <w:t>（以NO</w:t>
            </w:r>
            <w:r>
              <w:rPr>
                <w:sz w:val="18"/>
                <w:szCs w:val="18"/>
                <w:vertAlign w:val="subscript"/>
              </w:rPr>
              <w:t>2</w:t>
            </w:r>
            <w:r>
              <w:rPr>
                <w:sz w:val="18"/>
                <w:szCs w:val="18"/>
              </w:rPr>
              <w:t>计）</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restart"/>
            <w:vAlign w:val="center"/>
          </w:tcPr>
          <w:p>
            <w:pPr>
              <w:jc w:val="center"/>
              <w:rPr>
                <w:sz w:val="18"/>
                <w:szCs w:val="18"/>
              </w:rPr>
            </w:pPr>
            <w:r>
              <w:rPr>
                <w:sz w:val="18"/>
                <w:szCs w:val="18"/>
              </w:rPr>
              <w:t>产品属性</w:t>
            </w:r>
          </w:p>
        </w:tc>
        <w:tc>
          <w:tcPr>
            <w:tcW w:w="1215" w:type="dxa"/>
            <w:gridSpan w:val="2"/>
            <w:vMerge w:val="restart"/>
            <w:vAlign w:val="center"/>
          </w:tcPr>
          <w:p>
            <w:pPr>
              <w:jc w:val="center"/>
              <w:rPr>
                <w:sz w:val="18"/>
                <w:szCs w:val="18"/>
              </w:rPr>
            </w:pPr>
            <w:r>
              <w:rPr>
                <w:rFonts w:hint="eastAsia"/>
                <w:sz w:val="18"/>
                <w:szCs w:val="18"/>
              </w:rPr>
              <w:t>化学成分</w:t>
            </w:r>
          </w:p>
        </w:tc>
        <w:tc>
          <w:tcPr>
            <w:tcW w:w="2551" w:type="dxa"/>
            <w:gridSpan w:val="4"/>
            <w:vAlign w:val="center"/>
          </w:tcPr>
          <w:p>
            <w:pPr>
              <w:jc w:val="center"/>
              <w:rPr>
                <w:sz w:val="18"/>
                <w:szCs w:val="18"/>
              </w:rPr>
            </w:pPr>
            <w:r>
              <w:rPr>
                <w:rFonts w:hint="eastAsia"/>
                <w:sz w:val="18"/>
                <w:szCs w:val="18"/>
              </w:rPr>
              <w:t>P</w:t>
            </w:r>
            <w:r>
              <w:rPr>
                <w:sz w:val="18"/>
                <w:szCs w:val="18"/>
              </w:rPr>
              <w:t>含量</w:t>
            </w:r>
          </w:p>
        </w:tc>
        <w:tc>
          <w:tcPr>
            <w:tcW w:w="709" w:type="dxa"/>
            <w:vAlign w:val="center"/>
          </w:tcPr>
          <w:p>
            <w:pPr>
              <w:jc w:val="center"/>
              <w:rPr>
                <w:sz w:val="18"/>
                <w:szCs w:val="18"/>
              </w:rPr>
            </w:pPr>
            <w:r>
              <w:rPr>
                <w:rFonts w:hint="eastAsia"/>
                <w:sz w:val="18"/>
                <w:szCs w:val="18"/>
              </w:rPr>
              <w:t>%</w:t>
            </w:r>
          </w:p>
        </w:tc>
        <w:tc>
          <w:tcPr>
            <w:tcW w:w="1868" w:type="dxa"/>
            <w:vAlign w:val="center"/>
          </w:tcPr>
          <w:p>
            <w:pPr>
              <w:snapToGrid w:val="0"/>
              <w:jc w:val="center"/>
              <w:rPr>
                <w:sz w:val="18"/>
                <w:szCs w:val="18"/>
              </w:rPr>
            </w:pPr>
            <w:r>
              <w:rPr>
                <w:color w:val="000000"/>
                <w:kern w:val="0"/>
                <w:sz w:val="18"/>
                <w:szCs w:val="18"/>
              </w:rPr>
              <w:t>≤</w:t>
            </w:r>
            <w:r>
              <w:rPr>
                <w:rFonts w:hint="eastAsia"/>
                <w:sz w:val="18"/>
                <w:szCs w:val="18"/>
              </w:rPr>
              <w:t>0.030</w:t>
            </w:r>
          </w:p>
        </w:tc>
        <w:tc>
          <w:tcPr>
            <w:tcW w:w="2144" w:type="dxa"/>
            <w:vMerge w:val="restart"/>
            <w:vAlign w:val="center"/>
          </w:tcPr>
          <w:p>
            <w:pPr>
              <w:jc w:val="center"/>
              <w:rPr>
                <w:sz w:val="18"/>
                <w:szCs w:val="18"/>
              </w:rPr>
            </w:pPr>
            <w:r>
              <w:rPr>
                <w:rFonts w:hint="eastAsia"/>
                <w:sz w:val="18"/>
                <w:szCs w:val="18"/>
              </w:rPr>
              <w:t>参考</w:t>
            </w:r>
            <w:r>
              <w:rPr>
                <w:sz w:val="18"/>
                <w:szCs w:val="18"/>
              </w:rPr>
              <w:t>GB/T 699或GB/T 3077中的试验方法，由有资质的第三方提供产品试验报告</w:t>
            </w:r>
          </w:p>
        </w:tc>
        <w:tc>
          <w:tcPr>
            <w:tcW w:w="977" w:type="dxa"/>
            <w:vMerge w:val="restart"/>
            <w:vAlign w:val="center"/>
          </w:tcPr>
          <w:p>
            <w:pPr>
              <w:jc w:val="center"/>
              <w:rPr>
                <w:sz w:val="18"/>
                <w:szCs w:val="18"/>
              </w:rPr>
            </w:pPr>
            <w:r>
              <w:rPr>
                <w:sz w:val="18"/>
                <w:szCs w:val="18"/>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jc w:val="center"/>
              <w:rPr>
                <w:sz w:val="18"/>
                <w:szCs w:val="18"/>
              </w:rPr>
            </w:pPr>
            <w:r>
              <w:rPr>
                <w:rFonts w:hint="eastAsia"/>
                <w:sz w:val="18"/>
                <w:szCs w:val="18"/>
              </w:rPr>
              <w:t>S</w:t>
            </w:r>
            <w:r>
              <w:rPr>
                <w:sz w:val="18"/>
                <w:szCs w:val="18"/>
              </w:rPr>
              <w:t>含量</w:t>
            </w:r>
          </w:p>
        </w:tc>
        <w:tc>
          <w:tcPr>
            <w:tcW w:w="709" w:type="dxa"/>
            <w:vAlign w:val="center"/>
          </w:tcPr>
          <w:p>
            <w:pPr>
              <w:jc w:val="center"/>
              <w:rPr>
                <w:sz w:val="18"/>
                <w:szCs w:val="18"/>
              </w:rPr>
            </w:pPr>
            <w:r>
              <w:rPr>
                <w:rFonts w:hint="eastAsia"/>
                <w:sz w:val="18"/>
                <w:szCs w:val="18"/>
              </w:rPr>
              <w:t>%</w:t>
            </w:r>
          </w:p>
        </w:tc>
        <w:tc>
          <w:tcPr>
            <w:tcW w:w="1868" w:type="dxa"/>
            <w:vAlign w:val="center"/>
          </w:tcPr>
          <w:p>
            <w:pPr>
              <w:snapToGrid w:val="0"/>
              <w:jc w:val="center"/>
              <w:rPr>
                <w:sz w:val="18"/>
                <w:szCs w:val="18"/>
              </w:rPr>
            </w:pPr>
            <w:r>
              <w:rPr>
                <w:color w:val="000000"/>
                <w:kern w:val="0"/>
                <w:sz w:val="18"/>
                <w:szCs w:val="18"/>
              </w:rPr>
              <w:t>≤0.030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3766" w:type="dxa"/>
            <w:gridSpan w:val="6"/>
            <w:vAlign w:val="center"/>
          </w:tcPr>
          <w:p>
            <w:pPr>
              <w:jc w:val="center"/>
              <w:rPr>
                <w:sz w:val="18"/>
                <w:szCs w:val="18"/>
              </w:rPr>
            </w:pPr>
            <w:r>
              <w:rPr>
                <w:rFonts w:hint="eastAsia"/>
                <w:sz w:val="18"/>
                <w:szCs w:val="18"/>
              </w:rPr>
              <w:t>直径允许偏差</w:t>
            </w:r>
          </w:p>
        </w:tc>
        <w:tc>
          <w:tcPr>
            <w:tcW w:w="709" w:type="dxa"/>
            <w:vAlign w:val="center"/>
          </w:tcPr>
          <w:p>
            <w:pPr>
              <w:jc w:val="center"/>
              <w:rPr>
                <w:sz w:val="18"/>
                <w:szCs w:val="18"/>
              </w:rPr>
            </w:pPr>
            <w:r>
              <w:rPr>
                <w:rFonts w:hint="eastAsia"/>
                <w:sz w:val="18"/>
                <w:szCs w:val="18"/>
              </w:rPr>
              <w:t>—</w:t>
            </w:r>
          </w:p>
        </w:tc>
        <w:tc>
          <w:tcPr>
            <w:tcW w:w="1868" w:type="dxa"/>
            <w:vAlign w:val="center"/>
          </w:tcPr>
          <w:p>
            <w:pPr>
              <w:snapToGrid w:val="0"/>
              <w:jc w:val="center"/>
              <w:rPr>
                <w:color w:val="000000"/>
                <w:kern w:val="0"/>
                <w:sz w:val="18"/>
                <w:szCs w:val="18"/>
              </w:rPr>
            </w:pPr>
            <w:r>
              <w:rPr>
                <w:rFonts w:hint="eastAsia"/>
                <w:sz w:val="18"/>
                <w:szCs w:val="18"/>
              </w:rPr>
              <w:t>符合GB/T</w:t>
            </w:r>
            <w:r>
              <w:rPr>
                <w:sz w:val="18"/>
                <w:szCs w:val="18"/>
              </w:rPr>
              <w:t xml:space="preserve"> 702-2017</w:t>
            </w:r>
            <w:r>
              <w:rPr>
                <w:rFonts w:hint="eastAsia"/>
                <w:sz w:val="18"/>
                <w:szCs w:val="18"/>
              </w:rPr>
              <w:t>中</w:t>
            </w:r>
            <w:r>
              <w:rPr>
                <w:sz w:val="18"/>
                <w:szCs w:val="18"/>
              </w:rPr>
              <w:t>的1</w:t>
            </w:r>
            <w:r>
              <w:rPr>
                <w:rFonts w:hint="eastAsia"/>
                <w:sz w:val="18"/>
                <w:szCs w:val="18"/>
              </w:rPr>
              <w:t>组规定</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restart"/>
            <w:vAlign w:val="center"/>
          </w:tcPr>
          <w:p>
            <w:pPr>
              <w:jc w:val="center"/>
              <w:rPr>
                <w:sz w:val="18"/>
                <w:szCs w:val="18"/>
              </w:rPr>
            </w:pPr>
            <w:r>
              <w:rPr>
                <w:rFonts w:hint="eastAsia"/>
                <w:sz w:val="18"/>
                <w:szCs w:val="18"/>
              </w:rPr>
              <w:t>低倍组织</w:t>
            </w:r>
          </w:p>
        </w:tc>
        <w:tc>
          <w:tcPr>
            <w:tcW w:w="2551" w:type="dxa"/>
            <w:gridSpan w:val="4"/>
            <w:vAlign w:val="center"/>
          </w:tcPr>
          <w:p>
            <w:pPr>
              <w:jc w:val="center"/>
              <w:rPr>
                <w:sz w:val="18"/>
                <w:szCs w:val="18"/>
              </w:rPr>
            </w:pPr>
            <w:r>
              <w:rPr>
                <w:rFonts w:hint="eastAsia"/>
                <w:sz w:val="18"/>
                <w:szCs w:val="18"/>
              </w:rPr>
              <w:t>一般疏松</w:t>
            </w:r>
          </w:p>
        </w:tc>
        <w:tc>
          <w:tcPr>
            <w:tcW w:w="709" w:type="dxa"/>
            <w:vAlign w:val="center"/>
          </w:tcPr>
          <w:p>
            <w:pPr>
              <w:jc w:val="center"/>
              <w:rPr>
                <w:sz w:val="18"/>
                <w:szCs w:val="18"/>
              </w:rPr>
            </w:pPr>
            <w:r>
              <w:rPr>
                <w:rFonts w:hint="eastAsia"/>
                <w:sz w:val="18"/>
                <w:szCs w:val="18"/>
              </w:rPr>
              <w:t>级</w:t>
            </w:r>
          </w:p>
        </w:tc>
        <w:tc>
          <w:tcPr>
            <w:tcW w:w="1868" w:type="dxa"/>
            <w:vAlign w:val="center"/>
          </w:tcPr>
          <w:p>
            <w:pPr>
              <w:snapToGrid w:val="0"/>
              <w:jc w:val="center"/>
              <w:rPr>
                <w:sz w:val="18"/>
                <w:szCs w:val="18"/>
              </w:rPr>
            </w:pPr>
            <w:r>
              <w:rPr>
                <w:color w:val="000000"/>
                <w:kern w:val="0"/>
                <w:sz w:val="18"/>
                <w:szCs w:val="18"/>
              </w:rPr>
              <w:t>≤2.5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jc w:val="center"/>
              <w:rPr>
                <w:sz w:val="18"/>
                <w:szCs w:val="18"/>
              </w:rPr>
            </w:pPr>
            <w:r>
              <w:rPr>
                <w:rFonts w:hint="eastAsia"/>
                <w:sz w:val="18"/>
                <w:szCs w:val="18"/>
              </w:rPr>
              <w:t>中心疏松</w:t>
            </w:r>
          </w:p>
        </w:tc>
        <w:tc>
          <w:tcPr>
            <w:tcW w:w="709" w:type="dxa"/>
            <w:vAlign w:val="center"/>
          </w:tcPr>
          <w:p>
            <w:pPr>
              <w:jc w:val="center"/>
              <w:rPr>
                <w:sz w:val="18"/>
                <w:szCs w:val="18"/>
              </w:rPr>
            </w:pPr>
            <w:r>
              <w:rPr>
                <w:rFonts w:hint="eastAsia"/>
                <w:sz w:val="18"/>
                <w:szCs w:val="18"/>
              </w:rPr>
              <w:t>级</w:t>
            </w:r>
          </w:p>
        </w:tc>
        <w:tc>
          <w:tcPr>
            <w:tcW w:w="1868" w:type="dxa"/>
            <w:vAlign w:val="center"/>
          </w:tcPr>
          <w:p>
            <w:pPr>
              <w:snapToGrid w:val="0"/>
              <w:jc w:val="center"/>
              <w:rPr>
                <w:sz w:val="18"/>
                <w:szCs w:val="18"/>
              </w:rPr>
            </w:pPr>
            <w:r>
              <w:rPr>
                <w:color w:val="000000"/>
                <w:kern w:val="0"/>
                <w:sz w:val="18"/>
                <w:szCs w:val="18"/>
              </w:rPr>
              <w:t>≤2.5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jc w:val="center"/>
              <w:rPr>
                <w:sz w:val="18"/>
                <w:szCs w:val="18"/>
              </w:rPr>
            </w:pPr>
            <w:r>
              <w:rPr>
                <w:rFonts w:hint="eastAsia"/>
                <w:sz w:val="18"/>
                <w:szCs w:val="18"/>
              </w:rPr>
              <w:t>锭型偏析</w:t>
            </w:r>
          </w:p>
        </w:tc>
        <w:tc>
          <w:tcPr>
            <w:tcW w:w="709" w:type="dxa"/>
            <w:vAlign w:val="center"/>
          </w:tcPr>
          <w:p>
            <w:pPr>
              <w:jc w:val="center"/>
              <w:rPr>
                <w:sz w:val="18"/>
                <w:szCs w:val="18"/>
              </w:rPr>
            </w:pPr>
            <w:r>
              <w:rPr>
                <w:rFonts w:hint="eastAsia"/>
                <w:sz w:val="18"/>
                <w:szCs w:val="18"/>
              </w:rPr>
              <w:t>级</w:t>
            </w:r>
          </w:p>
        </w:tc>
        <w:tc>
          <w:tcPr>
            <w:tcW w:w="1868" w:type="dxa"/>
            <w:vAlign w:val="center"/>
          </w:tcPr>
          <w:p>
            <w:pPr>
              <w:snapToGrid w:val="0"/>
              <w:jc w:val="center"/>
              <w:rPr>
                <w:sz w:val="18"/>
                <w:szCs w:val="18"/>
              </w:rPr>
            </w:pPr>
            <w:r>
              <w:rPr>
                <w:color w:val="000000"/>
                <w:kern w:val="0"/>
                <w:sz w:val="18"/>
                <w:szCs w:val="18"/>
              </w:rPr>
              <w:t>≤2.5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jc w:val="center"/>
              <w:rPr>
                <w:sz w:val="18"/>
                <w:szCs w:val="18"/>
              </w:rPr>
            </w:pPr>
            <w:r>
              <w:rPr>
                <w:rFonts w:hint="eastAsia"/>
                <w:sz w:val="18"/>
                <w:szCs w:val="18"/>
              </w:rPr>
              <w:t>中心偏析</w:t>
            </w:r>
          </w:p>
        </w:tc>
        <w:tc>
          <w:tcPr>
            <w:tcW w:w="709" w:type="dxa"/>
            <w:vAlign w:val="center"/>
          </w:tcPr>
          <w:p>
            <w:pPr>
              <w:jc w:val="center"/>
              <w:rPr>
                <w:sz w:val="18"/>
                <w:szCs w:val="18"/>
              </w:rPr>
            </w:pPr>
            <w:r>
              <w:rPr>
                <w:rFonts w:hint="eastAsia"/>
                <w:sz w:val="18"/>
                <w:szCs w:val="18"/>
              </w:rPr>
              <w:t>级</w:t>
            </w:r>
          </w:p>
        </w:tc>
        <w:tc>
          <w:tcPr>
            <w:tcW w:w="1868" w:type="dxa"/>
            <w:vAlign w:val="center"/>
          </w:tcPr>
          <w:p>
            <w:pPr>
              <w:snapToGrid w:val="0"/>
              <w:jc w:val="center"/>
              <w:rPr>
                <w:sz w:val="18"/>
                <w:szCs w:val="18"/>
              </w:rPr>
            </w:pPr>
            <w:r>
              <w:rPr>
                <w:color w:val="000000"/>
                <w:kern w:val="0"/>
                <w:sz w:val="18"/>
                <w:szCs w:val="18"/>
              </w:rPr>
              <w:t>≤2.5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3766" w:type="dxa"/>
            <w:gridSpan w:val="6"/>
            <w:vAlign w:val="center"/>
          </w:tcPr>
          <w:p>
            <w:pPr>
              <w:jc w:val="center"/>
              <w:rPr>
                <w:sz w:val="18"/>
                <w:szCs w:val="18"/>
              </w:rPr>
            </w:pPr>
            <w:r>
              <w:rPr>
                <w:rFonts w:hint="eastAsia"/>
                <w:sz w:val="18"/>
                <w:szCs w:val="18"/>
              </w:rPr>
              <w:t>脱碳层</w:t>
            </w:r>
          </w:p>
        </w:tc>
        <w:tc>
          <w:tcPr>
            <w:tcW w:w="709" w:type="dxa"/>
            <w:vAlign w:val="center"/>
          </w:tcPr>
          <w:p>
            <w:pPr>
              <w:jc w:val="center"/>
              <w:rPr>
                <w:sz w:val="18"/>
                <w:szCs w:val="18"/>
              </w:rPr>
            </w:pPr>
            <w:r>
              <w:rPr>
                <w:sz w:val="18"/>
                <w:szCs w:val="18"/>
              </w:rPr>
              <w:t>—</w:t>
            </w:r>
          </w:p>
        </w:tc>
        <w:tc>
          <w:tcPr>
            <w:tcW w:w="1868" w:type="dxa"/>
            <w:vAlign w:val="center"/>
          </w:tcPr>
          <w:p>
            <w:pPr>
              <w:snapToGrid w:val="0"/>
              <w:jc w:val="center"/>
              <w:rPr>
                <w:sz w:val="18"/>
                <w:szCs w:val="18"/>
              </w:rPr>
            </w:pPr>
            <w:r>
              <w:rPr>
                <w:color w:val="000000"/>
                <w:kern w:val="0"/>
                <w:sz w:val="18"/>
                <w:szCs w:val="18"/>
              </w:rPr>
              <w:t>≤1.0%D</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3766" w:type="dxa"/>
            <w:gridSpan w:val="6"/>
            <w:vAlign w:val="center"/>
          </w:tcPr>
          <w:p>
            <w:pPr>
              <w:jc w:val="center"/>
              <w:rPr>
                <w:sz w:val="18"/>
                <w:szCs w:val="18"/>
              </w:rPr>
            </w:pPr>
            <w:r>
              <w:rPr>
                <w:rFonts w:hint="eastAsia"/>
                <w:sz w:val="18"/>
                <w:szCs w:val="18"/>
              </w:rPr>
              <w:t>表面质量</w:t>
            </w:r>
          </w:p>
        </w:tc>
        <w:tc>
          <w:tcPr>
            <w:tcW w:w="709" w:type="dxa"/>
            <w:vAlign w:val="center"/>
          </w:tcPr>
          <w:p>
            <w:pPr>
              <w:jc w:val="center"/>
              <w:rPr>
                <w:sz w:val="18"/>
                <w:szCs w:val="18"/>
              </w:rPr>
            </w:pPr>
            <w:r>
              <w:rPr>
                <w:sz w:val="18"/>
                <w:szCs w:val="18"/>
              </w:rPr>
              <w:t>—</w:t>
            </w:r>
          </w:p>
        </w:tc>
        <w:tc>
          <w:tcPr>
            <w:tcW w:w="1868" w:type="dxa"/>
            <w:vAlign w:val="center"/>
          </w:tcPr>
          <w:p>
            <w:pPr>
              <w:snapToGrid w:val="0"/>
              <w:jc w:val="center"/>
              <w:rPr>
                <w:rFonts w:hint="eastAsia"/>
                <w:color w:val="000000"/>
                <w:kern w:val="0"/>
                <w:sz w:val="18"/>
                <w:szCs w:val="18"/>
              </w:rPr>
            </w:pPr>
            <w:r>
              <w:rPr>
                <w:rFonts w:hint="eastAsia"/>
                <w:color w:val="000000"/>
                <w:kern w:val="0"/>
                <w:sz w:val="18"/>
                <w:szCs w:val="18"/>
              </w:rPr>
              <w:t>符合</w:t>
            </w:r>
            <w:r>
              <w:rPr>
                <w:color w:val="000000"/>
                <w:kern w:val="0"/>
                <w:sz w:val="18"/>
                <w:szCs w:val="18"/>
              </w:rPr>
              <w:t>GB/T 3077-2015</w:t>
            </w:r>
            <w:r>
              <w:rPr>
                <w:rFonts w:hint="eastAsia"/>
                <w:color w:val="000000"/>
                <w:kern w:val="0"/>
                <w:sz w:val="18"/>
                <w:szCs w:val="18"/>
              </w:rPr>
              <w:t>中6.10特级优质钢</w:t>
            </w:r>
            <w:r>
              <w:rPr>
                <w:color w:val="000000"/>
                <w:kern w:val="0"/>
                <w:sz w:val="18"/>
                <w:szCs w:val="18"/>
              </w:rPr>
              <w:t>的</w:t>
            </w:r>
            <w:r>
              <w:rPr>
                <w:rFonts w:hint="eastAsia"/>
                <w:color w:val="000000"/>
                <w:kern w:val="0"/>
                <w:sz w:val="18"/>
                <w:szCs w:val="18"/>
              </w:rPr>
              <w:t>规定</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229" w:type="dxa"/>
            <w:gridSpan w:val="11"/>
            <w:tcBorders>
              <w:bottom w:val="single" w:color="auto" w:sz="4" w:space="0"/>
            </w:tcBorders>
          </w:tcPr>
          <w:p>
            <w:pPr>
              <w:rPr>
                <w:sz w:val="18"/>
                <w:szCs w:val="18"/>
              </w:rPr>
            </w:pPr>
            <w:r>
              <w:rPr>
                <w:sz w:val="18"/>
                <w:szCs w:val="18"/>
                <w:vertAlign w:val="superscript"/>
              </w:rPr>
              <w:t xml:space="preserve">a </w:t>
            </w:r>
            <w:r>
              <w:rPr>
                <w:sz w:val="18"/>
                <w:szCs w:val="18"/>
              </w:rPr>
              <w:t>炉外精炼、连铸工序能耗按照《钢铁企业节能设计标准》（GB/T 50632）要求，需符合设计指标要求</w:t>
            </w:r>
            <w:r>
              <w:rPr>
                <w:rFonts w:hint="eastAsia"/>
                <w:sz w:val="18"/>
                <w:szCs w:val="18"/>
              </w:rPr>
              <w:t>。</w:t>
            </w:r>
          </w:p>
          <w:p>
            <w:pPr>
              <w:rPr>
                <w:sz w:val="18"/>
                <w:szCs w:val="18"/>
              </w:rPr>
            </w:pPr>
            <w:r>
              <w:rPr>
                <w:sz w:val="18"/>
                <w:szCs w:val="18"/>
                <w:vertAlign w:val="superscript"/>
              </w:rPr>
              <w:t xml:space="preserve">b </w:t>
            </w:r>
            <w:r>
              <w:rPr>
                <w:rFonts w:hint="eastAsia"/>
                <w:sz w:val="18"/>
                <w:szCs w:val="18"/>
              </w:rPr>
              <w:t>铁水比例</w:t>
            </w:r>
            <w:r>
              <w:rPr>
                <w:sz w:val="18"/>
                <w:szCs w:val="18"/>
              </w:rPr>
              <w:t>每增减</w:t>
            </w:r>
            <w:r>
              <w:rPr>
                <w:rFonts w:hint="eastAsia"/>
                <w:sz w:val="18"/>
                <w:szCs w:val="18"/>
              </w:rPr>
              <w:t>1</w:t>
            </w:r>
            <w:r>
              <w:rPr>
                <w:sz w:val="18"/>
                <w:szCs w:val="18"/>
              </w:rPr>
              <w:t>%，电炉工序单位产品能耗减</w:t>
            </w:r>
            <w:r>
              <w:rPr>
                <w:rFonts w:hint="eastAsia"/>
                <w:sz w:val="18"/>
                <w:szCs w:val="18"/>
              </w:rPr>
              <w:t>增0.8</w:t>
            </w:r>
            <w:r>
              <w:rPr>
                <w:sz w:val="18"/>
                <w:szCs w:val="18"/>
              </w:rPr>
              <w:t xml:space="preserve"> kgce/t</w:t>
            </w:r>
            <w:r>
              <w:rPr>
                <w:rFonts w:hint="eastAsia"/>
                <w:sz w:val="18"/>
                <w:szCs w:val="18"/>
              </w:rPr>
              <w:t>。</w:t>
            </w:r>
          </w:p>
          <w:p>
            <w:pPr>
              <w:rPr>
                <w:sz w:val="18"/>
                <w:szCs w:val="18"/>
              </w:rPr>
            </w:pPr>
            <w:r>
              <w:rPr>
                <w:sz w:val="18"/>
                <w:szCs w:val="18"/>
                <w:vertAlign w:val="superscript"/>
              </w:rPr>
              <w:t xml:space="preserve">c </w:t>
            </w:r>
            <w:r>
              <w:rPr>
                <w:rFonts w:hint="eastAsia"/>
                <w:sz w:val="18"/>
                <w:szCs w:val="18"/>
              </w:rPr>
              <w:t>生产合金钢</w:t>
            </w:r>
            <w:r>
              <w:rPr>
                <w:sz w:val="18"/>
                <w:szCs w:val="18"/>
              </w:rPr>
              <w:t>产品的轧钢车间，工序能耗应根据钢种比例的多少乘以系数</w:t>
            </w:r>
            <w:r>
              <w:rPr>
                <w:rFonts w:hint="eastAsia"/>
                <w:sz w:val="18"/>
                <w:szCs w:val="18"/>
              </w:rPr>
              <w:t>1.3</w:t>
            </w:r>
            <w:r>
              <w:rPr>
                <w:sz w:val="18"/>
                <w:szCs w:val="18"/>
              </w:rPr>
              <w:t>~1.6</w:t>
            </w:r>
            <w:r>
              <w:rPr>
                <w:rFonts w:hint="eastAsia"/>
                <w:sz w:val="18"/>
                <w:szCs w:val="18"/>
              </w:rPr>
              <w:t>。</w:t>
            </w:r>
          </w:p>
        </w:tc>
      </w:tr>
    </w:tbl>
    <w:p>
      <w:pPr>
        <w:pStyle w:val="54"/>
        <w:numPr>
          <w:ilvl w:val="1"/>
          <w:numId w:val="3"/>
        </w:numPr>
        <w:spacing w:before="156" w:after="156"/>
        <w:ind w:left="0"/>
        <w:jc w:val="both"/>
        <w:rPr>
          <w:rFonts w:ascii="Times New Roman"/>
        </w:rPr>
      </w:pPr>
      <w:r>
        <w:rPr>
          <w:rFonts w:ascii="Times New Roman"/>
        </w:rPr>
        <w:t>检验方法和指标计算方法</w:t>
      </w:r>
    </w:p>
    <w:p>
      <w:pPr>
        <w:widowControl/>
        <w:tabs>
          <w:tab w:val="center" w:pos="4201"/>
          <w:tab w:val="right" w:leader="dot" w:pos="9298"/>
        </w:tabs>
        <w:autoSpaceDE w:val="0"/>
        <w:autoSpaceDN w:val="0"/>
        <w:ind w:firstLine="420" w:firstLineChars="200"/>
        <w:rPr>
          <w:kern w:val="0"/>
          <w:szCs w:val="22"/>
        </w:rPr>
      </w:pPr>
      <w:r>
        <w:rPr>
          <w:kern w:val="0"/>
          <w:szCs w:val="22"/>
        </w:rPr>
        <w:t>所有指标均按采样次数的实测数据进行平均，各指标的测试方法和计算方法见附录A。</w:t>
      </w:r>
    </w:p>
    <w:p>
      <w:pPr>
        <w:pStyle w:val="52"/>
        <w:numPr>
          <w:ilvl w:val="0"/>
          <w:numId w:val="3"/>
        </w:numPr>
        <w:spacing w:before="312" w:after="312"/>
        <w:rPr>
          <w:rFonts w:ascii="Times New Roman"/>
        </w:rPr>
      </w:pPr>
      <w:r>
        <w:rPr>
          <w:rFonts w:ascii="Times New Roman"/>
        </w:rPr>
        <w:t>生命周期评价报告编制方法</w:t>
      </w:r>
    </w:p>
    <w:p>
      <w:pPr>
        <w:pStyle w:val="54"/>
        <w:numPr>
          <w:ilvl w:val="1"/>
          <w:numId w:val="3"/>
        </w:numPr>
        <w:spacing w:before="156" w:after="156"/>
        <w:ind w:left="0"/>
        <w:jc w:val="both"/>
        <w:rPr>
          <w:rFonts w:ascii="Times New Roman"/>
        </w:rPr>
      </w:pPr>
      <w:r>
        <w:rPr>
          <w:rFonts w:ascii="Times New Roman"/>
        </w:rPr>
        <w:t>编制依据</w:t>
      </w:r>
    </w:p>
    <w:p>
      <w:pPr>
        <w:widowControl/>
        <w:tabs>
          <w:tab w:val="center" w:pos="4201"/>
          <w:tab w:val="right" w:leader="dot" w:pos="9298"/>
        </w:tabs>
        <w:autoSpaceDE w:val="0"/>
        <w:autoSpaceDN w:val="0"/>
        <w:ind w:firstLine="420" w:firstLineChars="200"/>
        <w:rPr>
          <w:kern w:val="0"/>
          <w:szCs w:val="22"/>
        </w:rPr>
      </w:pPr>
      <w:r>
        <w:rPr>
          <w:kern w:val="0"/>
          <w:szCs w:val="22"/>
        </w:rPr>
        <w:t>应依据附录B</w:t>
      </w:r>
      <w:r>
        <w:rPr>
          <w:rFonts w:hint="eastAsia"/>
          <w:kern w:val="0"/>
          <w:szCs w:val="22"/>
        </w:rPr>
        <w:t>对</w:t>
      </w:r>
      <w:r>
        <w:rPr>
          <w:kern w:val="0"/>
          <w:szCs w:val="22"/>
        </w:rPr>
        <w:t>特殊用途热轧圆钢产品生命周期评价方法框架建立生命周期评价方法学</w:t>
      </w:r>
      <w:r>
        <w:rPr>
          <w:rFonts w:hint="eastAsia"/>
          <w:kern w:val="0"/>
          <w:szCs w:val="22"/>
        </w:rPr>
        <w:t>，</w:t>
      </w:r>
      <w:r>
        <w:rPr>
          <w:kern w:val="0"/>
          <w:szCs w:val="22"/>
        </w:rPr>
        <w:t>并依据此</w:t>
      </w:r>
      <w:r>
        <w:rPr>
          <w:rFonts w:hint="eastAsia"/>
          <w:kern w:val="0"/>
          <w:szCs w:val="22"/>
        </w:rPr>
        <w:t>方法</w:t>
      </w:r>
      <w:r>
        <w:rPr>
          <w:kern w:val="0"/>
          <w:szCs w:val="22"/>
        </w:rPr>
        <w:t>学编制生命周期评价报告。</w:t>
      </w:r>
    </w:p>
    <w:p>
      <w:pPr>
        <w:pStyle w:val="54"/>
        <w:numPr>
          <w:ilvl w:val="1"/>
          <w:numId w:val="3"/>
        </w:numPr>
        <w:spacing w:before="156" w:after="156"/>
        <w:ind w:left="0"/>
        <w:jc w:val="both"/>
        <w:rPr>
          <w:rFonts w:ascii="Times New Roman"/>
        </w:rPr>
      </w:pPr>
      <w:r>
        <w:rPr>
          <w:rFonts w:ascii="Times New Roman"/>
        </w:rPr>
        <w:t>基本信息</w:t>
      </w:r>
    </w:p>
    <w:p>
      <w:pPr>
        <w:widowControl/>
        <w:tabs>
          <w:tab w:val="center" w:pos="4201"/>
          <w:tab w:val="right" w:leader="dot" w:pos="9298"/>
        </w:tabs>
        <w:autoSpaceDE w:val="0"/>
        <w:autoSpaceDN w:val="0"/>
        <w:ind w:firstLine="420" w:firstLineChars="200"/>
        <w:rPr>
          <w:kern w:val="0"/>
          <w:szCs w:val="22"/>
        </w:rPr>
      </w:pPr>
      <w:r>
        <w:rPr>
          <w:kern w:val="0"/>
          <w:szCs w:val="22"/>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制造商及厂址等，采用的标准信息应包括标准名称及标准号。</w:t>
      </w:r>
    </w:p>
    <w:p>
      <w:pPr>
        <w:pStyle w:val="54"/>
        <w:numPr>
          <w:ilvl w:val="1"/>
          <w:numId w:val="3"/>
        </w:numPr>
        <w:spacing w:before="156" w:after="156"/>
        <w:ind w:left="0"/>
        <w:jc w:val="both"/>
        <w:rPr>
          <w:rFonts w:ascii="Times New Roman"/>
        </w:rPr>
      </w:pPr>
      <w:r>
        <w:rPr>
          <w:rFonts w:ascii="Times New Roman"/>
        </w:rPr>
        <w:t>评价对象及工具</w:t>
      </w:r>
    </w:p>
    <w:p>
      <w:pPr>
        <w:widowControl/>
        <w:tabs>
          <w:tab w:val="center" w:pos="4201"/>
          <w:tab w:val="right" w:leader="dot" w:pos="9298"/>
        </w:tabs>
        <w:autoSpaceDE w:val="0"/>
        <w:autoSpaceDN w:val="0"/>
        <w:ind w:firstLine="420" w:firstLineChars="200"/>
        <w:rPr>
          <w:kern w:val="0"/>
          <w:szCs w:val="22"/>
        </w:rPr>
      </w:pPr>
      <w:r>
        <w:rPr>
          <w:kern w:val="0"/>
          <w:szCs w:val="22"/>
        </w:rPr>
        <w:t>报告中应详细描述评估的对象、功能单位和产品主要功能，提供特殊用途热轧圆钢的原材料构成及主要技术参数表，绘制并说明特殊用途热轧圆钢的系统边界，披露所使用的基于生命周期数据库的工具。</w:t>
      </w:r>
    </w:p>
    <w:p>
      <w:pPr>
        <w:widowControl/>
        <w:tabs>
          <w:tab w:val="center" w:pos="4201"/>
          <w:tab w:val="right" w:leader="dot" w:pos="9298"/>
        </w:tabs>
        <w:autoSpaceDE w:val="0"/>
        <w:autoSpaceDN w:val="0"/>
        <w:ind w:firstLine="420" w:firstLineChars="200"/>
        <w:rPr>
          <w:kern w:val="0"/>
          <w:szCs w:val="22"/>
        </w:rPr>
      </w:pPr>
      <w:r>
        <w:rPr>
          <w:kern w:val="0"/>
          <w:szCs w:val="22"/>
        </w:rPr>
        <w:t>本文件以“1吨特殊用途热轧圆钢”为功能单位来表示。</w:t>
      </w:r>
    </w:p>
    <w:p>
      <w:pPr>
        <w:pStyle w:val="54"/>
        <w:numPr>
          <w:ilvl w:val="1"/>
          <w:numId w:val="3"/>
        </w:numPr>
        <w:spacing w:before="156" w:after="156"/>
        <w:ind w:left="0"/>
        <w:jc w:val="both"/>
        <w:rPr>
          <w:rFonts w:ascii="Times New Roman"/>
        </w:rPr>
      </w:pPr>
      <w:r>
        <w:rPr>
          <w:rFonts w:ascii="Times New Roman"/>
        </w:rPr>
        <w:t>符合性评价</w:t>
      </w:r>
    </w:p>
    <w:p>
      <w:pPr>
        <w:widowControl/>
        <w:tabs>
          <w:tab w:val="center" w:pos="4201"/>
          <w:tab w:val="right" w:leader="dot" w:pos="9298"/>
        </w:tabs>
        <w:autoSpaceDE w:val="0"/>
        <w:autoSpaceDN w:val="0"/>
        <w:ind w:firstLine="420" w:firstLineChars="200"/>
        <w:rPr>
          <w:kern w:val="0"/>
          <w:szCs w:val="22"/>
        </w:rPr>
      </w:pPr>
      <w:r>
        <w:rPr>
          <w:kern w:val="0"/>
          <w:szCs w:val="22"/>
        </w:rPr>
        <w:t>报告中应提供对基本要求和评价指标要求的符合性情况，并提供所有评价指标报告期比基期改进情况的说明。其中报告期为当前评价的年份，一般是指特殊用途热轧圆钢产品参与评价的上一年；基期为一个对照年份，一般比报告期提前1年。</w:t>
      </w:r>
    </w:p>
    <w:p>
      <w:pPr>
        <w:pStyle w:val="54"/>
        <w:numPr>
          <w:ilvl w:val="1"/>
          <w:numId w:val="3"/>
        </w:numPr>
        <w:spacing w:before="156" w:after="156"/>
        <w:ind w:left="0"/>
        <w:jc w:val="both"/>
        <w:rPr>
          <w:rFonts w:ascii="Times New Roman"/>
        </w:rPr>
      </w:pPr>
      <w:r>
        <w:rPr>
          <w:rFonts w:ascii="Times New Roman"/>
        </w:rPr>
        <w:t>生命周期清单分析</w:t>
      </w:r>
    </w:p>
    <w:p>
      <w:pPr>
        <w:widowControl/>
        <w:tabs>
          <w:tab w:val="center" w:pos="4201"/>
          <w:tab w:val="right" w:leader="dot" w:pos="9298"/>
        </w:tabs>
        <w:autoSpaceDE w:val="0"/>
        <w:autoSpaceDN w:val="0"/>
        <w:ind w:firstLine="420" w:firstLineChars="200"/>
        <w:rPr>
          <w:kern w:val="0"/>
          <w:szCs w:val="22"/>
        </w:rPr>
      </w:pPr>
      <w:r>
        <w:rPr>
          <w:kern w:val="0"/>
          <w:szCs w:val="22"/>
        </w:rPr>
        <w:t>报告中应提供考虑的生命周期阶段，说明每个阶段所考虑的清单因子及收集到的现场数据或背景数据，涉及到数据分配的情况应说明分配方法和结果。</w:t>
      </w:r>
    </w:p>
    <w:p>
      <w:pPr>
        <w:pStyle w:val="54"/>
        <w:numPr>
          <w:ilvl w:val="1"/>
          <w:numId w:val="3"/>
        </w:numPr>
        <w:spacing w:before="156" w:after="156"/>
        <w:ind w:left="0"/>
        <w:jc w:val="both"/>
        <w:rPr>
          <w:rFonts w:ascii="Times New Roman"/>
        </w:rPr>
      </w:pPr>
      <w:r>
        <w:rPr>
          <w:rFonts w:ascii="Times New Roman"/>
        </w:rPr>
        <w:t>生命周期影响评价</w:t>
      </w:r>
    </w:p>
    <w:p>
      <w:pPr>
        <w:widowControl/>
        <w:tabs>
          <w:tab w:val="center" w:pos="4201"/>
          <w:tab w:val="right" w:leader="dot" w:pos="9298"/>
        </w:tabs>
        <w:autoSpaceDE w:val="0"/>
        <w:autoSpaceDN w:val="0"/>
        <w:ind w:firstLine="420" w:firstLineChars="200"/>
        <w:rPr>
          <w:kern w:val="0"/>
          <w:szCs w:val="22"/>
        </w:rPr>
      </w:pPr>
      <w:r>
        <w:rPr>
          <w:kern w:val="0"/>
          <w:szCs w:val="22"/>
        </w:rPr>
        <w:t>报告中应提供特殊用途热轧圆钢生命周期各阶段的不同影响类型的特征化值，并对不同影响类型在各生命周期阶段的分布情况进行比较分析。</w:t>
      </w:r>
    </w:p>
    <w:p>
      <w:pPr>
        <w:pStyle w:val="54"/>
        <w:numPr>
          <w:ilvl w:val="1"/>
          <w:numId w:val="3"/>
        </w:numPr>
        <w:spacing w:before="156" w:after="156"/>
        <w:ind w:left="0"/>
        <w:jc w:val="both"/>
        <w:rPr>
          <w:rFonts w:ascii="Times New Roman"/>
        </w:rPr>
      </w:pPr>
      <w:r>
        <w:rPr>
          <w:rFonts w:ascii="Times New Roman"/>
        </w:rPr>
        <w:t>绿色设计改进方案</w:t>
      </w:r>
    </w:p>
    <w:p>
      <w:pPr>
        <w:widowControl/>
        <w:tabs>
          <w:tab w:val="center" w:pos="4201"/>
          <w:tab w:val="right" w:leader="dot" w:pos="9298"/>
        </w:tabs>
        <w:autoSpaceDE w:val="0"/>
        <w:autoSpaceDN w:val="0"/>
        <w:ind w:firstLine="420" w:firstLineChars="200"/>
        <w:rPr>
          <w:kern w:val="0"/>
          <w:szCs w:val="22"/>
        </w:rPr>
      </w:pPr>
      <w:r>
        <w:rPr>
          <w:kern w:val="0"/>
          <w:szCs w:val="22"/>
        </w:rPr>
        <w:t>在分析指标的符合性评价结果以及生命周期评价结果的基础上，提出特殊用途热轧圆钢绿色设计改进的具体方案。</w:t>
      </w:r>
    </w:p>
    <w:p>
      <w:pPr>
        <w:pStyle w:val="54"/>
        <w:numPr>
          <w:ilvl w:val="1"/>
          <w:numId w:val="3"/>
        </w:numPr>
        <w:spacing w:before="156" w:after="156"/>
        <w:ind w:left="0"/>
        <w:jc w:val="both"/>
        <w:rPr>
          <w:rFonts w:ascii="Times New Roman"/>
        </w:rPr>
      </w:pPr>
      <w:r>
        <w:rPr>
          <w:rFonts w:ascii="Times New Roman"/>
        </w:rPr>
        <w:t>评价报告主要结论</w:t>
      </w:r>
    </w:p>
    <w:p>
      <w:pPr>
        <w:widowControl/>
        <w:tabs>
          <w:tab w:val="center" w:pos="4201"/>
          <w:tab w:val="right" w:leader="dot" w:pos="9298"/>
        </w:tabs>
        <w:autoSpaceDE w:val="0"/>
        <w:autoSpaceDN w:val="0"/>
        <w:ind w:firstLine="420" w:firstLineChars="200"/>
        <w:rPr>
          <w:kern w:val="0"/>
          <w:szCs w:val="22"/>
        </w:rPr>
      </w:pPr>
      <w:r>
        <w:rPr>
          <w:kern w:val="0"/>
          <w:szCs w:val="22"/>
        </w:rPr>
        <w:t>应说明特殊用途热轧圆钢对评价指标的符合性结论、生命周期评价结果、提出的改进方案，并根据评价结论初步判断特殊用途热轧圆钢是否为绿色设计产品。</w:t>
      </w:r>
    </w:p>
    <w:p>
      <w:pPr>
        <w:pStyle w:val="54"/>
        <w:numPr>
          <w:ilvl w:val="1"/>
          <w:numId w:val="3"/>
        </w:numPr>
        <w:spacing w:before="156" w:after="156"/>
        <w:ind w:left="0"/>
        <w:jc w:val="both"/>
        <w:rPr>
          <w:rFonts w:ascii="Times New Roman"/>
        </w:rPr>
      </w:pPr>
      <w:r>
        <w:rPr>
          <w:rFonts w:ascii="Times New Roman"/>
        </w:rPr>
        <w:t>附件</w:t>
      </w:r>
    </w:p>
    <w:p>
      <w:pPr>
        <w:widowControl/>
        <w:tabs>
          <w:tab w:val="center" w:pos="4201"/>
          <w:tab w:val="right" w:leader="dot" w:pos="9298"/>
        </w:tabs>
        <w:autoSpaceDE w:val="0"/>
        <w:autoSpaceDN w:val="0"/>
        <w:ind w:firstLine="420" w:firstLineChars="200"/>
        <w:rPr>
          <w:kern w:val="0"/>
          <w:szCs w:val="20"/>
        </w:rPr>
      </w:pPr>
      <w:r>
        <w:rPr>
          <w:kern w:val="0"/>
          <w:szCs w:val="20"/>
        </w:rPr>
        <w:t>报告中应在附件中提供：</w:t>
      </w:r>
    </w:p>
    <w:p>
      <w:pPr>
        <w:widowControl/>
        <w:tabs>
          <w:tab w:val="center" w:pos="4201"/>
          <w:tab w:val="right" w:leader="dot" w:pos="9298"/>
        </w:tabs>
        <w:autoSpaceDE w:val="0"/>
        <w:autoSpaceDN w:val="0"/>
        <w:ind w:firstLine="420" w:firstLineChars="200"/>
        <w:rPr>
          <w:kern w:val="0"/>
          <w:szCs w:val="20"/>
        </w:rPr>
      </w:pPr>
      <w:r>
        <w:rPr>
          <w:kern w:val="0"/>
          <w:szCs w:val="20"/>
        </w:rPr>
        <w:t>——产品生产材料清单；</w:t>
      </w:r>
    </w:p>
    <w:p>
      <w:pPr>
        <w:widowControl/>
        <w:tabs>
          <w:tab w:val="center" w:pos="4201"/>
          <w:tab w:val="right" w:leader="dot" w:pos="9298"/>
        </w:tabs>
        <w:autoSpaceDE w:val="0"/>
        <w:autoSpaceDN w:val="0"/>
        <w:ind w:firstLine="420" w:firstLineChars="200"/>
        <w:rPr>
          <w:kern w:val="0"/>
          <w:szCs w:val="20"/>
        </w:rPr>
      </w:pPr>
      <w:r>
        <w:rPr>
          <w:kern w:val="0"/>
          <w:szCs w:val="20"/>
        </w:rPr>
        <w:t>——产品工艺表（产品生产工艺过程示意图等）；</w:t>
      </w:r>
    </w:p>
    <w:p>
      <w:pPr>
        <w:widowControl/>
        <w:tabs>
          <w:tab w:val="center" w:pos="4201"/>
          <w:tab w:val="right" w:leader="dot" w:pos="9298"/>
        </w:tabs>
        <w:autoSpaceDE w:val="0"/>
        <w:autoSpaceDN w:val="0"/>
        <w:ind w:firstLine="420" w:firstLineChars="200"/>
        <w:rPr>
          <w:kern w:val="0"/>
          <w:szCs w:val="20"/>
        </w:rPr>
      </w:pPr>
      <w:r>
        <w:rPr>
          <w:kern w:val="0"/>
          <w:szCs w:val="20"/>
        </w:rPr>
        <w:t>——各单元过程的数据收集表（见附录C）；</w:t>
      </w:r>
    </w:p>
    <w:p>
      <w:pPr>
        <w:widowControl/>
        <w:tabs>
          <w:tab w:val="center" w:pos="4201"/>
          <w:tab w:val="right" w:leader="dot" w:pos="9298"/>
        </w:tabs>
        <w:autoSpaceDE w:val="0"/>
        <w:autoSpaceDN w:val="0"/>
        <w:ind w:firstLine="420" w:firstLineChars="200"/>
        <w:rPr>
          <w:kern w:val="0"/>
          <w:szCs w:val="20"/>
        </w:rPr>
      </w:pPr>
      <w:r>
        <w:rPr>
          <w:kern w:val="0"/>
          <w:szCs w:val="20"/>
        </w:rPr>
        <w:t>——其他。</w:t>
      </w:r>
    </w:p>
    <w:p>
      <w:pPr>
        <w:widowControl/>
        <w:tabs>
          <w:tab w:val="center" w:pos="4201"/>
          <w:tab w:val="right" w:leader="dot" w:pos="9298"/>
        </w:tabs>
        <w:autoSpaceDE w:val="0"/>
        <w:autoSpaceDN w:val="0"/>
        <w:ind w:firstLine="420" w:firstLineChars="200"/>
        <w:rPr>
          <w:kern w:val="0"/>
          <w:szCs w:val="20"/>
        </w:rPr>
      </w:pPr>
    </w:p>
    <w:p>
      <w:pPr>
        <w:keepNext/>
        <w:widowControl/>
        <w:shd w:val="clear" w:color="FFFFFF" w:fill="FFFFFF"/>
        <w:tabs>
          <w:tab w:val="left" w:pos="360"/>
          <w:tab w:val="left" w:pos="6405"/>
        </w:tabs>
        <w:spacing w:before="640" w:after="280"/>
        <w:jc w:val="center"/>
        <w:outlineLvl w:val="0"/>
        <w:rPr>
          <w:rFonts w:eastAsia="黑体"/>
          <w:kern w:val="0"/>
          <w:szCs w:val="20"/>
        </w:rPr>
      </w:pPr>
      <w:r>
        <w:rPr>
          <w:rFonts w:eastAsia="黑体"/>
          <w:kern w:val="0"/>
          <w:szCs w:val="21"/>
        </w:rPr>
        <w:br w:type="page"/>
      </w:r>
      <w:bookmarkStart w:id="18" w:name="_Toc49802322"/>
      <w:bookmarkStart w:id="19" w:name="_Toc20116345"/>
      <w:bookmarkStart w:id="20" w:name="_Toc50706900"/>
      <w:r>
        <w:rPr>
          <w:rFonts w:eastAsia="黑体"/>
          <w:kern w:val="0"/>
          <w:szCs w:val="21"/>
        </w:rPr>
        <w:t>附录A</w:t>
      </w:r>
      <w:r>
        <w:rPr>
          <w:rFonts w:eastAsia="黑体"/>
          <w:kern w:val="0"/>
          <w:szCs w:val="20"/>
        </w:rPr>
        <w:br w:type="textWrapping"/>
      </w:r>
      <w:r>
        <w:rPr>
          <w:rFonts w:eastAsia="黑体"/>
          <w:kern w:val="0"/>
          <w:szCs w:val="20"/>
        </w:rPr>
        <w:t>（规范性）</w:t>
      </w:r>
      <w:r>
        <w:rPr>
          <w:rFonts w:eastAsia="黑体"/>
          <w:kern w:val="0"/>
          <w:szCs w:val="20"/>
        </w:rPr>
        <w:br w:type="textWrapping"/>
      </w:r>
      <w:bookmarkEnd w:id="18"/>
      <w:bookmarkEnd w:id="19"/>
      <w:bookmarkEnd w:id="20"/>
      <w:r>
        <w:rPr>
          <w:rFonts w:eastAsia="黑体"/>
          <w:kern w:val="0"/>
          <w:szCs w:val="20"/>
        </w:rPr>
        <w:t>评价指标计算方法</w:t>
      </w:r>
    </w:p>
    <w:p>
      <w:pPr>
        <w:widowControl/>
        <w:adjustRightInd w:val="0"/>
        <w:snapToGrid w:val="0"/>
        <w:spacing w:before="156" w:beforeLines="50" w:line="360" w:lineRule="auto"/>
        <w:outlineLvl w:val="2"/>
        <w:rPr>
          <w:rFonts w:eastAsia="黑体"/>
          <w:kern w:val="0"/>
          <w:szCs w:val="20"/>
        </w:rPr>
      </w:pPr>
      <w:r>
        <w:rPr>
          <w:rFonts w:eastAsia="黑体"/>
          <w:kern w:val="0"/>
          <w:szCs w:val="20"/>
        </w:rPr>
        <w:t>A.1单位产品取水量</w:t>
      </w:r>
    </w:p>
    <w:p>
      <w:pPr>
        <w:ind w:firstLine="420" w:firstLineChars="200"/>
      </w:pPr>
      <w:r>
        <w:t>生产过程中的用水量，计算时按照1年生产为周期计算平均值。每生产1吨产品所消耗的新水量，按照公式（A.1）计算：</w:t>
      </w:r>
    </w:p>
    <w:p>
      <w:pPr>
        <w:jc w:val="center"/>
        <w:rPr>
          <w:rFonts w:eastAsia="黑体"/>
        </w:rPr>
      </w:pPr>
      <m:oMath>
        <m:r>
          <m:rPr>
            <m:sty m:val="p"/>
          </m:rPr>
          <w:rPr>
            <w:rFonts w:ascii="Cambria Math" w:hAnsi="Cambria Math"/>
            <w:sz w:val="28"/>
            <w:szCs w:val="28"/>
          </w:rPr>
          <m:t>V=</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V</m:t>
                </m:r>
                <m:ctrlPr>
                  <w:rPr>
                    <w:rFonts w:ascii="Cambria Math" w:hAnsi="Cambria Math"/>
                    <w:sz w:val="28"/>
                    <w:szCs w:val="28"/>
                  </w:rPr>
                </m:ctrlPr>
              </m:e>
              <m:sub>
                <m:r>
                  <m:rPr>
                    <m:sty m:val="p"/>
                  </m:rPr>
                  <w:rPr>
                    <w:rFonts w:ascii="Cambria Math" w:hAnsi="Cambria Math"/>
                    <w:sz w:val="28"/>
                    <w:szCs w:val="28"/>
                  </w:rPr>
                  <m:t>i</m:t>
                </m:r>
                <m:ctrlPr>
                  <w:rPr>
                    <w:rFonts w:ascii="Cambria Math" w:hAnsi="Cambria Math"/>
                    <w:sz w:val="28"/>
                    <w:szCs w:val="28"/>
                  </w:rPr>
                </m:ctrlPr>
              </m:sub>
            </m:sSub>
            <m:ctrlPr>
              <w:rPr>
                <w:rFonts w:ascii="Cambria Math" w:hAnsi="Cambria Math"/>
                <w:sz w:val="28"/>
                <w:szCs w:val="28"/>
              </w:rPr>
            </m:ctrlPr>
          </m:num>
          <m:den>
            <m:sSub>
              <m:sSubPr>
                <m:ctrlPr>
                  <w:rPr>
                    <w:rFonts w:ascii="Cambria Math" w:hAnsi="Cambria Math"/>
                    <w:sz w:val="28"/>
                    <w:szCs w:val="28"/>
                  </w:rPr>
                </m:ctrlPr>
              </m:sSubPr>
              <m:e>
                <m:r>
                  <m:rPr>
                    <m:sty m:val="p"/>
                  </m:rPr>
                  <w:rPr>
                    <w:rFonts w:ascii="Cambria Math" w:hAnsi="Cambria Math"/>
                    <w:sz w:val="28"/>
                    <w:szCs w:val="28"/>
                  </w:rPr>
                  <m:t>M</m:t>
                </m:r>
                <m:ctrlPr>
                  <w:rPr>
                    <w:rFonts w:ascii="Cambria Math" w:hAnsi="Cambria Math"/>
                    <w:sz w:val="28"/>
                    <w:szCs w:val="28"/>
                  </w:rPr>
                </m:ctrlPr>
              </m:e>
              <m:sub>
                <m:r>
                  <m:rPr>
                    <m:sty m:val="p"/>
                  </m:rPr>
                  <w:rPr>
                    <w:rFonts w:ascii="Cambria Math" w:hAnsi="Cambria Math"/>
                    <w:sz w:val="28"/>
                    <w:szCs w:val="28"/>
                  </w:rPr>
                  <m:t>C</m:t>
                </m:r>
                <m:ctrlPr>
                  <w:rPr>
                    <w:rFonts w:ascii="Cambria Math" w:hAnsi="Cambria Math"/>
                    <w:sz w:val="28"/>
                    <w:szCs w:val="28"/>
                  </w:rPr>
                </m:ctrlPr>
              </m:sub>
            </m:sSub>
            <m:ctrlPr>
              <w:rPr>
                <w:rFonts w:ascii="Cambria Math" w:hAnsi="Cambria Math"/>
                <w:sz w:val="28"/>
                <w:szCs w:val="28"/>
              </w:rPr>
            </m:ctrlPr>
          </m:den>
        </m:f>
      </m:oMath>
      <w:r>
        <w:rPr>
          <w:rFonts w:eastAsia="黑体"/>
          <w:kern w:val="0"/>
          <w:szCs w:val="20"/>
        </w:rPr>
        <w:t>………（A.1）</w:t>
      </w:r>
    </w:p>
    <w:p>
      <w:pPr>
        <w:widowControl/>
        <w:tabs>
          <w:tab w:val="center" w:pos="4201"/>
          <w:tab w:val="right" w:leader="dot" w:pos="9298"/>
        </w:tabs>
        <w:autoSpaceDE w:val="0"/>
        <w:autoSpaceDN w:val="0"/>
        <w:ind w:firstLine="420" w:firstLineChars="200"/>
        <w:rPr>
          <w:kern w:val="0"/>
          <w:szCs w:val="22"/>
        </w:rPr>
      </w:pPr>
      <w:r>
        <w:rPr>
          <w:kern w:val="0"/>
          <w:szCs w:val="22"/>
        </w:rPr>
        <w:t>式中：</w:t>
      </w:r>
    </w:p>
    <w:p>
      <w:pPr>
        <w:widowControl/>
        <w:tabs>
          <w:tab w:val="center" w:pos="4201"/>
          <w:tab w:val="right" w:leader="dot" w:pos="9298"/>
        </w:tabs>
        <w:autoSpaceDE w:val="0"/>
        <w:autoSpaceDN w:val="0"/>
        <w:ind w:firstLine="1050" w:firstLineChars="500"/>
        <w:rPr>
          <w:kern w:val="0"/>
          <w:szCs w:val="22"/>
        </w:rPr>
      </w:pPr>
      <w:r>
        <w:rPr>
          <w:i/>
          <w:kern w:val="0"/>
          <w:szCs w:val="22"/>
        </w:rPr>
        <w:t>V</w:t>
      </w:r>
      <w:r>
        <w:rPr>
          <w:kern w:val="0"/>
          <w:szCs w:val="22"/>
        </w:rPr>
        <w:t>—每生产1 吨产品所消耗的新水量，单位为立方米每吨（m</w:t>
      </w:r>
      <w:r>
        <w:rPr>
          <w:kern w:val="0"/>
          <w:szCs w:val="22"/>
          <w:vertAlign w:val="superscript"/>
        </w:rPr>
        <w:t>3</w:t>
      </w:r>
      <w:r>
        <w:rPr>
          <w:kern w:val="0"/>
          <w:szCs w:val="22"/>
        </w:rPr>
        <w:t>/t）；</w:t>
      </w:r>
    </w:p>
    <w:p>
      <w:pPr>
        <w:widowControl/>
        <w:tabs>
          <w:tab w:val="center" w:pos="4201"/>
          <w:tab w:val="right" w:leader="dot" w:pos="9298"/>
        </w:tabs>
        <w:autoSpaceDE w:val="0"/>
        <w:autoSpaceDN w:val="0"/>
        <w:ind w:firstLine="1050" w:firstLineChars="500"/>
        <w:rPr>
          <w:kern w:val="0"/>
          <w:szCs w:val="22"/>
        </w:rPr>
      </w:pPr>
      <w:r>
        <w:rPr>
          <w:i/>
          <w:kern w:val="0"/>
          <w:szCs w:val="22"/>
        </w:rPr>
        <w:t>Vi</w:t>
      </w:r>
      <w:r>
        <w:rPr>
          <w:kern w:val="0"/>
          <w:szCs w:val="22"/>
        </w:rPr>
        <w:t>—1年内生产取新水量，单位为立方米（m</w:t>
      </w:r>
      <w:r>
        <w:rPr>
          <w:kern w:val="0"/>
          <w:szCs w:val="22"/>
          <w:vertAlign w:val="superscript"/>
        </w:rPr>
        <w:t>3</w:t>
      </w:r>
      <w:r>
        <w:rPr>
          <w:kern w:val="0"/>
          <w:szCs w:val="22"/>
        </w:rPr>
        <w:t>）；</w:t>
      </w:r>
    </w:p>
    <w:p>
      <w:pPr>
        <w:widowControl/>
        <w:tabs>
          <w:tab w:val="center" w:pos="4201"/>
          <w:tab w:val="right" w:leader="dot" w:pos="9298"/>
        </w:tabs>
        <w:autoSpaceDE w:val="0"/>
        <w:autoSpaceDN w:val="0"/>
        <w:ind w:firstLine="1050" w:firstLineChars="500"/>
        <w:rPr>
          <w:kern w:val="0"/>
          <w:szCs w:val="22"/>
        </w:rPr>
      </w:pPr>
      <w:r>
        <w:rPr>
          <w:i/>
          <w:kern w:val="0"/>
          <w:szCs w:val="22"/>
        </w:rPr>
        <w:t>M</w:t>
      </w:r>
      <w:r>
        <w:rPr>
          <w:i/>
          <w:kern w:val="0"/>
          <w:szCs w:val="22"/>
          <w:vertAlign w:val="subscript"/>
        </w:rPr>
        <w:t>C</w:t>
      </w:r>
      <w:r>
        <w:rPr>
          <w:kern w:val="0"/>
          <w:szCs w:val="22"/>
        </w:rPr>
        <w:t>—1年内产品生产总量，单位为吨（t）。</w:t>
      </w:r>
    </w:p>
    <w:p>
      <w:pPr>
        <w:widowControl/>
        <w:adjustRightInd w:val="0"/>
        <w:snapToGrid w:val="0"/>
        <w:spacing w:before="156" w:beforeLines="50" w:line="360" w:lineRule="auto"/>
        <w:outlineLvl w:val="2"/>
        <w:rPr>
          <w:rFonts w:eastAsia="黑体"/>
          <w:kern w:val="0"/>
          <w:szCs w:val="20"/>
        </w:rPr>
      </w:pPr>
      <w:r>
        <w:rPr>
          <w:rFonts w:eastAsia="黑体"/>
          <w:kern w:val="0"/>
          <w:szCs w:val="20"/>
        </w:rPr>
        <w:t>A.2 水重复利用率</w:t>
      </w:r>
    </w:p>
    <w:p>
      <w:pPr>
        <w:ind w:firstLine="420" w:firstLineChars="200"/>
      </w:pPr>
      <w:r>
        <w:t>水重复利用率，计算时按照1 年生产为周期计算。生产过程中使用的重复利用水量与总用水量进行计算，按照公式（A.2）计算：</w:t>
      </w:r>
    </w:p>
    <w:p>
      <w:pPr>
        <w:ind w:firstLine="480" w:firstLineChars="200"/>
        <w:jc w:val="center"/>
      </w:pPr>
      <w:r>
        <w:rPr>
          <w:sz w:val="24"/>
        </w:rPr>
        <w:fldChar w:fldCharType="begin"/>
      </w:r>
      <w:r>
        <w:rPr>
          <w:sz w:val="24"/>
        </w:rPr>
        <w:instrText xml:space="preserve"> QUOTE </w:instrText>
      </w:r>
      <m:oMath>
        <m:r>
          <m:rPr>
            <m:sty m:val="p"/>
          </m:rPr>
          <w:rPr>
            <w:rFonts w:ascii="Cambria Math" w:hAnsi="Cambria Math"/>
            <w:sz w:val="24"/>
          </w:rPr>
          <m:t xml:space="preserve">W=</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r</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r</m:t>
                </m:r>
                <m:ctrlPr>
                  <w:rPr>
                    <w:rFonts w:ascii="Cambria Math" w:hAnsi="Cambria Math"/>
                    <w:sz w:val="24"/>
                  </w:rPr>
                </m:ctrlPr>
              </m:sub>
            </m:sSub>
            <m:r>
              <m:rPr>
                <m:sty m:val="p"/>
              </m:rPr>
              <w:rPr>
                <w:rFonts w:ascii="Cambria Math" w:hAnsi="Cambria Math"/>
                <w:sz w:val="24"/>
              </w:rPr>
              <m:t xml:space="preserve">+</m:t>
            </m:r>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n</m:t>
                </m:r>
                <m:ctrlPr>
                  <w:rPr>
                    <w:rFonts w:ascii="Cambria Math" w:hAnsi="Cambria Math"/>
                    <w:sz w:val="24"/>
                  </w:rPr>
                </m:ctrlPr>
              </m:sub>
            </m:sSub>
            <m:ctrlPr>
              <w:rPr>
                <w:rFonts w:ascii="Cambria Math" w:hAnsi="Cambria Math"/>
                <w:sz w:val="24"/>
              </w:rPr>
            </m:ctrlPr>
          </m:den>
        </m:f>
        <m:r>
          <m:rPr>
            <m:sty m:val="p"/>
          </m:rPr>
          <w:rPr>
            <w:rFonts w:ascii="Cambria Math" w:hAnsi="Cambria Math"/>
            <w:sz w:val="24"/>
          </w:rPr>
          <m:t xml:space="preserve">×100%</m:t>
        </m:r>
      </m:oMath>
      <w:r>
        <w:rPr>
          <w:sz w:val="24"/>
        </w:rPr>
        <w:fldChar w:fldCharType="separate"/>
      </w:r>
      <m:oMath>
        <m:r>
          <m:rPr>
            <m:sty m:val="p"/>
          </m:rPr>
          <w:rPr>
            <w:rFonts w:ascii="Cambria Math" w:hAnsi="Cambria Math"/>
            <w:sz w:val="24"/>
          </w:rPr>
          <m:t>W=</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r</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r</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n</m:t>
                </m:r>
                <m:ctrlPr>
                  <w:rPr>
                    <w:rFonts w:ascii="Cambria Math" w:hAnsi="Cambria Math"/>
                    <w:sz w:val="24"/>
                  </w:rPr>
                </m:ctrlPr>
              </m:sub>
            </m:sSub>
            <m:ctrlPr>
              <w:rPr>
                <w:rFonts w:ascii="Cambria Math" w:hAnsi="Cambria Math"/>
                <w:sz w:val="24"/>
              </w:rPr>
            </m:ctrlPr>
          </m:den>
        </m:f>
        <m:r>
          <m:rPr>
            <m:sty m:val="p"/>
          </m:rPr>
          <w:rPr>
            <w:rFonts w:ascii="Cambria Math" w:hAnsi="Cambria Math"/>
            <w:sz w:val="24"/>
          </w:rPr>
          <m:t>×100%</m:t>
        </m:r>
      </m:oMath>
      <w:r>
        <w:rPr>
          <w:sz w:val="24"/>
        </w:rPr>
        <w:fldChar w:fldCharType="end"/>
      </w:r>
      <w:r>
        <w:rPr>
          <w:rFonts w:eastAsia="黑体"/>
          <w:kern w:val="0"/>
          <w:szCs w:val="20"/>
        </w:rPr>
        <w:t>………（A.2）</w:t>
      </w:r>
    </w:p>
    <w:p>
      <w:pPr>
        <w:ind w:firstLine="420" w:firstLineChars="200"/>
        <w:rPr>
          <w:szCs w:val="21"/>
        </w:rPr>
      </w:pPr>
      <w:r>
        <w:rPr>
          <w:szCs w:val="21"/>
        </w:rPr>
        <w:t>式中：</w:t>
      </w:r>
    </w:p>
    <w:p>
      <w:pPr>
        <w:ind w:firstLine="1050" w:firstLineChars="500"/>
        <w:rPr>
          <w:szCs w:val="21"/>
        </w:rPr>
      </w:pPr>
      <w:r>
        <w:rPr>
          <w:i/>
          <w:szCs w:val="21"/>
        </w:rPr>
        <w:t>W</w:t>
      </w:r>
      <w:r>
        <w:rPr>
          <w:szCs w:val="21"/>
        </w:rPr>
        <w:t>—水重复利用率，%；</w:t>
      </w:r>
    </w:p>
    <w:p>
      <w:pPr>
        <w:ind w:firstLine="1050" w:firstLineChars="500"/>
        <w:rPr>
          <w:szCs w:val="21"/>
        </w:rPr>
      </w:pPr>
      <w:r>
        <w:rPr>
          <w:i/>
          <w:szCs w:val="21"/>
        </w:rPr>
        <w:t>W</w:t>
      </w:r>
      <w:r>
        <w:rPr>
          <w:i/>
          <w:szCs w:val="21"/>
          <w:vertAlign w:val="subscript"/>
        </w:rPr>
        <w:t>r</w:t>
      </w:r>
      <w:r>
        <w:rPr>
          <w:szCs w:val="21"/>
        </w:rPr>
        <w:t>—1年内重复利用水量，单位为立方米（m</w:t>
      </w:r>
      <w:r>
        <w:rPr>
          <w:szCs w:val="21"/>
          <w:vertAlign w:val="superscript"/>
        </w:rPr>
        <w:t>3</w:t>
      </w:r>
      <w:r>
        <w:rPr>
          <w:szCs w:val="21"/>
        </w:rPr>
        <w:t>）；</w:t>
      </w:r>
    </w:p>
    <w:p>
      <w:pPr>
        <w:ind w:firstLine="1050" w:firstLineChars="500"/>
        <w:rPr>
          <w:i/>
          <w:szCs w:val="21"/>
        </w:rPr>
      </w:pPr>
      <w:r>
        <w:rPr>
          <w:i/>
          <w:szCs w:val="21"/>
        </w:rPr>
        <w:t>Wn—</w:t>
      </w:r>
      <w:r>
        <w:rPr>
          <w:szCs w:val="21"/>
        </w:rPr>
        <w:t>1年内总补水量，单位为立方米（m</w:t>
      </w:r>
      <w:r>
        <w:rPr>
          <w:szCs w:val="21"/>
          <w:vertAlign w:val="superscript"/>
        </w:rPr>
        <w:t>3</w:t>
      </w:r>
      <w:r>
        <w:rPr>
          <w:szCs w:val="21"/>
        </w:rPr>
        <w:t>）</w:t>
      </w:r>
      <w:r>
        <w:rPr>
          <w:i/>
          <w:szCs w:val="21"/>
        </w:rPr>
        <w:t>。</w:t>
      </w:r>
    </w:p>
    <w:p>
      <w:pPr>
        <w:widowControl/>
        <w:adjustRightInd w:val="0"/>
        <w:snapToGrid w:val="0"/>
        <w:spacing w:before="156" w:beforeLines="50" w:line="360" w:lineRule="auto"/>
        <w:outlineLvl w:val="2"/>
        <w:rPr>
          <w:rFonts w:eastAsia="黑体"/>
          <w:kern w:val="0"/>
          <w:szCs w:val="20"/>
        </w:rPr>
      </w:pPr>
      <w:r>
        <w:rPr>
          <w:rFonts w:eastAsia="黑体"/>
          <w:kern w:val="0"/>
          <w:szCs w:val="20"/>
        </w:rPr>
        <w:t>A.3 单位产品污染物排放量</w:t>
      </w:r>
    </w:p>
    <w:p>
      <w:pPr>
        <w:ind w:firstLine="420" w:firstLineChars="200"/>
        <w:rPr>
          <w:rFonts w:eastAsia="黑体"/>
          <w:sz w:val="28"/>
          <w:szCs w:val="28"/>
        </w:rPr>
      </w:pPr>
      <w:r>
        <w:t>特殊用途热轧圆钢生产过程中的颗粒物、SO</w:t>
      </w:r>
      <w:r>
        <w:rPr>
          <w:vertAlign w:val="subscript"/>
        </w:rPr>
        <w:t>2</w:t>
      </w:r>
      <w:r>
        <w:t>、NO</w:t>
      </w:r>
      <w:r>
        <w:rPr>
          <w:vertAlign w:val="subscript"/>
        </w:rPr>
        <w:t>X</w:t>
      </w:r>
      <w:r>
        <w:t>、COD和氨氮等主要污染物排放量，计算时按照1年生产为周期计算平均值。每生产1吨特殊用途热轧圆钢所排放的主要污染物量，按照公式（A.3）计算：</w:t>
      </w:r>
    </w:p>
    <w:p>
      <w:pPr>
        <w:jc w:val="center"/>
      </w:pPr>
      <w:r>
        <w:rPr>
          <w:sz w:val="24"/>
        </w:rPr>
        <w:fldChar w:fldCharType="begin"/>
      </w:r>
      <w:r>
        <w:rPr>
          <w:sz w:val="24"/>
        </w:rPr>
        <w:instrText xml:space="preserve"> QUOTE </w:instrText>
      </w:r>
      <m:oMath>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L</m:t>
            </m:r>
            <m:ctrlPr>
              <w:rPr>
                <w:rFonts w:ascii="Cambria Math" w:hAnsi="Cambria Math"/>
                <w:sz w:val="24"/>
              </w:rPr>
            </m:ctrlPr>
          </m:sub>
        </m:sSub>
        <m:r>
          <m:rPr>
            <m:sty m:val="p"/>
          </m:rPr>
          <w:rPr>
            <w:rFonts w:ascii="Cambria Math" w:hAnsi="Cambria Math"/>
            <w:sz w:val="24"/>
          </w:rPr>
          <m:t xml:space="preserve">=</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SL</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 xml:space="preserve">T</m:t>
                </m:r>
                <m:ctrlPr>
                  <w:rPr>
                    <w:rFonts w:ascii="Cambria Math" w:hAnsi="Cambria Math"/>
                    <w:sz w:val="24"/>
                  </w:rPr>
                </m:ctrlPr>
              </m:e>
              <m:sub>
                <m:r>
                  <m:rPr>
                    <m:sty m:val="p"/>
                  </m:rPr>
                  <w:rPr>
                    <w:rFonts w:ascii="Cambria Math" w:hAnsi="Cambria Math"/>
                    <w:sz w:val="24"/>
                  </w:rPr>
                  <m:t xml:space="preserve">CG</m:t>
                </m:r>
                <m:ctrlPr>
                  <w:rPr>
                    <w:rFonts w:ascii="Cambria Math" w:hAnsi="Cambria Math"/>
                    <w:sz w:val="24"/>
                  </w:rPr>
                </m:ctrlPr>
              </m:sub>
            </m:sSub>
            <m:ctrlPr>
              <w:rPr>
                <w:rFonts w:ascii="Cambria Math" w:hAnsi="Cambria Math"/>
                <w:sz w:val="24"/>
              </w:rPr>
            </m:ctrlPr>
          </m:den>
        </m:f>
      </m:oMath>
      <w:r>
        <w:rPr>
          <w:sz w:val="24"/>
        </w:rPr>
        <w:fldChar w:fldCharType="separate"/>
      </w:r>
      <m:oMath>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L</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SL</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T</m:t>
                </m:r>
                <m:ctrlPr>
                  <w:rPr>
                    <w:rFonts w:ascii="Cambria Math" w:hAnsi="Cambria Math"/>
                    <w:sz w:val="24"/>
                  </w:rPr>
                </m:ctrlPr>
              </m:e>
              <m:sub>
                <m:r>
                  <m:rPr>
                    <m:sty m:val="p"/>
                  </m:rPr>
                  <w:rPr>
                    <w:rFonts w:ascii="Cambria Math" w:hAnsi="Cambria Math"/>
                    <w:sz w:val="24"/>
                  </w:rPr>
                  <m:t>CG</m:t>
                </m:r>
                <m:ctrlPr>
                  <w:rPr>
                    <w:rFonts w:ascii="Cambria Math" w:hAnsi="Cambria Math"/>
                    <w:sz w:val="24"/>
                  </w:rPr>
                </m:ctrlPr>
              </m:sub>
            </m:sSub>
            <m:ctrlPr>
              <w:rPr>
                <w:rFonts w:ascii="Cambria Math" w:hAnsi="Cambria Math"/>
                <w:sz w:val="24"/>
              </w:rPr>
            </m:ctrlPr>
          </m:den>
        </m:f>
      </m:oMath>
      <w:r>
        <w:rPr>
          <w:sz w:val="24"/>
        </w:rPr>
        <w:fldChar w:fldCharType="end"/>
      </w:r>
      <w:r>
        <w:rPr>
          <w:rFonts w:eastAsia="黑体"/>
          <w:kern w:val="0"/>
          <w:szCs w:val="20"/>
        </w:rPr>
        <w:t>……………（A.3）</w:t>
      </w:r>
    </w:p>
    <w:p>
      <w:pPr>
        <w:ind w:firstLine="420" w:firstLineChars="200"/>
        <w:rPr>
          <w:szCs w:val="21"/>
        </w:rPr>
      </w:pPr>
      <w:r>
        <w:rPr>
          <w:szCs w:val="21"/>
        </w:rPr>
        <w:t>式中：</w:t>
      </w:r>
    </w:p>
    <w:p>
      <w:pPr>
        <w:ind w:firstLine="1050" w:firstLineChars="500"/>
        <w:rPr>
          <w:szCs w:val="21"/>
        </w:rPr>
      </w:pPr>
      <w:r>
        <w:rPr>
          <w:i/>
          <w:szCs w:val="21"/>
        </w:rPr>
        <w:t>W</w:t>
      </w:r>
      <w:r>
        <w:rPr>
          <w:i/>
          <w:szCs w:val="21"/>
          <w:vertAlign w:val="subscript"/>
        </w:rPr>
        <w:t>L</w:t>
      </w:r>
      <w:r>
        <w:rPr>
          <w:szCs w:val="21"/>
        </w:rPr>
        <w:t>—每生产1 吨</w:t>
      </w:r>
      <w:r>
        <w:rPr>
          <w:color w:val="000000"/>
          <w:kern w:val="0"/>
          <w:szCs w:val="21"/>
        </w:rPr>
        <w:t>特殊用途热轧圆钢</w:t>
      </w:r>
      <w:r>
        <w:rPr>
          <w:szCs w:val="21"/>
        </w:rPr>
        <w:t>外排污染物量，单位为千克每吨（kg/t）；</w:t>
      </w:r>
    </w:p>
    <w:p>
      <w:pPr>
        <w:ind w:firstLine="1050" w:firstLineChars="500"/>
        <w:rPr>
          <w:szCs w:val="21"/>
        </w:rPr>
      </w:pPr>
      <w:r>
        <w:rPr>
          <w:i/>
          <w:szCs w:val="21"/>
        </w:rPr>
        <w:t>W</w:t>
      </w:r>
      <w:r>
        <w:rPr>
          <w:i/>
          <w:szCs w:val="21"/>
          <w:vertAlign w:val="subscript"/>
        </w:rPr>
        <w:t>SL</w:t>
      </w:r>
      <w:r>
        <w:rPr>
          <w:szCs w:val="21"/>
        </w:rPr>
        <w:t>—1年内</w:t>
      </w:r>
      <w:r>
        <w:rPr>
          <w:color w:val="000000"/>
          <w:kern w:val="0"/>
          <w:szCs w:val="21"/>
        </w:rPr>
        <w:t>特殊用途热轧圆钢</w:t>
      </w:r>
      <w:r>
        <w:rPr>
          <w:szCs w:val="21"/>
        </w:rPr>
        <w:t>生产过程中的颗粒物、SO</w:t>
      </w:r>
      <w:r>
        <w:rPr>
          <w:szCs w:val="21"/>
          <w:vertAlign w:val="subscript"/>
        </w:rPr>
        <w:t>2</w:t>
      </w:r>
      <w:r>
        <w:rPr>
          <w:szCs w:val="21"/>
        </w:rPr>
        <w:t>、NO</w:t>
      </w:r>
      <w:r>
        <w:rPr>
          <w:szCs w:val="21"/>
          <w:vertAlign w:val="subscript"/>
        </w:rPr>
        <w:t>X</w:t>
      </w:r>
      <w:r>
        <w:rPr>
          <w:szCs w:val="21"/>
        </w:rPr>
        <w:t>、COD和氨氮等主要污染物排放量，单位为千克（kg）；</w:t>
      </w:r>
    </w:p>
    <w:p>
      <w:pPr>
        <w:ind w:firstLine="1050" w:firstLineChars="500"/>
        <w:rPr>
          <w:szCs w:val="21"/>
        </w:rPr>
      </w:pPr>
      <w:r>
        <w:rPr>
          <w:i/>
          <w:szCs w:val="21"/>
        </w:rPr>
        <w:t>T</w:t>
      </w:r>
      <w:r>
        <w:rPr>
          <w:i/>
          <w:szCs w:val="21"/>
          <w:vertAlign w:val="subscript"/>
        </w:rPr>
        <w:t>CG</w:t>
      </w:r>
      <w:r>
        <w:rPr>
          <w:szCs w:val="21"/>
        </w:rPr>
        <w:t>—1年内</w:t>
      </w:r>
      <w:r>
        <w:rPr>
          <w:color w:val="000000"/>
          <w:kern w:val="0"/>
          <w:szCs w:val="21"/>
        </w:rPr>
        <w:t>特殊用途热轧圆钢</w:t>
      </w:r>
      <w:r>
        <w:rPr>
          <w:szCs w:val="21"/>
        </w:rPr>
        <w:t>生产总量，单位为吨（t）</w:t>
      </w:r>
    </w:p>
    <w:p>
      <w:pPr>
        <w:widowControl/>
        <w:adjustRightInd w:val="0"/>
        <w:snapToGrid w:val="0"/>
        <w:spacing w:before="156" w:beforeLines="50" w:line="360" w:lineRule="auto"/>
        <w:outlineLvl w:val="2"/>
        <w:rPr>
          <w:rFonts w:eastAsia="黑体"/>
          <w:kern w:val="0"/>
          <w:szCs w:val="20"/>
        </w:rPr>
      </w:pPr>
      <w:r>
        <w:rPr>
          <w:rFonts w:eastAsia="黑体"/>
          <w:kern w:val="0"/>
          <w:szCs w:val="20"/>
        </w:rPr>
        <w:t>A.4 各工序单位产品能耗</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各工序单位产品能耗应按公式（A.4）计算：</w:t>
      </w:r>
    </w:p>
    <w:p>
      <w:pPr>
        <w:jc w:val="center"/>
      </w:pPr>
      <m:oMath>
        <m:sSub>
          <m:sSubPr>
            <m:ctrlPr>
              <w:rPr>
                <w:rFonts w:ascii="Cambria Math" w:hAnsi="Cambria Math"/>
                <w:sz w:val="28"/>
              </w:rPr>
            </m:ctrlPr>
          </m:sSubPr>
          <m:e>
            <m:r>
              <m:rPr>
                <m:sty m:val="p"/>
              </m:rPr>
              <w:rPr>
                <w:rFonts w:ascii="Cambria Math" w:hAnsi="Cambria Math"/>
                <w:sz w:val="28"/>
              </w:rPr>
              <m:t>E</m:t>
            </m:r>
            <m:ctrlPr>
              <w:rPr>
                <w:rFonts w:ascii="Cambria Math" w:hAnsi="Cambria Math"/>
                <w:sz w:val="28"/>
              </w:rPr>
            </m:ctrlPr>
          </m:e>
          <m:sub>
            <m:r>
              <m:rPr>
                <m:sty m:val="p"/>
              </m:rPr>
              <w:rPr>
                <w:rFonts w:ascii="Cambria Math" w:hAnsi="Cambria Math"/>
                <w:sz w:val="28"/>
              </w:rPr>
              <m:t>iL</m:t>
            </m:r>
            <m:ctrlPr>
              <w:rPr>
                <w:rFonts w:ascii="Cambria Math" w:hAnsi="Cambria Math"/>
                <w:sz w:val="28"/>
              </w:rPr>
            </m:ctrlPr>
          </m:sub>
        </m:sSub>
        <m:r>
          <m:rPr>
            <m:sty m:val="p"/>
          </m:rPr>
          <w:rPr>
            <w:rFonts w:ascii="Cambria Math" w:hAnsi="Cambria Math"/>
            <w:sz w:val="28"/>
          </w:rPr>
          <m:t>=</m:t>
        </m:r>
        <m:f>
          <m:fPr>
            <m:ctrlPr>
              <w:rPr>
                <w:rFonts w:ascii="Cambria Math" w:hAnsi="Cambria Math"/>
                <w:sz w:val="28"/>
              </w:rPr>
            </m:ctrlPr>
          </m:fPr>
          <m:num>
            <m:sSub>
              <m:sSubPr>
                <m:ctrlPr>
                  <w:rPr>
                    <w:rFonts w:ascii="Cambria Math" w:hAnsi="Cambria Math"/>
                    <w:sz w:val="28"/>
                  </w:rPr>
                </m:ctrlPr>
              </m:sSubPr>
              <m:e>
                <m:r>
                  <m:rPr>
                    <m:sty m:val="p"/>
                  </m:rPr>
                  <w:rPr>
                    <w:rFonts w:ascii="Cambria Math" w:hAnsi="Cambria Math"/>
                    <w:sz w:val="28"/>
                  </w:rPr>
                  <m:t>e</m:t>
                </m:r>
                <m:ctrlPr>
                  <w:rPr>
                    <w:rFonts w:ascii="Cambria Math" w:hAnsi="Cambria Math"/>
                    <w:sz w:val="28"/>
                  </w:rPr>
                </m:ctrlPr>
              </m:e>
              <m:sub>
                <m:r>
                  <m:rPr/>
                  <w:rPr>
                    <w:rFonts w:ascii="Cambria Math" w:hAnsi="Cambria Math"/>
                    <w:sz w:val="28"/>
                  </w:rPr>
                  <m:t>iz</m:t>
                </m:r>
                <m:ctrlPr>
                  <w:rPr>
                    <w:rFonts w:ascii="Cambria Math" w:hAnsi="Cambria Math"/>
                    <w:sz w:val="28"/>
                  </w:rPr>
                </m:ctrlP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rPr>
                  <m:t>e</m:t>
                </m:r>
                <m:ctrlPr>
                  <w:rPr>
                    <w:rFonts w:ascii="Cambria Math" w:hAnsi="Cambria Math"/>
                    <w:sz w:val="28"/>
                  </w:rPr>
                </m:ctrlPr>
              </m:e>
              <m:sub>
                <m:r>
                  <m:rPr/>
                  <w:rPr>
                    <w:rFonts w:ascii="Cambria Math" w:hAnsi="Cambria Math"/>
                    <w:sz w:val="28"/>
                  </w:rPr>
                  <m:t>iℎ</m:t>
                </m:r>
                <m:ctrlPr>
                  <w:rPr>
                    <w:rFonts w:ascii="Cambria Math" w:hAnsi="Cambria Math"/>
                    <w:sz w:val="28"/>
                  </w:rPr>
                </m:ctrlPr>
              </m:sub>
            </m:sSub>
            <m:ctrlPr>
              <w:rPr>
                <w:rFonts w:ascii="Cambria Math" w:hAnsi="Cambria Math"/>
                <w:sz w:val="28"/>
              </w:rPr>
            </m:ctrlPr>
          </m:num>
          <m:den>
            <m:sSub>
              <m:sSubPr>
                <m:ctrlPr>
                  <w:rPr>
                    <w:rFonts w:ascii="Cambria Math" w:hAnsi="Cambria Math"/>
                    <w:sz w:val="28"/>
                  </w:rPr>
                </m:ctrlPr>
              </m:sSubPr>
              <m:e>
                <m:r>
                  <m:rPr>
                    <m:sty m:val="p"/>
                  </m:rPr>
                  <w:rPr>
                    <w:rFonts w:ascii="Cambria Math" w:hAnsi="Cambria Math"/>
                    <w:sz w:val="28"/>
                  </w:rPr>
                  <m:t>P</m:t>
                </m:r>
                <m:ctrlPr>
                  <w:rPr>
                    <w:rFonts w:ascii="Cambria Math" w:hAnsi="Cambria Math"/>
                    <w:sz w:val="28"/>
                  </w:rPr>
                </m:ctrlPr>
              </m:e>
              <m:sub>
                <m:r>
                  <m:rPr>
                    <m:sty m:val="p"/>
                  </m:rPr>
                  <w:rPr>
                    <w:rFonts w:ascii="Cambria Math" w:hAnsi="Cambria Math"/>
                    <w:sz w:val="28"/>
                  </w:rPr>
                  <m:t>i</m:t>
                </m:r>
                <m:ctrlPr>
                  <w:rPr>
                    <w:rFonts w:ascii="Cambria Math" w:hAnsi="Cambria Math"/>
                    <w:sz w:val="28"/>
                  </w:rPr>
                </m:ctrlPr>
              </m:sub>
            </m:sSub>
            <m:ctrlPr>
              <w:rPr>
                <w:rFonts w:ascii="Cambria Math" w:hAnsi="Cambria Math"/>
                <w:sz w:val="28"/>
              </w:rPr>
            </m:ctrlPr>
          </m:den>
        </m:f>
      </m:oMath>
      <w:r>
        <w:rPr>
          <w:rFonts w:eastAsia="黑体"/>
          <w:kern w:val="0"/>
          <w:szCs w:val="20"/>
        </w:rPr>
        <w:t>……………</w:t>
      </w:r>
      <w:r>
        <w:rPr>
          <w:kern w:val="0"/>
          <w:szCs w:val="20"/>
          <w:lang w:val="be-BY"/>
        </w:rPr>
        <w:t>（</w:t>
      </w:r>
      <w:r>
        <w:rPr>
          <w:kern w:val="0"/>
          <w:szCs w:val="20"/>
        </w:rPr>
        <w:t>A</w:t>
      </w:r>
      <w:r>
        <w:rPr>
          <w:kern w:val="0"/>
          <w:szCs w:val="20"/>
          <w:lang w:val="be-BY"/>
        </w:rPr>
        <w:t>.4）</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式中：</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i</w:t>
      </w:r>
      <w:r>
        <w:rPr>
          <w:color w:val="000000"/>
          <w:kern w:val="0"/>
          <w:szCs w:val="21"/>
        </w:rPr>
        <w:t>—代表烧结、球团、高炉、转炉、电炉、轧钢各工序；</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E</w:t>
      </w:r>
      <w:r>
        <w:rPr>
          <w:color w:val="000000"/>
          <w:szCs w:val="21"/>
          <w:vertAlign w:val="subscript"/>
          <w:lang w:val="be-BY"/>
        </w:rPr>
        <w:t>iL</w:t>
      </w:r>
      <w:r>
        <w:rPr>
          <w:color w:val="000000"/>
          <w:kern w:val="0"/>
          <w:szCs w:val="21"/>
        </w:rPr>
        <w:t>—各工序单位产品能耗，单位为千克标准煤每吨（kgce/t）；</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e</w:t>
      </w:r>
      <w:r>
        <w:rPr>
          <w:color w:val="000000"/>
          <w:szCs w:val="21"/>
          <w:vertAlign w:val="subscript"/>
          <w:lang w:val="be-BY"/>
        </w:rPr>
        <w:t>iz</w:t>
      </w:r>
      <w:r>
        <w:rPr>
          <w:color w:val="000000"/>
          <w:kern w:val="0"/>
          <w:szCs w:val="21"/>
        </w:rPr>
        <w:t>—各工序消耗的各种能源折标准煤量总和，单位为千克标准煤（kgce）；</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e</w:t>
      </w:r>
      <w:r>
        <w:rPr>
          <w:color w:val="000000"/>
          <w:szCs w:val="21"/>
          <w:vertAlign w:val="subscript"/>
          <w:lang w:val="be-BY"/>
        </w:rPr>
        <w:t>ih</w:t>
      </w:r>
      <w:r>
        <w:rPr>
          <w:color w:val="000000"/>
          <w:kern w:val="0"/>
          <w:szCs w:val="21"/>
        </w:rPr>
        <w:t>—各工序回收的能源量折标准煤量，单位为千克标准煤（kgce）；</w:t>
      </w:r>
    </w:p>
    <w:p>
      <w:pPr>
        <w:widowControl/>
        <w:adjustRightInd w:val="0"/>
        <w:snapToGrid w:val="0"/>
        <w:spacing w:before="156" w:beforeLines="50" w:line="360" w:lineRule="auto"/>
        <w:ind w:firstLine="420" w:firstLineChars="200"/>
        <w:rPr>
          <w:color w:val="000000"/>
          <w:kern w:val="0"/>
          <w:szCs w:val="21"/>
        </w:rPr>
      </w:pPr>
      <w:r>
        <w:rPr>
          <w:color w:val="000000"/>
          <w:kern w:val="0"/>
          <w:szCs w:val="21"/>
        </w:rPr>
        <w:t>P</w:t>
      </w:r>
      <w:r>
        <w:rPr>
          <w:color w:val="000000"/>
          <w:kern w:val="0"/>
          <w:szCs w:val="21"/>
          <w:vertAlign w:val="subscript"/>
        </w:rPr>
        <w:t>i</w:t>
      </w:r>
      <w:r>
        <w:rPr>
          <w:color w:val="000000"/>
          <w:kern w:val="0"/>
          <w:szCs w:val="21"/>
        </w:rPr>
        <w:t>—各工序合格产品产量，单位为吨（t）。</w:t>
      </w:r>
    </w:p>
    <w:p>
      <w:pPr>
        <w:widowControl/>
        <w:adjustRightInd w:val="0"/>
        <w:snapToGrid w:val="0"/>
        <w:spacing w:before="156" w:beforeLines="50" w:line="360" w:lineRule="auto"/>
        <w:outlineLvl w:val="2"/>
        <w:rPr>
          <w:rFonts w:eastAsia="黑体"/>
          <w:kern w:val="0"/>
          <w:szCs w:val="20"/>
        </w:rPr>
      </w:pPr>
      <w:r>
        <w:rPr>
          <w:rFonts w:eastAsia="黑体"/>
          <w:kern w:val="0"/>
          <w:szCs w:val="20"/>
        </w:rPr>
        <w:t>A.5 电炉兑铁水比例</w:t>
      </w:r>
    </w:p>
    <w:p>
      <w:pPr>
        <w:spacing w:before="156" w:beforeLines="50" w:line="312" w:lineRule="auto"/>
        <w:ind w:firstLine="420" w:firstLineChars="200"/>
        <w:rPr>
          <w:sz w:val="24"/>
        </w:rPr>
      </w:pPr>
      <w:r>
        <w:rPr>
          <w:color w:val="000000"/>
          <w:szCs w:val="21"/>
          <w:lang w:val="be-BY"/>
        </w:rPr>
        <w:t>电炉兑铁水比例按公式（A.5）计算：</w:t>
      </w:r>
    </w:p>
    <w:p>
      <w:pPr>
        <w:spacing w:before="156" w:beforeLines="50" w:line="312" w:lineRule="auto"/>
        <w:rPr>
          <w:color w:val="000000"/>
          <w:szCs w:val="21"/>
          <w:lang w:val="be-BY"/>
        </w:rPr>
      </w:pPr>
      <m:oMath>
        <m:sSub>
          <m:sSubPr>
            <m:ctrlPr>
              <w:rPr>
                <w:rFonts w:ascii="Cambria Math" w:hAnsi="Cambria Math"/>
                <w:sz w:val="28"/>
              </w:rPr>
            </m:ctrlPr>
          </m:sSubPr>
          <m:e>
            <m:r>
              <m:rPr>
                <m:sty m:val="p"/>
              </m:rPr>
              <w:rPr>
                <w:rFonts w:ascii="Cambria Math" w:hAnsi="Cambria Math"/>
                <w:sz w:val="28"/>
              </w:rPr>
              <m:t xml:space="preserve">                           r</m:t>
            </m:r>
            <m:ctrlPr>
              <w:rPr>
                <w:rFonts w:ascii="Cambria Math" w:hAnsi="Cambria Math"/>
                <w:sz w:val="28"/>
              </w:rPr>
            </m:ctrlPr>
          </m:e>
          <m:sub>
            <m:r>
              <m:rPr>
                <m:sty m:val="p"/>
              </m:rPr>
              <w:rPr>
                <w:rFonts w:ascii="Cambria Math" w:hAnsi="Cambria Math"/>
                <w:sz w:val="28"/>
              </w:rPr>
              <m:t>ts</m:t>
            </m:r>
            <m:ctrlPr>
              <w:rPr>
                <w:rFonts w:ascii="Cambria Math" w:hAnsi="Cambria Math"/>
                <w:sz w:val="28"/>
              </w:rPr>
            </m:ctrlPr>
          </m:sub>
        </m:sSub>
        <m:r>
          <m:rPr>
            <m:sty m:val="p"/>
          </m:rPr>
          <w:rPr>
            <w:rFonts w:ascii="Cambria Math" w:hAnsi="Cambria Math"/>
            <w:sz w:val="28"/>
          </w:rPr>
          <m:t>=</m:t>
        </m:r>
        <m:f>
          <m:fPr>
            <m:ctrlPr>
              <w:rPr>
                <w:rFonts w:ascii="Cambria Math" w:hAnsi="Cambria Math"/>
                <w:sz w:val="28"/>
              </w:rPr>
            </m:ctrlPr>
          </m:fPr>
          <m:num>
            <m:sSub>
              <m:sSubPr>
                <m:ctrlPr>
                  <w:rPr>
                    <w:rFonts w:ascii="Cambria Math" w:hAnsi="Cambria Math"/>
                    <w:sz w:val="28"/>
                  </w:rPr>
                </m:ctrlPr>
              </m:sSubPr>
              <m:e>
                <m:r>
                  <m:rPr>
                    <m:sty m:val="p"/>
                  </m:rPr>
                  <w:rPr>
                    <w:rFonts w:ascii="Cambria Math" w:hAnsi="Cambria Math"/>
                    <w:sz w:val="28"/>
                  </w:rPr>
                  <m:t>m</m:t>
                </m:r>
                <m:ctrlPr>
                  <w:rPr>
                    <w:rFonts w:ascii="Cambria Math" w:hAnsi="Cambria Math"/>
                    <w:sz w:val="28"/>
                  </w:rPr>
                </m:ctrlPr>
              </m:e>
              <m:sub>
                <m:r>
                  <m:rPr/>
                  <w:rPr>
                    <w:rFonts w:ascii="Cambria Math" w:hAnsi="Cambria Math"/>
                    <w:sz w:val="28"/>
                  </w:rPr>
                  <m:t>ts</m:t>
                </m:r>
                <m:ctrlPr>
                  <w:rPr>
                    <w:rFonts w:ascii="Cambria Math" w:hAnsi="Cambria Math"/>
                    <w:sz w:val="28"/>
                  </w:rPr>
                </m:ctrlPr>
              </m:sub>
            </m:sSub>
            <m:ctrlPr>
              <w:rPr>
                <w:rFonts w:ascii="Cambria Math" w:hAnsi="Cambria Math"/>
                <w:sz w:val="28"/>
              </w:rPr>
            </m:ctrlPr>
          </m:num>
          <m:den>
            <m:r>
              <m:rPr>
                <m:sty m:val="p"/>
              </m:rPr>
              <w:rPr>
                <w:rFonts w:ascii="Cambria Math" w:hAnsi="Cambria Math"/>
                <w:sz w:val="28"/>
              </w:rPr>
              <m:t>m</m:t>
            </m:r>
            <m:ctrlPr>
              <w:rPr>
                <w:rFonts w:ascii="Cambria Math" w:hAnsi="Cambria Math"/>
                <w:sz w:val="28"/>
              </w:rPr>
            </m:ctrlPr>
          </m:den>
        </m:f>
        <m:r>
          <m:rPr/>
          <w:rPr>
            <w:rFonts w:ascii="Cambria Math" w:hAnsi="Cambria Math"/>
            <w:sz w:val="28"/>
          </w:rPr>
          <m:t>×100%</m:t>
        </m:r>
      </m:oMath>
      <w:r>
        <w:rPr>
          <w:rFonts w:eastAsia="黑体"/>
          <w:kern w:val="0"/>
          <w:szCs w:val="20"/>
        </w:rPr>
        <w:t>……………</w:t>
      </w:r>
      <w:r>
        <w:rPr>
          <w:kern w:val="0"/>
          <w:szCs w:val="20"/>
        </w:rPr>
        <w:t>（A.5）</w:t>
      </w:r>
    </w:p>
    <w:p>
      <w:pPr>
        <w:widowControl/>
        <w:adjustRightInd w:val="0"/>
        <w:snapToGrid w:val="0"/>
        <w:spacing w:before="156" w:beforeLines="50" w:line="360" w:lineRule="auto"/>
        <w:ind w:firstLine="420" w:firstLineChars="200"/>
        <w:rPr>
          <w:szCs w:val="21"/>
          <w:lang w:val="be-BY"/>
        </w:rPr>
      </w:pPr>
      <w:r>
        <w:rPr>
          <w:szCs w:val="21"/>
        </w:rPr>
        <w:t>式中</w:t>
      </w:r>
      <w:r>
        <w:rPr>
          <w:szCs w:val="21"/>
          <w:lang w:val="be-BY"/>
        </w:rPr>
        <w:t>：</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r</w:t>
      </w:r>
      <w:r>
        <w:rPr>
          <w:color w:val="000000"/>
          <w:kern w:val="0"/>
          <w:szCs w:val="21"/>
          <w:vertAlign w:val="subscript"/>
        </w:rPr>
        <w:t>ts</w:t>
      </w:r>
      <w:r>
        <w:rPr>
          <w:color w:val="000000"/>
          <w:kern w:val="0"/>
          <w:szCs w:val="21"/>
        </w:rPr>
        <w:t>—电弧炉兑铁水比例，用质量百分数（%）表示；</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m</w:t>
      </w:r>
      <w:r>
        <w:rPr>
          <w:color w:val="000000"/>
          <w:szCs w:val="21"/>
          <w:vertAlign w:val="subscript"/>
          <w:lang w:val="be-BY"/>
        </w:rPr>
        <w:t>ts</w:t>
      </w:r>
      <w:r>
        <w:rPr>
          <w:color w:val="000000"/>
          <w:kern w:val="0"/>
          <w:szCs w:val="21"/>
        </w:rPr>
        <w:t>—统计期内电炉钢冶炼兑入铁水量，单位为（t）；</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m</w:t>
      </w:r>
      <w:r>
        <w:rPr>
          <w:color w:val="000000"/>
          <w:kern w:val="0"/>
          <w:szCs w:val="21"/>
        </w:rPr>
        <w:t>—钢铁料总量，单位为吨（t）。</w:t>
      </w:r>
    </w:p>
    <w:p>
      <w:pPr>
        <w:widowControl/>
        <w:jc w:val="left"/>
        <w:rPr>
          <w:rFonts w:eastAsia="黑体"/>
        </w:rPr>
      </w:pPr>
      <w:r>
        <w:rPr>
          <w:rFonts w:eastAsia="黑体"/>
        </w:rPr>
        <w:br w:type="page"/>
      </w:r>
    </w:p>
    <w:p>
      <w:pPr>
        <w:keepNext/>
        <w:widowControl/>
        <w:shd w:val="clear" w:color="FFFFFF" w:fill="FFFFFF"/>
        <w:tabs>
          <w:tab w:val="left" w:pos="360"/>
          <w:tab w:val="left" w:pos="6405"/>
        </w:tabs>
        <w:spacing w:before="640" w:after="280"/>
        <w:jc w:val="center"/>
        <w:outlineLvl w:val="0"/>
        <w:rPr>
          <w:rFonts w:eastAsia="黑体"/>
          <w:kern w:val="0"/>
          <w:szCs w:val="20"/>
        </w:rPr>
      </w:pPr>
      <w:r>
        <w:rPr>
          <w:rFonts w:eastAsia="黑体"/>
          <w:kern w:val="0"/>
          <w:szCs w:val="20"/>
        </w:rPr>
        <w:t>附录B</w:t>
      </w:r>
      <w:r>
        <w:rPr>
          <w:rFonts w:eastAsia="黑体"/>
          <w:kern w:val="0"/>
          <w:szCs w:val="20"/>
        </w:rPr>
        <w:br w:type="textWrapping"/>
      </w:r>
      <w:r>
        <w:rPr>
          <w:rFonts w:eastAsia="黑体"/>
          <w:kern w:val="0"/>
          <w:szCs w:val="20"/>
        </w:rPr>
        <w:t>（规范性）</w:t>
      </w:r>
      <w:r>
        <w:rPr>
          <w:rFonts w:eastAsia="黑体"/>
          <w:kern w:val="0"/>
          <w:szCs w:val="20"/>
        </w:rPr>
        <w:br w:type="textWrapping"/>
      </w:r>
      <w:r>
        <w:rPr>
          <w:rFonts w:eastAsia="黑体"/>
          <w:kern w:val="0"/>
          <w:szCs w:val="20"/>
        </w:rPr>
        <w:t>特殊用途热轧圆钢生命周期评价方法框架</w:t>
      </w:r>
    </w:p>
    <w:p>
      <w:pPr>
        <w:widowControl/>
        <w:adjustRightInd w:val="0"/>
        <w:snapToGrid w:val="0"/>
        <w:spacing w:before="156" w:beforeLines="50" w:line="360" w:lineRule="auto"/>
        <w:outlineLvl w:val="2"/>
        <w:rPr>
          <w:rFonts w:eastAsia="黑体"/>
          <w:kern w:val="0"/>
          <w:szCs w:val="20"/>
        </w:rPr>
      </w:pPr>
      <w:r>
        <w:rPr>
          <w:rFonts w:eastAsia="黑体"/>
          <w:kern w:val="0"/>
          <w:szCs w:val="20"/>
        </w:rPr>
        <w:t>B.1 目的</w:t>
      </w:r>
    </w:p>
    <w:p>
      <w:pPr>
        <w:ind w:firstLine="420" w:firstLineChars="200"/>
      </w:pPr>
      <w:r>
        <w:t>特殊用途热轧圆钢原料的获取、生产、运输、销售、使用到最终废弃处理的过程中对环境造成的影响，通过评价特殊用途热轧圆钢全生命周期的环境影响大小，提出特殊用途热轧圆钢绿色设计改进方案，从而大幅提升其生态友好性。</w:t>
      </w:r>
    </w:p>
    <w:p>
      <w:pPr>
        <w:widowControl/>
        <w:adjustRightInd w:val="0"/>
        <w:snapToGrid w:val="0"/>
        <w:spacing w:before="156" w:beforeLines="50" w:line="360" w:lineRule="auto"/>
        <w:outlineLvl w:val="2"/>
        <w:rPr>
          <w:rFonts w:eastAsia="黑体"/>
          <w:kern w:val="0"/>
          <w:szCs w:val="20"/>
        </w:rPr>
      </w:pPr>
      <w:r>
        <w:rPr>
          <w:rFonts w:eastAsia="黑体"/>
          <w:kern w:val="0"/>
          <w:szCs w:val="20"/>
        </w:rPr>
        <w:t>B.2 范围</w:t>
      </w:r>
    </w:p>
    <w:p>
      <w:pPr>
        <w:ind w:firstLine="420" w:firstLineChars="200"/>
      </w:pPr>
      <w:r>
        <w:t>应根据评价目的确定评价范围，确保两者相适应。定义生命周期评价范围时，应考虑以下内容并作出清晰描述：</w:t>
      </w:r>
    </w:p>
    <w:p>
      <w:pPr>
        <w:rPr>
          <w:rFonts w:eastAsia="黑体"/>
        </w:rPr>
      </w:pPr>
      <w:r>
        <w:rPr>
          <w:rFonts w:eastAsia="黑体"/>
        </w:rPr>
        <w:t>B.2.1 功能单位</w:t>
      </w:r>
    </w:p>
    <w:p>
      <w:pPr>
        <w:ind w:firstLine="420" w:firstLineChars="200"/>
      </w:pPr>
      <w:r>
        <w:t>功能单位必须是明确规定并且可测量的。本文件以1吨特殊用途热轧圆钢为功能单位来表示。同时考虑具体功能、使用寿命、是否包括包装材料等。</w:t>
      </w:r>
    </w:p>
    <w:p>
      <w:pPr>
        <w:rPr>
          <w:rFonts w:eastAsia="黑体"/>
        </w:rPr>
      </w:pPr>
      <w:r>
        <w:rPr>
          <w:rFonts w:eastAsia="黑体"/>
        </w:rPr>
        <w:t xml:space="preserve">B.2.2 系统边界 </w:t>
      </w:r>
    </w:p>
    <w:p>
      <w:pPr>
        <w:ind w:firstLine="420" w:firstLineChars="200"/>
      </w:pPr>
      <w:r>
        <w:t>本文件界定的特殊用途热轧圆钢生命周期系统边界，包括三个阶段：原材料获取阶段、生产阶段（高炉-转炉生产工艺和电炉生产工艺）及验收阶段，如图B.1、图B.2所示，具体包括如下过程：</w:t>
      </w:r>
    </w:p>
    <w:p>
      <w:pPr>
        <w:jc w:val="center"/>
        <w:rPr>
          <w:rFonts w:eastAsia="黑体"/>
          <w:sz w:val="18"/>
          <w:szCs w:val="18"/>
        </w:rPr>
      </w:pPr>
      <w:r>
        <w:rPr>
          <w:rFonts w:eastAsia="黑体"/>
          <w:sz w:val="18"/>
          <w:szCs w:val="18"/>
        </w:rPr>
        <w:drawing>
          <wp:inline distT="0" distB="0" distL="0" distR="0">
            <wp:extent cx="6149340" cy="2143125"/>
            <wp:effectExtent l="0" t="0" r="381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168179" cy="2150152"/>
                    </a:xfrm>
                    <a:prstGeom prst="rect">
                      <a:avLst/>
                    </a:prstGeom>
                    <a:noFill/>
                  </pic:spPr>
                </pic:pic>
              </a:graphicData>
            </a:graphic>
          </wp:inline>
        </w:drawing>
      </w:r>
    </w:p>
    <w:p>
      <w:pPr>
        <w:jc w:val="center"/>
        <w:rPr>
          <w:rFonts w:eastAsia="黑体"/>
          <w:sz w:val="18"/>
          <w:szCs w:val="18"/>
        </w:rPr>
      </w:pPr>
      <w:r>
        <w:rPr>
          <w:rFonts w:eastAsia="黑体"/>
          <w:sz w:val="18"/>
          <w:szCs w:val="18"/>
        </w:rPr>
        <w:t>图B.1 特殊用途热轧圆钢生命周期系统边界示意图（高炉-转炉生产工艺）</w:t>
      </w:r>
    </w:p>
    <w:p>
      <w:pPr>
        <w:jc w:val="center"/>
        <w:rPr>
          <w:sz w:val="18"/>
          <w:szCs w:val="18"/>
        </w:rPr>
      </w:pPr>
      <w:r>
        <w:rPr>
          <w:sz w:val="18"/>
          <w:szCs w:val="18"/>
        </w:rPr>
        <w:drawing>
          <wp:inline distT="0" distB="0" distL="0" distR="0">
            <wp:extent cx="4699000" cy="2309495"/>
            <wp:effectExtent l="0" t="0" r="635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739421" cy="2329493"/>
                    </a:xfrm>
                    <a:prstGeom prst="rect">
                      <a:avLst/>
                    </a:prstGeom>
                    <a:noFill/>
                  </pic:spPr>
                </pic:pic>
              </a:graphicData>
            </a:graphic>
          </wp:inline>
        </w:drawing>
      </w:r>
    </w:p>
    <w:p>
      <w:pPr>
        <w:jc w:val="center"/>
        <w:rPr>
          <w:rFonts w:eastAsia="黑体"/>
          <w:sz w:val="18"/>
          <w:szCs w:val="18"/>
        </w:rPr>
      </w:pPr>
      <w:r>
        <w:rPr>
          <w:rFonts w:eastAsia="黑体"/>
          <w:sz w:val="18"/>
          <w:szCs w:val="18"/>
        </w:rPr>
        <w:t>图B.2 特殊用途热轧圆钢生命周期系统边界示意图（电炉生产工艺）</w:t>
      </w:r>
    </w:p>
    <w:p>
      <w:pPr>
        <w:ind w:firstLine="420" w:firstLineChars="200"/>
      </w:pPr>
      <w:r>
        <w:t>生命周期评价研究的时间应在规定的期限内。数据应反映具有代表性的时期（取最近三年内有效值）。如果未能取到三年内有效值，应做具体说明。</w:t>
      </w:r>
    </w:p>
    <w:p>
      <w:pPr>
        <w:ind w:firstLine="420" w:firstLineChars="200"/>
      </w:pPr>
      <w:r>
        <w:t>原材料数据应是在参与产品的生产和使用的地点/地区。</w:t>
      </w:r>
    </w:p>
    <w:p>
      <w:pPr>
        <w:ind w:firstLine="420" w:firstLineChars="200"/>
      </w:pPr>
      <w:r>
        <w:t>生产过程数据应是在最终产品的生产中所涉及的地点/地区。</w:t>
      </w:r>
    </w:p>
    <w:p>
      <w:pPr>
        <w:rPr>
          <w:rFonts w:eastAsia="黑体"/>
        </w:rPr>
      </w:pPr>
      <w:r>
        <w:rPr>
          <w:rFonts w:eastAsia="黑体"/>
        </w:rPr>
        <w:t>B.2.3 数据取舍原则</w:t>
      </w:r>
    </w:p>
    <w:p>
      <w:pPr>
        <w:ind w:firstLine="420" w:firstLineChars="200"/>
      </w:pPr>
      <w:r>
        <w:t>单元过程数据种类很多，应对数据进行适当的取舍，原则如下：</w:t>
      </w:r>
    </w:p>
    <w:p>
      <w:pPr>
        <w:ind w:firstLine="420" w:firstLineChars="200"/>
      </w:pPr>
      <w:r>
        <w:t>——能源的所有输入均列出；</w:t>
      </w:r>
    </w:p>
    <w:p>
      <w:pPr>
        <w:ind w:firstLine="420" w:firstLineChars="200"/>
      </w:pPr>
      <w:r>
        <w:t>——原料的所有输入均列出；</w:t>
      </w:r>
    </w:p>
    <w:p>
      <w:pPr>
        <w:ind w:firstLine="420" w:firstLineChars="200"/>
      </w:pPr>
      <w:r>
        <w:t>——辅助材料质量小于原来总消耗0.1%的项目输入可忽略；</w:t>
      </w:r>
    </w:p>
    <w:p>
      <w:pPr>
        <w:ind w:firstLine="420" w:firstLineChars="200"/>
      </w:pPr>
      <w:r>
        <w:t>——大气、水体的各种排放均列出；</w:t>
      </w:r>
    </w:p>
    <w:p>
      <w:pPr>
        <w:ind w:firstLine="420" w:firstLineChars="200"/>
      </w:pPr>
      <w:r>
        <w:t>——小于固体废弃物排放总量1%的一般性固体废弃物可忽略；</w:t>
      </w:r>
    </w:p>
    <w:p>
      <w:pPr>
        <w:ind w:firstLine="420" w:firstLineChars="200"/>
      </w:pPr>
      <w:r>
        <w:t>——道路与厂房的基础设施、各工序的设备、厂区内人员及生活设施的消耗和排放，均忽略；</w:t>
      </w:r>
    </w:p>
    <w:p>
      <w:pPr>
        <w:ind w:firstLine="420" w:firstLineChars="200"/>
      </w:pPr>
      <w:r>
        <w:t>——取舍原则不适用于有毒有害物质，任何有毒有害的材料和物质均应包含于清单中，不可忽略。</w:t>
      </w:r>
    </w:p>
    <w:p>
      <w:pPr>
        <w:widowControl/>
        <w:adjustRightInd w:val="0"/>
        <w:snapToGrid w:val="0"/>
        <w:spacing w:before="156" w:beforeLines="50" w:line="360" w:lineRule="auto"/>
        <w:outlineLvl w:val="2"/>
        <w:rPr>
          <w:rFonts w:eastAsia="黑体"/>
          <w:kern w:val="0"/>
          <w:szCs w:val="20"/>
        </w:rPr>
      </w:pPr>
      <w:r>
        <w:rPr>
          <w:rFonts w:eastAsia="黑体"/>
          <w:kern w:val="0"/>
          <w:szCs w:val="20"/>
        </w:rPr>
        <w:t>B.3 生命周期清单分析</w:t>
      </w:r>
    </w:p>
    <w:p>
      <w:pPr>
        <w:rPr>
          <w:rFonts w:eastAsia="黑体"/>
        </w:rPr>
      </w:pPr>
      <w:r>
        <w:rPr>
          <w:rFonts w:eastAsia="黑体"/>
        </w:rPr>
        <w:t>B.3.1 总则</w:t>
      </w:r>
    </w:p>
    <w:p>
      <w:pPr>
        <w:ind w:firstLine="420" w:firstLineChars="200"/>
      </w:pPr>
      <w:r>
        <w:t>应编制特殊用途热轧圆钢系统边界内的所有材料/能源输入、输出清单，作为产品生命周期评价的依据。如果数据清单有特殊情况、异常点或其它问题，应在报告中进行明确说明。</w:t>
      </w:r>
    </w:p>
    <w:p>
      <w:pPr>
        <w:ind w:firstLine="420" w:firstLineChars="200"/>
      </w:pPr>
      <w:r>
        <w:t>当数据收集完成后，应对收集的数据进行审定。然后，确定每个单元过程的基本流，并据此计算出单元过程的定量输入和输出。此后，将各个单元过程的输入输出数据除以产品的产量，得到功能单位（即1吨特殊用途热轧圆钢产品）的资源消耗和环境排放。最后，将产品各单元过程中相同影响因素的数据求和，以获取该影响因素的总量，为产品级的影响评价提供必要的数据。</w:t>
      </w:r>
    </w:p>
    <w:p>
      <w:pPr>
        <w:rPr>
          <w:rFonts w:eastAsia="黑体"/>
        </w:rPr>
      </w:pPr>
      <w:r>
        <w:rPr>
          <w:rFonts w:eastAsia="黑体"/>
        </w:rPr>
        <w:t xml:space="preserve">B.3.2 数据收集 </w:t>
      </w:r>
    </w:p>
    <w:p>
      <w:pPr>
        <w:rPr>
          <w:rFonts w:eastAsia="黑体"/>
        </w:rPr>
      </w:pPr>
      <w:r>
        <w:rPr>
          <w:rFonts w:eastAsia="黑体"/>
        </w:rPr>
        <w:t>B.3.2.1 概况</w:t>
      </w:r>
    </w:p>
    <w:p>
      <w:pPr>
        <w:ind w:firstLine="420" w:firstLineChars="200"/>
      </w:pPr>
      <w:r>
        <w:t>应将以下要素纳入数据清单：</w:t>
      </w:r>
    </w:p>
    <w:p>
      <w:pPr>
        <w:ind w:firstLine="420" w:firstLineChars="200"/>
      </w:pPr>
      <w:r>
        <w:t>——原材料采购和预加工；</w:t>
      </w:r>
    </w:p>
    <w:p>
      <w:pPr>
        <w:ind w:firstLine="420" w:firstLineChars="200"/>
      </w:pPr>
      <w:r>
        <w:t>——生产；</w:t>
      </w:r>
    </w:p>
    <w:p>
      <w:pPr>
        <w:ind w:firstLine="420" w:firstLineChars="200"/>
      </w:pPr>
      <w:r>
        <w:t>基于生命周期评价的信息中要使用的数据可分为两类：现场数据和背景数据。主要数据尽量使用现场数据，如果“现场数据”收集缺乏，可以选择“背景数据”。</w:t>
      </w:r>
    </w:p>
    <w:p>
      <w:pPr>
        <w:ind w:firstLine="420" w:firstLineChars="200"/>
      </w:pPr>
      <w:r>
        <w:t>现场数据是在现场具体操作过程中收集来的。主要包括生产过程的能源与水资源消耗、产品原料的使用量等等。</w:t>
      </w:r>
    </w:p>
    <w:p>
      <w:pPr>
        <w:ind w:firstLine="420" w:firstLineChars="200"/>
      </w:pPr>
      <w:r>
        <w:t>背景数据应当包括主要原料的生产数据、电力使用数据（如火力、水、风力发电等）、过程中造成的环境影响以及特殊用途热轧圆钢生产过程的排放数据。</w:t>
      </w:r>
    </w:p>
    <w:p>
      <w:pPr>
        <w:rPr>
          <w:rFonts w:eastAsia="黑体"/>
        </w:rPr>
      </w:pPr>
      <w:r>
        <w:rPr>
          <w:rFonts w:eastAsia="黑体"/>
        </w:rPr>
        <w:t>B.3.2.2 现场数据采集</w:t>
      </w:r>
    </w:p>
    <w:p>
      <w:pPr>
        <w:ind w:firstLine="420" w:firstLineChars="200"/>
      </w:pPr>
      <w: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pPr>
      <w:r>
        <w:t>现场数据的质量要求包括：</w:t>
      </w:r>
    </w:p>
    <w:p>
      <w:pPr>
        <w:ind w:firstLine="420" w:firstLineChars="200"/>
      </w:pPr>
      <w:r>
        <w:t>a) 代表性：现场数据应按照企业生产单元收集所确定范围内的生产统计数据。</w:t>
      </w:r>
    </w:p>
    <w:p>
      <w:pPr>
        <w:ind w:firstLine="420" w:firstLineChars="200"/>
      </w:pPr>
      <w:r>
        <w:t>b) 完整性：现场数据应采集完整的生命周期要求数据。</w:t>
      </w:r>
    </w:p>
    <w:p>
      <w:pPr>
        <w:ind w:firstLine="420" w:firstLineChars="200"/>
      </w:pPr>
      <w:r>
        <w:t>c) 准确性：现场数据中的资源、能源、原材料消耗数据应该来自于生产单元的实际生产统计记录；环境排放数据优先选择相关的环境监测报告，或由排污因子或物料平衡公式计算获得。所有现场数据均须转换为单位产品，即1吨特殊用途热轧圆钢为基准折算，且需要详细记录相关的原始数据、数据来源、计算过程等。</w:t>
      </w:r>
    </w:p>
    <w:p>
      <w:pPr>
        <w:ind w:firstLine="420" w:firstLineChars="200"/>
      </w:pPr>
      <w:r>
        <w:t>d) 一致性：企业现场数据收集时应保持相同的数据来源、统计口径、处理规则等。</w:t>
      </w:r>
    </w:p>
    <w:p>
      <w:pPr>
        <w:ind w:firstLine="420" w:firstLineChars="200"/>
      </w:pPr>
      <w:r>
        <w:t>典型现场数据来源包括：</w:t>
      </w:r>
    </w:p>
    <w:p>
      <w:pPr>
        <w:ind w:firstLine="420" w:firstLineChars="200"/>
      </w:pPr>
      <w:r>
        <w:t>1) 原材料采购和预处理；</w:t>
      </w:r>
    </w:p>
    <w:p>
      <w:pPr>
        <w:ind w:firstLine="420" w:firstLineChars="200"/>
      </w:pPr>
      <w:r>
        <w:t>2) 产品生产过程能源消耗和污染物排放数据；</w:t>
      </w:r>
    </w:p>
    <w:p>
      <w:pPr>
        <w:ind w:firstLine="420" w:firstLineChars="200"/>
      </w:pPr>
      <w:r>
        <w:t>3) 生产统计报表，搜集原材料分配及用量数据；</w:t>
      </w:r>
    </w:p>
    <w:p>
      <w:pPr>
        <w:ind w:firstLine="420" w:firstLineChars="200"/>
      </w:pPr>
      <w:r>
        <w:t>4) 设备仪表的计量数据。</w:t>
      </w:r>
    </w:p>
    <w:p>
      <w:pPr>
        <w:rPr>
          <w:rFonts w:eastAsia="黑体"/>
        </w:rPr>
      </w:pPr>
      <w:r>
        <w:rPr>
          <w:rFonts w:eastAsia="黑体"/>
        </w:rPr>
        <w:t>B.3.2.3 背景数据采集</w:t>
      </w:r>
    </w:p>
    <w:p>
      <w:pPr>
        <w:ind w:firstLine="420" w:firstLineChars="200"/>
      </w:pPr>
      <w: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pPr>
        <w:ind w:firstLine="420" w:firstLineChars="200"/>
      </w:pPr>
      <w:r>
        <w:t>背景数据的质量要求包括：</w:t>
      </w:r>
    </w:p>
    <w:p>
      <w:pPr>
        <w:ind w:firstLine="420" w:firstLineChars="200"/>
      </w:pPr>
      <w:r>
        <w:t>a) 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pPr>
        <w:ind w:firstLine="420" w:firstLineChars="200"/>
      </w:pPr>
      <w:r>
        <w:t>b) 完整性：背景数据的系统边界应该从资源开采到这些原辅材料或能源产品出厂为止。</w:t>
      </w:r>
    </w:p>
    <w:p>
      <w:pPr>
        <w:ind w:firstLine="420" w:firstLineChars="200"/>
      </w:pPr>
      <w:r>
        <w:t>c) 一致性：所有被选择的背景数据应完整覆盖本文件确定的生命周期清单因子，并且应将背景数据转换为一致的物质名录后再进行计算。同一第三方机构对同类产品生命周期评价的背景数据选择应该保持一致，如果背景数据更新，则生命周期评价报告也应更新。</w:t>
      </w:r>
    </w:p>
    <w:p>
      <w:pPr>
        <w:rPr>
          <w:rFonts w:eastAsia="黑体"/>
        </w:rPr>
      </w:pPr>
      <w:r>
        <w:rPr>
          <w:rFonts w:eastAsia="黑体"/>
        </w:rPr>
        <w:t>B.3.2.4 原材料采购和预加工（从摇篮到大门）</w:t>
      </w:r>
    </w:p>
    <w:p>
      <w:pPr>
        <w:ind w:firstLine="420" w:firstLineChars="200"/>
      </w:pPr>
      <w:r>
        <w:t>该阶段始于从大自然提取资源，结束于特殊用途热轧圆钢产品原料进入产品生产设施，包括:</w:t>
      </w:r>
    </w:p>
    <w:p>
      <w:pPr>
        <w:ind w:firstLine="420" w:firstLineChars="200"/>
      </w:pPr>
      <w:r>
        <w:t>a) 开采和提取；</w:t>
      </w:r>
    </w:p>
    <w:p>
      <w:pPr>
        <w:ind w:firstLine="420" w:firstLineChars="200"/>
      </w:pPr>
      <w:r>
        <w:t>b) 所有材料的预加工，例如铁矿采选与废钢分选等；</w:t>
      </w:r>
    </w:p>
    <w:p>
      <w:pPr>
        <w:ind w:firstLine="420" w:firstLineChars="200"/>
      </w:pPr>
      <w:r>
        <w:t>c) 转换回收的剩余材料；</w:t>
      </w:r>
    </w:p>
    <w:p>
      <w:pPr>
        <w:ind w:firstLine="420" w:firstLineChars="200"/>
      </w:pPr>
      <w:r>
        <w:t>d) 提取或与加工设施内部或与加工设施之间的运输。</w:t>
      </w:r>
    </w:p>
    <w:p>
      <w:pPr>
        <w:rPr>
          <w:rFonts w:eastAsia="黑体"/>
        </w:rPr>
      </w:pPr>
      <w:r>
        <w:rPr>
          <w:rFonts w:eastAsia="黑体"/>
        </w:rPr>
        <w:t>B.3.2.5 生产阶段</w:t>
      </w:r>
    </w:p>
    <w:p>
      <w:pPr>
        <w:ind w:firstLine="420" w:firstLineChars="200"/>
      </w:pPr>
      <w:r>
        <w:t>该阶段始于特殊用途热轧圆钢产品原料进入生产设施，结束于产品离开生产设施。生产活动包括化学处理、制造、制造过程中半成品的运输、产品包装等。此过程涵盖高炉-转炉生产工艺和电炉生产工艺中的情形。</w:t>
      </w:r>
    </w:p>
    <w:p>
      <w:pPr>
        <w:rPr>
          <w:rFonts w:eastAsia="黑体"/>
        </w:rPr>
      </w:pPr>
      <w:r>
        <w:rPr>
          <w:rFonts w:eastAsia="黑体"/>
        </w:rPr>
        <w:t>B.3.3 数据计算</w:t>
      </w:r>
    </w:p>
    <w:p>
      <w:pPr>
        <w:ind w:firstLine="420" w:firstLineChars="200"/>
      </w:pPr>
      <w:r>
        <w:t>数据收集后，应对所收集数据的有效性进行检查，确保数据符合质量要求。将收集的数据与单元过程进行关联，同时与功能单位的基本流进行关联。</w:t>
      </w:r>
    </w:p>
    <w:p>
      <w:pPr>
        <w:ind w:firstLine="420" w:firstLineChars="200"/>
      </w:pPr>
      <w:r>
        <w:t>合并来自相同数据类型、相同物质、不同单元过程的数据，以得到整个产品系统的能源消耗、原材料消耗以及空气排放、水体排放数据。</w:t>
      </w:r>
    </w:p>
    <w:p>
      <w:pPr>
        <w:rPr>
          <w:rFonts w:eastAsia="黑体"/>
        </w:rPr>
      </w:pPr>
      <w:r>
        <w:rPr>
          <w:rFonts w:eastAsia="黑体"/>
        </w:rPr>
        <w:t>B.3.4 数据分配</w:t>
      </w:r>
    </w:p>
    <w:p>
      <w:pPr>
        <w:ind w:firstLine="420" w:firstLineChars="200"/>
      </w:pPr>
      <w:r>
        <w:t>在进行特殊用途热轧圆钢生命周期评价的过程中涉及到数据分配问题，特别是特殊用途热轧圆钢的生产环节。对于特殊用途热轧圆钢生产而言，由于厂家往往同时生产多种类型的产品，一条工艺线上或一个车间里可能会同时生产多种型号特殊用途热轧圆钢。很难就某单个型号的产品生产来收集清单数据，往往会就某个车间、某条流水线或某个工艺来收集数据，然后再分配到具体的产品上。针对特殊用途热轧圆钢生产阶段，因生产的产品主要成分比较一致，因此本文件选取“重量分配”作为分摊的比例，即重量越大的产品，其分摊额度就越大。</w:t>
      </w:r>
    </w:p>
    <w:p>
      <w:pPr>
        <w:rPr>
          <w:rFonts w:eastAsia="黑体"/>
        </w:rPr>
      </w:pPr>
      <w:r>
        <w:rPr>
          <w:rFonts w:eastAsia="黑体"/>
        </w:rPr>
        <w:t>B.3.5 数据质量要求</w:t>
      </w:r>
    </w:p>
    <w:p>
      <w:pPr>
        <w:ind w:firstLine="420" w:firstLineChars="200"/>
      </w:pPr>
      <w:r>
        <w:t>数据质量应遵循以下原则和要求：</w:t>
      </w:r>
    </w:p>
    <w:p>
      <w:pPr>
        <w:ind w:firstLine="420" w:firstLineChars="200"/>
      </w:pPr>
      <w:r>
        <w:t>a）完整性：充足的样本、合适的期间；</w:t>
      </w:r>
    </w:p>
    <w:p>
      <w:pPr>
        <w:ind w:firstLine="420" w:firstLineChars="200"/>
      </w:pPr>
      <w:r>
        <w:t>b）可信度：数据根据测量、校验得到；</w:t>
      </w:r>
    </w:p>
    <w:p>
      <w:pPr>
        <w:ind w:firstLine="420" w:firstLineChars="200"/>
      </w:pPr>
      <w:r>
        <w:t>c）时间相关：与评价目标时间差别小于3年；</w:t>
      </w:r>
    </w:p>
    <w:p>
      <w:pPr>
        <w:ind w:firstLine="420" w:firstLineChars="200"/>
      </w:pPr>
      <w:r>
        <w:t>d）地理相关：来自研究区域的数据；</w:t>
      </w:r>
    </w:p>
    <w:p>
      <w:pPr>
        <w:ind w:firstLine="420" w:firstLineChars="200"/>
      </w:pPr>
      <w:r>
        <w:t>e）技术相关：从研究的企业工艺过程和材料得到数据。</w:t>
      </w:r>
    </w:p>
    <w:p>
      <w:pPr>
        <w:widowControl/>
        <w:adjustRightInd w:val="0"/>
        <w:snapToGrid w:val="0"/>
        <w:spacing w:before="156" w:beforeLines="50" w:line="360" w:lineRule="auto"/>
        <w:outlineLvl w:val="2"/>
        <w:rPr>
          <w:rFonts w:eastAsia="黑体"/>
          <w:kern w:val="0"/>
          <w:szCs w:val="20"/>
        </w:rPr>
      </w:pPr>
      <w:r>
        <w:rPr>
          <w:rFonts w:eastAsia="黑体"/>
          <w:kern w:val="0"/>
          <w:szCs w:val="20"/>
        </w:rPr>
        <w:t>B.4 生命周期影响评价</w:t>
      </w:r>
    </w:p>
    <w:p>
      <w:pPr>
        <w:rPr>
          <w:rFonts w:eastAsia="黑体"/>
        </w:rPr>
      </w:pPr>
      <w:r>
        <w:rPr>
          <w:rFonts w:eastAsia="黑体"/>
        </w:rPr>
        <w:t>B.4.1 数据分析</w:t>
      </w:r>
    </w:p>
    <w:p>
      <w:pPr>
        <w:autoSpaceDE w:val="0"/>
        <w:autoSpaceDN w:val="0"/>
        <w:adjustRightInd w:val="0"/>
        <w:spacing w:before="156" w:after="156"/>
        <w:ind w:firstLine="420" w:firstLineChars="200"/>
        <w:jc w:val="left"/>
        <w:rPr>
          <w:color w:val="000000"/>
          <w:kern w:val="0"/>
          <w:szCs w:val="21"/>
        </w:rPr>
      </w:pPr>
      <w:r>
        <w:rPr>
          <w:color w:val="000000"/>
          <w:kern w:val="0"/>
          <w:szCs w:val="21"/>
        </w:rPr>
        <w:t>参照附录中表C.1~表</w:t>
      </w:r>
      <w:r>
        <w:rPr>
          <w:kern w:val="0"/>
          <w:szCs w:val="21"/>
        </w:rPr>
        <w:t>C.6</w:t>
      </w:r>
      <w:r>
        <w:rPr>
          <w:color w:val="000000"/>
          <w:kern w:val="0"/>
          <w:szCs w:val="21"/>
        </w:rPr>
        <w:t>对应需要的数据进行填报：</w:t>
      </w:r>
    </w:p>
    <w:p>
      <w:pPr>
        <w:ind w:firstLine="420" w:firstLineChars="200"/>
      </w:pPr>
      <w:r>
        <w:t>a) 现场数据可通过企业调研、采样监测等途径进行收集，所收集的数据要求为企业三年内平均统计数据，并能够反映企业的实际生产水平。企业根据自身工艺路线情况在表中相应位置填写即可。</w:t>
      </w:r>
    </w:p>
    <w:p>
      <w:pPr>
        <w:ind w:firstLine="420" w:firstLineChars="200"/>
      </w:pPr>
      <w:r>
        <w:t>b) 从实际调研过程中无法获得的数据，即背景数据，采用相关数据库进行替代，在这一步骤中所涉及到的单元过程包括特殊用途热轧圆钢行业相关原材料生产、能源消耗以及产品的制造加工等。</w:t>
      </w:r>
    </w:p>
    <w:p>
      <w:pPr>
        <w:rPr>
          <w:rFonts w:eastAsia="黑体"/>
        </w:rPr>
      </w:pPr>
      <w:r>
        <w:rPr>
          <w:rFonts w:eastAsia="黑体"/>
        </w:rPr>
        <w:t>B.4.2 清单分析</w:t>
      </w:r>
    </w:p>
    <w:p>
      <w:pPr>
        <w:ind w:firstLine="420" w:firstLineChars="200"/>
      </w:pPr>
      <w:r>
        <w:t>所收集的数据进行核实后，利用生命周期评估工具进行数据的分析处理，用以建立生命周期评价科学完整的计算程序。企业可根据实际情况选择评估工具。通过建立各个过程单元模块，输入各过程单元的数据，可得到全部输入与输出物质和排放清单，选择表B.1各个清单因子的量[以千克(kg)为单位]，为分类评价做准备。</w:t>
      </w:r>
    </w:p>
    <w:p>
      <w:pPr>
        <w:widowControl/>
        <w:adjustRightInd w:val="0"/>
        <w:snapToGrid w:val="0"/>
        <w:spacing w:before="156" w:beforeLines="50" w:line="360" w:lineRule="auto"/>
        <w:outlineLvl w:val="2"/>
        <w:rPr>
          <w:rFonts w:eastAsia="黑体"/>
          <w:kern w:val="0"/>
          <w:szCs w:val="20"/>
        </w:rPr>
      </w:pPr>
      <w:r>
        <w:rPr>
          <w:rFonts w:eastAsia="黑体"/>
          <w:kern w:val="0"/>
          <w:szCs w:val="20"/>
        </w:rPr>
        <w:t>B.5 影响评价</w:t>
      </w:r>
    </w:p>
    <w:p>
      <w:pPr>
        <w:rPr>
          <w:rFonts w:eastAsia="黑体"/>
        </w:rPr>
      </w:pPr>
      <w:r>
        <w:rPr>
          <w:rFonts w:eastAsia="黑体"/>
        </w:rPr>
        <w:t>B.5.1 影响类型</w:t>
      </w:r>
    </w:p>
    <w:p>
      <w:pPr>
        <w:ind w:firstLine="420" w:firstLineChars="200"/>
      </w:pPr>
      <w:r>
        <w:t>影响类型分为人体健康危害、生态环境影响和资源能源消耗3类。特殊用途热轧圆钢的影响类型采用化石能源消耗、气候变化、富营养化和人体健康危害4个指标。</w:t>
      </w:r>
    </w:p>
    <w:p>
      <w:pPr>
        <w:rPr>
          <w:rFonts w:eastAsia="黑体"/>
        </w:rPr>
      </w:pPr>
      <w:r>
        <w:rPr>
          <w:rFonts w:eastAsia="黑体"/>
        </w:rPr>
        <w:t>B.5.2 清单因子归类</w:t>
      </w:r>
    </w:p>
    <w:p>
      <w:pPr>
        <w:ind w:firstLine="420" w:firstLineChars="200"/>
      </w:pPr>
      <w:r>
        <w:t>根据清单因子的物理化学性质将对某影响类型有贡献的因子归到一起，见表B.1。例如，将对气候变化有贡献的二氧化碳、甲烷、氧化亚氮等清单因子归到气候变化影响类型里面。</w:t>
      </w:r>
    </w:p>
    <w:p>
      <w:pPr>
        <w:autoSpaceDE w:val="0"/>
        <w:autoSpaceDN w:val="0"/>
        <w:adjustRightInd w:val="0"/>
        <w:spacing w:before="156" w:after="156"/>
        <w:jc w:val="center"/>
        <w:rPr>
          <w:rFonts w:eastAsia="黑体"/>
          <w:color w:val="000000"/>
          <w:kern w:val="0"/>
          <w:szCs w:val="21"/>
        </w:rPr>
      </w:pPr>
      <w:r>
        <w:rPr>
          <w:rFonts w:eastAsia="黑体"/>
          <w:color w:val="000000"/>
          <w:kern w:val="0"/>
          <w:szCs w:val="21"/>
        </w:rPr>
        <w:t>表B.1特殊用途热轧圆钢产品生命周期清单因子归类</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影响类型</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化石能源消耗</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石油、煤炭、天然气等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气候变化</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二氧化碳（CO</w:t>
            </w:r>
            <w:r>
              <w:rPr>
                <w:color w:val="000000"/>
                <w:kern w:val="0"/>
                <w:sz w:val="12"/>
                <w:szCs w:val="12"/>
              </w:rPr>
              <w:t>2</w:t>
            </w:r>
            <w:r>
              <w:rPr>
                <w:color w:val="000000"/>
                <w:kern w:val="0"/>
                <w:sz w:val="18"/>
                <w:szCs w:val="18"/>
              </w:rPr>
              <w:t>）、甲烷（CH</w:t>
            </w:r>
            <w:r>
              <w:rPr>
                <w:color w:val="000000"/>
                <w:kern w:val="0"/>
                <w:sz w:val="18"/>
                <w:szCs w:val="18"/>
                <w:vertAlign w:val="subscript"/>
              </w:rPr>
              <w:t>4</w:t>
            </w:r>
            <w:r>
              <w:rPr>
                <w:color w:val="000000"/>
                <w:kern w:val="0"/>
                <w:sz w:val="18"/>
                <w:szCs w:val="18"/>
              </w:rPr>
              <w:t>）、氧化亚氮（N</w:t>
            </w:r>
            <w:r>
              <w:rPr>
                <w:color w:val="000000"/>
                <w:kern w:val="0"/>
                <w:sz w:val="18"/>
                <w:szCs w:val="18"/>
                <w:vertAlign w:val="subscript"/>
              </w:rPr>
              <w:t>2</w:t>
            </w:r>
            <w:r>
              <w:rPr>
                <w:color w:val="000000"/>
                <w:kern w:val="0"/>
                <w:sz w:val="18"/>
                <w:szCs w:val="18"/>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富营养化</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氨氮、化学需氧量（COD）等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酸化</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二氧化硫（SO</w:t>
            </w:r>
            <w:r>
              <w:rPr>
                <w:color w:val="000000"/>
                <w:kern w:val="0"/>
                <w:sz w:val="12"/>
                <w:szCs w:val="12"/>
              </w:rPr>
              <w:t>2</w:t>
            </w:r>
            <w:r>
              <w:rPr>
                <w:color w:val="000000"/>
                <w:kern w:val="0"/>
                <w:sz w:val="18"/>
                <w:szCs w:val="18"/>
              </w:rPr>
              <w:t>）、氮氧化物（NOx）等</w:t>
            </w:r>
          </w:p>
        </w:tc>
      </w:tr>
    </w:tbl>
    <w:p/>
    <w:p/>
    <w:p>
      <w:pPr>
        <w:rPr>
          <w:rFonts w:eastAsia="黑体"/>
        </w:rPr>
      </w:pPr>
      <w:r>
        <w:rPr>
          <w:rFonts w:eastAsia="黑体"/>
        </w:rPr>
        <w:t>B.5.3 分类评价</w:t>
      </w:r>
    </w:p>
    <w:p>
      <w:pPr>
        <w:ind w:firstLine="420" w:firstLineChars="200"/>
      </w:pPr>
      <w:r>
        <w:t>计算出不同影响类型的特征化模型。分类评价的结果采用表B.2中的当量物质表示。</w:t>
      </w:r>
    </w:p>
    <w:p>
      <w:pPr>
        <w:autoSpaceDE w:val="0"/>
        <w:autoSpaceDN w:val="0"/>
        <w:adjustRightInd w:val="0"/>
        <w:spacing w:before="156" w:after="156"/>
        <w:jc w:val="center"/>
        <w:rPr>
          <w:rFonts w:eastAsia="黑体"/>
          <w:color w:val="000000"/>
          <w:kern w:val="0"/>
          <w:szCs w:val="21"/>
        </w:rPr>
      </w:pPr>
      <w:r>
        <w:rPr>
          <w:rFonts w:eastAsia="黑体"/>
          <w:color w:val="000000"/>
          <w:kern w:val="0"/>
          <w:szCs w:val="21"/>
        </w:rPr>
        <w:t>表B.2特殊用途热轧圆钢产品生命周期影响评价</w:t>
      </w:r>
    </w:p>
    <w:tbl>
      <w:tblPr>
        <w:tblStyle w:val="34"/>
        <w:tblW w:w="41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2"/>
        <w:gridCol w:w="1719"/>
        <w:gridCol w:w="1307"/>
        <w:gridCol w:w="1445"/>
        <w:gridCol w:w="1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tblHeader/>
          <w:jc w:val="center"/>
        </w:trPr>
        <w:tc>
          <w:tcPr>
            <w:tcW w:w="1248" w:type="pct"/>
            <w:vAlign w:val="center"/>
          </w:tcPr>
          <w:p>
            <w:pPr>
              <w:autoSpaceDE w:val="0"/>
              <w:autoSpaceDN w:val="0"/>
              <w:adjustRightInd w:val="0"/>
              <w:snapToGrid w:val="0"/>
              <w:jc w:val="center"/>
              <w:rPr>
                <w:color w:val="000000"/>
                <w:kern w:val="0"/>
                <w:sz w:val="18"/>
                <w:szCs w:val="18"/>
              </w:rPr>
            </w:pPr>
            <w:r>
              <w:rPr>
                <w:color w:val="000000"/>
                <w:kern w:val="0"/>
                <w:sz w:val="18"/>
                <w:szCs w:val="18"/>
              </w:rPr>
              <w:t>环境类别</w:t>
            </w:r>
          </w:p>
        </w:tc>
        <w:tc>
          <w:tcPr>
            <w:tcW w:w="1077" w:type="pct"/>
            <w:vAlign w:val="center"/>
          </w:tcPr>
          <w:p>
            <w:pPr>
              <w:adjustRightInd w:val="0"/>
              <w:snapToGrid w:val="0"/>
              <w:jc w:val="center"/>
              <w:rPr>
                <w:sz w:val="18"/>
              </w:rPr>
            </w:pPr>
            <w:r>
              <w:rPr>
                <w:sz w:val="18"/>
              </w:rPr>
              <w:t>单位</w:t>
            </w:r>
          </w:p>
        </w:tc>
        <w:tc>
          <w:tcPr>
            <w:tcW w:w="819" w:type="pct"/>
            <w:vAlign w:val="center"/>
          </w:tcPr>
          <w:p>
            <w:pPr>
              <w:adjustRightInd w:val="0"/>
              <w:snapToGrid w:val="0"/>
              <w:jc w:val="center"/>
              <w:rPr>
                <w:sz w:val="18"/>
              </w:rPr>
            </w:pPr>
            <w:r>
              <w:rPr>
                <w:sz w:val="18"/>
              </w:rPr>
              <w:t>指标参数</w:t>
            </w:r>
          </w:p>
        </w:tc>
        <w:tc>
          <w:tcPr>
            <w:tcW w:w="905" w:type="pct"/>
            <w:vAlign w:val="center"/>
          </w:tcPr>
          <w:p>
            <w:pPr>
              <w:adjustRightInd w:val="0"/>
              <w:snapToGrid w:val="0"/>
              <w:jc w:val="center"/>
              <w:rPr>
                <w:sz w:val="18"/>
              </w:rPr>
            </w:pPr>
            <w:r>
              <w:rPr>
                <w:sz w:val="18"/>
              </w:rPr>
              <w:t>特征化因子</w:t>
            </w:r>
          </w:p>
        </w:tc>
        <w:tc>
          <w:tcPr>
            <w:tcW w:w="951" w:type="pct"/>
            <w:vAlign w:val="center"/>
          </w:tcPr>
          <w:p>
            <w:pPr>
              <w:adjustRightInd w:val="0"/>
              <w:snapToGrid w:val="0"/>
              <w:jc w:val="center"/>
              <w:rPr>
                <w:sz w:val="18"/>
              </w:rPr>
            </w:pPr>
            <w:r>
              <w:rPr>
                <w:sz w:val="18"/>
              </w:rPr>
              <w:t>评价方法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全球变暖</w:t>
            </w:r>
          </w:p>
        </w:tc>
        <w:tc>
          <w:tcPr>
            <w:tcW w:w="1077" w:type="pct"/>
            <w:vMerge w:val="restart"/>
            <w:vAlign w:val="center"/>
          </w:tcPr>
          <w:p>
            <w:pPr>
              <w:adjustRightInd w:val="0"/>
              <w:snapToGrid w:val="0"/>
              <w:jc w:val="center"/>
              <w:rPr>
                <w:sz w:val="18"/>
              </w:rPr>
            </w:pPr>
            <w:r>
              <w:rPr>
                <w:sz w:val="18"/>
              </w:rPr>
              <w:t>kg CO</w:t>
            </w:r>
            <w:r>
              <w:rPr>
                <w:sz w:val="18"/>
                <w:vertAlign w:val="subscript"/>
              </w:rPr>
              <w:t xml:space="preserve">2 </w:t>
            </w:r>
            <w:r>
              <w:rPr>
                <w:sz w:val="18"/>
              </w:rPr>
              <w:t>eq.</w:t>
            </w:r>
          </w:p>
        </w:tc>
        <w:tc>
          <w:tcPr>
            <w:tcW w:w="819" w:type="pct"/>
            <w:vAlign w:val="center"/>
          </w:tcPr>
          <w:p>
            <w:pPr>
              <w:autoSpaceDE w:val="0"/>
              <w:autoSpaceDN w:val="0"/>
              <w:adjustRightInd w:val="0"/>
              <w:snapToGrid w:val="0"/>
              <w:jc w:val="center"/>
              <w:rPr>
                <w:color w:val="000000"/>
                <w:kern w:val="0"/>
                <w:sz w:val="12"/>
                <w:szCs w:val="12"/>
              </w:rPr>
            </w:pPr>
            <w:r>
              <w:rPr>
                <w:color w:val="000000"/>
                <w:kern w:val="0"/>
                <w:sz w:val="18"/>
                <w:szCs w:val="18"/>
              </w:rPr>
              <w:t>CO</w:t>
            </w:r>
            <w:r>
              <w:rPr>
                <w:color w:val="000000"/>
                <w:kern w:val="0"/>
                <w:sz w:val="12"/>
                <w:szCs w:val="12"/>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w:t>
            </w:r>
          </w:p>
        </w:tc>
        <w:tc>
          <w:tcPr>
            <w:tcW w:w="951" w:type="pct"/>
            <w:vMerge w:val="restart"/>
            <w:vAlign w:val="center"/>
          </w:tcPr>
          <w:p>
            <w:pPr>
              <w:autoSpaceDE w:val="0"/>
              <w:autoSpaceDN w:val="0"/>
              <w:adjustRightInd w:val="0"/>
              <w:snapToGrid w:val="0"/>
              <w:jc w:val="center"/>
              <w:rPr>
                <w:sz w:val="18"/>
              </w:rPr>
            </w:pPr>
            <w:r>
              <w:rPr>
                <w:sz w:val="18"/>
              </w:rPr>
              <w:t>IPCC 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CH</w:t>
            </w:r>
            <w:r>
              <w:rPr>
                <w:color w:val="000000"/>
                <w:kern w:val="0"/>
                <w:sz w:val="18"/>
                <w:szCs w:val="18"/>
                <w:vertAlign w:val="subscript"/>
              </w:rPr>
              <w:t>4</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25</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w:t>
            </w:r>
            <w:r>
              <w:rPr>
                <w:color w:val="000000"/>
                <w:kern w:val="0"/>
                <w:sz w:val="18"/>
                <w:szCs w:val="18"/>
                <w:vertAlign w:val="subscript"/>
              </w:rPr>
              <w:t>2</w:t>
            </w:r>
            <w:r>
              <w:rPr>
                <w:color w:val="000000"/>
                <w:kern w:val="0"/>
                <w:sz w:val="18"/>
                <w:szCs w:val="18"/>
              </w:rPr>
              <w:t>O</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298</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富营养化</w:t>
            </w:r>
          </w:p>
        </w:tc>
        <w:tc>
          <w:tcPr>
            <w:tcW w:w="1077" w:type="pct"/>
            <w:vMerge w:val="restart"/>
            <w:vAlign w:val="center"/>
          </w:tcPr>
          <w:p>
            <w:pPr>
              <w:adjustRightInd w:val="0"/>
              <w:snapToGrid w:val="0"/>
              <w:jc w:val="center"/>
              <w:rPr>
                <w:sz w:val="18"/>
              </w:rPr>
            </w:pPr>
            <w:r>
              <w:rPr>
                <w:sz w:val="18"/>
              </w:rPr>
              <w:t>kg PO</w:t>
            </w:r>
            <w:r>
              <w:rPr>
                <w:sz w:val="18"/>
                <w:vertAlign w:val="subscript"/>
              </w:rPr>
              <w:t>4</w:t>
            </w:r>
            <w:r>
              <w:rPr>
                <w:sz w:val="18"/>
                <w:vertAlign w:val="superscript"/>
              </w:rPr>
              <w:t xml:space="preserve">3- </w:t>
            </w:r>
            <w:r>
              <w:rPr>
                <w:sz w:val="18"/>
              </w:rPr>
              <w:t>eq.</w:t>
            </w: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0.20</w:t>
            </w:r>
          </w:p>
        </w:tc>
        <w:tc>
          <w:tcPr>
            <w:tcW w:w="951"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EDIP 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0.13</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X</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0.13</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3</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0.42</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COD</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0.022</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酸化</w:t>
            </w:r>
          </w:p>
        </w:tc>
        <w:tc>
          <w:tcPr>
            <w:tcW w:w="1077" w:type="pct"/>
            <w:vMerge w:val="restart"/>
            <w:vAlign w:val="center"/>
          </w:tcPr>
          <w:p>
            <w:pPr>
              <w:autoSpaceDE w:val="0"/>
              <w:autoSpaceDN w:val="0"/>
              <w:adjustRightInd w:val="0"/>
              <w:snapToGrid w:val="0"/>
              <w:jc w:val="center"/>
              <w:rPr>
                <w:color w:val="000000"/>
                <w:kern w:val="0"/>
                <w:sz w:val="18"/>
                <w:szCs w:val="18"/>
              </w:rPr>
            </w:pPr>
            <w:r>
              <w:rPr>
                <w:sz w:val="18"/>
              </w:rPr>
              <w:t xml:space="preserve">kg </w:t>
            </w:r>
            <w:r>
              <w:rPr>
                <w:color w:val="000000"/>
                <w:kern w:val="0"/>
                <w:sz w:val="18"/>
              </w:rPr>
              <w:t>SO</w:t>
            </w:r>
            <w:r>
              <w:rPr>
                <w:color w:val="000000"/>
                <w:kern w:val="0"/>
                <w:sz w:val="18"/>
                <w:vertAlign w:val="subscript"/>
              </w:rPr>
              <w:t xml:space="preserve">2 </w:t>
            </w:r>
            <w:r>
              <w:rPr>
                <w:color w:val="000000"/>
                <w:kern w:val="0"/>
                <w:sz w:val="18"/>
              </w:rPr>
              <w:t>eq.</w:t>
            </w: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rPr>
              <w:t>SO</w:t>
            </w:r>
            <w:r>
              <w:rPr>
                <w:color w:val="000000"/>
                <w:kern w:val="0"/>
                <w:sz w:val="18"/>
                <w:vertAlign w:val="subscript"/>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1.00</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rPr>
              <w:t>SO</w:t>
            </w:r>
            <w:r>
              <w:rPr>
                <w:color w:val="000000"/>
                <w:kern w:val="0"/>
                <w:sz w:val="18"/>
                <w:vertAlign w:val="subscript"/>
              </w:rPr>
              <w:t>3</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0.8</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1.07</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0.70</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X</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0.70</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HCl</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0.88</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HF</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1.60</w:t>
            </w:r>
          </w:p>
        </w:tc>
        <w:tc>
          <w:tcPr>
            <w:tcW w:w="951" w:type="pct"/>
            <w:vMerge w:val="continue"/>
            <w:vAlign w:val="center"/>
          </w:tcPr>
          <w:p>
            <w:pPr>
              <w:autoSpaceDE w:val="0"/>
              <w:autoSpaceDN w:val="0"/>
              <w:adjustRightInd w:val="0"/>
              <w:snapToGrid w:val="0"/>
              <w:jc w:val="center"/>
              <w:rPr>
                <w:color w:val="000000"/>
                <w:kern w:val="0"/>
                <w:sz w:val="18"/>
                <w:szCs w:val="18"/>
              </w:rPr>
            </w:pPr>
          </w:p>
        </w:tc>
      </w:tr>
    </w:tbl>
    <w:p>
      <w:pPr>
        <w:rPr>
          <w:rFonts w:eastAsia="黑体"/>
        </w:rPr>
      </w:pPr>
    </w:p>
    <w:p>
      <w:pPr>
        <w:rPr>
          <w:rFonts w:eastAsia="黑体"/>
        </w:rPr>
      </w:pPr>
      <w:r>
        <w:rPr>
          <w:rFonts w:eastAsia="黑体"/>
        </w:rPr>
        <w:t>B.5.4 计算方法</w:t>
      </w:r>
    </w:p>
    <w:p>
      <w:pPr>
        <w:autoSpaceDE w:val="0"/>
        <w:autoSpaceDN w:val="0"/>
        <w:adjustRightInd w:val="0"/>
        <w:spacing w:before="156" w:after="156"/>
        <w:ind w:firstLine="420" w:firstLineChars="200"/>
        <w:jc w:val="left"/>
        <w:rPr>
          <w:color w:val="000000"/>
          <w:kern w:val="0"/>
          <w:szCs w:val="21"/>
        </w:rPr>
      </w:pPr>
      <w:r>
        <w:rPr>
          <w:color w:val="000000"/>
          <w:kern w:val="0"/>
          <w:szCs w:val="21"/>
        </w:rPr>
        <w:t>影响评价结果计算方法见公式（B.1）：</w:t>
      </w:r>
    </w:p>
    <w:p>
      <w:pPr>
        <w:autoSpaceDE w:val="0"/>
        <w:autoSpaceDN w:val="0"/>
        <w:adjustRightInd w:val="0"/>
        <w:spacing w:before="156" w:after="156"/>
        <w:ind w:firstLine="420" w:firstLineChars="200"/>
        <w:jc w:val="center"/>
        <w:rPr>
          <w:color w:val="000000"/>
          <w:kern w:val="0"/>
          <w:szCs w:val="21"/>
        </w:rPr>
      </w:pPr>
      <w:r>
        <w:rPr>
          <w:color w:val="000000"/>
          <w:kern w:val="0"/>
          <w:szCs w:val="21"/>
        </w:rPr>
        <w:t>EP</w:t>
      </w:r>
      <w:r>
        <w:rPr>
          <w:color w:val="000000"/>
          <w:kern w:val="0"/>
          <w:szCs w:val="21"/>
          <w:vertAlign w:val="subscript"/>
        </w:rPr>
        <w:t>i</w:t>
      </w:r>
      <w:r>
        <w:rPr>
          <w:color w:val="000000"/>
          <w:kern w:val="0"/>
          <w:szCs w:val="21"/>
        </w:rPr>
        <w:t xml:space="preserve"> =ΣEP</w:t>
      </w:r>
      <w:r>
        <w:rPr>
          <w:color w:val="000000"/>
          <w:kern w:val="0"/>
          <w:szCs w:val="21"/>
          <w:vertAlign w:val="subscript"/>
        </w:rPr>
        <w:t>ij</w:t>
      </w:r>
      <w:r>
        <w:rPr>
          <w:color w:val="000000"/>
          <w:kern w:val="0"/>
          <w:szCs w:val="21"/>
        </w:rPr>
        <w:t>=ΣQ</w:t>
      </w:r>
      <w:r>
        <w:rPr>
          <w:color w:val="000000"/>
          <w:kern w:val="0"/>
          <w:szCs w:val="21"/>
          <w:vertAlign w:val="subscript"/>
        </w:rPr>
        <w:t>j</w:t>
      </w:r>
      <w:r>
        <w:rPr>
          <w:color w:val="000000"/>
          <w:kern w:val="0"/>
          <w:szCs w:val="21"/>
        </w:rPr>
        <w:t>×EF</w:t>
      </w:r>
      <w:r>
        <w:rPr>
          <w:color w:val="000000"/>
          <w:kern w:val="0"/>
          <w:szCs w:val="21"/>
          <w:vertAlign w:val="subscript"/>
        </w:rPr>
        <w:t>ij</w:t>
      </w:r>
      <w:r>
        <w:rPr>
          <w:color w:val="000000"/>
          <w:kern w:val="0"/>
          <w:szCs w:val="21"/>
        </w:rPr>
        <w:t>……… (B.1)</w:t>
      </w:r>
    </w:p>
    <w:p>
      <w:r>
        <w:t>式中:</w:t>
      </w:r>
    </w:p>
    <w:p>
      <w:pPr>
        <w:ind w:firstLine="420" w:firstLineChars="200"/>
      </w:pPr>
      <w:r>
        <w:rPr>
          <w:i/>
        </w:rPr>
        <w:t>EP</w:t>
      </w:r>
      <w:r>
        <w:rPr>
          <w:i/>
          <w:vertAlign w:val="subscript"/>
        </w:rPr>
        <w:t>i</w:t>
      </w:r>
      <w:r>
        <w:t>——第i种影响类型特征化值；</w:t>
      </w:r>
    </w:p>
    <w:p>
      <w:pPr>
        <w:ind w:firstLine="420" w:firstLineChars="200"/>
      </w:pPr>
      <w:r>
        <w:rPr>
          <w:i/>
        </w:rPr>
        <w:t>EP</w:t>
      </w:r>
      <w:r>
        <w:rPr>
          <w:i/>
          <w:vertAlign w:val="subscript"/>
        </w:rPr>
        <w:t>ij</w:t>
      </w:r>
      <w:r>
        <w:t>——第i种影响类型中第j种清单因子的贡献；</w:t>
      </w:r>
    </w:p>
    <w:p>
      <w:pPr>
        <w:ind w:firstLine="420" w:firstLineChars="200"/>
      </w:pPr>
      <w:r>
        <w:rPr>
          <w:i/>
        </w:rPr>
        <w:t>Q</w:t>
      </w:r>
      <w:r>
        <w:rPr>
          <w:i/>
          <w:vertAlign w:val="subscript"/>
        </w:rPr>
        <w:t>j</w:t>
      </w:r>
      <w:r>
        <w:t>——第j种清单因子的排放量；</w:t>
      </w:r>
    </w:p>
    <w:p>
      <w:pPr>
        <w:ind w:firstLine="420" w:firstLineChars="200"/>
      </w:pPr>
      <w:r>
        <w:rPr>
          <w:i/>
        </w:rPr>
        <w:t>EF</w:t>
      </w:r>
      <w:r>
        <w:rPr>
          <w:i/>
          <w:vertAlign w:val="subscript"/>
        </w:rPr>
        <w:t>ij</w:t>
      </w:r>
      <w:r>
        <w:t>——第i种影响类型中第j种清单因子的特征化因子。</w:t>
      </w:r>
    </w:p>
    <w:p>
      <w:pPr>
        <w:widowControl/>
        <w:jc w:val="left"/>
      </w:pPr>
      <w:r>
        <w:br w:type="page"/>
      </w:r>
    </w:p>
    <w:p>
      <w:pPr>
        <w:keepNext/>
        <w:widowControl/>
        <w:shd w:val="clear" w:color="FFFFFF" w:fill="FFFFFF"/>
        <w:tabs>
          <w:tab w:val="left" w:pos="360"/>
          <w:tab w:val="left" w:pos="6405"/>
        </w:tabs>
        <w:spacing w:before="640" w:after="280"/>
        <w:jc w:val="center"/>
        <w:outlineLvl w:val="0"/>
        <w:rPr>
          <w:rFonts w:eastAsia="黑体"/>
          <w:kern w:val="0"/>
          <w:szCs w:val="20"/>
        </w:rPr>
      </w:pPr>
      <w:bookmarkStart w:id="21" w:name="_Toc503728496"/>
      <w:r>
        <w:rPr>
          <w:rFonts w:eastAsia="黑体"/>
          <w:kern w:val="0"/>
          <w:szCs w:val="20"/>
        </w:rPr>
        <w:t>附录C</w:t>
      </w:r>
      <w:r>
        <w:rPr>
          <w:rFonts w:eastAsia="黑体"/>
          <w:kern w:val="0"/>
          <w:szCs w:val="20"/>
        </w:rPr>
        <w:br w:type="textWrapping"/>
      </w:r>
      <w:r>
        <w:rPr>
          <w:rFonts w:eastAsia="黑体"/>
          <w:kern w:val="0"/>
          <w:szCs w:val="20"/>
        </w:rPr>
        <w:t>（资料性）</w:t>
      </w:r>
      <w:r>
        <w:rPr>
          <w:rFonts w:eastAsia="黑体"/>
          <w:kern w:val="0"/>
          <w:szCs w:val="20"/>
        </w:rPr>
        <w:br w:type="textWrapping"/>
      </w:r>
      <w:r>
        <w:rPr>
          <w:rFonts w:eastAsia="黑体"/>
          <w:kern w:val="0"/>
          <w:szCs w:val="20"/>
        </w:rPr>
        <w:t>数据收集表格</w:t>
      </w:r>
      <w:bookmarkEnd w:id="21"/>
    </w:p>
    <w:p>
      <w:pPr>
        <w:widowControl/>
        <w:adjustRightInd w:val="0"/>
        <w:snapToGrid w:val="0"/>
        <w:spacing w:before="156" w:beforeLines="50" w:line="360" w:lineRule="auto"/>
        <w:outlineLvl w:val="2"/>
        <w:rPr>
          <w:rFonts w:eastAsia="黑体"/>
          <w:kern w:val="0"/>
          <w:szCs w:val="20"/>
        </w:rPr>
      </w:pPr>
      <w:r>
        <w:rPr>
          <w:rFonts w:eastAsia="黑体"/>
          <w:kern w:val="0"/>
          <w:szCs w:val="20"/>
        </w:rPr>
        <w:t>C.1</w:t>
      </w:r>
      <w:r>
        <w:rPr>
          <w:kern w:val="0"/>
          <w:szCs w:val="20"/>
        </w:rPr>
        <w:t xml:space="preserve"> 参照表C.1-C.6收集原材料、重点工序能耗、新水耗量与污染物排放等数据。</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表C.1 原材料成分、用量及运输清单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160"/>
        <w:gridCol w:w="1360"/>
        <w:gridCol w:w="864"/>
        <w:gridCol w:w="2643"/>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94"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成分</w:t>
            </w:r>
          </w:p>
        </w:tc>
        <w:tc>
          <w:tcPr>
            <w:tcW w:w="1360" w:type="dxa"/>
            <w:vAlign w:val="center"/>
          </w:tcPr>
          <w:p>
            <w:pPr>
              <w:autoSpaceDE w:val="0"/>
              <w:autoSpaceDN w:val="0"/>
              <w:adjustRightInd w:val="0"/>
              <w:snapToGrid w:val="0"/>
              <w:jc w:val="center"/>
              <w:rPr>
                <w:color w:val="000000"/>
                <w:kern w:val="0"/>
                <w:sz w:val="18"/>
                <w:szCs w:val="18"/>
              </w:rPr>
            </w:pPr>
            <w:r>
              <w:rPr>
                <w:color w:val="000000"/>
                <w:kern w:val="0"/>
                <w:sz w:val="18"/>
                <w:szCs w:val="18"/>
              </w:rPr>
              <w:t>有效组分含量（%）</w:t>
            </w:r>
          </w:p>
        </w:tc>
        <w:tc>
          <w:tcPr>
            <w:tcW w:w="864" w:type="dxa"/>
            <w:vAlign w:val="center"/>
          </w:tcPr>
          <w:p>
            <w:pPr>
              <w:autoSpaceDE w:val="0"/>
              <w:autoSpaceDN w:val="0"/>
              <w:adjustRightInd w:val="0"/>
              <w:snapToGrid w:val="0"/>
              <w:jc w:val="center"/>
              <w:rPr>
                <w:color w:val="000000"/>
                <w:kern w:val="0"/>
                <w:sz w:val="18"/>
                <w:szCs w:val="18"/>
              </w:rPr>
            </w:pPr>
            <w:r>
              <w:rPr>
                <w:color w:val="000000"/>
                <w:kern w:val="0"/>
                <w:sz w:val="18"/>
                <w:szCs w:val="18"/>
              </w:rPr>
              <w:t>用量（t）</w:t>
            </w:r>
          </w:p>
        </w:tc>
        <w:tc>
          <w:tcPr>
            <w:tcW w:w="2643" w:type="dxa"/>
            <w:vAlign w:val="center"/>
          </w:tcPr>
          <w:p>
            <w:pPr>
              <w:autoSpaceDE w:val="0"/>
              <w:autoSpaceDN w:val="0"/>
              <w:adjustRightInd w:val="0"/>
              <w:snapToGrid w:val="0"/>
              <w:jc w:val="center"/>
              <w:rPr>
                <w:color w:val="000000"/>
                <w:kern w:val="0"/>
                <w:sz w:val="18"/>
                <w:szCs w:val="18"/>
              </w:rPr>
            </w:pPr>
            <w:r>
              <w:rPr>
                <w:color w:val="000000"/>
                <w:kern w:val="0"/>
                <w:sz w:val="18"/>
                <w:szCs w:val="18"/>
              </w:rPr>
              <w:t>原料产地</w:t>
            </w:r>
          </w:p>
        </w:tc>
        <w:tc>
          <w:tcPr>
            <w:tcW w:w="1681" w:type="dxa"/>
            <w:vAlign w:val="center"/>
          </w:tcPr>
          <w:p>
            <w:pPr>
              <w:autoSpaceDE w:val="0"/>
              <w:autoSpaceDN w:val="0"/>
              <w:adjustRightInd w:val="0"/>
              <w:snapToGrid w:val="0"/>
              <w:jc w:val="center"/>
              <w:rPr>
                <w:color w:val="000000"/>
                <w:kern w:val="0"/>
                <w:sz w:val="18"/>
                <w:szCs w:val="18"/>
              </w:rPr>
            </w:pPr>
            <w:r>
              <w:rPr>
                <w:color w:val="000000"/>
                <w:kern w:val="0"/>
                <w:sz w:val="18"/>
                <w:szCs w:val="18"/>
              </w:rPr>
              <w:t>运输方式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原材料</w:t>
            </w: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铁矿</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焦炭</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煤炭</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辅助材料</w:t>
            </w: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石灰石</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萤石</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白云石</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2" w:firstLineChars="200"/>
        <w:jc w:val="center"/>
        <w:rPr>
          <w:b/>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表C.2 炼铁工序能源消耗清单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0"/>
        <w:gridCol w:w="3054"/>
        <w:gridCol w:w="2347"/>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能耗种类</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w:t>
            </w:r>
          </w:p>
        </w:tc>
        <w:tc>
          <w:tcPr>
            <w:tcW w:w="2347" w:type="dxa"/>
            <w:vAlign w:val="center"/>
          </w:tcPr>
          <w:p>
            <w:pPr>
              <w:autoSpaceDE w:val="0"/>
              <w:autoSpaceDN w:val="0"/>
              <w:adjustRightInd w:val="0"/>
              <w:snapToGrid w:val="0"/>
              <w:jc w:val="center"/>
              <w:rPr>
                <w:color w:val="000000"/>
                <w:kern w:val="0"/>
                <w:sz w:val="18"/>
                <w:szCs w:val="18"/>
              </w:rPr>
            </w:pPr>
            <w:r>
              <w:rPr>
                <w:color w:val="000000"/>
                <w:kern w:val="0"/>
                <w:sz w:val="18"/>
                <w:szCs w:val="18"/>
              </w:rPr>
              <w:t>车间生产总消耗量</w:t>
            </w:r>
          </w:p>
        </w:tc>
        <w:tc>
          <w:tcPr>
            <w:tcW w:w="2006" w:type="dxa"/>
            <w:vAlign w:val="center"/>
          </w:tcPr>
          <w:p>
            <w:pPr>
              <w:autoSpaceDE w:val="0"/>
              <w:autoSpaceDN w:val="0"/>
              <w:adjustRightInd w:val="0"/>
              <w:snapToGrid w:val="0"/>
              <w:jc w:val="center"/>
              <w:rPr>
                <w:color w:val="000000"/>
                <w:kern w:val="0"/>
                <w:sz w:val="18"/>
                <w:szCs w:val="18"/>
              </w:rPr>
            </w:pPr>
            <w:r>
              <w:rPr>
                <w:color w:val="000000"/>
                <w:kern w:val="0"/>
                <w:sz w:val="18"/>
                <w:szCs w:val="18"/>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电耗</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千瓦时(kW·h)</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水</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吨(t)</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煤耗</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兆焦(MJ)</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表C.3炼钢工序能源消耗清单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4"/>
        <w:gridCol w:w="3021"/>
        <w:gridCol w:w="232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能耗种类</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w:t>
            </w:r>
          </w:p>
        </w:tc>
        <w:tc>
          <w:tcPr>
            <w:tcW w:w="2321" w:type="dxa"/>
            <w:vAlign w:val="center"/>
          </w:tcPr>
          <w:p>
            <w:pPr>
              <w:autoSpaceDE w:val="0"/>
              <w:autoSpaceDN w:val="0"/>
              <w:adjustRightInd w:val="0"/>
              <w:snapToGrid w:val="0"/>
              <w:jc w:val="center"/>
              <w:rPr>
                <w:color w:val="000000"/>
                <w:kern w:val="0"/>
                <w:sz w:val="18"/>
                <w:szCs w:val="18"/>
              </w:rPr>
            </w:pPr>
            <w:r>
              <w:rPr>
                <w:color w:val="000000"/>
                <w:kern w:val="0"/>
                <w:sz w:val="18"/>
                <w:szCs w:val="18"/>
              </w:rPr>
              <w:t>车间生产总消耗量</w:t>
            </w:r>
          </w:p>
        </w:tc>
        <w:tc>
          <w:tcPr>
            <w:tcW w:w="1984" w:type="dxa"/>
            <w:vAlign w:val="center"/>
          </w:tcPr>
          <w:p>
            <w:pPr>
              <w:autoSpaceDE w:val="0"/>
              <w:autoSpaceDN w:val="0"/>
              <w:adjustRightInd w:val="0"/>
              <w:snapToGrid w:val="0"/>
              <w:jc w:val="center"/>
              <w:rPr>
                <w:color w:val="000000"/>
                <w:kern w:val="0"/>
                <w:sz w:val="18"/>
                <w:szCs w:val="18"/>
              </w:rPr>
            </w:pPr>
            <w:r>
              <w:rPr>
                <w:color w:val="000000"/>
                <w:kern w:val="0"/>
                <w:sz w:val="18"/>
                <w:szCs w:val="18"/>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电耗</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千瓦时(kW·h)</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水</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吨(t)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蒸汽</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立方米(m</w:t>
            </w:r>
            <w:r>
              <w:rPr>
                <w:color w:val="000000"/>
                <w:kern w:val="0"/>
                <w:sz w:val="18"/>
                <w:szCs w:val="18"/>
                <w:vertAlign w:val="superscript"/>
              </w:rPr>
              <w:t>3</w:t>
            </w:r>
            <w:r>
              <w:rPr>
                <w:color w:val="000000"/>
                <w:kern w:val="0"/>
                <w:sz w:val="18"/>
                <w:szCs w:val="18"/>
              </w:rPr>
              <w: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表C.4轧制工序能源消耗清单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能耗种类</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w:t>
            </w:r>
          </w:p>
        </w:tc>
        <w:tc>
          <w:tcPr>
            <w:tcW w:w="2460" w:type="dxa"/>
            <w:vAlign w:val="center"/>
          </w:tcPr>
          <w:p>
            <w:pPr>
              <w:autoSpaceDE w:val="0"/>
              <w:autoSpaceDN w:val="0"/>
              <w:adjustRightInd w:val="0"/>
              <w:snapToGrid w:val="0"/>
              <w:jc w:val="center"/>
              <w:rPr>
                <w:color w:val="000000"/>
                <w:kern w:val="0"/>
                <w:sz w:val="18"/>
                <w:szCs w:val="18"/>
              </w:rPr>
            </w:pPr>
            <w:r>
              <w:rPr>
                <w:color w:val="000000"/>
                <w:kern w:val="0"/>
                <w:sz w:val="18"/>
                <w:szCs w:val="18"/>
              </w:rPr>
              <w:t>车间生产总消耗量</w:t>
            </w:r>
          </w:p>
        </w:tc>
        <w:tc>
          <w:tcPr>
            <w:tcW w:w="2103" w:type="dxa"/>
            <w:vAlign w:val="center"/>
          </w:tcPr>
          <w:p>
            <w:pPr>
              <w:autoSpaceDE w:val="0"/>
              <w:autoSpaceDN w:val="0"/>
              <w:adjustRightInd w:val="0"/>
              <w:snapToGrid w:val="0"/>
              <w:jc w:val="center"/>
              <w:rPr>
                <w:color w:val="000000"/>
                <w:kern w:val="0"/>
                <w:sz w:val="18"/>
                <w:szCs w:val="18"/>
              </w:rPr>
            </w:pPr>
            <w:r>
              <w:rPr>
                <w:color w:val="000000"/>
                <w:kern w:val="0"/>
                <w:sz w:val="18"/>
                <w:szCs w:val="18"/>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电耗</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千瓦时(kW·h)</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水</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吨(t)</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天燃气</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立方米(m</w:t>
            </w:r>
            <w:r>
              <w:rPr>
                <w:color w:val="000000"/>
                <w:kern w:val="0"/>
                <w:sz w:val="18"/>
                <w:szCs w:val="18"/>
                <w:vertAlign w:val="superscript"/>
              </w:rPr>
              <w:t>3</w:t>
            </w:r>
            <w:r>
              <w:rPr>
                <w:color w:val="000000"/>
                <w:kern w:val="0"/>
                <w:sz w:val="18"/>
                <w:szCs w:val="18"/>
              </w:rPr>
              <w:t>)</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表C.5新水消耗清单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807"/>
        <w:gridCol w:w="822"/>
        <w:gridCol w:w="640"/>
        <w:gridCol w:w="827"/>
        <w:gridCol w:w="1256"/>
        <w:gridCol w:w="898"/>
        <w:gridCol w:w="869"/>
        <w:gridCol w:w="96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阶段/单元过程</w:t>
            </w:r>
          </w:p>
        </w:tc>
        <w:tc>
          <w:tcPr>
            <w:tcW w:w="2269" w:type="dxa"/>
            <w:gridSpan w:val="3"/>
            <w:vAlign w:val="center"/>
          </w:tcPr>
          <w:p>
            <w:pPr>
              <w:autoSpaceDE w:val="0"/>
              <w:autoSpaceDN w:val="0"/>
              <w:adjustRightInd w:val="0"/>
              <w:snapToGrid w:val="0"/>
              <w:jc w:val="center"/>
              <w:rPr>
                <w:color w:val="000000"/>
                <w:kern w:val="0"/>
                <w:sz w:val="18"/>
                <w:szCs w:val="18"/>
              </w:rPr>
            </w:pPr>
            <w:r>
              <w:rPr>
                <w:color w:val="000000"/>
                <w:kern w:val="0"/>
                <w:sz w:val="18"/>
                <w:szCs w:val="18"/>
              </w:rPr>
              <w:t>取水量</w:t>
            </w:r>
          </w:p>
          <w:p>
            <w:pPr>
              <w:autoSpaceDE w:val="0"/>
              <w:autoSpaceDN w:val="0"/>
              <w:adjustRightInd w:val="0"/>
              <w:snapToGrid w:val="0"/>
              <w:jc w:val="center"/>
              <w:rPr>
                <w:color w:val="000000"/>
                <w:kern w:val="0"/>
                <w:sz w:val="18"/>
                <w:szCs w:val="18"/>
              </w:rPr>
            </w:pPr>
            <w:r>
              <w:rPr>
                <w:color w:val="000000"/>
                <w:kern w:val="0"/>
                <w:sz w:val="18"/>
                <w:szCs w:val="18"/>
              </w:rPr>
              <w:t>（m</w:t>
            </w:r>
            <w:r>
              <w:rPr>
                <w:color w:val="000000"/>
                <w:kern w:val="0"/>
                <w:sz w:val="18"/>
                <w:szCs w:val="18"/>
                <w:vertAlign w:val="superscript"/>
              </w:rPr>
              <w:t>3</w:t>
            </w:r>
            <w:r>
              <w:rPr>
                <w:color w:val="000000"/>
                <w:kern w:val="0"/>
                <w:sz w:val="18"/>
                <w:szCs w:val="18"/>
              </w:rPr>
              <w:t>/年或m</w:t>
            </w:r>
            <w:r>
              <w:rPr>
                <w:color w:val="000000"/>
                <w:kern w:val="0"/>
                <w:sz w:val="18"/>
                <w:szCs w:val="18"/>
                <w:vertAlign w:val="superscript"/>
              </w:rPr>
              <w:t>3</w:t>
            </w:r>
            <w:r>
              <w:rPr>
                <w:color w:val="000000"/>
                <w:kern w:val="0"/>
                <w:sz w:val="18"/>
                <w:szCs w:val="18"/>
              </w:rPr>
              <w:t>/月）</w:t>
            </w:r>
          </w:p>
        </w:tc>
        <w:tc>
          <w:tcPr>
            <w:tcW w:w="2083"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水质</w:t>
            </w:r>
          </w:p>
        </w:tc>
        <w:tc>
          <w:tcPr>
            <w:tcW w:w="1767"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排放量</w:t>
            </w:r>
          </w:p>
          <w:p>
            <w:pPr>
              <w:autoSpaceDE w:val="0"/>
              <w:autoSpaceDN w:val="0"/>
              <w:adjustRightInd w:val="0"/>
              <w:snapToGrid w:val="0"/>
              <w:jc w:val="center"/>
              <w:rPr>
                <w:color w:val="000000"/>
                <w:kern w:val="0"/>
                <w:sz w:val="18"/>
                <w:szCs w:val="18"/>
              </w:rPr>
            </w:pPr>
            <w:r>
              <w:rPr>
                <w:color w:val="000000"/>
                <w:kern w:val="0"/>
                <w:sz w:val="18"/>
                <w:szCs w:val="18"/>
              </w:rPr>
              <w:t>（m</w:t>
            </w:r>
            <w:r>
              <w:rPr>
                <w:color w:val="000000"/>
                <w:kern w:val="0"/>
                <w:sz w:val="18"/>
                <w:szCs w:val="18"/>
                <w:vertAlign w:val="superscript"/>
              </w:rPr>
              <w:t>3</w:t>
            </w:r>
            <w:r>
              <w:rPr>
                <w:color w:val="000000"/>
                <w:kern w:val="0"/>
                <w:sz w:val="18"/>
                <w:szCs w:val="18"/>
              </w:rPr>
              <w:t>/年或m</w:t>
            </w:r>
            <w:r>
              <w:rPr>
                <w:color w:val="000000"/>
                <w:kern w:val="0"/>
                <w:sz w:val="18"/>
                <w:szCs w:val="18"/>
                <w:vertAlign w:val="superscript"/>
              </w:rPr>
              <w:t>3</w:t>
            </w:r>
            <w:r>
              <w:rPr>
                <w:color w:val="000000"/>
                <w:kern w:val="0"/>
                <w:sz w:val="18"/>
                <w:szCs w:val="18"/>
              </w:rPr>
              <w:t>/月）</w:t>
            </w:r>
          </w:p>
        </w:tc>
        <w:tc>
          <w:tcPr>
            <w:tcW w:w="2196"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Merge w:val="continue"/>
            <w:vAlign w:val="center"/>
          </w:tcPr>
          <w:p>
            <w:pPr>
              <w:autoSpaceDE w:val="0"/>
              <w:autoSpaceDN w:val="0"/>
              <w:adjustRightInd w:val="0"/>
              <w:snapToGrid w:val="0"/>
              <w:jc w:val="center"/>
              <w:rPr>
                <w:color w:val="000000"/>
                <w:kern w:val="0"/>
                <w:sz w:val="18"/>
                <w:szCs w:val="18"/>
              </w:rPr>
            </w:pPr>
          </w:p>
        </w:tc>
        <w:tc>
          <w:tcPr>
            <w:tcW w:w="1629"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自取水</w:t>
            </w:r>
          </w:p>
        </w:tc>
        <w:tc>
          <w:tcPr>
            <w:tcW w:w="640"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水厂供水</w:t>
            </w:r>
          </w:p>
        </w:tc>
        <w:tc>
          <w:tcPr>
            <w:tcW w:w="827"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污染物种类</w:t>
            </w:r>
          </w:p>
        </w:tc>
        <w:tc>
          <w:tcPr>
            <w:tcW w:w="1256"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污染物浓度（mg/L）</w:t>
            </w:r>
          </w:p>
        </w:tc>
        <w:tc>
          <w:tcPr>
            <w:tcW w:w="1767"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去处</w:t>
            </w:r>
          </w:p>
        </w:tc>
        <w:tc>
          <w:tcPr>
            <w:tcW w:w="962"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污染物种类</w:t>
            </w:r>
          </w:p>
        </w:tc>
        <w:tc>
          <w:tcPr>
            <w:tcW w:w="1234"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污染物浓度（mg/L）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Merge w:val="continue"/>
            <w:vAlign w:val="center"/>
          </w:tcPr>
          <w:p>
            <w:pPr>
              <w:autoSpaceDE w:val="0"/>
              <w:autoSpaceDN w:val="0"/>
              <w:adjustRightInd w:val="0"/>
              <w:snapToGrid w:val="0"/>
              <w:jc w:val="center"/>
              <w:rPr>
                <w:color w:val="000000"/>
                <w:kern w:val="0"/>
                <w:sz w:val="18"/>
                <w:szCs w:val="18"/>
              </w:rPr>
            </w:pPr>
          </w:p>
        </w:tc>
        <w:tc>
          <w:tcPr>
            <w:tcW w:w="807" w:type="dxa"/>
            <w:vAlign w:val="center"/>
          </w:tcPr>
          <w:p>
            <w:pPr>
              <w:autoSpaceDE w:val="0"/>
              <w:autoSpaceDN w:val="0"/>
              <w:adjustRightInd w:val="0"/>
              <w:snapToGrid w:val="0"/>
              <w:jc w:val="center"/>
              <w:rPr>
                <w:color w:val="000000"/>
                <w:kern w:val="0"/>
                <w:sz w:val="18"/>
                <w:szCs w:val="18"/>
              </w:rPr>
            </w:pPr>
            <w:r>
              <w:rPr>
                <w:color w:val="000000"/>
                <w:kern w:val="0"/>
                <w:sz w:val="18"/>
                <w:szCs w:val="18"/>
              </w:rPr>
              <w:t>地表水</w:t>
            </w:r>
          </w:p>
        </w:tc>
        <w:tc>
          <w:tcPr>
            <w:tcW w:w="822" w:type="dxa"/>
            <w:vAlign w:val="center"/>
          </w:tcPr>
          <w:p>
            <w:pPr>
              <w:autoSpaceDE w:val="0"/>
              <w:autoSpaceDN w:val="0"/>
              <w:adjustRightInd w:val="0"/>
              <w:snapToGrid w:val="0"/>
              <w:jc w:val="center"/>
              <w:rPr>
                <w:color w:val="000000"/>
                <w:kern w:val="0"/>
                <w:sz w:val="18"/>
                <w:szCs w:val="18"/>
              </w:rPr>
            </w:pPr>
            <w:r>
              <w:rPr>
                <w:color w:val="000000"/>
                <w:kern w:val="0"/>
                <w:sz w:val="18"/>
                <w:szCs w:val="18"/>
              </w:rPr>
              <w:t>地下水</w:t>
            </w:r>
          </w:p>
        </w:tc>
        <w:tc>
          <w:tcPr>
            <w:tcW w:w="640" w:type="dxa"/>
            <w:vMerge w:val="continue"/>
            <w:vAlign w:val="center"/>
          </w:tcPr>
          <w:p>
            <w:pPr>
              <w:autoSpaceDE w:val="0"/>
              <w:autoSpaceDN w:val="0"/>
              <w:adjustRightInd w:val="0"/>
              <w:snapToGrid w:val="0"/>
              <w:jc w:val="center"/>
              <w:rPr>
                <w:color w:val="000000"/>
                <w:kern w:val="0"/>
                <w:sz w:val="18"/>
                <w:szCs w:val="18"/>
              </w:rPr>
            </w:pPr>
          </w:p>
        </w:tc>
        <w:tc>
          <w:tcPr>
            <w:tcW w:w="827" w:type="dxa"/>
            <w:vMerge w:val="continue"/>
            <w:vAlign w:val="center"/>
          </w:tcPr>
          <w:p>
            <w:pPr>
              <w:autoSpaceDE w:val="0"/>
              <w:autoSpaceDN w:val="0"/>
              <w:adjustRightInd w:val="0"/>
              <w:snapToGrid w:val="0"/>
              <w:jc w:val="center"/>
              <w:rPr>
                <w:color w:val="000000"/>
                <w:kern w:val="0"/>
                <w:sz w:val="18"/>
                <w:szCs w:val="18"/>
              </w:rPr>
            </w:pPr>
          </w:p>
        </w:tc>
        <w:tc>
          <w:tcPr>
            <w:tcW w:w="1256" w:type="dxa"/>
            <w:vMerge w:val="continue"/>
            <w:vAlign w:val="center"/>
          </w:tcPr>
          <w:p>
            <w:pPr>
              <w:autoSpaceDE w:val="0"/>
              <w:autoSpaceDN w:val="0"/>
              <w:adjustRightInd w:val="0"/>
              <w:snapToGrid w:val="0"/>
              <w:jc w:val="center"/>
              <w:rPr>
                <w:color w:val="000000"/>
                <w:kern w:val="0"/>
                <w:sz w:val="18"/>
                <w:szCs w:val="18"/>
              </w:rPr>
            </w:pPr>
          </w:p>
        </w:tc>
        <w:tc>
          <w:tcPr>
            <w:tcW w:w="898" w:type="dxa"/>
            <w:vAlign w:val="center"/>
          </w:tcPr>
          <w:p>
            <w:pPr>
              <w:autoSpaceDE w:val="0"/>
              <w:autoSpaceDN w:val="0"/>
              <w:adjustRightInd w:val="0"/>
              <w:snapToGrid w:val="0"/>
              <w:jc w:val="center"/>
              <w:rPr>
                <w:color w:val="000000"/>
                <w:kern w:val="0"/>
                <w:sz w:val="18"/>
                <w:szCs w:val="18"/>
              </w:rPr>
            </w:pPr>
            <w:r>
              <w:rPr>
                <w:color w:val="000000"/>
                <w:kern w:val="0"/>
                <w:sz w:val="18"/>
                <w:szCs w:val="18"/>
              </w:rPr>
              <w:t>地表水</w:t>
            </w:r>
          </w:p>
        </w:tc>
        <w:tc>
          <w:tcPr>
            <w:tcW w:w="869" w:type="dxa"/>
            <w:vAlign w:val="center"/>
          </w:tcPr>
          <w:p>
            <w:pPr>
              <w:autoSpaceDE w:val="0"/>
              <w:autoSpaceDN w:val="0"/>
              <w:adjustRightInd w:val="0"/>
              <w:snapToGrid w:val="0"/>
              <w:jc w:val="center"/>
              <w:rPr>
                <w:color w:val="000000"/>
                <w:kern w:val="0"/>
                <w:sz w:val="18"/>
                <w:szCs w:val="18"/>
              </w:rPr>
            </w:pPr>
            <w:r>
              <w:rPr>
                <w:color w:val="000000"/>
                <w:kern w:val="0"/>
                <w:sz w:val="18"/>
                <w:szCs w:val="18"/>
              </w:rPr>
              <w:t>纳管</w:t>
            </w:r>
          </w:p>
        </w:tc>
        <w:tc>
          <w:tcPr>
            <w:tcW w:w="962" w:type="dxa"/>
            <w:vMerge w:val="continue"/>
            <w:vAlign w:val="center"/>
          </w:tcPr>
          <w:p>
            <w:pPr>
              <w:autoSpaceDE w:val="0"/>
              <w:autoSpaceDN w:val="0"/>
              <w:adjustRightInd w:val="0"/>
              <w:snapToGrid w:val="0"/>
              <w:jc w:val="center"/>
              <w:rPr>
                <w:color w:val="000000"/>
                <w:kern w:val="0"/>
                <w:sz w:val="18"/>
                <w:szCs w:val="18"/>
              </w:rPr>
            </w:pPr>
          </w:p>
        </w:tc>
        <w:tc>
          <w:tcPr>
            <w:tcW w:w="1234" w:type="dxa"/>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表C.6污染物排放清单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1505"/>
        <w:gridCol w:w="1670"/>
        <w:gridCol w:w="1505"/>
        <w:gridCol w:w="1505"/>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Align w:val="center"/>
          </w:tcPr>
          <w:p>
            <w:pPr>
              <w:autoSpaceDE w:val="0"/>
              <w:autoSpaceDN w:val="0"/>
              <w:adjustRightInd w:val="0"/>
              <w:snapToGrid w:val="0"/>
              <w:jc w:val="center"/>
              <w:rPr>
                <w:color w:val="000000"/>
                <w:kern w:val="0"/>
                <w:sz w:val="18"/>
                <w:szCs w:val="18"/>
              </w:rPr>
            </w:pPr>
            <w:r>
              <w:rPr>
                <w:color w:val="000000"/>
                <w:kern w:val="0"/>
                <w:sz w:val="18"/>
                <w:szCs w:val="18"/>
              </w:rPr>
              <w:t>类别</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名称</w:t>
            </w:r>
          </w:p>
        </w:tc>
        <w:tc>
          <w:tcPr>
            <w:tcW w:w="1670" w:type="dxa"/>
            <w:vAlign w:val="center"/>
          </w:tcPr>
          <w:p>
            <w:pPr>
              <w:autoSpaceDE w:val="0"/>
              <w:autoSpaceDN w:val="0"/>
              <w:adjustRightInd w:val="0"/>
              <w:snapToGrid w:val="0"/>
              <w:jc w:val="center"/>
              <w:rPr>
                <w:color w:val="000000"/>
                <w:kern w:val="0"/>
                <w:sz w:val="18"/>
                <w:szCs w:val="18"/>
              </w:rPr>
            </w:pPr>
            <w:r>
              <w:rPr>
                <w:color w:val="000000"/>
                <w:kern w:val="0"/>
                <w:sz w:val="18"/>
                <w:szCs w:val="18"/>
              </w:rPr>
              <w:t>来源</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处理和回用情况</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排放量</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废气</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SO2</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NOX</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颗粒物</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废水</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废水排放量</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COD</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氨氮</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bookmarkEnd w:id="14"/>
      <w:bookmarkEnd w:id="15"/>
      <w:bookmarkEnd w:id="16"/>
      <w:bookmarkEnd w:id="17"/>
    </w:tbl>
    <w:p>
      <w:pPr>
        <w:widowControl/>
        <w:tabs>
          <w:tab w:val="center" w:pos="4201"/>
          <w:tab w:val="right" w:leader="dot" w:pos="9298"/>
        </w:tabs>
        <w:autoSpaceDE w:val="0"/>
        <w:autoSpaceDN w:val="0"/>
        <w:ind w:firstLine="420" w:firstLineChars="200"/>
        <w:rPr>
          <w:kern w:val="0"/>
          <w:szCs w:val="22"/>
        </w:rPr>
      </w:pPr>
      <w:r>
        <w:rPr>
          <w:kern w:val="0"/>
          <w:szCs w:val="22"/>
        </w:rPr>
        <mc:AlternateContent>
          <mc:Choice Requires="wps">
            <w:drawing>
              <wp:anchor distT="0" distB="0" distL="114300" distR="114300" simplePos="0" relativeHeight="251660288" behindDoc="0" locked="0" layoutInCell="1" allowOverlap="1">
                <wp:simplePos x="0" y="0"/>
                <wp:positionH relativeFrom="column">
                  <wp:posOffset>2124710</wp:posOffset>
                </wp:positionH>
                <wp:positionV relativeFrom="paragraph">
                  <wp:posOffset>465455</wp:posOffset>
                </wp:positionV>
                <wp:extent cx="1624330" cy="0"/>
                <wp:effectExtent l="0" t="0" r="33020" b="1905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67.3pt;margin-top:36.65pt;height:0pt;width:127.9pt;z-index:251660288;mso-width-relative:page;mso-height-relative:page;" filled="f" stroked="t" coordsize="21600,21600" o:gfxdata="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46cKdgAAAAJAQAADwAAAAAAAAABACAAAAAiAAAAZHJzL2Rvd25yZXYueG1sUEsB&#10;AhQAFAAAAAgAh07iQOEwMp71AQAAvgMAAA4AAAAAAAAAAQAgAAAAJwEAAGRycy9lMm9Eb2MueG1s&#10;UEsFBgAAAAAGAAYAWQEAAI4FAAAAAA==&#10;">
                <v:fill on="f" focussize="0,0"/>
                <v:stroke color="#000000" joinstyle="round"/>
                <v:imagedata o:title=""/>
                <o:lock v:ext="edit" aspectratio="f"/>
              </v:shape>
            </w:pict>
          </mc:Fallback>
        </mc:AlternateContent>
      </w:r>
    </w:p>
    <w:sectPr>
      <w:headerReference r:id="rId12" w:type="default"/>
      <w:footerReference r:id="rId13"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pPr>
          <w:pStyle w:val="18"/>
          <w:jc w:val="left"/>
        </w:pPr>
        <w:r>
          <w:fldChar w:fldCharType="begin"/>
        </w:r>
        <w:r>
          <w:instrText xml:space="preserve">PAGE   \* MERGEFORMAT</w:instrText>
        </w:r>
        <w:r>
          <w:fldChar w:fldCharType="separate"/>
        </w:r>
        <w:r>
          <w:rPr>
            <w:lang w:val="zh-CN"/>
          </w:rPr>
          <w:t>16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pPr>
    <w:r>
      <w:fldChar w:fldCharType="begin"/>
    </w:r>
    <w:r>
      <w:instrText xml:space="preserve"> PAGE  \* MERGEFORMAT </w:instrText>
    </w:r>
    <w:r>
      <w:fldChar w:fldCharType="separate"/>
    </w:r>
    <w: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84"/>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035925"/>
    <w:rsid w:val="00000097"/>
    <w:rsid w:val="00000244"/>
    <w:rsid w:val="00000CD3"/>
    <w:rsid w:val="0000185F"/>
    <w:rsid w:val="00003624"/>
    <w:rsid w:val="000049B3"/>
    <w:rsid w:val="0000586F"/>
    <w:rsid w:val="00005D79"/>
    <w:rsid w:val="00007340"/>
    <w:rsid w:val="00013D86"/>
    <w:rsid w:val="00013E02"/>
    <w:rsid w:val="00014549"/>
    <w:rsid w:val="00017E7B"/>
    <w:rsid w:val="00020414"/>
    <w:rsid w:val="0002143C"/>
    <w:rsid w:val="00022016"/>
    <w:rsid w:val="000238EC"/>
    <w:rsid w:val="00025A65"/>
    <w:rsid w:val="000267B2"/>
    <w:rsid w:val="00026C31"/>
    <w:rsid w:val="00026FAA"/>
    <w:rsid w:val="00027280"/>
    <w:rsid w:val="000306E3"/>
    <w:rsid w:val="000320A7"/>
    <w:rsid w:val="00033C7F"/>
    <w:rsid w:val="00035925"/>
    <w:rsid w:val="000366F4"/>
    <w:rsid w:val="00037DAC"/>
    <w:rsid w:val="00040A51"/>
    <w:rsid w:val="00041127"/>
    <w:rsid w:val="00043660"/>
    <w:rsid w:val="00045C9B"/>
    <w:rsid w:val="000466F7"/>
    <w:rsid w:val="00054B4A"/>
    <w:rsid w:val="000639E9"/>
    <w:rsid w:val="00063DAA"/>
    <w:rsid w:val="00063E76"/>
    <w:rsid w:val="00064482"/>
    <w:rsid w:val="0006794E"/>
    <w:rsid w:val="00067CDF"/>
    <w:rsid w:val="00074FBE"/>
    <w:rsid w:val="000772BB"/>
    <w:rsid w:val="00077E45"/>
    <w:rsid w:val="000818DD"/>
    <w:rsid w:val="000825B7"/>
    <w:rsid w:val="00083A09"/>
    <w:rsid w:val="0009005E"/>
    <w:rsid w:val="00090BB0"/>
    <w:rsid w:val="00090E08"/>
    <w:rsid w:val="00092857"/>
    <w:rsid w:val="00094BD2"/>
    <w:rsid w:val="0009779B"/>
    <w:rsid w:val="000A20A9"/>
    <w:rsid w:val="000A48B1"/>
    <w:rsid w:val="000A4DFA"/>
    <w:rsid w:val="000A5495"/>
    <w:rsid w:val="000B3143"/>
    <w:rsid w:val="000B4D28"/>
    <w:rsid w:val="000C2469"/>
    <w:rsid w:val="000C30C7"/>
    <w:rsid w:val="000C6B05"/>
    <w:rsid w:val="000C6DD6"/>
    <w:rsid w:val="000C73D4"/>
    <w:rsid w:val="000D03F1"/>
    <w:rsid w:val="000D114F"/>
    <w:rsid w:val="000D3D4C"/>
    <w:rsid w:val="000D4406"/>
    <w:rsid w:val="000D4505"/>
    <w:rsid w:val="000D4F51"/>
    <w:rsid w:val="000D718B"/>
    <w:rsid w:val="000E0C46"/>
    <w:rsid w:val="000E2645"/>
    <w:rsid w:val="000E28AC"/>
    <w:rsid w:val="000E3EC7"/>
    <w:rsid w:val="000F030C"/>
    <w:rsid w:val="000F04B4"/>
    <w:rsid w:val="000F129C"/>
    <w:rsid w:val="000F31BB"/>
    <w:rsid w:val="000F7ADA"/>
    <w:rsid w:val="001018BA"/>
    <w:rsid w:val="001056DE"/>
    <w:rsid w:val="00111863"/>
    <w:rsid w:val="001124C0"/>
    <w:rsid w:val="00121FE9"/>
    <w:rsid w:val="001241EE"/>
    <w:rsid w:val="00125108"/>
    <w:rsid w:val="001257B9"/>
    <w:rsid w:val="001278EF"/>
    <w:rsid w:val="0013175F"/>
    <w:rsid w:val="00132E58"/>
    <w:rsid w:val="00134999"/>
    <w:rsid w:val="0013726B"/>
    <w:rsid w:val="00141BF1"/>
    <w:rsid w:val="00143F81"/>
    <w:rsid w:val="00146E19"/>
    <w:rsid w:val="001512B4"/>
    <w:rsid w:val="00152179"/>
    <w:rsid w:val="00154746"/>
    <w:rsid w:val="00154A8E"/>
    <w:rsid w:val="00156D41"/>
    <w:rsid w:val="00160652"/>
    <w:rsid w:val="001620A5"/>
    <w:rsid w:val="00164E53"/>
    <w:rsid w:val="0016699D"/>
    <w:rsid w:val="001701E9"/>
    <w:rsid w:val="0017259F"/>
    <w:rsid w:val="00172C54"/>
    <w:rsid w:val="00173E6C"/>
    <w:rsid w:val="00175159"/>
    <w:rsid w:val="0017527F"/>
    <w:rsid w:val="00176208"/>
    <w:rsid w:val="00176D4A"/>
    <w:rsid w:val="0017711B"/>
    <w:rsid w:val="0018211B"/>
    <w:rsid w:val="001840D3"/>
    <w:rsid w:val="00186A56"/>
    <w:rsid w:val="00187A9A"/>
    <w:rsid w:val="001900F8"/>
    <w:rsid w:val="0019112B"/>
    <w:rsid w:val="00191258"/>
    <w:rsid w:val="00192680"/>
    <w:rsid w:val="00193037"/>
    <w:rsid w:val="00193A2C"/>
    <w:rsid w:val="00197D88"/>
    <w:rsid w:val="001A01D4"/>
    <w:rsid w:val="001A22BF"/>
    <w:rsid w:val="001A288E"/>
    <w:rsid w:val="001A32EE"/>
    <w:rsid w:val="001B0469"/>
    <w:rsid w:val="001B2C9E"/>
    <w:rsid w:val="001B5E5F"/>
    <w:rsid w:val="001B617C"/>
    <w:rsid w:val="001B6DC2"/>
    <w:rsid w:val="001C149C"/>
    <w:rsid w:val="001C21AC"/>
    <w:rsid w:val="001C47BA"/>
    <w:rsid w:val="001C59EA"/>
    <w:rsid w:val="001D406C"/>
    <w:rsid w:val="001D41EE"/>
    <w:rsid w:val="001D4EC2"/>
    <w:rsid w:val="001D7CB7"/>
    <w:rsid w:val="001E0380"/>
    <w:rsid w:val="001E13B1"/>
    <w:rsid w:val="001E24EA"/>
    <w:rsid w:val="001E55B7"/>
    <w:rsid w:val="001E69DB"/>
    <w:rsid w:val="001F05EE"/>
    <w:rsid w:val="001F3A19"/>
    <w:rsid w:val="001F3FBF"/>
    <w:rsid w:val="002002E4"/>
    <w:rsid w:val="002040EA"/>
    <w:rsid w:val="002046F0"/>
    <w:rsid w:val="0020499E"/>
    <w:rsid w:val="00207392"/>
    <w:rsid w:val="0022046A"/>
    <w:rsid w:val="002242CD"/>
    <w:rsid w:val="002310F8"/>
    <w:rsid w:val="00231142"/>
    <w:rsid w:val="00231970"/>
    <w:rsid w:val="00234467"/>
    <w:rsid w:val="00237D8D"/>
    <w:rsid w:val="00240622"/>
    <w:rsid w:val="00240FE6"/>
    <w:rsid w:val="00241990"/>
    <w:rsid w:val="00241DA2"/>
    <w:rsid w:val="00245B95"/>
    <w:rsid w:val="00247FEE"/>
    <w:rsid w:val="00250E7D"/>
    <w:rsid w:val="002543BB"/>
    <w:rsid w:val="002549B0"/>
    <w:rsid w:val="002565D5"/>
    <w:rsid w:val="00257415"/>
    <w:rsid w:val="00257C39"/>
    <w:rsid w:val="002622C0"/>
    <w:rsid w:val="00262D2E"/>
    <w:rsid w:val="00264F9B"/>
    <w:rsid w:val="00274122"/>
    <w:rsid w:val="002759BB"/>
    <w:rsid w:val="00276B08"/>
    <w:rsid w:val="002778AE"/>
    <w:rsid w:val="0028022A"/>
    <w:rsid w:val="00281919"/>
    <w:rsid w:val="002824CB"/>
    <w:rsid w:val="0028269A"/>
    <w:rsid w:val="00283590"/>
    <w:rsid w:val="00286973"/>
    <w:rsid w:val="00287EDD"/>
    <w:rsid w:val="002904AF"/>
    <w:rsid w:val="00292655"/>
    <w:rsid w:val="00294E70"/>
    <w:rsid w:val="002952CE"/>
    <w:rsid w:val="00296FB8"/>
    <w:rsid w:val="002A06B3"/>
    <w:rsid w:val="002A0C9E"/>
    <w:rsid w:val="002A1924"/>
    <w:rsid w:val="002A390B"/>
    <w:rsid w:val="002A7420"/>
    <w:rsid w:val="002A7C02"/>
    <w:rsid w:val="002B0F12"/>
    <w:rsid w:val="002B1308"/>
    <w:rsid w:val="002B3E73"/>
    <w:rsid w:val="002B4449"/>
    <w:rsid w:val="002B4554"/>
    <w:rsid w:val="002B4FE3"/>
    <w:rsid w:val="002B640B"/>
    <w:rsid w:val="002B6B15"/>
    <w:rsid w:val="002C2696"/>
    <w:rsid w:val="002C72D8"/>
    <w:rsid w:val="002C7F73"/>
    <w:rsid w:val="002D04A2"/>
    <w:rsid w:val="002D11FA"/>
    <w:rsid w:val="002D4DCE"/>
    <w:rsid w:val="002D545A"/>
    <w:rsid w:val="002E0DDF"/>
    <w:rsid w:val="002E2906"/>
    <w:rsid w:val="002E5635"/>
    <w:rsid w:val="002E64C3"/>
    <w:rsid w:val="002E6A2C"/>
    <w:rsid w:val="002F1D8C"/>
    <w:rsid w:val="002F21DA"/>
    <w:rsid w:val="002F31F1"/>
    <w:rsid w:val="002F3F0D"/>
    <w:rsid w:val="002F42E2"/>
    <w:rsid w:val="002F4512"/>
    <w:rsid w:val="002F4891"/>
    <w:rsid w:val="002F57F3"/>
    <w:rsid w:val="002F72D0"/>
    <w:rsid w:val="00301F39"/>
    <w:rsid w:val="00305812"/>
    <w:rsid w:val="003073E0"/>
    <w:rsid w:val="00310478"/>
    <w:rsid w:val="00310E68"/>
    <w:rsid w:val="003117BB"/>
    <w:rsid w:val="00317A37"/>
    <w:rsid w:val="0032071A"/>
    <w:rsid w:val="00325926"/>
    <w:rsid w:val="00326BCE"/>
    <w:rsid w:val="00327A8A"/>
    <w:rsid w:val="003306E2"/>
    <w:rsid w:val="00334596"/>
    <w:rsid w:val="00336610"/>
    <w:rsid w:val="00343F73"/>
    <w:rsid w:val="00345060"/>
    <w:rsid w:val="00345A2F"/>
    <w:rsid w:val="00350BC9"/>
    <w:rsid w:val="0035323B"/>
    <w:rsid w:val="00356876"/>
    <w:rsid w:val="00356951"/>
    <w:rsid w:val="003609D2"/>
    <w:rsid w:val="00363F22"/>
    <w:rsid w:val="003650D5"/>
    <w:rsid w:val="003659A4"/>
    <w:rsid w:val="00371BE7"/>
    <w:rsid w:val="003732A9"/>
    <w:rsid w:val="0037473D"/>
    <w:rsid w:val="00375564"/>
    <w:rsid w:val="0037662F"/>
    <w:rsid w:val="003768C0"/>
    <w:rsid w:val="00383191"/>
    <w:rsid w:val="00383618"/>
    <w:rsid w:val="003839CA"/>
    <w:rsid w:val="003852DB"/>
    <w:rsid w:val="003858BE"/>
    <w:rsid w:val="00385B77"/>
    <w:rsid w:val="00386DED"/>
    <w:rsid w:val="003912E7"/>
    <w:rsid w:val="0039140F"/>
    <w:rsid w:val="00393947"/>
    <w:rsid w:val="003A1F65"/>
    <w:rsid w:val="003A2275"/>
    <w:rsid w:val="003A3F2D"/>
    <w:rsid w:val="003A48CA"/>
    <w:rsid w:val="003A5141"/>
    <w:rsid w:val="003A6A4F"/>
    <w:rsid w:val="003A7088"/>
    <w:rsid w:val="003A7304"/>
    <w:rsid w:val="003B00DF"/>
    <w:rsid w:val="003B1275"/>
    <w:rsid w:val="003B1778"/>
    <w:rsid w:val="003B217D"/>
    <w:rsid w:val="003B32E2"/>
    <w:rsid w:val="003B70DD"/>
    <w:rsid w:val="003B7AC1"/>
    <w:rsid w:val="003C11CB"/>
    <w:rsid w:val="003C5654"/>
    <w:rsid w:val="003C75F3"/>
    <w:rsid w:val="003C78A3"/>
    <w:rsid w:val="003D0240"/>
    <w:rsid w:val="003D0948"/>
    <w:rsid w:val="003D1B0C"/>
    <w:rsid w:val="003D1E37"/>
    <w:rsid w:val="003D721E"/>
    <w:rsid w:val="003E0318"/>
    <w:rsid w:val="003E0D6C"/>
    <w:rsid w:val="003E1225"/>
    <w:rsid w:val="003E1867"/>
    <w:rsid w:val="003E5000"/>
    <w:rsid w:val="003E5729"/>
    <w:rsid w:val="003E5A57"/>
    <w:rsid w:val="003F4EE0"/>
    <w:rsid w:val="00400C28"/>
    <w:rsid w:val="00402153"/>
    <w:rsid w:val="00402FC1"/>
    <w:rsid w:val="0040448F"/>
    <w:rsid w:val="00407532"/>
    <w:rsid w:val="004134DD"/>
    <w:rsid w:val="00413A81"/>
    <w:rsid w:val="004145B9"/>
    <w:rsid w:val="004166CD"/>
    <w:rsid w:val="0041793A"/>
    <w:rsid w:val="00423779"/>
    <w:rsid w:val="00423DBC"/>
    <w:rsid w:val="00425082"/>
    <w:rsid w:val="004279FA"/>
    <w:rsid w:val="00431DEB"/>
    <w:rsid w:val="00433284"/>
    <w:rsid w:val="00440EBF"/>
    <w:rsid w:val="004412E4"/>
    <w:rsid w:val="00446B29"/>
    <w:rsid w:val="004509E6"/>
    <w:rsid w:val="00453F9A"/>
    <w:rsid w:val="004552EA"/>
    <w:rsid w:val="0045659F"/>
    <w:rsid w:val="00462705"/>
    <w:rsid w:val="004643CB"/>
    <w:rsid w:val="00471E91"/>
    <w:rsid w:val="00472AF6"/>
    <w:rsid w:val="00472C6E"/>
    <w:rsid w:val="00474675"/>
    <w:rsid w:val="0047470C"/>
    <w:rsid w:val="0047745F"/>
    <w:rsid w:val="00485828"/>
    <w:rsid w:val="00490762"/>
    <w:rsid w:val="0049326C"/>
    <w:rsid w:val="0049484F"/>
    <w:rsid w:val="004A029F"/>
    <w:rsid w:val="004A0900"/>
    <w:rsid w:val="004A24EB"/>
    <w:rsid w:val="004A2EB0"/>
    <w:rsid w:val="004A35F9"/>
    <w:rsid w:val="004B0452"/>
    <w:rsid w:val="004B1107"/>
    <w:rsid w:val="004B1EA1"/>
    <w:rsid w:val="004B24C1"/>
    <w:rsid w:val="004B3527"/>
    <w:rsid w:val="004B4141"/>
    <w:rsid w:val="004B421B"/>
    <w:rsid w:val="004B7A61"/>
    <w:rsid w:val="004C0DE4"/>
    <w:rsid w:val="004C15CE"/>
    <w:rsid w:val="004C292F"/>
    <w:rsid w:val="004C32E0"/>
    <w:rsid w:val="004C52B4"/>
    <w:rsid w:val="004C6D21"/>
    <w:rsid w:val="004D197C"/>
    <w:rsid w:val="004E4034"/>
    <w:rsid w:val="004E504F"/>
    <w:rsid w:val="004E7695"/>
    <w:rsid w:val="004F10FB"/>
    <w:rsid w:val="004F11BC"/>
    <w:rsid w:val="004F11CA"/>
    <w:rsid w:val="004F63FD"/>
    <w:rsid w:val="00500A34"/>
    <w:rsid w:val="00510280"/>
    <w:rsid w:val="005107C9"/>
    <w:rsid w:val="00513480"/>
    <w:rsid w:val="00513D73"/>
    <w:rsid w:val="00514A43"/>
    <w:rsid w:val="005174E5"/>
    <w:rsid w:val="00522393"/>
    <w:rsid w:val="00522620"/>
    <w:rsid w:val="00522F9A"/>
    <w:rsid w:val="00523F6A"/>
    <w:rsid w:val="00525656"/>
    <w:rsid w:val="00526AEC"/>
    <w:rsid w:val="00534C02"/>
    <w:rsid w:val="00534D29"/>
    <w:rsid w:val="00534EC9"/>
    <w:rsid w:val="0054264B"/>
    <w:rsid w:val="00543786"/>
    <w:rsid w:val="005445B2"/>
    <w:rsid w:val="00550AC2"/>
    <w:rsid w:val="005533D7"/>
    <w:rsid w:val="005609B4"/>
    <w:rsid w:val="00560E0C"/>
    <w:rsid w:val="00561F1B"/>
    <w:rsid w:val="005703DE"/>
    <w:rsid w:val="00571C63"/>
    <w:rsid w:val="00575169"/>
    <w:rsid w:val="00580B6B"/>
    <w:rsid w:val="005828EB"/>
    <w:rsid w:val="00582AD4"/>
    <w:rsid w:val="0058464E"/>
    <w:rsid w:val="00587FD0"/>
    <w:rsid w:val="00592092"/>
    <w:rsid w:val="00592C13"/>
    <w:rsid w:val="005A01CB"/>
    <w:rsid w:val="005A58FF"/>
    <w:rsid w:val="005A5BD3"/>
    <w:rsid w:val="005A5EAF"/>
    <w:rsid w:val="005A64C0"/>
    <w:rsid w:val="005B1AD6"/>
    <w:rsid w:val="005B3747"/>
    <w:rsid w:val="005B3C11"/>
    <w:rsid w:val="005B3CB5"/>
    <w:rsid w:val="005B3ECB"/>
    <w:rsid w:val="005B73B1"/>
    <w:rsid w:val="005C1190"/>
    <w:rsid w:val="005C1C28"/>
    <w:rsid w:val="005C3767"/>
    <w:rsid w:val="005C40BF"/>
    <w:rsid w:val="005C6DB5"/>
    <w:rsid w:val="005C7E1D"/>
    <w:rsid w:val="005D08B6"/>
    <w:rsid w:val="005D347A"/>
    <w:rsid w:val="005D4E43"/>
    <w:rsid w:val="005E0135"/>
    <w:rsid w:val="005E015A"/>
    <w:rsid w:val="005E19E7"/>
    <w:rsid w:val="005E1E9D"/>
    <w:rsid w:val="005E6290"/>
    <w:rsid w:val="005E6661"/>
    <w:rsid w:val="005E71F4"/>
    <w:rsid w:val="005E7A66"/>
    <w:rsid w:val="005F1878"/>
    <w:rsid w:val="005F1913"/>
    <w:rsid w:val="005F2504"/>
    <w:rsid w:val="005F68A1"/>
    <w:rsid w:val="005F7EFC"/>
    <w:rsid w:val="00602123"/>
    <w:rsid w:val="00603CAD"/>
    <w:rsid w:val="006123BE"/>
    <w:rsid w:val="00615922"/>
    <w:rsid w:val="0061716C"/>
    <w:rsid w:val="0062170B"/>
    <w:rsid w:val="006243A1"/>
    <w:rsid w:val="00625775"/>
    <w:rsid w:val="0062654B"/>
    <w:rsid w:val="006268F1"/>
    <w:rsid w:val="006274A6"/>
    <w:rsid w:val="00627580"/>
    <w:rsid w:val="0063111E"/>
    <w:rsid w:val="00632E56"/>
    <w:rsid w:val="00635CBA"/>
    <w:rsid w:val="00635CD4"/>
    <w:rsid w:val="00636D65"/>
    <w:rsid w:val="00640D79"/>
    <w:rsid w:val="00641C62"/>
    <w:rsid w:val="006423A6"/>
    <w:rsid w:val="0064338B"/>
    <w:rsid w:val="00646542"/>
    <w:rsid w:val="00646A44"/>
    <w:rsid w:val="00646A5E"/>
    <w:rsid w:val="006504F4"/>
    <w:rsid w:val="00650B4A"/>
    <w:rsid w:val="00651D37"/>
    <w:rsid w:val="00652A8E"/>
    <w:rsid w:val="00653CBB"/>
    <w:rsid w:val="00654BC9"/>
    <w:rsid w:val="006552FD"/>
    <w:rsid w:val="006554A5"/>
    <w:rsid w:val="00662954"/>
    <w:rsid w:val="00662AFC"/>
    <w:rsid w:val="00663AF3"/>
    <w:rsid w:val="006661D4"/>
    <w:rsid w:val="00666B6C"/>
    <w:rsid w:val="00676D9C"/>
    <w:rsid w:val="006802C6"/>
    <w:rsid w:val="00682682"/>
    <w:rsid w:val="00682702"/>
    <w:rsid w:val="006833B0"/>
    <w:rsid w:val="00684205"/>
    <w:rsid w:val="006862EB"/>
    <w:rsid w:val="006915B7"/>
    <w:rsid w:val="006916B9"/>
    <w:rsid w:val="00692368"/>
    <w:rsid w:val="00692DB1"/>
    <w:rsid w:val="00692EAF"/>
    <w:rsid w:val="006A2EBC"/>
    <w:rsid w:val="006A5EA0"/>
    <w:rsid w:val="006A61D0"/>
    <w:rsid w:val="006A783B"/>
    <w:rsid w:val="006A7AEB"/>
    <w:rsid w:val="006A7B33"/>
    <w:rsid w:val="006B0009"/>
    <w:rsid w:val="006B3B7D"/>
    <w:rsid w:val="006B47BB"/>
    <w:rsid w:val="006B4972"/>
    <w:rsid w:val="006B4E13"/>
    <w:rsid w:val="006B6E45"/>
    <w:rsid w:val="006B75DD"/>
    <w:rsid w:val="006C3EC4"/>
    <w:rsid w:val="006C5EC8"/>
    <w:rsid w:val="006C67E0"/>
    <w:rsid w:val="006C7ABA"/>
    <w:rsid w:val="006D0D60"/>
    <w:rsid w:val="006D1122"/>
    <w:rsid w:val="006D3A7D"/>
    <w:rsid w:val="006D3C00"/>
    <w:rsid w:val="006D5514"/>
    <w:rsid w:val="006E3675"/>
    <w:rsid w:val="006E4A7F"/>
    <w:rsid w:val="006E5E69"/>
    <w:rsid w:val="006E5F94"/>
    <w:rsid w:val="006F2AB3"/>
    <w:rsid w:val="006F738B"/>
    <w:rsid w:val="00702335"/>
    <w:rsid w:val="00704DF6"/>
    <w:rsid w:val="0070651C"/>
    <w:rsid w:val="00707491"/>
    <w:rsid w:val="00707D93"/>
    <w:rsid w:val="00710179"/>
    <w:rsid w:val="0071145F"/>
    <w:rsid w:val="00711B5A"/>
    <w:rsid w:val="007132A3"/>
    <w:rsid w:val="007134B9"/>
    <w:rsid w:val="00716421"/>
    <w:rsid w:val="00717250"/>
    <w:rsid w:val="00717651"/>
    <w:rsid w:val="00722D17"/>
    <w:rsid w:val="00724EFB"/>
    <w:rsid w:val="00726875"/>
    <w:rsid w:val="00727559"/>
    <w:rsid w:val="00727B0D"/>
    <w:rsid w:val="007310A0"/>
    <w:rsid w:val="0073132D"/>
    <w:rsid w:val="00732949"/>
    <w:rsid w:val="00733E7A"/>
    <w:rsid w:val="007360E0"/>
    <w:rsid w:val="00741842"/>
    <w:rsid w:val="007419C3"/>
    <w:rsid w:val="00743192"/>
    <w:rsid w:val="00743B4A"/>
    <w:rsid w:val="00744823"/>
    <w:rsid w:val="007467A7"/>
    <w:rsid w:val="007469DD"/>
    <w:rsid w:val="00747275"/>
    <w:rsid w:val="0074741B"/>
    <w:rsid w:val="0074759E"/>
    <w:rsid w:val="007478EA"/>
    <w:rsid w:val="00753E0E"/>
    <w:rsid w:val="0075415C"/>
    <w:rsid w:val="00756956"/>
    <w:rsid w:val="00763424"/>
    <w:rsid w:val="00763502"/>
    <w:rsid w:val="00763FAE"/>
    <w:rsid w:val="00765463"/>
    <w:rsid w:val="00765465"/>
    <w:rsid w:val="00767D83"/>
    <w:rsid w:val="007718F0"/>
    <w:rsid w:val="00771B48"/>
    <w:rsid w:val="00772FB2"/>
    <w:rsid w:val="00774E9B"/>
    <w:rsid w:val="007760D4"/>
    <w:rsid w:val="00782C2D"/>
    <w:rsid w:val="007848C5"/>
    <w:rsid w:val="00784DB9"/>
    <w:rsid w:val="007913AB"/>
    <w:rsid w:val="007914F7"/>
    <w:rsid w:val="00797015"/>
    <w:rsid w:val="007A2B33"/>
    <w:rsid w:val="007B0C68"/>
    <w:rsid w:val="007B1625"/>
    <w:rsid w:val="007B2AA6"/>
    <w:rsid w:val="007B706E"/>
    <w:rsid w:val="007B71EB"/>
    <w:rsid w:val="007B7F4D"/>
    <w:rsid w:val="007C0A15"/>
    <w:rsid w:val="007C0B4B"/>
    <w:rsid w:val="007C2D77"/>
    <w:rsid w:val="007C31CC"/>
    <w:rsid w:val="007C44C3"/>
    <w:rsid w:val="007C487E"/>
    <w:rsid w:val="007C6205"/>
    <w:rsid w:val="007C686A"/>
    <w:rsid w:val="007C728E"/>
    <w:rsid w:val="007C7D7C"/>
    <w:rsid w:val="007D12D6"/>
    <w:rsid w:val="007D2C53"/>
    <w:rsid w:val="007D3D60"/>
    <w:rsid w:val="007D58A1"/>
    <w:rsid w:val="007E1980"/>
    <w:rsid w:val="007E2EBE"/>
    <w:rsid w:val="007E4B76"/>
    <w:rsid w:val="007E4C8A"/>
    <w:rsid w:val="007E5982"/>
    <w:rsid w:val="007E5EA8"/>
    <w:rsid w:val="007F0949"/>
    <w:rsid w:val="007F0CF1"/>
    <w:rsid w:val="007F12A5"/>
    <w:rsid w:val="007F2D6D"/>
    <w:rsid w:val="007F3B0B"/>
    <w:rsid w:val="007F4CF1"/>
    <w:rsid w:val="007F55A8"/>
    <w:rsid w:val="007F758D"/>
    <w:rsid w:val="007F7D52"/>
    <w:rsid w:val="00802398"/>
    <w:rsid w:val="0080654C"/>
    <w:rsid w:val="008071C6"/>
    <w:rsid w:val="008109D6"/>
    <w:rsid w:val="00811750"/>
    <w:rsid w:val="00815237"/>
    <w:rsid w:val="00817A00"/>
    <w:rsid w:val="00821C5F"/>
    <w:rsid w:val="008278AA"/>
    <w:rsid w:val="0083084A"/>
    <w:rsid w:val="00832776"/>
    <w:rsid w:val="00834260"/>
    <w:rsid w:val="00834B6C"/>
    <w:rsid w:val="00835DA5"/>
    <w:rsid w:val="00835DB3"/>
    <w:rsid w:val="0083617B"/>
    <w:rsid w:val="008371BD"/>
    <w:rsid w:val="0084647F"/>
    <w:rsid w:val="008504A8"/>
    <w:rsid w:val="0085282E"/>
    <w:rsid w:val="008533B6"/>
    <w:rsid w:val="00857A3C"/>
    <w:rsid w:val="00862151"/>
    <w:rsid w:val="00864F43"/>
    <w:rsid w:val="00864FB4"/>
    <w:rsid w:val="0087198C"/>
    <w:rsid w:val="00872896"/>
    <w:rsid w:val="00872C1F"/>
    <w:rsid w:val="00873B42"/>
    <w:rsid w:val="008743BC"/>
    <w:rsid w:val="00874A40"/>
    <w:rsid w:val="0087620B"/>
    <w:rsid w:val="008770F5"/>
    <w:rsid w:val="00877177"/>
    <w:rsid w:val="0087773E"/>
    <w:rsid w:val="00880B73"/>
    <w:rsid w:val="0088194D"/>
    <w:rsid w:val="00882D2B"/>
    <w:rsid w:val="00885289"/>
    <w:rsid w:val="008856D8"/>
    <w:rsid w:val="00892E82"/>
    <w:rsid w:val="00893E37"/>
    <w:rsid w:val="00894FC6"/>
    <w:rsid w:val="008B0A77"/>
    <w:rsid w:val="008B3C4B"/>
    <w:rsid w:val="008C0D91"/>
    <w:rsid w:val="008C137C"/>
    <w:rsid w:val="008C1B46"/>
    <w:rsid w:val="008C1B58"/>
    <w:rsid w:val="008C38FE"/>
    <w:rsid w:val="008C39AE"/>
    <w:rsid w:val="008C3DCD"/>
    <w:rsid w:val="008C590D"/>
    <w:rsid w:val="008C786F"/>
    <w:rsid w:val="008D009D"/>
    <w:rsid w:val="008D250B"/>
    <w:rsid w:val="008D4EA9"/>
    <w:rsid w:val="008E031B"/>
    <w:rsid w:val="008E0EEA"/>
    <w:rsid w:val="008E2388"/>
    <w:rsid w:val="008E4014"/>
    <w:rsid w:val="008E60E2"/>
    <w:rsid w:val="008E620C"/>
    <w:rsid w:val="008E7029"/>
    <w:rsid w:val="008E7EF6"/>
    <w:rsid w:val="008F04D6"/>
    <w:rsid w:val="008F1F98"/>
    <w:rsid w:val="008F5765"/>
    <w:rsid w:val="008F6758"/>
    <w:rsid w:val="00900900"/>
    <w:rsid w:val="00902A08"/>
    <w:rsid w:val="009030E8"/>
    <w:rsid w:val="0090326F"/>
    <w:rsid w:val="009040DD"/>
    <w:rsid w:val="00905B47"/>
    <w:rsid w:val="00906F0A"/>
    <w:rsid w:val="0090711E"/>
    <w:rsid w:val="0091331C"/>
    <w:rsid w:val="0091373B"/>
    <w:rsid w:val="0091457E"/>
    <w:rsid w:val="00916945"/>
    <w:rsid w:val="00917ACA"/>
    <w:rsid w:val="009236CF"/>
    <w:rsid w:val="009240E8"/>
    <w:rsid w:val="00924BA0"/>
    <w:rsid w:val="009279DE"/>
    <w:rsid w:val="00930116"/>
    <w:rsid w:val="00933DC7"/>
    <w:rsid w:val="00933EC5"/>
    <w:rsid w:val="00935676"/>
    <w:rsid w:val="009363F2"/>
    <w:rsid w:val="0093742D"/>
    <w:rsid w:val="009375C7"/>
    <w:rsid w:val="00940FAC"/>
    <w:rsid w:val="00941421"/>
    <w:rsid w:val="0094212C"/>
    <w:rsid w:val="009421BE"/>
    <w:rsid w:val="00944733"/>
    <w:rsid w:val="00946042"/>
    <w:rsid w:val="009473C1"/>
    <w:rsid w:val="009475C8"/>
    <w:rsid w:val="009500A5"/>
    <w:rsid w:val="009504BC"/>
    <w:rsid w:val="009507F6"/>
    <w:rsid w:val="00951D89"/>
    <w:rsid w:val="009520CA"/>
    <w:rsid w:val="00953278"/>
    <w:rsid w:val="00954689"/>
    <w:rsid w:val="009554F8"/>
    <w:rsid w:val="009562D4"/>
    <w:rsid w:val="009602EB"/>
    <w:rsid w:val="009617C9"/>
    <w:rsid w:val="00961C93"/>
    <w:rsid w:val="00963087"/>
    <w:rsid w:val="00965324"/>
    <w:rsid w:val="0097091E"/>
    <w:rsid w:val="0097312C"/>
    <w:rsid w:val="009760D3"/>
    <w:rsid w:val="00977132"/>
    <w:rsid w:val="00980089"/>
    <w:rsid w:val="00981A4B"/>
    <w:rsid w:val="0098238C"/>
    <w:rsid w:val="00982501"/>
    <w:rsid w:val="0098485C"/>
    <w:rsid w:val="00985D50"/>
    <w:rsid w:val="00987386"/>
    <w:rsid w:val="009877D3"/>
    <w:rsid w:val="00994AD9"/>
    <w:rsid w:val="00994E8F"/>
    <w:rsid w:val="009951DC"/>
    <w:rsid w:val="009959BB"/>
    <w:rsid w:val="00996669"/>
    <w:rsid w:val="00997158"/>
    <w:rsid w:val="009A01D6"/>
    <w:rsid w:val="009A3753"/>
    <w:rsid w:val="009A3A7C"/>
    <w:rsid w:val="009B2ADB"/>
    <w:rsid w:val="009B32A5"/>
    <w:rsid w:val="009B346E"/>
    <w:rsid w:val="009B603A"/>
    <w:rsid w:val="009B6E06"/>
    <w:rsid w:val="009C012B"/>
    <w:rsid w:val="009C0F68"/>
    <w:rsid w:val="009C18A3"/>
    <w:rsid w:val="009C2D0E"/>
    <w:rsid w:val="009C3DAC"/>
    <w:rsid w:val="009C42E0"/>
    <w:rsid w:val="009C4EEC"/>
    <w:rsid w:val="009C5BD2"/>
    <w:rsid w:val="009C7DCB"/>
    <w:rsid w:val="009D28B6"/>
    <w:rsid w:val="009D2B49"/>
    <w:rsid w:val="009D5362"/>
    <w:rsid w:val="009E09B4"/>
    <w:rsid w:val="009E1415"/>
    <w:rsid w:val="009E4174"/>
    <w:rsid w:val="009E4E89"/>
    <w:rsid w:val="009E5238"/>
    <w:rsid w:val="009E5754"/>
    <w:rsid w:val="009E6116"/>
    <w:rsid w:val="009E6A1B"/>
    <w:rsid w:val="009E7BBD"/>
    <w:rsid w:val="009F11B5"/>
    <w:rsid w:val="009F11B8"/>
    <w:rsid w:val="009F1B15"/>
    <w:rsid w:val="009F2170"/>
    <w:rsid w:val="009F355E"/>
    <w:rsid w:val="009F4C79"/>
    <w:rsid w:val="009F51BD"/>
    <w:rsid w:val="009F73D8"/>
    <w:rsid w:val="00A00B9D"/>
    <w:rsid w:val="00A0112A"/>
    <w:rsid w:val="00A02E43"/>
    <w:rsid w:val="00A065F9"/>
    <w:rsid w:val="00A07F34"/>
    <w:rsid w:val="00A11FEF"/>
    <w:rsid w:val="00A12552"/>
    <w:rsid w:val="00A132FB"/>
    <w:rsid w:val="00A15157"/>
    <w:rsid w:val="00A22154"/>
    <w:rsid w:val="00A24393"/>
    <w:rsid w:val="00A25C38"/>
    <w:rsid w:val="00A26308"/>
    <w:rsid w:val="00A26A96"/>
    <w:rsid w:val="00A27B20"/>
    <w:rsid w:val="00A34775"/>
    <w:rsid w:val="00A34D69"/>
    <w:rsid w:val="00A368A7"/>
    <w:rsid w:val="00A36BBE"/>
    <w:rsid w:val="00A41191"/>
    <w:rsid w:val="00A4307A"/>
    <w:rsid w:val="00A43097"/>
    <w:rsid w:val="00A47EBB"/>
    <w:rsid w:val="00A50675"/>
    <w:rsid w:val="00A51CDD"/>
    <w:rsid w:val="00A577E8"/>
    <w:rsid w:val="00A57CC7"/>
    <w:rsid w:val="00A6107E"/>
    <w:rsid w:val="00A6394B"/>
    <w:rsid w:val="00A64759"/>
    <w:rsid w:val="00A6730D"/>
    <w:rsid w:val="00A6746D"/>
    <w:rsid w:val="00A711A2"/>
    <w:rsid w:val="00A71625"/>
    <w:rsid w:val="00A71B9B"/>
    <w:rsid w:val="00A72B66"/>
    <w:rsid w:val="00A751C7"/>
    <w:rsid w:val="00A828DE"/>
    <w:rsid w:val="00A828EA"/>
    <w:rsid w:val="00A83E95"/>
    <w:rsid w:val="00A87844"/>
    <w:rsid w:val="00A92231"/>
    <w:rsid w:val="00A924A5"/>
    <w:rsid w:val="00A92ADF"/>
    <w:rsid w:val="00A94C41"/>
    <w:rsid w:val="00A97D1F"/>
    <w:rsid w:val="00AA038C"/>
    <w:rsid w:val="00AA1737"/>
    <w:rsid w:val="00AA7A09"/>
    <w:rsid w:val="00AA7AD2"/>
    <w:rsid w:val="00AB2D90"/>
    <w:rsid w:val="00AB3B50"/>
    <w:rsid w:val="00AB3C6A"/>
    <w:rsid w:val="00AC05B1"/>
    <w:rsid w:val="00AC6F5A"/>
    <w:rsid w:val="00AD28AD"/>
    <w:rsid w:val="00AD2DFC"/>
    <w:rsid w:val="00AD356C"/>
    <w:rsid w:val="00AD6C42"/>
    <w:rsid w:val="00AE2914"/>
    <w:rsid w:val="00AE35E5"/>
    <w:rsid w:val="00AE42A9"/>
    <w:rsid w:val="00AE6D15"/>
    <w:rsid w:val="00AE7BBA"/>
    <w:rsid w:val="00AF03D9"/>
    <w:rsid w:val="00AF2D65"/>
    <w:rsid w:val="00AF40A2"/>
    <w:rsid w:val="00AF4D12"/>
    <w:rsid w:val="00AF5E42"/>
    <w:rsid w:val="00B00BED"/>
    <w:rsid w:val="00B01D5B"/>
    <w:rsid w:val="00B01FF6"/>
    <w:rsid w:val="00B04182"/>
    <w:rsid w:val="00B07AE3"/>
    <w:rsid w:val="00B10F4F"/>
    <w:rsid w:val="00B11430"/>
    <w:rsid w:val="00B1209E"/>
    <w:rsid w:val="00B12D55"/>
    <w:rsid w:val="00B1604C"/>
    <w:rsid w:val="00B174A5"/>
    <w:rsid w:val="00B17FB5"/>
    <w:rsid w:val="00B214DB"/>
    <w:rsid w:val="00B243D1"/>
    <w:rsid w:val="00B2575F"/>
    <w:rsid w:val="00B25987"/>
    <w:rsid w:val="00B3352A"/>
    <w:rsid w:val="00B34078"/>
    <w:rsid w:val="00B34238"/>
    <w:rsid w:val="00B34A96"/>
    <w:rsid w:val="00B353EB"/>
    <w:rsid w:val="00B412AB"/>
    <w:rsid w:val="00B42210"/>
    <w:rsid w:val="00B439C4"/>
    <w:rsid w:val="00B4535E"/>
    <w:rsid w:val="00B462D4"/>
    <w:rsid w:val="00B47B9D"/>
    <w:rsid w:val="00B47C3F"/>
    <w:rsid w:val="00B50D6E"/>
    <w:rsid w:val="00B52A8C"/>
    <w:rsid w:val="00B53C7E"/>
    <w:rsid w:val="00B54165"/>
    <w:rsid w:val="00B60A4D"/>
    <w:rsid w:val="00B61939"/>
    <w:rsid w:val="00B6239F"/>
    <w:rsid w:val="00B62C5E"/>
    <w:rsid w:val="00B636A8"/>
    <w:rsid w:val="00B65085"/>
    <w:rsid w:val="00B651BB"/>
    <w:rsid w:val="00B665C6"/>
    <w:rsid w:val="00B66FA5"/>
    <w:rsid w:val="00B679EE"/>
    <w:rsid w:val="00B74AFC"/>
    <w:rsid w:val="00B74EB5"/>
    <w:rsid w:val="00B805AF"/>
    <w:rsid w:val="00B82D7E"/>
    <w:rsid w:val="00B869EC"/>
    <w:rsid w:val="00B86D7D"/>
    <w:rsid w:val="00B9076F"/>
    <w:rsid w:val="00B9397A"/>
    <w:rsid w:val="00B95E90"/>
    <w:rsid w:val="00B9633D"/>
    <w:rsid w:val="00BA2EBE"/>
    <w:rsid w:val="00BA5F3B"/>
    <w:rsid w:val="00BA6E1A"/>
    <w:rsid w:val="00BA78BF"/>
    <w:rsid w:val="00BB0F28"/>
    <w:rsid w:val="00BB0F47"/>
    <w:rsid w:val="00BB41EA"/>
    <w:rsid w:val="00BB458A"/>
    <w:rsid w:val="00BC18E2"/>
    <w:rsid w:val="00BC21F3"/>
    <w:rsid w:val="00BD00D3"/>
    <w:rsid w:val="00BD1659"/>
    <w:rsid w:val="00BD3AA9"/>
    <w:rsid w:val="00BD4A18"/>
    <w:rsid w:val="00BD6DB2"/>
    <w:rsid w:val="00BD7601"/>
    <w:rsid w:val="00BE042B"/>
    <w:rsid w:val="00BE11CF"/>
    <w:rsid w:val="00BE21AB"/>
    <w:rsid w:val="00BE2E40"/>
    <w:rsid w:val="00BE4E0E"/>
    <w:rsid w:val="00BE55CB"/>
    <w:rsid w:val="00BF356A"/>
    <w:rsid w:val="00BF617A"/>
    <w:rsid w:val="00C0216D"/>
    <w:rsid w:val="00C0379D"/>
    <w:rsid w:val="00C03931"/>
    <w:rsid w:val="00C05FE3"/>
    <w:rsid w:val="00C13D45"/>
    <w:rsid w:val="00C14A56"/>
    <w:rsid w:val="00C174F4"/>
    <w:rsid w:val="00C2136D"/>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1D"/>
    <w:rsid w:val="00C34397"/>
    <w:rsid w:val="00C4095D"/>
    <w:rsid w:val="00C43BC6"/>
    <w:rsid w:val="00C458E9"/>
    <w:rsid w:val="00C543C0"/>
    <w:rsid w:val="00C54EA9"/>
    <w:rsid w:val="00C55F2B"/>
    <w:rsid w:val="00C5655B"/>
    <w:rsid w:val="00C56DF0"/>
    <w:rsid w:val="00C601D2"/>
    <w:rsid w:val="00C613DE"/>
    <w:rsid w:val="00C61CA0"/>
    <w:rsid w:val="00C61E58"/>
    <w:rsid w:val="00C636F9"/>
    <w:rsid w:val="00C64E94"/>
    <w:rsid w:val="00C657AB"/>
    <w:rsid w:val="00C65BCC"/>
    <w:rsid w:val="00C66970"/>
    <w:rsid w:val="00C71400"/>
    <w:rsid w:val="00C71D1E"/>
    <w:rsid w:val="00C73BC7"/>
    <w:rsid w:val="00C74BF3"/>
    <w:rsid w:val="00C778A9"/>
    <w:rsid w:val="00C77B57"/>
    <w:rsid w:val="00C803FF"/>
    <w:rsid w:val="00C80C16"/>
    <w:rsid w:val="00C84B8E"/>
    <w:rsid w:val="00C8585D"/>
    <w:rsid w:val="00C866A1"/>
    <w:rsid w:val="00C8691C"/>
    <w:rsid w:val="00C86A9E"/>
    <w:rsid w:val="00C90606"/>
    <w:rsid w:val="00C95B40"/>
    <w:rsid w:val="00C966B8"/>
    <w:rsid w:val="00CA0E56"/>
    <w:rsid w:val="00CA168A"/>
    <w:rsid w:val="00CA357E"/>
    <w:rsid w:val="00CA3C12"/>
    <w:rsid w:val="00CA44F9"/>
    <w:rsid w:val="00CA4A69"/>
    <w:rsid w:val="00CA6095"/>
    <w:rsid w:val="00CA6444"/>
    <w:rsid w:val="00CB2D67"/>
    <w:rsid w:val="00CB40FD"/>
    <w:rsid w:val="00CB7DFE"/>
    <w:rsid w:val="00CC3E0C"/>
    <w:rsid w:val="00CC58D3"/>
    <w:rsid w:val="00CC784D"/>
    <w:rsid w:val="00CD2F47"/>
    <w:rsid w:val="00CD3B5B"/>
    <w:rsid w:val="00CE2006"/>
    <w:rsid w:val="00CE4C0A"/>
    <w:rsid w:val="00CE51F7"/>
    <w:rsid w:val="00CF15CF"/>
    <w:rsid w:val="00D0337B"/>
    <w:rsid w:val="00D04F64"/>
    <w:rsid w:val="00D05B87"/>
    <w:rsid w:val="00D079B2"/>
    <w:rsid w:val="00D114E9"/>
    <w:rsid w:val="00D11A67"/>
    <w:rsid w:val="00D11FDA"/>
    <w:rsid w:val="00D12894"/>
    <w:rsid w:val="00D221F1"/>
    <w:rsid w:val="00D2393C"/>
    <w:rsid w:val="00D242F8"/>
    <w:rsid w:val="00D26E06"/>
    <w:rsid w:val="00D32C52"/>
    <w:rsid w:val="00D34245"/>
    <w:rsid w:val="00D34E6B"/>
    <w:rsid w:val="00D37A4C"/>
    <w:rsid w:val="00D414A3"/>
    <w:rsid w:val="00D41BB5"/>
    <w:rsid w:val="00D421DF"/>
    <w:rsid w:val="00D429C6"/>
    <w:rsid w:val="00D47748"/>
    <w:rsid w:val="00D5173C"/>
    <w:rsid w:val="00D51EBB"/>
    <w:rsid w:val="00D54CC3"/>
    <w:rsid w:val="00D5538C"/>
    <w:rsid w:val="00D567B0"/>
    <w:rsid w:val="00D6041A"/>
    <w:rsid w:val="00D633EB"/>
    <w:rsid w:val="00D71C2B"/>
    <w:rsid w:val="00D72991"/>
    <w:rsid w:val="00D72B18"/>
    <w:rsid w:val="00D76DDA"/>
    <w:rsid w:val="00D77237"/>
    <w:rsid w:val="00D82FF7"/>
    <w:rsid w:val="00D83842"/>
    <w:rsid w:val="00D842DC"/>
    <w:rsid w:val="00D847FE"/>
    <w:rsid w:val="00D85F8E"/>
    <w:rsid w:val="00D86EC2"/>
    <w:rsid w:val="00D9561C"/>
    <w:rsid w:val="00D964EA"/>
    <w:rsid w:val="00D966D0"/>
    <w:rsid w:val="00D96DA9"/>
    <w:rsid w:val="00D97DB6"/>
    <w:rsid w:val="00DA0C59"/>
    <w:rsid w:val="00DA3991"/>
    <w:rsid w:val="00DA43C3"/>
    <w:rsid w:val="00DB12DE"/>
    <w:rsid w:val="00DB5F1D"/>
    <w:rsid w:val="00DB72FF"/>
    <w:rsid w:val="00DB7566"/>
    <w:rsid w:val="00DB7E6C"/>
    <w:rsid w:val="00DC1267"/>
    <w:rsid w:val="00DC3B61"/>
    <w:rsid w:val="00DC6D7E"/>
    <w:rsid w:val="00DD09D2"/>
    <w:rsid w:val="00DD5A29"/>
    <w:rsid w:val="00DD5D9D"/>
    <w:rsid w:val="00DE0570"/>
    <w:rsid w:val="00DE1E8C"/>
    <w:rsid w:val="00DE35CB"/>
    <w:rsid w:val="00DE54C0"/>
    <w:rsid w:val="00DE5E0F"/>
    <w:rsid w:val="00DE611F"/>
    <w:rsid w:val="00DE6E45"/>
    <w:rsid w:val="00DF21E9"/>
    <w:rsid w:val="00DF3746"/>
    <w:rsid w:val="00DF3835"/>
    <w:rsid w:val="00DF45C6"/>
    <w:rsid w:val="00DF4689"/>
    <w:rsid w:val="00DF5466"/>
    <w:rsid w:val="00E00F14"/>
    <w:rsid w:val="00E014DB"/>
    <w:rsid w:val="00E01B56"/>
    <w:rsid w:val="00E01E2C"/>
    <w:rsid w:val="00E06386"/>
    <w:rsid w:val="00E06523"/>
    <w:rsid w:val="00E06724"/>
    <w:rsid w:val="00E06A22"/>
    <w:rsid w:val="00E1006D"/>
    <w:rsid w:val="00E1088B"/>
    <w:rsid w:val="00E12D88"/>
    <w:rsid w:val="00E14DD6"/>
    <w:rsid w:val="00E2225D"/>
    <w:rsid w:val="00E24EB4"/>
    <w:rsid w:val="00E320ED"/>
    <w:rsid w:val="00E32DF6"/>
    <w:rsid w:val="00E33AFB"/>
    <w:rsid w:val="00E34218"/>
    <w:rsid w:val="00E36B6A"/>
    <w:rsid w:val="00E427A5"/>
    <w:rsid w:val="00E42989"/>
    <w:rsid w:val="00E46282"/>
    <w:rsid w:val="00E47E10"/>
    <w:rsid w:val="00E51468"/>
    <w:rsid w:val="00E5216E"/>
    <w:rsid w:val="00E54137"/>
    <w:rsid w:val="00E55461"/>
    <w:rsid w:val="00E57BBB"/>
    <w:rsid w:val="00E60892"/>
    <w:rsid w:val="00E608D9"/>
    <w:rsid w:val="00E60B84"/>
    <w:rsid w:val="00E6237B"/>
    <w:rsid w:val="00E639D6"/>
    <w:rsid w:val="00E664FF"/>
    <w:rsid w:val="00E67760"/>
    <w:rsid w:val="00E70631"/>
    <w:rsid w:val="00E715C9"/>
    <w:rsid w:val="00E72A9E"/>
    <w:rsid w:val="00E74BE1"/>
    <w:rsid w:val="00E766A1"/>
    <w:rsid w:val="00E76C52"/>
    <w:rsid w:val="00E82344"/>
    <w:rsid w:val="00E84C82"/>
    <w:rsid w:val="00E84D64"/>
    <w:rsid w:val="00E86AF7"/>
    <w:rsid w:val="00E87408"/>
    <w:rsid w:val="00E914C4"/>
    <w:rsid w:val="00E934F5"/>
    <w:rsid w:val="00E957A5"/>
    <w:rsid w:val="00E96961"/>
    <w:rsid w:val="00EA72EC"/>
    <w:rsid w:val="00EB04E1"/>
    <w:rsid w:val="00EB11CB"/>
    <w:rsid w:val="00EB275A"/>
    <w:rsid w:val="00EB3E99"/>
    <w:rsid w:val="00EB786A"/>
    <w:rsid w:val="00EC02C4"/>
    <w:rsid w:val="00EC1578"/>
    <w:rsid w:val="00EC1C72"/>
    <w:rsid w:val="00EC2945"/>
    <w:rsid w:val="00EC3CC9"/>
    <w:rsid w:val="00EC55A5"/>
    <w:rsid w:val="00EC680A"/>
    <w:rsid w:val="00ED0130"/>
    <w:rsid w:val="00ED1196"/>
    <w:rsid w:val="00ED3BD7"/>
    <w:rsid w:val="00ED7AEE"/>
    <w:rsid w:val="00EE1B8C"/>
    <w:rsid w:val="00EE1BF1"/>
    <w:rsid w:val="00EE205B"/>
    <w:rsid w:val="00EE2BED"/>
    <w:rsid w:val="00EE3414"/>
    <w:rsid w:val="00EE374B"/>
    <w:rsid w:val="00EE4805"/>
    <w:rsid w:val="00EE59FB"/>
    <w:rsid w:val="00EE7E7F"/>
    <w:rsid w:val="00EF10F8"/>
    <w:rsid w:val="00EF58BA"/>
    <w:rsid w:val="00EF7629"/>
    <w:rsid w:val="00F01332"/>
    <w:rsid w:val="00F02D00"/>
    <w:rsid w:val="00F069DC"/>
    <w:rsid w:val="00F11BB5"/>
    <w:rsid w:val="00F1417B"/>
    <w:rsid w:val="00F1787C"/>
    <w:rsid w:val="00F20AA8"/>
    <w:rsid w:val="00F3390A"/>
    <w:rsid w:val="00F34B99"/>
    <w:rsid w:val="00F363FC"/>
    <w:rsid w:val="00F37A7F"/>
    <w:rsid w:val="00F37F10"/>
    <w:rsid w:val="00F420F2"/>
    <w:rsid w:val="00F44F85"/>
    <w:rsid w:val="00F510E6"/>
    <w:rsid w:val="00F52DAB"/>
    <w:rsid w:val="00F53443"/>
    <w:rsid w:val="00F54196"/>
    <w:rsid w:val="00F543F0"/>
    <w:rsid w:val="00F55827"/>
    <w:rsid w:val="00F575F3"/>
    <w:rsid w:val="00F60727"/>
    <w:rsid w:val="00F6373D"/>
    <w:rsid w:val="00F64C3D"/>
    <w:rsid w:val="00F7074B"/>
    <w:rsid w:val="00F72314"/>
    <w:rsid w:val="00F737AD"/>
    <w:rsid w:val="00F75807"/>
    <w:rsid w:val="00F81158"/>
    <w:rsid w:val="00F81D29"/>
    <w:rsid w:val="00F81D61"/>
    <w:rsid w:val="00F81DC8"/>
    <w:rsid w:val="00F90061"/>
    <w:rsid w:val="00F91C4D"/>
    <w:rsid w:val="00F91E00"/>
    <w:rsid w:val="00F92FD9"/>
    <w:rsid w:val="00F9356A"/>
    <w:rsid w:val="00F96BC5"/>
    <w:rsid w:val="00F976AD"/>
    <w:rsid w:val="00FA1947"/>
    <w:rsid w:val="00FA1D78"/>
    <w:rsid w:val="00FA2541"/>
    <w:rsid w:val="00FA42EF"/>
    <w:rsid w:val="00FA4EF5"/>
    <w:rsid w:val="00FA6470"/>
    <w:rsid w:val="00FA6684"/>
    <w:rsid w:val="00FA6963"/>
    <w:rsid w:val="00FA705E"/>
    <w:rsid w:val="00FA731E"/>
    <w:rsid w:val="00FB0B66"/>
    <w:rsid w:val="00FB1366"/>
    <w:rsid w:val="00FB2B38"/>
    <w:rsid w:val="00FB3791"/>
    <w:rsid w:val="00FB653E"/>
    <w:rsid w:val="00FC6358"/>
    <w:rsid w:val="00FC6C90"/>
    <w:rsid w:val="00FD04BB"/>
    <w:rsid w:val="00FD066A"/>
    <w:rsid w:val="00FD1AD2"/>
    <w:rsid w:val="00FD320D"/>
    <w:rsid w:val="00FD570D"/>
    <w:rsid w:val="00FD752C"/>
    <w:rsid w:val="00FE05C6"/>
    <w:rsid w:val="00FE11FE"/>
    <w:rsid w:val="00FE1498"/>
    <w:rsid w:val="00FE23DE"/>
    <w:rsid w:val="0A842761"/>
    <w:rsid w:val="0C68411F"/>
    <w:rsid w:val="0DD7773F"/>
    <w:rsid w:val="0E8D76BF"/>
    <w:rsid w:val="0F515C7A"/>
    <w:rsid w:val="11A2456B"/>
    <w:rsid w:val="128A1009"/>
    <w:rsid w:val="1B650AE3"/>
    <w:rsid w:val="1C11425A"/>
    <w:rsid w:val="1F3E57F5"/>
    <w:rsid w:val="2029278C"/>
    <w:rsid w:val="215C14F1"/>
    <w:rsid w:val="24642242"/>
    <w:rsid w:val="2B9D1BD3"/>
    <w:rsid w:val="2E1C1A4E"/>
    <w:rsid w:val="44C91FC3"/>
    <w:rsid w:val="4C4874E2"/>
    <w:rsid w:val="4DC024C2"/>
    <w:rsid w:val="51C508AC"/>
    <w:rsid w:val="521A3A80"/>
    <w:rsid w:val="529945F3"/>
    <w:rsid w:val="52EB336E"/>
    <w:rsid w:val="5AE12A2F"/>
    <w:rsid w:val="5F7B5377"/>
    <w:rsid w:val="6568477B"/>
    <w:rsid w:val="674B0307"/>
    <w:rsid w:val="68D52A0C"/>
    <w:rsid w:val="6E906FA7"/>
    <w:rsid w:val="72917923"/>
    <w:rsid w:val="74A70BD1"/>
    <w:rsid w:val="799C7E72"/>
    <w:rsid w:val="7DBD2FDC"/>
    <w:rsid w:val="7F12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5"/>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link w:val="156"/>
    <w:qFormat/>
    <w:uiPriority w:val="0"/>
    <w:pPr>
      <w:jc w:val="left"/>
      <w:outlineLvl w:val="2"/>
    </w:pPr>
    <w:rPr>
      <w:rFonts w:hint="eastAsia" w:ascii="宋体" w:hAnsi="宋体"/>
      <w:b/>
      <w:kern w:val="0"/>
      <w:sz w:val="24"/>
    </w:r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link w:val="163"/>
    <w:semiHidden/>
    <w:qFormat/>
    <w:uiPriority w:val="0"/>
    <w:pPr>
      <w:shd w:val="clear" w:color="auto" w:fill="000080"/>
    </w:pPr>
  </w:style>
  <w:style w:type="paragraph" w:styleId="9">
    <w:name w:val="annotation text"/>
    <w:basedOn w:val="1"/>
    <w:link w:val="153"/>
    <w:unhideWhenUsed/>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link w:val="165"/>
    <w:semiHidden/>
    <w:qFormat/>
    <w:uiPriority w:val="0"/>
    <w:pPr>
      <w:snapToGrid w:val="0"/>
      <w:jc w:val="left"/>
    </w:pPr>
  </w:style>
  <w:style w:type="paragraph" w:styleId="17">
    <w:name w:val="Balloon Text"/>
    <w:basedOn w:val="1"/>
    <w:link w:val="49"/>
    <w:qFormat/>
    <w:uiPriority w:val="0"/>
    <w:rPr>
      <w:sz w:val="18"/>
      <w:szCs w:val="18"/>
    </w:rPr>
  </w:style>
  <w:style w:type="paragraph" w:styleId="18">
    <w:name w:val="footer"/>
    <w:basedOn w:val="1"/>
    <w:link w:val="60"/>
    <w:qFormat/>
    <w:uiPriority w:val="0"/>
    <w:pPr>
      <w:snapToGrid w:val="0"/>
      <w:ind w:right="210" w:rightChars="100"/>
      <w:jc w:val="right"/>
    </w:pPr>
    <w:rPr>
      <w:sz w:val="18"/>
      <w:szCs w:val="18"/>
    </w:rPr>
  </w:style>
  <w:style w:type="paragraph" w:styleId="19">
    <w:name w:val="header"/>
    <w:basedOn w:val="1"/>
    <w:link w:val="48"/>
    <w:qFormat/>
    <w:uiPriority w:val="0"/>
    <w:pPr>
      <w:snapToGrid w:val="0"/>
      <w:jc w:val="left"/>
    </w:pPr>
    <w:rPr>
      <w:sz w:val="18"/>
      <w:szCs w:val="18"/>
    </w:rPr>
  </w:style>
  <w:style w:type="paragraph" w:styleId="20">
    <w:name w:val="toc 1"/>
    <w:basedOn w:val="1"/>
    <w:next w:val="1"/>
    <w:semiHidden/>
    <w:qFormat/>
    <w:uiPriority w:val="0"/>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164"/>
    <w:qFormat/>
    <w:uiPriority w:val="0"/>
    <w:pPr>
      <w:tabs>
        <w:tab w:val="left" w:pos="0"/>
      </w:tabs>
      <w:snapToGrid w:val="0"/>
      <w:ind w:left="720" w:hanging="357"/>
      <w:jc w:val="left"/>
    </w:pPr>
    <w:rPr>
      <w:rFonts w:ascii="宋体"/>
      <w:sz w:val="18"/>
      <w:szCs w:val="18"/>
    </w:rPr>
  </w:style>
  <w:style w:type="paragraph" w:styleId="26">
    <w:name w:val="toc 6"/>
    <w:basedOn w:val="1"/>
    <w:next w:val="1"/>
    <w:semiHidden/>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9"/>
    <w:next w:val="9"/>
    <w:link w:val="154"/>
    <w:semiHidden/>
    <w:unhideWhenUsed/>
    <w:qFormat/>
    <w:uiPriority w:val="0"/>
    <w:rPr>
      <w:b/>
      <w:bCs/>
    </w:rPr>
  </w:style>
  <w:style w:type="table" w:styleId="35">
    <w:name w:val="Table Grid"/>
    <w:basedOn w:val="34"/>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0"/>
    <w:rPr>
      <w:b/>
      <w:sz w:val="24"/>
      <w:szCs w:val="24"/>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Emphasis"/>
    <w:qFormat/>
    <w:uiPriority w:val="0"/>
    <w:rPr>
      <w:color w:val="CC0000"/>
      <w:sz w:val="24"/>
      <w:szCs w:val="24"/>
    </w:rPr>
  </w:style>
  <w:style w:type="character" w:styleId="42">
    <w:name w:val="Hyperlink"/>
    <w:qFormat/>
    <w:uiPriority w:val="0"/>
    <w:rPr>
      <w:color w:val="0000FF"/>
      <w:spacing w:val="0"/>
      <w:w w:val="100"/>
      <w:szCs w:val="21"/>
      <w:u w:val="single"/>
      <w:lang w:val="en-US" w:eastAsia="zh-CN"/>
    </w:rPr>
  </w:style>
  <w:style w:type="character" w:styleId="43">
    <w:name w:val="annotation reference"/>
    <w:basedOn w:val="36"/>
    <w:unhideWhenUsed/>
    <w:qFormat/>
    <w:uiPriority w:val="0"/>
    <w:rPr>
      <w:sz w:val="21"/>
      <w:szCs w:val="21"/>
    </w:rPr>
  </w:style>
  <w:style w:type="character" w:styleId="44">
    <w:name w:val="HTML Cite"/>
    <w:qFormat/>
    <w:uiPriority w:val="0"/>
    <w:rPr>
      <w:sz w:val="24"/>
      <w:szCs w:val="24"/>
    </w:rPr>
  </w:style>
  <w:style w:type="character" w:styleId="45">
    <w:name w:val="footnote reference"/>
    <w:semiHidden/>
    <w:qFormat/>
    <w:uiPriority w:val="0"/>
    <w:rPr>
      <w:vertAlign w:val="superscript"/>
    </w:rPr>
  </w:style>
  <w:style w:type="character" w:customStyle="1" w:styleId="46">
    <w:name w:val="段 Char"/>
    <w:link w:val="24"/>
    <w:qFormat/>
    <w:uiPriority w:val="0"/>
    <w:rPr>
      <w:rFonts w:ascii="宋体"/>
      <w:sz w:val="21"/>
      <w:lang w:val="en-US" w:eastAsia="zh-CN" w:bidi="ar-SA"/>
    </w:rPr>
  </w:style>
  <w:style w:type="character" w:customStyle="1" w:styleId="47">
    <w:name w:val="访问过的超链接1"/>
    <w:qFormat/>
    <w:uiPriority w:val="0"/>
    <w:rPr>
      <w:color w:val="800080"/>
      <w:u w:val="single"/>
    </w:rPr>
  </w:style>
  <w:style w:type="character" w:customStyle="1" w:styleId="48">
    <w:name w:val="页眉 Char"/>
    <w:link w:val="19"/>
    <w:qFormat/>
    <w:locked/>
    <w:uiPriority w:val="0"/>
    <w:rPr>
      <w:kern w:val="2"/>
      <w:sz w:val="18"/>
      <w:szCs w:val="18"/>
    </w:rPr>
  </w:style>
  <w:style w:type="character" w:customStyle="1" w:styleId="49">
    <w:name w:val="批注框文本 Char"/>
    <w:link w:val="17"/>
    <w:qFormat/>
    <w:uiPriority w:val="0"/>
    <w:rPr>
      <w:kern w:val="2"/>
      <w:sz w:val="18"/>
      <w:szCs w:val="18"/>
    </w:rPr>
  </w:style>
  <w:style w:type="character" w:customStyle="1" w:styleId="50">
    <w:name w:val="发布"/>
    <w:qFormat/>
    <w:uiPriority w:val="0"/>
    <w:rPr>
      <w:rFonts w:ascii="黑体" w:eastAsia="黑体"/>
      <w:spacing w:val="85"/>
      <w:w w:val="100"/>
      <w:position w:val="3"/>
      <w:sz w:val="28"/>
      <w:szCs w:val="28"/>
    </w:rPr>
  </w:style>
  <w:style w:type="character" w:customStyle="1" w:styleId="51">
    <w:name w:val="章标题 Char"/>
    <w:link w:val="52"/>
    <w:qFormat/>
    <w:locked/>
    <w:uiPriority w:val="0"/>
    <w:rPr>
      <w:rFonts w:ascii="黑体" w:eastAsia="黑体"/>
      <w:sz w:val="21"/>
    </w:rPr>
  </w:style>
  <w:style w:type="paragraph" w:customStyle="1" w:styleId="52">
    <w:name w:val="章标题"/>
    <w:next w:val="24"/>
    <w:link w:val="51"/>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qFormat/>
    <w:locked/>
    <w:uiPriority w:val="0"/>
    <w:rPr>
      <w:rFonts w:ascii="黑体" w:eastAsia="黑体"/>
      <w:sz w:val="21"/>
      <w:szCs w:val="21"/>
    </w:rPr>
  </w:style>
  <w:style w:type="paragraph" w:customStyle="1" w:styleId="54">
    <w:name w:val="一级条标题"/>
    <w:next w:val="24"/>
    <w:link w:val="53"/>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55">
    <w:name w:val="二级无 Char"/>
    <w:link w:val="56"/>
    <w:qFormat/>
    <w:locked/>
    <w:uiPriority w:val="0"/>
    <w:rPr>
      <w:rFonts w:ascii="宋体"/>
      <w:sz w:val="21"/>
      <w:szCs w:val="21"/>
    </w:rPr>
  </w:style>
  <w:style w:type="paragraph" w:customStyle="1" w:styleId="56">
    <w:name w:val="二级无"/>
    <w:basedOn w:val="57"/>
    <w:link w:val="55"/>
    <w:qFormat/>
    <w:uiPriority w:val="0"/>
    <w:pPr>
      <w:spacing w:beforeLines="0" w:afterLines="0"/>
    </w:pPr>
    <w:rPr>
      <w:rFonts w:ascii="宋体" w:eastAsia="宋体"/>
    </w:rPr>
  </w:style>
  <w:style w:type="paragraph" w:customStyle="1" w:styleId="57">
    <w:name w:val="二级条标题"/>
    <w:basedOn w:val="54"/>
    <w:next w:val="24"/>
    <w:link w:val="152"/>
    <w:qFormat/>
    <w:uiPriority w:val="0"/>
    <w:pPr>
      <w:spacing w:before="50" w:after="50"/>
      <w:outlineLvl w:val="3"/>
    </w:pPr>
  </w:style>
  <w:style w:type="character" w:customStyle="1" w:styleId="58">
    <w:name w:val="附录公式 Char"/>
    <w:basedOn w:val="46"/>
    <w:link w:val="59"/>
    <w:qFormat/>
    <w:uiPriority w:val="0"/>
    <w:rPr>
      <w:rFonts w:ascii="宋体"/>
      <w:sz w:val="21"/>
      <w:lang w:val="en-US" w:eastAsia="zh-CN" w:bidi="ar-SA"/>
    </w:rPr>
  </w:style>
  <w:style w:type="paragraph" w:customStyle="1" w:styleId="59">
    <w:name w:val="附录公式"/>
    <w:basedOn w:val="24"/>
    <w:next w:val="24"/>
    <w:link w:val="58"/>
    <w:qFormat/>
    <w:uiPriority w:val="0"/>
  </w:style>
  <w:style w:type="character" w:customStyle="1" w:styleId="60">
    <w:name w:val="页脚 Char"/>
    <w:link w:val="18"/>
    <w:qFormat/>
    <w:locked/>
    <w:uiPriority w:val="0"/>
    <w:rPr>
      <w:kern w:val="2"/>
      <w:sz w:val="18"/>
      <w:szCs w:val="18"/>
    </w:rPr>
  </w:style>
  <w:style w:type="character" w:customStyle="1" w:styleId="61">
    <w:name w:val="首示例 Char"/>
    <w:link w:val="62"/>
    <w:qFormat/>
    <w:uiPriority w:val="0"/>
    <w:rPr>
      <w:rFonts w:ascii="宋体" w:hAnsi="宋体"/>
      <w:kern w:val="2"/>
      <w:sz w:val="18"/>
      <w:szCs w:val="18"/>
    </w:rPr>
  </w:style>
  <w:style w:type="paragraph" w:customStyle="1" w:styleId="62">
    <w:name w:val="首示例"/>
    <w:next w:val="24"/>
    <w:link w:val="61"/>
    <w:qFormat/>
    <w:uiPriority w:val="0"/>
    <w:pPr>
      <w:tabs>
        <w:tab w:val="left" w:pos="360"/>
      </w:tabs>
    </w:pPr>
    <w:rPr>
      <w:rFonts w:ascii="宋体" w:hAnsi="宋体" w:eastAsia="宋体" w:cs="Times New Roman"/>
      <w:kern w:val="2"/>
      <w:sz w:val="18"/>
      <w:szCs w:val="18"/>
      <w:lang w:val="en-US" w:eastAsia="zh-CN" w:bidi="ar-SA"/>
    </w:rPr>
  </w:style>
  <w:style w:type="paragraph" w:customStyle="1" w:styleId="63">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6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5">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6">
    <w:name w:val="正文图标题"/>
    <w:next w:val="2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7">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示例后文字"/>
    <w:basedOn w:val="24"/>
    <w:next w:val="24"/>
    <w:qFormat/>
    <w:uiPriority w:val="0"/>
    <w:pPr>
      <w:ind w:firstLine="360"/>
    </w:pPr>
    <w:rPr>
      <w:sz w:val="18"/>
    </w:rPr>
  </w:style>
  <w:style w:type="paragraph" w:customStyle="1" w:styleId="6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附录表标号"/>
    <w:basedOn w:val="1"/>
    <w:next w:val="24"/>
    <w:qFormat/>
    <w:uiPriority w:val="0"/>
    <w:pPr>
      <w:spacing w:line="14" w:lineRule="exact"/>
      <w:ind w:left="811" w:hanging="448"/>
      <w:jc w:val="center"/>
      <w:outlineLvl w:val="0"/>
    </w:pPr>
    <w:rPr>
      <w:color w:val="FFFFFF"/>
    </w:rPr>
  </w:style>
  <w:style w:type="paragraph" w:customStyle="1" w:styleId="72">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3">
    <w:name w:val="封面一致性程度标识"/>
    <w:basedOn w:val="74"/>
    <w:qFormat/>
    <w:uiPriority w:val="0"/>
    <w:pPr>
      <w:framePr w:wrap="around"/>
      <w:spacing w:before="440"/>
    </w:pPr>
    <w:rPr>
      <w:rFonts w:ascii="宋体" w:eastAsia="宋体"/>
    </w:rPr>
  </w:style>
  <w:style w:type="paragraph" w:customStyle="1" w:styleId="74">
    <w:name w:val="封面标准英文名称"/>
    <w:basedOn w:val="75"/>
    <w:qFormat/>
    <w:uiPriority w:val="0"/>
    <w:pPr>
      <w:framePr w:wrap="around"/>
      <w:spacing w:before="370" w:line="400" w:lineRule="exact"/>
    </w:pPr>
    <w:rPr>
      <w:rFonts w:ascii="Times New Roman"/>
      <w:sz w:val="28"/>
      <w:szCs w:val="28"/>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附录二级无"/>
    <w:basedOn w:val="72"/>
    <w:qFormat/>
    <w:uiPriority w:val="0"/>
    <w:pPr>
      <w:tabs>
        <w:tab w:val="clear" w:pos="360"/>
      </w:tabs>
      <w:spacing w:beforeLines="0" w:afterLines="0"/>
    </w:pPr>
    <w:rPr>
      <w:rFonts w:ascii="宋体" w:eastAsia="宋体"/>
      <w:szCs w:val="21"/>
    </w:rPr>
  </w:style>
  <w:style w:type="paragraph" w:customStyle="1" w:styleId="77">
    <w:name w:val="一级无"/>
    <w:basedOn w:val="54"/>
    <w:qFormat/>
    <w:uiPriority w:val="0"/>
    <w:pPr>
      <w:spacing w:beforeLines="0" w:afterLines="0"/>
    </w:pPr>
    <w:rPr>
      <w:rFonts w:ascii="宋体" w:eastAsia="宋体"/>
    </w:rPr>
  </w:style>
  <w:style w:type="paragraph" w:customStyle="1" w:styleId="78">
    <w:name w:val="实施日期"/>
    <w:basedOn w:val="64"/>
    <w:qFormat/>
    <w:uiPriority w:val="0"/>
    <w:pPr>
      <w:framePr w:wrap="around" w:vAnchor="page" w:hAnchor="text"/>
      <w:jc w:val="right"/>
    </w:pPr>
  </w:style>
  <w:style w:type="paragraph" w:customStyle="1" w:styleId="79">
    <w:name w:val="四级无"/>
    <w:basedOn w:val="80"/>
    <w:qFormat/>
    <w:uiPriority w:val="0"/>
    <w:pPr>
      <w:spacing w:beforeLines="0" w:afterLines="0"/>
    </w:pPr>
    <w:rPr>
      <w:rFonts w:ascii="宋体" w:eastAsia="宋体"/>
    </w:rPr>
  </w:style>
  <w:style w:type="paragraph" w:customStyle="1" w:styleId="80">
    <w:name w:val="四级条标题"/>
    <w:basedOn w:val="81"/>
    <w:next w:val="24"/>
    <w:qFormat/>
    <w:uiPriority w:val="0"/>
    <w:pPr>
      <w:outlineLvl w:val="5"/>
    </w:pPr>
  </w:style>
  <w:style w:type="paragraph" w:customStyle="1" w:styleId="81">
    <w:name w:val="三级条标题"/>
    <w:basedOn w:val="57"/>
    <w:next w:val="24"/>
    <w:qFormat/>
    <w:uiPriority w:val="0"/>
    <w:pPr>
      <w:outlineLvl w:val="4"/>
    </w:pPr>
  </w:style>
  <w:style w:type="paragraph" w:customStyle="1" w:styleId="82">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83">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84">
    <w:name w:val="正文表标题"/>
    <w:next w:val="24"/>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6">
    <w:name w:val="图标脚注说明"/>
    <w:basedOn w:val="24"/>
    <w:qFormat/>
    <w:uiPriority w:val="0"/>
    <w:pPr>
      <w:ind w:left="840" w:hanging="420" w:firstLineChars="0"/>
    </w:pPr>
    <w:rPr>
      <w:sz w:val="18"/>
      <w:szCs w:val="18"/>
    </w:rPr>
  </w:style>
  <w:style w:type="paragraph" w:customStyle="1" w:styleId="87">
    <w:name w:val="列项◆（三级）"/>
    <w:basedOn w:val="1"/>
    <w:qFormat/>
    <w:uiPriority w:val="0"/>
    <w:pPr>
      <w:tabs>
        <w:tab w:val="left" w:pos="1678"/>
      </w:tabs>
      <w:ind w:left="1678" w:hanging="414"/>
    </w:pPr>
    <w:rPr>
      <w:rFonts w:ascii="宋体"/>
      <w:szCs w:val="21"/>
    </w:rPr>
  </w:style>
  <w:style w:type="paragraph" w:customStyle="1" w:styleId="88">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9">
    <w:name w:val="附录三级条标题"/>
    <w:basedOn w:val="72"/>
    <w:next w:val="24"/>
    <w:qFormat/>
    <w:uiPriority w:val="0"/>
    <w:pPr>
      <w:outlineLvl w:val="4"/>
    </w:pPr>
  </w:style>
  <w:style w:type="paragraph" w:customStyle="1" w:styleId="9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1">
    <w:name w:val="附录五级无"/>
    <w:basedOn w:val="92"/>
    <w:qFormat/>
    <w:uiPriority w:val="0"/>
    <w:pPr>
      <w:tabs>
        <w:tab w:val="left" w:pos="360"/>
      </w:tabs>
      <w:spacing w:beforeLines="0" w:afterLines="0"/>
    </w:pPr>
    <w:rPr>
      <w:rFonts w:ascii="宋体" w:eastAsia="宋体"/>
      <w:szCs w:val="21"/>
    </w:rPr>
  </w:style>
  <w:style w:type="paragraph" w:customStyle="1" w:styleId="92">
    <w:name w:val="附录五级条标题"/>
    <w:basedOn w:val="93"/>
    <w:next w:val="24"/>
    <w:qFormat/>
    <w:uiPriority w:val="0"/>
    <w:pPr>
      <w:tabs>
        <w:tab w:val="left" w:pos="360"/>
      </w:tabs>
      <w:outlineLvl w:val="6"/>
    </w:pPr>
  </w:style>
  <w:style w:type="paragraph" w:customStyle="1" w:styleId="93">
    <w:name w:val="附录四级条标题"/>
    <w:basedOn w:val="89"/>
    <w:next w:val="24"/>
    <w:qFormat/>
    <w:uiPriority w:val="0"/>
    <w:pPr>
      <w:outlineLvl w:val="5"/>
    </w:pPr>
  </w:style>
  <w:style w:type="paragraph" w:customStyle="1" w:styleId="9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5">
    <w:name w:val="附录一级无"/>
    <w:basedOn w:val="96"/>
    <w:qFormat/>
    <w:uiPriority w:val="0"/>
    <w:pPr>
      <w:tabs>
        <w:tab w:val="left" w:pos="360"/>
      </w:tabs>
      <w:spacing w:beforeLines="0" w:afterLines="0"/>
    </w:pPr>
    <w:rPr>
      <w:rFonts w:ascii="宋体" w:eastAsia="宋体"/>
      <w:szCs w:val="21"/>
    </w:rPr>
  </w:style>
  <w:style w:type="paragraph" w:customStyle="1" w:styleId="96">
    <w:name w:val="附录一级条标题"/>
    <w:basedOn w:val="97"/>
    <w:next w:val="24"/>
    <w:qFormat/>
    <w:uiPriority w:val="0"/>
    <w:pPr>
      <w:tabs>
        <w:tab w:val="left" w:pos="360"/>
      </w:tabs>
      <w:autoSpaceDN w:val="0"/>
      <w:spacing w:beforeLines="50" w:afterLines="50"/>
      <w:outlineLvl w:val="2"/>
    </w:pPr>
  </w:style>
  <w:style w:type="paragraph" w:customStyle="1" w:styleId="97">
    <w:name w:val="附录章标题"/>
    <w:next w:val="24"/>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0">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101">
    <w:name w:val="附录图标题"/>
    <w:basedOn w:val="1"/>
    <w:next w:val="24"/>
    <w:qFormat/>
    <w:uiPriority w:val="0"/>
    <w:pPr>
      <w:tabs>
        <w:tab w:val="left" w:pos="363"/>
      </w:tabs>
      <w:spacing w:beforeLines="50" w:afterLines="50"/>
      <w:jc w:val="center"/>
    </w:pPr>
    <w:rPr>
      <w:rFonts w:ascii="黑体" w:eastAsia="黑体"/>
      <w:szCs w:val="21"/>
    </w:rPr>
  </w:style>
  <w:style w:type="paragraph" w:customStyle="1" w:styleId="102">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03">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6">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7">
    <w:name w:val="条文脚注"/>
    <w:basedOn w:val="25"/>
    <w:qFormat/>
    <w:uiPriority w:val="0"/>
    <w:pPr>
      <w:ind w:left="0" w:firstLine="0"/>
      <w:jc w:val="both"/>
    </w:pPr>
  </w:style>
  <w:style w:type="paragraph" w:customStyle="1" w:styleId="10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9">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10">
    <w:name w:val="示例"/>
    <w:next w:val="111"/>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1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2">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13">
    <w:name w:val="封面一致性程度标识2"/>
    <w:basedOn w:val="73"/>
    <w:qFormat/>
    <w:uiPriority w:val="0"/>
    <w:pPr>
      <w:framePr w:wrap="around" w:y="4469"/>
    </w:pPr>
  </w:style>
  <w:style w:type="paragraph" w:customStyle="1" w:styleId="114">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15">
    <w:name w:val="附录三级无"/>
    <w:basedOn w:val="89"/>
    <w:qFormat/>
    <w:uiPriority w:val="0"/>
    <w:pPr>
      <w:tabs>
        <w:tab w:val="clear" w:pos="360"/>
      </w:tabs>
      <w:spacing w:beforeLines="0" w:afterLines="0"/>
    </w:pPr>
    <w:rPr>
      <w:rFonts w:ascii="宋体" w:eastAsia="宋体"/>
      <w:szCs w:val="21"/>
    </w:rPr>
  </w:style>
  <w:style w:type="paragraph" w:customStyle="1" w:styleId="116">
    <w:name w:val="其他发布日期"/>
    <w:basedOn w:val="64"/>
    <w:qFormat/>
    <w:uiPriority w:val="0"/>
    <w:pPr>
      <w:framePr w:wrap="around" w:vAnchor="page" w:hAnchor="text" w:x="1419"/>
    </w:pPr>
  </w:style>
  <w:style w:type="paragraph" w:customStyle="1" w:styleId="117">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8">
    <w:name w:val="其他标准标志"/>
    <w:basedOn w:val="108"/>
    <w:qFormat/>
    <w:uiPriority w:val="0"/>
    <w:pPr>
      <w:framePr w:w="6101" w:wrap="around" w:vAnchor="page" w:hAnchor="page" w:x="4673" w:y="942"/>
    </w:pPr>
    <w:rPr>
      <w:w w:val="130"/>
    </w:rPr>
  </w:style>
  <w:style w:type="paragraph" w:customStyle="1" w:styleId="11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0">
    <w:name w:val="图表脚注说明"/>
    <w:basedOn w:val="1"/>
    <w:qFormat/>
    <w:uiPriority w:val="0"/>
    <w:pPr>
      <w:ind w:left="544" w:hanging="181"/>
    </w:pPr>
    <w:rPr>
      <w:rFonts w:ascii="宋体"/>
      <w:sz w:val="18"/>
      <w:szCs w:val="18"/>
    </w:rPr>
  </w:style>
  <w:style w:type="paragraph" w:customStyle="1" w:styleId="121">
    <w:name w:val="五级条标题"/>
    <w:basedOn w:val="80"/>
    <w:next w:val="24"/>
    <w:qFormat/>
    <w:uiPriority w:val="0"/>
    <w:pPr>
      <w:outlineLvl w:val="6"/>
    </w:pPr>
  </w:style>
  <w:style w:type="paragraph" w:customStyle="1" w:styleId="122">
    <w:name w:val="封面标准文稿类别"/>
    <w:basedOn w:val="73"/>
    <w:qFormat/>
    <w:uiPriority w:val="0"/>
    <w:pPr>
      <w:framePr w:wrap="around"/>
      <w:spacing w:after="160" w:line="240" w:lineRule="auto"/>
    </w:pPr>
    <w:rPr>
      <w:sz w:val="24"/>
    </w:rPr>
  </w:style>
  <w:style w:type="paragraph" w:customStyle="1" w:styleId="12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4">
    <w:name w:val="示例×："/>
    <w:basedOn w:val="52"/>
    <w:qFormat/>
    <w:uiPriority w:val="0"/>
    <w:pPr>
      <w:spacing w:beforeLines="0" w:afterLines="0"/>
      <w:ind w:firstLine="363"/>
      <w:outlineLvl w:val="9"/>
    </w:pPr>
    <w:rPr>
      <w:rFonts w:ascii="宋体" w:eastAsia="宋体"/>
      <w:sz w:val="18"/>
      <w:szCs w:val="18"/>
    </w:rPr>
  </w:style>
  <w:style w:type="paragraph" w:customStyle="1" w:styleId="12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6">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7">
    <w:name w:val="附录标识"/>
    <w:basedOn w:val="1"/>
    <w:next w:val="24"/>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8">
    <w:name w:val="标准书眉_偶数页"/>
    <w:basedOn w:val="90"/>
    <w:next w:val="1"/>
    <w:qFormat/>
    <w:uiPriority w:val="0"/>
    <w:pPr>
      <w:jc w:val="left"/>
    </w:pPr>
  </w:style>
  <w:style w:type="paragraph" w:customStyle="1" w:styleId="129">
    <w:name w:val="封面标准文稿编辑信息"/>
    <w:basedOn w:val="122"/>
    <w:qFormat/>
    <w:uiPriority w:val="0"/>
    <w:pPr>
      <w:framePr w:wrap="around"/>
      <w:spacing w:before="180" w:line="180" w:lineRule="exact"/>
    </w:pPr>
    <w:rPr>
      <w:sz w:val="21"/>
    </w:rPr>
  </w:style>
  <w:style w:type="paragraph" w:customStyle="1" w:styleId="130">
    <w:name w:val="附录表标题"/>
    <w:basedOn w:val="1"/>
    <w:next w:val="24"/>
    <w:qFormat/>
    <w:uiPriority w:val="0"/>
    <w:pPr>
      <w:tabs>
        <w:tab w:val="left" w:pos="180"/>
      </w:tabs>
      <w:spacing w:beforeLines="50" w:afterLines="50"/>
      <w:jc w:val="center"/>
    </w:pPr>
    <w:rPr>
      <w:rFonts w:ascii="黑体" w:eastAsia="黑体"/>
      <w:szCs w:val="21"/>
    </w:rPr>
  </w:style>
  <w:style w:type="paragraph" w:customStyle="1" w:styleId="131">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32">
    <w:name w:val="注：（正文）"/>
    <w:basedOn w:val="131"/>
    <w:next w:val="24"/>
    <w:qFormat/>
    <w:uiPriority w:val="0"/>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3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6">
    <w:name w:val="附录标题"/>
    <w:basedOn w:val="24"/>
    <w:next w:val="24"/>
    <w:qFormat/>
    <w:uiPriority w:val="0"/>
    <w:pPr>
      <w:ind w:firstLine="0" w:firstLineChars="0"/>
      <w:jc w:val="center"/>
    </w:pPr>
    <w:rPr>
      <w:rFonts w:ascii="黑体" w:eastAsia="黑体"/>
    </w:rPr>
  </w:style>
  <w:style w:type="paragraph" w:customStyle="1" w:styleId="13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8">
    <w:name w:val="封面标准名称2"/>
    <w:basedOn w:val="75"/>
    <w:qFormat/>
    <w:uiPriority w:val="0"/>
    <w:pPr>
      <w:framePr w:wrap="around" w:y="4469"/>
      <w:spacing w:beforeLines="630"/>
    </w:pPr>
  </w:style>
  <w:style w:type="paragraph" w:customStyle="1" w:styleId="139">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40">
    <w:name w:val="封面标准文稿编辑信息2"/>
    <w:basedOn w:val="129"/>
    <w:qFormat/>
    <w:uiPriority w:val="0"/>
    <w:pPr>
      <w:framePr w:wrap="around" w:y="4469"/>
    </w:pPr>
  </w:style>
  <w:style w:type="paragraph" w:customStyle="1" w:styleId="141">
    <w:name w:val="其他发布部门"/>
    <w:basedOn w:val="139"/>
    <w:qFormat/>
    <w:uiPriority w:val="0"/>
    <w:pPr>
      <w:framePr w:wrap="around" w:y="15310"/>
      <w:spacing w:line="0" w:lineRule="atLeast"/>
    </w:pPr>
    <w:rPr>
      <w:rFonts w:ascii="黑体" w:eastAsia="黑体"/>
      <w:b w:val="0"/>
    </w:rPr>
  </w:style>
  <w:style w:type="paragraph" w:customStyle="1" w:styleId="142">
    <w:name w:val="附录四级无"/>
    <w:basedOn w:val="93"/>
    <w:qFormat/>
    <w:uiPriority w:val="0"/>
    <w:pPr>
      <w:tabs>
        <w:tab w:val="clear" w:pos="360"/>
      </w:tabs>
      <w:spacing w:beforeLines="0" w:afterLines="0"/>
    </w:pPr>
    <w:rPr>
      <w:rFonts w:ascii="宋体" w:eastAsia="宋体"/>
      <w:szCs w:val="21"/>
    </w:rPr>
  </w:style>
  <w:style w:type="paragraph" w:customStyle="1" w:styleId="143">
    <w:name w:val="三级无"/>
    <w:basedOn w:val="81"/>
    <w:qFormat/>
    <w:uiPriority w:val="0"/>
    <w:pPr>
      <w:spacing w:beforeLines="0" w:afterLines="0"/>
    </w:pPr>
    <w:rPr>
      <w:rFonts w:ascii="宋体" w:eastAsia="宋体"/>
    </w:rPr>
  </w:style>
  <w:style w:type="paragraph" w:customStyle="1" w:styleId="144">
    <w:name w:val="五级无"/>
    <w:basedOn w:val="121"/>
    <w:qFormat/>
    <w:uiPriority w:val="0"/>
    <w:pPr>
      <w:spacing w:beforeLines="0" w:afterLines="0"/>
    </w:pPr>
    <w:rPr>
      <w:rFonts w:ascii="宋体" w:eastAsia="宋体"/>
    </w:rPr>
  </w:style>
  <w:style w:type="paragraph" w:customStyle="1" w:styleId="145">
    <w:name w:val="正文公式编号制表符"/>
    <w:basedOn w:val="24"/>
    <w:next w:val="24"/>
    <w:qFormat/>
    <w:uiPriority w:val="0"/>
    <w:pPr>
      <w:ind w:firstLine="0" w:firstLineChars="0"/>
    </w:pPr>
  </w:style>
  <w:style w:type="paragraph" w:customStyle="1" w:styleId="146">
    <w:name w:val="终结线"/>
    <w:basedOn w:val="1"/>
    <w:qFormat/>
    <w:uiPriority w:val="0"/>
    <w:pPr>
      <w:framePr w:hSpace="181" w:vSpace="181" w:wrap="around" w:vAnchor="text" w:hAnchor="margin" w:xAlign="center" w:y="285"/>
    </w:pPr>
  </w:style>
  <w:style w:type="paragraph" w:customStyle="1" w:styleId="147">
    <w:name w:val="其他实施日期"/>
    <w:basedOn w:val="78"/>
    <w:qFormat/>
    <w:uiPriority w:val="0"/>
    <w:pPr>
      <w:framePr w:wrap="around"/>
    </w:pPr>
  </w:style>
  <w:style w:type="paragraph" w:customStyle="1" w:styleId="148">
    <w:name w:val="封面标准英文名称2"/>
    <w:basedOn w:val="74"/>
    <w:qFormat/>
    <w:uiPriority w:val="0"/>
    <w:pPr>
      <w:framePr w:wrap="around" w:y="4469"/>
    </w:pPr>
  </w:style>
  <w:style w:type="paragraph" w:customStyle="1" w:styleId="149">
    <w:name w:val="封面标准文稿类别2"/>
    <w:basedOn w:val="122"/>
    <w:qFormat/>
    <w:uiPriority w:val="0"/>
    <w:pPr>
      <w:framePr w:wrap="around" w:y="4469"/>
    </w:pPr>
  </w:style>
  <w:style w:type="paragraph" w:styleId="150">
    <w:name w:val="List Paragraph"/>
    <w:basedOn w:val="1"/>
    <w:qFormat/>
    <w:uiPriority w:val="99"/>
    <w:pPr>
      <w:ind w:firstLine="420" w:firstLineChars="200"/>
    </w:pPr>
    <w:rPr>
      <w:rFonts w:ascii="Calibri" w:hAnsi="Calibri"/>
      <w:szCs w:val="22"/>
    </w:rPr>
  </w:style>
  <w:style w:type="paragraph" w:customStyle="1" w:styleId="151">
    <w:name w:val="Char Char Char Char"/>
    <w:basedOn w:val="1"/>
    <w:qFormat/>
    <w:uiPriority w:val="0"/>
    <w:pPr>
      <w:adjustRightInd w:val="0"/>
      <w:spacing w:line="360" w:lineRule="auto"/>
    </w:pPr>
    <w:rPr>
      <w:kern w:val="0"/>
      <w:sz w:val="24"/>
      <w:szCs w:val="20"/>
    </w:rPr>
  </w:style>
  <w:style w:type="character" w:customStyle="1" w:styleId="152">
    <w:name w:val="二级条标题 Char"/>
    <w:link w:val="57"/>
    <w:qFormat/>
    <w:locked/>
    <w:uiPriority w:val="0"/>
    <w:rPr>
      <w:rFonts w:ascii="黑体" w:eastAsia="黑体"/>
      <w:sz w:val="21"/>
      <w:szCs w:val="21"/>
    </w:rPr>
  </w:style>
  <w:style w:type="character" w:customStyle="1" w:styleId="153">
    <w:name w:val="批注文字 Char"/>
    <w:basedOn w:val="36"/>
    <w:link w:val="9"/>
    <w:qFormat/>
    <w:uiPriority w:val="0"/>
    <w:rPr>
      <w:kern w:val="2"/>
      <w:sz w:val="21"/>
      <w:szCs w:val="24"/>
    </w:rPr>
  </w:style>
  <w:style w:type="character" w:customStyle="1" w:styleId="154">
    <w:name w:val="批注主题 Char"/>
    <w:basedOn w:val="153"/>
    <w:link w:val="33"/>
    <w:semiHidden/>
    <w:qFormat/>
    <w:uiPriority w:val="0"/>
    <w:rPr>
      <w:b/>
      <w:bCs/>
      <w:kern w:val="2"/>
      <w:sz w:val="21"/>
      <w:szCs w:val="24"/>
    </w:rPr>
  </w:style>
  <w:style w:type="character" w:customStyle="1" w:styleId="155">
    <w:name w:val="标题 1 Char"/>
    <w:basedOn w:val="36"/>
    <w:link w:val="2"/>
    <w:qFormat/>
    <w:uiPriority w:val="0"/>
    <w:rPr>
      <w:rFonts w:ascii="宋体" w:hAnsi="宋体"/>
      <w:b/>
      <w:kern w:val="44"/>
      <w:sz w:val="48"/>
      <w:szCs w:val="48"/>
    </w:rPr>
  </w:style>
  <w:style w:type="character" w:customStyle="1" w:styleId="156">
    <w:name w:val="标题 3 Char"/>
    <w:basedOn w:val="36"/>
    <w:link w:val="3"/>
    <w:qFormat/>
    <w:uiPriority w:val="0"/>
    <w:rPr>
      <w:rFonts w:ascii="宋体" w:hAnsi="宋体"/>
      <w:b/>
      <w:sz w:val="24"/>
      <w:szCs w:val="24"/>
    </w:rPr>
  </w:style>
  <w:style w:type="character" w:customStyle="1" w:styleId="157">
    <w:name w:val="font11"/>
    <w:qFormat/>
    <w:uiPriority w:val="0"/>
    <w:rPr>
      <w:rFonts w:hint="default" w:ascii="Times New Roman" w:hAnsi="Times New Roman" w:cs="Times New Roman"/>
      <w:b/>
      <w:color w:val="000000"/>
      <w:sz w:val="24"/>
      <w:szCs w:val="24"/>
      <w:u w:val="none"/>
    </w:rPr>
  </w:style>
  <w:style w:type="character" w:customStyle="1" w:styleId="158">
    <w:name w:val="font31"/>
    <w:qFormat/>
    <w:uiPriority w:val="0"/>
    <w:rPr>
      <w:rFonts w:hint="default" w:ascii="Times New Roman" w:hAnsi="Times New Roman" w:cs="Times New Roman"/>
      <w:color w:val="000000"/>
      <w:sz w:val="24"/>
      <w:szCs w:val="24"/>
      <w:u w:val="none"/>
    </w:rPr>
  </w:style>
  <w:style w:type="character" w:customStyle="1" w:styleId="159">
    <w:name w:val="font21"/>
    <w:qFormat/>
    <w:uiPriority w:val="0"/>
    <w:rPr>
      <w:rFonts w:hint="eastAsia" w:ascii="宋体" w:hAnsi="宋体" w:eastAsia="宋体" w:cs="宋体"/>
      <w:color w:val="000000"/>
      <w:sz w:val="24"/>
      <w:szCs w:val="24"/>
      <w:u w:val="none"/>
    </w:rPr>
  </w:style>
  <w:style w:type="character" w:customStyle="1" w:styleId="160">
    <w:name w:val="font41"/>
    <w:qFormat/>
    <w:uiPriority w:val="0"/>
    <w:rPr>
      <w:rFonts w:hint="default" w:ascii="Times New Roman" w:hAnsi="Times New Roman" w:cs="Times New Roman"/>
      <w:b/>
      <w:color w:val="000000"/>
      <w:sz w:val="24"/>
      <w:szCs w:val="24"/>
      <w:u w:val="none"/>
    </w:rPr>
  </w:style>
  <w:style w:type="character" w:customStyle="1" w:styleId="161">
    <w:name w:val="font81"/>
    <w:qFormat/>
    <w:uiPriority w:val="0"/>
    <w:rPr>
      <w:rFonts w:hint="eastAsia" w:ascii="宋体" w:hAnsi="宋体" w:eastAsia="宋体" w:cs="宋体"/>
      <w:color w:val="000000"/>
      <w:sz w:val="22"/>
      <w:szCs w:val="22"/>
      <w:u w:val="none"/>
    </w:rPr>
  </w:style>
  <w:style w:type="character" w:customStyle="1" w:styleId="162">
    <w:name w:val="font51"/>
    <w:qFormat/>
    <w:uiPriority w:val="0"/>
    <w:rPr>
      <w:rFonts w:hint="eastAsia" w:ascii="宋体" w:hAnsi="宋体" w:eastAsia="宋体" w:cs="宋体"/>
      <w:b/>
      <w:color w:val="000000"/>
      <w:sz w:val="24"/>
      <w:szCs w:val="24"/>
      <w:u w:val="none"/>
    </w:rPr>
  </w:style>
  <w:style w:type="character" w:customStyle="1" w:styleId="163">
    <w:name w:val="文档结构图 Char"/>
    <w:basedOn w:val="36"/>
    <w:link w:val="8"/>
    <w:semiHidden/>
    <w:qFormat/>
    <w:uiPriority w:val="0"/>
    <w:rPr>
      <w:kern w:val="2"/>
      <w:sz w:val="21"/>
      <w:szCs w:val="24"/>
      <w:shd w:val="clear" w:color="auto" w:fill="000080"/>
    </w:rPr>
  </w:style>
  <w:style w:type="character" w:customStyle="1" w:styleId="164">
    <w:name w:val="脚注文本 Char"/>
    <w:basedOn w:val="36"/>
    <w:link w:val="25"/>
    <w:qFormat/>
    <w:uiPriority w:val="0"/>
    <w:rPr>
      <w:rFonts w:ascii="宋体"/>
      <w:kern w:val="2"/>
      <w:sz w:val="18"/>
      <w:szCs w:val="18"/>
    </w:rPr>
  </w:style>
  <w:style w:type="character" w:customStyle="1" w:styleId="165">
    <w:name w:val="尾注文本 Char"/>
    <w:basedOn w:val="36"/>
    <w:link w:val="16"/>
    <w:semiHidden/>
    <w:qFormat/>
    <w:uiPriority w:val="0"/>
    <w:rPr>
      <w:kern w:val="2"/>
      <w:sz w:val="21"/>
      <w:szCs w:val="24"/>
    </w:rPr>
  </w:style>
  <w:style w:type="character" w:customStyle="1" w:styleId="166">
    <w:name w:val="批注框文本 Char1"/>
    <w:basedOn w:val="36"/>
    <w:semiHidden/>
    <w:qFormat/>
    <w:uiPriority w:val="99"/>
    <w:rPr>
      <w:kern w:val="2"/>
      <w:sz w:val="18"/>
      <w:szCs w:val="18"/>
    </w:rPr>
  </w:style>
  <w:style w:type="paragraph" w:customStyle="1" w:styleId="167">
    <w:name w:val="列出段落1"/>
    <w:basedOn w:val="1"/>
    <w:qFormat/>
    <w:uiPriority w:val="34"/>
    <w:pPr>
      <w:ind w:firstLine="420" w:firstLineChars="200"/>
    </w:pPr>
  </w:style>
  <w:style w:type="table" w:customStyle="1" w:styleId="168">
    <w:name w:val="网格型1"/>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C52581-6AB7-4C40-AE83-B1825A6E62DB}">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1801</Words>
  <Characters>10267</Characters>
  <Lines>85</Lines>
  <Paragraphs>24</Paragraphs>
  <TotalTime>0</TotalTime>
  <ScaleCrop>false</ScaleCrop>
  <LinksUpToDate>false</LinksUpToDate>
  <CharactersWithSpaces>12044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2023-04-04T01:21:00Z</dcterms:created>
  <dcterms:modified xsi:type="dcterms:W3CDTF">2023-08-24T07:53:22Z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57D9988D6F52450A9E6CEB6490BDBBF3</vt:lpwstr>
  </property>
</Properties>
</file>