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焊接钢管</w:t>
      </w:r>
    </w:p>
    <w:p>
      <w:pPr>
        <w:pStyle w:val="70"/>
        <w:framePr w:wrap="around" w:x="1381" w:y="6406"/>
      </w:pPr>
      <w:r>
        <w:t>Technical specification for green-design product assessment—</w:t>
      </w:r>
    </w:p>
    <w:p>
      <w:pPr>
        <w:pStyle w:val="70"/>
        <w:framePr w:wrap="around" w:x="1381" w:y="6406"/>
      </w:pPr>
      <w:r>
        <w:t>Welded steel pipe</w:t>
      </w:r>
    </w:p>
    <w:p>
      <w:pPr>
        <w:pStyle w:val="113"/>
        <w:framePr w:wrap="around" w:hAnchor="page" w:x="1387" w:y="14075"/>
        <w:rPr>
          <w:rFonts w:eastAsia="宋体"/>
        </w:rPr>
      </w:pPr>
      <w:r>
        <w:rPr>
          <w:rFonts w:eastAsia="宋体"/>
        </w:rPr>
        <w:t>20</w:t>
      </w:r>
      <w:bookmarkStart w:id="0" w:name="FM"/>
      <w:r>
        <w:rPr>
          <w:rFonts w:eastAsia="宋体"/>
        </w:rPr>
        <w:t>23-</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eastAsia="宋体"/>
        </w:rPr>
        <w:t>2023-XX-XX实施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75</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8</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951"/>
      <w:bookmarkStart w:id="2" w:name="_Toc26452183"/>
      <w:bookmarkStart w:id="3" w:name="_Toc40476791"/>
      <w:bookmarkStart w:id="4" w:name="_Toc534127476"/>
      <w:bookmarkStart w:id="5" w:name="_Toc40475545"/>
      <w:bookmarkStart w:id="6" w:name="_Toc1337"/>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rPr>
          <w:rFonts w:ascii="Times New Roman" w:hAnsi="Times New Roman" w:eastAsia="宋体" w:cs="Times New Roman"/>
        </w:rPr>
      </w:pPr>
      <w:r>
        <w:rPr>
          <w:rFonts w:ascii="Times New Roman" w:hAnsi="Times New Roman" w:eastAsia="宋体" w:cs="Times New Roman"/>
          <w:szCs w:val="21"/>
        </w:rPr>
        <w:t>本标准由中国特钢企业协会团体标准化工作委员会</w:t>
      </w:r>
      <w:r>
        <w:rPr>
          <w:rFonts w:hint="eastAsia" w:ascii="Times New Roman" w:hAnsi="Times New Roman" w:eastAsia="宋体" w:cs="Times New Roman"/>
        </w:rPr>
        <w:t>、中关村不锈及特种合金新材料产业技术创新联盟标准化工作委员会联合</w:t>
      </w:r>
      <w:r>
        <w:rPr>
          <w:rFonts w:ascii="Times New Roman" w:hAnsi="Times New Roman" w:eastAsia="宋体" w:cs="Times New Roman"/>
        </w:rPr>
        <w:t>提出并归口。</w:t>
      </w:r>
    </w:p>
    <w:p>
      <w:pPr>
        <w:pStyle w:val="22"/>
        <w:rPr>
          <w:rFonts w:ascii="Times New Roman"/>
        </w:rPr>
      </w:pPr>
      <w:bookmarkStart w:id="18" w:name="_GoBack"/>
      <w:bookmarkEnd w:id="18"/>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r>
        <w:rPr>
          <w:rFonts w:hint="eastAsia" w:ascii="Times New Roman"/>
        </w:rPr>
        <w:t xml:space="preserve">  焊接钢管</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焊接钢管</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焊接钢管</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 xml:space="preserve">GB/T 223.3  </w:t>
      </w:r>
      <w:r>
        <w:rPr>
          <w:rFonts w:hint="eastAsia" w:ascii="Times New Roman"/>
        </w:rPr>
        <w:t>钢铁及合金化学分析方法 二安替比林甲烷磷钼酸重量法测定磷量</w:t>
      </w:r>
    </w:p>
    <w:p>
      <w:pPr>
        <w:pStyle w:val="22"/>
        <w:rPr>
          <w:rFonts w:ascii="Times New Roman"/>
        </w:rPr>
      </w:pPr>
      <w:r>
        <w:rPr>
          <w:rFonts w:ascii="Times New Roman"/>
        </w:rPr>
        <w:t xml:space="preserve">GB/T 223.29  </w:t>
      </w:r>
      <w:r>
        <w:rPr>
          <w:rFonts w:hint="eastAsia" w:ascii="Times New Roman"/>
        </w:rPr>
        <w:t>钢铁及合金 铅含量的测定 载体沉淀-二甲酚橙分光光度法</w:t>
      </w:r>
    </w:p>
    <w:p>
      <w:pPr>
        <w:pStyle w:val="22"/>
        <w:rPr>
          <w:rFonts w:ascii="Times New Roman"/>
        </w:rPr>
      </w:pPr>
      <w:r>
        <w:rPr>
          <w:rFonts w:ascii="Times New Roman"/>
        </w:rPr>
        <w:t xml:space="preserve">GB/T 223.31  </w:t>
      </w:r>
      <w:r>
        <w:rPr>
          <w:rFonts w:hint="eastAsia" w:ascii="Times New Roman"/>
        </w:rPr>
        <w:t>钢铁及合金 砷含量的测定 蒸馏分离-钼蓝分光光度法</w:t>
      </w:r>
    </w:p>
    <w:p>
      <w:pPr>
        <w:pStyle w:val="22"/>
        <w:rPr>
          <w:rFonts w:ascii="Times New Roman"/>
        </w:rPr>
      </w:pPr>
      <w:r>
        <w:rPr>
          <w:rFonts w:ascii="Times New Roman"/>
        </w:rPr>
        <w:t xml:space="preserve">GB/T 223.47  </w:t>
      </w:r>
      <w:r>
        <w:rPr>
          <w:rFonts w:hint="eastAsia" w:ascii="Times New Roman"/>
        </w:rPr>
        <w:t>钢铁及合金化学分析方法 载体沉淀-钼蓝光度法测定锑量</w:t>
      </w:r>
    </w:p>
    <w:p>
      <w:pPr>
        <w:pStyle w:val="22"/>
        <w:rPr>
          <w:rFonts w:ascii="Times New Roman"/>
        </w:rPr>
      </w:pPr>
      <w:r>
        <w:rPr>
          <w:rFonts w:ascii="Times New Roman"/>
        </w:rPr>
        <w:t xml:space="preserve">GB/T 223.50  </w:t>
      </w:r>
      <w:r>
        <w:rPr>
          <w:rFonts w:hint="eastAsia" w:ascii="Times New Roman"/>
        </w:rPr>
        <w:t>钢铁及合金化学分析方法 苯基荧光酮-溴化十六烷基三甲基胺直接光度法测定锡量</w:t>
      </w:r>
    </w:p>
    <w:p>
      <w:pPr>
        <w:pStyle w:val="22"/>
        <w:rPr>
          <w:rFonts w:ascii="Times New Roman"/>
        </w:rPr>
      </w:pPr>
      <w:r>
        <w:rPr>
          <w:rFonts w:ascii="Times New Roman"/>
        </w:rPr>
        <w:t xml:space="preserve">GB/T 223.68  </w:t>
      </w:r>
      <w:r>
        <w:rPr>
          <w:rFonts w:hint="eastAsia" w:ascii="Times New Roman"/>
        </w:rPr>
        <w:t>钢铁及合金化学分析方法  管式炉内燃烧后碘酸钾滴定法测定硫含量</w:t>
      </w:r>
    </w:p>
    <w:p>
      <w:pPr>
        <w:pStyle w:val="22"/>
        <w:rPr>
          <w:rFonts w:ascii="Times New Roman"/>
        </w:rPr>
      </w:pPr>
      <w:r>
        <w:rPr>
          <w:rFonts w:ascii="Times New Roman"/>
        </w:rPr>
        <w:t xml:space="preserve">GB/T 223.80  </w:t>
      </w:r>
      <w:r>
        <w:rPr>
          <w:rFonts w:hint="eastAsia" w:ascii="Times New Roman"/>
        </w:rPr>
        <w:t>钢铁及合金 铋和砷含量的测定 氢化物发生-原子荧光光谱法</w:t>
      </w:r>
    </w:p>
    <w:p>
      <w:pPr>
        <w:pStyle w:val="22"/>
        <w:rPr>
          <w:rFonts w:ascii="Times New Roman"/>
        </w:rPr>
      </w:pPr>
      <w:r>
        <w:rPr>
          <w:rFonts w:ascii="Times New Roman"/>
        </w:rPr>
        <w:t xml:space="preserve">GB/T 228.1  </w:t>
      </w:r>
      <w:r>
        <w:rPr>
          <w:rFonts w:hint="eastAsia" w:ascii="Times New Roman"/>
        </w:rPr>
        <w:t>金属材料 拉伸试验 第1部分:室温试验方法</w:t>
      </w:r>
    </w:p>
    <w:p>
      <w:pPr>
        <w:pStyle w:val="22"/>
        <w:rPr>
          <w:rFonts w:ascii="Times New Roman"/>
        </w:rPr>
      </w:pPr>
      <w:r>
        <w:rPr>
          <w:rFonts w:ascii="Times New Roman"/>
        </w:rPr>
        <w:t xml:space="preserve">GB/T 229  </w:t>
      </w:r>
      <w:r>
        <w:rPr>
          <w:rFonts w:hint="eastAsia" w:ascii="Times New Roman"/>
        </w:rPr>
        <w:t>金属材料 夏比摆锤冲击试验方法</w:t>
      </w:r>
    </w:p>
    <w:p>
      <w:pPr>
        <w:pStyle w:val="22"/>
        <w:rPr>
          <w:rFonts w:ascii="Times New Roman"/>
        </w:rPr>
      </w:pPr>
      <w:r>
        <w:rPr>
          <w:rFonts w:ascii="Times New Roman"/>
        </w:rPr>
        <w:t xml:space="preserve">GB/T 699  </w:t>
      </w:r>
      <w:r>
        <w:rPr>
          <w:rFonts w:hint="eastAsia" w:ascii="Times New Roman"/>
        </w:rPr>
        <w:t>优质碳素结构钢</w:t>
      </w:r>
    </w:p>
    <w:p>
      <w:pPr>
        <w:pStyle w:val="22"/>
        <w:rPr>
          <w:rFonts w:ascii="Times New Roman"/>
        </w:rPr>
      </w:pPr>
      <w:r>
        <w:rPr>
          <w:rFonts w:ascii="Times New Roman"/>
        </w:rPr>
        <w:t xml:space="preserve">GB/T 700  </w:t>
      </w:r>
      <w:r>
        <w:rPr>
          <w:rFonts w:hint="eastAsia" w:ascii="Times New Roman"/>
        </w:rPr>
        <w:t>碳素</w:t>
      </w:r>
      <w:r>
        <w:rPr>
          <w:rFonts w:ascii="Times New Roman"/>
        </w:rPr>
        <w:t>结构钢</w:t>
      </w:r>
    </w:p>
    <w:p>
      <w:pPr>
        <w:pStyle w:val="22"/>
        <w:rPr>
          <w:rFonts w:ascii="Times New Roman"/>
        </w:rPr>
      </w:pPr>
      <w:r>
        <w:rPr>
          <w:rFonts w:ascii="Times New Roman"/>
        </w:rPr>
        <w:t xml:space="preserve">GB/T 1591  </w:t>
      </w:r>
      <w:r>
        <w:rPr>
          <w:rFonts w:hint="eastAsia" w:ascii="Times New Roman"/>
        </w:rPr>
        <w:t>低合金高强度结构钢</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w:t>
      </w:r>
      <w:r>
        <w:rPr>
          <w:rFonts w:hint="eastAsia" w:ascii="Times New Roman"/>
        </w:rPr>
        <w:t xml:space="preserve"> </w:t>
      </w:r>
      <w:r>
        <w:rPr>
          <w:rFonts w:ascii="Times New Roman"/>
        </w:rPr>
        <w:t xml:space="preserve"> 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w:t>
      </w:r>
      <w:r>
        <w:rPr>
          <w:rFonts w:hint="eastAsia" w:ascii="Times New Roman"/>
        </w:rPr>
        <w:t xml:space="preserve"> </w:t>
      </w:r>
      <w:r>
        <w:rPr>
          <w:rFonts w:ascii="Times New Roman"/>
        </w:rPr>
        <w:t xml:space="preserve"> 生命周期评价原则与框架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w:t>
      </w:r>
      <w:r>
        <w:rPr>
          <w:rFonts w:hint="eastAsia" w:ascii="Times New Roman"/>
        </w:rPr>
        <w:t xml:space="preserve"> </w:t>
      </w:r>
      <w:r>
        <w:rPr>
          <w:rFonts w:ascii="Times New Roman"/>
        </w:rPr>
        <w:t xml:space="preserve"> 生命周期评价要求与指南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w:t>
      </w:r>
      <w:r>
        <w:rPr>
          <w:rFonts w:hint="eastAsia" w:ascii="Times New Roman"/>
        </w:rPr>
        <w:t xml:space="preserve">  </w:t>
      </w:r>
      <w:r>
        <w:rPr>
          <w:rFonts w:ascii="Times New Roman"/>
        </w:rPr>
        <w:t>要求及使用指南</w:t>
      </w:r>
    </w:p>
    <w:p>
      <w:pPr>
        <w:pStyle w:val="22"/>
        <w:rPr>
          <w:rFonts w:ascii="Times New Roman"/>
        </w:rPr>
      </w:pPr>
      <w:r>
        <w:rPr>
          <w:rFonts w:ascii="Times New Roman"/>
        </w:rPr>
        <w:t xml:space="preserve">GB/T 50632—2019  </w:t>
      </w:r>
      <w:r>
        <w:rPr>
          <w:rFonts w:hint="eastAsia" w:ascii="Times New Roman"/>
        </w:rPr>
        <w:t>钢铁企业节能设计规范</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ind w:left="0"/>
        <w:rPr>
          <w:rFonts w:ascii="Times New Roman"/>
          <w:szCs w:val="22"/>
        </w:rPr>
      </w:pPr>
    </w:p>
    <w:p>
      <w:pPr>
        <w:pStyle w:val="22"/>
        <w:rPr>
          <w:rFonts w:ascii="Times New Roman"/>
        </w:rPr>
      </w:pPr>
      <w:r>
        <w:rPr>
          <w:rFonts w:ascii="Times New Roman"/>
        </w:rPr>
        <w:t>产品制造生命周期  life cycle of steel products manufacture</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ind w:left="0"/>
        <w:rPr>
          <w:rFonts w:ascii="Times New Roman"/>
          <w:szCs w:val="22"/>
        </w:rPr>
      </w:pPr>
    </w:p>
    <w:p>
      <w:pPr>
        <w:pStyle w:val="22"/>
        <w:rPr>
          <w:rFonts w:ascii="Times New Roman"/>
        </w:rPr>
      </w:pPr>
      <w:r>
        <w:rPr>
          <w:rFonts w:ascii="Times New Roman"/>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ind w:left="0"/>
        <w:rPr>
          <w:rFonts w:ascii="Times New Roman"/>
          <w:szCs w:val="22"/>
        </w:rPr>
      </w:pPr>
    </w:p>
    <w:p>
      <w:pPr>
        <w:pStyle w:val="22"/>
        <w:rPr>
          <w:rFonts w:ascii="Times New Roman"/>
        </w:rPr>
      </w:pPr>
      <w:r>
        <w:rPr>
          <w:rFonts w:ascii="Times New Roman"/>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ind w:left="0"/>
        <w:rPr>
          <w:rFonts w:ascii="Times New Roman"/>
          <w:szCs w:val="22"/>
        </w:rPr>
      </w:pPr>
    </w:p>
    <w:p>
      <w:pPr>
        <w:pStyle w:val="22"/>
        <w:rPr>
          <w:rFonts w:ascii="Times New Roman"/>
        </w:rPr>
      </w:pPr>
      <w:r>
        <w:rPr>
          <w:rFonts w:ascii="Times New Roman"/>
        </w:rPr>
        <w:t xml:space="preserve">生命周期评价报告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ind w:left="0"/>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rPr>
        <w:t>焊接钢管</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ind w:left="0"/>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焊接钢管</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焊接钢管</w:t>
      </w:r>
      <w:r>
        <w:rPr>
          <w:rFonts w:ascii="Times New Roman"/>
        </w:rPr>
        <w:t>产品生命周期评价报告（见6.2）。</w:t>
      </w:r>
    </w:p>
    <w:p>
      <w:pPr>
        <w:pStyle w:val="52"/>
        <w:rPr>
          <w:rFonts w:ascii="Times New Roman"/>
          <w:szCs w:val="22"/>
        </w:rPr>
      </w:pPr>
      <w:r>
        <w:rPr>
          <w:rFonts w:ascii="Times New Roman"/>
          <w:szCs w:val="22"/>
        </w:rPr>
        <w:t>评价要求</w:t>
      </w:r>
    </w:p>
    <w:p>
      <w:pPr>
        <w:pStyle w:val="54"/>
        <w:ind w:left="0"/>
        <w:rPr>
          <w:rFonts w:ascii="Times New Roman"/>
          <w:szCs w:val="22"/>
        </w:rPr>
      </w:pPr>
      <w:r>
        <w:rPr>
          <w:rFonts w:ascii="Times New Roman"/>
          <w:szCs w:val="22"/>
        </w:rPr>
        <w:t>基本要求</w:t>
      </w:r>
    </w:p>
    <w:p>
      <w:pPr>
        <w:pStyle w:val="22"/>
        <w:rPr>
          <w:rFonts w:ascii="Times New Roman"/>
        </w:rPr>
      </w:pPr>
      <w:r>
        <w:rPr>
          <w:rFonts w:hint="eastAsia" w:ascii="Times New Roman"/>
        </w:rPr>
        <w:t>焊接钢管</w:t>
      </w:r>
      <w:r>
        <w:rPr>
          <w:rFonts w:ascii="Times New Roman"/>
        </w:rPr>
        <w:t>生产企业应满足以下要求，包括但不限于：</w:t>
      </w:r>
    </w:p>
    <w:p>
      <w:pPr>
        <w:pStyle w:val="22"/>
        <w:numPr>
          <w:ilvl w:val="0"/>
          <w:numId w:val="18"/>
        </w:numPr>
        <w:rPr>
          <w:rFonts w:ascii="Times New Roman"/>
        </w:rPr>
      </w:pPr>
      <w:r>
        <w:rPr>
          <w:rFonts w:ascii="Times New Roman"/>
        </w:rPr>
        <w:t>符合安全生产规范，生产企业三年内（投产不足三年的，自投产之日起）无重大安全和环境污染事故；</w:t>
      </w:r>
    </w:p>
    <w:p>
      <w:pPr>
        <w:pStyle w:val="22"/>
        <w:numPr>
          <w:ilvl w:val="0"/>
          <w:numId w:val="18"/>
        </w:numPr>
        <w:rPr>
          <w:rFonts w:ascii="Times New Roman"/>
        </w:rPr>
      </w:pP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污染物排放达到国家和地方排放控制和排污许可管理要求；</w:t>
      </w:r>
    </w:p>
    <w:p>
      <w:pPr>
        <w:pStyle w:val="22"/>
        <w:numPr>
          <w:ilvl w:val="0"/>
          <w:numId w:val="18"/>
        </w:numPr>
        <w:rPr>
          <w:rFonts w:ascii="Times New Roman"/>
        </w:rPr>
      </w:pPr>
      <w:r>
        <w:rPr>
          <w:rFonts w:hint="eastAsia" w:ascii="Times New Roman"/>
        </w:rPr>
        <w:t>污染物总量控制应达到国家和地方污染物排放总量控制指标；</w:t>
      </w:r>
    </w:p>
    <w:p>
      <w:pPr>
        <w:pStyle w:val="22"/>
        <w:numPr>
          <w:ilvl w:val="0"/>
          <w:numId w:val="18"/>
        </w:numPr>
        <w:rPr>
          <w:rFonts w:ascii="Times New Roman"/>
        </w:rPr>
      </w:pPr>
      <w:r>
        <w:rPr>
          <w:rFonts w:ascii="Times New Roman"/>
        </w:rPr>
        <w:t>应确保参与绿色设计产品评价的产品基本性能符合</w:t>
      </w:r>
      <w:r>
        <w:rPr>
          <w:rFonts w:hint="eastAsia" w:ascii="Times New Roman"/>
        </w:rPr>
        <w:t>相关国家</w:t>
      </w:r>
      <w:r>
        <w:rPr>
          <w:rFonts w:ascii="Times New Roman"/>
        </w:rPr>
        <w:t>标准、行业标准的规定，并满足用户设计和使用的要求</w:t>
      </w:r>
      <w:r>
        <w:rPr>
          <w:rFonts w:hint="eastAsia" w:ascii="Times New Roman"/>
        </w:rPr>
        <w:t>。</w:t>
      </w:r>
    </w:p>
    <w:p>
      <w:pPr>
        <w:pStyle w:val="111"/>
        <w:numPr>
          <w:ilvl w:val="0"/>
          <w:numId w:val="18"/>
        </w:numPr>
        <w:ind w:firstLineChars="0"/>
        <w:rPr>
          <w:rFonts w:ascii="Times New Roman" w:hAnsi="Times New Roman"/>
          <w:kern w:val="0"/>
          <w:szCs w:val="20"/>
        </w:rPr>
      </w:pPr>
      <w:r>
        <w:rPr>
          <w:rFonts w:hint="eastAsia" w:ascii="Times New Roman" w:hAnsi="Times New Roman"/>
          <w:kern w:val="0"/>
          <w:szCs w:val="20"/>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w:t>
      </w:r>
      <w:r>
        <w:rPr>
          <w:rFonts w:hint="eastAsia" w:ascii="Times New Roman"/>
        </w:rPr>
        <w:t>检测或配备</w:t>
      </w:r>
      <w:r>
        <w:rPr>
          <w:rFonts w:ascii="Times New Roman"/>
        </w:rPr>
        <w:t>在线监测设备</w:t>
      </w:r>
      <w:r>
        <w:rPr>
          <w:rFonts w:hint="eastAsia" w:ascii="Times New Roman"/>
        </w:rPr>
        <w:t>。</w:t>
      </w:r>
    </w:p>
    <w:p>
      <w:pPr>
        <w:pStyle w:val="54"/>
        <w:ind w:left="0"/>
        <w:rPr>
          <w:rFonts w:ascii="Times New Roman"/>
          <w:szCs w:val="22"/>
        </w:rPr>
      </w:pPr>
      <w:r>
        <w:rPr>
          <w:rFonts w:ascii="Times New Roman"/>
          <w:szCs w:val="22"/>
        </w:rPr>
        <w:t>评价指标要求</w:t>
      </w:r>
    </w:p>
    <w:p>
      <w:pPr>
        <w:pStyle w:val="22"/>
        <w:rPr>
          <w:rFonts w:ascii="Times New Roman"/>
        </w:rPr>
      </w:pPr>
      <w:r>
        <w:rPr>
          <w:rFonts w:hint="eastAsia" w:ascii="Times New Roman"/>
        </w:rPr>
        <w:t>焊接钢管</w:t>
      </w:r>
      <w:r>
        <w:rPr>
          <w:rFonts w:ascii="Times New Roman"/>
        </w:rPr>
        <w:t>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w:t>
      </w:r>
      <w:r>
        <w:rPr>
          <w:rFonts w:ascii="Times New Roman"/>
        </w:rPr>
        <w:t>。</w:t>
      </w:r>
    </w:p>
    <w:p>
      <w:pPr>
        <w:pStyle w:val="22"/>
        <w:rPr>
          <w:rFonts w:ascii="Times New Roman"/>
        </w:rPr>
      </w:pPr>
      <w:r>
        <w:rPr>
          <w:rFonts w:hint="eastAsia" w:ascii="Times New Roman"/>
        </w:rPr>
        <w:t>焊接钢管</w:t>
      </w:r>
      <w:r>
        <w:rPr>
          <w:rFonts w:ascii="Times New Roman"/>
        </w:rPr>
        <w:t>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kern w:val="0"/>
          <w:sz w:val="21"/>
          <w:szCs w:val="22"/>
          <w:lang w:bidi="ar"/>
        </w:rPr>
      </w:pPr>
      <w:r>
        <w:rPr>
          <w:rFonts w:eastAsia="黑体"/>
          <w:kern w:val="0"/>
          <w:sz w:val="21"/>
          <w:szCs w:val="22"/>
          <w:lang w:bidi="ar"/>
        </w:rPr>
        <w:t xml:space="preserve">表1 </w:t>
      </w:r>
      <w:r>
        <w:rPr>
          <w:rFonts w:hint="eastAsia" w:eastAsia="黑体"/>
          <w:kern w:val="0"/>
          <w:sz w:val="21"/>
          <w:szCs w:val="22"/>
          <w:lang w:bidi="ar"/>
        </w:rPr>
        <w:t xml:space="preserve"> 焊接钢管</w:t>
      </w:r>
      <w:r>
        <w:rPr>
          <w:rFonts w:eastAsia="黑体"/>
          <w:kern w:val="0"/>
          <w:sz w:val="21"/>
          <w:szCs w:val="22"/>
          <w:lang w:bidi="ar"/>
        </w:rPr>
        <w:t>评价指标要求</w:t>
      </w:r>
    </w:p>
    <w:tbl>
      <w:tblPr>
        <w:tblStyle w:val="3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76"/>
        <w:gridCol w:w="1417"/>
        <w:gridCol w:w="1134"/>
        <w:gridCol w:w="1843"/>
        <w:gridCol w:w="198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63" w:type="dxa"/>
            <w:vAlign w:val="center"/>
          </w:tcPr>
          <w:p>
            <w:pPr>
              <w:jc w:val="center"/>
              <w:rPr>
                <w:sz w:val="18"/>
                <w:szCs w:val="18"/>
              </w:rPr>
            </w:pPr>
            <w:bookmarkStart w:id="16" w:name="_Hlk15213476"/>
            <w:r>
              <w:rPr>
                <w:rFonts w:hint="eastAsia"/>
                <w:sz w:val="18"/>
                <w:szCs w:val="18"/>
              </w:rPr>
              <w:t>一级指标</w:t>
            </w:r>
          </w:p>
        </w:tc>
        <w:tc>
          <w:tcPr>
            <w:tcW w:w="2693" w:type="dxa"/>
            <w:gridSpan w:val="2"/>
            <w:vAlign w:val="center"/>
          </w:tcPr>
          <w:p>
            <w:pPr>
              <w:jc w:val="center"/>
              <w:rPr>
                <w:sz w:val="18"/>
                <w:szCs w:val="18"/>
              </w:rPr>
            </w:pPr>
            <w:r>
              <w:rPr>
                <w:rFonts w:hint="eastAsia"/>
                <w:sz w:val="18"/>
                <w:szCs w:val="18"/>
              </w:rPr>
              <w:t>二级指标</w:t>
            </w:r>
          </w:p>
        </w:tc>
        <w:tc>
          <w:tcPr>
            <w:tcW w:w="1134" w:type="dxa"/>
            <w:vAlign w:val="center"/>
          </w:tcPr>
          <w:p>
            <w:pPr>
              <w:jc w:val="center"/>
              <w:rPr>
                <w:sz w:val="18"/>
                <w:szCs w:val="18"/>
              </w:rPr>
            </w:pPr>
            <w:r>
              <w:rPr>
                <w:rFonts w:hint="eastAsia"/>
                <w:sz w:val="18"/>
                <w:szCs w:val="18"/>
              </w:rPr>
              <w:t>单位</w:t>
            </w:r>
          </w:p>
        </w:tc>
        <w:tc>
          <w:tcPr>
            <w:tcW w:w="1843" w:type="dxa"/>
            <w:vAlign w:val="center"/>
          </w:tcPr>
          <w:p>
            <w:pPr>
              <w:jc w:val="center"/>
              <w:rPr>
                <w:sz w:val="18"/>
                <w:szCs w:val="18"/>
              </w:rPr>
            </w:pPr>
            <w:r>
              <w:rPr>
                <w:rFonts w:hint="eastAsia"/>
                <w:sz w:val="18"/>
                <w:szCs w:val="18"/>
              </w:rPr>
              <w:t>基准值</w:t>
            </w:r>
          </w:p>
        </w:tc>
        <w:tc>
          <w:tcPr>
            <w:tcW w:w="1985" w:type="dxa"/>
            <w:vAlign w:val="center"/>
          </w:tcPr>
          <w:p>
            <w:pPr>
              <w:jc w:val="center"/>
              <w:rPr>
                <w:sz w:val="18"/>
                <w:szCs w:val="18"/>
              </w:rPr>
            </w:pPr>
            <w:r>
              <w:rPr>
                <w:rFonts w:hint="eastAsia"/>
                <w:sz w:val="18"/>
                <w:szCs w:val="18"/>
              </w:rPr>
              <w:t>测试依据和确认条件</w:t>
            </w:r>
          </w:p>
        </w:tc>
        <w:tc>
          <w:tcPr>
            <w:tcW w:w="1044" w:type="dxa"/>
            <w:vAlign w:val="center"/>
          </w:tcPr>
          <w:p>
            <w:pPr>
              <w:jc w:val="center"/>
              <w:rPr>
                <w:sz w:val="18"/>
                <w:szCs w:val="18"/>
              </w:rPr>
            </w:pPr>
            <w:r>
              <w:rPr>
                <w:rFonts w:hint="eastAsia"/>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763" w:type="dxa"/>
            <w:vMerge w:val="restart"/>
            <w:vAlign w:val="center"/>
          </w:tcPr>
          <w:p>
            <w:pPr>
              <w:jc w:val="center"/>
              <w:rPr>
                <w:sz w:val="18"/>
                <w:szCs w:val="18"/>
              </w:rPr>
            </w:pPr>
            <w:r>
              <w:rPr>
                <w:rFonts w:hint="eastAsia"/>
                <w:sz w:val="18"/>
                <w:szCs w:val="18"/>
              </w:rPr>
              <w:t>资源属性</w:t>
            </w:r>
          </w:p>
        </w:tc>
        <w:tc>
          <w:tcPr>
            <w:tcW w:w="1276" w:type="dxa"/>
            <w:vMerge w:val="restart"/>
            <w:vAlign w:val="center"/>
          </w:tcPr>
          <w:p>
            <w:pPr>
              <w:jc w:val="center"/>
              <w:rPr>
                <w:sz w:val="18"/>
                <w:szCs w:val="18"/>
              </w:rPr>
            </w:pPr>
            <w:r>
              <w:rPr>
                <w:rFonts w:hint="eastAsia"/>
                <w:sz w:val="18"/>
                <w:szCs w:val="18"/>
              </w:rPr>
              <w:t>原材料质量要求</w:t>
            </w:r>
          </w:p>
        </w:tc>
        <w:tc>
          <w:tcPr>
            <w:tcW w:w="1417" w:type="dxa"/>
            <w:vAlign w:val="center"/>
          </w:tcPr>
          <w:p>
            <w:pPr>
              <w:jc w:val="center"/>
              <w:rPr>
                <w:sz w:val="18"/>
                <w:szCs w:val="18"/>
              </w:rPr>
            </w:pPr>
            <w:r>
              <w:rPr>
                <w:rFonts w:hint="eastAsia"/>
                <w:sz w:val="18"/>
                <w:szCs w:val="18"/>
              </w:rPr>
              <w:t>热轧钢带（板）</w:t>
            </w:r>
          </w:p>
        </w:tc>
        <w:tc>
          <w:tcPr>
            <w:tcW w:w="1134" w:type="dxa"/>
            <w:vAlign w:val="center"/>
          </w:tcPr>
          <w:p>
            <w:pPr>
              <w:jc w:val="center"/>
              <w:rPr>
                <w:sz w:val="18"/>
                <w:szCs w:val="18"/>
              </w:rPr>
            </w:pPr>
            <w:r>
              <w:rPr>
                <w:sz w:val="18"/>
                <w:szCs w:val="18"/>
              </w:rPr>
              <w:t>—</w:t>
            </w:r>
          </w:p>
        </w:tc>
        <w:tc>
          <w:tcPr>
            <w:tcW w:w="1843" w:type="dxa"/>
            <w:vAlign w:val="center"/>
          </w:tcPr>
          <w:p>
            <w:pPr>
              <w:jc w:val="center"/>
              <w:rPr>
                <w:sz w:val="18"/>
                <w:szCs w:val="18"/>
              </w:rPr>
            </w:pPr>
            <w:r>
              <w:rPr>
                <w:rFonts w:hint="eastAsia"/>
                <w:sz w:val="18"/>
                <w:szCs w:val="18"/>
              </w:rPr>
              <w:t>符合</w:t>
            </w:r>
            <w:r>
              <w:rPr>
                <w:sz w:val="18"/>
                <w:szCs w:val="18"/>
              </w:rPr>
              <w:t>GB/T 699</w:t>
            </w:r>
            <w:r>
              <w:rPr>
                <w:rFonts w:hint="eastAsia"/>
                <w:sz w:val="18"/>
                <w:szCs w:val="18"/>
              </w:rPr>
              <w:t>、</w:t>
            </w:r>
            <w:r>
              <w:rPr>
                <w:sz w:val="18"/>
                <w:szCs w:val="18"/>
              </w:rPr>
              <w:t>GB/T 700</w:t>
            </w:r>
            <w:r>
              <w:rPr>
                <w:rFonts w:hint="eastAsia"/>
                <w:sz w:val="18"/>
                <w:szCs w:val="18"/>
              </w:rPr>
              <w:t>、</w:t>
            </w:r>
            <w:r>
              <w:rPr>
                <w:sz w:val="18"/>
                <w:szCs w:val="18"/>
              </w:rPr>
              <w:t>GB/T 1591</w:t>
            </w:r>
            <w:r>
              <w:rPr>
                <w:rFonts w:hint="eastAsia"/>
                <w:sz w:val="18"/>
                <w:szCs w:val="18"/>
              </w:rPr>
              <w:t>中相关要求</w:t>
            </w:r>
          </w:p>
        </w:tc>
        <w:tc>
          <w:tcPr>
            <w:tcW w:w="1985" w:type="dxa"/>
            <w:vMerge w:val="restart"/>
            <w:vAlign w:val="center"/>
          </w:tcPr>
          <w:p>
            <w:pPr>
              <w:jc w:val="center"/>
              <w:rPr>
                <w:sz w:val="18"/>
                <w:szCs w:val="18"/>
              </w:rPr>
            </w:pPr>
            <w:r>
              <w:rPr>
                <w:sz w:val="18"/>
                <w:szCs w:val="18"/>
              </w:rPr>
              <w:t>—</w:t>
            </w:r>
          </w:p>
        </w:tc>
        <w:tc>
          <w:tcPr>
            <w:tcW w:w="1044" w:type="dxa"/>
            <w:vMerge w:val="restart"/>
            <w:vAlign w:val="center"/>
          </w:tcPr>
          <w:p>
            <w:pPr>
              <w:jc w:val="center"/>
              <w:rPr>
                <w:sz w:val="18"/>
                <w:szCs w:val="18"/>
              </w:rPr>
            </w:pP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Merge w:val="continue"/>
            <w:vAlign w:val="center"/>
          </w:tcPr>
          <w:p>
            <w:pPr>
              <w:jc w:val="center"/>
              <w:rPr>
                <w:sz w:val="18"/>
                <w:szCs w:val="18"/>
              </w:rPr>
            </w:pPr>
          </w:p>
        </w:tc>
        <w:tc>
          <w:tcPr>
            <w:tcW w:w="1276" w:type="dxa"/>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冷轧钢带（板）</w:t>
            </w:r>
          </w:p>
        </w:tc>
        <w:tc>
          <w:tcPr>
            <w:tcW w:w="1134" w:type="dxa"/>
            <w:vAlign w:val="center"/>
          </w:tcPr>
          <w:p>
            <w:pPr>
              <w:jc w:val="center"/>
              <w:rPr>
                <w:sz w:val="18"/>
                <w:szCs w:val="18"/>
              </w:rPr>
            </w:pPr>
            <w:r>
              <w:rPr>
                <w:sz w:val="18"/>
                <w:szCs w:val="18"/>
              </w:rPr>
              <w:t>—</w:t>
            </w:r>
          </w:p>
        </w:tc>
        <w:tc>
          <w:tcPr>
            <w:tcW w:w="1843" w:type="dxa"/>
            <w:vAlign w:val="center"/>
          </w:tcPr>
          <w:p>
            <w:pPr>
              <w:jc w:val="center"/>
              <w:rPr>
                <w:sz w:val="18"/>
                <w:szCs w:val="18"/>
              </w:rPr>
            </w:pPr>
            <w:r>
              <w:rPr>
                <w:rFonts w:hint="eastAsia"/>
                <w:sz w:val="18"/>
                <w:szCs w:val="18"/>
              </w:rPr>
              <w:t>达到</w:t>
            </w:r>
            <w:r>
              <w:rPr>
                <w:sz w:val="18"/>
                <w:szCs w:val="18"/>
              </w:rPr>
              <w:t>GB/T 699</w:t>
            </w:r>
            <w:r>
              <w:rPr>
                <w:rFonts w:hint="eastAsia"/>
                <w:sz w:val="18"/>
                <w:szCs w:val="18"/>
              </w:rPr>
              <w:t>、</w:t>
            </w:r>
            <w:r>
              <w:rPr>
                <w:sz w:val="18"/>
                <w:szCs w:val="18"/>
              </w:rPr>
              <w:t>GB/T 700</w:t>
            </w:r>
            <w:r>
              <w:rPr>
                <w:rFonts w:hint="eastAsia"/>
                <w:sz w:val="18"/>
                <w:szCs w:val="18"/>
              </w:rPr>
              <w:t>、</w:t>
            </w:r>
            <w:r>
              <w:rPr>
                <w:sz w:val="18"/>
                <w:szCs w:val="18"/>
              </w:rPr>
              <w:t>GB/T 1591</w:t>
            </w:r>
            <w:r>
              <w:rPr>
                <w:rFonts w:hint="eastAsia"/>
                <w:sz w:val="18"/>
                <w:szCs w:val="18"/>
              </w:rPr>
              <w:t>中相关要求</w:t>
            </w:r>
          </w:p>
        </w:tc>
        <w:tc>
          <w:tcPr>
            <w:tcW w:w="198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63" w:type="dxa"/>
            <w:vMerge w:val="continue"/>
            <w:vAlign w:val="center"/>
          </w:tcPr>
          <w:p>
            <w:pPr>
              <w:jc w:val="center"/>
              <w:rPr>
                <w:sz w:val="18"/>
                <w:szCs w:val="18"/>
              </w:rPr>
            </w:pPr>
          </w:p>
        </w:tc>
        <w:tc>
          <w:tcPr>
            <w:tcW w:w="1276" w:type="dxa"/>
            <w:vMerge w:val="restart"/>
            <w:vAlign w:val="center"/>
          </w:tcPr>
          <w:p>
            <w:pPr>
              <w:jc w:val="center"/>
              <w:rPr>
                <w:sz w:val="18"/>
                <w:szCs w:val="18"/>
              </w:rPr>
            </w:pPr>
            <w:r>
              <w:rPr>
                <w:rFonts w:hint="eastAsia"/>
                <w:sz w:val="18"/>
                <w:szCs w:val="18"/>
              </w:rPr>
              <w:t>水资源</w:t>
            </w:r>
          </w:p>
        </w:tc>
        <w:tc>
          <w:tcPr>
            <w:tcW w:w="1417" w:type="dxa"/>
            <w:vAlign w:val="center"/>
          </w:tcPr>
          <w:p>
            <w:pPr>
              <w:jc w:val="center"/>
              <w:rPr>
                <w:sz w:val="18"/>
                <w:szCs w:val="18"/>
              </w:rPr>
            </w:pPr>
            <w:r>
              <w:rPr>
                <w:rFonts w:hint="eastAsia"/>
                <w:sz w:val="18"/>
                <w:szCs w:val="18"/>
              </w:rPr>
              <w:t>单位产品取水量（生产）</w:t>
            </w:r>
          </w:p>
        </w:tc>
        <w:tc>
          <w:tcPr>
            <w:tcW w:w="1134" w:type="dxa"/>
            <w:vAlign w:val="center"/>
          </w:tcPr>
          <w:p>
            <w:pPr>
              <w:jc w:val="center"/>
              <w:rPr>
                <w:sz w:val="18"/>
                <w:szCs w:val="18"/>
              </w:rPr>
            </w:pPr>
            <w:r>
              <w:rPr>
                <w:sz w:val="18"/>
                <w:szCs w:val="18"/>
              </w:rPr>
              <w:t>m</w:t>
            </w:r>
            <w:r>
              <w:rPr>
                <w:sz w:val="18"/>
                <w:szCs w:val="18"/>
                <w:vertAlign w:val="superscript"/>
              </w:rPr>
              <w:t>3</w:t>
            </w:r>
          </w:p>
        </w:tc>
        <w:tc>
          <w:tcPr>
            <w:tcW w:w="1843" w:type="dxa"/>
            <w:vAlign w:val="center"/>
          </w:tcPr>
          <w:p>
            <w:pPr>
              <w:adjustRightInd w:val="0"/>
              <w:snapToGrid w:val="0"/>
              <w:spacing w:line="240" w:lineRule="atLeast"/>
              <w:jc w:val="center"/>
              <w:rPr>
                <w:rFonts w:eastAsia="仿宋_GB2312"/>
                <w:sz w:val="18"/>
                <w:szCs w:val="18"/>
              </w:rPr>
            </w:pPr>
            <w:r>
              <w:rPr>
                <w:rFonts w:hint="eastAsia"/>
                <w:sz w:val="18"/>
                <w:szCs w:val="18"/>
              </w:rPr>
              <w:t>≤</w:t>
            </w:r>
            <w:r>
              <w:rPr>
                <w:rFonts w:eastAsia="仿宋_GB2312"/>
                <w:sz w:val="18"/>
                <w:szCs w:val="18"/>
              </w:rPr>
              <w:t>0.6</w:t>
            </w:r>
          </w:p>
        </w:tc>
        <w:tc>
          <w:tcPr>
            <w:tcW w:w="1985" w:type="dxa"/>
            <w:vMerge w:val="restart"/>
            <w:vAlign w:val="center"/>
          </w:tcPr>
          <w:p>
            <w:pPr>
              <w:jc w:val="center"/>
              <w:rPr>
                <w:sz w:val="18"/>
                <w:szCs w:val="18"/>
              </w:rPr>
            </w:pPr>
            <w:r>
              <w:rPr>
                <w:rFonts w:hint="eastAsia"/>
                <w:sz w:val="18"/>
                <w:szCs w:val="18"/>
              </w:rPr>
              <w:t>按照统计报表</w:t>
            </w:r>
          </w:p>
        </w:tc>
        <w:tc>
          <w:tcPr>
            <w:tcW w:w="1044" w:type="dxa"/>
            <w:vMerge w:val="restart"/>
            <w:vAlign w:val="center"/>
          </w:tcPr>
          <w:p>
            <w:pPr>
              <w:jc w:val="center"/>
              <w:rPr>
                <w:sz w:val="18"/>
                <w:szCs w:val="18"/>
              </w:rPr>
            </w:pPr>
            <w:r>
              <w:rPr>
                <w:rFonts w:hint="eastAsia"/>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Merge w:val="continue"/>
            <w:vAlign w:val="center"/>
          </w:tcPr>
          <w:p>
            <w:pPr>
              <w:jc w:val="center"/>
              <w:rPr>
                <w:sz w:val="18"/>
                <w:szCs w:val="18"/>
              </w:rPr>
            </w:pPr>
          </w:p>
        </w:tc>
        <w:tc>
          <w:tcPr>
            <w:tcW w:w="1276" w:type="dxa"/>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水重复利用率</w:t>
            </w:r>
          </w:p>
        </w:tc>
        <w:tc>
          <w:tcPr>
            <w:tcW w:w="1134" w:type="dxa"/>
            <w:vAlign w:val="center"/>
          </w:tcPr>
          <w:p>
            <w:pPr>
              <w:jc w:val="center"/>
              <w:rPr>
                <w:sz w:val="18"/>
                <w:szCs w:val="18"/>
              </w:rPr>
            </w:pPr>
            <w:r>
              <w:rPr>
                <w:sz w:val="18"/>
                <w:szCs w:val="18"/>
              </w:rPr>
              <w:t>%</w:t>
            </w:r>
          </w:p>
        </w:tc>
        <w:tc>
          <w:tcPr>
            <w:tcW w:w="1843" w:type="dxa"/>
            <w:vAlign w:val="center"/>
          </w:tcPr>
          <w:p>
            <w:pPr>
              <w:jc w:val="center"/>
              <w:rPr>
                <w:sz w:val="18"/>
                <w:szCs w:val="18"/>
              </w:rPr>
            </w:pPr>
            <w:r>
              <w:rPr>
                <w:rFonts w:hint="eastAsia"/>
                <w:sz w:val="18"/>
                <w:szCs w:val="18"/>
              </w:rPr>
              <w:t>≥</w:t>
            </w:r>
            <w:r>
              <w:rPr>
                <w:sz w:val="18"/>
                <w:szCs w:val="18"/>
              </w:rPr>
              <w:t>9</w:t>
            </w:r>
            <w:r>
              <w:rPr>
                <w:rFonts w:hint="eastAsia"/>
                <w:sz w:val="18"/>
                <w:szCs w:val="18"/>
              </w:rPr>
              <w:t>7</w:t>
            </w:r>
          </w:p>
        </w:tc>
        <w:tc>
          <w:tcPr>
            <w:tcW w:w="198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63" w:type="dxa"/>
            <w:vAlign w:val="center"/>
          </w:tcPr>
          <w:p>
            <w:pPr>
              <w:jc w:val="center"/>
              <w:rPr>
                <w:sz w:val="18"/>
                <w:szCs w:val="18"/>
              </w:rPr>
            </w:pPr>
            <w:r>
              <w:rPr>
                <w:rFonts w:hint="eastAsia"/>
                <w:sz w:val="18"/>
                <w:szCs w:val="18"/>
              </w:rPr>
              <w:t>能源属性</w:t>
            </w:r>
          </w:p>
        </w:tc>
        <w:tc>
          <w:tcPr>
            <w:tcW w:w="2693" w:type="dxa"/>
            <w:gridSpan w:val="2"/>
            <w:vAlign w:val="center"/>
          </w:tcPr>
          <w:p>
            <w:pPr>
              <w:jc w:val="center"/>
              <w:rPr>
                <w:sz w:val="18"/>
                <w:szCs w:val="18"/>
              </w:rPr>
            </w:pPr>
            <w:r>
              <w:rPr>
                <w:rFonts w:hint="eastAsia"/>
                <w:sz w:val="18"/>
                <w:szCs w:val="18"/>
              </w:rPr>
              <w:t>单位产品能耗指标</w:t>
            </w:r>
            <w:r>
              <w:rPr>
                <w:sz w:val="18"/>
                <w:szCs w:val="18"/>
                <w:vertAlign w:val="superscript"/>
              </w:rPr>
              <w:t>a</w:t>
            </w:r>
          </w:p>
        </w:tc>
        <w:tc>
          <w:tcPr>
            <w:tcW w:w="1134" w:type="dxa"/>
            <w:vAlign w:val="center"/>
          </w:tcPr>
          <w:p>
            <w:pPr>
              <w:jc w:val="center"/>
              <w:rPr>
                <w:sz w:val="18"/>
                <w:szCs w:val="18"/>
              </w:rPr>
            </w:pPr>
            <w:r>
              <w:rPr>
                <w:sz w:val="18"/>
                <w:szCs w:val="18"/>
              </w:rPr>
              <w:t>kgce/t</w:t>
            </w:r>
          </w:p>
        </w:tc>
        <w:tc>
          <w:tcPr>
            <w:tcW w:w="1843" w:type="dxa"/>
            <w:vAlign w:val="center"/>
          </w:tcPr>
          <w:p>
            <w:pPr>
              <w:jc w:val="center"/>
              <w:rPr>
                <w:rFonts w:eastAsia="等线"/>
                <w:sz w:val="18"/>
                <w:szCs w:val="18"/>
              </w:rPr>
            </w:pPr>
            <w:r>
              <w:rPr>
                <w:rFonts w:eastAsia="等线"/>
                <w:sz w:val="18"/>
                <w:szCs w:val="18"/>
              </w:rPr>
              <w:t>13</w:t>
            </w:r>
          </w:p>
        </w:tc>
        <w:tc>
          <w:tcPr>
            <w:tcW w:w="1985" w:type="dxa"/>
            <w:vAlign w:val="center"/>
          </w:tcPr>
          <w:p>
            <w:pPr>
              <w:jc w:val="center"/>
              <w:rPr>
                <w:sz w:val="18"/>
                <w:szCs w:val="18"/>
              </w:rPr>
            </w:pPr>
            <w:r>
              <w:rPr>
                <w:rFonts w:hint="eastAsia"/>
                <w:sz w:val="18"/>
                <w:szCs w:val="18"/>
              </w:rPr>
              <w:t>能源平衡表或能源统计报表</w:t>
            </w:r>
          </w:p>
        </w:tc>
        <w:tc>
          <w:tcPr>
            <w:tcW w:w="1044" w:type="dxa"/>
            <w:vAlign w:val="center"/>
          </w:tcPr>
          <w:p>
            <w:pPr>
              <w:jc w:val="center"/>
              <w:rPr>
                <w:sz w:val="18"/>
                <w:szCs w:val="18"/>
              </w:rPr>
            </w:pPr>
            <w:r>
              <w:rPr>
                <w:rFonts w:hint="eastAsia"/>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Merge w:val="restart"/>
            <w:vAlign w:val="center"/>
          </w:tcPr>
          <w:p>
            <w:pPr>
              <w:jc w:val="center"/>
              <w:rPr>
                <w:sz w:val="18"/>
                <w:szCs w:val="18"/>
              </w:rPr>
            </w:pPr>
            <w:r>
              <w:rPr>
                <w:rFonts w:hint="eastAsia"/>
                <w:sz w:val="18"/>
                <w:szCs w:val="18"/>
              </w:rPr>
              <w:t>产品</w:t>
            </w:r>
          </w:p>
          <w:p>
            <w:pPr>
              <w:jc w:val="center"/>
              <w:rPr>
                <w:sz w:val="18"/>
                <w:szCs w:val="18"/>
              </w:rPr>
            </w:pPr>
            <w:r>
              <w:rPr>
                <w:rFonts w:hint="eastAsia"/>
                <w:sz w:val="18"/>
                <w:szCs w:val="18"/>
              </w:rPr>
              <w:t>属性</w:t>
            </w:r>
          </w:p>
        </w:tc>
        <w:tc>
          <w:tcPr>
            <w:tcW w:w="1276" w:type="dxa"/>
            <w:vMerge w:val="restart"/>
            <w:vAlign w:val="center"/>
          </w:tcPr>
          <w:p>
            <w:pPr>
              <w:jc w:val="center"/>
              <w:rPr>
                <w:sz w:val="18"/>
                <w:szCs w:val="18"/>
              </w:rPr>
            </w:pPr>
            <w:r>
              <w:rPr>
                <w:rFonts w:hint="eastAsia"/>
                <w:sz w:val="18"/>
                <w:szCs w:val="18"/>
              </w:rPr>
              <w:t>化学成分</w:t>
            </w:r>
          </w:p>
        </w:tc>
        <w:tc>
          <w:tcPr>
            <w:tcW w:w="1417" w:type="dxa"/>
            <w:vAlign w:val="center"/>
          </w:tcPr>
          <w:p>
            <w:pPr>
              <w:jc w:val="center"/>
              <w:rPr>
                <w:sz w:val="18"/>
                <w:szCs w:val="18"/>
              </w:rPr>
            </w:pPr>
            <w:r>
              <w:rPr>
                <w:rFonts w:hint="eastAsia"/>
                <w:sz w:val="18"/>
                <w:szCs w:val="18"/>
              </w:rPr>
              <w:t>磷、硫含量</w:t>
            </w:r>
          </w:p>
        </w:tc>
        <w:tc>
          <w:tcPr>
            <w:tcW w:w="1134" w:type="dxa"/>
            <w:vAlign w:val="center"/>
          </w:tcPr>
          <w:p>
            <w:pPr>
              <w:jc w:val="center"/>
              <w:rPr>
                <w:sz w:val="18"/>
                <w:szCs w:val="18"/>
              </w:rPr>
            </w:pPr>
            <w:r>
              <w:rPr>
                <w:sz w:val="18"/>
                <w:szCs w:val="18"/>
              </w:rPr>
              <w:t>%</w:t>
            </w:r>
          </w:p>
        </w:tc>
        <w:tc>
          <w:tcPr>
            <w:tcW w:w="1843" w:type="dxa"/>
            <w:vAlign w:val="center"/>
          </w:tcPr>
          <w:p>
            <w:pPr>
              <w:snapToGrid w:val="0"/>
              <w:jc w:val="center"/>
              <w:rPr>
                <w:bCs/>
                <w:kern w:val="0"/>
                <w:sz w:val="18"/>
                <w:szCs w:val="18"/>
              </w:rPr>
            </w:pPr>
            <w:r>
              <w:rPr>
                <w:rFonts w:hint="eastAsia"/>
                <w:sz w:val="18"/>
                <w:szCs w:val="18"/>
              </w:rPr>
              <w:t>符合</w:t>
            </w:r>
            <w:r>
              <w:rPr>
                <w:sz w:val="18"/>
                <w:szCs w:val="18"/>
              </w:rPr>
              <w:t>GB/T 699</w:t>
            </w:r>
            <w:r>
              <w:rPr>
                <w:rFonts w:hint="eastAsia"/>
                <w:sz w:val="18"/>
                <w:szCs w:val="18"/>
              </w:rPr>
              <w:t>、</w:t>
            </w:r>
            <w:r>
              <w:rPr>
                <w:sz w:val="18"/>
                <w:szCs w:val="18"/>
              </w:rPr>
              <w:t>GB/T 700</w:t>
            </w:r>
            <w:r>
              <w:rPr>
                <w:rFonts w:hint="eastAsia"/>
                <w:sz w:val="18"/>
                <w:szCs w:val="18"/>
              </w:rPr>
              <w:t>、</w:t>
            </w:r>
            <w:r>
              <w:rPr>
                <w:sz w:val="18"/>
                <w:szCs w:val="18"/>
              </w:rPr>
              <w:t>GB/T 1591</w:t>
            </w:r>
            <w:r>
              <w:rPr>
                <w:rFonts w:hint="eastAsia"/>
                <w:sz w:val="18"/>
                <w:szCs w:val="18"/>
              </w:rPr>
              <w:t>或合同规定的技术条件要求</w:t>
            </w:r>
          </w:p>
        </w:tc>
        <w:tc>
          <w:tcPr>
            <w:tcW w:w="1985" w:type="dxa"/>
            <w:vAlign w:val="center"/>
          </w:tcPr>
          <w:p>
            <w:pPr>
              <w:jc w:val="center"/>
              <w:rPr>
                <w:sz w:val="18"/>
                <w:szCs w:val="18"/>
              </w:rPr>
            </w:pPr>
            <w:r>
              <w:rPr>
                <w:rFonts w:hint="eastAsia"/>
                <w:sz w:val="18"/>
                <w:szCs w:val="18"/>
              </w:rPr>
              <w:t>检测方法按照GB</w:t>
            </w:r>
            <w:r>
              <w:rPr>
                <w:sz w:val="18"/>
                <w:szCs w:val="18"/>
              </w:rPr>
              <w:t>/T 223.3</w:t>
            </w:r>
            <w:r>
              <w:rPr>
                <w:rFonts w:hint="eastAsia"/>
                <w:sz w:val="18"/>
                <w:szCs w:val="18"/>
              </w:rPr>
              <w:t>、GB</w:t>
            </w:r>
            <w:r>
              <w:rPr>
                <w:sz w:val="18"/>
                <w:szCs w:val="18"/>
              </w:rPr>
              <w:t>/T 223.68</w:t>
            </w:r>
            <w:r>
              <w:rPr>
                <w:rFonts w:hint="eastAsia"/>
                <w:sz w:val="18"/>
                <w:szCs w:val="18"/>
              </w:rPr>
              <w:t>的规定，提供检测报告</w:t>
            </w:r>
          </w:p>
        </w:tc>
        <w:tc>
          <w:tcPr>
            <w:tcW w:w="1044" w:type="dxa"/>
            <w:vMerge w:val="restart"/>
            <w:vAlign w:val="center"/>
          </w:tcPr>
          <w:p>
            <w:pPr>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Merge w:val="continue"/>
            <w:vAlign w:val="center"/>
          </w:tcPr>
          <w:p>
            <w:pPr>
              <w:jc w:val="center"/>
              <w:rPr>
                <w:sz w:val="18"/>
                <w:szCs w:val="18"/>
              </w:rPr>
            </w:pPr>
          </w:p>
        </w:tc>
        <w:tc>
          <w:tcPr>
            <w:tcW w:w="1276" w:type="dxa"/>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五大有害元素As、Sn、Sb、Pb、Bi含量</w:t>
            </w:r>
          </w:p>
        </w:tc>
        <w:tc>
          <w:tcPr>
            <w:tcW w:w="1134" w:type="dxa"/>
            <w:vAlign w:val="center"/>
          </w:tcPr>
          <w:p>
            <w:pPr>
              <w:jc w:val="center"/>
              <w:rPr>
                <w:sz w:val="18"/>
                <w:szCs w:val="18"/>
              </w:rPr>
            </w:pPr>
            <w:r>
              <w:rPr>
                <w:sz w:val="18"/>
                <w:szCs w:val="18"/>
              </w:rPr>
              <w:t>%</w:t>
            </w:r>
          </w:p>
        </w:tc>
        <w:tc>
          <w:tcPr>
            <w:tcW w:w="1843" w:type="dxa"/>
            <w:vAlign w:val="center"/>
          </w:tcPr>
          <w:p>
            <w:pPr>
              <w:jc w:val="center"/>
              <w:rPr>
                <w:bCs/>
                <w:kern w:val="0"/>
                <w:sz w:val="18"/>
                <w:szCs w:val="18"/>
              </w:rPr>
            </w:pPr>
            <w:r>
              <w:rPr>
                <w:rFonts w:hint="eastAsia"/>
                <w:sz w:val="18"/>
                <w:szCs w:val="18"/>
              </w:rPr>
              <w:t>As≤</w:t>
            </w:r>
            <w:r>
              <w:rPr>
                <w:sz w:val="18"/>
                <w:szCs w:val="18"/>
              </w:rPr>
              <w:t>0.030</w:t>
            </w:r>
            <w:r>
              <w:rPr>
                <w:rFonts w:hint="eastAsia"/>
                <w:sz w:val="18"/>
                <w:szCs w:val="18"/>
              </w:rPr>
              <w:t>、Sn≤</w:t>
            </w:r>
            <w:r>
              <w:rPr>
                <w:sz w:val="18"/>
                <w:szCs w:val="18"/>
              </w:rPr>
              <w:t>0.020</w:t>
            </w:r>
            <w:r>
              <w:rPr>
                <w:rFonts w:hint="eastAsia"/>
                <w:sz w:val="18"/>
                <w:szCs w:val="18"/>
              </w:rPr>
              <w:t>、Sb≤</w:t>
            </w:r>
            <w:r>
              <w:rPr>
                <w:sz w:val="18"/>
                <w:szCs w:val="18"/>
              </w:rPr>
              <w:t>0.010</w:t>
            </w:r>
            <w:r>
              <w:rPr>
                <w:rFonts w:hint="eastAsia"/>
                <w:sz w:val="18"/>
                <w:szCs w:val="18"/>
              </w:rPr>
              <w:t>、Pb≤</w:t>
            </w:r>
            <w:r>
              <w:rPr>
                <w:sz w:val="18"/>
                <w:szCs w:val="18"/>
              </w:rPr>
              <w:t>0.010</w:t>
            </w:r>
            <w:r>
              <w:rPr>
                <w:rFonts w:hint="eastAsia"/>
                <w:sz w:val="18"/>
                <w:szCs w:val="18"/>
              </w:rPr>
              <w:t>、Bi≤</w:t>
            </w:r>
            <w:r>
              <w:rPr>
                <w:sz w:val="18"/>
                <w:szCs w:val="18"/>
              </w:rPr>
              <w:t>0.010</w:t>
            </w:r>
            <w:r>
              <w:rPr>
                <w:rFonts w:hint="eastAsia"/>
                <w:sz w:val="18"/>
                <w:szCs w:val="18"/>
              </w:rPr>
              <w:t>、As+Sn+Sb+Pb+Bi≤</w:t>
            </w:r>
            <w:r>
              <w:rPr>
                <w:sz w:val="18"/>
                <w:szCs w:val="18"/>
              </w:rPr>
              <w:t>0.050</w:t>
            </w:r>
          </w:p>
        </w:tc>
        <w:tc>
          <w:tcPr>
            <w:tcW w:w="1985" w:type="dxa"/>
            <w:vAlign w:val="center"/>
          </w:tcPr>
          <w:p>
            <w:pPr>
              <w:jc w:val="center"/>
              <w:rPr>
                <w:sz w:val="18"/>
                <w:szCs w:val="18"/>
              </w:rPr>
            </w:pPr>
            <w:r>
              <w:rPr>
                <w:rFonts w:hint="eastAsia"/>
                <w:sz w:val="18"/>
                <w:szCs w:val="18"/>
              </w:rPr>
              <w:t>检测方法按照GB</w:t>
            </w:r>
            <w:r>
              <w:rPr>
                <w:sz w:val="18"/>
                <w:szCs w:val="18"/>
              </w:rPr>
              <w:t>/T 223.29</w:t>
            </w:r>
            <w:r>
              <w:rPr>
                <w:rFonts w:hint="eastAsia"/>
                <w:sz w:val="18"/>
                <w:szCs w:val="18"/>
              </w:rPr>
              <w:t>、GB</w:t>
            </w:r>
            <w:r>
              <w:rPr>
                <w:sz w:val="18"/>
                <w:szCs w:val="18"/>
              </w:rPr>
              <w:t>/T 223.31</w:t>
            </w:r>
            <w:r>
              <w:rPr>
                <w:rFonts w:hint="eastAsia"/>
                <w:sz w:val="18"/>
                <w:szCs w:val="18"/>
              </w:rPr>
              <w:t>、GB</w:t>
            </w:r>
            <w:r>
              <w:rPr>
                <w:sz w:val="18"/>
                <w:szCs w:val="18"/>
              </w:rPr>
              <w:t>/T 223.47</w:t>
            </w:r>
            <w:r>
              <w:rPr>
                <w:rFonts w:hint="eastAsia"/>
                <w:sz w:val="18"/>
                <w:szCs w:val="18"/>
              </w:rPr>
              <w:t>、GB</w:t>
            </w:r>
            <w:r>
              <w:rPr>
                <w:sz w:val="18"/>
                <w:szCs w:val="18"/>
              </w:rPr>
              <w:t>/T 223.50</w:t>
            </w:r>
            <w:r>
              <w:rPr>
                <w:rFonts w:hint="eastAsia"/>
                <w:sz w:val="18"/>
                <w:szCs w:val="18"/>
              </w:rPr>
              <w:t>、GB</w:t>
            </w:r>
            <w:r>
              <w:rPr>
                <w:sz w:val="18"/>
                <w:szCs w:val="18"/>
              </w:rPr>
              <w:t>/T 223.80</w:t>
            </w:r>
            <w:r>
              <w:rPr>
                <w:rFonts w:hint="eastAsia"/>
                <w:sz w:val="18"/>
                <w:szCs w:val="18"/>
              </w:rPr>
              <w:t>的规定，提供检测报告</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63" w:type="dxa"/>
            <w:vMerge w:val="continue"/>
            <w:vAlign w:val="center"/>
          </w:tcPr>
          <w:p>
            <w:pPr>
              <w:jc w:val="center"/>
              <w:rPr>
                <w:sz w:val="18"/>
                <w:szCs w:val="18"/>
              </w:rPr>
            </w:pPr>
          </w:p>
        </w:tc>
        <w:tc>
          <w:tcPr>
            <w:tcW w:w="2693" w:type="dxa"/>
            <w:gridSpan w:val="2"/>
            <w:vAlign w:val="center"/>
          </w:tcPr>
          <w:p>
            <w:pPr>
              <w:jc w:val="center"/>
              <w:rPr>
                <w:sz w:val="18"/>
                <w:szCs w:val="18"/>
              </w:rPr>
            </w:pPr>
            <w:r>
              <w:rPr>
                <w:rFonts w:hint="eastAsia"/>
                <w:sz w:val="18"/>
                <w:szCs w:val="18"/>
              </w:rPr>
              <w:t>屈服强度、抗拉强度</w:t>
            </w:r>
          </w:p>
        </w:tc>
        <w:tc>
          <w:tcPr>
            <w:tcW w:w="1134" w:type="dxa"/>
            <w:vAlign w:val="center"/>
          </w:tcPr>
          <w:p>
            <w:pPr>
              <w:jc w:val="center"/>
              <w:rPr>
                <w:sz w:val="18"/>
                <w:szCs w:val="18"/>
              </w:rPr>
            </w:pPr>
            <w:r>
              <w:rPr>
                <w:sz w:val="18"/>
                <w:szCs w:val="18"/>
              </w:rPr>
              <w:t>MPa</w:t>
            </w:r>
          </w:p>
        </w:tc>
        <w:tc>
          <w:tcPr>
            <w:tcW w:w="1843" w:type="dxa"/>
            <w:vAlign w:val="center"/>
          </w:tcPr>
          <w:p>
            <w:pPr>
              <w:jc w:val="center"/>
              <w:rPr>
                <w:bCs/>
                <w:kern w:val="0"/>
                <w:sz w:val="18"/>
                <w:szCs w:val="18"/>
              </w:rPr>
            </w:pPr>
            <w:r>
              <w:rPr>
                <w:rFonts w:hint="eastAsia"/>
                <w:sz w:val="18"/>
                <w:szCs w:val="18"/>
              </w:rPr>
              <w:t>符合标准或合同签订的技术条件要求</w:t>
            </w:r>
          </w:p>
        </w:tc>
        <w:tc>
          <w:tcPr>
            <w:tcW w:w="1985" w:type="dxa"/>
            <w:vAlign w:val="center"/>
          </w:tcPr>
          <w:p>
            <w:pPr>
              <w:jc w:val="center"/>
              <w:rPr>
                <w:sz w:val="18"/>
                <w:szCs w:val="18"/>
              </w:rPr>
            </w:pPr>
            <w:r>
              <w:rPr>
                <w:rFonts w:hint="eastAsia"/>
                <w:sz w:val="18"/>
                <w:szCs w:val="18"/>
              </w:rPr>
              <w:t>检测方法按照GB</w:t>
            </w:r>
            <w:r>
              <w:rPr>
                <w:sz w:val="18"/>
                <w:szCs w:val="18"/>
              </w:rPr>
              <w:t>/T 228.1</w:t>
            </w:r>
            <w:r>
              <w:rPr>
                <w:rFonts w:hint="eastAsia"/>
                <w:sz w:val="18"/>
                <w:szCs w:val="18"/>
              </w:rPr>
              <w:t>的规定，提供检测报告</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3" w:type="dxa"/>
            <w:vMerge w:val="continue"/>
            <w:vAlign w:val="center"/>
          </w:tcPr>
          <w:p>
            <w:pPr>
              <w:jc w:val="center"/>
              <w:rPr>
                <w:sz w:val="18"/>
                <w:szCs w:val="18"/>
              </w:rPr>
            </w:pPr>
          </w:p>
        </w:tc>
        <w:tc>
          <w:tcPr>
            <w:tcW w:w="2693" w:type="dxa"/>
            <w:gridSpan w:val="2"/>
            <w:vAlign w:val="center"/>
          </w:tcPr>
          <w:p>
            <w:pPr>
              <w:jc w:val="center"/>
              <w:rPr>
                <w:sz w:val="18"/>
                <w:szCs w:val="18"/>
              </w:rPr>
            </w:pPr>
            <w:r>
              <w:rPr>
                <w:rFonts w:hint="eastAsia"/>
                <w:sz w:val="18"/>
                <w:szCs w:val="18"/>
              </w:rPr>
              <w:t>冲击吸收能量</w:t>
            </w:r>
          </w:p>
        </w:tc>
        <w:tc>
          <w:tcPr>
            <w:tcW w:w="1134" w:type="dxa"/>
            <w:vAlign w:val="center"/>
          </w:tcPr>
          <w:p>
            <w:pPr>
              <w:jc w:val="center"/>
              <w:rPr>
                <w:sz w:val="18"/>
                <w:szCs w:val="18"/>
              </w:rPr>
            </w:pPr>
            <w:r>
              <w:rPr>
                <w:rFonts w:hint="eastAsia"/>
                <w:sz w:val="18"/>
                <w:szCs w:val="18"/>
              </w:rPr>
              <w:t>J</w:t>
            </w:r>
          </w:p>
        </w:tc>
        <w:tc>
          <w:tcPr>
            <w:tcW w:w="1843" w:type="dxa"/>
            <w:vAlign w:val="center"/>
          </w:tcPr>
          <w:p>
            <w:pPr>
              <w:jc w:val="center"/>
              <w:rPr>
                <w:sz w:val="18"/>
                <w:szCs w:val="18"/>
              </w:rPr>
            </w:pPr>
            <w:r>
              <w:rPr>
                <w:rFonts w:hint="eastAsia"/>
                <w:sz w:val="18"/>
                <w:szCs w:val="18"/>
              </w:rPr>
              <w:t>符合标准或合同签订的技术条件要求</w:t>
            </w:r>
          </w:p>
        </w:tc>
        <w:tc>
          <w:tcPr>
            <w:tcW w:w="1985" w:type="dxa"/>
            <w:vAlign w:val="center"/>
          </w:tcPr>
          <w:p>
            <w:pPr>
              <w:jc w:val="center"/>
              <w:rPr>
                <w:sz w:val="18"/>
                <w:szCs w:val="18"/>
              </w:rPr>
            </w:pPr>
            <w:r>
              <w:rPr>
                <w:rFonts w:hint="eastAsia"/>
                <w:sz w:val="18"/>
                <w:szCs w:val="18"/>
              </w:rPr>
              <w:t>检测方法按照GB</w:t>
            </w:r>
            <w:r>
              <w:rPr>
                <w:sz w:val="18"/>
                <w:szCs w:val="18"/>
              </w:rPr>
              <w:t>/T 229</w:t>
            </w:r>
            <w:r>
              <w:rPr>
                <w:rFonts w:hint="eastAsia"/>
                <w:sz w:val="18"/>
                <w:szCs w:val="18"/>
              </w:rPr>
              <w:t>的规定，提供检测报告</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2" w:type="dxa"/>
            <w:gridSpan w:val="7"/>
            <w:vAlign w:val="center"/>
          </w:tcPr>
          <w:p>
            <w:pPr>
              <w:jc w:val="left"/>
              <w:rPr>
                <w:sz w:val="18"/>
                <w:szCs w:val="18"/>
              </w:rPr>
            </w:pPr>
            <w:r>
              <w:rPr>
                <w:sz w:val="18"/>
                <w:szCs w:val="18"/>
                <w:vertAlign w:val="superscript"/>
              </w:rPr>
              <w:t>a</w:t>
            </w:r>
            <w:r>
              <w:rPr>
                <w:rFonts w:hint="eastAsia"/>
                <w:sz w:val="18"/>
                <w:szCs w:val="18"/>
              </w:rPr>
              <w:t>工序能耗调整序数参照</w:t>
            </w:r>
            <w:r>
              <w:rPr>
                <w:sz w:val="18"/>
                <w:szCs w:val="18"/>
              </w:rPr>
              <w:t>GB/T 50632-2019</w:t>
            </w:r>
            <w:r>
              <w:rPr>
                <w:rFonts w:hint="eastAsia"/>
                <w:sz w:val="18"/>
                <w:szCs w:val="18"/>
              </w:rPr>
              <w:t>中相关要求执行。</w:t>
            </w:r>
          </w:p>
        </w:tc>
      </w:tr>
      <w:bookmarkEnd w:id="16"/>
    </w:tbl>
    <w:p>
      <w:pPr>
        <w:pStyle w:val="54"/>
        <w:ind w:left="0"/>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ind w:left="0"/>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焊接钢管</w:t>
      </w:r>
      <w:r>
        <w:rPr>
          <w:sz w:val="21"/>
        </w:rPr>
        <w:t>产品生命周期评价方法框架建立生命周期评价方法学，并依据此方法学编制生命周期评价报告。</w:t>
      </w:r>
    </w:p>
    <w:p>
      <w:pPr>
        <w:pStyle w:val="54"/>
        <w:ind w:left="0"/>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焊接钢管</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焊接钢管</w:t>
      </w:r>
      <w:r>
        <w:rPr>
          <w:sz w:val="21"/>
        </w:rPr>
        <w:t>的原材料构成及主要技术参数表，绘制并说明</w:t>
      </w:r>
      <w:r>
        <w:rPr>
          <w:rFonts w:hint="eastAsia"/>
          <w:sz w:val="21"/>
        </w:rPr>
        <w:t>焊接钢管</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rPr>
        <w:t>焊接钢管</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焊接钢管</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焊接钢管</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rPr>
        <w:t>焊接钢管</w:t>
      </w:r>
      <w:r>
        <w:rPr>
          <w:sz w:val="21"/>
        </w:rPr>
        <w:t>对评价指标的符合性结论、生命周期评价结果、提出的改进方案，并根据评价结论初步判断</w:t>
      </w:r>
      <w:r>
        <w:rPr>
          <w:rFonts w:hint="eastAsia"/>
          <w:sz w:val="21"/>
        </w:rPr>
        <w:t>焊接钢管</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w:t>
      </w:r>
      <w:r>
        <w:rPr>
          <w:rFonts w:hint="eastAsia"/>
          <w:sz w:val="21"/>
        </w:rPr>
        <w:t>原、辅料清单</w:t>
      </w:r>
      <w:r>
        <w:rPr>
          <w:sz w:val="21"/>
        </w:rPr>
        <w:t>；</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生产过程中的用水量，计算时按照1年生产为周期计算平均值。每生产1吨焊接钢管所消耗的新水量，按照公式（A.1）计算：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焊接钢管取新水量，</w:t>
      </w:r>
      <w:r>
        <w:t>单位为</w:t>
      </w:r>
      <w:r>
        <w:rPr>
          <w:rFonts w:hint="eastAsia"/>
        </w:rPr>
        <w:t>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焊接钢管生产取新水量，单位为立方米（m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rPr>
        <w:t>焊接钢管生产总量，单位为吨（t）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、NOx等主要污染物排放量，计算时按照1年生产周期计算平均值。各工序每生产1吨产品所排放的主要污染物量，按照公式（A.3）计算：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bookmarkStart w:id="17" w:name="OLE_LINK1"/>
      <w:r>
        <w:rPr>
          <w:rFonts w:hint="eastAsia" w:eastAsia="黑体"/>
          <w:sz w:val="21"/>
          <w:szCs w:val="21"/>
        </w:rPr>
        <w:t>单位产品能源消耗</w:t>
      </w:r>
    </w:p>
    <w:bookmarkEnd w:id="17"/>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焊接钢管</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焊接钢管</w:t>
      </w:r>
      <w:r>
        <w:rPr>
          <w:sz w:val="21"/>
        </w:rPr>
        <w:t>原料的获取、生产、运输、销售、使用的过程中对环境造成的影响，通过评价</w:t>
      </w:r>
      <w:r>
        <w:rPr>
          <w:rFonts w:hint="eastAsia"/>
          <w:sz w:val="21"/>
        </w:rPr>
        <w:t>焊接钢管</w:t>
      </w:r>
      <w:r>
        <w:rPr>
          <w:sz w:val="21"/>
        </w:rPr>
        <w:t>全生命周期的环境影响大小，提出</w:t>
      </w:r>
      <w:r>
        <w:rPr>
          <w:rFonts w:hint="eastAsia"/>
          <w:sz w:val="21"/>
        </w:rPr>
        <w:t>焊接钢管产品</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本文件界定的焊接钢管生命周期系统边界，包括三个阶段：原材料获取阶段、生产阶段及使用阶段，如图B.1所示。</w:t>
      </w:r>
    </w:p>
    <w:p>
      <w:pPr>
        <w:jc w:val="center"/>
        <w:rPr>
          <w:sz w:val="18"/>
          <w:szCs w:val="18"/>
        </w:rPr>
      </w:pPr>
      <w:r>
        <w:rPr>
          <w:sz w:val="18"/>
          <w:szCs w:val="18"/>
        </w:rPr>
        <w:drawing>
          <wp:inline distT="0" distB="0" distL="0" distR="0">
            <wp:extent cx="5385435" cy="115189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7202" cy="1157046"/>
                    </a:xfrm>
                    <a:prstGeom prst="rect">
                      <a:avLst/>
                    </a:prstGeom>
                    <a:noFill/>
                  </pic:spPr>
                </pic:pic>
              </a:graphicData>
            </a:graphic>
          </wp:inline>
        </w:drawing>
      </w:r>
    </w:p>
    <w:p>
      <w:pPr>
        <w:spacing w:before="156" w:beforeLines="50" w:after="156" w:afterLines="50"/>
        <w:jc w:val="center"/>
        <w:rPr>
          <w:sz w:val="18"/>
          <w:szCs w:val="18"/>
          <w:lang w:bidi="ar"/>
        </w:rPr>
      </w:pPr>
      <w:r>
        <w:rPr>
          <w:sz w:val="18"/>
          <w:szCs w:val="18"/>
          <w:lang w:bidi="ar"/>
        </w:rPr>
        <w:t xml:space="preserve">图B.1  </w:t>
      </w:r>
      <w:r>
        <w:rPr>
          <w:rFonts w:hint="eastAsia"/>
          <w:sz w:val="18"/>
          <w:szCs w:val="18"/>
          <w:lang w:bidi="ar"/>
        </w:rPr>
        <w:t>生产工艺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焊接钢管</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w:t>
      </w:r>
      <w:r>
        <w:rPr>
          <w:rFonts w:hint="eastAsia"/>
          <w:lang w:bidi="ar"/>
        </w:rPr>
        <w:t>基准</w:t>
      </w:r>
      <w:r>
        <w:rPr>
          <w:lang w:bidi="ar"/>
        </w:rPr>
        <w:t>吨</w:t>
      </w:r>
      <w:r>
        <w:rPr>
          <w:rFonts w:hint="eastAsia"/>
        </w:rPr>
        <w:t>焊接钢管</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焊接钢管</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焊接钢管</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焊接钢管</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焊接钢管</w:t>
      </w:r>
      <w:r>
        <w:rPr>
          <w:lang w:bidi="ar"/>
        </w:rPr>
        <w:t>产品原料进入生产设施，结束于产品离开生产设施。生产活动包括化学处理、制造、制造过程中半成品的运输、产品包装等。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w:t>
      </w:r>
      <w:r>
        <w:rPr>
          <w:rFonts w:hint="eastAsia"/>
          <w:lang w:bidi="ar"/>
        </w:rPr>
        <w:t>大气</w:t>
      </w:r>
      <w:r>
        <w:rPr>
          <w:lang w:bidi="ar"/>
        </w:rPr>
        <w:t>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焊接钢管</w:t>
      </w:r>
      <w:r>
        <w:rPr>
          <w:lang w:bidi="ar"/>
        </w:rPr>
        <w:t>生命周期评价的过程中涉及到数据分配问题，特别是</w:t>
      </w:r>
      <w:r>
        <w:rPr>
          <w:rFonts w:hint="eastAsia"/>
        </w:rPr>
        <w:t>焊接钢管</w:t>
      </w:r>
      <w:r>
        <w:rPr>
          <w:lang w:bidi="ar"/>
        </w:rPr>
        <w:t>的生产环节。对于</w:t>
      </w:r>
      <w:r>
        <w:rPr>
          <w:rFonts w:hint="eastAsia"/>
        </w:rPr>
        <w:t>焊接钢管</w:t>
      </w:r>
      <w:r>
        <w:rPr>
          <w:lang w:bidi="ar"/>
        </w:rPr>
        <w:t>生产而言，由于厂家往往同时生产多种类型的产品，一条工艺线上或一个车间里可能会同时生产多种</w:t>
      </w:r>
      <w:r>
        <w:rPr>
          <w:rFonts w:hint="eastAsia"/>
          <w:lang w:bidi="ar"/>
        </w:rPr>
        <w:t>牌</w:t>
      </w:r>
      <w:r>
        <w:rPr>
          <w:lang w:bidi="ar"/>
        </w:rPr>
        <w:t>号</w:t>
      </w:r>
      <w:r>
        <w:rPr>
          <w:rFonts w:hint="eastAsia"/>
        </w:rPr>
        <w:t>焊接钢管</w:t>
      </w:r>
      <w:r>
        <w:rPr>
          <w:lang w:bidi="ar"/>
        </w:rPr>
        <w:t>。很难就某单个型号的产品生产来收集清单数据，往往会就某个车间、某条流水线或某个工艺来收集数据，然后再分配到具体的产品上。针对</w:t>
      </w:r>
      <w:r>
        <w:rPr>
          <w:rFonts w:hint="eastAsia"/>
        </w:rPr>
        <w:t>焊接钢管</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.8</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焊接钢管</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焊接钢管</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焊接钢管</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焊接钢管</w:t>
      </w:r>
      <w:r>
        <w:rPr>
          <w:rFonts w:eastAsia="黑体"/>
          <w:color w:val="000000"/>
          <w:kern w:val="0"/>
          <w:szCs w:val="21"/>
          <w:lang w:bidi="ar"/>
        </w:rPr>
        <w:t>产品生命周期影响评价</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2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9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83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autoSpaceDE w:val="0"/>
        <w:autoSpaceDN w:val="0"/>
        <w:adjustRightInd w:val="0"/>
        <w:spacing w:before="156" w:after="156"/>
        <w:jc w:val="center"/>
        <w:rPr>
          <w:rFonts w:eastAsia="黑体"/>
          <w:color w:val="000000"/>
          <w:kern w:val="0"/>
          <w:szCs w:val="21"/>
          <w:lang w:bidi="ar"/>
        </w:rPr>
      </w:pP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钢板（带）</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制管工序能源消耗清单</w:t>
      </w:r>
    </w:p>
    <w:p>
      <w:pPr>
        <w:autoSpaceDE w:val="0"/>
        <w:autoSpaceDN w:val="0"/>
        <w:adjustRightInd w:val="0"/>
        <w:spacing w:before="156" w:after="156"/>
        <w:ind w:firstLine="420" w:firstLineChars="200"/>
      </w:pPr>
      <w:r>
        <w:rPr>
          <w:rFonts w:hint="eastAsia"/>
          <w:color w:val="000000"/>
          <w:kern w:val="0"/>
          <w:szCs w:val="21"/>
          <w:lang w:bidi="ar"/>
        </w:rPr>
        <w:t>制管工序能源消耗清单如表C.</w:t>
      </w:r>
      <w:r>
        <w:rPr>
          <w:color w:val="000000"/>
          <w:kern w:val="0"/>
          <w:szCs w:val="21"/>
          <w:lang w:bidi="ar"/>
        </w:rPr>
        <w:t>2</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.2</w:t>
      </w:r>
      <w:r>
        <w:rPr>
          <w:rFonts w:hint="eastAsia" w:eastAsia="黑体"/>
          <w:color w:val="000000"/>
          <w:kern w:val="0"/>
          <w:szCs w:val="21"/>
          <w:lang w:bidi="ar"/>
        </w:rPr>
        <w:t xml:space="preserve"> 制管工序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3</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w:t>
      </w:r>
      <w:r>
        <w:rPr>
          <w:color w:val="000000"/>
          <w:kern w:val="0"/>
          <w:szCs w:val="21"/>
          <w:lang w:bidi="ar"/>
        </w:rPr>
        <w:t>4</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widowControl/>
        <w:jc w:val="left"/>
        <w:rPr>
          <w:kern w:val="0"/>
          <w:szCs w:val="20"/>
        </w:rPr>
      </w:pPr>
    </w:p>
    <w:p>
      <w:pPr>
        <w:widowControl/>
        <w:jc w:val="left"/>
        <w:rPr>
          <w:kern w:val="0"/>
          <w:szCs w:val="20"/>
        </w:rPr>
      </w:pP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172A27"/>
    <w:rsid w:val="00000244"/>
    <w:rsid w:val="0000185F"/>
    <w:rsid w:val="00003464"/>
    <w:rsid w:val="0000586F"/>
    <w:rsid w:val="00005D79"/>
    <w:rsid w:val="00007340"/>
    <w:rsid w:val="00007A8C"/>
    <w:rsid w:val="00010A5B"/>
    <w:rsid w:val="00011C01"/>
    <w:rsid w:val="00013D86"/>
    <w:rsid w:val="00013E02"/>
    <w:rsid w:val="0001738C"/>
    <w:rsid w:val="0002143C"/>
    <w:rsid w:val="00022016"/>
    <w:rsid w:val="00025A65"/>
    <w:rsid w:val="00026977"/>
    <w:rsid w:val="00026C31"/>
    <w:rsid w:val="00027280"/>
    <w:rsid w:val="000306E3"/>
    <w:rsid w:val="000320A7"/>
    <w:rsid w:val="00032420"/>
    <w:rsid w:val="00035925"/>
    <w:rsid w:val="000366F4"/>
    <w:rsid w:val="00037DAC"/>
    <w:rsid w:val="00037DB3"/>
    <w:rsid w:val="00041127"/>
    <w:rsid w:val="00045C9B"/>
    <w:rsid w:val="000466F7"/>
    <w:rsid w:val="000522F9"/>
    <w:rsid w:val="0005448B"/>
    <w:rsid w:val="000639E9"/>
    <w:rsid w:val="00063E76"/>
    <w:rsid w:val="0006738B"/>
    <w:rsid w:val="00067CDF"/>
    <w:rsid w:val="00074B69"/>
    <w:rsid w:val="00074FBE"/>
    <w:rsid w:val="000772BB"/>
    <w:rsid w:val="000822C7"/>
    <w:rsid w:val="000829DB"/>
    <w:rsid w:val="00083A09"/>
    <w:rsid w:val="00083EA1"/>
    <w:rsid w:val="00087B52"/>
    <w:rsid w:val="0009005E"/>
    <w:rsid w:val="00090E08"/>
    <w:rsid w:val="00092857"/>
    <w:rsid w:val="000A1461"/>
    <w:rsid w:val="000A20A9"/>
    <w:rsid w:val="000A48B1"/>
    <w:rsid w:val="000A5495"/>
    <w:rsid w:val="000B3143"/>
    <w:rsid w:val="000C29AA"/>
    <w:rsid w:val="000C30C7"/>
    <w:rsid w:val="000C68F4"/>
    <w:rsid w:val="000C6B05"/>
    <w:rsid w:val="000C6DD6"/>
    <w:rsid w:val="000C73D4"/>
    <w:rsid w:val="000D129D"/>
    <w:rsid w:val="000D3D4C"/>
    <w:rsid w:val="000D4406"/>
    <w:rsid w:val="000D4505"/>
    <w:rsid w:val="000D4F51"/>
    <w:rsid w:val="000D718B"/>
    <w:rsid w:val="000E09EF"/>
    <w:rsid w:val="000E0C46"/>
    <w:rsid w:val="000E39E5"/>
    <w:rsid w:val="000E3EC7"/>
    <w:rsid w:val="000E5AA6"/>
    <w:rsid w:val="000F030C"/>
    <w:rsid w:val="000F04B4"/>
    <w:rsid w:val="000F129C"/>
    <w:rsid w:val="000F6242"/>
    <w:rsid w:val="00104DFD"/>
    <w:rsid w:val="001056DE"/>
    <w:rsid w:val="00106E13"/>
    <w:rsid w:val="00107602"/>
    <w:rsid w:val="00111863"/>
    <w:rsid w:val="001124C0"/>
    <w:rsid w:val="0012309C"/>
    <w:rsid w:val="00125647"/>
    <w:rsid w:val="001278EF"/>
    <w:rsid w:val="001305BC"/>
    <w:rsid w:val="0013175F"/>
    <w:rsid w:val="00132805"/>
    <w:rsid w:val="00135CD6"/>
    <w:rsid w:val="00144E03"/>
    <w:rsid w:val="001512B4"/>
    <w:rsid w:val="00152179"/>
    <w:rsid w:val="00153D87"/>
    <w:rsid w:val="00156D41"/>
    <w:rsid w:val="0016056B"/>
    <w:rsid w:val="001620A5"/>
    <w:rsid w:val="00162F72"/>
    <w:rsid w:val="00164E53"/>
    <w:rsid w:val="0016699D"/>
    <w:rsid w:val="001701E9"/>
    <w:rsid w:val="00170F6D"/>
    <w:rsid w:val="0017259F"/>
    <w:rsid w:val="00172A27"/>
    <w:rsid w:val="00175159"/>
    <w:rsid w:val="00176208"/>
    <w:rsid w:val="0018211B"/>
    <w:rsid w:val="00182D67"/>
    <w:rsid w:val="001830E2"/>
    <w:rsid w:val="001832D2"/>
    <w:rsid w:val="001840D3"/>
    <w:rsid w:val="001841AA"/>
    <w:rsid w:val="00184BBB"/>
    <w:rsid w:val="00187A9A"/>
    <w:rsid w:val="00187C08"/>
    <w:rsid w:val="001900F8"/>
    <w:rsid w:val="00190164"/>
    <w:rsid w:val="001910D9"/>
    <w:rsid w:val="00191258"/>
    <w:rsid w:val="00192680"/>
    <w:rsid w:val="00193037"/>
    <w:rsid w:val="00193A2C"/>
    <w:rsid w:val="00194938"/>
    <w:rsid w:val="001A01D4"/>
    <w:rsid w:val="001A25CD"/>
    <w:rsid w:val="001A288E"/>
    <w:rsid w:val="001A2C54"/>
    <w:rsid w:val="001A32EE"/>
    <w:rsid w:val="001A6DD3"/>
    <w:rsid w:val="001B2277"/>
    <w:rsid w:val="001B6DC2"/>
    <w:rsid w:val="001C05F1"/>
    <w:rsid w:val="001C149C"/>
    <w:rsid w:val="001C21AC"/>
    <w:rsid w:val="001C47BA"/>
    <w:rsid w:val="001C59EA"/>
    <w:rsid w:val="001D17C2"/>
    <w:rsid w:val="001D406C"/>
    <w:rsid w:val="001D414F"/>
    <w:rsid w:val="001D41EE"/>
    <w:rsid w:val="001D7E81"/>
    <w:rsid w:val="001E0380"/>
    <w:rsid w:val="001E13B1"/>
    <w:rsid w:val="001E4676"/>
    <w:rsid w:val="001E55B7"/>
    <w:rsid w:val="001E5BE7"/>
    <w:rsid w:val="001E69DB"/>
    <w:rsid w:val="001E6A5D"/>
    <w:rsid w:val="001F22E7"/>
    <w:rsid w:val="001F3A19"/>
    <w:rsid w:val="00210BFB"/>
    <w:rsid w:val="0022046A"/>
    <w:rsid w:val="00223560"/>
    <w:rsid w:val="00231142"/>
    <w:rsid w:val="0023115B"/>
    <w:rsid w:val="00231970"/>
    <w:rsid w:val="00232990"/>
    <w:rsid w:val="002332A1"/>
    <w:rsid w:val="0023428E"/>
    <w:rsid w:val="00234467"/>
    <w:rsid w:val="00237D8D"/>
    <w:rsid w:val="00237DD2"/>
    <w:rsid w:val="00240FE6"/>
    <w:rsid w:val="00241648"/>
    <w:rsid w:val="00241DA2"/>
    <w:rsid w:val="00245B95"/>
    <w:rsid w:val="00247FEE"/>
    <w:rsid w:val="00250E7D"/>
    <w:rsid w:val="002535F0"/>
    <w:rsid w:val="0025647D"/>
    <w:rsid w:val="002565D5"/>
    <w:rsid w:val="00257C39"/>
    <w:rsid w:val="00257CFA"/>
    <w:rsid w:val="002621E4"/>
    <w:rsid w:val="002622C0"/>
    <w:rsid w:val="00262D2E"/>
    <w:rsid w:val="002665C3"/>
    <w:rsid w:val="002675CE"/>
    <w:rsid w:val="00276B08"/>
    <w:rsid w:val="002778AE"/>
    <w:rsid w:val="00281919"/>
    <w:rsid w:val="002824CB"/>
    <w:rsid w:val="0028269A"/>
    <w:rsid w:val="00283590"/>
    <w:rsid w:val="00284913"/>
    <w:rsid w:val="00286973"/>
    <w:rsid w:val="002904AF"/>
    <w:rsid w:val="00290F60"/>
    <w:rsid w:val="00294E70"/>
    <w:rsid w:val="00295B84"/>
    <w:rsid w:val="00296FB8"/>
    <w:rsid w:val="002974A5"/>
    <w:rsid w:val="002A06B3"/>
    <w:rsid w:val="002A1254"/>
    <w:rsid w:val="002A1924"/>
    <w:rsid w:val="002A4748"/>
    <w:rsid w:val="002A7420"/>
    <w:rsid w:val="002B0F12"/>
    <w:rsid w:val="002B1308"/>
    <w:rsid w:val="002B3E55"/>
    <w:rsid w:val="002B4554"/>
    <w:rsid w:val="002B7973"/>
    <w:rsid w:val="002C0FEA"/>
    <w:rsid w:val="002C2696"/>
    <w:rsid w:val="002C42FF"/>
    <w:rsid w:val="002C4AF3"/>
    <w:rsid w:val="002C5B7F"/>
    <w:rsid w:val="002C72D8"/>
    <w:rsid w:val="002D11FA"/>
    <w:rsid w:val="002D430D"/>
    <w:rsid w:val="002D6106"/>
    <w:rsid w:val="002E0DDF"/>
    <w:rsid w:val="002E2906"/>
    <w:rsid w:val="002E5635"/>
    <w:rsid w:val="002E64C3"/>
    <w:rsid w:val="002E6A2C"/>
    <w:rsid w:val="002F1D8C"/>
    <w:rsid w:val="002F21DA"/>
    <w:rsid w:val="002F3F0D"/>
    <w:rsid w:val="002F409E"/>
    <w:rsid w:val="002F42E2"/>
    <w:rsid w:val="002F57F3"/>
    <w:rsid w:val="002F5C1B"/>
    <w:rsid w:val="002F7A7B"/>
    <w:rsid w:val="00301F39"/>
    <w:rsid w:val="00301F9F"/>
    <w:rsid w:val="003046C0"/>
    <w:rsid w:val="00305812"/>
    <w:rsid w:val="003073E0"/>
    <w:rsid w:val="00310478"/>
    <w:rsid w:val="00317A37"/>
    <w:rsid w:val="0032071A"/>
    <w:rsid w:val="00325926"/>
    <w:rsid w:val="00327A8A"/>
    <w:rsid w:val="0033124C"/>
    <w:rsid w:val="00336610"/>
    <w:rsid w:val="003379E6"/>
    <w:rsid w:val="00342930"/>
    <w:rsid w:val="00343F73"/>
    <w:rsid w:val="00345060"/>
    <w:rsid w:val="00346375"/>
    <w:rsid w:val="00350323"/>
    <w:rsid w:val="00350BC9"/>
    <w:rsid w:val="0035323B"/>
    <w:rsid w:val="003532E7"/>
    <w:rsid w:val="003559CE"/>
    <w:rsid w:val="00355CB5"/>
    <w:rsid w:val="00356876"/>
    <w:rsid w:val="00360858"/>
    <w:rsid w:val="003609D2"/>
    <w:rsid w:val="00363F22"/>
    <w:rsid w:val="003650D5"/>
    <w:rsid w:val="003659A4"/>
    <w:rsid w:val="00370570"/>
    <w:rsid w:val="0037473D"/>
    <w:rsid w:val="00375564"/>
    <w:rsid w:val="003756CD"/>
    <w:rsid w:val="0037662F"/>
    <w:rsid w:val="003768C0"/>
    <w:rsid w:val="00383191"/>
    <w:rsid w:val="003852DB"/>
    <w:rsid w:val="00385633"/>
    <w:rsid w:val="00386DED"/>
    <w:rsid w:val="003912E7"/>
    <w:rsid w:val="0039140F"/>
    <w:rsid w:val="00393947"/>
    <w:rsid w:val="003A1F65"/>
    <w:rsid w:val="003A2275"/>
    <w:rsid w:val="003A48CA"/>
    <w:rsid w:val="003A6207"/>
    <w:rsid w:val="003A6A4F"/>
    <w:rsid w:val="003A7088"/>
    <w:rsid w:val="003B00DF"/>
    <w:rsid w:val="003B1275"/>
    <w:rsid w:val="003B1778"/>
    <w:rsid w:val="003B2A92"/>
    <w:rsid w:val="003C0C95"/>
    <w:rsid w:val="003C11CB"/>
    <w:rsid w:val="003C75F3"/>
    <w:rsid w:val="003C78A3"/>
    <w:rsid w:val="003D3D76"/>
    <w:rsid w:val="003D721E"/>
    <w:rsid w:val="003E0D6C"/>
    <w:rsid w:val="003E1867"/>
    <w:rsid w:val="003E4DAE"/>
    <w:rsid w:val="003E5729"/>
    <w:rsid w:val="003E5A57"/>
    <w:rsid w:val="003F0150"/>
    <w:rsid w:val="003F1CB3"/>
    <w:rsid w:val="003F214C"/>
    <w:rsid w:val="003F4EE0"/>
    <w:rsid w:val="003F4FCE"/>
    <w:rsid w:val="003F5CAE"/>
    <w:rsid w:val="004009E5"/>
    <w:rsid w:val="00400C28"/>
    <w:rsid w:val="00402153"/>
    <w:rsid w:val="00402FC1"/>
    <w:rsid w:val="00410255"/>
    <w:rsid w:val="004120FF"/>
    <w:rsid w:val="004134DD"/>
    <w:rsid w:val="00413B0E"/>
    <w:rsid w:val="004143E2"/>
    <w:rsid w:val="00415CE8"/>
    <w:rsid w:val="004162A1"/>
    <w:rsid w:val="004166CD"/>
    <w:rsid w:val="00417391"/>
    <w:rsid w:val="0041793A"/>
    <w:rsid w:val="00423779"/>
    <w:rsid w:val="00423926"/>
    <w:rsid w:val="004239C2"/>
    <w:rsid w:val="00423DBC"/>
    <w:rsid w:val="00425082"/>
    <w:rsid w:val="00431A96"/>
    <w:rsid w:val="00431DEB"/>
    <w:rsid w:val="00433D81"/>
    <w:rsid w:val="00446B29"/>
    <w:rsid w:val="004519EC"/>
    <w:rsid w:val="00453F9A"/>
    <w:rsid w:val="00454F40"/>
    <w:rsid w:val="0045659F"/>
    <w:rsid w:val="00462311"/>
    <w:rsid w:val="00466999"/>
    <w:rsid w:val="00471E91"/>
    <w:rsid w:val="00472AF6"/>
    <w:rsid w:val="00472C6E"/>
    <w:rsid w:val="00474675"/>
    <w:rsid w:val="0047470C"/>
    <w:rsid w:val="004822E1"/>
    <w:rsid w:val="004851C9"/>
    <w:rsid w:val="00485828"/>
    <w:rsid w:val="00490008"/>
    <w:rsid w:val="00493970"/>
    <w:rsid w:val="004949C7"/>
    <w:rsid w:val="004A029F"/>
    <w:rsid w:val="004A0900"/>
    <w:rsid w:val="004A3380"/>
    <w:rsid w:val="004A35F9"/>
    <w:rsid w:val="004A52C6"/>
    <w:rsid w:val="004B24C1"/>
    <w:rsid w:val="004B2F2F"/>
    <w:rsid w:val="004B3527"/>
    <w:rsid w:val="004B59CE"/>
    <w:rsid w:val="004B7A61"/>
    <w:rsid w:val="004C0DE4"/>
    <w:rsid w:val="004C208F"/>
    <w:rsid w:val="004C292F"/>
    <w:rsid w:val="004C3B1F"/>
    <w:rsid w:val="004C52B4"/>
    <w:rsid w:val="004D197C"/>
    <w:rsid w:val="004D6474"/>
    <w:rsid w:val="004E056C"/>
    <w:rsid w:val="004E15E6"/>
    <w:rsid w:val="004E4034"/>
    <w:rsid w:val="004E7695"/>
    <w:rsid w:val="004F10FB"/>
    <w:rsid w:val="004F11CA"/>
    <w:rsid w:val="004F3DE1"/>
    <w:rsid w:val="004F4EAA"/>
    <w:rsid w:val="004F5484"/>
    <w:rsid w:val="004F5649"/>
    <w:rsid w:val="00506363"/>
    <w:rsid w:val="00510280"/>
    <w:rsid w:val="005107C9"/>
    <w:rsid w:val="005122F6"/>
    <w:rsid w:val="00512425"/>
    <w:rsid w:val="00513D73"/>
    <w:rsid w:val="00514A43"/>
    <w:rsid w:val="005174E5"/>
    <w:rsid w:val="005176D2"/>
    <w:rsid w:val="00520FE0"/>
    <w:rsid w:val="00522393"/>
    <w:rsid w:val="00522620"/>
    <w:rsid w:val="00525656"/>
    <w:rsid w:val="00530674"/>
    <w:rsid w:val="00532F7A"/>
    <w:rsid w:val="00534C02"/>
    <w:rsid w:val="00534D29"/>
    <w:rsid w:val="00534EC9"/>
    <w:rsid w:val="0053668C"/>
    <w:rsid w:val="0054264B"/>
    <w:rsid w:val="00543786"/>
    <w:rsid w:val="00545170"/>
    <w:rsid w:val="00550AC2"/>
    <w:rsid w:val="005521BC"/>
    <w:rsid w:val="005528F0"/>
    <w:rsid w:val="005533D7"/>
    <w:rsid w:val="0055430C"/>
    <w:rsid w:val="0055617E"/>
    <w:rsid w:val="005703DE"/>
    <w:rsid w:val="00573FF1"/>
    <w:rsid w:val="00575169"/>
    <w:rsid w:val="00580549"/>
    <w:rsid w:val="005828EB"/>
    <w:rsid w:val="0058464E"/>
    <w:rsid w:val="005873F7"/>
    <w:rsid w:val="00587FD0"/>
    <w:rsid w:val="00591969"/>
    <w:rsid w:val="00592C13"/>
    <w:rsid w:val="0059333D"/>
    <w:rsid w:val="00594A3B"/>
    <w:rsid w:val="00594AEB"/>
    <w:rsid w:val="00594D40"/>
    <w:rsid w:val="005958FE"/>
    <w:rsid w:val="005A01CB"/>
    <w:rsid w:val="005A58FF"/>
    <w:rsid w:val="005A5EAF"/>
    <w:rsid w:val="005A64C0"/>
    <w:rsid w:val="005B12B4"/>
    <w:rsid w:val="005B3C11"/>
    <w:rsid w:val="005B3CB5"/>
    <w:rsid w:val="005B6E15"/>
    <w:rsid w:val="005B73B1"/>
    <w:rsid w:val="005B7BCA"/>
    <w:rsid w:val="005C1190"/>
    <w:rsid w:val="005C1C28"/>
    <w:rsid w:val="005C40BF"/>
    <w:rsid w:val="005C51F7"/>
    <w:rsid w:val="005C6DB5"/>
    <w:rsid w:val="005C7E1D"/>
    <w:rsid w:val="005D347A"/>
    <w:rsid w:val="005D4E43"/>
    <w:rsid w:val="005D5F29"/>
    <w:rsid w:val="005D6B2D"/>
    <w:rsid w:val="005E0135"/>
    <w:rsid w:val="005E19E7"/>
    <w:rsid w:val="005E6105"/>
    <w:rsid w:val="005E6661"/>
    <w:rsid w:val="005E7070"/>
    <w:rsid w:val="005E71F4"/>
    <w:rsid w:val="005F014C"/>
    <w:rsid w:val="005F1527"/>
    <w:rsid w:val="005F1913"/>
    <w:rsid w:val="005F2504"/>
    <w:rsid w:val="005F350E"/>
    <w:rsid w:val="005F7BA1"/>
    <w:rsid w:val="005F7EFC"/>
    <w:rsid w:val="00603CAD"/>
    <w:rsid w:val="00612C98"/>
    <w:rsid w:val="00616C04"/>
    <w:rsid w:val="0061716C"/>
    <w:rsid w:val="006243A1"/>
    <w:rsid w:val="0062500E"/>
    <w:rsid w:val="00625475"/>
    <w:rsid w:val="00626C34"/>
    <w:rsid w:val="0063099E"/>
    <w:rsid w:val="0063111E"/>
    <w:rsid w:val="00632E56"/>
    <w:rsid w:val="00635B45"/>
    <w:rsid w:val="00635CBA"/>
    <w:rsid w:val="00641A9B"/>
    <w:rsid w:val="00641C62"/>
    <w:rsid w:val="006423A6"/>
    <w:rsid w:val="0064338B"/>
    <w:rsid w:val="006451FA"/>
    <w:rsid w:val="00646542"/>
    <w:rsid w:val="00646A44"/>
    <w:rsid w:val="00646A5E"/>
    <w:rsid w:val="006471BF"/>
    <w:rsid w:val="006474B4"/>
    <w:rsid w:val="006504F4"/>
    <w:rsid w:val="00651D37"/>
    <w:rsid w:val="00652972"/>
    <w:rsid w:val="00652A8E"/>
    <w:rsid w:val="00654BC9"/>
    <w:rsid w:val="006552FD"/>
    <w:rsid w:val="006554A5"/>
    <w:rsid w:val="00663AF3"/>
    <w:rsid w:val="00666B6C"/>
    <w:rsid w:val="00672791"/>
    <w:rsid w:val="00674409"/>
    <w:rsid w:val="00676D9C"/>
    <w:rsid w:val="006771B8"/>
    <w:rsid w:val="0067773B"/>
    <w:rsid w:val="00682682"/>
    <w:rsid w:val="006826F4"/>
    <w:rsid w:val="00682702"/>
    <w:rsid w:val="006862EB"/>
    <w:rsid w:val="00692368"/>
    <w:rsid w:val="00692D89"/>
    <w:rsid w:val="006961ED"/>
    <w:rsid w:val="006A2EBC"/>
    <w:rsid w:val="006A5EA0"/>
    <w:rsid w:val="006A70C5"/>
    <w:rsid w:val="006A783B"/>
    <w:rsid w:val="006A7AEB"/>
    <w:rsid w:val="006A7B33"/>
    <w:rsid w:val="006B0009"/>
    <w:rsid w:val="006B240C"/>
    <w:rsid w:val="006B4E13"/>
    <w:rsid w:val="006B75DD"/>
    <w:rsid w:val="006C2AB8"/>
    <w:rsid w:val="006C3EC4"/>
    <w:rsid w:val="006C4C67"/>
    <w:rsid w:val="006C558C"/>
    <w:rsid w:val="006C5EC8"/>
    <w:rsid w:val="006C67E0"/>
    <w:rsid w:val="006C7ABA"/>
    <w:rsid w:val="006D08F4"/>
    <w:rsid w:val="006D0D60"/>
    <w:rsid w:val="006D1122"/>
    <w:rsid w:val="006D3C00"/>
    <w:rsid w:val="006D4D2E"/>
    <w:rsid w:val="006D4D40"/>
    <w:rsid w:val="006D51B3"/>
    <w:rsid w:val="006E19E7"/>
    <w:rsid w:val="006E3675"/>
    <w:rsid w:val="006E37CB"/>
    <w:rsid w:val="006E4A7F"/>
    <w:rsid w:val="006E5E69"/>
    <w:rsid w:val="006F2AB3"/>
    <w:rsid w:val="006F7B95"/>
    <w:rsid w:val="00702335"/>
    <w:rsid w:val="00702A38"/>
    <w:rsid w:val="00704DF6"/>
    <w:rsid w:val="007059C7"/>
    <w:rsid w:val="0070651C"/>
    <w:rsid w:val="00707D93"/>
    <w:rsid w:val="00711B5A"/>
    <w:rsid w:val="007132A3"/>
    <w:rsid w:val="00713BF8"/>
    <w:rsid w:val="00716421"/>
    <w:rsid w:val="00717651"/>
    <w:rsid w:val="00720A1A"/>
    <w:rsid w:val="00722B08"/>
    <w:rsid w:val="00724EFB"/>
    <w:rsid w:val="00727F16"/>
    <w:rsid w:val="00732949"/>
    <w:rsid w:val="00732FC0"/>
    <w:rsid w:val="007410DC"/>
    <w:rsid w:val="007419C3"/>
    <w:rsid w:val="00743B4A"/>
    <w:rsid w:val="00744961"/>
    <w:rsid w:val="007467A7"/>
    <w:rsid w:val="007469DD"/>
    <w:rsid w:val="00747275"/>
    <w:rsid w:val="0074741B"/>
    <w:rsid w:val="0074759E"/>
    <w:rsid w:val="007478EA"/>
    <w:rsid w:val="00750DC8"/>
    <w:rsid w:val="00753E0E"/>
    <w:rsid w:val="0075415C"/>
    <w:rsid w:val="00757BEF"/>
    <w:rsid w:val="00763502"/>
    <w:rsid w:val="00764C9D"/>
    <w:rsid w:val="00765463"/>
    <w:rsid w:val="00767D83"/>
    <w:rsid w:val="00774E9B"/>
    <w:rsid w:val="00776E00"/>
    <w:rsid w:val="00777400"/>
    <w:rsid w:val="007848C5"/>
    <w:rsid w:val="00784DB9"/>
    <w:rsid w:val="007913AB"/>
    <w:rsid w:val="007914F7"/>
    <w:rsid w:val="007930AA"/>
    <w:rsid w:val="00794508"/>
    <w:rsid w:val="00796948"/>
    <w:rsid w:val="00797015"/>
    <w:rsid w:val="0079710D"/>
    <w:rsid w:val="007A15FC"/>
    <w:rsid w:val="007A62FB"/>
    <w:rsid w:val="007B0C68"/>
    <w:rsid w:val="007B1625"/>
    <w:rsid w:val="007B2AA6"/>
    <w:rsid w:val="007B706E"/>
    <w:rsid w:val="007B71EB"/>
    <w:rsid w:val="007B7F4D"/>
    <w:rsid w:val="007C065D"/>
    <w:rsid w:val="007C0AE1"/>
    <w:rsid w:val="007C31CC"/>
    <w:rsid w:val="007C6205"/>
    <w:rsid w:val="007C686A"/>
    <w:rsid w:val="007C728E"/>
    <w:rsid w:val="007D2C53"/>
    <w:rsid w:val="007D3D60"/>
    <w:rsid w:val="007D5AF6"/>
    <w:rsid w:val="007E0D43"/>
    <w:rsid w:val="007E1980"/>
    <w:rsid w:val="007E1A9B"/>
    <w:rsid w:val="007E4B76"/>
    <w:rsid w:val="007E4C8A"/>
    <w:rsid w:val="007E5EA8"/>
    <w:rsid w:val="007F0CF1"/>
    <w:rsid w:val="007F12A5"/>
    <w:rsid w:val="007F3B0B"/>
    <w:rsid w:val="007F4CF1"/>
    <w:rsid w:val="007F63E3"/>
    <w:rsid w:val="007F758D"/>
    <w:rsid w:val="007F7D52"/>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504A8"/>
    <w:rsid w:val="0085282E"/>
    <w:rsid w:val="008533B6"/>
    <w:rsid w:val="00862151"/>
    <w:rsid w:val="008632BF"/>
    <w:rsid w:val="0086391B"/>
    <w:rsid w:val="00864FB4"/>
    <w:rsid w:val="0087198C"/>
    <w:rsid w:val="00872C1F"/>
    <w:rsid w:val="00872E5B"/>
    <w:rsid w:val="00873B42"/>
    <w:rsid w:val="00874516"/>
    <w:rsid w:val="00874A40"/>
    <w:rsid w:val="00874E39"/>
    <w:rsid w:val="00875A74"/>
    <w:rsid w:val="008770F5"/>
    <w:rsid w:val="00877177"/>
    <w:rsid w:val="0087773E"/>
    <w:rsid w:val="00877910"/>
    <w:rsid w:val="00882095"/>
    <w:rsid w:val="00882D2B"/>
    <w:rsid w:val="008838F4"/>
    <w:rsid w:val="00884075"/>
    <w:rsid w:val="008856D8"/>
    <w:rsid w:val="00892E82"/>
    <w:rsid w:val="008949A7"/>
    <w:rsid w:val="008B1A58"/>
    <w:rsid w:val="008B2414"/>
    <w:rsid w:val="008B3C85"/>
    <w:rsid w:val="008B6611"/>
    <w:rsid w:val="008C0D91"/>
    <w:rsid w:val="008C1399"/>
    <w:rsid w:val="008C1B58"/>
    <w:rsid w:val="008C3376"/>
    <w:rsid w:val="008C39AE"/>
    <w:rsid w:val="008C4313"/>
    <w:rsid w:val="008C590D"/>
    <w:rsid w:val="008C5F12"/>
    <w:rsid w:val="008D009D"/>
    <w:rsid w:val="008D250B"/>
    <w:rsid w:val="008D4EA9"/>
    <w:rsid w:val="008D7B45"/>
    <w:rsid w:val="008E031B"/>
    <w:rsid w:val="008E10CC"/>
    <w:rsid w:val="008E1E00"/>
    <w:rsid w:val="008E2388"/>
    <w:rsid w:val="008E4014"/>
    <w:rsid w:val="008E58D7"/>
    <w:rsid w:val="008E5F27"/>
    <w:rsid w:val="008E60E2"/>
    <w:rsid w:val="008E7029"/>
    <w:rsid w:val="008E7EF6"/>
    <w:rsid w:val="008F1F98"/>
    <w:rsid w:val="008F46BC"/>
    <w:rsid w:val="008F5765"/>
    <w:rsid w:val="008F6758"/>
    <w:rsid w:val="00902A08"/>
    <w:rsid w:val="0090326F"/>
    <w:rsid w:val="009040DD"/>
    <w:rsid w:val="00905B47"/>
    <w:rsid w:val="00910F57"/>
    <w:rsid w:val="0091331C"/>
    <w:rsid w:val="00913AC3"/>
    <w:rsid w:val="0091457E"/>
    <w:rsid w:val="00917DEE"/>
    <w:rsid w:val="009236CF"/>
    <w:rsid w:val="009240E8"/>
    <w:rsid w:val="00924BEA"/>
    <w:rsid w:val="009279DE"/>
    <w:rsid w:val="00930116"/>
    <w:rsid w:val="0093079D"/>
    <w:rsid w:val="0093442B"/>
    <w:rsid w:val="00936007"/>
    <w:rsid w:val="009363F2"/>
    <w:rsid w:val="0093742D"/>
    <w:rsid w:val="00940FAC"/>
    <w:rsid w:val="0094212C"/>
    <w:rsid w:val="009421BE"/>
    <w:rsid w:val="00944D81"/>
    <w:rsid w:val="00946042"/>
    <w:rsid w:val="00946A45"/>
    <w:rsid w:val="009504BC"/>
    <w:rsid w:val="009507F6"/>
    <w:rsid w:val="00950899"/>
    <w:rsid w:val="00951D89"/>
    <w:rsid w:val="009520CA"/>
    <w:rsid w:val="00954689"/>
    <w:rsid w:val="009562D4"/>
    <w:rsid w:val="0095636A"/>
    <w:rsid w:val="00957E34"/>
    <w:rsid w:val="009602EB"/>
    <w:rsid w:val="009617C9"/>
    <w:rsid w:val="00961C93"/>
    <w:rsid w:val="00963087"/>
    <w:rsid w:val="00965324"/>
    <w:rsid w:val="0097091E"/>
    <w:rsid w:val="00972DCF"/>
    <w:rsid w:val="0097312C"/>
    <w:rsid w:val="009760D3"/>
    <w:rsid w:val="00977132"/>
    <w:rsid w:val="00980089"/>
    <w:rsid w:val="00981020"/>
    <w:rsid w:val="00981A4B"/>
    <w:rsid w:val="00982501"/>
    <w:rsid w:val="0098403E"/>
    <w:rsid w:val="00987386"/>
    <w:rsid w:val="009877D3"/>
    <w:rsid w:val="009914C3"/>
    <w:rsid w:val="0099180B"/>
    <w:rsid w:val="00994E8F"/>
    <w:rsid w:val="009951DC"/>
    <w:rsid w:val="009959BB"/>
    <w:rsid w:val="00996669"/>
    <w:rsid w:val="00997158"/>
    <w:rsid w:val="009971BB"/>
    <w:rsid w:val="009A3A7C"/>
    <w:rsid w:val="009A65E2"/>
    <w:rsid w:val="009B2ADB"/>
    <w:rsid w:val="009B31F4"/>
    <w:rsid w:val="009B603A"/>
    <w:rsid w:val="009B7BD0"/>
    <w:rsid w:val="009C0F68"/>
    <w:rsid w:val="009C2D0E"/>
    <w:rsid w:val="009C3DAC"/>
    <w:rsid w:val="009C42E0"/>
    <w:rsid w:val="009C4EEC"/>
    <w:rsid w:val="009C59CF"/>
    <w:rsid w:val="009C7DCB"/>
    <w:rsid w:val="009D28B6"/>
    <w:rsid w:val="009D2B49"/>
    <w:rsid w:val="009D42C7"/>
    <w:rsid w:val="009D5362"/>
    <w:rsid w:val="009D5919"/>
    <w:rsid w:val="009E09B4"/>
    <w:rsid w:val="009E1415"/>
    <w:rsid w:val="009E3124"/>
    <w:rsid w:val="009E5754"/>
    <w:rsid w:val="009E6116"/>
    <w:rsid w:val="009F11B8"/>
    <w:rsid w:val="009F1B15"/>
    <w:rsid w:val="009F679C"/>
    <w:rsid w:val="009F73D8"/>
    <w:rsid w:val="00A0112A"/>
    <w:rsid w:val="00A02E43"/>
    <w:rsid w:val="00A04FDA"/>
    <w:rsid w:val="00A065F9"/>
    <w:rsid w:val="00A07F34"/>
    <w:rsid w:val="00A15157"/>
    <w:rsid w:val="00A20703"/>
    <w:rsid w:val="00A20C5E"/>
    <w:rsid w:val="00A22154"/>
    <w:rsid w:val="00A24393"/>
    <w:rsid w:val="00A25C38"/>
    <w:rsid w:val="00A26308"/>
    <w:rsid w:val="00A26A96"/>
    <w:rsid w:val="00A27215"/>
    <w:rsid w:val="00A27B20"/>
    <w:rsid w:val="00A31329"/>
    <w:rsid w:val="00A3168B"/>
    <w:rsid w:val="00A34D69"/>
    <w:rsid w:val="00A35B1A"/>
    <w:rsid w:val="00A36411"/>
    <w:rsid w:val="00A36BBE"/>
    <w:rsid w:val="00A41191"/>
    <w:rsid w:val="00A4232B"/>
    <w:rsid w:val="00A4307A"/>
    <w:rsid w:val="00A43097"/>
    <w:rsid w:val="00A47EBB"/>
    <w:rsid w:val="00A50675"/>
    <w:rsid w:val="00A51CDD"/>
    <w:rsid w:val="00A60078"/>
    <w:rsid w:val="00A6107E"/>
    <w:rsid w:val="00A6208C"/>
    <w:rsid w:val="00A6394B"/>
    <w:rsid w:val="00A64559"/>
    <w:rsid w:val="00A65215"/>
    <w:rsid w:val="00A671A9"/>
    <w:rsid w:val="00A6730D"/>
    <w:rsid w:val="00A6746D"/>
    <w:rsid w:val="00A71625"/>
    <w:rsid w:val="00A71B9B"/>
    <w:rsid w:val="00A751C7"/>
    <w:rsid w:val="00A77DA8"/>
    <w:rsid w:val="00A828DE"/>
    <w:rsid w:val="00A8492D"/>
    <w:rsid w:val="00A85A00"/>
    <w:rsid w:val="00A85B30"/>
    <w:rsid w:val="00A87373"/>
    <w:rsid w:val="00A87844"/>
    <w:rsid w:val="00A9269C"/>
    <w:rsid w:val="00A9289C"/>
    <w:rsid w:val="00A92ADF"/>
    <w:rsid w:val="00A9444E"/>
    <w:rsid w:val="00A944C9"/>
    <w:rsid w:val="00A94C41"/>
    <w:rsid w:val="00AA038C"/>
    <w:rsid w:val="00AA1737"/>
    <w:rsid w:val="00AA3DA9"/>
    <w:rsid w:val="00AA4E96"/>
    <w:rsid w:val="00AA7A09"/>
    <w:rsid w:val="00AB2D90"/>
    <w:rsid w:val="00AB3B50"/>
    <w:rsid w:val="00AB3C6A"/>
    <w:rsid w:val="00AC05B1"/>
    <w:rsid w:val="00AC6F5A"/>
    <w:rsid w:val="00AC7E31"/>
    <w:rsid w:val="00AD0268"/>
    <w:rsid w:val="00AD1C43"/>
    <w:rsid w:val="00AD356C"/>
    <w:rsid w:val="00AD5225"/>
    <w:rsid w:val="00AD6C43"/>
    <w:rsid w:val="00AE2914"/>
    <w:rsid w:val="00AE42A9"/>
    <w:rsid w:val="00AE4B7D"/>
    <w:rsid w:val="00AE6D15"/>
    <w:rsid w:val="00AE7BBA"/>
    <w:rsid w:val="00AF4D12"/>
    <w:rsid w:val="00AF5F62"/>
    <w:rsid w:val="00B01D5B"/>
    <w:rsid w:val="00B01FF6"/>
    <w:rsid w:val="00B04182"/>
    <w:rsid w:val="00B07AE3"/>
    <w:rsid w:val="00B11430"/>
    <w:rsid w:val="00B13C00"/>
    <w:rsid w:val="00B157F4"/>
    <w:rsid w:val="00B20672"/>
    <w:rsid w:val="00B24CB6"/>
    <w:rsid w:val="00B25BDF"/>
    <w:rsid w:val="00B3352A"/>
    <w:rsid w:val="00B34238"/>
    <w:rsid w:val="00B343EC"/>
    <w:rsid w:val="00B34A96"/>
    <w:rsid w:val="00B353EB"/>
    <w:rsid w:val="00B36260"/>
    <w:rsid w:val="00B439C4"/>
    <w:rsid w:val="00B43E20"/>
    <w:rsid w:val="00B440D6"/>
    <w:rsid w:val="00B446FB"/>
    <w:rsid w:val="00B4535E"/>
    <w:rsid w:val="00B46157"/>
    <w:rsid w:val="00B50B59"/>
    <w:rsid w:val="00B50D6E"/>
    <w:rsid w:val="00B5197C"/>
    <w:rsid w:val="00B52A8C"/>
    <w:rsid w:val="00B56E2D"/>
    <w:rsid w:val="00B6239F"/>
    <w:rsid w:val="00B62B02"/>
    <w:rsid w:val="00B636A8"/>
    <w:rsid w:val="00B64F53"/>
    <w:rsid w:val="00B651BB"/>
    <w:rsid w:val="00B665C6"/>
    <w:rsid w:val="00B66749"/>
    <w:rsid w:val="00B679EE"/>
    <w:rsid w:val="00B7172A"/>
    <w:rsid w:val="00B71906"/>
    <w:rsid w:val="00B74EB5"/>
    <w:rsid w:val="00B77776"/>
    <w:rsid w:val="00B805AF"/>
    <w:rsid w:val="00B806EB"/>
    <w:rsid w:val="00B869E5"/>
    <w:rsid w:val="00B869EC"/>
    <w:rsid w:val="00B86D7D"/>
    <w:rsid w:val="00B86F4F"/>
    <w:rsid w:val="00B9076F"/>
    <w:rsid w:val="00B9397A"/>
    <w:rsid w:val="00B95E90"/>
    <w:rsid w:val="00B9633D"/>
    <w:rsid w:val="00BA03B9"/>
    <w:rsid w:val="00BA2EBE"/>
    <w:rsid w:val="00BA78BF"/>
    <w:rsid w:val="00BB0F28"/>
    <w:rsid w:val="00BB0F47"/>
    <w:rsid w:val="00BB1A72"/>
    <w:rsid w:val="00BB1AEC"/>
    <w:rsid w:val="00BB41EA"/>
    <w:rsid w:val="00BB458A"/>
    <w:rsid w:val="00BB51B7"/>
    <w:rsid w:val="00BC18E2"/>
    <w:rsid w:val="00BD00D3"/>
    <w:rsid w:val="00BD1659"/>
    <w:rsid w:val="00BD3AA9"/>
    <w:rsid w:val="00BD4A18"/>
    <w:rsid w:val="00BD52D4"/>
    <w:rsid w:val="00BD6DB2"/>
    <w:rsid w:val="00BE042B"/>
    <w:rsid w:val="00BE046E"/>
    <w:rsid w:val="00BE11CF"/>
    <w:rsid w:val="00BE21AB"/>
    <w:rsid w:val="00BE25BF"/>
    <w:rsid w:val="00BE2E40"/>
    <w:rsid w:val="00BE4E0E"/>
    <w:rsid w:val="00BE55CB"/>
    <w:rsid w:val="00BE5F37"/>
    <w:rsid w:val="00BF101B"/>
    <w:rsid w:val="00BF356A"/>
    <w:rsid w:val="00BF5EEE"/>
    <w:rsid w:val="00BF617A"/>
    <w:rsid w:val="00C004AD"/>
    <w:rsid w:val="00C0216D"/>
    <w:rsid w:val="00C02813"/>
    <w:rsid w:val="00C02A73"/>
    <w:rsid w:val="00C033A6"/>
    <w:rsid w:val="00C0379D"/>
    <w:rsid w:val="00C03931"/>
    <w:rsid w:val="00C05FE3"/>
    <w:rsid w:val="00C066AB"/>
    <w:rsid w:val="00C13D45"/>
    <w:rsid w:val="00C16220"/>
    <w:rsid w:val="00C174F4"/>
    <w:rsid w:val="00C2136D"/>
    <w:rsid w:val="00C214EE"/>
    <w:rsid w:val="00C21AB5"/>
    <w:rsid w:val="00C21AC9"/>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242E"/>
    <w:rsid w:val="00C446D1"/>
    <w:rsid w:val="00C458E9"/>
    <w:rsid w:val="00C45A5A"/>
    <w:rsid w:val="00C50805"/>
    <w:rsid w:val="00C50BA5"/>
    <w:rsid w:val="00C51C07"/>
    <w:rsid w:val="00C543C0"/>
    <w:rsid w:val="00C55F2B"/>
    <w:rsid w:val="00C56DF0"/>
    <w:rsid w:val="00C601D2"/>
    <w:rsid w:val="00C60B1E"/>
    <w:rsid w:val="00C613DE"/>
    <w:rsid w:val="00C61CA0"/>
    <w:rsid w:val="00C621B3"/>
    <w:rsid w:val="00C636F9"/>
    <w:rsid w:val="00C64305"/>
    <w:rsid w:val="00C657AB"/>
    <w:rsid w:val="00C65BCC"/>
    <w:rsid w:val="00C66970"/>
    <w:rsid w:val="00C679AE"/>
    <w:rsid w:val="00C67EE6"/>
    <w:rsid w:val="00C73BC7"/>
    <w:rsid w:val="00C7740A"/>
    <w:rsid w:val="00C778A9"/>
    <w:rsid w:val="00C77900"/>
    <w:rsid w:val="00C8585D"/>
    <w:rsid w:val="00C8691C"/>
    <w:rsid w:val="00C86A9E"/>
    <w:rsid w:val="00C87771"/>
    <w:rsid w:val="00C90606"/>
    <w:rsid w:val="00C95B40"/>
    <w:rsid w:val="00CA168A"/>
    <w:rsid w:val="00CA357E"/>
    <w:rsid w:val="00CA4088"/>
    <w:rsid w:val="00CA44F9"/>
    <w:rsid w:val="00CA4A69"/>
    <w:rsid w:val="00CB2D67"/>
    <w:rsid w:val="00CC12AE"/>
    <w:rsid w:val="00CC2872"/>
    <w:rsid w:val="00CC3E0C"/>
    <w:rsid w:val="00CC58D3"/>
    <w:rsid w:val="00CC784D"/>
    <w:rsid w:val="00CC7E72"/>
    <w:rsid w:val="00CD08A9"/>
    <w:rsid w:val="00CD10D1"/>
    <w:rsid w:val="00CD2F47"/>
    <w:rsid w:val="00CD72C8"/>
    <w:rsid w:val="00CE1E88"/>
    <w:rsid w:val="00CE2006"/>
    <w:rsid w:val="00CE51F5"/>
    <w:rsid w:val="00CE51F7"/>
    <w:rsid w:val="00CF15CF"/>
    <w:rsid w:val="00CF24B2"/>
    <w:rsid w:val="00CF69EF"/>
    <w:rsid w:val="00D01147"/>
    <w:rsid w:val="00D0337B"/>
    <w:rsid w:val="00D0412E"/>
    <w:rsid w:val="00D04F64"/>
    <w:rsid w:val="00D05B87"/>
    <w:rsid w:val="00D079B2"/>
    <w:rsid w:val="00D114E9"/>
    <w:rsid w:val="00D11A67"/>
    <w:rsid w:val="00D11FDA"/>
    <w:rsid w:val="00D12894"/>
    <w:rsid w:val="00D2393C"/>
    <w:rsid w:val="00D242F8"/>
    <w:rsid w:val="00D25665"/>
    <w:rsid w:val="00D362C8"/>
    <w:rsid w:val="00D37A4C"/>
    <w:rsid w:val="00D40E52"/>
    <w:rsid w:val="00D41BB5"/>
    <w:rsid w:val="00D429C6"/>
    <w:rsid w:val="00D45385"/>
    <w:rsid w:val="00D45825"/>
    <w:rsid w:val="00D470DA"/>
    <w:rsid w:val="00D47748"/>
    <w:rsid w:val="00D5483F"/>
    <w:rsid w:val="00D54CC3"/>
    <w:rsid w:val="00D567B0"/>
    <w:rsid w:val="00D60196"/>
    <w:rsid w:val="00D6041A"/>
    <w:rsid w:val="00D6053E"/>
    <w:rsid w:val="00D633EB"/>
    <w:rsid w:val="00D67504"/>
    <w:rsid w:val="00D67C55"/>
    <w:rsid w:val="00D71C2B"/>
    <w:rsid w:val="00D72991"/>
    <w:rsid w:val="00D7361B"/>
    <w:rsid w:val="00D827AB"/>
    <w:rsid w:val="00D82FF7"/>
    <w:rsid w:val="00D83842"/>
    <w:rsid w:val="00D847FE"/>
    <w:rsid w:val="00D85F8E"/>
    <w:rsid w:val="00D86EC2"/>
    <w:rsid w:val="00D9561C"/>
    <w:rsid w:val="00D964EA"/>
    <w:rsid w:val="00D966D0"/>
    <w:rsid w:val="00D977E3"/>
    <w:rsid w:val="00DA0C59"/>
    <w:rsid w:val="00DA1E1B"/>
    <w:rsid w:val="00DA2D15"/>
    <w:rsid w:val="00DA3991"/>
    <w:rsid w:val="00DA3A00"/>
    <w:rsid w:val="00DB1642"/>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54C0"/>
    <w:rsid w:val="00DF21E9"/>
    <w:rsid w:val="00DF27F2"/>
    <w:rsid w:val="00DF3835"/>
    <w:rsid w:val="00DF4689"/>
    <w:rsid w:val="00DF642F"/>
    <w:rsid w:val="00DF7839"/>
    <w:rsid w:val="00DF7B36"/>
    <w:rsid w:val="00E00F14"/>
    <w:rsid w:val="00E014DB"/>
    <w:rsid w:val="00E01E2C"/>
    <w:rsid w:val="00E06386"/>
    <w:rsid w:val="00E06724"/>
    <w:rsid w:val="00E1121D"/>
    <w:rsid w:val="00E13AFD"/>
    <w:rsid w:val="00E14910"/>
    <w:rsid w:val="00E14F96"/>
    <w:rsid w:val="00E16106"/>
    <w:rsid w:val="00E1779D"/>
    <w:rsid w:val="00E24EB4"/>
    <w:rsid w:val="00E307BF"/>
    <w:rsid w:val="00E320ED"/>
    <w:rsid w:val="00E32DF6"/>
    <w:rsid w:val="00E33AFB"/>
    <w:rsid w:val="00E34218"/>
    <w:rsid w:val="00E36B6A"/>
    <w:rsid w:val="00E46282"/>
    <w:rsid w:val="00E47E10"/>
    <w:rsid w:val="00E505AA"/>
    <w:rsid w:val="00E51468"/>
    <w:rsid w:val="00E5216E"/>
    <w:rsid w:val="00E53944"/>
    <w:rsid w:val="00E57BBB"/>
    <w:rsid w:val="00E608D9"/>
    <w:rsid w:val="00E60B84"/>
    <w:rsid w:val="00E65663"/>
    <w:rsid w:val="00E66995"/>
    <w:rsid w:val="00E70631"/>
    <w:rsid w:val="00E72A9E"/>
    <w:rsid w:val="00E76C52"/>
    <w:rsid w:val="00E76F30"/>
    <w:rsid w:val="00E80B7C"/>
    <w:rsid w:val="00E82344"/>
    <w:rsid w:val="00E84C82"/>
    <w:rsid w:val="00E84D64"/>
    <w:rsid w:val="00E87408"/>
    <w:rsid w:val="00E914C4"/>
    <w:rsid w:val="00E934F5"/>
    <w:rsid w:val="00E96961"/>
    <w:rsid w:val="00EA6F38"/>
    <w:rsid w:val="00EA72EC"/>
    <w:rsid w:val="00EB04E1"/>
    <w:rsid w:val="00EB11CB"/>
    <w:rsid w:val="00EB275A"/>
    <w:rsid w:val="00EB786A"/>
    <w:rsid w:val="00EC1578"/>
    <w:rsid w:val="00EC1C72"/>
    <w:rsid w:val="00EC2945"/>
    <w:rsid w:val="00EC3CC9"/>
    <w:rsid w:val="00EC680A"/>
    <w:rsid w:val="00ED0BBE"/>
    <w:rsid w:val="00ED1196"/>
    <w:rsid w:val="00ED3093"/>
    <w:rsid w:val="00ED4DD7"/>
    <w:rsid w:val="00ED7AEE"/>
    <w:rsid w:val="00EE1BF1"/>
    <w:rsid w:val="00EE205B"/>
    <w:rsid w:val="00EE2BED"/>
    <w:rsid w:val="00EE3414"/>
    <w:rsid w:val="00EE374B"/>
    <w:rsid w:val="00EE59FB"/>
    <w:rsid w:val="00EF10F8"/>
    <w:rsid w:val="00EF3D77"/>
    <w:rsid w:val="00EF58BA"/>
    <w:rsid w:val="00EF7629"/>
    <w:rsid w:val="00F01332"/>
    <w:rsid w:val="00F03885"/>
    <w:rsid w:val="00F04C3F"/>
    <w:rsid w:val="00F06080"/>
    <w:rsid w:val="00F06D15"/>
    <w:rsid w:val="00F11BB5"/>
    <w:rsid w:val="00F1417B"/>
    <w:rsid w:val="00F175E9"/>
    <w:rsid w:val="00F1787C"/>
    <w:rsid w:val="00F17E2E"/>
    <w:rsid w:val="00F17E9C"/>
    <w:rsid w:val="00F25CC7"/>
    <w:rsid w:val="00F27203"/>
    <w:rsid w:val="00F27FF2"/>
    <w:rsid w:val="00F34B99"/>
    <w:rsid w:val="00F37A7F"/>
    <w:rsid w:val="00F43145"/>
    <w:rsid w:val="00F47811"/>
    <w:rsid w:val="00F510E6"/>
    <w:rsid w:val="00F52DAB"/>
    <w:rsid w:val="00F53D3F"/>
    <w:rsid w:val="00F543F0"/>
    <w:rsid w:val="00F54E41"/>
    <w:rsid w:val="00F57A6A"/>
    <w:rsid w:val="00F6373D"/>
    <w:rsid w:val="00F70F68"/>
    <w:rsid w:val="00F72314"/>
    <w:rsid w:val="00F737AD"/>
    <w:rsid w:val="00F77869"/>
    <w:rsid w:val="00F81158"/>
    <w:rsid w:val="00F81D29"/>
    <w:rsid w:val="00F81D61"/>
    <w:rsid w:val="00F81DC8"/>
    <w:rsid w:val="00F85D5E"/>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C2F6E"/>
    <w:rsid w:val="00FC6358"/>
    <w:rsid w:val="00FC670B"/>
    <w:rsid w:val="00FC6C90"/>
    <w:rsid w:val="00FD04BB"/>
    <w:rsid w:val="00FD320D"/>
    <w:rsid w:val="00FD570D"/>
    <w:rsid w:val="00FD5950"/>
    <w:rsid w:val="00FE23DE"/>
    <w:rsid w:val="00FE5E6A"/>
    <w:rsid w:val="00FE773B"/>
    <w:rsid w:val="00FF3033"/>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74A5AC6"/>
    <w:rsid w:val="28752F46"/>
    <w:rsid w:val="2B8B7DC3"/>
    <w:rsid w:val="2BD650E5"/>
    <w:rsid w:val="2C2D37D2"/>
    <w:rsid w:val="2D1F1D65"/>
    <w:rsid w:val="2DAC5F75"/>
    <w:rsid w:val="2E1C1A4E"/>
    <w:rsid w:val="2E5D1AEE"/>
    <w:rsid w:val="2E84570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Char"/>
    <w:link w:val="7"/>
    <w:qFormat/>
    <w:uiPriority w:val="0"/>
    <w:rPr>
      <w:kern w:val="2"/>
      <w:sz w:val="21"/>
      <w:szCs w:val="24"/>
    </w:rPr>
  </w:style>
  <w:style w:type="character" w:customStyle="1" w:styleId="43">
    <w:name w:val="批注框文本 Char"/>
    <w:link w:val="15"/>
    <w:qFormat/>
    <w:uiPriority w:val="0"/>
    <w:rPr>
      <w:kern w:val="2"/>
      <w:sz w:val="18"/>
      <w:szCs w:val="18"/>
    </w:rPr>
  </w:style>
  <w:style w:type="character" w:customStyle="1" w:styleId="44">
    <w:name w:val="页脚 Char"/>
    <w:link w:val="16"/>
    <w:qFormat/>
    <w:locked/>
    <w:uiPriority w:val="99"/>
    <w:rPr>
      <w:kern w:val="2"/>
      <w:sz w:val="18"/>
      <w:szCs w:val="18"/>
    </w:rPr>
  </w:style>
  <w:style w:type="character" w:customStyle="1" w:styleId="45">
    <w:name w:val="页眉 Char"/>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Char"/>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7964</Words>
  <Characters>1871</Characters>
  <Lines>15</Lines>
  <Paragraphs>19</Paragraphs>
  <TotalTime>0</TotalTime>
  <ScaleCrop>false</ScaleCrop>
  <LinksUpToDate>false</LinksUpToDate>
  <CharactersWithSpaces>9816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2023-08-24T07:43:58Z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093488B3CE7B404CA498333D5319B0E4</vt:lpwstr>
  </property>
</Properties>
</file>