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XXXX—XXXX</w:t>
      </w:r>
    </w:p>
    <w:p>
      <w:pPr>
        <w:pStyle w:val="147"/>
        <w:framePr w:wrap="around"/>
        <w:pBdr>
          <w:bottom w:val="single" w:color="auto" w:sz="4" w:space="1"/>
        </w:pBdr>
        <w:wordWrap w:val="0"/>
        <w:spacing w:before="120"/>
        <w:rPr>
          <w:rFonts w:ascii="Times New Roman" w:eastAsia="宋体"/>
        </w:rPr>
      </w:pPr>
      <w:r>
        <w:rPr>
          <w:rFonts w:ascii="Times New Roman" w:eastAsia="宋体"/>
        </w:rPr>
        <w:t>T/CSTA XXXX—XXXX</w:t>
      </w:r>
    </w:p>
    <w:p>
      <w:pPr>
        <w:pStyle w:val="147"/>
        <w:framePr w:wrap="around"/>
        <w:rPr>
          <w:rFonts w:ascii="Times New Roman" w:eastAsia="宋体"/>
        </w:rPr>
      </w:pPr>
    </w:p>
    <w:p>
      <w:pPr>
        <w:pStyle w:val="147"/>
        <w:framePr w:wrap="around"/>
        <w:rPr>
          <w:rFonts w:ascii="Times New Roman" w:eastAsia="宋体"/>
        </w:rPr>
      </w:pPr>
    </w:p>
    <w:p>
      <w:pPr>
        <w:pStyle w:val="71"/>
        <w:framePr w:wrap="around" w:x="1381" w:y="6406"/>
        <w:rPr>
          <w:rFonts w:ascii="Times New Roman"/>
        </w:rPr>
      </w:pPr>
      <w:r>
        <w:rPr>
          <w:rFonts w:ascii="Times New Roman"/>
        </w:rPr>
        <w:t>绿色设计产品评价</w:t>
      </w:r>
      <w:r>
        <w:rPr>
          <w:rFonts w:hint="eastAsia" w:ascii="Times New Roman"/>
        </w:rPr>
        <w:t>技术</w:t>
      </w:r>
      <w:r>
        <w:rPr>
          <w:rFonts w:ascii="Times New Roman"/>
        </w:rPr>
        <w:t>规范</w:t>
      </w:r>
    </w:p>
    <w:p>
      <w:pPr>
        <w:pStyle w:val="71"/>
        <w:framePr w:wrap="around" w:x="1381" w:y="6406"/>
        <w:rPr>
          <w:rFonts w:ascii="Times New Roman"/>
        </w:rPr>
      </w:pPr>
      <w:r>
        <w:rPr>
          <w:rFonts w:hint="eastAsia" w:ascii="Times New Roman"/>
        </w:rPr>
        <w:t>海洋工程用不锈钢钢板及钢带</w:t>
      </w:r>
    </w:p>
    <w:p>
      <w:pPr>
        <w:pStyle w:val="70"/>
        <w:framePr w:wrap="around" w:x="1381" w:y="6406"/>
      </w:pPr>
      <w:r>
        <w:t>Technical specification for green-design product assessment—</w:t>
      </w:r>
    </w:p>
    <w:p>
      <w:pPr>
        <w:pStyle w:val="70"/>
        <w:framePr w:wrap="around" w:x="1381" w:y="6406"/>
      </w:pPr>
      <w:r>
        <w:t>Stainless steel plates and strips for marine engineering</w:t>
      </w:r>
    </w:p>
    <w:p>
      <w:pPr>
        <w:pStyle w:val="113"/>
        <w:framePr w:wrap="around" w:hAnchor="page" w:x="1387" w:y="14075"/>
        <w:rPr>
          <w:rFonts w:eastAsia="宋体"/>
        </w:rPr>
      </w:pPr>
      <w:r>
        <w:rPr>
          <w:rFonts w:eastAsia="宋体"/>
        </w:rPr>
        <w:t>20</w:t>
      </w:r>
      <w:bookmarkStart w:id="0" w:name="FM"/>
      <w:r>
        <w:rPr>
          <w:rFonts w:eastAsia="宋体"/>
        </w:rPr>
        <w:t>22-</w:t>
      </w:r>
      <w:bookmarkEnd w:id="0"/>
      <w:r>
        <w:rPr>
          <w:rFonts w:eastAsia="宋体"/>
        </w:rPr>
        <w:t>XX-XX发布</w:t>
      </w:r>
      <w:r>
        <w:rPr>
          <w:rFonts w:eastAsia="宋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pPr>
        <w:pStyle w:val="92"/>
        <w:framePr w:wrap="around" w:hAnchor="page" w:x="7161" w:y="14061"/>
        <w:rPr>
          <w:rFonts w:eastAsia="宋体"/>
        </w:rPr>
      </w:pPr>
      <w:r>
        <w:rPr>
          <w:rFonts w:eastAsia="宋体"/>
        </w:rPr>
        <w:t>2022-XX-XX实施</w:t>
      </w:r>
    </w:p>
    <w:p>
      <w:pPr>
        <w:pStyle w:val="110"/>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w:t>
      </w:r>
      <w:r>
        <w:rPr>
          <w:rFonts w:ascii="Times New Roman"/>
          <w:kern w:val="2"/>
          <w:sz w:val="22"/>
          <w:szCs w:val="22"/>
        </w:rPr>
        <w:t>5</w:t>
      </w:r>
      <w:r>
        <w:rPr>
          <w:rFonts w:hint="eastAsia" w:ascii="Times New Roman"/>
          <w:kern w:val="2"/>
          <w:sz w:val="22"/>
          <w:szCs w:val="22"/>
        </w:rPr>
        <w:t>0</w:t>
      </w:r>
    </w:p>
    <w:p>
      <w:pPr>
        <w:pStyle w:val="22"/>
        <w:spacing w:line="340" w:lineRule="exact"/>
        <w:rPr>
          <w:rFonts w:ascii="Times New Roman"/>
        </w:rPr>
      </w:pPr>
      <w:r>
        <w:rPr>
          <w:rFonts w:ascii="Times New Roman"/>
        </w:rPr>
        <w:t xml:space="preserve">CCS H </w:t>
      </w:r>
      <w:r>
        <w:rPr>
          <w:rFonts w:hint="eastAsia" w:ascii="Times New Roman"/>
        </w:rPr>
        <w:t>4</w:t>
      </w:r>
      <w:r>
        <w:rPr>
          <w:rFonts w:ascii="Times New Roman"/>
        </w:rPr>
        <w:t>6</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441.85pt;height:0pt;width:489.75pt;z-index:251661312;mso-width-relative:page;mso-height-relative:page;" filled="f" stroked="t" coordsize="21600,21600" o:gfxdata="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V468tcAAAAK&#10;AQAADwAAAAAAAAABACAAAAAiAAAAZHJzL2Rvd25yZXYueG1sUEsBAhQAFAAAAAgAh07iQGEIBmPk&#10;AQAApQMAAA4AAAAAAAAAAQAgAAAAJgEAAGRycy9lMm9Eb2MueG1sUEsFBgAAAAAGAAYAWQEAAHwF&#10;AAAAAA==&#10;">
                <v:fill on="f" focussize="0,0"/>
                <v:stroke color="#000000 [3213]" joinstyle="round"/>
                <v:imagedata o:title=""/>
                <o:lock v:ext="edit" aspectratio="f"/>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40475545"/>
      <w:bookmarkStart w:id="2" w:name="_Toc534127476"/>
      <w:bookmarkStart w:id="3" w:name="_Toc26452183"/>
      <w:bookmarkStart w:id="4" w:name="_Toc1337"/>
      <w:bookmarkStart w:id="5" w:name="_Toc40476791"/>
      <w:bookmarkStart w:id="6" w:name="_Toc951"/>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06"/>
        <w:rPr>
          <w:rFonts w:ascii="Times New Roman"/>
        </w:rPr>
      </w:pPr>
      <w:r>
        <w:rPr>
          <w:rFonts w:ascii="Times New Roman"/>
        </w:rPr>
        <w:t>目</w:t>
      </w:r>
      <w:bookmarkEnd w:id="1"/>
      <w:bookmarkEnd w:id="2"/>
      <w:bookmarkEnd w:id="3"/>
      <w:bookmarkEnd w:id="4"/>
      <w:bookmarkEnd w:id="5"/>
      <w:r>
        <w:rPr>
          <w:rFonts w:ascii="Times New Roman"/>
        </w:rPr>
        <w:t xml:space="preserve">  次</w:t>
      </w:r>
      <w:bookmarkEnd w:id="6"/>
      <w:r>
        <w:rPr>
          <w:rFonts w:ascii="Times New Roman"/>
        </w:rPr>
        <w:fldChar w:fldCharType="begin"/>
      </w:r>
      <w:r>
        <w:rPr>
          <w:rFonts w:ascii="Times New Roman"/>
        </w:rPr>
        <w:instrText xml:space="preserve"> TOC \o "1-2" \h \z \u </w:instrText>
      </w:r>
      <w:r>
        <w:rPr>
          <w:rFonts w:ascii="Times New Roman"/>
        </w:rPr>
        <w:fldChar w:fldCharType="separate"/>
      </w:r>
    </w:p>
    <w:p>
      <w:pPr>
        <w:pStyle w:val="18"/>
        <w:tabs>
          <w:tab w:val="right" w:leader="dot" w:pos="9354"/>
          <w:tab w:val="clear" w:pos="9242"/>
        </w:tabs>
        <w:spacing w:before="78" w:after="78"/>
        <w:rPr>
          <w:rFonts w:ascii="Times New Roman"/>
        </w:rPr>
      </w:pPr>
      <w:r>
        <w:fldChar w:fldCharType="begin"/>
      </w:r>
      <w:r>
        <w:instrText xml:space="preserve"> HYPERLINK \l "_Toc31329" </w:instrText>
      </w:r>
      <w:r>
        <w:fldChar w:fldCharType="separate"/>
      </w:r>
      <w:r>
        <w:rPr>
          <w:rFonts w:ascii="Times New Roman"/>
        </w:rPr>
        <w:t>前  言</w:t>
      </w:r>
      <w:r>
        <w:rPr>
          <w:rFonts w:ascii="Times New Roman"/>
        </w:rPr>
        <w:tab/>
      </w:r>
      <w:r>
        <w:rPr>
          <w:rFonts w:ascii="Times New Roman"/>
        </w:rPr>
        <w:t>Ⅱ</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"_Toc31747" </w:instrText>
      </w:r>
      <w:r>
        <w:fldChar w:fldCharType="separate"/>
      </w:r>
      <w:r>
        <w:rPr>
          <w:rFonts w:ascii="Times New Roman"/>
        </w:rPr>
        <w:t>1 范围</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"_Toc2222" </w:instrText>
      </w:r>
      <w:r>
        <w:fldChar w:fldCharType="separate"/>
      </w:r>
      <w:r>
        <w:rPr>
          <w:rFonts w:ascii="Times New Roman"/>
        </w:rPr>
        <w:t>2 规范性引用文件</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"_Toc10886" </w:instrText>
      </w:r>
      <w:r>
        <w:fldChar w:fldCharType="separate"/>
      </w:r>
      <w:r>
        <w:rPr>
          <w:rFonts w:ascii="Times New Roman"/>
        </w:rPr>
        <w:t>3 术语和定义</w:t>
      </w:r>
      <w:r>
        <w:rPr>
          <w:rFonts w:ascii="Times New Roman"/>
        </w:rPr>
        <w:tab/>
      </w:r>
      <w:r>
        <w:rPr>
          <w:rFonts w:ascii="Times New Roman"/>
        </w:rPr>
        <w:t>1</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4 </w:t>
      </w:r>
      <w:r>
        <w:rPr>
          <w:rFonts w:hint="eastAsia" w:ascii="Times New Roman"/>
        </w:rPr>
        <w:t>评价原则和方法</w:t>
      </w:r>
      <w:r>
        <w:rPr>
          <w:rFonts w:ascii="Times New Roman"/>
        </w:rPr>
        <w:tab/>
      </w:r>
      <w:r>
        <w:rPr>
          <w:rFonts w:hint="eastAsia" w:ascii="Times New Roman"/>
        </w:rPr>
        <w:t>2</w:t>
      </w:r>
      <w:r>
        <w:rPr>
          <w:rFonts w:hint="eastAsia"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5 </w:t>
      </w:r>
      <w:r>
        <w:rPr>
          <w:rFonts w:hint="eastAsia" w:ascii="Times New Roman"/>
        </w:rPr>
        <w:t>评价要求</w:t>
      </w:r>
      <w:r>
        <w:rPr>
          <w:rFonts w:ascii="Times New Roman"/>
        </w:rPr>
        <w:tab/>
      </w:r>
      <w:r>
        <w:rPr>
          <w:rFonts w:ascii="Times New Roman"/>
        </w:rPr>
        <w:t>2</w:t>
      </w:r>
      <w:r>
        <w:rPr>
          <w:rFonts w:ascii="Times New Roman"/>
        </w:rPr>
        <w:fldChar w:fldCharType="end"/>
      </w:r>
    </w:p>
    <w:p>
      <w:pPr>
        <w:pStyle w:val="28"/>
        <w:tabs>
          <w:tab w:val="right" w:leader="dot" w:pos="9354"/>
          <w:tab w:val="clear" w:pos="9242"/>
        </w:tabs>
        <w:rPr>
          <w:rFonts w:ascii="Times New Roman"/>
        </w:rPr>
      </w:pPr>
      <w:r>
        <w:fldChar w:fldCharType="begin"/>
      </w:r>
      <w:r>
        <w:instrText xml:space="preserve"> HYPERLINK \l "_Toc4036" </w:instrText>
      </w:r>
      <w:r>
        <w:fldChar w:fldCharType="separate"/>
      </w:r>
      <w:r>
        <w:rPr>
          <w:rFonts w:ascii="Times New Roman"/>
        </w:rPr>
        <w:t xml:space="preserve">6 </w:t>
      </w:r>
      <w:r>
        <w:rPr>
          <w:rFonts w:hint="eastAsia" w:ascii="Times New Roman"/>
        </w:rPr>
        <w:t>生命周期评价报告编制方法</w:t>
      </w:r>
      <w:r>
        <w:rPr>
          <w:rFonts w:ascii="Times New Roman"/>
        </w:rPr>
        <w:tab/>
      </w:r>
      <w:r>
        <w:rPr>
          <w:rFonts w:hint="eastAsia" w:ascii="Times New Roman"/>
        </w:rPr>
        <w:t>4</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附录A（规范性）评价指标计算方法</w:t>
      </w:r>
      <w:r>
        <w:fldChar w:fldCharType="begin"/>
      </w:r>
      <w:r>
        <w:instrText xml:space="preserve"> HYPERLINK \l "_Toc4036" </w:instrText>
      </w:r>
      <w:r>
        <w:fldChar w:fldCharType="separate"/>
      </w:r>
      <w:r>
        <w:rPr>
          <w:rFonts w:ascii="Times New Roman"/>
        </w:rPr>
        <w:tab/>
      </w:r>
      <w:r>
        <w:rPr>
          <w:rFonts w:hint="eastAsia" w:ascii="Times New Roman"/>
        </w:rPr>
        <w:t>7</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附录B（规范性）海洋工程</w:t>
      </w:r>
      <w:r>
        <w:rPr>
          <w:rFonts w:ascii="Times New Roman"/>
        </w:rPr>
        <w:t>用不锈钢钢板及钢带</w:t>
      </w:r>
      <w:r>
        <w:rPr>
          <w:rFonts w:hint="eastAsia" w:ascii="Times New Roman"/>
        </w:rPr>
        <w:t>生命周期评价方法框架</w:t>
      </w:r>
      <w:r>
        <w:fldChar w:fldCharType="begin"/>
      </w:r>
      <w:r>
        <w:instrText xml:space="preserve"> HYPERLINK \l "_Toc4036" </w:instrText>
      </w:r>
      <w:r>
        <w:fldChar w:fldCharType="separate"/>
      </w:r>
      <w:r>
        <w:rPr>
          <w:rFonts w:ascii="Times New Roman"/>
        </w:rPr>
        <w:tab/>
      </w:r>
      <w:r>
        <w:rPr>
          <w:rFonts w:hint="eastAsia" w:ascii="Times New Roman"/>
        </w:rPr>
        <w:t>9</w:t>
      </w:r>
      <w:r>
        <w:rPr>
          <w:rFonts w:hint="eastAsia" w:ascii="Times New Roman"/>
        </w:rPr>
        <w:fldChar w:fldCharType="end"/>
      </w:r>
    </w:p>
    <w:p>
      <w:pPr>
        <w:pStyle w:val="28"/>
        <w:tabs>
          <w:tab w:val="right" w:leader="dot" w:pos="9354"/>
          <w:tab w:val="clear" w:pos="9242"/>
        </w:tabs>
        <w:rPr>
          <w:rFonts w:ascii="Times New Roman"/>
        </w:rPr>
      </w:pPr>
      <w:r>
        <w:rPr>
          <w:rFonts w:hint="eastAsia" w:ascii="Times New Roman"/>
        </w:rPr>
        <w:t>附录C（资料性）数据收集表格</w:t>
      </w:r>
      <w:r>
        <w:fldChar w:fldCharType="begin"/>
      </w:r>
      <w:r>
        <w:instrText xml:space="preserve"> HYPERLINK \l "_Toc4036" </w:instrText>
      </w:r>
      <w:r>
        <w:fldChar w:fldCharType="separate"/>
      </w:r>
      <w:r>
        <w:rPr>
          <w:rFonts w:ascii="Times New Roman"/>
        </w:rPr>
        <w:tab/>
      </w:r>
      <w:r>
        <w:rPr>
          <w:rFonts w:hint="eastAsia" w:ascii="Times New Roman"/>
        </w:rPr>
        <w:t>14</w:t>
      </w:r>
      <w:r>
        <w:rPr>
          <w:rFonts w:hint="eastAsia" w:ascii="Times New Roman"/>
        </w:rPr>
        <w:fldChar w:fldCharType="end"/>
      </w:r>
    </w:p>
    <w:p/>
    <w:p>
      <w:pPr>
        <w:pStyle w:val="90"/>
        <w:rPr>
          <w:rFonts w:ascii="Times New Roman"/>
        </w:rPr>
      </w:pPr>
      <w:r>
        <w:rPr>
          <w:rFonts w:ascii="Times New Roman"/>
        </w:rPr>
        <w:fldChar w:fldCharType="end"/>
      </w: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ind w:firstLine="420" w:firstLineChars="200"/>
        <w:rPr>
          <w:rFonts w:ascii="Times New Roman" w:hAnsi="Times New Roman" w:eastAsia="宋体" w:cs="Times New Roman"/>
        </w:rPr>
      </w:pPr>
      <w:r>
        <w:rPr>
          <w:rFonts w:ascii="Times New Roman" w:hAnsi="Times New Roman" w:eastAsia="宋体" w:cs="Times New Roman"/>
          <w:szCs w:val="21"/>
        </w:rPr>
        <w:t>本标准由中国特钢企业协会团体标准化工作委员会</w:t>
      </w:r>
      <w:r>
        <w:rPr>
          <w:rFonts w:hint="eastAsia" w:ascii="Times New Roman" w:hAnsi="Times New Roman" w:eastAsia="宋体" w:cs="Times New Roman"/>
        </w:rPr>
        <w:t>、中关村不锈及特种合金新材料产业技术创新联盟标准化工作委员会联合</w:t>
      </w:r>
      <w:r>
        <w:rPr>
          <w:rFonts w:ascii="Times New Roman" w:hAnsi="Times New Roman" w:eastAsia="宋体" w:cs="Times New Roman"/>
        </w:rPr>
        <w:t>提出并归口。</w:t>
      </w:r>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bookmarkStart w:id="17" w:name="_GoBack"/>
      <w:bookmarkEnd w:id="17"/>
    </w:p>
    <w:p>
      <w:pPr>
        <w:pStyle w:val="106"/>
        <w:spacing w:after="624" w:afterLines="200"/>
        <w:rPr>
          <w:rFonts w:ascii="Times New Roman"/>
        </w:rPr>
      </w:pPr>
      <w:r>
        <w:rPr>
          <w:rFonts w:ascii="Times New Roman"/>
        </w:rPr>
        <w:t>绿色设计产品评价</w:t>
      </w:r>
      <w:r>
        <w:rPr>
          <w:rFonts w:hint="eastAsia" w:ascii="Times New Roman"/>
        </w:rPr>
        <w:t>技术</w:t>
      </w:r>
      <w:r>
        <w:rPr>
          <w:rFonts w:ascii="Times New Roman"/>
        </w:rPr>
        <w:t>规范</w:t>
      </w:r>
      <w:r>
        <w:rPr>
          <w:rFonts w:hint="eastAsia" w:ascii="Times New Roman"/>
        </w:rPr>
        <w:t xml:space="preserve">  海洋工程用不锈钢钢板及钢带</w:t>
      </w:r>
    </w:p>
    <w:p>
      <w:pPr>
        <w:pStyle w:val="22"/>
      </w:pPr>
      <w:r>
        <w:rPr>
          <w:rFonts w:hint="eastAsia"/>
        </w:rPr>
        <w:t xml:space="preserve">冶金规划院标准指标联系人：廖冲 </w:t>
      </w:r>
      <w:r>
        <w:t>15811089299</w:t>
      </w:r>
    </w:p>
    <w:p>
      <w:pPr>
        <w:pStyle w:val="52"/>
        <w:outlineLvl w:val="0"/>
        <w:rPr>
          <w:rFonts w:ascii="Times New Roman"/>
        </w:rPr>
      </w:pPr>
      <w:bookmarkStart w:id="9" w:name="_Toc31747"/>
      <w:bookmarkStart w:id="10" w:name="_Toc520380391"/>
      <w:r>
        <w:rPr>
          <w:rFonts w:ascii="Times New Roman"/>
        </w:rPr>
        <w:t>范围</w:t>
      </w:r>
      <w:bookmarkEnd w:id="9"/>
      <w:bookmarkEnd w:id="10"/>
    </w:p>
    <w:p>
      <w:pPr>
        <w:pStyle w:val="22"/>
        <w:rPr>
          <w:rFonts w:ascii="Times New Roman"/>
        </w:rPr>
      </w:pPr>
      <w:bookmarkStart w:id="11" w:name="_Toc520380392"/>
      <w:r>
        <w:rPr>
          <w:rFonts w:ascii="Times New Roman"/>
        </w:rPr>
        <w:t>本文件规定了</w:t>
      </w:r>
      <w:r>
        <w:rPr>
          <w:rFonts w:hint="eastAsia" w:ascii="Times New Roman"/>
        </w:rPr>
        <w:t>海洋工程用不锈钢钢板及钢带</w:t>
      </w:r>
      <w:r>
        <w:rPr>
          <w:rFonts w:ascii="Times New Roman"/>
        </w:rPr>
        <w:t>绿色设计产品评价的术语和定义、评价原则和方法、评价要求、生命周期评价报告编制方法。</w:t>
      </w:r>
    </w:p>
    <w:p>
      <w:pPr>
        <w:pStyle w:val="22"/>
        <w:rPr>
          <w:rFonts w:ascii="Times New Roman"/>
        </w:rPr>
      </w:pPr>
      <w:r>
        <w:rPr>
          <w:rFonts w:ascii="Times New Roman"/>
        </w:rPr>
        <w:t>本文件适用于</w:t>
      </w:r>
      <w:r>
        <w:rPr>
          <w:rFonts w:hint="eastAsia" w:ascii="Times New Roman"/>
        </w:rPr>
        <w:t>海洋工程用不锈钢钢板及钢带</w:t>
      </w:r>
      <w:r>
        <w:rPr>
          <w:rFonts w:ascii="Times New Roman"/>
        </w:rPr>
        <w:t>的绿色设计产品评价。</w:t>
      </w:r>
    </w:p>
    <w:p>
      <w:pPr>
        <w:pStyle w:val="52"/>
        <w:rPr>
          <w:rFonts w:ascii="Times New Roman"/>
        </w:rPr>
      </w:pPr>
      <w:bookmarkStart w:id="12" w:name="_Toc2222"/>
      <w:r>
        <w:rPr>
          <w:rFonts w:ascii="Times New Roman"/>
        </w:rPr>
        <w:t>规范性引用文件</w:t>
      </w:r>
      <w:bookmarkEnd w:id="11"/>
      <w:bookmarkEnd w:id="12"/>
    </w:p>
    <w:p>
      <w:pPr>
        <w:pStyle w:val="2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ascii="Times New Roman"/>
        </w:rPr>
        <w:t xml:space="preserve">GB/T 228.1  </w:t>
      </w:r>
      <w:r>
        <w:rPr>
          <w:rFonts w:hint="eastAsia" w:ascii="Times New Roman"/>
        </w:rPr>
        <w:t xml:space="preserve">金属材料 </w:t>
      </w:r>
      <w:r>
        <w:rPr>
          <w:rFonts w:ascii="Times New Roman"/>
        </w:rPr>
        <w:t xml:space="preserve"> </w:t>
      </w:r>
      <w:r>
        <w:rPr>
          <w:rFonts w:hint="eastAsia" w:ascii="Times New Roman"/>
        </w:rPr>
        <w:t>拉伸试验 第1部分:室温试验方法</w:t>
      </w:r>
    </w:p>
    <w:p>
      <w:pPr>
        <w:pStyle w:val="22"/>
        <w:rPr>
          <w:rFonts w:ascii="Times New Roman"/>
        </w:rPr>
      </w:pPr>
      <w:r>
        <w:rPr>
          <w:rFonts w:ascii="Times New Roman"/>
        </w:rPr>
        <w:t xml:space="preserve">GB/T 229  </w:t>
      </w:r>
      <w:r>
        <w:rPr>
          <w:rFonts w:hint="eastAsia" w:ascii="Times New Roman"/>
        </w:rPr>
        <w:t xml:space="preserve">金属材料 </w:t>
      </w:r>
      <w:r>
        <w:rPr>
          <w:rFonts w:ascii="Times New Roman"/>
        </w:rPr>
        <w:t xml:space="preserve"> </w:t>
      </w:r>
      <w:r>
        <w:rPr>
          <w:rFonts w:hint="eastAsia" w:ascii="Times New Roman"/>
        </w:rPr>
        <w:t>夏比摆锤冲击试验方法</w:t>
      </w:r>
    </w:p>
    <w:p>
      <w:pPr>
        <w:pStyle w:val="22"/>
        <w:rPr>
          <w:rFonts w:ascii="Times New Roman"/>
        </w:rPr>
      </w:pPr>
      <w:r>
        <w:rPr>
          <w:rFonts w:ascii="Times New Roman"/>
        </w:rPr>
        <w:t xml:space="preserve">GB/T 4223  </w:t>
      </w:r>
      <w:r>
        <w:rPr>
          <w:rFonts w:hint="eastAsia" w:ascii="Times New Roman"/>
        </w:rPr>
        <w:t>废钢铁</w:t>
      </w:r>
    </w:p>
    <w:p>
      <w:pPr>
        <w:pStyle w:val="22"/>
        <w:rPr>
          <w:rFonts w:ascii="Times New Roman"/>
        </w:rPr>
      </w:pPr>
      <w:r>
        <w:rPr>
          <w:rFonts w:ascii="Times New Roman"/>
        </w:rPr>
        <w:t xml:space="preserve">GB/T 4237  </w:t>
      </w:r>
      <w:r>
        <w:rPr>
          <w:rFonts w:hint="eastAsia" w:ascii="Times New Roman"/>
        </w:rPr>
        <w:t>不锈钢热轧钢板和钢带</w:t>
      </w:r>
    </w:p>
    <w:p>
      <w:pPr>
        <w:pStyle w:val="22"/>
        <w:rPr>
          <w:rFonts w:ascii="Times New Roman"/>
        </w:rPr>
      </w:pPr>
      <w:r>
        <w:rPr>
          <w:rFonts w:ascii="Times New Roman"/>
        </w:rPr>
        <w:t>GB 17167</w:t>
      </w:r>
      <w:r>
        <w:rPr>
          <w:rFonts w:hint="eastAsia" w:ascii="Times New Roman"/>
        </w:rPr>
        <w:t xml:space="preserve"> </w:t>
      </w:r>
      <w:r>
        <w:rPr>
          <w:rFonts w:ascii="Times New Roman"/>
        </w:rPr>
        <w:t xml:space="preserve"> 用能单位能源计量器具配备和管理通则</w:t>
      </w:r>
    </w:p>
    <w:p>
      <w:pPr>
        <w:pStyle w:val="22"/>
        <w:rPr>
          <w:rFonts w:ascii="Times New Roman"/>
        </w:rPr>
      </w:pPr>
      <w:r>
        <w:rPr>
          <w:rFonts w:ascii="Times New Roman"/>
        </w:rPr>
        <w:t>GB/T 19001</w:t>
      </w:r>
      <w:r>
        <w:rPr>
          <w:rFonts w:hint="eastAsia" w:ascii="Times New Roman"/>
        </w:rPr>
        <w:t xml:space="preserve"> </w:t>
      </w:r>
      <w:r>
        <w:rPr>
          <w:rFonts w:ascii="Times New Roman"/>
        </w:rPr>
        <w:t xml:space="preserve"> 质量管理体系</w:t>
      </w:r>
      <w:r>
        <w:rPr>
          <w:rFonts w:hint="eastAsia" w:ascii="Times New Roman"/>
        </w:rPr>
        <w:t xml:space="preserve">  </w:t>
      </w:r>
      <w:r>
        <w:rPr>
          <w:rFonts w:ascii="Times New Roman"/>
        </w:rPr>
        <w:t>要求</w:t>
      </w:r>
    </w:p>
    <w:p>
      <w:pPr>
        <w:pStyle w:val="22"/>
        <w:rPr>
          <w:rFonts w:ascii="Times New Roman"/>
        </w:rPr>
      </w:pPr>
      <w:r>
        <w:rPr>
          <w:rFonts w:ascii="Times New Roman"/>
        </w:rPr>
        <w:t xml:space="preserve">GB/T 23331 </w:t>
      </w:r>
      <w:r>
        <w:rPr>
          <w:rFonts w:hint="eastAsia" w:ascii="Times New Roman"/>
        </w:rPr>
        <w:t xml:space="preserve"> </w:t>
      </w:r>
      <w:r>
        <w:rPr>
          <w:rFonts w:ascii="Times New Roman"/>
        </w:rPr>
        <w:t>能源管理体系</w:t>
      </w:r>
      <w:r>
        <w:rPr>
          <w:rFonts w:hint="eastAsia" w:ascii="Times New Roman"/>
        </w:rPr>
        <w:t xml:space="preserve">  </w:t>
      </w:r>
      <w:r>
        <w:rPr>
          <w:rFonts w:ascii="Times New Roman"/>
        </w:rPr>
        <w:t>要求</w:t>
      </w:r>
    </w:p>
    <w:p>
      <w:pPr>
        <w:pStyle w:val="22"/>
        <w:rPr>
          <w:rFonts w:ascii="Times New Roman"/>
        </w:rPr>
      </w:pPr>
      <w:r>
        <w:rPr>
          <w:rFonts w:ascii="Times New Roman"/>
        </w:rPr>
        <w:t xml:space="preserve">GB/T 24001 </w:t>
      </w:r>
      <w:r>
        <w:rPr>
          <w:rFonts w:hint="eastAsia" w:ascii="Times New Roman"/>
        </w:rPr>
        <w:t xml:space="preserve"> </w:t>
      </w:r>
      <w:r>
        <w:rPr>
          <w:rFonts w:ascii="Times New Roman"/>
        </w:rPr>
        <w:t>环境管理体系</w:t>
      </w:r>
      <w:r>
        <w:rPr>
          <w:rFonts w:hint="eastAsia" w:ascii="Times New Roman"/>
        </w:rPr>
        <w:t xml:space="preserve">  </w:t>
      </w:r>
      <w:r>
        <w:rPr>
          <w:rFonts w:ascii="Times New Roman"/>
        </w:rPr>
        <w:t>要求及使用指南</w:t>
      </w:r>
    </w:p>
    <w:p>
      <w:pPr>
        <w:pStyle w:val="22"/>
        <w:rPr>
          <w:rFonts w:ascii="Times New Roman"/>
        </w:rPr>
      </w:pPr>
      <w:r>
        <w:rPr>
          <w:rFonts w:ascii="Times New Roman"/>
        </w:rPr>
        <w:t xml:space="preserve">GB/T 24040 </w:t>
      </w:r>
      <w:r>
        <w:rPr>
          <w:rFonts w:hint="eastAsia" w:ascii="Times New Roman"/>
        </w:rPr>
        <w:t xml:space="preserve"> </w:t>
      </w:r>
      <w:r>
        <w:rPr>
          <w:rFonts w:ascii="Times New Roman"/>
        </w:rPr>
        <w:t>环境管理生命周期评价</w:t>
      </w:r>
      <w:r>
        <w:rPr>
          <w:rFonts w:hint="eastAsia" w:ascii="Times New Roman"/>
        </w:rPr>
        <w:t xml:space="preserve">  </w:t>
      </w:r>
      <w:r>
        <w:rPr>
          <w:rFonts w:ascii="Times New Roman"/>
        </w:rPr>
        <w:t>原则与框架</w:t>
      </w:r>
    </w:p>
    <w:p>
      <w:pPr>
        <w:pStyle w:val="22"/>
        <w:rPr>
          <w:rFonts w:ascii="Times New Roman"/>
        </w:rPr>
      </w:pPr>
      <w:r>
        <w:rPr>
          <w:rFonts w:ascii="Times New Roman"/>
        </w:rPr>
        <w:t>GB/T 24044</w:t>
      </w:r>
      <w:r>
        <w:rPr>
          <w:rFonts w:hint="eastAsia" w:ascii="Times New Roman"/>
        </w:rPr>
        <w:t xml:space="preserve"> </w:t>
      </w:r>
      <w:r>
        <w:rPr>
          <w:rFonts w:ascii="Times New Roman"/>
        </w:rPr>
        <w:t xml:space="preserve"> 环境管理生命周期评价</w:t>
      </w:r>
      <w:r>
        <w:rPr>
          <w:rFonts w:hint="eastAsia" w:ascii="Times New Roman"/>
        </w:rPr>
        <w:t xml:space="preserve">  </w:t>
      </w:r>
      <w:r>
        <w:rPr>
          <w:rFonts w:ascii="Times New Roman"/>
        </w:rPr>
        <w:t>要求与指南</w:t>
      </w:r>
    </w:p>
    <w:p>
      <w:pPr>
        <w:pStyle w:val="22"/>
        <w:rPr>
          <w:rFonts w:ascii="Times New Roman"/>
        </w:rPr>
      </w:pPr>
      <w:r>
        <w:rPr>
          <w:rFonts w:hint="eastAsia" w:ascii="Times New Roman"/>
        </w:rPr>
        <w:t>GB/T 26924  节水型企业钢铁行业</w:t>
      </w:r>
    </w:p>
    <w:p>
      <w:pPr>
        <w:pStyle w:val="22"/>
        <w:rPr>
          <w:rFonts w:ascii="Times New Roman"/>
        </w:rPr>
      </w:pPr>
      <w:r>
        <w:rPr>
          <w:rFonts w:ascii="Times New Roman"/>
        </w:rPr>
        <w:t>GB/T 30052</w:t>
      </w:r>
      <w:r>
        <w:rPr>
          <w:rFonts w:hint="eastAsia" w:ascii="Times New Roman"/>
        </w:rPr>
        <w:t xml:space="preserve">-2013 </w:t>
      </w:r>
      <w:r>
        <w:rPr>
          <w:rFonts w:ascii="Times New Roman"/>
        </w:rPr>
        <w:t xml:space="preserve"> 钢铁产品制造生命周期评价技术规范</w:t>
      </w:r>
    </w:p>
    <w:p>
      <w:pPr>
        <w:pStyle w:val="22"/>
        <w:rPr>
          <w:rFonts w:ascii="Times New Roman"/>
        </w:rPr>
      </w:pPr>
      <w:r>
        <w:rPr>
          <w:rFonts w:ascii="Times New Roman"/>
        </w:rPr>
        <w:t>GB/T 32161</w:t>
      </w:r>
      <w:r>
        <w:rPr>
          <w:rFonts w:hint="eastAsia" w:ascii="Times New Roman"/>
        </w:rPr>
        <w:t xml:space="preserve">-2015  </w:t>
      </w:r>
      <w:r>
        <w:rPr>
          <w:rFonts w:ascii="Times New Roman"/>
        </w:rPr>
        <w:t>生态设计产品评价通则</w:t>
      </w:r>
    </w:p>
    <w:p>
      <w:pPr>
        <w:pStyle w:val="22"/>
        <w:rPr>
          <w:rFonts w:ascii="Times New Roman"/>
        </w:rPr>
      </w:pPr>
      <w:r>
        <w:rPr>
          <w:rFonts w:ascii="Times New Roman"/>
        </w:rPr>
        <w:t xml:space="preserve">GB/T 45001 </w:t>
      </w:r>
      <w:r>
        <w:rPr>
          <w:rFonts w:hint="eastAsia" w:ascii="Times New Roman"/>
        </w:rPr>
        <w:t xml:space="preserve"> </w:t>
      </w:r>
      <w:r>
        <w:rPr>
          <w:rFonts w:ascii="Times New Roman"/>
        </w:rPr>
        <w:t>职业健康安全管理体系</w:t>
      </w:r>
      <w:r>
        <w:rPr>
          <w:rFonts w:hint="eastAsia" w:ascii="Times New Roman"/>
        </w:rPr>
        <w:t xml:space="preserve">  </w:t>
      </w:r>
      <w:r>
        <w:rPr>
          <w:rFonts w:ascii="Times New Roman"/>
        </w:rPr>
        <w:t>要求及使用指南</w:t>
      </w:r>
    </w:p>
    <w:bookmarkEnd w:id="13"/>
    <w:p>
      <w:pPr>
        <w:pStyle w:val="52"/>
        <w:rPr>
          <w:rFonts w:ascii="Times New Roman"/>
        </w:rPr>
      </w:pPr>
      <w:bookmarkStart w:id="14" w:name="_Toc10886"/>
      <w:bookmarkStart w:id="15" w:name="_Toc520380395"/>
      <w:r>
        <w:rPr>
          <w:rFonts w:ascii="Times New Roman"/>
        </w:rPr>
        <w:t>术语和定义</w:t>
      </w:r>
      <w:bookmarkEnd w:id="14"/>
    </w:p>
    <w:bookmarkEnd w:id="15"/>
    <w:p>
      <w:pPr>
        <w:pStyle w:val="22"/>
        <w:rPr>
          <w:rFonts w:ascii="Times New Roman"/>
        </w:rPr>
      </w:pPr>
      <w:r>
        <w:rPr>
          <w:rFonts w:ascii="Times New Roman"/>
        </w:rPr>
        <w:t>GB/T 32161界定的以及下列术语和定义适用于本文件。</w:t>
      </w:r>
    </w:p>
    <w:p>
      <w:pPr>
        <w:pStyle w:val="54"/>
        <w:ind w:left="0"/>
        <w:rPr>
          <w:rFonts w:ascii="Times New Roman"/>
          <w:szCs w:val="22"/>
        </w:rPr>
      </w:pPr>
    </w:p>
    <w:p>
      <w:pPr>
        <w:pStyle w:val="22"/>
        <w:rPr>
          <w:rFonts w:ascii="Times New Roman"/>
        </w:rPr>
      </w:pPr>
      <w:r>
        <w:rPr>
          <w:rFonts w:ascii="Times New Roman"/>
        </w:rPr>
        <w:t>产品制造生命周期  life cycle of steel products manufacture</w:t>
      </w:r>
    </w:p>
    <w:p>
      <w:pPr>
        <w:pStyle w:val="22"/>
        <w:rPr>
          <w:rFonts w:ascii="Times New Roman"/>
        </w:rPr>
      </w:pPr>
      <w:r>
        <w:rPr>
          <w:rFonts w:ascii="Times New Roman"/>
        </w:rPr>
        <w:t>从铁矿石、煤炭等原料、燃料开采开始，经过烧结、焦化等原料加工工序，炼铁、炼钢、轧钢等制造工序，形成钢铁产品的过程，即“从摇篮到大门（from cradle to gate）”的生命周期过程。</w:t>
      </w:r>
    </w:p>
    <w:p>
      <w:pPr>
        <w:pStyle w:val="22"/>
        <w:rPr>
          <w:rFonts w:ascii="Times New Roman"/>
        </w:rPr>
      </w:pPr>
      <w:r>
        <w:rPr>
          <w:rFonts w:ascii="Times New Roman"/>
        </w:rPr>
        <w:t>[来源：GB/T 30052-2013，3.1，有修改]</w:t>
      </w:r>
    </w:p>
    <w:p>
      <w:pPr>
        <w:pStyle w:val="54"/>
        <w:ind w:left="0"/>
        <w:rPr>
          <w:rFonts w:ascii="Times New Roman"/>
          <w:szCs w:val="22"/>
        </w:rPr>
      </w:pPr>
    </w:p>
    <w:p>
      <w:pPr>
        <w:pStyle w:val="22"/>
        <w:rPr>
          <w:rFonts w:ascii="Times New Roman"/>
        </w:rPr>
      </w:pPr>
      <w:r>
        <w:rPr>
          <w:rFonts w:ascii="Times New Roman"/>
        </w:rPr>
        <w:t>绿色设计</w:t>
      </w:r>
      <w:r>
        <w:rPr>
          <w:rFonts w:hint="eastAsia" w:ascii="Times New Roman"/>
        </w:rPr>
        <w:t xml:space="preserve"> </w:t>
      </w:r>
      <w:r>
        <w:rPr>
          <w:rFonts w:ascii="Times New Roman"/>
        </w:rPr>
        <w:t xml:space="preserve"> green-design</w:t>
      </w:r>
    </w:p>
    <w:p>
      <w:pPr>
        <w:pStyle w:val="2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rPr>
      </w:pPr>
      <w:r>
        <w:rPr>
          <w:rFonts w:ascii="Times New Roman"/>
        </w:rPr>
        <w:t>[来源：GB/T 32161-2015，3.2，有修改]</w:t>
      </w:r>
    </w:p>
    <w:p>
      <w:pPr>
        <w:pStyle w:val="54"/>
        <w:ind w:left="0"/>
        <w:rPr>
          <w:rFonts w:ascii="Times New Roman"/>
          <w:szCs w:val="22"/>
        </w:rPr>
      </w:pPr>
    </w:p>
    <w:p>
      <w:pPr>
        <w:pStyle w:val="22"/>
        <w:rPr>
          <w:rFonts w:ascii="Times New Roman"/>
        </w:rPr>
      </w:pPr>
      <w:r>
        <w:rPr>
          <w:rFonts w:ascii="Times New Roman"/>
        </w:rPr>
        <w:t>绿色设计产品</w:t>
      </w:r>
      <w:r>
        <w:rPr>
          <w:rFonts w:hint="eastAsia" w:ascii="Times New Roman"/>
        </w:rPr>
        <w:t xml:space="preserve"> </w:t>
      </w:r>
      <w:r>
        <w:rPr>
          <w:rFonts w:ascii="Times New Roman"/>
        </w:rPr>
        <w:t xml:space="preserve"> green-design product</w:t>
      </w:r>
    </w:p>
    <w:p>
      <w:pPr>
        <w:pStyle w:val="22"/>
        <w:rPr>
          <w:rFonts w:ascii="Times New Roman"/>
        </w:rPr>
      </w:pPr>
      <w:r>
        <w:rPr>
          <w:rFonts w:ascii="Times New Roman"/>
        </w:rPr>
        <w:t>符合绿色设计理念和评价要求的产品。</w:t>
      </w:r>
    </w:p>
    <w:p>
      <w:pPr>
        <w:pStyle w:val="22"/>
        <w:rPr>
          <w:rFonts w:ascii="Times New Roman"/>
        </w:rPr>
      </w:pPr>
      <w:r>
        <w:rPr>
          <w:rFonts w:ascii="Times New Roman"/>
        </w:rPr>
        <w:t>[来源：GB/T 32161-2015，3.3，有修改]</w:t>
      </w:r>
    </w:p>
    <w:p>
      <w:pPr>
        <w:pStyle w:val="54"/>
        <w:ind w:left="0"/>
        <w:rPr>
          <w:rFonts w:ascii="Times New Roman"/>
          <w:szCs w:val="22"/>
        </w:rPr>
      </w:pPr>
    </w:p>
    <w:p>
      <w:pPr>
        <w:pStyle w:val="22"/>
        <w:rPr>
          <w:rFonts w:ascii="Times New Roman"/>
        </w:rPr>
      </w:pPr>
      <w:r>
        <w:rPr>
          <w:rFonts w:ascii="Times New Roman"/>
        </w:rPr>
        <w:t xml:space="preserve">生命周期评价报告 </w:t>
      </w:r>
      <w:r>
        <w:rPr>
          <w:rFonts w:hint="eastAsia" w:ascii="Times New Roman"/>
        </w:rPr>
        <w:t xml:space="preserve"> </w:t>
      </w:r>
      <w:r>
        <w:rPr>
          <w:rFonts w:ascii="Times New Roman"/>
        </w:rPr>
        <w:t>report for life cycle assessment</w:t>
      </w:r>
    </w:p>
    <w:p>
      <w:pPr>
        <w:pStyle w:val="22"/>
        <w:rPr>
          <w:rFonts w:ascii="Times New Roman"/>
        </w:rPr>
      </w:pPr>
      <w:r>
        <w:rPr>
          <w:rFonts w:ascii="Times New Roman"/>
        </w:rPr>
        <w:t>依据生命周期评价方法编制的，用于披露产品绿色设计情况及钢铁产品制造生命周期环境影响信息的报告。</w:t>
      </w:r>
    </w:p>
    <w:p>
      <w:pPr>
        <w:pStyle w:val="52"/>
        <w:rPr>
          <w:rFonts w:ascii="Times New Roman"/>
          <w:szCs w:val="22"/>
        </w:rPr>
      </w:pPr>
      <w:r>
        <w:rPr>
          <w:rFonts w:ascii="Times New Roman"/>
          <w:szCs w:val="22"/>
        </w:rPr>
        <w:t>评价原则和方法</w:t>
      </w:r>
    </w:p>
    <w:p>
      <w:pPr>
        <w:pStyle w:val="54"/>
        <w:ind w:left="0"/>
        <w:rPr>
          <w:rFonts w:ascii="Times New Roman"/>
          <w:szCs w:val="22"/>
        </w:rPr>
      </w:pPr>
      <w:r>
        <w:rPr>
          <w:rFonts w:ascii="Times New Roman"/>
          <w:szCs w:val="22"/>
        </w:rPr>
        <w:t>评价原则</w:t>
      </w:r>
    </w:p>
    <w:p>
      <w:pPr>
        <w:pStyle w:val="56"/>
        <w:spacing w:before="156" w:after="156"/>
        <w:ind w:left="0"/>
        <w:rPr>
          <w:rFonts w:ascii="Times New Roman"/>
        </w:rPr>
      </w:pPr>
      <w:r>
        <w:rPr>
          <w:rFonts w:ascii="Times New Roman"/>
        </w:rPr>
        <w:t>生命周期评价与指标评价相结合的原则</w:t>
      </w:r>
    </w:p>
    <w:p>
      <w:pPr>
        <w:pStyle w:val="22"/>
        <w:rPr>
          <w:rFonts w:ascii="Times New Roman"/>
        </w:rPr>
      </w:pPr>
      <w:r>
        <w:rPr>
          <w:rFonts w:ascii="Times New Roman"/>
        </w:rPr>
        <w:t>依据生命周期评价方法，考虑</w:t>
      </w:r>
      <w:r>
        <w:rPr>
          <w:rFonts w:hint="eastAsia" w:ascii="Times New Roman"/>
        </w:rPr>
        <w:t>海洋工程用不锈钢钢板及钢带</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rPr>
      </w:pPr>
      <w:r>
        <w:rPr>
          <w:rFonts w:ascii="Times New Roman"/>
        </w:rPr>
        <w:t>环境影响种类最优选取原则</w:t>
      </w:r>
    </w:p>
    <w:p>
      <w:pPr>
        <w:pStyle w:val="2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ind w:left="0"/>
        <w:rPr>
          <w:rFonts w:ascii="Times New Roman"/>
          <w:szCs w:val="22"/>
        </w:rPr>
      </w:pPr>
      <w:r>
        <w:rPr>
          <w:rFonts w:ascii="Times New Roman"/>
          <w:szCs w:val="22"/>
        </w:rPr>
        <w:t>评价方法</w:t>
      </w:r>
    </w:p>
    <w:p>
      <w:pPr>
        <w:pStyle w:val="22"/>
        <w:rPr>
          <w:rFonts w:ascii="Times New Roman"/>
        </w:rPr>
      </w:pPr>
      <w:r>
        <w:rPr>
          <w:rFonts w:ascii="Times New Roman"/>
        </w:rPr>
        <w:t>本文件采用指标评价和生命周期评价相结合的方法。</w:t>
      </w:r>
      <w:r>
        <w:rPr>
          <w:rFonts w:hint="eastAsia" w:ascii="Times New Roman"/>
        </w:rPr>
        <w:t>海洋工程用不锈钢钢板及钢带</w:t>
      </w:r>
      <w:r>
        <w:rPr>
          <w:rFonts w:ascii="Times New Roman"/>
        </w:rPr>
        <w:t>产品应同时满足以下两个条件，可判定为绿色设计产品：</w:t>
      </w:r>
    </w:p>
    <w:p>
      <w:pPr>
        <w:pStyle w:val="22"/>
        <w:rPr>
          <w:rFonts w:ascii="Times New Roman"/>
        </w:rPr>
      </w:pPr>
      <w:r>
        <w:rPr>
          <w:rFonts w:ascii="Times New Roman"/>
        </w:rPr>
        <w:t>a）满足基本要求（见5.1）和评价指标要求（见5.2）；</w:t>
      </w:r>
    </w:p>
    <w:p>
      <w:pPr>
        <w:pStyle w:val="22"/>
        <w:rPr>
          <w:rFonts w:ascii="Times New Roman"/>
        </w:rPr>
      </w:pPr>
      <w:r>
        <w:rPr>
          <w:rFonts w:ascii="Times New Roman"/>
        </w:rPr>
        <w:t>b）提供</w:t>
      </w:r>
      <w:r>
        <w:rPr>
          <w:rFonts w:hint="eastAsia" w:ascii="Times New Roman"/>
        </w:rPr>
        <w:t>海洋工程用不锈钢钢板及钢带</w:t>
      </w:r>
      <w:r>
        <w:rPr>
          <w:rFonts w:ascii="Times New Roman"/>
        </w:rPr>
        <w:t>产品生命周期评价报告（见6.2）。</w:t>
      </w:r>
    </w:p>
    <w:p>
      <w:pPr>
        <w:pStyle w:val="52"/>
        <w:rPr>
          <w:rFonts w:ascii="Times New Roman"/>
          <w:szCs w:val="22"/>
        </w:rPr>
      </w:pPr>
      <w:r>
        <w:rPr>
          <w:rFonts w:ascii="Times New Roman"/>
          <w:szCs w:val="22"/>
        </w:rPr>
        <w:t>评价要求</w:t>
      </w:r>
    </w:p>
    <w:p>
      <w:pPr>
        <w:pStyle w:val="54"/>
        <w:ind w:left="0"/>
        <w:rPr>
          <w:rFonts w:ascii="Times New Roman"/>
          <w:szCs w:val="22"/>
        </w:rPr>
      </w:pPr>
      <w:r>
        <w:rPr>
          <w:rFonts w:ascii="Times New Roman"/>
          <w:szCs w:val="22"/>
        </w:rPr>
        <w:t>基本要求</w:t>
      </w:r>
    </w:p>
    <w:p>
      <w:pPr>
        <w:pStyle w:val="22"/>
        <w:rPr>
          <w:rFonts w:ascii="Times New Roman"/>
        </w:rPr>
      </w:pPr>
      <w:r>
        <w:rPr>
          <w:rFonts w:hint="eastAsia" w:ascii="Times New Roman"/>
        </w:rPr>
        <w:t>海洋工程用不锈钢钢板及钢带</w:t>
      </w:r>
      <w:r>
        <w:rPr>
          <w:rFonts w:ascii="Times New Roman"/>
        </w:rPr>
        <w:t>生产企业应满足以下要求，包括但不限于：</w:t>
      </w:r>
    </w:p>
    <w:p>
      <w:pPr>
        <w:pStyle w:val="22"/>
        <w:numPr>
          <w:ilvl w:val="0"/>
          <w:numId w:val="18"/>
        </w:numPr>
        <w:rPr>
          <w:rFonts w:ascii="Times New Roman"/>
        </w:rPr>
      </w:pPr>
      <w:r>
        <w:rPr>
          <w:rFonts w:ascii="Times New Roman"/>
        </w:rPr>
        <w:t>符合安全生产规范，生产企业三年内（投产不足三年的，自投产之日起）无重大安全和环境污染事故；</w:t>
      </w:r>
    </w:p>
    <w:p>
      <w:pPr>
        <w:pStyle w:val="22"/>
        <w:numPr>
          <w:ilvl w:val="0"/>
          <w:numId w:val="18"/>
        </w:numPr>
        <w:rPr>
          <w:rFonts w:ascii="Times New Roman"/>
        </w:rPr>
      </w:pPr>
      <w:r>
        <w:rPr>
          <w:rFonts w:ascii="Times New Roman"/>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污染物排放达到国家和地方排放控制和排污许可管理要求；</w:t>
      </w:r>
    </w:p>
    <w:p>
      <w:pPr>
        <w:pStyle w:val="22"/>
        <w:numPr>
          <w:ilvl w:val="0"/>
          <w:numId w:val="18"/>
        </w:numPr>
        <w:rPr>
          <w:rFonts w:ascii="Times New Roman"/>
        </w:rPr>
      </w:pPr>
      <w:r>
        <w:rPr>
          <w:rFonts w:hint="eastAsia" w:ascii="Times New Roman"/>
        </w:rPr>
        <w:t>污染物总量控制应达到国家和地方污染物排放总量控制指标；</w:t>
      </w:r>
    </w:p>
    <w:p>
      <w:pPr>
        <w:pStyle w:val="22"/>
        <w:numPr>
          <w:ilvl w:val="0"/>
          <w:numId w:val="18"/>
        </w:numPr>
        <w:rPr>
          <w:rFonts w:ascii="Times New Roman"/>
        </w:rPr>
      </w:pPr>
      <w:r>
        <w:rPr>
          <w:rFonts w:ascii="Times New Roman"/>
        </w:rPr>
        <w:t>应确保参与绿色设计产品评价的产品基本性能符合</w:t>
      </w:r>
      <w:r>
        <w:rPr>
          <w:rFonts w:hint="eastAsia" w:ascii="Times New Roman"/>
        </w:rPr>
        <w:t>相关国家</w:t>
      </w:r>
      <w:r>
        <w:rPr>
          <w:rFonts w:ascii="Times New Roman"/>
        </w:rPr>
        <w:t>标准、行业标准的规定，并满足用户设计和使用的要求</w:t>
      </w:r>
      <w:r>
        <w:rPr>
          <w:rFonts w:hint="eastAsia" w:ascii="Times New Roman"/>
        </w:rPr>
        <w:t>。</w:t>
      </w:r>
    </w:p>
    <w:p>
      <w:pPr>
        <w:pStyle w:val="111"/>
        <w:numPr>
          <w:ilvl w:val="0"/>
          <w:numId w:val="18"/>
        </w:numPr>
        <w:ind w:firstLineChars="0"/>
        <w:rPr>
          <w:rFonts w:ascii="Times New Roman" w:hAnsi="Times New Roman"/>
          <w:kern w:val="0"/>
          <w:szCs w:val="20"/>
        </w:rPr>
      </w:pPr>
      <w:r>
        <w:rPr>
          <w:rFonts w:hint="eastAsia" w:ascii="Times New Roman" w:hAnsi="Times New Roman"/>
          <w:kern w:val="0"/>
          <w:szCs w:val="20"/>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应按照GB/T 19001、GB/T 23331、GB/T 24001和GB/T 45001分别建立、实施、保持并持续改进质量管理、能源管理、环境管理和职业健康安全管理体系；</w:t>
      </w:r>
    </w:p>
    <w:p>
      <w:pPr>
        <w:pStyle w:val="22"/>
        <w:numPr>
          <w:ilvl w:val="0"/>
          <w:numId w:val="18"/>
        </w:numPr>
        <w:rPr>
          <w:rFonts w:ascii="Times New Roman"/>
        </w:rPr>
      </w:pPr>
      <w:r>
        <w:rPr>
          <w:rFonts w:ascii="Times New Roman"/>
        </w:rPr>
        <w:t>应按照GB 17167配备能源计量器具</w:t>
      </w:r>
      <w:r>
        <w:rPr>
          <w:rFonts w:hint="eastAsia" w:ascii="Times New Roman"/>
        </w:rPr>
        <w:t>，并</w:t>
      </w:r>
      <w:r>
        <w:rPr>
          <w:rFonts w:ascii="Times New Roman"/>
        </w:rPr>
        <w:t>根据环保法律法规和标准要求</w:t>
      </w:r>
      <w:r>
        <w:rPr>
          <w:rFonts w:hint="eastAsia" w:ascii="Times New Roman"/>
        </w:rPr>
        <w:t>开展</w:t>
      </w:r>
      <w:r>
        <w:rPr>
          <w:rFonts w:ascii="Times New Roman"/>
        </w:rPr>
        <w:t>污染物</w:t>
      </w:r>
      <w:r>
        <w:rPr>
          <w:rFonts w:hint="eastAsia" w:ascii="Times New Roman"/>
        </w:rPr>
        <w:t>检测或配备</w:t>
      </w:r>
      <w:r>
        <w:rPr>
          <w:rFonts w:ascii="Times New Roman"/>
        </w:rPr>
        <w:t>在线监测设备</w:t>
      </w:r>
      <w:r>
        <w:rPr>
          <w:rFonts w:hint="eastAsia" w:ascii="Times New Roman"/>
        </w:rPr>
        <w:t>。</w:t>
      </w:r>
    </w:p>
    <w:p>
      <w:pPr>
        <w:pStyle w:val="54"/>
        <w:ind w:left="0"/>
        <w:rPr>
          <w:rFonts w:ascii="Times New Roman"/>
          <w:szCs w:val="22"/>
        </w:rPr>
      </w:pPr>
      <w:r>
        <w:rPr>
          <w:rFonts w:ascii="Times New Roman"/>
          <w:szCs w:val="22"/>
        </w:rPr>
        <w:t>评价指标要求</w:t>
      </w:r>
    </w:p>
    <w:p>
      <w:pPr>
        <w:pStyle w:val="22"/>
        <w:rPr>
          <w:rFonts w:ascii="Times New Roman"/>
        </w:rPr>
      </w:pPr>
      <w:r>
        <w:rPr>
          <w:rFonts w:hint="eastAsia" w:ascii="Times New Roman"/>
        </w:rPr>
        <w:t>海洋工程用不锈钢钢板及钢带</w:t>
      </w:r>
      <w:r>
        <w:rPr>
          <w:rFonts w:ascii="Times New Roman"/>
        </w:rPr>
        <w:t>的评价指标由一级指标和二级指标组成，其中一级指标包括资源属性指标、能源属性指标、环境属性指标</w:t>
      </w:r>
      <w:r>
        <w:rPr>
          <w:rFonts w:hint="eastAsia" w:ascii="Times New Roman"/>
        </w:rPr>
        <w:t>、</w:t>
      </w:r>
      <w:r>
        <w:rPr>
          <w:rFonts w:ascii="Times New Roman"/>
        </w:rPr>
        <w:t>产品属性</w:t>
      </w:r>
      <w:r>
        <w:rPr>
          <w:rFonts w:hint="eastAsia" w:ascii="Times New Roman"/>
        </w:rPr>
        <w:t>指标和低碳属性</w:t>
      </w:r>
      <w:r>
        <w:rPr>
          <w:rFonts w:ascii="Times New Roman"/>
        </w:rPr>
        <w:t>指标。</w:t>
      </w:r>
    </w:p>
    <w:p>
      <w:pPr>
        <w:pStyle w:val="22"/>
        <w:rPr>
          <w:rFonts w:ascii="Times New Roman"/>
        </w:rPr>
      </w:pPr>
      <w:r>
        <w:rPr>
          <w:rFonts w:hint="eastAsia" w:ascii="Times New Roman"/>
        </w:rPr>
        <w:t>海洋工程用不锈钢钢板及钢带</w:t>
      </w:r>
      <w:r>
        <w:rPr>
          <w:rFonts w:ascii="Times New Roman"/>
        </w:rPr>
        <w:t>的评价指标名称、基准值、判定依据等要求见表1。</w:t>
      </w:r>
    </w:p>
    <w:p>
      <w:pPr>
        <w:pStyle w:val="30"/>
        <w:widowControl/>
        <w:tabs>
          <w:tab w:val="center" w:pos="4201"/>
          <w:tab w:val="right" w:leader="dot" w:pos="9298"/>
        </w:tabs>
        <w:autoSpaceDE w:val="0"/>
        <w:autoSpaceDN w:val="0"/>
        <w:spacing w:line="360" w:lineRule="auto"/>
        <w:ind w:firstLine="420" w:firstLineChars="200"/>
        <w:jc w:val="center"/>
        <w:rPr>
          <w:rFonts w:eastAsia="黑体"/>
          <w:szCs w:val="22"/>
        </w:rPr>
      </w:pPr>
      <w:r>
        <w:rPr>
          <w:rFonts w:eastAsia="黑体"/>
          <w:kern w:val="0"/>
          <w:sz w:val="21"/>
          <w:szCs w:val="22"/>
          <w:lang w:bidi="ar"/>
        </w:rPr>
        <w:t xml:space="preserve">表1 </w:t>
      </w:r>
      <w:r>
        <w:rPr>
          <w:rFonts w:hint="eastAsia" w:eastAsia="黑体"/>
          <w:kern w:val="0"/>
          <w:sz w:val="21"/>
          <w:szCs w:val="22"/>
          <w:lang w:bidi="ar"/>
        </w:rPr>
        <w:t xml:space="preserve"> 海洋工程用不锈钢钢板及钢带</w:t>
      </w:r>
      <w:r>
        <w:rPr>
          <w:rFonts w:eastAsia="黑体"/>
          <w:kern w:val="0"/>
          <w:sz w:val="21"/>
          <w:szCs w:val="22"/>
          <w:lang w:bidi="ar"/>
        </w:rPr>
        <w:t>评价指标要求</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4"/>
        <w:gridCol w:w="622"/>
        <w:gridCol w:w="65"/>
        <w:gridCol w:w="722"/>
        <w:gridCol w:w="1013"/>
        <w:gridCol w:w="856"/>
        <w:gridCol w:w="1108"/>
        <w:gridCol w:w="240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53"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一级指标</w:t>
            </w:r>
          </w:p>
        </w:tc>
        <w:tc>
          <w:tcPr>
            <w:tcW w:w="1863" w:type="pct"/>
            <w:gridSpan w:val="5"/>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二级指标</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单位</w:t>
            </w:r>
          </w:p>
        </w:tc>
        <w:tc>
          <w:tcPr>
            <w:tcW w:w="579"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基准值</w:t>
            </w:r>
          </w:p>
        </w:tc>
        <w:tc>
          <w:tcPr>
            <w:tcW w:w="1257"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测试依据和确认条件</w:t>
            </w: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lang w:bidi="ar"/>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3"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r>
              <w:rPr>
                <w:color w:val="000000" w:themeColor="text1"/>
                <w:sz w:val="18"/>
                <w:szCs w:val="18"/>
                <w:lang w:bidi="ar"/>
                <w14:textFill>
                  <w14:solidFill>
                    <w14:schemeClr w14:val="tx1"/>
                  </w14:solidFill>
                </w14:textFill>
              </w:rPr>
              <w:t>资源属性</w:t>
            </w:r>
          </w:p>
        </w:tc>
        <w:tc>
          <w:tcPr>
            <w:tcW w:w="598"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r>
              <w:rPr>
                <w:color w:val="000000" w:themeColor="text1"/>
                <w:sz w:val="18"/>
                <w:szCs w:val="18"/>
                <w:lang w:bidi="ar"/>
                <w14:textFill>
                  <w14:solidFill>
                    <w14:schemeClr w14:val="tx1"/>
                  </w14:solidFill>
                </w14:textFill>
              </w:rPr>
              <w:t>原材料质量要求</w:t>
            </w:r>
          </w:p>
        </w:tc>
        <w:tc>
          <w:tcPr>
            <w:tcW w:w="1265"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红土镍矿</w:t>
            </w:r>
            <w:r>
              <w:rPr>
                <w:color w:val="000000" w:themeColor="text1"/>
                <w:sz w:val="18"/>
                <w:szCs w:val="18"/>
                <w14:textFill>
                  <w14:solidFill>
                    <w14:schemeClr w14:val="tx1"/>
                  </w14:solidFill>
                </w14:textFill>
              </w:rPr>
              <w:t>高炉生产工艺</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入炉</w:t>
            </w:r>
            <w:r>
              <w:rPr>
                <w:color w:val="000000" w:themeColor="text1"/>
                <w:sz w:val="18"/>
                <w:szCs w:val="18"/>
                <w14:textFill>
                  <w14:solidFill>
                    <w14:schemeClr w14:val="tx1"/>
                  </w14:solidFill>
                </w14:textFill>
              </w:rPr>
              <w:t>镍矿）</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7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Ni</w:t>
            </w:r>
            <w:r>
              <w:rPr>
                <w:color w:val="000000" w:themeColor="text1"/>
                <w:sz w:val="18"/>
                <w:szCs w:val="18"/>
                <w14:textFill>
                  <w14:solidFill>
                    <w14:schemeClr w14:val="tx1"/>
                  </w14:solidFill>
                </w14:textFill>
              </w:rPr>
              <w:t>≥0.8%且TFe≥40.0%</w:t>
            </w:r>
          </w:p>
        </w:tc>
        <w:tc>
          <w:tcPr>
            <w:tcW w:w="1257" w:type="pct"/>
            <w:vMerge w:val="restart"/>
            <w:tcBorders>
              <w:top w:val="single" w:color="auto" w:sz="4" w:space="0"/>
              <w:left w:val="single" w:color="auto" w:sz="4" w:space="0"/>
              <w:right w:val="single" w:color="auto" w:sz="4" w:space="0"/>
            </w:tcBorders>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提供采购合同、采购原料清单及证明材料</w:t>
            </w:r>
          </w:p>
        </w:tc>
        <w:tc>
          <w:tcPr>
            <w:tcW w:w="502" w:type="pct"/>
            <w:tcBorders>
              <w:top w:val="single" w:color="auto" w:sz="4" w:space="0"/>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1265"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红土镍矿</w:t>
            </w:r>
            <w:r>
              <w:rPr>
                <w:color w:val="000000" w:themeColor="text1"/>
                <w:sz w:val="18"/>
                <w:szCs w:val="18"/>
                <w14:textFill>
                  <w14:solidFill>
                    <w14:schemeClr w14:val="tx1"/>
                  </w14:solidFill>
                </w14:textFill>
              </w:rPr>
              <w:t>RKEF（</w:t>
            </w:r>
            <w:r>
              <w:rPr>
                <w:rFonts w:hint="eastAsia"/>
                <w:color w:val="000000" w:themeColor="text1"/>
                <w:sz w:val="18"/>
                <w:szCs w:val="18"/>
                <w14:textFill>
                  <w14:solidFill>
                    <w14:schemeClr w14:val="tx1"/>
                  </w14:solidFill>
                </w14:textFill>
              </w:rPr>
              <w:t>R</w:t>
            </w:r>
            <w:r>
              <w:rPr>
                <w:color w:val="000000" w:themeColor="text1"/>
                <w:sz w:val="18"/>
                <w:szCs w:val="18"/>
                <w14:textFill>
                  <w14:solidFill>
                    <w14:schemeClr w14:val="tx1"/>
                  </w14:solidFill>
                </w14:textFill>
              </w:rPr>
              <w:t>otary Klin Electric Furnace）</w:t>
            </w:r>
            <w:r>
              <w:rPr>
                <w:rFonts w:hint="eastAsia"/>
                <w:color w:val="000000" w:themeColor="text1"/>
                <w:sz w:val="18"/>
                <w:szCs w:val="18"/>
                <w14:textFill>
                  <w14:solidFill>
                    <w14:schemeClr w14:val="tx1"/>
                  </w14:solidFill>
                </w14:textFill>
              </w:rPr>
              <w:t>生产</w:t>
            </w:r>
            <w:r>
              <w:rPr>
                <w:color w:val="000000" w:themeColor="text1"/>
                <w:sz w:val="18"/>
                <w:szCs w:val="18"/>
                <w14:textFill>
                  <w14:solidFill>
                    <w14:schemeClr w14:val="tx1"/>
                  </w14:solidFill>
                </w14:textFill>
              </w:rPr>
              <w:t>工艺（</w:t>
            </w:r>
            <w:r>
              <w:rPr>
                <w:rFonts w:hint="eastAsia"/>
                <w:color w:val="000000" w:themeColor="text1"/>
                <w:sz w:val="18"/>
                <w:szCs w:val="18"/>
                <w14:textFill>
                  <w14:solidFill>
                    <w14:schemeClr w14:val="tx1"/>
                  </w14:solidFill>
                </w14:textFill>
              </w:rPr>
              <w:t>入炉</w:t>
            </w:r>
            <w:r>
              <w:rPr>
                <w:color w:val="000000" w:themeColor="text1"/>
                <w:sz w:val="18"/>
                <w:szCs w:val="18"/>
                <w14:textFill>
                  <w14:solidFill>
                    <w14:schemeClr w14:val="tx1"/>
                  </w14:solidFill>
                </w14:textFill>
              </w:rPr>
              <w:t>镍矿）</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7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Ni</w:t>
            </w:r>
            <w:r>
              <w:rPr>
                <w:color w:val="000000" w:themeColor="text1"/>
                <w:sz w:val="18"/>
                <w:szCs w:val="18"/>
                <w14:textFill>
                  <w14:solidFill>
                    <w14:schemeClr w14:val="tx1"/>
                  </w14:solidFill>
                </w14:textFill>
              </w:rPr>
              <w:t>≥1.5%</w:t>
            </w:r>
          </w:p>
        </w:tc>
        <w:tc>
          <w:tcPr>
            <w:tcW w:w="1257" w:type="pct"/>
            <w:vMerge w:val="continue"/>
            <w:tcBorders>
              <w:left w:val="single" w:color="auto" w:sz="4" w:space="0"/>
              <w:bottom w:val="single" w:color="auto" w:sz="4" w:space="0"/>
              <w:right w:val="single" w:color="auto" w:sz="4" w:space="0"/>
            </w:tcBorders>
            <w:vAlign w:val="center"/>
          </w:tcPr>
          <w:p>
            <w:pPr>
              <w:snapToGrid w:val="0"/>
              <w:jc w:val="left"/>
              <w:rPr>
                <w:color w:val="000000" w:themeColor="text1"/>
                <w:sz w:val="18"/>
                <w:szCs w:val="18"/>
                <w14:textFill>
                  <w14:solidFill>
                    <w14:schemeClr w14:val="tx1"/>
                  </w14:solidFill>
                </w14:textFill>
              </w:rPr>
            </w:pPr>
          </w:p>
        </w:tc>
        <w:tc>
          <w:tcPr>
            <w:tcW w:w="502" w:type="pct"/>
            <w:tcBorders>
              <w:top w:val="single" w:color="auto" w:sz="4" w:space="0"/>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265"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高炉-转炉</w:t>
            </w:r>
            <w:r>
              <w:rPr>
                <w:color w:val="000000" w:themeColor="text1"/>
                <w:sz w:val="18"/>
                <w:szCs w:val="18"/>
                <w14:textFill>
                  <w14:solidFill>
                    <w14:schemeClr w14:val="tx1"/>
                  </w14:solidFill>
                </w14:textFill>
              </w:rPr>
              <w:t>工艺：高炉入炉品位</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57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1257" w:type="pct"/>
            <w:tcBorders>
              <w:top w:val="single" w:color="auto" w:sz="4" w:space="0"/>
              <w:left w:val="single" w:color="auto" w:sz="4" w:space="0"/>
              <w:bottom w:val="single" w:color="auto" w:sz="4" w:space="0"/>
              <w:right w:val="single" w:color="auto" w:sz="4" w:space="0"/>
            </w:tcBorders>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按照《钢铁行业（高炉炼铁）清洁生产评价指标体系》</w:t>
            </w:r>
            <w:r>
              <w:rPr>
                <w:rFonts w:hint="eastAsia"/>
                <w:color w:val="000000" w:themeColor="text1"/>
                <w:sz w:val="18"/>
                <w:szCs w:val="18"/>
                <w14:textFill>
                  <w14:solidFill>
                    <w14:schemeClr w14:val="tx1"/>
                  </w14:solidFill>
                </w14:textFill>
              </w:rPr>
              <w:t>要求</w:t>
            </w:r>
          </w:p>
        </w:tc>
        <w:tc>
          <w:tcPr>
            <w:tcW w:w="502"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598" w:type="pct"/>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1265"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电炉、</w:t>
            </w:r>
            <w:r>
              <w:rPr>
                <w:color w:val="000000" w:themeColor="text1"/>
                <w:kern w:val="0"/>
                <w:sz w:val="18"/>
                <w:szCs w:val="18"/>
                <w14:textFill>
                  <w14:solidFill>
                    <w14:schemeClr w14:val="tx1"/>
                  </w14:solidFill>
                </w14:textFill>
              </w:rPr>
              <w:t>AOD或其他组合的生产</w:t>
            </w:r>
            <w:r>
              <w:rPr>
                <w:rFonts w:hint="eastAsia"/>
                <w:color w:val="000000" w:themeColor="text1"/>
                <w:kern w:val="0"/>
                <w:sz w:val="18"/>
                <w:szCs w:val="18"/>
                <w14:textFill>
                  <w14:solidFill>
                    <w14:schemeClr w14:val="tx1"/>
                  </w14:solidFill>
                </w14:textFill>
              </w:rPr>
              <w:t>工艺</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7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符合GB</w:t>
            </w:r>
            <w:r>
              <w:rPr>
                <w:color w:val="000000" w:themeColor="text1"/>
                <w:kern w:val="0"/>
                <w:sz w:val="18"/>
                <w:szCs w:val="18"/>
                <w14:textFill>
                  <w14:solidFill>
                    <w14:schemeClr w14:val="tx1"/>
                  </w14:solidFill>
                </w14:textFill>
              </w:rPr>
              <w:t>/T 4223</w:t>
            </w:r>
            <w:r>
              <w:rPr>
                <w:rFonts w:hint="eastAsia"/>
                <w:color w:val="000000" w:themeColor="text1"/>
                <w:kern w:val="0"/>
                <w:sz w:val="18"/>
                <w:szCs w:val="18"/>
                <w14:textFill>
                  <w14:solidFill>
                    <w14:schemeClr w14:val="tx1"/>
                  </w14:solidFill>
                </w14:textFill>
              </w:rPr>
              <w:t>要求</w:t>
            </w:r>
          </w:p>
        </w:tc>
        <w:tc>
          <w:tcPr>
            <w:tcW w:w="1257" w:type="pct"/>
            <w:tcBorders>
              <w:top w:val="single" w:color="auto" w:sz="4" w:space="0"/>
              <w:left w:val="single" w:color="auto" w:sz="4" w:space="0"/>
              <w:bottom w:val="single" w:color="auto" w:sz="4" w:space="0"/>
              <w:right w:val="single" w:color="auto" w:sz="4" w:space="0"/>
            </w:tcBorders>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提供采购合同、采购原料清单及证明材料</w:t>
            </w:r>
          </w:p>
        </w:tc>
        <w:tc>
          <w:tcPr>
            <w:tcW w:w="502" w:type="pct"/>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水资源</w:t>
            </w:r>
          </w:p>
        </w:tc>
        <w:tc>
          <w:tcPr>
            <w:tcW w:w="1265"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r>
              <w:rPr>
                <w:color w:val="000000" w:themeColor="text1"/>
                <w:sz w:val="18"/>
                <w:szCs w:val="18"/>
                <w:lang w:bidi="ar"/>
                <w14:textFill>
                  <w14:solidFill>
                    <w14:schemeClr w14:val="tx1"/>
                  </w14:solidFill>
                </w14:textFill>
              </w:rPr>
              <w:t>高炉/RKEF</w:t>
            </w:r>
            <w:r>
              <w:rPr>
                <w:rFonts w:hint="eastAsia"/>
                <w:color w:val="000000" w:themeColor="text1"/>
                <w:sz w:val="18"/>
                <w:szCs w:val="18"/>
                <w:lang w:bidi="ar"/>
                <w14:textFill>
                  <w14:solidFill>
                    <w14:schemeClr w14:val="tx1"/>
                  </w14:solidFill>
                </w14:textFill>
              </w:rPr>
              <w:t>、</w:t>
            </w:r>
            <w:r>
              <w:rPr>
                <w:color w:val="000000" w:themeColor="text1"/>
                <w:sz w:val="18"/>
                <w:szCs w:val="18"/>
                <w:lang w:bidi="ar"/>
                <w14:textFill>
                  <w14:solidFill>
                    <w14:schemeClr w14:val="tx1"/>
                  </w14:solidFill>
                </w14:textFill>
              </w:rPr>
              <w:t>转炉</w:t>
            </w:r>
            <w:r>
              <w:rPr>
                <w:rFonts w:hint="eastAsia"/>
                <w:color w:val="000000" w:themeColor="text1"/>
                <w:sz w:val="18"/>
                <w:szCs w:val="18"/>
                <w:lang w:bidi="ar"/>
                <w14:textFill>
                  <w14:solidFill>
                    <w14:schemeClr w14:val="tx1"/>
                  </w14:solidFill>
                </w14:textFill>
              </w:rPr>
              <w:t>/</w:t>
            </w:r>
            <w:r>
              <w:rPr>
                <w:color w:val="000000" w:themeColor="text1"/>
                <w:sz w:val="18"/>
                <w:szCs w:val="18"/>
                <w:lang w:bidi="ar"/>
                <w14:textFill>
                  <w14:solidFill>
                    <w14:schemeClr w14:val="tx1"/>
                  </w14:solidFill>
                </w14:textFill>
              </w:rPr>
              <w:t>AOD</w:t>
            </w:r>
            <w:r>
              <w:rPr>
                <w:rFonts w:hint="eastAsia"/>
                <w:color w:val="000000" w:themeColor="text1"/>
                <w:sz w:val="18"/>
                <w:szCs w:val="18"/>
                <w:lang w:bidi="ar"/>
                <w14:textFill>
                  <w14:solidFill>
                    <w14:schemeClr w14:val="tx1"/>
                  </w14:solidFill>
                </w14:textFill>
              </w:rPr>
              <w:t>组合</w:t>
            </w:r>
            <w:r>
              <w:rPr>
                <w:color w:val="000000" w:themeColor="text1"/>
                <w:sz w:val="18"/>
                <w:szCs w:val="18"/>
                <w:lang w:bidi="ar"/>
                <w14:textFill>
                  <w14:solidFill>
                    <w14:schemeClr w14:val="tx1"/>
                  </w14:solidFill>
                </w14:textFill>
              </w:rPr>
              <w:t>的生产工艺单位产品</w:t>
            </w:r>
            <w:r>
              <w:rPr>
                <w:rFonts w:hint="eastAsia"/>
                <w:color w:val="000000" w:themeColor="text1"/>
                <w:sz w:val="18"/>
                <w:szCs w:val="18"/>
                <w:lang w:bidi="ar"/>
                <w14:textFill>
                  <w14:solidFill>
                    <w14:schemeClr w14:val="tx1"/>
                  </w14:solidFill>
                </w14:textFill>
              </w:rPr>
              <w:t>新鲜</w:t>
            </w:r>
            <w:r>
              <w:rPr>
                <w:color w:val="000000" w:themeColor="text1"/>
                <w:sz w:val="18"/>
                <w:szCs w:val="18"/>
                <w:lang w:bidi="ar"/>
                <w14:textFill>
                  <w14:solidFill>
                    <w14:schemeClr w14:val="tx1"/>
                  </w14:solidFill>
                </w14:textFill>
              </w:rPr>
              <w:t>水量</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m</w:t>
            </w:r>
            <w:r>
              <w:rPr>
                <w:color w:val="000000" w:themeColor="text1"/>
                <w:sz w:val="18"/>
                <w:szCs w:val="18"/>
                <w:vertAlign w:val="superscript"/>
                <w:lang w:bidi="ar"/>
                <w14:textFill>
                  <w14:solidFill>
                    <w14:schemeClr w14:val="tx1"/>
                  </w14:solidFill>
                </w14:textFill>
              </w:rPr>
              <w:t>3</w:t>
            </w:r>
            <w:r>
              <w:rPr>
                <w:color w:val="000000" w:themeColor="text1"/>
                <w:sz w:val="18"/>
                <w:szCs w:val="18"/>
                <w:lang w:bidi="ar"/>
                <w14:textFill>
                  <w14:solidFill>
                    <w14:schemeClr w14:val="tx1"/>
                  </w14:solidFill>
                </w14:textFill>
              </w:rPr>
              <w:t>/t</w:t>
            </w:r>
          </w:p>
        </w:tc>
        <w:tc>
          <w:tcPr>
            <w:tcW w:w="579"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sz w:val="18"/>
                <w:szCs w:val="18"/>
                <w:lang w:bidi="ar"/>
                <w14:textFill>
                  <w14:solidFill>
                    <w14:schemeClr w14:val="tx1"/>
                  </w14:solidFill>
                </w14:textFill>
              </w:rPr>
              <w:t>3.5</w:t>
            </w:r>
          </w:p>
        </w:tc>
        <w:tc>
          <w:tcPr>
            <w:tcW w:w="1257" w:type="pct"/>
            <w:tcBorders>
              <w:top w:val="single" w:color="auto" w:sz="4" w:space="0"/>
              <w:left w:val="single" w:color="auto" w:sz="4" w:space="0"/>
              <w:right w:val="single" w:color="auto" w:sz="4" w:space="0"/>
            </w:tcBorders>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按照《钢铁行业清洁生产评价指标体系》要求，并提供基础数据</w:t>
            </w:r>
          </w:p>
        </w:tc>
        <w:tc>
          <w:tcPr>
            <w:tcW w:w="502"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353" w:type="pct"/>
            <w:vMerge w:val="continue"/>
            <w:tcBorders>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1265"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水重复利用率</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w:t>
            </w:r>
          </w:p>
        </w:tc>
        <w:tc>
          <w:tcPr>
            <w:tcW w:w="57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≥97</w:t>
            </w:r>
          </w:p>
        </w:tc>
        <w:tc>
          <w:tcPr>
            <w:tcW w:w="1257" w:type="pct"/>
            <w:tcBorders>
              <w:top w:val="single" w:color="auto" w:sz="4" w:space="0"/>
              <w:left w:val="single" w:color="auto" w:sz="4" w:space="0"/>
              <w:bottom w:val="single" w:color="auto" w:sz="4" w:space="0"/>
              <w:right w:val="single" w:color="auto" w:sz="4" w:space="0"/>
            </w:tcBorders>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按照GB/T 26924标准和附录A</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并提供基础数据</w:t>
            </w:r>
          </w:p>
        </w:tc>
        <w:tc>
          <w:tcPr>
            <w:tcW w:w="502" w:type="pct"/>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能源属性</w:t>
            </w:r>
          </w:p>
        </w:tc>
        <w:tc>
          <w:tcPr>
            <w:tcW w:w="598"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r>
              <w:rPr>
                <w:color w:val="000000" w:themeColor="text1"/>
                <w:sz w:val="18"/>
                <w:szCs w:val="18"/>
                <w:lang w:bidi="ar"/>
                <w14:textFill>
                  <w14:solidFill>
                    <w14:schemeClr w14:val="tx1"/>
                  </w14:solidFill>
                </w14:textFill>
              </w:rPr>
              <w:t>单位产品</w:t>
            </w:r>
          </w:p>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能耗指标</w:t>
            </w:r>
          </w:p>
        </w:tc>
        <w:tc>
          <w:tcPr>
            <w:tcW w:w="1265"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烧结工序（</w:t>
            </w:r>
            <w:r>
              <w:rPr>
                <w:rFonts w:hint="eastAsia"/>
                <w:color w:val="000000" w:themeColor="text1"/>
                <w:sz w:val="18"/>
                <w:szCs w:val="18"/>
                <w14:textFill>
                  <w14:solidFill>
                    <w14:schemeClr w14:val="tx1"/>
                  </w14:solidFill>
                </w14:textFill>
              </w:rPr>
              <w:t>不</w:t>
            </w:r>
            <w:r>
              <w:rPr>
                <w:color w:val="000000" w:themeColor="text1"/>
                <w:sz w:val="18"/>
                <w:szCs w:val="18"/>
                <w14:textFill>
                  <w14:solidFill>
                    <w14:schemeClr w14:val="tx1"/>
                  </w14:solidFill>
                </w14:textFill>
              </w:rPr>
              <w:t>含脱硝）</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kgce/t</w:t>
            </w:r>
          </w:p>
        </w:tc>
        <w:tc>
          <w:tcPr>
            <w:tcW w:w="57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1257" w:type="pct"/>
            <w:vMerge w:val="restart"/>
            <w:tcBorders>
              <w:top w:val="single" w:color="auto" w:sz="4" w:space="0"/>
              <w:left w:val="single" w:color="auto" w:sz="4" w:space="0"/>
              <w:right w:val="single" w:color="auto" w:sz="4" w:space="0"/>
            </w:tcBorders>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按照《钢铁行业（烧结、球团）清洁生产评价指标体系》标准和附录A，并提供基础数据</w:t>
            </w:r>
          </w:p>
        </w:tc>
        <w:tc>
          <w:tcPr>
            <w:tcW w:w="502"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598" w:type="pct"/>
            <w:vMerge w:val="continue"/>
            <w:tcBorders>
              <w:top w:val="single" w:color="auto" w:sz="4" w:space="0"/>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1265"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球团工序</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kgce/t</w:t>
            </w:r>
          </w:p>
        </w:tc>
        <w:tc>
          <w:tcPr>
            <w:tcW w:w="57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c>
          <w:tcPr>
            <w:tcW w:w="1257" w:type="pct"/>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1265"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vertAlign w:val="superscript"/>
                <w14:textFill>
                  <w14:solidFill>
                    <w14:schemeClr w14:val="tx1"/>
                  </w14:solidFill>
                </w14:textFill>
              </w:rPr>
            </w:pPr>
            <w:r>
              <w:rPr>
                <w:rFonts w:hint="eastAsia"/>
                <w:color w:val="000000" w:themeColor="text1"/>
                <w:kern w:val="0"/>
                <w:sz w:val="18"/>
                <w:szCs w:val="18"/>
                <w14:textFill>
                  <w14:solidFill>
                    <w14:schemeClr w14:val="tx1"/>
                  </w14:solidFill>
                </w14:textFill>
              </w:rPr>
              <w:t>红土镍矿</w:t>
            </w:r>
            <w:r>
              <w:rPr>
                <w:color w:val="000000" w:themeColor="text1"/>
                <w:kern w:val="0"/>
                <w:sz w:val="18"/>
                <w:szCs w:val="18"/>
                <w14:textFill>
                  <w14:solidFill>
                    <w14:schemeClr w14:val="tx1"/>
                  </w14:solidFill>
                </w14:textFill>
              </w:rPr>
              <w:t>高炉工序</w:t>
            </w:r>
            <w:r>
              <w:rPr>
                <w:rFonts w:hint="eastAsia"/>
                <w:color w:val="000000" w:themeColor="text1"/>
                <w:kern w:val="0"/>
                <w:sz w:val="18"/>
                <w:szCs w:val="18"/>
                <w:vertAlign w:val="superscript"/>
                <w14:textFill>
                  <w14:solidFill>
                    <w14:schemeClr w14:val="tx1"/>
                  </w14:solidFill>
                </w14:textFill>
              </w:rPr>
              <w:t>b</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kgce/t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≤525</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提供</w:t>
            </w:r>
            <w:r>
              <w:rPr>
                <w:color w:val="000000" w:themeColor="text1"/>
                <w:kern w:val="0"/>
                <w:sz w:val="18"/>
                <w:szCs w:val="18"/>
                <w14:textFill>
                  <w14:solidFill>
                    <w14:schemeClr w14:val="tx1"/>
                  </w14:solidFill>
                </w14:textFill>
              </w:rPr>
              <w:t>能源平衡表</w:t>
            </w:r>
            <w:r>
              <w:rPr>
                <w:rFonts w:hint="eastAsia"/>
                <w:color w:val="000000" w:themeColor="text1"/>
                <w:kern w:val="0"/>
                <w:sz w:val="18"/>
                <w:szCs w:val="18"/>
                <w14:textFill>
                  <w14:solidFill>
                    <w14:schemeClr w14:val="tx1"/>
                  </w14:solidFill>
                </w14:textFill>
              </w:rPr>
              <w:t>与</w:t>
            </w:r>
            <w:r>
              <w:rPr>
                <w:color w:val="000000" w:themeColor="text1"/>
                <w:kern w:val="0"/>
                <w:sz w:val="18"/>
                <w:szCs w:val="18"/>
                <w14:textFill>
                  <w14:solidFill>
                    <w14:schemeClr w14:val="tx1"/>
                  </w14:solidFill>
                </w14:textFill>
              </w:rPr>
              <w:t>生产报表</w:t>
            </w: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1265"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红土镍矿</w:t>
            </w:r>
            <w:r>
              <w:rPr>
                <w:color w:val="000000" w:themeColor="text1"/>
                <w:kern w:val="0"/>
                <w:sz w:val="18"/>
                <w:szCs w:val="18"/>
                <w14:textFill>
                  <w14:solidFill>
                    <w14:schemeClr w14:val="tx1"/>
                  </w14:solidFill>
                </w14:textFill>
              </w:rPr>
              <w:t>RKEF工序</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kgce/t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≤1800</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提供</w:t>
            </w:r>
            <w:r>
              <w:rPr>
                <w:color w:val="000000" w:themeColor="text1"/>
                <w:kern w:val="0"/>
                <w:sz w:val="18"/>
                <w:szCs w:val="18"/>
                <w14:textFill>
                  <w14:solidFill>
                    <w14:schemeClr w14:val="tx1"/>
                  </w14:solidFill>
                </w14:textFill>
              </w:rPr>
              <w:t>能源平衡表</w:t>
            </w:r>
            <w:r>
              <w:rPr>
                <w:rFonts w:hint="eastAsia"/>
                <w:color w:val="000000" w:themeColor="text1"/>
                <w:kern w:val="0"/>
                <w:sz w:val="18"/>
                <w:szCs w:val="18"/>
                <w14:textFill>
                  <w14:solidFill>
                    <w14:schemeClr w14:val="tx1"/>
                  </w14:solidFill>
                </w14:textFill>
              </w:rPr>
              <w:t>与</w:t>
            </w:r>
            <w:r>
              <w:rPr>
                <w:color w:val="000000" w:themeColor="text1"/>
                <w:kern w:val="0"/>
                <w:sz w:val="18"/>
                <w:szCs w:val="18"/>
                <w14:textFill>
                  <w14:solidFill>
                    <w14:schemeClr w14:val="tx1"/>
                  </w14:solidFill>
                </w14:textFill>
              </w:rPr>
              <w:t>生产报表</w:t>
            </w: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1265"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高炉</w:t>
            </w:r>
            <w:r>
              <w:rPr>
                <w:color w:val="000000" w:themeColor="text1"/>
                <w:kern w:val="0"/>
                <w:sz w:val="18"/>
                <w:szCs w:val="18"/>
                <w14:textFill>
                  <w14:solidFill>
                    <w14:schemeClr w14:val="tx1"/>
                  </w14:solidFill>
                </w14:textFill>
              </w:rPr>
              <w:t>工序</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kgce/t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≤400</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按照《钢铁行业（高炉炼铁）清洁生产评价指标体系》标准和附录A，并提供基础数据</w:t>
            </w: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1265"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电炉工序</w:t>
            </w:r>
            <w:r>
              <w:rPr>
                <w:rFonts w:hint="eastAsia"/>
                <w:color w:val="000000" w:themeColor="text1"/>
                <w:sz w:val="18"/>
                <w:szCs w:val="18"/>
                <w:vertAlign w:val="superscript"/>
                <w:lang w:bidi="ar"/>
                <w14:textFill>
                  <w14:solidFill>
                    <w14:schemeClr w14:val="tx1"/>
                  </w14:solidFill>
                </w14:textFill>
              </w:rPr>
              <w:t>a</w:t>
            </w:r>
            <w:r>
              <w:rPr>
                <w:rFonts w:hint="eastAsia"/>
                <w:color w:val="000000" w:themeColor="text1"/>
                <w:kern w:val="0"/>
                <w:sz w:val="18"/>
                <w:szCs w:val="18"/>
                <w14:textFill>
                  <w14:solidFill>
                    <w14:schemeClr w14:val="tx1"/>
                  </w14:solidFill>
                </w14:textFill>
              </w:rPr>
              <w:t>（全废钢）</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kgce/t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≤64</w:t>
            </w:r>
          </w:p>
        </w:tc>
        <w:tc>
          <w:tcPr>
            <w:tcW w:w="1257" w:type="pct"/>
            <w:vMerge w:val="restart"/>
            <w:tcBorders>
              <w:top w:val="single" w:color="auto" w:sz="4" w:space="0"/>
              <w:left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按照《钢铁行业（炼钢）清洁生产评价指标体系》标准和附录A，并提供基础数据</w:t>
            </w: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1265"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电炉工序</w:t>
            </w:r>
            <w:r>
              <w:rPr>
                <w:rFonts w:hint="eastAsia"/>
                <w:color w:val="000000" w:themeColor="text1"/>
                <w:kern w:val="0"/>
                <w:sz w:val="18"/>
                <w:szCs w:val="18"/>
                <w:vertAlign w:val="superscript"/>
                <w14:textFill>
                  <w14:solidFill>
                    <w14:schemeClr w14:val="tx1"/>
                  </w14:solidFill>
                </w14:textFill>
              </w:rPr>
              <w:t>b</w:t>
            </w:r>
            <w:r>
              <w:rPr>
                <w:rFonts w:hint="eastAsia"/>
                <w:color w:val="000000" w:themeColor="text1"/>
                <w:kern w:val="0"/>
                <w:sz w:val="18"/>
                <w:szCs w:val="18"/>
                <w14:textFill>
                  <w14:solidFill>
                    <w14:schemeClr w14:val="tx1"/>
                  </w14:solidFill>
                </w14:textFill>
              </w:rPr>
              <w:t>（3</w:t>
            </w:r>
            <w:r>
              <w:rPr>
                <w:color w:val="000000" w:themeColor="text1"/>
                <w:kern w:val="0"/>
                <w:sz w:val="18"/>
                <w:szCs w:val="18"/>
                <w14:textFill>
                  <w14:solidFill>
                    <w14:schemeClr w14:val="tx1"/>
                  </w14:solidFill>
                </w14:textFill>
              </w:rPr>
              <w:t>0%铁水热装</w:t>
            </w:r>
            <w:r>
              <w:rPr>
                <w:rFonts w:hint="eastAsia"/>
                <w:color w:val="000000" w:themeColor="text1"/>
                <w:kern w:val="0"/>
                <w:sz w:val="18"/>
                <w:szCs w:val="18"/>
                <w14:textFill>
                  <w14:solidFill>
                    <w14:schemeClr w14:val="tx1"/>
                  </w14:solidFill>
                </w14:textFill>
              </w:rPr>
              <w:t>）</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kgce/t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≤55</w:t>
            </w:r>
          </w:p>
        </w:tc>
        <w:tc>
          <w:tcPr>
            <w:tcW w:w="1257" w:type="pct"/>
            <w:vMerge w:val="continue"/>
            <w:tcBorders>
              <w:left w:val="single" w:color="auto" w:sz="4" w:space="0"/>
              <w:bottom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53"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环境属性</w:t>
            </w:r>
          </w:p>
        </w:tc>
        <w:tc>
          <w:tcPr>
            <w:tcW w:w="598"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生产过程中污染物排放量</w:t>
            </w:r>
          </w:p>
        </w:tc>
        <w:tc>
          <w:tcPr>
            <w:tcW w:w="1265" w:type="pct"/>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无组织排放（颗粒物）</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车间（工序）无组织排放控制措施与浓度标准满足钢铁行业排污许可要求</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提供无组织排放控制措施清单；每半年第三方检测机构监测报告中所涉及的车间（工序）无组织监测结果</w:t>
            </w:r>
          </w:p>
        </w:tc>
        <w:tc>
          <w:tcPr>
            <w:tcW w:w="502"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烧结工序</w:t>
            </w: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颗粒物</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≤0.09</w:t>
            </w:r>
          </w:p>
        </w:tc>
        <w:tc>
          <w:tcPr>
            <w:tcW w:w="1257" w:type="pct"/>
            <w:vMerge w:val="restart"/>
            <w:tcBorders>
              <w:top w:val="single" w:color="auto" w:sz="4" w:space="0"/>
              <w:left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按照《钢铁行业（烧结、球团）清洁生产评价指标体系》，并提供基础数据（按照一年生产周期计算平均值）</w:t>
            </w: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SO</w:t>
            </w:r>
            <w:r>
              <w:rPr>
                <w:color w:val="000000" w:themeColor="text1"/>
                <w:kern w:val="0"/>
                <w:sz w:val="18"/>
                <w:szCs w:val="18"/>
                <w:vertAlign w:val="subscript"/>
                <w14:textFill>
                  <w14:solidFill>
                    <w14:schemeClr w14:val="tx1"/>
                  </w14:solidFill>
                </w14:textFill>
              </w:rPr>
              <w:t>2</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≤0.14</w:t>
            </w:r>
          </w:p>
        </w:tc>
        <w:tc>
          <w:tcPr>
            <w:tcW w:w="1257" w:type="pct"/>
            <w:vMerge w:val="continue"/>
            <w:tcBorders>
              <w:left w:val="single" w:color="auto" w:sz="4" w:space="0"/>
              <w:right w:val="single" w:color="auto" w:sz="4" w:space="0"/>
            </w:tcBorders>
            <w:vAlign w:val="center"/>
          </w:tcPr>
          <w:p>
            <w:pPr>
              <w:snapToGrid w:val="0"/>
              <w:jc w:val="left"/>
              <w:rPr>
                <w:color w:val="000000" w:themeColor="text1"/>
                <w:sz w:val="20"/>
                <w:szCs w:val="20"/>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NO</w:t>
            </w:r>
            <w:r>
              <w:rPr>
                <w:color w:val="000000" w:themeColor="text1"/>
                <w:kern w:val="0"/>
                <w:sz w:val="18"/>
                <w:szCs w:val="18"/>
                <w:vertAlign w:val="subscript"/>
                <w14:textFill>
                  <w14:solidFill>
                    <w14:schemeClr w14:val="tx1"/>
                  </w14:solidFill>
                </w14:textFill>
              </w:rPr>
              <w:t>X</w:t>
            </w:r>
            <w:r>
              <w:rPr>
                <w:color w:val="000000" w:themeColor="text1"/>
                <w:kern w:val="0"/>
                <w:sz w:val="18"/>
                <w:szCs w:val="18"/>
                <w14:textFill>
                  <w14:solidFill>
                    <w14:schemeClr w14:val="tx1"/>
                  </w14:solidFill>
                </w14:textFill>
              </w:rPr>
              <w:t>（以NO</w:t>
            </w:r>
            <w:r>
              <w:rPr>
                <w:color w:val="000000" w:themeColor="text1"/>
                <w:kern w:val="0"/>
                <w:sz w:val="18"/>
                <w:szCs w:val="18"/>
                <w:vertAlign w:val="subscript"/>
                <w14:textFill>
                  <w14:solidFill>
                    <w14:schemeClr w14:val="tx1"/>
                  </w14:solidFill>
                </w14:textFill>
              </w:rPr>
              <w:t>2</w:t>
            </w:r>
            <w:r>
              <w:rPr>
                <w:color w:val="000000" w:themeColor="text1"/>
                <w:kern w:val="0"/>
                <w:sz w:val="18"/>
                <w:szCs w:val="18"/>
                <w14:textFill>
                  <w14:solidFill>
                    <w14:schemeClr w14:val="tx1"/>
                  </w14:solidFill>
                </w14:textFill>
              </w:rPr>
              <w:t>计）</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≤0.28</w:t>
            </w:r>
          </w:p>
        </w:tc>
        <w:tc>
          <w:tcPr>
            <w:tcW w:w="1257" w:type="pct"/>
            <w:vMerge w:val="continue"/>
            <w:tcBorders>
              <w:left w:val="single" w:color="auto" w:sz="4" w:space="0"/>
              <w:right w:val="single" w:color="auto" w:sz="4" w:space="0"/>
            </w:tcBorders>
            <w:vAlign w:val="center"/>
          </w:tcPr>
          <w:p>
            <w:pPr>
              <w:snapToGrid w:val="0"/>
              <w:jc w:val="left"/>
              <w:rPr>
                <w:color w:val="000000" w:themeColor="text1"/>
                <w:sz w:val="20"/>
                <w:szCs w:val="20"/>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lang w:bidi="ar"/>
                <w14:textFill>
                  <w14:solidFill>
                    <w14:schemeClr w14:val="tx1"/>
                  </w14:solidFill>
                </w14:textFill>
              </w:rPr>
              <w:t>球团工序</w:t>
            </w: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颗粒物</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≤0.08</w:t>
            </w:r>
          </w:p>
        </w:tc>
        <w:tc>
          <w:tcPr>
            <w:tcW w:w="1257" w:type="pct"/>
            <w:vMerge w:val="continue"/>
            <w:tcBorders>
              <w:left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SO</w:t>
            </w:r>
            <w:r>
              <w:rPr>
                <w:color w:val="000000" w:themeColor="text1"/>
                <w:kern w:val="0"/>
                <w:sz w:val="18"/>
                <w:szCs w:val="18"/>
                <w:vertAlign w:val="subscript"/>
                <w14:textFill>
                  <w14:solidFill>
                    <w14:schemeClr w14:val="tx1"/>
                  </w14:solidFill>
                </w14:textFill>
              </w:rPr>
              <w:t>2</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≤0.13</w:t>
            </w:r>
          </w:p>
        </w:tc>
        <w:tc>
          <w:tcPr>
            <w:tcW w:w="1257"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NO</w:t>
            </w:r>
            <w:r>
              <w:rPr>
                <w:color w:val="000000" w:themeColor="text1"/>
                <w:kern w:val="0"/>
                <w:sz w:val="18"/>
                <w:szCs w:val="18"/>
                <w:vertAlign w:val="subscript"/>
                <w14:textFill>
                  <w14:solidFill>
                    <w14:schemeClr w14:val="tx1"/>
                  </w14:solidFill>
                </w14:textFill>
              </w:rPr>
              <w:t>X</w:t>
            </w:r>
            <w:r>
              <w:rPr>
                <w:color w:val="000000" w:themeColor="text1"/>
                <w:kern w:val="0"/>
                <w:sz w:val="18"/>
                <w:szCs w:val="18"/>
                <w14:textFill>
                  <w14:solidFill>
                    <w14:schemeClr w14:val="tx1"/>
                  </w14:solidFill>
                </w14:textFill>
              </w:rPr>
              <w:t>（以NO</w:t>
            </w:r>
            <w:r>
              <w:rPr>
                <w:color w:val="000000" w:themeColor="text1"/>
                <w:kern w:val="0"/>
                <w:sz w:val="18"/>
                <w:szCs w:val="18"/>
                <w:vertAlign w:val="subscript"/>
                <w14:textFill>
                  <w14:solidFill>
                    <w14:schemeClr w14:val="tx1"/>
                  </w14:solidFill>
                </w14:textFill>
              </w:rPr>
              <w:t>2</w:t>
            </w:r>
            <w:r>
              <w:rPr>
                <w:color w:val="000000" w:themeColor="text1"/>
                <w:kern w:val="0"/>
                <w:sz w:val="18"/>
                <w:szCs w:val="18"/>
                <w14:textFill>
                  <w14:solidFill>
                    <w14:schemeClr w14:val="tx1"/>
                  </w14:solidFill>
                </w14:textFill>
              </w:rPr>
              <w:t>计）</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≤0.25</w:t>
            </w:r>
          </w:p>
        </w:tc>
        <w:tc>
          <w:tcPr>
            <w:tcW w:w="1257" w:type="pct"/>
            <w:vMerge w:val="continue"/>
            <w:tcBorders>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18"/>
                <w:szCs w:val="18"/>
                <w:lang w:bidi="ar"/>
                <w14:textFill>
                  <w14:solidFill>
                    <w14:schemeClr w14:val="tx1"/>
                  </w14:solidFill>
                </w14:textFill>
              </w:rPr>
            </w:pPr>
            <w:r>
              <w:rPr>
                <w:color w:val="000000" w:themeColor="text1"/>
                <w:sz w:val="18"/>
                <w:szCs w:val="18"/>
                <w:lang w:bidi="ar"/>
                <w14:textFill>
                  <w14:solidFill>
                    <w14:schemeClr w14:val="tx1"/>
                  </w14:solidFill>
                </w14:textFill>
              </w:rPr>
              <w:t>高炉</w:t>
            </w:r>
          </w:p>
          <w:p>
            <w:pPr>
              <w:widowControl/>
              <w:snapToGrid w:val="0"/>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工序</w:t>
            </w: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颗粒物</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≤0.20</w:t>
            </w:r>
          </w:p>
        </w:tc>
        <w:tc>
          <w:tcPr>
            <w:tcW w:w="1257"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按照《钢铁行业（高炉炼铁）清洁生产评价指标体系》，并提供基础数据（按照一年生产周期计算平均值）</w:t>
            </w: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SO</w:t>
            </w:r>
            <w:r>
              <w:rPr>
                <w:color w:val="000000" w:themeColor="text1"/>
                <w:kern w:val="0"/>
                <w:sz w:val="18"/>
                <w:szCs w:val="18"/>
                <w:vertAlign w:val="subscript"/>
                <w14:textFill>
                  <w14:solidFill>
                    <w14:schemeClr w14:val="tx1"/>
                  </w14:solidFill>
                </w14:textFill>
              </w:rPr>
              <w:t>2</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≤0.10</w:t>
            </w:r>
          </w:p>
        </w:tc>
        <w:tc>
          <w:tcPr>
            <w:tcW w:w="1257" w:type="pct"/>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NO</w:t>
            </w:r>
            <w:r>
              <w:rPr>
                <w:color w:val="000000" w:themeColor="text1"/>
                <w:kern w:val="0"/>
                <w:sz w:val="18"/>
                <w:szCs w:val="18"/>
                <w:vertAlign w:val="subscript"/>
                <w14:textFill>
                  <w14:solidFill>
                    <w14:schemeClr w14:val="tx1"/>
                  </w14:solidFill>
                </w14:textFill>
              </w:rPr>
              <w:t>X</w:t>
            </w:r>
            <w:r>
              <w:rPr>
                <w:color w:val="000000" w:themeColor="text1"/>
                <w:kern w:val="0"/>
                <w:sz w:val="18"/>
                <w:szCs w:val="18"/>
                <w14:textFill>
                  <w14:solidFill>
                    <w14:schemeClr w14:val="tx1"/>
                  </w14:solidFill>
                </w14:textFill>
              </w:rPr>
              <w:t>（以NO</w:t>
            </w:r>
            <w:r>
              <w:rPr>
                <w:color w:val="000000" w:themeColor="text1"/>
                <w:kern w:val="0"/>
                <w:sz w:val="18"/>
                <w:szCs w:val="18"/>
                <w:vertAlign w:val="subscript"/>
                <w14:textFill>
                  <w14:solidFill>
                    <w14:schemeClr w14:val="tx1"/>
                  </w14:solidFill>
                </w14:textFill>
              </w:rPr>
              <w:t>2</w:t>
            </w:r>
            <w:r>
              <w:rPr>
                <w:color w:val="000000" w:themeColor="text1"/>
                <w:kern w:val="0"/>
                <w:sz w:val="18"/>
                <w:szCs w:val="18"/>
                <w14:textFill>
                  <w14:solidFill>
                    <w14:schemeClr w14:val="tx1"/>
                  </w14:solidFill>
                </w14:textFill>
              </w:rPr>
              <w:t>计）</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1257" w:type="pct"/>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转炉</w:t>
            </w:r>
          </w:p>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工序</w:t>
            </w: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颗粒物</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≤0.11</w:t>
            </w:r>
          </w:p>
        </w:tc>
        <w:tc>
          <w:tcPr>
            <w:tcW w:w="1257" w:type="pct"/>
            <w:vMerge w:val="restart"/>
            <w:tcBorders>
              <w:top w:val="single" w:color="auto" w:sz="4" w:space="0"/>
              <w:left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按照《钢铁行业（炼钢）清洁生产评价指标体系》，并提供基础数据（按照一年生产周期计算平均值）</w:t>
            </w: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电炉</w:t>
            </w:r>
          </w:p>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工序</w:t>
            </w: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颗粒物</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≤0.10</w:t>
            </w:r>
          </w:p>
        </w:tc>
        <w:tc>
          <w:tcPr>
            <w:tcW w:w="1257" w:type="pct"/>
            <w:vMerge w:val="continue"/>
            <w:tcBorders>
              <w:left w:val="single" w:color="auto" w:sz="4" w:space="0"/>
              <w:bottom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RKEF</w:t>
            </w:r>
          </w:p>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工序</w:t>
            </w: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颗粒物</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kg/t</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提供</w:t>
            </w:r>
            <w:r>
              <w:rPr>
                <w:rFonts w:hint="eastAsia"/>
                <w:color w:val="000000" w:themeColor="text1"/>
                <w:sz w:val="18"/>
                <w:szCs w:val="18"/>
                <w14:textFill>
                  <w14:solidFill>
                    <w14:schemeClr w14:val="tx1"/>
                  </w14:solidFill>
                </w14:textFill>
              </w:rPr>
              <w:t>吨产品</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不锈钢）颗粒物排放量证明</w:t>
            </w:r>
            <w:r>
              <w:rPr>
                <w:color w:val="000000" w:themeColor="text1"/>
                <w:sz w:val="18"/>
                <w:szCs w:val="18"/>
                <w14:textFill>
                  <w14:solidFill>
                    <w14:schemeClr w14:val="tx1"/>
                  </w14:solidFill>
                </w14:textFill>
              </w:rPr>
              <w:t>（按照一年生产周期计算平均值）</w:t>
            </w: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restart"/>
            <w:tcBorders>
              <w:top w:val="single" w:color="auto" w:sz="4" w:space="0"/>
              <w:left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酸洗</w:t>
            </w:r>
            <w:r>
              <w:rPr>
                <w:color w:val="000000" w:themeColor="text1"/>
                <w:kern w:val="0"/>
                <w:sz w:val="18"/>
                <w:szCs w:val="18"/>
                <w14:textFill>
                  <w14:solidFill>
                    <w14:schemeClr w14:val="tx1"/>
                  </w14:solidFill>
                </w14:textFill>
              </w:rPr>
              <w:t>工序</w:t>
            </w:r>
          </w:p>
        </w:tc>
        <w:tc>
          <w:tcPr>
            <w:tcW w:w="377" w:type="pct"/>
            <w:vMerge w:val="restart"/>
            <w:tcBorders>
              <w:top w:val="single" w:color="auto" w:sz="4" w:space="0"/>
              <w:left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硝酸雾</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酸洗机组</w:t>
            </w:r>
          </w:p>
        </w:tc>
        <w:tc>
          <w:tcPr>
            <w:tcW w:w="44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mg/m</w:t>
            </w:r>
            <w:r>
              <w:rPr>
                <w:color w:val="000000" w:themeColor="text1"/>
                <w:kern w:val="0"/>
                <w:sz w:val="18"/>
                <w:szCs w:val="18"/>
                <w:vertAlign w:val="superscript"/>
                <w14:textFill>
                  <w14:solidFill>
                    <w14:schemeClr w14:val="tx1"/>
                  </w14:solidFill>
                </w14:textFill>
              </w:rPr>
              <w:t>3</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150</w:t>
            </w:r>
          </w:p>
        </w:tc>
        <w:tc>
          <w:tcPr>
            <w:tcW w:w="1257" w:type="pct"/>
            <w:vMerge w:val="restart"/>
            <w:tcBorders>
              <w:top w:val="single" w:color="auto" w:sz="4" w:space="0"/>
              <w:left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提供</w:t>
            </w:r>
            <w:r>
              <w:rPr>
                <w:rFonts w:hint="eastAsia"/>
                <w:color w:val="000000" w:themeColor="text1"/>
                <w:sz w:val="18"/>
                <w:szCs w:val="18"/>
                <w14:textFill>
                  <w14:solidFill>
                    <w14:schemeClr w14:val="tx1"/>
                  </w14:solidFill>
                </w14:textFill>
              </w:rPr>
              <w:t>吨产品</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不锈钢）颗粒物排放量证明</w:t>
            </w:r>
            <w:r>
              <w:rPr>
                <w:color w:val="000000" w:themeColor="text1"/>
                <w:sz w:val="18"/>
                <w:szCs w:val="18"/>
                <w14:textFill>
                  <w14:solidFill>
                    <w14:schemeClr w14:val="tx1"/>
                  </w14:solidFill>
                </w14:textFill>
              </w:rPr>
              <w:t>（按照一年生产周期计算平均值）</w:t>
            </w: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left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p>
        </w:tc>
        <w:tc>
          <w:tcPr>
            <w:tcW w:w="377" w:type="pct"/>
            <w:vMerge w:val="continue"/>
            <w:tcBorders>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废酸再生</w:t>
            </w:r>
          </w:p>
        </w:tc>
        <w:tc>
          <w:tcPr>
            <w:tcW w:w="447" w:type="pct"/>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color w:val="000000" w:themeColor="text1"/>
                <w:kern w:val="0"/>
                <w:sz w:val="18"/>
                <w:szCs w:val="18"/>
                <w14:textFill>
                  <w14:solidFill>
                    <w14:schemeClr w14:val="tx1"/>
                  </w14:solidFill>
                </w14:textFill>
              </w:rPr>
              <w:t>mg/m</w:t>
            </w:r>
            <w:r>
              <w:rPr>
                <w:color w:val="000000" w:themeColor="text1"/>
                <w:kern w:val="0"/>
                <w:sz w:val="18"/>
                <w:szCs w:val="18"/>
                <w:vertAlign w:val="superscript"/>
                <w14:textFill>
                  <w14:solidFill>
                    <w14:schemeClr w14:val="tx1"/>
                  </w14:solidFill>
                </w14:textFill>
              </w:rPr>
              <w:t>3</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240</w:t>
            </w:r>
          </w:p>
        </w:tc>
        <w:tc>
          <w:tcPr>
            <w:tcW w:w="1257" w:type="pct"/>
            <w:vMerge w:val="continue"/>
            <w:tcBorders>
              <w:left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left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p>
        </w:tc>
        <w:tc>
          <w:tcPr>
            <w:tcW w:w="377" w:type="pct"/>
            <w:vMerge w:val="restart"/>
            <w:tcBorders>
              <w:top w:val="single" w:color="auto" w:sz="4" w:space="0"/>
              <w:left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氟化物</w:t>
            </w: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酸洗机组</w:t>
            </w:r>
          </w:p>
        </w:tc>
        <w:tc>
          <w:tcPr>
            <w:tcW w:w="447" w:type="pct"/>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color w:val="000000" w:themeColor="text1"/>
                <w:kern w:val="0"/>
                <w:sz w:val="18"/>
                <w:szCs w:val="18"/>
                <w14:textFill>
                  <w14:solidFill>
                    <w14:schemeClr w14:val="tx1"/>
                  </w14:solidFill>
                </w14:textFill>
              </w:rPr>
              <w:t>mg/m</w:t>
            </w:r>
            <w:r>
              <w:rPr>
                <w:color w:val="000000" w:themeColor="text1"/>
                <w:kern w:val="0"/>
                <w:sz w:val="18"/>
                <w:szCs w:val="18"/>
                <w:vertAlign w:val="superscript"/>
                <w14:textFill>
                  <w14:solidFill>
                    <w14:schemeClr w14:val="tx1"/>
                  </w14:solidFill>
                </w14:textFill>
              </w:rPr>
              <w:t>3</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w:t>
            </w:r>
          </w:p>
        </w:tc>
        <w:tc>
          <w:tcPr>
            <w:tcW w:w="1257" w:type="pct"/>
            <w:vMerge w:val="continue"/>
            <w:tcBorders>
              <w:left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left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p>
        </w:tc>
        <w:tc>
          <w:tcPr>
            <w:tcW w:w="377" w:type="pct"/>
            <w:vMerge w:val="continue"/>
            <w:tcBorders>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废酸再生</w:t>
            </w:r>
          </w:p>
        </w:tc>
        <w:tc>
          <w:tcPr>
            <w:tcW w:w="447" w:type="pct"/>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color w:val="000000" w:themeColor="text1"/>
                <w:kern w:val="0"/>
                <w:sz w:val="18"/>
                <w:szCs w:val="18"/>
                <w14:textFill>
                  <w14:solidFill>
                    <w14:schemeClr w14:val="tx1"/>
                  </w14:solidFill>
                </w14:textFill>
              </w:rPr>
              <w:t>mg/m</w:t>
            </w:r>
            <w:r>
              <w:rPr>
                <w:color w:val="000000" w:themeColor="text1"/>
                <w:kern w:val="0"/>
                <w:sz w:val="18"/>
                <w:szCs w:val="18"/>
                <w:vertAlign w:val="superscript"/>
                <w14:textFill>
                  <w14:solidFill>
                    <w14:schemeClr w14:val="tx1"/>
                  </w14:solidFill>
                </w14:textFill>
              </w:rPr>
              <w:t>3</w:t>
            </w: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9.0</w:t>
            </w:r>
          </w:p>
        </w:tc>
        <w:tc>
          <w:tcPr>
            <w:tcW w:w="1257" w:type="pct"/>
            <w:vMerge w:val="continue"/>
            <w:tcBorders>
              <w:left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53"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left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铬酸雾</w:t>
            </w:r>
          </w:p>
        </w:tc>
        <w:tc>
          <w:tcPr>
            <w:tcW w:w="447" w:type="pct"/>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color w:val="000000" w:themeColor="text1"/>
                <w:kern w:val="0"/>
                <w:sz w:val="18"/>
                <w:szCs w:val="18"/>
                <w14:textFill>
                  <w14:solidFill>
                    <w14:schemeClr w14:val="tx1"/>
                  </w14:solidFill>
                </w14:textFill>
              </w:rPr>
              <w:t>mg/m</w:t>
            </w:r>
            <w:r>
              <w:rPr>
                <w:color w:val="000000" w:themeColor="text1"/>
                <w:kern w:val="0"/>
                <w:sz w:val="18"/>
                <w:szCs w:val="18"/>
                <w:vertAlign w:val="superscript"/>
                <w14:textFill>
                  <w14:solidFill>
                    <w14:schemeClr w14:val="tx1"/>
                  </w14:solidFill>
                </w14:textFill>
              </w:rPr>
              <w:t>3</w:t>
            </w:r>
          </w:p>
        </w:tc>
        <w:tc>
          <w:tcPr>
            <w:tcW w:w="57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0.07</w:t>
            </w:r>
          </w:p>
        </w:tc>
        <w:tc>
          <w:tcPr>
            <w:tcW w:w="1257" w:type="pct"/>
            <w:vMerge w:val="continue"/>
            <w:tcBorders>
              <w:left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353" w:type="pct"/>
            <w:vMerge w:val="continue"/>
            <w:tcBorders>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598" w:type="pct"/>
            <w:vMerge w:val="continue"/>
            <w:tcBorders>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c>
          <w:tcPr>
            <w:tcW w:w="359" w:type="pct"/>
            <w:gridSpan w:val="2"/>
            <w:vMerge w:val="continue"/>
            <w:tcBorders>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p>
        </w:tc>
        <w:tc>
          <w:tcPr>
            <w:tcW w:w="905"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硫酸雾</w:t>
            </w:r>
          </w:p>
        </w:tc>
        <w:tc>
          <w:tcPr>
            <w:tcW w:w="447" w:type="pct"/>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color w:val="000000" w:themeColor="text1"/>
                <w:kern w:val="0"/>
                <w:sz w:val="18"/>
                <w:szCs w:val="18"/>
                <w14:textFill>
                  <w14:solidFill>
                    <w14:schemeClr w14:val="tx1"/>
                  </w14:solidFill>
                </w14:textFill>
              </w:rPr>
              <w:t>mg/m</w:t>
            </w:r>
            <w:r>
              <w:rPr>
                <w:color w:val="000000" w:themeColor="text1"/>
                <w:kern w:val="0"/>
                <w:sz w:val="18"/>
                <w:szCs w:val="18"/>
                <w:vertAlign w:val="superscript"/>
                <w14:textFill>
                  <w14:solidFill>
                    <w14:schemeClr w14:val="tx1"/>
                  </w14:solidFill>
                </w14:textFill>
              </w:rPr>
              <w:t>3</w:t>
            </w:r>
          </w:p>
        </w:tc>
        <w:tc>
          <w:tcPr>
            <w:tcW w:w="57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10</w:t>
            </w:r>
          </w:p>
        </w:tc>
        <w:tc>
          <w:tcPr>
            <w:tcW w:w="1257" w:type="pct"/>
            <w:vMerge w:val="continue"/>
            <w:tcBorders>
              <w:left w:val="single" w:color="auto" w:sz="4" w:space="0"/>
              <w:bottom w:val="single" w:color="auto" w:sz="4" w:space="0"/>
              <w:right w:val="single" w:color="auto" w:sz="4" w:space="0"/>
            </w:tcBorders>
            <w:vAlign w:val="center"/>
          </w:tcPr>
          <w:p>
            <w:pPr>
              <w:widowControl/>
              <w:snapToGrid w:val="0"/>
              <w:jc w:val="left"/>
              <w:rPr>
                <w:color w:val="000000" w:themeColor="text1"/>
                <w:sz w:val="18"/>
                <w:szCs w:val="18"/>
                <w14:textFill>
                  <w14:solidFill>
                    <w14:schemeClr w14:val="tx1"/>
                  </w14:solidFill>
                </w14:textFill>
              </w:rPr>
            </w:pPr>
          </w:p>
        </w:tc>
        <w:tc>
          <w:tcPr>
            <w:tcW w:w="502" w:type="pct"/>
            <w:vMerge w:val="continue"/>
            <w:tcBorders>
              <w:left w:val="single" w:color="auto" w:sz="4" w:space="0"/>
              <w:bottom w:val="single" w:color="auto" w:sz="4" w:space="0"/>
              <w:right w:val="single" w:color="auto" w:sz="4" w:space="0"/>
            </w:tcBorders>
            <w:vAlign w:val="center"/>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353"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r>
              <w:rPr>
                <w:color w:val="000000" w:themeColor="text1"/>
                <w:sz w:val="18"/>
                <w:szCs w:val="18"/>
                <w:lang w:bidi="ar"/>
                <w14:textFill>
                  <w14:solidFill>
                    <w14:schemeClr w14:val="tx1"/>
                  </w14:solidFill>
                </w14:textFill>
              </w:rPr>
              <w:t>产品属性</w:t>
            </w:r>
          </w:p>
        </w:tc>
        <w:tc>
          <w:tcPr>
            <w:tcW w:w="1863" w:type="pct"/>
            <w:gridSpan w:val="5"/>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杂质元素（S）</w:t>
            </w:r>
          </w:p>
        </w:tc>
        <w:tc>
          <w:tcPr>
            <w:tcW w:w="447" w:type="pc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p>
        </w:tc>
        <w:tc>
          <w:tcPr>
            <w:tcW w:w="579" w:type="pct"/>
            <w:tcBorders>
              <w:top w:val="single" w:color="auto" w:sz="4" w:space="0"/>
              <w:left w:val="single" w:color="auto" w:sz="4" w:space="0"/>
              <w:right w:val="single" w:color="auto" w:sz="4" w:space="0"/>
            </w:tcBorders>
            <w:vAlign w:val="center"/>
          </w:tcPr>
          <w:p>
            <w:pPr>
              <w:widowControl/>
              <w:snapToGrid w:val="0"/>
              <w:jc w:val="center"/>
              <w:rPr>
                <w:color w:val="FF0000"/>
                <w:kern w:val="0"/>
                <w:sz w:val="18"/>
                <w:szCs w:val="18"/>
              </w:rPr>
            </w:pPr>
            <w:r>
              <w:rPr>
                <w:rFonts w:hint="eastAsia"/>
                <w:color w:val="000000" w:themeColor="text1"/>
                <w:kern w:val="0"/>
                <w:sz w:val="18"/>
                <w:szCs w:val="18"/>
                <w14:textFill>
                  <w14:solidFill>
                    <w14:schemeClr w14:val="tx1"/>
                  </w14:solidFill>
                </w14:textFill>
              </w:rPr>
              <w:t>≤0.005</w:t>
            </w:r>
          </w:p>
        </w:tc>
        <w:tc>
          <w:tcPr>
            <w:tcW w:w="1257" w:type="pc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检测方法按照GB/T 223的规定，提供检测报告</w:t>
            </w:r>
          </w:p>
        </w:tc>
        <w:tc>
          <w:tcPr>
            <w:tcW w:w="502"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r>
              <w:rPr>
                <w:color w:val="000000" w:themeColor="text1"/>
                <w:sz w:val="18"/>
                <w:szCs w:val="18"/>
                <w:lang w:bidi="ar"/>
                <w14:textFill>
                  <w14:solidFill>
                    <w14:schemeClr w14:val="tx1"/>
                  </w14:solidFill>
                </w14:textFill>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1863" w:type="pct"/>
            <w:gridSpan w:val="5"/>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五害元素(</w:t>
            </w:r>
            <w:r>
              <w:rPr>
                <w:rFonts w:hint="eastAsia"/>
                <w:color w:val="000000" w:themeColor="text1"/>
                <w:kern w:val="0"/>
                <w:sz w:val="18"/>
                <w:szCs w:val="18"/>
                <w14:textFill>
                  <w14:solidFill>
                    <w14:schemeClr w14:val="tx1"/>
                  </w14:solidFill>
                </w14:textFill>
              </w:rPr>
              <w:t>As、Sn、Sb、Pb、Bi)</w:t>
            </w:r>
          </w:p>
        </w:tc>
        <w:tc>
          <w:tcPr>
            <w:tcW w:w="447" w:type="pc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ppm</w:t>
            </w:r>
          </w:p>
        </w:tc>
        <w:tc>
          <w:tcPr>
            <w:tcW w:w="579" w:type="pct"/>
            <w:tcBorders>
              <w:top w:val="single" w:color="auto" w:sz="4" w:space="0"/>
              <w:left w:val="single" w:color="auto" w:sz="4" w:space="0"/>
              <w:right w:val="single" w:color="auto" w:sz="4" w:space="0"/>
            </w:tcBorders>
            <w:vAlign w:val="center"/>
          </w:tcPr>
          <w:p>
            <w:pPr>
              <w:widowControl/>
              <w:snapToGrid w:val="0"/>
              <w:jc w:val="center"/>
              <w:rPr>
                <w:color w:val="FF0000"/>
                <w:kern w:val="0"/>
                <w:sz w:val="18"/>
                <w:szCs w:val="18"/>
              </w:rPr>
            </w:pPr>
            <w:r>
              <w:rPr>
                <w:rFonts w:hint="eastAsia"/>
                <w:color w:val="000000" w:themeColor="text1"/>
                <w:kern w:val="0"/>
                <w:sz w:val="18"/>
                <w:szCs w:val="18"/>
                <w14:textFill>
                  <w14:solidFill>
                    <w14:schemeClr w14:val="tx1"/>
                  </w14:solidFill>
                </w14:textFill>
              </w:rPr>
              <w:t>累计值≤200</w:t>
            </w:r>
          </w:p>
        </w:tc>
        <w:tc>
          <w:tcPr>
            <w:tcW w:w="1257" w:type="pc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检测方法按照GB/T 223的规定，提供检测报告</w:t>
            </w: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923" w:type="pct"/>
            <w:gridSpan w:val="2"/>
            <w:vMerge w:val="restart"/>
            <w:tcBorders>
              <w:top w:val="single" w:color="auto" w:sz="4" w:space="0"/>
              <w:left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点腐蚀</w:t>
            </w:r>
          </w:p>
        </w:tc>
        <w:tc>
          <w:tcPr>
            <w:tcW w:w="93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sz w:val="18"/>
                <w:szCs w:val="18"/>
              </w:rPr>
              <w:t>904L（S39042、N08904）</w:t>
            </w:r>
          </w:p>
        </w:tc>
        <w:tc>
          <w:tcPr>
            <w:tcW w:w="447" w:type="pc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g/(m</w:t>
            </w:r>
            <w:r>
              <w:rPr>
                <w:color w:val="000000" w:themeColor="text1"/>
                <w:sz w:val="18"/>
                <w:szCs w:val="18"/>
                <w:vertAlign w:val="superscript"/>
                <w14:textFill>
                  <w14:solidFill>
                    <w14:schemeClr w14:val="tx1"/>
                  </w14:solidFill>
                </w14:textFill>
              </w:rPr>
              <w:t xml:space="preserve">2 </w:t>
            </w:r>
            <w:r>
              <w:rPr>
                <w:color w:val="000000" w:themeColor="text1"/>
                <w:sz w:val="18"/>
                <w:szCs w:val="18"/>
                <w14:textFill>
                  <w14:solidFill>
                    <w14:schemeClr w14:val="tx1"/>
                  </w14:solidFill>
                </w14:textFill>
              </w:rPr>
              <w:t>·h)</w:t>
            </w:r>
          </w:p>
        </w:tc>
        <w:tc>
          <w:tcPr>
            <w:tcW w:w="579" w:type="pct"/>
            <w:tcBorders>
              <w:top w:val="single" w:color="auto" w:sz="4" w:space="0"/>
              <w:left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w:t>
            </w:r>
          </w:p>
        </w:tc>
        <w:tc>
          <w:tcPr>
            <w:tcW w:w="1257" w:type="pc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FF0000"/>
                <w:kern w:val="0"/>
                <w:sz w:val="18"/>
                <w:szCs w:val="18"/>
              </w:rPr>
              <w:t>检测方法用GB/T 17898的规定</w:t>
            </w:r>
            <w:r>
              <w:rPr>
                <w:rFonts w:hint="eastAsia"/>
                <w:color w:val="000000" w:themeColor="text1"/>
                <w:kern w:val="0"/>
                <w:sz w:val="18"/>
                <w:szCs w:val="18"/>
                <w14:textFill>
                  <w14:solidFill>
                    <w14:schemeClr w14:val="tx1"/>
                  </w14:solidFill>
                </w14:textFill>
              </w:rPr>
              <w:t>，试验温度按35±1℃，提供检测报告</w:t>
            </w: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923" w:type="pct"/>
            <w:gridSpan w:val="2"/>
            <w:vMerge w:val="continue"/>
            <w:tcBorders>
              <w:left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p>
        </w:tc>
        <w:tc>
          <w:tcPr>
            <w:tcW w:w="93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2205(S32205、S31803)</w:t>
            </w:r>
          </w:p>
        </w:tc>
        <w:tc>
          <w:tcPr>
            <w:tcW w:w="447" w:type="pc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mdd</w:t>
            </w:r>
          </w:p>
        </w:tc>
        <w:tc>
          <w:tcPr>
            <w:tcW w:w="579" w:type="pct"/>
            <w:tcBorders>
              <w:top w:val="single" w:color="auto" w:sz="4" w:space="0"/>
              <w:left w:val="single" w:color="auto" w:sz="4" w:space="0"/>
              <w:right w:val="single" w:color="auto" w:sz="4" w:space="0"/>
            </w:tcBorders>
            <w:vAlign w:val="center"/>
          </w:tcPr>
          <w:p>
            <w:pPr>
              <w:widowControl/>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257" w:type="pc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FF0000"/>
                <w:kern w:val="0"/>
                <w:sz w:val="18"/>
                <w:szCs w:val="18"/>
              </w:rPr>
              <w:t>检测方法用ASTM A923C法的规定</w:t>
            </w:r>
            <w:r>
              <w:rPr>
                <w:rFonts w:hint="eastAsia"/>
                <w:color w:val="000000" w:themeColor="text1"/>
                <w:kern w:val="0"/>
                <w:sz w:val="18"/>
                <w:szCs w:val="18"/>
                <w14:textFill>
                  <w14:solidFill>
                    <w14:schemeClr w14:val="tx1"/>
                  </w14:solidFill>
                </w14:textFill>
              </w:rPr>
              <w:t>，试验温度按25±1℃，提供检测报告</w:t>
            </w: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923" w:type="pct"/>
            <w:gridSpan w:val="2"/>
            <w:vMerge w:val="continue"/>
            <w:tcBorders>
              <w:left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p>
        </w:tc>
        <w:tc>
          <w:tcPr>
            <w:tcW w:w="93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S31254、N08367（N08926）</w:t>
            </w:r>
          </w:p>
        </w:tc>
        <w:tc>
          <w:tcPr>
            <w:tcW w:w="447" w:type="pc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g/(m</w:t>
            </w:r>
            <w:r>
              <w:rPr>
                <w:color w:val="000000" w:themeColor="text1"/>
                <w:sz w:val="18"/>
                <w:szCs w:val="18"/>
                <w:vertAlign w:val="superscript"/>
                <w14:textFill>
                  <w14:solidFill>
                    <w14:schemeClr w14:val="tx1"/>
                  </w14:solidFill>
                </w14:textFill>
              </w:rPr>
              <w:t xml:space="preserve">2 </w:t>
            </w:r>
            <w:r>
              <w:rPr>
                <w:color w:val="000000" w:themeColor="text1"/>
                <w:sz w:val="18"/>
                <w:szCs w:val="18"/>
                <w14:textFill>
                  <w14:solidFill>
                    <w14:schemeClr w14:val="tx1"/>
                  </w14:solidFill>
                </w14:textFill>
              </w:rPr>
              <w:t>·h)</w:t>
            </w:r>
          </w:p>
        </w:tc>
        <w:tc>
          <w:tcPr>
            <w:tcW w:w="579" w:type="pct"/>
            <w:tcBorders>
              <w:top w:val="single" w:color="auto" w:sz="4" w:space="0"/>
              <w:left w:val="single" w:color="auto" w:sz="4" w:space="0"/>
              <w:right w:val="single" w:color="auto" w:sz="4" w:space="0"/>
            </w:tcBorders>
            <w:vAlign w:val="center"/>
          </w:tcPr>
          <w:p>
            <w:pPr>
              <w:widowControl/>
              <w:snapToGrid w:val="0"/>
              <w:jc w:val="center"/>
              <w:rPr>
                <w:color w:val="FF0000"/>
                <w:kern w:val="0"/>
                <w:sz w:val="18"/>
                <w:szCs w:val="18"/>
              </w:rPr>
            </w:pPr>
            <w:r>
              <w:rPr>
                <w:rFonts w:hint="eastAsia"/>
                <w:color w:val="000000" w:themeColor="text1"/>
                <w:kern w:val="0"/>
                <w:sz w:val="18"/>
                <w:szCs w:val="18"/>
                <w14:textFill>
                  <w14:solidFill>
                    <w14:schemeClr w14:val="tx1"/>
                  </w14:solidFill>
                </w14:textFill>
              </w:rPr>
              <w:t>≤4</w:t>
            </w:r>
          </w:p>
        </w:tc>
        <w:tc>
          <w:tcPr>
            <w:tcW w:w="1257" w:type="pc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FF0000"/>
                <w:kern w:val="0"/>
                <w:sz w:val="18"/>
                <w:szCs w:val="18"/>
              </w:rPr>
              <w:t>检测方法用ASTM G48A法的规定</w:t>
            </w:r>
            <w:r>
              <w:rPr>
                <w:rFonts w:hint="eastAsia"/>
                <w:color w:val="000000" w:themeColor="text1"/>
                <w:kern w:val="0"/>
                <w:sz w:val="18"/>
                <w:szCs w:val="18"/>
                <w14:textFill>
                  <w14:solidFill>
                    <w14:schemeClr w14:val="tx1"/>
                  </w14:solidFill>
                </w14:textFill>
              </w:rPr>
              <w:t>，试验温度按22±1℃，提供检测报告</w:t>
            </w: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923" w:type="pct"/>
            <w:gridSpan w:val="2"/>
            <w:vMerge w:val="continue"/>
            <w:tcBorders>
              <w:left w:val="single" w:color="auto" w:sz="4" w:space="0"/>
              <w:bottom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p>
        </w:tc>
        <w:tc>
          <w:tcPr>
            <w:tcW w:w="93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2507(S32750)</w:t>
            </w:r>
          </w:p>
        </w:tc>
        <w:tc>
          <w:tcPr>
            <w:tcW w:w="447" w:type="pc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mdd</w:t>
            </w:r>
          </w:p>
        </w:tc>
        <w:tc>
          <w:tcPr>
            <w:tcW w:w="579" w:type="pct"/>
            <w:tcBorders>
              <w:top w:val="single" w:color="auto" w:sz="4" w:space="0"/>
              <w:left w:val="single" w:color="auto" w:sz="4" w:space="0"/>
              <w:right w:val="single" w:color="auto" w:sz="4" w:space="0"/>
            </w:tcBorders>
            <w:vAlign w:val="center"/>
          </w:tcPr>
          <w:p>
            <w:pPr>
              <w:widowControl/>
              <w:snapToGrid w:val="0"/>
              <w:jc w:val="center"/>
              <w:rPr>
                <w:color w:val="FF0000"/>
                <w:kern w:val="0"/>
                <w:sz w:val="18"/>
                <w:szCs w:val="18"/>
              </w:rPr>
            </w:pPr>
            <w:r>
              <w:rPr>
                <w:rFonts w:hint="eastAsia"/>
                <w:color w:val="000000" w:themeColor="text1"/>
                <w:sz w:val="18"/>
                <w:szCs w:val="18"/>
                <w14:textFill>
                  <w14:solidFill>
                    <w14:schemeClr w14:val="tx1"/>
                  </w14:solidFill>
                </w14:textFill>
              </w:rPr>
              <w:t>≤10</w:t>
            </w:r>
          </w:p>
        </w:tc>
        <w:tc>
          <w:tcPr>
            <w:tcW w:w="1257" w:type="pc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FF0000"/>
                <w:kern w:val="0"/>
                <w:sz w:val="18"/>
                <w:szCs w:val="18"/>
              </w:rPr>
              <w:t>检测方法用ASTM A923C法的规定</w:t>
            </w:r>
            <w:r>
              <w:rPr>
                <w:rFonts w:hint="eastAsia"/>
                <w:color w:val="000000" w:themeColor="text1"/>
                <w:kern w:val="0"/>
                <w:sz w:val="18"/>
                <w:szCs w:val="18"/>
                <w14:textFill>
                  <w14:solidFill>
                    <w14:schemeClr w14:val="tx1"/>
                  </w14:solidFill>
                </w14:textFill>
              </w:rPr>
              <w:t>，试验温度按25±1℃，提供检测报告</w:t>
            </w: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923" w:type="pct"/>
            <w:gridSpan w:val="2"/>
            <w:vMerge w:val="restart"/>
            <w:tcBorders>
              <w:top w:val="single" w:color="auto" w:sz="4" w:space="0"/>
              <w:left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冲击</w:t>
            </w:r>
            <w:r>
              <w:rPr>
                <w:rFonts w:hint="eastAsia"/>
                <w:color w:val="000000" w:themeColor="text1"/>
                <w:sz w:val="18"/>
                <w:szCs w:val="18"/>
                <w14:textFill>
                  <w14:solidFill>
                    <w14:schemeClr w14:val="tx1"/>
                  </w14:solidFill>
                </w14:textFill>
              </w:rPr>
              <w:t>吸收能量</w:t>
            </w:r>
          </w:p>
        </w:tc>
        <w:tc>
          <w:tcPr>
            <w:tcW w:w="93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奥氏体（-196℃）</w:t>
            </w:r>
          </w:p>
        </w:tc>
        <w:tc>
          <w:tcPr>
            <w:tcW w:w="447" w:type="pct"/>
            <w:vMerge w:val="restar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J</w:t>
            </w:r>
          </w:p>
        </w:tc>
        <w:tc>
          <w:tcPr>
            <w:tcW w:w="579" w:type="pc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w:t>
            </w:r>
          </w:p>
        </w:tc>
        <w:tc>
          <w:tcPr>
            <w:tcW w:w="1257" w:type="pct"/>
            <w:vMerge w:val="restart"/>
            <w:tcBorders>
              <w:top w:val="single" w:color="auto" w:sz="4" w:space="0"/>
              <w:left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检测方法用GB/T 229的规定，提供检测报告</w:t>
            </w: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923" w:type="pct"/>
            <w:gridSpan w:val="2"/>
            <w:vMerge w:val="continue"/>
            <w:tcBorders>
              <w:left w:val="single" w:color="auto" w:sz="4" w:space="0"/>
              <w:bottom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p>
        </w:tc>
        <w:tc>
          <w:tcPr>
            <w:tcW w:w="93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双相钢(-40℃)</w:t>
            </w:r>
          </w:p>
        </w:tc>
        <w:tc>
          <w:tcPr>
            <w:tcW w:w="447" w:type="pct"/>
            <w:vMerge w:val="continue"/>
            <w:tcBorders>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p>
        </w:tc>
        <w:tc>
          <w:tcPr>
            <w:tcW w:w="579" w:type="pct"/>
            <w:tcBorders>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w:t>
            </w:r>
          </w:p>
        </w:tc>
        <w:tc>
          <w:tcPr>
            <w:tcW w:w="1257" w:type="pct"/>
            <w:vMerge w:val="continue"/>
            <w:tcBorders>
              <w:left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923" w:type="pct"/>
            <w:gridSpan w:val="2"/>
            <w:vMerge w:val="restart"/>
            <w:tcBorders>
              <w:top w:val="single" w:color="auto" w:sz="4" w:space="0"/>
              <w:left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PREN</w:t>
            </w:r>
          </w:p>
        </w:tc>
        <w:tc>
          <w:tcPr>
            <w:tcW w:w="93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2507（S32750）</w:t>
            </w:r>
          </w:p>
        </w:tc>
        <w:tc>
          <w:tcPr>
            <w:tcW w:w="447" w:type="pct"/>
            <w:vMerge w:val="restar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579" w:type="pc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w:t>
            </w:r>
          </w:p>
        </w:tc>
        <w:tc>
          <w:tcPr>
            <w:tcW w:w="1257" w:type="pct"/>
            <w:vMerge w:val="restart"/>
            <w:tcBorders>
              <w:top w:val="single" w:color="auto" w:sz="4" w:space="0"/>
              <w:left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PREN=Cr+3.3×Mo+16×N</w:t>
            </w: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923" w:type="pct"/>
            <w:gridSpan w:val="2"/>
            <w:vMerge w:val="continue"/>
            <w:tcBorders>
              <w:left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p>
        </w:tc>
        <w:tc>
          <w:tcPr>
            <w:tcW w:w="93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2205(S32205、S31803)</w:t>
            </w:r>
          </w:p>
        </w:tc>
        <w:tc>
          <w:tcPr>
            <w:tcW w:w="447" w:type="pct"/>
            <w:vMerge w:val="continue"/>
            <w:tcBorders>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p>
        </w:tc>
        <w:tc>
          <w:tcPr>
            <w:tcW w:w="579" w:type="pct"/>
            <w:tcBorders>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34</w:t>
            </w:r>
          </w:p>
        </w:tc>
        <w:tc>
          <w:tcPr>
            <w:tcW w:w="1257" w:type="pct"/>
            <w:vMerge w:val="continue"/>
            <w:tcBorders>
              <w:left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923" w:type="pct"/>
            <w:gridSpan w:val="2"/>
            <w:vMerge w:val="continue"/>
            <w:tcBorders>
              <w:left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p>
        </w:tc>
        <w:tc>
          <w:tcPr>
            <w:tcW w:w="93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sz w:val="18"/>
                <w:szCs w:val="18"/>
              </w:rPr>
              <w:t>904L（S39042、N08904）</w:t>
            </w:r>
          </w:p>
        </w:tc>
        <w:tc>
          <w:tcPr>
            <w:tcW w:w="447" w:type="pct"/>
            <w:vMerge w:val="continue"/>
            <w:tcBorders>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p>
        </w:tc>
        <w:tc>
          <w:tcPr>
            <w:tcW w:w="579" w:type="pct"/>
            <w:tcBorders>
              <w:top w:val="single" w:color="auto" w:sz="4" w:space="0"/>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33</w:t>
            </w:r>
          </w:p>
        </w:tc>
        <w:tc>
          <w:tcPr>
            <w:tcW w:w="1257" w:type="pct"/>
            <w:vMerge w:val="continue"/>
            <w:tcBorders>
              <w:left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353"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c>
          <w:tcPr>
            <w:tcW w:w="923" w:type="pct"/>
            <w:gridSpan w:val="2"/>
            <w:vMerge w:val="continue"/>
            <w:tcBorders>
              <w:left w:val="single" w:color="auto" w:sz="4" w:space="0"/>
              <w:bottom w:val="single" w:color="auto" w:sz="4" w:space="0"/>
              <w:right w:val="single" w:color="auto" w:sz="4" w:space="0"/>
            </w:tcBorders>
            <w:vAlign w:val="center"/>
          </w:tcPr>
          <w:p>
            <w:pPr>
              <w:snapToGrid w:val="0"/>
              <w:jc w:val="center"/>
              <w:rPr>
                <w:color w:val="000000" w:themeColor="text1"/>
                <w:kern w:val="0"/>
                <w:sz w:val="18"/>
                <w:szCs w:val="18"/>
                <w14:textFill>
                  <w14:solidFill>
                    <w14:schemeClr w14:val="tx1"/>
                  </w14:solidFill>
                </w14:textFill>
              </w:rPr>
            </w:pPr>
          </w:p>
        </w:tc>
        <w:tc>
          <w:tcPr>
            <w:tcW w:w="93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S31254、N08367、N08926</w:t>
            </w:r>
          </w:p>
        </w:tc>
        <w:tc>
          <w:tcPr>
            <w:tcW w:w="447" w:type="pct"/>
            <w:vMerge w:val="continue"/>
            <w:tcBorders>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p>
        </w:tc>
        <w:tc>
          <w:tcPr>
            <w:tcW w:w="579" w:type="pct"/>
            <w:tcBorders>
              <w:left w:val="single" w:color="auto" w:sz="4" w:space="0"/>
              <w:right w:val="single" w:color="auto" w:sz="4" w:space="0"/>
            </w:tcBorders>
            <w:vAlign w:val="center"/>
          </w:tcPr>
          <w:p>
            <w:pPr>
              <w:widowControl/>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42</w:t>
            </w:r>
          </w:p>
        </w:tc>
        <w:tc>
          <w:tcPr>
            <w:tcW w:w="1257" w:type="pct"/>
            <w:vMerge w:val="continue"/>
            <w:tcBorders>
              <w:left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p>
        </w:tc>
        <w:tc>
          <w:tcPr>
            <w:tcW w:w="502" w:type="pct"/>
            <w:vMerge w:val="continue"/>
            <w:tcBorders>
              <w:left w:val="single" w:color="auto" w:sz="4" w:space="0"/>
              <w:right w:val="single" w:color="auto" w:sz="4" w:space="0"/>
            </w:tcBorders>
            <w:vAlign w:val="center"/>
          </w:tcPr>
          <w:p>
            <w:pPr>
              <w:jc w:val="center"/>
              <w:rPr>
                <w:color w:val="000000" w:themeColor="text1"/>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5000" w:type="pct"/>
            <w:gridSpan w:val="10"/>
            <w:vAlign w:val="center"/>
          </w:tcPr>
          <w:p>
            <w:pPr>
              <w:widowControl/>
              <w:snapToGrid w:val="0"/>
              <w:spacing w:line="276" w:lineRule="auto"/>
              <w:jc w:val="left"/>
              <w:rPr>
                <w:color w:val="000000" w:themeColor="text1"/>
                <w:kern w:val="0"/>
                <w:sz w:val="18"/>
                <w:szCs w:val="18"/>
                <w14:textFill>
                  <w14:solidFill>
                    <w14:schemeClr w14:val="tx1"/>
                  </w14:solidFill>
                </w14:textFill>
              </w:rPr>
            </w:pPr>
            <w:r>
              <w:rPr>
                <w:color w:val="000000" w:themeColor="text1"/>
                <w:sz w:val="18"/>
                <w:szCs w:val="18"/>
                <w:vertAlign w:val="superscript"/>
                <w14:textFill>
                  <w14:solidFill>
                    <w14:schemeClr w14:val="tx1"/>
                  </w14:solidFill>
                </w14:textFill>
              </w:rPr>
              <w:t>a</w:t>
            </w:r>
            <w:r>
              <w:rPr>
                <w:rFonts w:hint="eastAsia"/>
                <w:color w:val="000000" w:themeColor="text1"/>
                <w:sz w:val="18"/>
                <w:szCs w:val="18"/>
                <w14:textFill>
                  <w14:solidFill>
                    <w14:schemeClr w14:val="tx1"/>
                  </w14:solidFill>
                </w14:textFill>
              </w:rPr>
              <w:t>不包括Consteel</w:t>
            </w:r>
            <w:r>
              <w:rPr>
                <w:color w:val="000000" w:themeColor="text1"/>
                <w:sz w:val="18"/>
                <w:szCs w:val="18"/>
                <w14:textFill>
                  <w14:solidFill>
                    <w14:schemeClr w14:val="tx1"/>
                  </w14:solidFill>
                </w14:textFill>
              </w:rPr>
              <w:t>炉，且指无</w:t>
            </w:r>
            <w:r>
              <w:rPr>
                <w:rFonts w:hint="eastAsia"/>
                <w:color w:val="000000" w:themeColor="text1"/>
                <w:sz w:val="18"/>
                <w:szCs w:val="18"/>
                <w14:textFill>
                  <w14:solidFill>
                    <w14:schemeClr w14:val="tx1"/>
                  </w14:solidFill>
                </w14:textFill>
              </w:rPr>
              <w:t>预</w:t>
            </w:r>
            <w:r>
              <w:rPr>
                <w:color w:val="000000" w:themeColor="text1"/>
                <w:sz w:val="18"/>
                <w:szCs w:val="18"/>
                <w14:textFill>
                  <w14:solidFill>
                    <w14:schemeClr w14:val="tx1"/>
                  </w14:solidFill>
                </w14:textFill>
              </w:rPr>
              <w:t>热电弧炉</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全废钢法炉料组成应为</w:t>
            </w:r>
            <w:r>
              <w:rPr>
                <w:rFonts w:hint="eastAsia"/>
                <w:color w:val="000000" w:themeColor="text1"/>
                <w:sz w:val="18"/>
                <w:szCs w:val="18"/>
                <w14:textFill>
                  <w14:solidFill>
                    <w14:schemeClr w14:val="tx1"/>
                  </w14:solidFill>
                </w14:textFill>
              </w:rPr>
              <w:t>85</w:t>
            </w:r>
            <w:r>
              <w:rPr>
                <w:color w:val="000000" w:themeColor="text1"/>
                <w:sz w:val="18"/>
                <w:szCs w:val="18"/>
                <w14:textFill>
                  <w14:solidFill>
                    <w14:schemeClr w14:val="tx1"/>
                  </w14:solidFill>
                </w14:textFill>
              </w:rPr>
              <w:t>%废钢、15%生铁</w:t>
            </w:r>
            <w:r>
              <w:rPr>
                <w:rFonts w:hint="eastAsia"/>
                <w:color w:val="000000" w:themeColor="text1"/>
                <w:sz w:val="18"/>
                <w:szCs w:val="18"/>
                <w14:textFill>
                  <w14:solidFill>
                    <w14:schemeClr w14:val="tx1"/>
                  </w14:solidFill>
                </w14:textFill>
              </w:rPr>
              <w:t>每减少</w:t>
            </w:r>
            <w:r>
              <w:rPr>
                <w:color w:val="000000" w:themeColor="text1"/>
                <w:sz w:val="18"/>
                <w:szCs w:val="18"/>
                <w14:textFill>
                  <w14:solidFill>
                    <w14:schemeClr w14:val="tx1"/>
                  </w14:solidFill>
                </w14:textFill>
              </w:rPr>
              <w:t>或增加生铁</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则</w:t>
            </w:r>
            <w:r>
              <w:rPr>
                <w:rFonts w:hint="eastAsia"/>
                <w:color w:val="000000" w:themeColor="text1"/>
                <w:sz w:val="18"/>
                <w:szCs w:val="18"/>
                <w14:textFill>
                  <w14:solidFill>
                    <w14:schemeClr w14:val="tx1"/>
                  </w14:solidFill>
                </w14:textFill>
              </w:rPr>
              <w:t>能耗</w:t>
            </w:r>
            <w:r>
              <w:rPr>
                <w:color w:val="000000" w:themeColor="text1"/>
                <w:sz w:val="18"/>
                <w:szCs w:val="18"/>
                <w14:textFill>
                  <w14:solidFill>
                    <w14:schemeClr w14:val="tx1"/>
                  </w14:solidFill>
                </w14:textFill>
              </w:rPr>
              <w:t>指标相应增加或减少0.1475 kgce/t。</w:t>
            </w:r>
            <w:r>
              <w:rPr>
                <w:rFonts w:hint="eastAsia"/>
                <w:color w:val="000000" w:themeColor="text1"/>
                <w:sz w:val="18"/>
                <w:szCs w:val="18"/>
                <w14:textFill>
                  <w14:solidFill>
                    <w14:schemeClr w14:val="tx1"/>
                  </w14:solidFill>
                </w14:textFill>
              </w:rPr>
              <w:t>炉料</w:t>
            </w:r>
            <w:r>
              <w:rPr>
                <w:color w:val="000000" w:themeColor="text1"/>
                <w:sz w:val="18"/>
                <w:szCs w:val="18"/>
                <w14:textFill>
                  <w14:solidFill>
                    <w14:schemeClr w14:val="tx1"/>
                  </w14:solidFill>
                </w14:textFill>
              </w:rPr>
              <w:t>中若</w:t>
            </w:r>
            <w:r>
              <w:rPr>
                <w:rFonts w:hint="eastAsia"/>
                <w:color w:val="000000" w:themeColor="text1"/>
                <w:sz w:val="18"/>
                <w:szCs w:val="18"/>
                <w14:textFill>
                  <w14:solidFill>
                    <w14:schemeClr w14:val="tx1"/>
                  </w14:solidFill>
                </w14:textFill>
              </w:rPr>
              <w:t>配加直接还原铁</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金属</w:t>
            </w:r>
            <w:r>
              <w:rPr>
                <w:color w:val="000000" w:themeColor="text1"/>
                <w:sz w:val="18"/>
                <w:szCs w:val="18"/>
                <w14:textFill>
                  <w14:solidFill>
                    <w14:schemeClr w14:val="tx1"/>
                  </w14:solidFill>
                </w14:textFill>
              </w:rPr>
              <w:t>化率</w:t>
            </w:r>
            <w:r>
              <w:rPr>
                <w:rFonts w:hint="eastAsia"/>
                <w:color w:val="000000" w:themeColor="text1"/>
                <w:sz w:val="18"/>
                <w:szCs w:val="18"/>
                <w14:textFill>
                  <w14:solidFill>
                    <w14:schemeClr w14:val="tx1"/>
                  </w14:solidFill>
                </w14:textFill>
              </w:rPr>
              <w:t>93.1</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96.3%）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每增加</w:t>
            </w:r>
            <w:r>
              <w:rPr>
                <w:rFonts w:hint="eastAsia"/>
                <w:color w:val="000000" w:themeColor="text1"/>
                <w:sz w:val="18"/>
                <w:szCs w:val="18"/>
                <w14:textFill>
                  <w14:solidFill>
                    <w14:schemeClr w14:val="tx1"/>
                  </w14:solidFill>
                </w14:textFill>
              </w:rPr>
              <w:t>10</w:t>
            </w:r>
            <w:r>
              <w:rPr>
                <w:color w:val="000000" w:themeColor="text1"/>
                <w:sz w:val="18"/>
                <w:szCs w:val="18"/>
                <w14:textFill>
                  <w14:solidFill>
                    <w14:schemeClr w14:val="tx1"/>
                  </w14:solidFill>
                </w14:textFill>
              </w:rPr>
              <w:t>%直接还原铁，能耗指标相应增加</w:t>
            </w:r>
            <w:r>
              <w:rPr>
                <w:rFonts w:hint="eastAsia"/>
                <w:color w:val="000000" w:themeColor="text1"/>
                <w:sz w:val="18"/>
                <w:szCs w:val="18"/>
                <w14:textFill>
                  <w14:solidFill>
                    <w14:schemeClr w14:val="tx1"/>
                  </w14:solidFill>
                </w14:textFill>
              </w:rPr>
              <w:t>0.7620</w:t>
            </w:r>
            <w:r>
              <w:rPr>
                <w:color w:val="000000" w:themeColor="text1"/>
                <w:sz w:val="18"/>
                <w:szCs w:val="18"/>
                <w14:textFill>
                  <w14:solidFill>
                    <w14:schemeClr w14:val="tx1"/>
                  </w14:solidFill>
                </w14:textFill>
              </w:rPr>
              <w:t xml:space="preserve"> kgce/t。</w:t>
            </w:r>
          </w:p>
          <w:p>
            <w:pPr>
              <w:widowControl/>
              <w:snapToGrid w:val="0"/>
              <w:spacing w:line="276" w:lineRule="auto"/>
              <w:jc w:val="left"/>
              <w:rPr>
                <w:color w:val="000000" w:themeColor="text1"/>
                <w:kern w:val="0"/>
                <w:sz w:val="18"/>
                <w:szCs w:val="18"/>
                <w14:textFill>
                  <w14:solidFill>
                    <w14:schemeClr w14:val="tx1"/>
                  </w14:solidFill>
                </w14:textFill>
              </w:rPr>
            </w:pPr>
            <w:r>
              <w:rPr>
                <w:color w:val="000000" w:themeColor="text1"/>
                <w:sz w:val="18"/>
                <w:szCs w:val="18"/>
                <w:vertAlign w:val="superscript"/>
                <w14:textFill>
                  <w14:solidFill>
                    <w14:schemeClr w14:val="tx1"/>
                  </w14:solidFill>
                </w14:textFill>
              </w:rPr>
              <w:t>b</w:t>
            </w:r>
            <w:r>
              <w:rPr>
                <w:rFonts w:hint="eastAsia"/>
                <w:color w:val="000000" w:themeColor="text1"/>
                <w:sz w:val="18"/>
                <w:szCs w:val="18"/>
                <w14:textFill>
                  <w14:solidFill>
                    <w14:schemeClr w14:val="tx1"/>
                  </w14:solidFill>
                </w14:textFill>
              </w:rPr>
              <w:t>不包括Consteel</w:t>
            </w:r>
            <w:r>
              <w:rPr>
                <w:color w:val="000000" w:themeColor="text1"/>
                <w:sz w:val="18"/>
                <w:szCs w:val="18"/>
                <w14:textFill>
                  <w14:solidFill>
                    <w14:schemeClr w14:val="tx1"/>
                  </w14:solidFill>
                </w14:textFill>
              </w:rPr>
              <w:t>炉，且指无</w:t>
            </w:r>
            <w:r>
              <w:rPr>
                <w:rFonts w:hint="eastAsia"/>
                <w:color w:val="000000" w:themeColor="text1"/>
                <w:sz w:val="18"/>
                <w:szCs w:val="18"/>
                <w14:textFill>
                  <w14:solidFill>
                    <w14:schemeClr w14:val="tx1"/>
                  </w14:solidFill>
                </w14:textFill>
              </w:rPr>
              <w:t>预</w:t>
            </w:r>
            <w:r>
              <w:rPr>
                <w:color w:val="000000" w:themeColor="text1"/>
                <w:sz w:val="18"/>
                <w:szCs w:val="18"/>
                <w14:textFill>
                  <w14:solidFill>
                    <w14:schemeClr w14:val="tx1"/>
                  </w14:solidFill>
                </w14:textFill>
              </w:rPr>
              <w:t>热电弧炉</w:t>
            </w:r>
            <w:r>
              <w:rPr>
                <w:rFonts w:hint="eastAsia"/>
                <w:color w:val="000000" w:themeColor="text1"/>
                <w:sz w:val="18"/>
                <w:szCs w:val="18"/>
                <w14:textFill>
                  <w14:solidFill>
                    <w14:schemeClr w14:val="tx1"/>
                  </w14:solidFill>
                </w14:textFill>
              </w:rPr>
              <w:t>，铁水比不大于50</w:t>
            </w:r>
            <w:r>
              <w:rPr>
                <w:color w:val="000000" w:themeColor="text1"/>
                <w:sz w:val="18"/>
                <w:szCs w:val="18"/>
                <w14:textFill>
                  <w14:solidFill>
                    <w14:schemeClr w14:val="tx1"/>
                  </w14:solidFill>
                </w14:textFill>
              </w:rPr>
              <w:t>%时，</w:t>
            </w:r>
            <w:r>
              <w:rPr>
                <w:rFonts w:hint="eastAsia"/>
                <w:color w:val="000000" w:themeColor="text1"/>
                <w:sz w:val="18"/>
                <w:szCs w:val="18"/>
                <w14:textFill>
                  <w14:solidFill>
                    <w14:schemeClr w14:val="tx1"/>
                  </w14:solidFill>
                </w14:textFill>
              </w:rPr>
              <w:t>配加</w:t>
            </w:r>
            <w:r>
              <w:rPr>
                <w:color w:val="000000" w:themeColor="text1"/>
                <w:sz w:val="18"/>
                <w:szCs w:val="18"/>
                <w14:textFill>
                  <w14:solidFill>
                    <w14:schemeClr w14:val="tx1"/>
                  </w14:solidFill>
                </w14:textFill>
              </w:rPr>
              <w:t>铁水量</w:t>
            </w:r>
            <w:r>
              <w:rPr>
                <w:rFonts w:hint="eastAsia"/>
                <w:color w:val="000000" w:themeColor="text1"/>
                <w:sz w:val="18"/>
                <w:szCs w:val="18"/>
                <w14:textFill>
                  <w14:solidFill>
                    <w14:schemeClr w14:val="tx1"/>
                  </w14:solidFill>
                </w14:textFill>
              </w:rPr>
              <w:t>每</w:t>
            </w:r>
            <w:r>
              <w:rPr>
                <w:color w:val="000000" w:themeColor="text1"/>
                <w:sz w:val="18"/>
                <w:szCs w:val="18"/>
                <w14:textFill>
                  <w14:solidFill>
                    <w14:schemeClr w14:val="tx1"/>
                  </w14:solidFill>
                </w14:textFill>
              </w:rPr>
              <w:t>增加或</w:t>
            </w:r>
            <w:r>
              <w:rPr>
                <w:rFonts w:hint="eastAsia"/>
                <w:color w:val="000000" w:themeColor="text1"/>
                <w:sz w:val="18"/>
                <w:szCs w:val="18"/>
                <w14:textFill>
                  <w14:solidFill>
                    <w14:schemeClr w14:val="tx1"/>
                  </w14:solidFill>
                </w14:textFill>
              </w:rPr>
              <w:t>减少1</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，相应能耗</w:t>
            </w:r>
            <w:r>
              <w:rPr>
                <w:color w:val="000000" w:themeColor="text1"/>
                <w:sz w:val="18"/>
                <w:szCs w:val="18"/>
                <w14:textFill>
                  <w14:solidFill>
                    <w14:schemeClr w14:val="tx1"/>
                  </w14:solidFill>
                </w14:textFill>
              </w:rPr>
              <w:t>减少或增加0.5727 kgce/t。</w:t>
            </w:r>
            <w:r>
              <w:rPr>
                <w:rFonts w:hint="eastAsia"/>
                <w:color w:val="000000" w:themeColor="text1"/>
                <w:sz w:val="18"/>
                <w:szCs w:val="18"/>
                <w14:textFill>
                  <w14:solidFill>
                    <w14:schemeClr w14:val="tx1"/>
                  </w14:solidFill>
                </w14:textFill>
              </w:rPr>
              <w:t>炉料</w:t>
            </w:r>
            <w:r>
              <w:rPr>
                <w:color w:val="000000" w:themeColor="text1"/>
                <w:sz w:val="18"/>
                <w:szCs w:val="18"/>
                <w14:textFill>
                  <w14:solidFill>
                    <w14:schemeClr w14:val="tx1"/>
                  </w14:solidFill>
                </w14:textFill>
              </w:rPr>
              <w:t>中若</w:t>
            </w:r>
            <w:r>
              <w:rPr>
                <w:rFonts w:hint="eastAsia"/>
                <w:color w:val="000000" w:themeColor="text1"/>
                <w:sz w:val="18"/>
                <w:szCs w:val="18"/>
                <w14:textFill>
                  <w14:solidFill>
                    <w14:schemeClr w14:val="tx1"/>
                  </w14:solidFill>
                </w14:textFill>
              </w:rPr>
              <w:t>配加直接还原铁</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金属</w:t>
            </w:r>
            <w:r>
              <w:rPr>
                <w:color w:val="000000" w:themeColor="text1"/>
                <w:sz w:val="18"/>
                <w:szCs w:val="18"/>
                <w14:textFill>
                  <w14:solidFill>
                    <w14:schemeClr w14:val="tx1"/>
                  </w14:solidFill>
                </w14:textFill>
              </w:rPr>
              <w:t>化率</w:t>
            </w:r>
            <w:r>
              <w:rPr>
                <w:rFonts w:hint="eastAsia"/>
                <w:color w:val="000000" w:themeColor="text1"/>
                <w:sz w:val="18"/>
                <w:szCs w:val="18"/>
                <w14:textFill>
                  <w14:solidFill>
                    <w14:schemeClr w14:val="tx1"/>
                  </w14:solidFill>
                </w14:textFill>
              </w:rPr>
              <w:t>93.1</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96.3%）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每增加</w:t>
            </w:r>
            <w:r>
              <w:rPr>
                <w:rFonts w:hint="eastAsia"/>
                <w:color w:val="000000" w:themeColor="text1"/>
                <w:sz w:val="18"/>
                <w:szCs w:val="18"/>
                <w14:textFill>
                  <w14:solidFill>
                    <w14:schemeClr w14:val="tx1"/>
                  </w14:solidFill>
                </w14:textFill>
              </w:rPr>
              <w:t>10</w:t>
            </w:r>
            <w:r>
              <w:rPr>
                <w:color w:val="000000" w:themeColor="text1"/>
                <w:sz w:val="18"/>
                <w:szCs w:val="18"/>
                <w14:textFill>
                  <w14:solidFill>
                    <w14:schemeClr w14:val="tx1"/>
                  </w14:solidFill>
                </w14:textFill>
              </w:rPr>
              <w:t>%直接还原铁，能耗指标相应增加</w:t>
            </w:r>
            <w:r>
              <w:rPr>
                <w:rFonts w:hint="eastAsia"/>
                <w:color w:val="000000" w:themeColor="text1"/>
                <w:sz w:val="18"/>
                <w:szCs w:val="18"/>
                <w14:textFill>
                  <w14:solidFill>
                    <w14:schemeClr w14:val="tx1"/>
                  </w14:solidFill>
                </w14:textFill>
              </w:rPr>
              <w:t>0.7620</w:t>
            </w:r>
            <w:r>
              <w:rPr>
                <w:color w:val="000000" w:themeColor="text1"/>
                <w:sz w:val="18"/>
                <w:szCs w:val="18"/>
                <w14:textFill>
                  <w14:solidFill>
                    <w14:schemeClr w14:val="tx1"/>
                  </w14:solidFill>
                </w14:textFill>
              </w:rPr>
              <w:t xml:space="preserve"> kgce/t。</w:t>
            </w:r>
          </w:p>
        </w:tc>
      </w:tr>
    </w:tbl>
    <w:p>
      <w:pPr>
        <w:pStyle w:val="54"/>
        <w:ind w:left="0"/>
        <w:rPr>
          <w:rFonts w:ascii="Times New Roman"/>
          <w:szCs w:val="22"/>
        </w:rPr>
      </w:pPr>
      <w:r>
        <w:rPr>
          <w:rFonts w:ascii="Times New Roman"/>
          <w:szCs w:val="22"/>
        </w:rPr>
        <w:t>检验方法和指标计算方法</w:t>
      </w:r>
    </w:p>
    <w:p>
      <w:pPr>
        <w:pStyle w:val="22"/>
        <w:rPr>
          <w:rFonts w:ascii="Times New Roman"/>
        </w:rPr>
      </w:pPr>
      <w:r>
        <w:rPr>
          <w:rFonts w:ascii="Times New Roman"/>
        </w:rPr>
        <w:t>本文件的各项指标的采集和检测按国家标准检测方法执行。相关数据处理和计算方法按照表1判定依据中的方法执行。</w:t>
      </w:r>
    </w:p>
    <w:p>
      <w:pPr>
        <w:pStyle w:val="52"/>
        <w:rPr>
          <w:rFonts w:ascii="Times New Roman"/>
          <w:szCs w:val="22"/>
        </w:rPr>
      </w:pPr>
      <w:r>
        <w:rPr>
          <w:rFonts w:ascii="Times New Roman"/>
          <w:szCs w:val="22"/>
        </w:rPr>
        <w:t>生命周期评价报告编制方法</w:t>
      </w:r>
    </w:p>
    <w:p>
      <w:pPr>
        <w:pStyle w:val="54"/>
        <w:ind w:left="0"/>
        <w:rPr>
          <w:rFonts w:ascii="Times New Roman"/>
          <w:szCs w:val="22"/>
        </w:rPr>
      </w:pPr>
      <w:r>
        <w:rPr>
          <w:rFonts w:ascii="Times New Roman"/>
          <w:szCs w:val="22"/>
        </w:rPr>
        <w:t>编制依据</w:t>
      </w:r>
    </w:p>
    <w:p>
      <w:pPr>
        <w:pStyle w:val="30"/>
        <w:widowControl/>
        <w:tabs>
          <w:tab w:val="center" w:pos="4201"/>
          <w:tab w:val="right" w:leader="dot" w:pos="9298"/>
        </w:tabs>
        <w:autoSpaceDE w:val="0"/>
        <w:autoSpaceDN w:val="0"/>
        <w:ind w:firstLine="420" w:firstLineChars="200"/>
        <w:rPr>
          <w:sz w:val="21"/>
        </w:rPr>
      </w:pPr>
      <w:r>
        <w:rPr>
          <w:rFonts w:hint="eastAsia"/>
          <w:sz w:val="21"/>
        </w:rPr>
        <w:t>应依据</w:t>
      </w:r>
      <w:r>
        <w:rPr>
          <w:sz w:val="21"/>
        </w:rPr>
        <w:t>附录</w:t>
      </w:r>
      <w:r>
        <w:rPr>
          <w:rFonts w:hint="eastAsia"/>
          <w:sz w:val="21"/>
        </w:rPr>
        <w:t>B</w:t>
      </w:r>
      <w:r>
        <w:rPr>
          <w:sz w:val="21"/>
        </w:rPr>
        <w:t>中的</w:t>
      </w:r>
      <w:r>
        <w:rPr>
          <w:rFonts w:hint="eastAsia"/>
          <w:sz w:val="21"/>
        </w:rPr>
        <w:t>海洋工程用不锈钢钢板及钢带</w:t>
      </w:r>
      <w:r>
        <w:rPr>
          <w:sz w:val="21"/>
        </w:rPr>
        <w:t>产品生命周期评价方法框架建立生命周期评价方法学，并依据此方法学编制生命周期评价报告。</w:t>
      </w:r>
    </w:p>
    <w:p>
      <w:pPr>
        <w:pStyle w:val="54"/>
        <w:ind w:left="0"/>
        <w:rPr>
          <w:rFonts w:ascii="Times New Roman"/>
          <w:szCs w:val="22"/>
        </w:rPr>
      </w:pPr>
      <w:r>
        <w:rPr>
          <w:rFonts w:hint="eastAsia" w:ascii="Times New Roman"/>
          <w:szCs w:val="22"/>
        </w:rPr>
        <w:t>报告内容框架</w:t>
      </w:r>
    </w:p>
    <w:p>
      <w:pPr>
        <w:pStyle w:val="56"/>
        <w:spacing w:before="156" w:after="156"/>
        <w:ind w:left="0"/>
        <w:rPr>
          <w:rFonts w:ascii="Times New Roman"/>
        </w:rPr>
      </w:pPr>
      <w:r>
        <w:rPr>
          <w:rFonts w:ascii="Times New Roman"/>
        </w:rPr>
        <w:t>基本信息</w:t>
      </w:r>
    </w:p>
    <w:p>
      <w:pPr>
        <w:pStyle w:val="30"/>
        <w:widowControl/>
        <w:tabs>
          <w:tab w:val="center" w:pos="4201"/>
          <w:tab w:val="right" w:leader="dot" w:pos="9298"/>
        </w:tabs>
        <w:autoSpaceDE w:val="0"/>
        <w:autoSpaceDN w:val="0"/>
        <w:ind w:firstLine="420" w:firstLineChars="20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等，采用的标准信息应包括标准名称及标准号。</w:t>
      </w:r>
    </w:p>
    <w:p>
      <w:pPr>
        <w:pStyle w:val="56"/>
        <w:spacing w:before="156" w:after="156"/>
        <w:ind w:left="0"/>
        <w:rPr>
          <w:rFonts w:ascii="Times New Roman"/>
        </w:rPr>
      </w:pPr>
      <w:r>
        <w:rPr>
          <w:rFonts w:ascii="Times New Roman"/>
        </w:rPr>
        <w:t>符合性评价</w:t>
      </w:r>
    </w:p>
    <w:p>
      <w:pPr>
        <w:pStyle w:val="30"/>
        <w:widowControl/>
        <w:tabs>
          <w:tab w:val="center" w:pos="4201"/>
          <w:tab w:val="right" w:leader="dot" w:pos="9298"/>
        </w:tabs>
        <w:autoSpaceDE w:val="0"/>
        <w:autoSpaceDN w:val="0"/>
        <w:ind w:firstLine="420" w:firstLineChars="20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rPr>
        <w:t>海洋工程用不锈钢钢板及钢带</w:t>
      </w:r>
      <w:r>
        <w:rPr>
          <w:sz w:val="21"/>
        </w:rPr>
        <w:t>产品参与评价的上一年；基期为一个对照年份，一般比报告期提前1年。</w:t>
      </w:r>
    </w:p>
    <w:p>
      <w:pPr>
        <w:pStyle w:val="56"/>
        <w:spacing w:before="156" w:after="156"/>
        <w:ind w:left="0"/>
        <w:rPr>
          <w:rFonts w:ascii="Times New Roman"/>
        </w:rPr>
      </w:pPr>
      <w:r>
        <w:rPr>
          <w:rFonts w:hint="eastAsia" w:ascii="Times New Roman"/>
        </w:rPr>
        <w:t>生命周期评价</w:t>
      </w:r>
    </w:p>
    <w:p>
      <w:pPr>
        <w:pStyle w:val="78"/>
        <w:spacing w:before="156" w:after="156"/>
        <w:ind w:left="0"/>
      </w:pPr>
      <w:r>
        <w:t>评价对象及工具</w:t>
      </w:r>
    </w:p>
    <w:p>
      <w:pPr>
        <w:pStyle w:val="30"/>
        <w:widowControl/>
        <w:tabs>
          <w:tab w:val="center" w:pos="4201"/>
          <w:tab w:val="right" w:leader="dot" w:pos="9298"/>
        </w:tabs>
        <w:autoSpaceDE w:val="0"/>
        <w:autoSpaceDN w:val="0"/>
        <w:ind w:firstLine="420" w:firstLineChars="200"/>
        <w:rPr>
          <w:sz w:val="21"/>
        </w:rPr>
      </w:pPr>
      <w:r>
        <w:rPr>
          <w:sz w:val="21"/>
        </w:rPr>
        <w:t>报告中应详细描述评估的对象、功能单位和产品主要功能，提供</w:t>
      </w:r>
      <w:r>
        <w:rPr>
          <w:rFonts w:hint="eastAsia"/>
          <w:sz w:val="21"/>
        </w:rPr>
        <w:t>海洋工程用不锈钢钢板及钢带</w:t>
      </w:r>
      <w:r>
        <w:rPr>
          <w:sz w:val="21"/>
        </w:rPr>
        <w:t>的原材料构成及主要技术参数表，绘制并说明</w:t>
      </w:r>
      <w:r>
        <w:rPr>
          <w:rFonts w:hint="eastAsia"/>
          <w:sz w:val="21"/>
        </w:rPr>
        <w:t>海洋工程用不锈钢钢板及钢带</w:t>
      </w:r>
      <w:r>
        <w:rPr>
          <w:sz w:val="21"/>
        </w:rPr>
        <w:t>的系统边界，披露所使用的基于生命周期数据库的工具。</w:t>
      </w:r>
    </w:p>
    <w:p>
      <w:pPr>
        <w:pStyle w:val="30"/>
        <w:widowControl/>
        <w:tabs>
          <w:tab w:val="center" w:pos="4201"/>
          <w:tab w:val="right" w:leader="dot" w:pos="9298"/>
        </w:tabs>
        <w:autoSpaceDE w:val="0"/>
        <w:autoSpaceDN w:val="0"/>
        <w:ind w:firstLine="420" w:firstLineChars="200"/>
        <w:rPr>
          <w:sz w:val="21"/>
        </w:rPr>
      </w:pPr>
      <w:r>
        <w:rPr>
          <w:sz w:val="21"/>
        </w:rPr>
        <w:t>本文件以“1t</w:t>
      </w:r>
      <w:r>
        <w:rPr>
          <w:rFonts w:hint="eastAsia"/>
          <w:sz w:val="21"/>
        </w:rPr>
        <w:t>海洋工程用不锈钢钢板及钢带</w:t>
      </w:r>
      <w:r>
        <w:rPr>
          <w:sz w:val="21"/>
        </w:rPr>
        <w:t>”为功能单位来表示。</w:t>
      </w:r>
    </w:p>
    <w:p>
      <w:pPr>
        <w:pStyle w:val="78"/>
        <w:spacing w:before="156" w:after="156"/>
        <w:ind w:left="0"/>
      </w:pPr>
      <w:r>
        <w:t>生命周期清单分析</w:t>
      </w:r>
    </w:p>
    <w:p>
      <w:pPr>
        <w:pStyle w:val="30"/>
        <w:widowControl/>
        <w:tabs>
          <w:tab w:val="center" w:pos="4201"/>
          <w:tab w:val="right" w:leader="dot" w:pos="9298"/>
        </w:tabs>
        <w:autoSpaceDE w:val="0"/>
        <w:autoSpaceDN w:val="0"/>
        <w:ind w:firstLine="420" w:firstLineChars="200"/>
        <w:rPr>
          <w:sz w:val="21"/>
        </w:rPr>
      </w:pPr>
      <w:r>
        <w:rPr>
          <w:sz w:val="21"/>
        </w:rPr>
        <w:t>报告中应提供考虑的生命周期阶段，说明每个阶段所考虑的清单因子及收集到的现场数据或背景数据，涉及到数据分配的情况应说明分配方法和结果。</w:t>
      </w:r>
    </w:p>
    <w:p>
      <w:pPr>
        <w:pStyle w:val="78"/>
        <w:spacing w:before="156" w:after="156"/>
        <w:ind w:left="0"/>
      </w:pPr>
      <w:r>
        <w:t>生命周期影响评价</w:t>
      </w:r>
    </w:p>
    <w:p>
      <w:pPr>
        <w:pStyle w:val="30"/>
        <w:widowControl/>
        <w:tabs>
          <w:tab w:val="center" w:pos="4201"/>
          <w:tab w:val="right" w:leader="dot" w:pos="9298"/>
        </w:tabs>
        <w:autoSpaceDE w:val="0"/>
        <w:autoSpaceDN w:val="0"/>
        <w:ind w:firstLine="420" w:firstLineChars="200"/>
        <w:rPr>
          <w:sz w:val="21"/>
        </w:rPr>
      </w:pPr>
      <w:r>
        <w:rPr>
          <w:sz w:val="21"/>
        </w:rPr>
        <w:t>报告中应提供</w:t>
      </w:r>
      <w:r>
        <w:rPr>
          <w:rFonts w:hint="eastAsia"/>
          <w:sz w:val="21"/>
        </w:rPr>
        <w:t>海洋工程用不锈钢钢板及钢带</w:t>
      </w:r>
      <w:r>
        <w:rPr>
          <w:sz w:val="21"/>
        </w:rPr>
        <w:t>生命周期各阶段的不同影响类型的特征化值，并对不同影响类型在各生命周期阶段的分布情况进行比较分析。</w:t>
      </w:r>
    </w:p>
    <w:p>
      <w:pPr>
        <w:pStyle w:val="56"/>
        <w:spacing w:before="156" w:after="156"/>
        <w:ind w:left="0"/>
        <w:rPr>
          <w:rFonts w:ascii="Times New Roman"/>
        </w:rPr>
      </w:pPr>
      <w:r>
        <w:rPr>
          <w:rFonts w:hint="eastAsia" w:ascii="Times New Roman"/>
        </w:rPr>
        <w:t>绿色设计改进方案</w:t>
      </w:r>
    </w:p>
    <w:p>
      <w:pPr>
        <w:pStyle w:val="30"/>
        <w:widowControl/>
        <w:tabs>
          <w:tab w:val="center" w:pos="4201"/>
          <w:tab w:val="right" w:leader="dot" w:pos="9298"/>
        </w:tabs>
        <w:autoSpaceDE w:val="0"/>
        <w:autoSpaceDN w:val="0"/>
        <w:ind w:firstLine="420" w:firstLineChars="200"/>
        <w:rPr>
          <w:sz w:val="21"/>
        </w:rPr>
      </w:pPr>
      <w:r>
        <w:rPr>
          <w:sz w:val="21"/>
        </w:rPr>
        <w:t>在分析指标的符合性评价结果以及生命周期评价结果的基础上，提出</w:t>
      </w:r>
      <w:r>
        <w:rPr>
          <w:rFonts w:hint="eastAsia"/>
          <w:sz w:val="21"/>
        </w:rPr>
        <w:t>海洋工程用不锈钢钢板及钢带</w:t>
      </w:r>
      <w:r>
        <w:rPr>
          <w:sz w:val="21"/>
        </w:rPr>
        <w:t>绿色设计改进的具体方案。</w:t>
      </w:r>
    </w:p>
    <w:p>
      <w:pPr>
        <w:pStyle w:val="56"/>
        <w:spacing w:before="156" w:after="156"/>
        <w:ind w:left="0"/>
        <w:rPr>
          <w:rFonts w:ascii="Times New Roman"/>
        </w:rPr>
      </w:pPr>
      <w:r>
        <w:rPr>
          <w:rFonts w:hint="eastAsia" w:ascii="Times New Roman"/>
        </w:rPr>
        <w:t>评价报告主要结论</w:t>
      </w:r>
    </w:p>
    <w:p>
      <w:pPr>
        <w:pStyle w:val="30"/>
        <w:widowControl/>
        <w:tabs>
          <w:tab w:val="center" w:pos="4201"/>
          <w:tab w:val="right" w:leader="dot" w:pos="9298"/>
        </w:tabs>
        <w:autoSpaceDE w:val="0"/>
        <w:autoSpaceDN w:val="0"/>
        <w:ind w:firstLine="420" w:firstLineChars="200"/>
        <w:rPr>
          <w:sz w:val="21"/>
        </w:rPr>
      </w:pPr>
      <w:r>
        <w:rPr>
          <w:sz w:val="21"/>
        </w:rPr>
        <w:t>应说明</w:t>
      </w:r>
      <w:r>
        <w:rPr>
          <w:rFonts w:hint="eastAsia"/>
          <w:sz w:val="21"/>
        </w:rPr>
        <w:t>海洋工程用不锈钢钢板及钢带</w:t>
      </w:r>
      <w:r>
        <w:rPr>
          <w:sz w:val="21"/>
        </w:rPr>
        <w:t>对评价指标的符合性结论、生命周期评价结果、提出的改进方案，并根据评价结论初步判断</w:t>
      </w:r>
      <w:r>
        <w:rPr>
          <w:rFonts w:hint="eastAsia"/>
          <w:sz w:val="21"/>
        </w:rPr>
        <w:t>海洋工程用不锈钢钢板及钢带</w:t>
      </w:r>
      <w:r>
        <w:rPr>
          <w:sz w:val="21"/>
        </w:rPr>
        <w:t>是否为绿色设计产品。</w:t>
      </w:r>
    </w:p>
    <w:p>
      <w:pPr>
        <w:pStyle w:val="56"/>
        <w:spacing w:before="156" w:after="156"/>
        <w:ind w:left="0"/>
        <w:rPr>
          <w:rFonts w:ascii="Times New Roman"/>
        </w:rPr>
      </w:pPr>
      <w:r>
        <w:rPr>
          <w:rFonts w:hint="eastAsia" w:ascii="Times New Roman"/>
        </w:rPr>
        <w:t>附件</w:t>
      </w:r>
    </w:p>
    <w:p>
      <w:pPr>
        <w:pStyle w:val="30"/>
        <w:widowControl/>
        <w:tabs>
          <w:tab w:val="center" w:pos="4201"/>
          <w:tab w:val="right" w:leader="dot" w:pos="9298"/>
        </w:tabs>
        <w:autoSpaceDE w:val="0"/>
        <w:autoSpaceDN w:val="0"/>
        <w:ind w:firstLine="420" w:firstLineChars="200"/>
        <w:rPr>
          <w:sz w:val="21"/>
        </w:rPr>
      </w:pPr>
      <w:r>
        <w:rPr>
          <w:sz w:val="21"/>
        </w:rPr>
        <w:t>报告中应在附件中提供：</w:t>
      </w:r>
    </w:p>
    <w:p>
      <w:pPr>
        <w:pStyle w:val="30"/>
        <w:widowControl/>
        <w:tabs>
          <w:tab w:val="center" w:pos="4201"/>
          <w:tab w:val="right" w:leader="dot" w:pos="9298"/>
        </w:tabs>
        <w:autoSpaceDE w:val="0"/>
        <w:autoSpaceDN w:val="0"/>
        <w:ind w:firstLine="420" w:firstLineChars="200"/>
        <w:rPr>
          <w:sz w:val="21"/>
        </w:rPr>
      </w:pPr>
      <w:r>
        <w:rPr>
          <w:sz w:val="21"/>
        </w:rPr>
        <w:t>——产品生产</w:t>
      </w:r>
      <w:r>
        <w:rPr>
          <w:rFonts w:hint="eastAsia"/>
          <w:sz w:val="21"/>
        </w:rPr>
        <w:t>原、辅料清单</w:t>
      </w:r>
      <w:r>
        <w:rPr>
          <w:sz w:val="21"/>
        </w:rPr>
        <w:t>；</w:t>
      </w:r>
    </w:p>
    <w:p>
      <w:pPr>
        <w:pStyle w:val="30"/>
        <w:widowControl/>
        <w:tabs>
          <w:tab w:val="center" w:pos="4201"/>
          <w:tab w:val="right" w:leader="dot" w:pos="9298"/>
        </w:tabs>
        <w:autoSpaceDE w:val="0"/>
        <w:autoSpaceDN w:val="0"/>
        <w:ind w:firstLine="420" w:firstLineChars="200"/>
        <w:rPr>
          <w:sz w:val="21"/>
        </w:rPr>
      </w:pPr>
      <w:r>
        <w:rPr>
          <w:sz w:val="21"/>
        </w:rPr>
        <w:t>——产品工艺表（产品生产工艺过程示意图等）；</w:t>
      </w:r>
    </w:p>
    <w:p>
      <w:pPr>
        <w:pStyle w:val="30"/>
        <w:widowControl/>
        <w:tabs>
          <w:tab w:val="center" w:pos="4201"/>
          <w:tab w:val="right" w:leader="dot" w:pos="9298"/>
        </w:tabs>
        <w:autoSpaceDE w:val="0"/>
        <w:autoSpaceDN w:val="0"/>
        <w:ind w:firstLine="420" w:firstLineChars="200"/>
        <w:rPr>
          <w:sz w:val="21"/>
        </w:rPr>
      </w:pPr>
      <w:r>
        <w:rPr>
          <w:sz w:val="21"/>
        </w:rPr>
        <w:t>——各单元过程的数据收集表（见附录</w:t>
      </w:r>
      <w:r>
        <w:rPr>
          <w:rFonts w:hint="eastAsia"/>
          <w:sz w:val="21"/>
        </w:rPr>
        <w:t>C</w:t>
      </w:r>
      <w:r>
        <w:rPr>
          <w:sz w:val="21"/>
        </w:rPr>
        <w:t>）；</w:t>
      </w: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r>
        <w:rPr>
          <w:sz w:val="21"/>
        </w:rPr>
        <w:t>——其他。</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hint="eastAsia" w:eastAsia="黑体"/>
          <w:kern w:val="0"/>
          <w:sz w:val="21"/>
          <w:szCs w:val="20"/>
          <w:lang w:bidi="ar"/>
        </w:rPr>
        <w:t>评价指标计算方法</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单位产品取水量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生产过程中的用水量，计算时按照1年生产为周期计算平均值。每生产1吨海洋工程用不锈钢钢板及钢带所消耗的新水量，按照公式（A.1）计算：</w:t>
      </w:r>
    </w:p>
    <w:p>
      <w:pPr>
        <w:pStyle w:val="30"/>
        <w:widowControl/>
        <w:tabs>
          <w:tab w:val="center" w:pos="4201"/>
          <w:tab w:val="right" w:leader="dot" w:pos="9298"/>
        </w:tabs>
        <w:autoSpaceDE w:val="0"/>
        <w:autoSpaceDN w:val="0"/>
        <w:ind w:firstLine="420" w:firstLineChars="200"/>
        <w:jc w:val="right"/>
        <w:rPr>
          <w:rFonts w:hint="eastAsia" w:hAnsi="Cambria Math"/>
          <w:sz w:val="21"/>
        </w:rPr>
      </w:pPr>
      <m:oMath>
        <m:r>
          <m:rPr>
            <m:sty m:val="p"/>
          </m:rPr>
          <w:rPr>
            <w:rFonts w:hint="eastAsia" w:ascii="Cambria Math" w:hAnsi="Cambria Math"/>
            <w:sz w:val="21"/>
          </w:rPr>
          <m:t>V=</m:t>
        </m:r>
        <m:f>
          <m:fPr>
            <m:ctrlPr>
              <w:rPr>
                <w:rFonts w:hint="eastAsia" w:ascii="Cambria Math" w:hAnsi="Cambria Math"/>
                <w:sz w:val="21"/>
              </w:rPr>
            </m:ctrlPr>
          </m:fPr>
          <m:num>
            <m:sSub>
              <m:sSubPr>
                <m:ctrlPr>
                  <w:rPr>
                    <w:rFonts w:ascii="Cambria Math" w:hAnsi="Cambria Math"/>
                    <w:sz w:val="21"/>
                  </w:rPr>
                </m:ctrlPr>
              </m:sSubPr>
              <m:e>
                <m:r>
                  <m:rPr>
                    <m:sty m:val="p"/>
                  </m:rPr>
                  <w:rPr>
                    <w:rFonts w:ascii="Cambria Math" w:hAnsi="Cambria Math"/>
                    <w:sz w:val="21"/>
                  </w:rPr>
                  <m:t>V</m:t>
                </m:r>
                <m:ctrlPr>
                  <w:rPr>
                    <w:rFonts w:ascii="Cambria Math" w:hAnsi="Cambria Math"/>
                    <w:sz w:val="21"/>
                  </w:rPr>
                </m:ctrlPr>
              </m:e>
              <m:sub>
                <m:r>
                  <m:rPr>
                    <m:sty m:val="p"/>
                  </m:rPr>
                  <w:rPr>
                    <w:rFonts w:hint="eastAsia" w:ascii="Cambria Math" w:hAnsi="Cambria Math"/>
                    <w:sz w:val="21"/>
                  </w:rPr>
                  <m:t>i</m:t>
                </m:r>
                <m:ctrlPr>
                  <w:rPr>
                    <w:rFonts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M</m:t>
                </m:r>
                <m:ctrlPr>
                  <w:rPr>
                    <w:rFonts w:hint="eastAsia" w:ascii="Cambria Math" w:hAnsi="Cambria Math"/>
                    <w:sz w:val="21"/>
                  </w:rPr>
                </m:ctrlPr>
              </m:e>
              <m:sub>
                <m:r>
                  <m:rPr>
                    <m:sty m:val="p"/>
                  </m:rPr>
                  <w:rPr>
                    <w:rFonts w:hint="eastAsia" w:ascii="Cambria Math" w:hAnsi="Cambria Math"/>
                    <w:sz w:val="21"/>
                  </w:rPr>
                  <m:t>c</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rPr>
        <w:t>海洋工程用不锈钢钢板及钢带取新水量，</w:t>
      </w:r>
      <w:r>
        <w:t>单位为</w:t>
      </w:r>
      <w:r>
        <w:rPr>
          <w:rFonts w:hint="eastAsia"/>
        </w:rPr>
        <w:t>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V</m:t>
            </m:r>
            <m:ctrlPr>
              <w:rPr>
                <w:rFonts w:ascii="Cambria Math" w:hAnsi="Cambria Math"/>
                <w:i/>
                <w:vertAlign w:val="subscript"/>
                <w:lang w:bidi="ar"/>
              </w:rPr>
            </m:ctrlPr>
          </m:e>
          <m:sub>
            <m:r>
              <m:rPr/>
              <w:rPr>
                <w:rFonts w:ascii="Cambria Math" w:hAnsi="Cambria Math"/>
                <w:vertAlign w:val="subscript"/>
                <w:lang w:bidi="ar"/>
              </w:rPr>
              <m:t>i</m:t>
            </m:r>
            <m:ctrlPr>
              <w:rPr>
                <w:rFonts w:ascii="Cambria Math" w:hAnsi="Cambria Math"/>
                <w:i/>
                <w:vertAlign w:val="subscript"/>
                <w:lang w:bidi="ar"/>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rPr>
        <w:t>海洋工程用不锈钢钢板及钢带生产取新水量，单位为立方米（m</w:t>
      </w:r>
      <w:r>
        <w:rPr>
          <w:rFonts w:hint="eastAsia"/>
          <w:vertAlign w:val="superscript"/>
        </w:rPr>
        <w:t>3</w:t>
      </w:r>
      <w:r>
        <w:rPr>
          <w:rFonts w:hint="eastAsia"/>
        </w:rPr>
        <w:t>）</w:t>
      </w:r>
      <w:r>
        <w:rPr>
          <w:lang w:bidi="ar"/>
        </w:rPr>
        <w:t>；</w:t>
      </w:r>
    </w:p>
    <w:p>
      <w:pPr>
        <w:ind w:firstLine="420" w:firstLineChars="200"/>
        <w:rPr>
          <w:rFonts w:hint="eastAsia" w:hAnsi="Cambria Math"/>
        </w:rPr>
      </w:pPr>
      <m:oMath>
        <m:sSub>
          <m:sSubPr>
            <m:ctrlPr>
              <w:rPr>
                <w:rFonts w:ascii="Cambria Math" w:hAnsi="Cambria Math"/>
                <w:i/>
                <w:lang w:bidi="ar"/>
              </w:rPr>
            </m:ctrlPr>
          </m:sSubPr>
          <m:e>
            <m:r>
              <m:rPr/>
              <w:rPr>
                <w:rFonts w:ascii="Cambria Math" w:hAnsi="Cambria Math"/>
                <w:lang w:bidi="ar"/>
              </w:rPr>
              <m:t>M</m:t>
            </m:r>
            <m:ctrlPr>
              <w:rPr>
                <w:rFonts w:ascii="Cambria Math" w:hAnsi="Cambria Math"/>
                <w:i/>
                <w:lang w:bidi="ar"/>
              </w:rPr>
            </m:ctrlPr>
          </m:e>
          <m:sub>
            <m:r>
              <m:rPr/>
              <w:rPr>
                <w:rFonts w:ascii="Cambria Math" w:hAnsi="Cambria Math"/>
                <w:lang w:bidi="ar"/>
              </w:rPr>
              <m:t>c</m:t>
            </m:r>
            <m:ctrlPr>
              <w:rPr>
                <w:rFonts w:ascii="Cambria Math" w:hAnsi="Cambria Math"/>
                <w:i/>
                <w:lang w:bidi="ar"/>
              </w:rPr>
            </m:ctrlPr>
          </m:sub>
        </m:sSub>
      </m:oMath>
      <w:r>
        <w:rPr>
          <w:rFonts w:hint="eastAsia" w:hAnsi="Cambria Math"/>
          <w:lang w:bidi="ar"/>
        </w:rPr>
        <w:t xml:space="preserve"> </w:t>
      </w:r>
      <w:r>
        <w:rPr>
          <w:lang w:bidi="ar"/>
        </w:rPr>
        <w:t>——</w:t>
      </w:r>
      <w:r>
        <w:rPr>
          <w:rFonts w:hint="eastAsia"/>
          <w:lang w:bidi="ar"/>
        </w:rPr>
        <w:t>1年内</w:t>
      </w:r>
      <w:r>
        <w:rPr>
          <w:rFonts w:hint="eastAsia"/>
        </w:rPr>
        <w:t>海洋工程用不锈钢钢板及钢带生产总量，单位为吨（t）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水重复利用率</w:t>
      </w:r>
    </w:p>
    <w:p>
      <w:pPr>
        <w:pStyle w:val="30"/>
        <w:widowControl/>
        <w:tabs>
          <w:tab w:val="center" w:pos="4201"/>
          <w:tab w:val="right" w:leader="dot" w:pos="9298"/>
        </w:tabs>
        <w:autoSpaceDE w:val="0"/>
        <w:autoSpaceDN w:val="0"/>
        <w:ind w:firstLine="420" w:firstLineChars="200"/>
        <w:rPr>
          <w:sz w:val="21"/>
        </w:rPr>
      </w:pPr>
      <w:r>
        <w:rPr>
          <w:rFonts w:hint="eastAsia"/>
          <w:sz w:val="21"/>
        </w:rPr>
        <w:t>水重复利用率计算时按照1年生产为周期计算。生产过程中使用的重复利用水量与总用水量进行计算，按照公式（A.2）计算：</w:t>
      </w:r>
    </w:p>
    <w:p>
      <w:pPr>
        <w:pStyle w:val="30"/>
        <w:widowControl/>
        <w:tabs>
          <w:tab w:val="center" w:pos="4201"/>
          <w:tab w:val="right" w:leader="dot" w:pos="9298"/>
        </w:tabs>
        <w:autoSpaceDE w:val="0"/>
        <w:autoSpaceDN w:val="0"/>
        <w:ind w:firstLine="420" w:firstLineChars="200"/>
        <w:jc w:val="right"/>
        <w:rPr>
          <w:rFonts w:hint="eastAsia" w:hAnsi="Cambria Math"/>
          <w:sz w:val="21"/>
        </w:rPr>
      </w:pPr>
      <m:oMath>
        <m:r>
          <m:rPr>
            <m:sty m:val="p"/>
          </m:rPr>
          <w:rPr>
            <w:rFonts w:ascii="Cambria Math" w:hAnsi="Cambria Math"/>
            <w:sz w:val="21"/>
          </w:rPr>
          <m:t>W</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hint="eastAsia"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r>
              <m:rPr>
                <m:sty m:val="p"/>
              </m:rPr>
              <w:rPr>
                <w:rFonts w:hint="eastAsia" w:ascii="Cambria Math" w:hAnsi="Cambria Math"/>
                <w:sz w:val="21"/>
              </w:rPr>
              <m:t>+</m:t>
            </m:r>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n</m:t>
                </m:r>
                <m:ctrlPr>
                  <w:rPr>
                    <w:rFonts w:hint="eastAsia" w:ascii="Cambria Math" w:hAnsi="Cambria Math"/>
                    <w:sz w:val="21"/>
                  </w:rPr>
                </m:ctrlPr>
              </m:sub>
            </m:sSub>
            <m:ctrlPr>
              <w:rPr>
                <w:rFonts w:hint="eastAsia" w:ascii="Cambria Math" w:hAnsi="Cambria Math"/>
                <w:sz w:val="21"/>
              </w:rPr>
            </m:ctrlPr>
          </m:den>
        </m:f>
        <m:r>
          <m:rPr>
            <m:sty m:val="p"/>
          </m:rPr>
          <w:rPr>
            <w:rFonts w:ascii="Cambria Math" w:hAnsi="Cambria Math"/>
            <w:sz w:val="21"/>
          </w:rPr>
          <m:t>×</m:t>
        </m:r>
        <m:r>
          <m:rPr>
            <m:sty m:val="p"/>
          </m:rPr>
          <w:rPr>
            <w:rFonts w:hint="eastAsia" w:ascii="Cambria Math" w:hAnsi="Cambria Math"/>
            <w:sz w:val="21"/>
          </w:rPr>
          <m:t>100%</m:t>
        </m:r>
      </m:oMath>
      <w:r>
        <w:rPr>
          <w:rFonts w:hint="eastAsia" w:hAnsi="Cambria Math"/>
          <w:sz w:val="21"/>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r</m:t>
            </m:r>
            <m:ctrlPr>
              <w:rPr>
                <w:rFonts w:ascii="Cambria Math" w:hAnsi="Cambria Math"/>
                <w:i/>
                <w:vertAlign w:val="subscript"/>
                <w:lang w:bidi="ar"/>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lang w:bidi="ar"/>
              </w:rPr>
            </m:ctrlPr>
          </m:sSubPr>
          <m:e>
            <m:r>
              <m:rPr/>
              <w:rPr>
                <w:rFonts w:ascii="Cambria Math" w:hAnsi="Cambria Math"/>
                <w:lang w:bidi="ar"/>
              </w:rPr>
              <m:t>W</m:t>
            </m:r>
            <m:ctrlPr>
              <w:rPr>
                <w:rFonts w:ascii="Cambria Math" w:hAnsi="Cambria Math"/>
                <w:i/>
                <w:lang w:bidi="ar"/>
              </w:rPr>
            </m:ctrlPr>
          </m:e>
          <m:sub>
            <m:r>
              <m:rPr/>
              <w:rPr>
                <w:rFonts w:ascii="Cambria Math" w:hAnsi="Cambria Math"/>
                <w:lang w:bidi="ar"/>
              </w:rPr>
              <m:t>n</m:t>
            </m:r>
            <m:ctrlPr>
              <w:rPr>
                <w:rFonts w:ascii="Cambria Math" w:hAnsi="Cambria Math"/>
                <w:i/>
                <w:lang w:bidi="ar"/>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单位产品污染物排放量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生产过程中各工序的颗粒物、SO</w:t>
      </w:r>
      <w:r>
        <w:rPr>
          <w:rFonts w:hint="eastAsia"/>
          <w:sz w:val="21"/>
          <w:vertAlign w:val="subscript"/>
        </w:rPr>
        <w:t>2</w:t>
      </w:r>
      <w:r>
        <w:rPr>
          <w:rFonts w:hint="eastAsia"/>
          <w:sz w:val="21"/>
        </w:rPr>
        <w:t>、NOx等主要污染物排放量，计算时按照1年生产周期计算平均值。各工序每生产1吨产品所排放的主要污染物量，按照公式（A.3）计算：</w:t>
      </w:r>
    </w:p>
    <w:p>
      <w:pPr>
        <w:pStyle w:val="30"/>
        <w:widowControl/>
        <w:tabs>
          <w:tab w:val="center" w:pos="4201"/>
          <w:tab w:val="right" w:leader="dot" w:pos="9298"/>
        </w:tabs>
        <w:autoSpaceDE w:val="0"/>
        <w:autoSpaceDN w:val="0"/>
        <w:ind w:firstLine="420" w:firstLineChars="200"/>
        <w:jc w:val="right"/>
        <w:rPr>
          <w:rFonts w:hint="eastAsia" w:hAnsi="Cambria Math"/>
          <w:sz w:val="21"/>
        </w:rPr>
      </w:pPr>
      <m:oMath>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L</m:t>
            </m:r>
            <m:ctrlPr>
              <w:rPr>
                <w:rFonts w:hint="eastAsia" w:ascii="Cambria Math" w:hAnsi="Cambria Math"/>
                <w:sz w:val="21"/>
              </w:rPr>
            </m:ctrlPr>
          </m:sub>
        </m:sSub>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SL</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T</m:t>
                </m:r>
                <m:ctrlPr>
                  <w:rPr>
                    <w:rFonts w:hint="eastAsia" w:ascii="Cambria Math" w:hAnsi="Cambria Math"/>
                    <w:sz w:val="21"/>
                  </w:rPr>
                </m:ctrlPr>
              </m:e>
              <m:sub>
                <m:r>
                  <m:rPr>
                    <m:sty m:val="p"/>
                  </m:rPr>
                  <w:rPr>
                    <w:rFonts w:ascii="Cambria Math" w:hAnsi="Cambria Math"/>
                    <w:sz w:val="21"/>
                  </w:rPr>
                  <m:t>CG</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………………………………………………（A.3）</w:t>
      </w:r>
    </w:p>
    <w:p>
      <w:pPr>
        <w:ind w:firstLine="420" w:firstLineChars="200"/>
      </w:pPr>
      <w:r>
        <w:rPr>
          <w:lang w:bidi="ar"/>
        </w:rPr>
        <w:t>式中:</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L</m:t>
            </m:r>
            <m:ctrlPr>
              <w:rPr>
                <w:rFonts w:ascii="Cambria Math" w:hAnsi="Cambria Math"/>
                <w:i/>
                <w:vertAlign w:val="subscript"/>
                <w:lang w:bidi="ar"/>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lang w:bidi="ar"/>
              </w:rPr>
            </m:ctrlPr>
          </m:sSubPr>
          <m:e>
            <m:r>
              <m:rPr/>
              <w:rPr>
                <w:rFonts w:ascii="Cambria Math" w:hAnsi="Cambria Math"/>
                <w:vertAlign w:val="subscript"/>
                <w:lang w:bidi="ar"/>
              </w:rPr>
              <m:t>W</m:t>
            </m:r>
            <m:ctrlPr>
              <w:rPr>
                <w:rFonts w:ascii="Cambria Math" w:hAnsi="Cambria Math"/>
                <w:i/>
                <w:vertAlign w:val="subscript"/>
                <w:lang w:bidi="ar"/>
              </w:rPr>
            </m:ctrlPr>
          </m:e>
          <m:sub>
            <m:r>
              <m:rPr/>
              <w:rPr>
                <w:rFonts w:ascii="Cambria Math" w:hAnsi="Cambria Math"/>
                <w:vertAlign w:val="subscript"/>
                <w:lang w:bidi="ar"/>
              </w:rPr>
              <m:t>SL</m:t>
            </m:r>
            <m:ctrlPr>
              <w:rPr>
                <w:rFonts w:ascii="Cambria Math" w:hAnsi="Cambria Math"/>
                <w:i/>
                <w:vertAlign w:val="subscript"/>
                <w:lang w:bidi="ar"/>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lang w:bidi="ar"/>
              </w:rPr>
            </m:ctrlPr>
          </m:sSubPr>
          <m:e>
            <m:r>
              <m:rPr/>
              <w:rPr>
                <w:rFonts w:ascii="Cambria Math" w:hAnsi="Cambria Math"/>
                <w:lang w:bidi="ar"/>
              </w:rPr>
              <m:t>T</m:t>
            </m:r>
            <m:ctrlPr>
              <w:rPr>
                <w:rFonts w:ascii="Cambria Math" w:hAnsi="Cambria Math"/>
                <w:i/>
                <w:lang w:bidi="ar"/>
              </w:rPr>
            </m:ctrlPr>
          </m:e>
          <m:sub>
            <m:r>
              <m:rPr/>
              <w:rPr>
                <w:rFonts w:ascii="Cambria Math" w:hAnsi="Cambria Math"/>
                <w:lang w:bidi="ar"/>
              </w:rPr>
              <m:t>CG</m:t>
            </m:r>
            <m:ctrlPr>
              <w:rPr>
                <w:rFonts w:ascii="Cambria Math" w:hAnsi="Cambria Math"/>
                <w:i/>
                <w:lang w:bidi="ar"/>
              </w:rPr>
            </m:ctrlPr>
          </m:sub>
        </m:sSub>
      </m:oMath>
      <w:r>
        <w:rPr>
          <w:lang w:bidi="ar"/>
        </w:rPr>
        <w:t>——</w:t>
      </w:r>
      <w:r>
        <w:rPr>
          <w:rFonts w:hint="eastAsia"/>
          <w:lang w:bidi="ar"/>
        </w:rPr>
        <w:t>各工序1年内产品生产总量</w:t>
      </w:r>
      <w:r>
        <w:rPr>
          <w:rFonts w:hint="eastAsia"/>
        </w:rPr>
        <w:t>，单位为吨（t）</w:t>
      </w:r>
      <w:r>
        <w:rPr>
          <w:lang w:bidi="ar"/>
        </w:rPr>
        <w:t>。</w:t>
      </w:r>
    </w:p>
    <w:p>
      <w:pPr>
        <w:pStyle w:val="30"/>
        <w:widowControl/>
        <w:numPr>
          <w:ilvl w:val="0"/>
          <w:numId w:val="19"/>
        </w:numPr>
        <w:spacing w:before="312" w:beforeLines="100" w:after="312" w:afterLines="100"/>
        <w:outlineLvl w:val="1"/>
        <w:rPr>
          <w:rFonts w:eastAsia="黑体"/>
          <w:sz w:val="21"/>
          <w:szCs w:val="21"/>
        </w:rPr>
      </w:pPr>
      <w:bookmarkStart w:id="16" w:name="OLE_LINK1"/>
      <w:r>
        <w:rPr>
          <w:rFonts w:hint="eastAsia" w:eastAsia="黑体"/>
          <w:sz w:val="21"/>
          <w:szCs w:val="21"/>
        </w:rPr>
        <w:t>单位产品能源消耗</w:t>
      </w:r>
    </w:p>
    <w:bookmarkEnd w:id="16"/>
    <w:p>
      <w:pPr>
        <w:pStyle w:val="30"/>
        <w:widowControl/>
        <w:tabs>
          <w:tab w:val="center" w:pos="4201"/>
          <w:tab w:val="right" w:leader="dot" w:pos="9298"/>
        </w:tabs>
        <w:autoSpaceDE w:val="0"/>
        <w:autoSpaceDN w:val="0"/>
        <w:ind w:firstLine="420" w:firstLineChars="200"/>
        <w:rPr>
          <w:sz w:val="21"/>
        </w:rPr>
      </w:pPr>
      <w:r>
        <w:rPr>
          <w:rFonts w:hint="eastAsia"/>
          <w:sz w:val="21"/>
        </w:rPr>
        <w:t>各工序单位产品能源消耗按照公式（A.4）计算：</w:t>
      </w:r>
    </w:p>
    <w:p>
      <w:pPr>
        <w:pStyle w:val="30"/>
        <w:widowControl/>
        <w:tabs>
          <w:tab w:val="center" w:pos="4201"/>
          <w:tab w:val="right" w:leader="dot" w:pos="9298"/>
        </w:tabs>
        <w:autoSpaceDE w:val="0"/>
        <w:autoSpaceDN w:val="0"/>
        <w:ind w:firstLine="420" w:firstLineChars="200"/>
        <w:jc w:val="right"/>
        <w:rPr>
          <w:rFonts w:hint="eastAsia" w:hAnsi="Cambria Math"/>
          <w:sz w:val="21"/>
        </w:rPr>
      </w:pPr>
      <m:oMath>
        <m:r>
          <m:rPr>
            <m:sty m:val="p"/>
          </m:rPr>
          <w:rPr>
            <w:rFonts w:ascii="Cambria Math" w:hAnsi="Cambria Math"/>
            <w:sz w:val="21"/>
          </w:rPr>
          <m:t>E</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E</m:t>
                </m:r>
                <m:ctrlPr>
                  <w:rPr>
                    <w:rFonts w:hint="eastAsia" w:ascii="Cambria Math" w:hAnsi="Cambria Math"/>
                    <w:sz w:val="21"/>
                  </w:rPr>
                </m:ctrlPr>
              </m:e>
              <m:sub>
                <m:r>
                  <m:rPr>
                    <m:sty m:val="p"/>
                  </m:rPr>
                  <w:rPr>
                    <w:rFonts w:ascii="Cambria Math" w:hAnsi="Cambria Math"/>
                    <w:sz w:val="21"/>
                  </w:rPr>
                  <m:t>Z</m:t>
                </m:r>
                <m:ctrlPr>
                  <w:rPr>
                    <w:rFonts w:hint="eastAsia" w:ascii="Cambria Math" w:hAnsi="Cambria Math"/>
                    <w:sz w:val="21"/>
                  </w:rPr>
                </m:ctrlPr>
              </m:sub>
            </m:sSub>
            <m:r>
              <m:rPr>
                <m:sty m:val="p"/>
              </m:rPr>
              <w:rPr>
                <w:rFonts w:ascii="Cambria Math" w:hAnsi="Cambria Math"/>
                <w:sz w:val="21"/>
              </w:rPr>
              <m:t>−</m:t>
            </m:r>
            <m:sSub>
              <m:sSubPr>
                <m:ctrlPr>
                  <w:rPr>
                    <w:rFonts w:ascii="Cambria Math" w:hAnsi="Cambria Math"/>
                    <w:sz w:val="21"/>
                  </w:rPr>
                </m:ctrlPr>
              </m:sSubPr>
              <m:e>
                <m:r>
                  <m:rPr>
                    <m:sty m:val="p"/>
                  </m:rPr>
                  <w:rPr>
                    <w:rFonts w:ascii="Cambria Math" w:hAnsi="Cambria Math"/>
                    <w:sz w:val="21"/>
                  </w:rPr>
                  <m:t>E</m:t>
                </m:r>
                <m:ctrlPr>
                  <w:rPr>
                    <w:rFonts w:ascii="Cambria Math" w:hAnsi="Cambria Math"/>
                    <w:sz w:val="21"/>
                  </w:rPr>
                </m:ctrlPr>
              </m:e>
              <m:sub>
                <m:r>
                  <m:rPr>
                    <m:sty m:val="p"/>
                  </m:rPr>
                  <w:rPr>
                    <w:rFonts w:ascii="Cambria Math" w:hAnsi="Cambria Math"/>
                    <w:sz w:val="21"/>
                  </w:rPr>
                  <m:t>H</m:t>
                </m:r>
                <m:ctrlPr>
                  <w:rPr>
                    <w:rFonts w:ascii="Cambria Math" w:hAnsi="Cambria Math"/>
                    <w:sz w:val="21"/>
                  </w:rPr>
                </m:ctrlPr>
              </m:sub>
            </m:sSub>
            <m:ctrlPr>
              <w:rPr>
                <w:rFonts w:hint="eastAsia" w:ascii="Cambria Math" w:hAnsi="Cambria Math"/>
                <w:sz w:val="21"/>
              </w:rPr>
            </m:ctrlPr>
          </m:num>
          <m:den>
            <m:r>
              <m:rPr>
                <m:sty m:val="p"/>
              </m:rPr>
              <w:rPr>
                <w:rFonts w:ascii="Cambria Math" w:hAnsi="Cambria Math"/>
                <w:sz w:val="21"/>
              </w:rPr>
              <m:t>P</m:t>
            </m:r>
            <m:ctrlPr>
              <w:rPr>
                <w:rFonts w:hint="eastAsia" w:ascii="Cambria Math" w:hAnsi="Cambria Math"/>
                <w:sz w:val="21"/>
              </w:rPr>
            </m:ctrlPr>
          </m:den>
        </m:f>
      </m:oMath>
      <w:r>
        <w:rPr>
          <w:rFonts w:hint="eastAsia" w:hAnsi="Cambria Math"/>
          <w:sz w:val="21"/>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H</m:t>
            </m:r>
            <m:ctrlPr>
              <w:rPr>
                <w:rFonts w:ascii="Cambria Math" w:hAnsi="Cambria Math"/>
                <w:i/>
                <w:vertAlign w:val="subscript"/>
                <w:lang w:bidi="ar"/>
              </w:rPr>
            </m:ctrlPr>
          </m:sub>
        </m:sSub>
      </m:oMath>
      <w:r>
        <w:rPr>
          <w:lang w:bidi="ar"/>
        </w:rPr>
        <w:t>——</w:t>
      </w:r>
      <w:r>
        <w:rPr>
          <w:rFonts w:hint="eastAsia"/>
          <w:lang w:bidi="ar"/>
        </w:rPr>
        <w:t>各工序回收的各种能源量折标准煤量，单位为千克标准煤</w:t>
      </w:r>
      <w:r>
        <w:rPr>
          <w:rFonts w:hint="eastAsia"/>
        </w:rPr>
        <w:t>（kgce）</w:t>
      </w:r>
      <w:r>
        <w:rPr>
          <w:lang w:bidi="ar"/>
        </w:rPr>
        <w:t>；</w:t>
      </w:r>
    </w:p>
    <w:p>
      <w:pPr>
        <w:ind w:firstLine="420" w:firstLineChars="200"/>
        <w:rPr>
          <w:rFonts w:eastAsia="黑体"/>
          <w:szCs w:val="21"/>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pStyle w:val="30"/>
        <w:widowControl/>
        <w:tabs>
          <w:tab w:val="left" w:pos="0"/>
        </w:tabs>
        <w:spacing w:before="312" w:beforeLines="100" w:after="312" w:afterLines="100"/>
        <w:outlineLvl w:val="1"/>
        <w:rPr>
          <w:rFonts w:eastAsia="黑体"/>
          <w:sz w:val="21"/>
          <w:szCs w:val="21"/>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pgSz w:w="11906" w:h="16838"/>
          <w:pgMar w:top="567" w:right="1134" w:bottom="1134" w:left="1418" w:header="1418" w:footer="1134" w:gutter="0"/>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 xml:space="preserve">附 录 </w:t>
      </w:r>
      <w:r>
        <w:rPr>
          <w:rFonts w:hint="eastAsia" w:eastAsia="黑体"/>
          <w:kern w:val="0"/>
          <w:sz w:val="21"/>
          <w:szCs w:val="20"/>
          <w:lang w:bidi="ar"/>
        </w:rPr>
        <w:t>B</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海洋工程用不锈钢钢板及钢带</w:t>
      </w:r>
      <w:r>
        <w:rPr>
          <w:rFonts w:eastAsia="黑体"/>
          <w:kern w:val="0"/>
          <w:sz w:val="21"/>
          <w:szCs w:val="20"/>
          <w:lang w:bidi="ar"/>
        </w:rPr>
        <w:t>生命周期评价方法框架</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目的</w:t>
      </w:r>
    </w:p>
    <w:p>
      <w:pPr>
        <w:pStyle w:val="30"/>
        <w:widowControl/>
        <w:tabs>
          <w:tab w:val="center" w:pos="4201"/>
          <w:tab w:val="right" w:leader="dot" w:pos="9298"/>
        </w:tabs>
        <w:autoSpaceDE w:val="0"/>
        <w:autoSpaceDN w:val="0"/>
        <w:ind w:firstLine="420" w:firstLineChars="200"/>
        <w:rPr>
          <w:sz w:val="21"/>
        </w:rPr>
      </w:pPr>
      <w:r>
        <w:rPr>
          <w:rFonts w:hint="eastAsia"/>
          <w:sz w:val="21"/>
        </w:rPr>
        <w:t>海洋工程用不锈钢钢板及钢带</w:t>
      </w:r>
      <w:r>
        <w:rPr>
          <w:sz w:val="21"/>
        </w:rPr>
        <w:t>原料的获取、生产、运输、销售、使用的过程中对环境造成的影响，通过评价</w:t>
      </w:r>
      <w:r>
        <w:rPr>
          <w:rFonts w:hint="eastAsia"/>
          <w:sz w:val="21"/>
        </w:rPr>
        <w:t>海洋工程用不锈钢钢板及钢带</w:t>
      </w:r>
      <w:r>
        <w:rPr>
          <w:sz w:val="21"/>
        </w:rPr>
        <w:t>全生命周期的环境影响大小，提出</w:t>
      </w:r>
      <w:r>
        <w:rPr>
          <w:rFonts w:hint="eastAsia"/>
          <w:sz w:val="21"/>
        </w:rPr>
        <w:t>海洋工程用不锈钢钢板及钢带产品</w:t>
      </w:r>
      <w:r>
        <w:rPr>
          <w:sz w:val="21"/>
        </w:rPr>
        <w:t>绿色设计改进方案，从而大幅提升其生态友好性。</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范围</w:t>
      </w:r>
    </w:p>
    <w:p>
      <w:pPr>
        <w:ind w:firstLine="420" w:firstLineChars="200"/>
      </w:pPr>
      <w:r>
        <w:rPr>
          <w:lang w:bidi="ar"/>
        </w:rPr>
        <w:t>应根据评价目的确定评价范围，确保两者相适应。定义生命周期评价范围时，应考虑以下内容并作出清晰描述。</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功能单位</w:t>
      </w:r>
    </w:p>
    <w:p>
      <w:pPr>
        <w:ind w:firstLine="420" w:firstLineChars="200"/>
      </w:pPr>
      <w:r>
        <w:rPr>
          <w:lang w:bidi="ar"/>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系统边界</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本文件界定的海洋工程用不锈钢钢板及钢带生命周期系统边界，包括三个阶段：原材料获取阶段、生产阶段及使用阶段，如图B.1、图B.2、图B.</w:t>
      </w:r>
      <w:r>
        <w:rPr>
          <w:sz w:val="21"/>
          <w:lang w:bidi="ar"/>
        </w:rPr>
        <w:t>3</w:t>
      </w:r>
      <w:r>
        <w:rPr>
          <w:rFonts w:hint="eastAsia"/>
          <w:sz w:val="21"/>
          <w:lang w:bidi="ar"/>
        </w:rPr>
        <w:t>所示。</w:t>
      </w:r>
    </w:p>
    <w:p>
      <w:pPr>
        <w:jc w:val="center"/>
        <w:rPr>
          <w:sz w:val="18"/>
          <w:szCs w:val="18"/>
        </w:rPr>
      </w:pPr>
      <w:r>
        <w:rPr>
          <w:sz w:val="18"/>
          <w:szCs w:val="18"/>
        </w:rPr>
        <w:drawing>
          <wp:inline distT="0" distB="0" distL="0" distR="0">
            <wp:extent cx="5339715" cy="1779905"/>
            <wp:effectExtent l="0" t="0" r="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1"/>
                    <a:stretch>
                      <a:fillRect/>
                    </a:stretch>
                  </pic:blipFill>
                  <pic:spPr>
                    <a:xfrm>
                      <a:off x="0" y="0"/>
                      <a:ext cx="5341456" cy="1780485"/>
                    </a:xfrm>
                    <a:prstGeom prst="rect">
                      <a:avLst/>
                    </a:prstGeom>
                  </pic:spPr>
                </pic:pic>
              </a:graphicData>
            </a:graphic>
          </wp:inline>
        </w:drawing>
      </w:r>
    </w:p>
    <w:p>
      <w:pPr>
        <w:spacing w:before="156" w:beforeLines="50" w:after="156" w:afterLines="50"/>
        <w:jc w:val="center"/>
        <w:rPr>
          <w:sz w:val="18"/>
          <w:szCs w:val="18"/>
          <w:lang w:bidi="ar"/>
        </w:rPr>
      </w:pPr>
      <w:r>
        <w:rPr>
          <w:sz w:val="18"/>
          <w:szCs w:val="18"/>
          <w:lang w:bidi="ar"/>
        </w:rPr>
        <w:t xml:space="preserve">图B.1  </w:t>
      </w:r>
      <w:r>
        <w:rPr>
          <w:rFonts w:hint="eastAsia"/>
          <w:sz w:val="18"/>
          <w:szCs w:val="18"/>
          <w:lang w:bidi="ar"/>
        </w:rPr>
        <w:t>长流程生产工艺</w:t>
      </w:r>
    </w:p>
    <w:p>
      <w:pPr>
        <w:jc w:val="center"/>
        <w:rPr>
          <w:sz w:val="18"/>
          <w:szCs w:val="18"/>
        </w:rPr>
      </w:pPr>
      <w:r>
        <w:rPr>
          <w:sz w:val="18"/>
          <w:szCs w:val="18"/>
        </w:rPr>
        <w:drawing>
          <wp:inline distT="0" distB="0" distL="0" distR="0">
            <wp:extent cx="4946650" cy="193865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955323" cy="1942048"/>
                    </a:xfrm>
                    <a:prstGeom prst="rect">
                      <a:avLst/>
                    </a:prstGeom>
                    <a:noFill/>
                  </pic:spPr>
                </pic:pic>
              </a:graphicData>
            </a:graphic>
          </wp:inline>
        </w:drawing>
      </w:r>
    </w:p>
    <w:p>
      <w:pPr>
        <w:spacing w:before="156" w:beforeLines="50" w:after="156" w:afterLines="50"/>
        <w:jc w:val="center"/>
        <w:rPr>
          <w:sz w:val="18"/>
          <w:szCs w:val="18"/>
          <w:lang w:bidi="ar"/>
        </w:rPr>
      </w:pPr>
      <w:r>
        <w:rPr>
          <w:rFonts w:hint="eastAsia"/>
          <w:sz w:val="18"/>
          <w:szCs w:val="18"/>
          <w:lang w:bidi="ar"/>
        </w:rPr>
        <w:t>图B.2  RKEF生产工艺</w:t>
      </w:r>
    </w:p>
    <w:p>
      <w:pPr>
        <w:jc w:val="center"/>
        <w:rPr>
          <w:sz w:val="18"/>
          <w:szCs w:val="18"/>
        </w:rPr>
      </w:pPr>
      <w:r>
        <w:rPr>
          <w:sz w:val="18"/>
          <w:szCs w:val="18"/>
        </w:rPr>
        <w:drawing>
          <wp:inline distT="0" distB="0" distL="0" distR="0">
            <wp:extent cx="5135880" cy="23177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51865" cy="2325168"/>
                    </a:xfrm>
                    <a:prstGeom prst="rect">
                      <a:avLst/>
                    </a:prstGeom>
                    <a:noFill/>
                  </pic:spPr>
                </pic:pic>
              </a:graphicData>
            </a:graphic>
          </wp:inline>
        </w:drawing>
      </w:r>
    </w:p>
    <w:p>
      <w:pPr>
        <w:spacing w:before="156" w:beforeLines="50" w:after="156" w:afterLines="50"/>
        <w:jc w:val="center"/>
        <w:rPr>
          <w:sz w:val="18"/>
          <w:szCs w:val="18"/>
          <w:lang w:bidi="ar"/>
        </w:rPr>
      </w:pPr>
      <w:r>
        <w:rPr>
          <w:rFonts w:hint="eastAsia"/>
          <w:sz w:val="18"/>
          <w:szCs w:val="18"/>
          <w:lang w:bidi="ar"/>
        </w:rPr>
        <w:t>图B.</w:t>
      </w:r>
      <w:r>
        <w:rPr>
          <w:sz w:val="18"/>
          <w:szCs w:val="18"/>
          <w:lang w:bidi="ar"/>
        </w:rPr>
        <w:t>3</w:t>
      </w:r>
      <w:r>
        <w:rPr>
          <w:rFonts w:hint="eastAsia"/>
          <w:sz w:val="18"/>
          <w:szCs w:val="18"/>
          <w:lang w:bidi="ar"/>
        </w:rPr>
        <w:t xml:space="preserve">  短流程生产工艺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生命周期评价研究的时间应在规定的期限内。数据应反映具有代表性的时期（取最近三年内有效值）。如果未能取到三年内有效值，应做具体说明。</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原材料数据应是在参与产品的生产和使用的地点/地区。</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生产过程数据应是在最终产品的生产中所涉及的地点/地区。</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生命周期清单分析</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总则</w:t>
      </w:r>
    </w:p>
    <w:p>
      <w:pPr>
        <w:ind w:firstLine="420" w:firstLineChars="200"/>
      </w:pPr>
      <w:r>
        <w:rPr>
          <w:lang w:bidi="ar"/>
        </w:rPr>
        <w:t>应编制</w:t>
      </w:r>
      <w:r>
        <w:rPr>
          <w:rFonts w:hint="eastAsia"/>
        </w:rPr>
        <w:t>海洋工程用不锈钢钢板及钢带</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w:t>
      </w:r>
      <w:r>
        <w:rPr>
          <w:rFonts w:hint="eastAsia"/>
          <w:lang w:bidi="ar"/>
        </w:rPr>
        <w:t>基准</w:t>
      </w:r>
      <w:r>
        <w:rPr>
          <w:lang w:bidi="ar"/>
        </w:rPr>
        <w:t>吨</w:t>
      </w:r>
      <w:r>
        <w:rPr>
          <w:rFonts w:hint="eastAsia"/>
        </w:rPr>
        <w:t>海洋工程用不锈钢钢板及钢带</w:t>
      </w:r>
      <w:r>
        <w:rPr>
          <w:lang w:bidi="ar"/>
        </w:rPr>
        <w:t>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数据收集</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rPr>
        <w:t>海洋工程用不锈钢钢板及钢带</w:t>
      </w:r>
      <w:r>
        <w:rPr>
          <w:lang w:bidi="ar"/>
        </w:rPr>
        <w:t>生产过程的排放数据。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rFonts w:hint="eastAsia"/>
          <w:lang w:bidi="ar"/>
        </w:rPr>
        <w:t>a）</w:t>
      </w:r>
      <w:r>
        <w:rPr>
          <w:lang w:bidi="ar"/>
        </w:rPr>
        <w:t>代表性：现场数据应按照企业生产单元收集所确定范围内的生产统计数据。</w:t>
      </w:r>
    </w:p>
    <w:p>
      <w:pPr>
        <w:ind w:firstLine="420" w:firstLineChars="200"/>
      </w:pPr>
      <w:r>
        <w:rPr>
          <w:lang w:bidi="ar"/>
        </w:rPr>
        <w:t>b</w:t>
      </w:r>
      <w:r>
        <w:rPr>
          <w:rFonts w:hint="eastAsia"/>
          <w:lang w:bidi="ar"/>
        </w:rPr>
        <w:t>）</w:t>
      </w:r>
      <w:r>
        <w:rPr>
          <w:lang w:bidi="ar"/>
        </w:rPr>
        <w:t>完整性：现场数据应采集完整的生命周期要求数据。</w:t>
      </w:r>
    </w:p>
    <w:p>
      <w:pPr>
        <w:ind w:firstLine="420" w:firstLineChars="200"/>
      </w:pPr>
      <w:r>
        <w:rPr>
          <w:lang w:bidi="ar"/>
        </w:rPr>
        <w:t>c</w:t>
      </w:r>
      <w:r>
        <w:rPr>
          <w:rFonts w:hint="eastAsia"/>
          <w:lang w:bidi="ar"/>
        </w:rPr>
        <w:t>）</w:t>
      </w:r>
      <w:r>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rPr>
        <w:t>海洋工程用不锈钢钢板及钢带</w:t>
      </w:r>
      <w:r>
        <w:rPr>
          <w:lang w:bidi="ar"/>
        </w:rPr>
        <w:t>为基准折算，且需要详细记录相关的原始数据、数据来源、计算过程等。</w:t>
      </w:r>
    </w:p>
    <w:p>
      <w:pPr>
        <w:ind w:firstLine="420" w:firstLineChars="200"/>
      </w:pPr>
      <w:r>
        <w:rPr>
          <w:lang w:bidi="ar"/>
        </w:rPr>
        <w:t>d</w:t>
      </w:r>
      <w:r>
        <w:rPr>
          <w:rFonts w:hint="eastAsia"/>
          <w:lang w:bidi="ar"/>
        </w:rPr>
        <w:t>）</w:t>
      </w:r>
      <w:r>
        <w:rPr>
          <w:lang w:bidi="ar"/>
        </w:rPr>
        <w:t>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w:t>
      </w:r>
      <w:r>
        <w:rPr>
          <w:rFonts w:hint="eastAsia"/>
          <w:lang w:bidi="ar"/>
        </w:rPr>
        <w:t>）</w:t>
      </w:r>
      <w:r>
        <w:rPr>
          <w:lang w:bidi="ar"/>
        </w:rPr>
        <w:t>原材料采购和预处理；</w:t>
      </w:r>
    </w:p>
    <w:p>
      <w:pPr>
        <w:ind w:firstLine="840" w:firstLineChars="400"/>
      </w:pPr>
      <w:r>
        <w:rPr>
          <w:lang w:bidi="ar"/>
        </w:rPr>
        <w:t>2</w:t>
      </w:r>
      <w:r>
        <w:rPr>
          <w:rFonts w:hint="eastAsia"/>
          <w:lang w:bidi="ar"/>
        </w:rPr>
        <w:t>）</w:t>
      </w:r>
      <w:r>
        <w:rPr>
          <w:lang w:bidi="ar"/>
        </w:rPr>
        <w:t>产品生产过程能源消耗和污染物排放数据；</w:t>
      </w:r>
    </w:p>
    <w:p>
      <w:pPr>
        <w:ind w:firstLine="840" w:firstLineChars="400"/>
      </w:pPr>
      <w:r>
        <w:rPr>
          <w:lang w:bidi="ar"/>
        </w:rPr>
        <w:t>3</w:t>
      </w:r>
      <w:r>
        <w:rPr>
          <w:rFonts w:hint="eastAsia"/>
          <w:lang w:bidi="ar"/>
        </w:rPr>
        <w:t>）</w:t>
      </w:r>
      <w:r>
        <w:rPr>
          <w:lang w:bidi="ar"/>
        </w:rPr>
        <w:t>生产统计报表，搜集原材料分配及用量数据；</w:t>
      </w:r>
    </w:p>
    <w:p>
      <w:pPr>
        <w:ind w:firstLine="840" w:firstLineChars="400"/>
      </w:pPr>
      <w:r>
        <w:rPr>
          <w:lang w:bidi="ar"/>
        </w:rPr>
        <w:t>4</w:t>
      </w:r>
      <w:r>
        <w:rPr>
          <w:rFonts w:hint="eastAsia"/>
          <w:lang w:bidi="ar"/>
        </w:rPr>
        <w:t>）</w:t>
      </w:r>
      <w:r>
        <w:rPr>
          <w:lang w:bidi="ar"/>
        </w:rPr>
        <w:t>设备仪表的计量数据。</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 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pPr>
        <w:ind w:firstLine="420" w:firstLineChars="200"/>
      </w:pPr>
      <w:r>
        <w:rPr>
          <w:lang w:bidi="ar"/>
        </w:rPr>
        <w:t>b) 完整性：背景数据的系统边界应该从资源开采到这些原辅材料或能源产品出厂为止。</w:t>
      </w:r>
    </w:p>
    <w:p>
      <w:pPr>
        <w:ind w:firstLine="420" w:firstLineChars="200"/>
      </w:pPr>
      <w:r>
        <w:rPr>
          <w:lang w:bidi="ar"/>
        </w:rPr>
        <w:t>c) 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原材料采购和预加工（从摇篮到大门）</w:t>
      </w:r>
    </w:p>
    <w:p>
      <w:pPr>
        <w:ind w:firstLine="420" w:firstLineChars="200"/>
      </w:pPr>
      <w:r>
        <w:rPr>
          <w:lang w:bidi="ar"/>
        </w:rPr>
        <w:t>该阶段始于从大自然提取资源，结束于</w:t>
      </w:r>
      <w:r>
        <w:rPr>
          <w:rFonts w:hint="eastAsia"/>
        </w:rPr>
        <w:t>海洋工程用不锈钢钢板及钢带</w:t>
      </w:r>
      <w:r>
        <w:rPr>
          <w:lang w:bidi="ar"/>
        </w:rPr>
        <w:t>产品原料进入产品生产设施，包括:</w:t>
      </w:r>
    </w:p>
    <w:p>
      <w:pPr>
        <w:ind w:firstLine="420" w:firstLineChars="200"/>
      </w:pPr>
      <w:r>
        <w:rPr>
          <w:rFonts w:hint="eastAsia"/>
          <w:lang w:bidi="ar"/>
        </w:rPr>
        <w:t>a）</w:t>
      </w:r>
      <w:r>
        <w:rPr>
          <w:lang w:bidi="ar"/>
        </w:rPr>
        <w:t>开采和提取；</w:t>
      </w:r>
    </w:p>
    <w:p>
      <w:pPr>
        <w:ind w:firstLine="420" w:firstLineChars="200"/>
      </w:pPr>
      <w:r>
        <w:rPr>
          <w:lang w:bidi="ar"/>
        </w:rPr>
        <w:t>b</w:t>
      </w:r>
      <w:r>
        <w:rPr>
          <w:rFonts w:hint="eastAsia"/>
          <w:lang w:bidi="ar"/>
        </w:rPr>
        <w:t>）</w:t>
      </w:r>
      <w:r>
        <w:rPr>
          <w:lang w:bidi="ar"/>
        </w:rPr>
        <w:t>所有材料的预加工，例如铁矿采选与废钢分选等；</w:t>
      </w:r>
    </w:p>
    <w:p>
      <w:pPr>
        <w:ind w:firstLine="420" w:firstLineChars="200"/>
      </w:pPr>
      <w:r>
        <w:rPr>
          <w:rFonts w:hint="eastAsia"/>
          <w:lang w:bidi="ar"/>
        </w:rPr>
        <w:t>c）</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pStyle w:val="30"/>
        <w:widowControl/>
        <w:numPr>
          <w:ilvl w:val="2"/>
          <w:numId w:val="20"/>
        </w:numPr>
        <w:tabs>
          <w:tab w:val="left" w:pos="0"/>
        </w:tabs>
        <w:spacing w:before="312" w:beforeLines="100" w:after="312" w:afterLines="100"/>
        <w:outlineLvl w:val="1"/>
        <w:rPr>
          <w:sz w:val="21"/>
          <w:lang w:bidi="ar"/>
        </w:rPr>
      </w:pPr>
      <w:r>
        <w:rPr>
          <w:rFonts w:hint="eastAsia"/>
          <w:sz w:val="21"/>
          <w:lang w:bidi="ar"/>
        </w:rPr>
        <w:t>生产阶段</w:t>
      </w:r>
    </w:p>
    <w:p>
      <w:pPr>
        <w:ind w:firstLine="420" w:firstLineChars="200"/>
      </w:pPr>
      <w:r>
        <w:rPr>
          <w:lang w:bidi="ar"/>
        </w:rPr>
        <w:t>该阶段始于</w:t>
      </w:r>
      <w:r>
        <w:rPr>
          <w:rFonts w:hint="eastAsia"/>
        </w:rPr>
        <w:t>海洋工程用不锈钢钢板及钢带</w:t>
      </w:r>
      <w:r>
        <w:rPr>
          <w:lang w:bidi="ar"/>
        </w:rPr>
        <w:t>产品原料进入生产设施，结束于产品离开生产设施。生产活动包括化学处理、制造、制造过程中半成品的运输、产品包装等。此过程涵盖高炉</w:t>
      </w:r>
      <w:r>
        <w:rPr>
          <w:rFonts w:hint="eastAsia"/>
          <w:lang w:bidi="ar"/>
        </w:rPr>
        <w:t>/</w:t>
      </w:r>
      <w:r>
        <w:rPr>
          <w:lang w:bidi="ar"/>
        </w:rPr>
        <w:t>RKEF、转炉</w:t>
      </w:r>
      <w:r>
        <w:rPr>
          <w:rFonts w:hint="eastAsia"/>
          <w:lang w:bidi="ar"/>
        </w:rPr>
        <w:t>/</w:t>
      </w:r>
      <w:r>
        <w:rPr>
          <w:lang w:bidi="ar"/>
        </w:rPr>
        <w:t>AOD</w:t>
      </w:r>
      <w:r>
        <w:rPr>
          <w:rFonts w:hint="eastAsia"/>
          <w:lang w:bidi="ar"/>
        </w:rPr>
        <w:t>组合</w:t>
      </w:r>
      <w:r>
        <w:rPr>
          <w:lang w:bidi="ar"/>
        </w:rPr>
        <w:t>的生产工艺和电炉</w:t>
      </w:r>
      <w:r>
        <w:rPr>
          <w:rFonts w:hint="eastAsia"/>
          <w:lang w:bidi="ar"/>
        </w:rPr>
        <w:t>、转炉</w:t>
      </w:r>
      <w:r>
        <w:rPr>
          <w:lang w:bidi="ar"/>
        </w:rPr>
        <w:t>、AOD或其</w:t>
      </w:r>
      <w:r>
        <w:rPr>
          <w:rFonts w:hint="eastAsia"/>
          <w:lang w:bidi="ar"/>
        </w:rPr>
        <w:t>组合</w:t>
      </w:r>
      <w:r>
        <w:rPr>
          <w:lang w:bidi="ar"/>
        </w:rPr>
        <w:t>的生产工艺中的情形。</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w:t>
      </w:r>
      <w:r>
        <w:rPr>
          <w:rFonts w:hint="eastAsia"/>
          <w:lang w:bidi="ar"/>
        </w:rPr>
        <w:t>大气</w:t>
      </w:r>
      <w:r>
        <w:rPr>
          <w:lang w:bidi="ar"/>
        </w:rPr>
        <w:t>排放、水体排放数据。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数据分配</w:t>
      </w:r>
    </w:p>
    <w:p>
      <w:pPr>
        <w:ind w:firstLine="420" w:firstLineChars="200"/>
      </w:pPr>
      <w:r>
        <w:rPr>
          <w:lang w:bidi="ar"/>
        </w:rPr>
        <w:t>在进行</w:t>
      </w:r>
      <w:r>
        <w:rPr>
          <w:rFonts w:hint="eastAsia"/>
        </w:rPr>
        <w:t>海洋工程用不锈钢钢板及钢带</w:t>
      </w:r>
      <w:r>
        <w:rPr>
          <w:lang w:bidi="ar"/>
        </w:rPr>
        <w:t>生命周期评价的过程中涉及到数据分配问题，特别是</w:t>
      </w:r>
      <w:r>
        <w:rPr>
          <w:rFonts w:hint="eastAsia"/>
        </w:rPr>
        <w:t>海洋工程用不锈钢钢板及钢带</w:t>
      </w:r>
      <w:r>
        <w:rPr>
          <w:lang w:bidi="ar"/>
        </w:rPr>
        <w:t>的生产环节。对于</w:t>
      </w:r>
      <w:r>
        <w:rPr>
          <w:rFonts w:hint="eastAsia"/>
        </w:rPr>
        <w:t>海洋工程用不锈钢钢板及钢带</w:t>
      </w:r>
      <w:r>
        <w:rPr>
          <w:lang w:bidi="ar"/>
        </w:rPr>
        <w:t>生产而言，由于厂家往往同时生产多种类型的产品，一条工艺线上或一个车间里可能会同时生产多种</w:t>
      </w:r>
      <w:r>
        <w:rPr>
          <w:rFonts w:hint="eastAsia"/>
          <w:lang w:bidi="ar"/>
        </w:rPr>
        <w:t>牌</w:t>
      </w:r>
      <w:r>
        <w:rPr>
          <w:lang w:bidi="ar"/>
        </w:rPr>
        <w:t>号</w:t>
      </w:r>
      <w:r>
        <w:rPr>
          <w:rFonts w:hint="eastAsia"/>
        </w:rPr>
        <w:t>海洋工程用不锈钢钢板及钢带</w:t>
      </w:r>
      <w:r>
        <w:rPr>
          <w:lang w:bidi="ar"/>
        </w:rPr>
        <w:t>。很难就某单个型号的产品生产来收集清单数据，往往会就某个车间、某条流水线或某个工艺来收集数据，然后再分配到具体的产品上。针对</w:t>
      </w:r>
      <w:r>
        <w:rPr>
          <w:rFonts w:hint="eastAsia"/>
        </w:rPr>
        <w:t>海洋工程用不锈钢钢板及钢带</w:t>
      </w:r>
      <w:r>
        <w:rPr>
          <w:lang w:bidi="ar"/>
        </w:rPr>
        <w:t>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.8</w:t>
      </w:r>
      <w:r>
        <w:rPr>
          <w:color w:val="000000"/>
          <w:kern w:val="0"/>
          <w:szCs w:val="21"/>
          <w:lang w:bidi="ar"/>
        </w:rPr>
        <w:t>对应需要的数据进行填报：</w:t>
      </w:r>
    </w:p>
    <w:p>
      <w:pPr>
        <w:ind w:firstLine="420" w:firstLineChars="200"/>
      </w:pPr>
      <w:r>
        <w:rPr>
          <w:lang w:bidi="ar"/>
        </w:rPr>
        <w:t>a) 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 从实际调研过程中无法获得的数据，即背景数据，采用相关数据库进行替代，在这一步骤中所涉及到的单元过程包括</w:t>
      </w:r>
      <w:r>
        <w:rPr>
          <w:rFonts w:hint="eastAsia"/>
        </w:rPr>
        <w:t>海洋工程用不锈钢钢板及钢带</w:t>
      </w:r>
      <w:r>
        <w:rPr>
          <w:lang w:bidi="ar"/>
        </w:rPr>
        <w:t>行业相关原材料生产、能源消耗以及产品的制造加工等。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影响类型</w:t>
      </w:r>
    </w:p>
    <w:p>
      <w:pPr>
        <w:ind w:firstLine="420" w:firstLineChars="200"/>
      </w:pPr>
      <w:r>
        <w:rPr>
          <w:lang w:bidi="ar"/>
        </w:rPr>
        <w:t>影响类型分为资源能源消耗、生态环境影响和人体健康危害3类。</w:t>
      </w:r>
      <w:r>
        <w:rPr>
          <w:rFonts w:hint="eastAsia"/>
        </w:rPr>
        <w:t>海洋工程用不锈钢钢板及钢带</w:t>
      </w:r>
      <w:r>
        <w:rPr>
          <w:lang w:bidi="ar"/>
        </w:rPr>
        <w:t>的影响类型采用化石能源消耗、气候变化、富营养化和</w:t>
      </w:r>
      <w:r>
        <w:rPr>
          <w:rFonts w:hint="eastAsia"/>
          <w:lang w:bidi="ar"/>
        </w:rPr>
        <w:t>酸化</w:t>
      </w:r>
      <w:r>
        <w:rPr>
          <w:lang w:bidi="ar"/>
        </w:rPr>
        <w:t>4个指标。</w:t>
      </w: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bidi="ar"/>
        </w:rPr>
        <w:t>海洋工程用不锈钢钢板及钢带</w:t>
      </w:r>
      <w:r>
        <w:rPr>
          <w:rFonts w:eastAsia="黑体"/>
          <w:color w:val="000000"/>
          <w:kern w:val="0"/>
          <w:szCs w:val="21"/>
          <w:lang w:bidi="ar"/>
        </w:rPr>
        <w:t>产品生命周期清单因子归类</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2"/>
        <w:gridCol w:w="7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影响类型</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rFonts w:hint="eastAsia"/>
                <w:kern w:val="0"/>
                <w:sz w:val="18"/>
                <w:szCs w:val="18"/>
              </w:rPr>
              <w:t>化石能源消耗</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石油</w:t>
            </w:r>
            <w:r>
              <w:rPr>
                <w:rFonts w:hint="eastAsia"/>
                <w:kern w:val="0"/>
                <w:sz w:val="18"/>
                <w:szCs w:val="18"/>
              </w:rPr>
              <w:t>、</w:t>
            </w:r>
            <w:r>
              <w:rPr>
                <w:kern w:val="0"/>
                <w:sz w:val="18"/>
                <w:szCs w:val="18"/>
              </w:rPr>
              <w:t>煤炭</w:t>
            </w:r>
            <w:r>
              <w:rPr>
                <w:rFonts w:hint="eastAsia"/>
                <w:kern w:val="0"/>
                <w:sz w:val="18"/>
                <w:szCs w:val="18"/>
              </w:rPr>
              <w:t>、</w:t>
            </w:r>
            <w:r>
              <w:rPr>
                <w:kern w:val="0"/>
                <w:sz w:val="18"/>
                <w:szCs w:val="18"/>
              </w:rPr>
              <w:t>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气候变化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二氧化碳（CO</w:t>
            </w:r>
            <w:r>
              <w:rPr>
                <w:kern w:val="0"/>
                <w:sz w:val="12"/>
                <w:szCs w:val="12"/>
              </w:rPr>
              <w:t>2</w:t>
            </w:r>
            <w:r>
              <w:rPr>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富营养化</w:t>
            </w:r>
          </w:p>
        </w:tc>
        <w:tc>
          <w:tcPr>
            <w:tcW w:w="3818" w:type="pct"/>
            <w:vAlign w:val="center"/>
          </w:tcPr>
          <w:p>
            <w:pPr>
              <w:autoSpaceDE w:val="0"/>
              <w:autoSpaceDN w:val="0"/>
              <w:adjustRightInd w:val="0"/>
              <w:snapToGrid w:val="0"/>
              <w:ind w:firstLine="357"/>
              <w:jc w:val="center"/>
              <w:rPr>
                <w:kern w:val="0"/>
                <w:sz w:val="18"/>
                <w:szCs w:val="18"/>
              </w:rPr>
            </w:pPr>
            <w:r>
              <w:rPr>
                <w:rFonts w:hint="eastAsia"/>
                <w:kern w:val="0"/>
                <w:sz w:val="18"/>
                <w:szCs w:val="18"/>
              </w:rPr>
              <w:t>氨氮</w:t>
            </w:r>
            <w:r>
              <w:rPr>
                <w:kern w:val="0"/>
                <w:sz w:val="18"/>
                <w:szCs w:val="18"/>
              </w:rPr>
              <w:t>、</w:t>
            </w:r>
            <w:r>
              <w:rPr>
                <w:rFonts w:hint="eastAsia"/>
                <w:kern w:val="0"/>
                <w:sz w:val="18"/>
                <w:szCs w:val="18"/>
              </w:rPr>
              <w:t>总磷</w:t>
            </w:r>
            <w:r>
              <w:rPr>
                <w:kern w:val="0"/>
                <w:sz w:val="18"/>
                <w:szCs w:val="1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82" w:type="pct"/>
            <w:vAlign w:val="center"/>
          </w:tcPr>
          <w:p>
            <w:pPr>
              <w:autoSpaceDE w:val="0"/>
              <w:autoSpaceDN w:val="0"/>
              <w:adjustRightInd w:val="0"/>
              <w:snapToGrid w:val="0"/>
              <w:ind w:firstLine="357"/>
              <w:jc w:val="center"/>
              <w:rPr>
                <w:kern w:val="0"/>
                <w:sz w:val="18"/>
                <w:szCs w:val="18"/>
              </w:rPr>
            </w:pPr>
            <w:r>
              <w:rPr>
                <w:kern w:val="0"/>
                <w:sz w:val="18"/>
                <w:szCs w:val="18"/>
              </w:rPr>
              <w:t>酸化</w:t>
            </w:r>
          </w:p>
        </w:tc>
        <w:tc>
          <w:tcPr>
            <w:tcW w:w="3818" w:type="pct"/>
            <w:vAlign w:val="center"/>
          </w:tcPr>
          <w:p>
            <w:pPr>
              <w:autoSpaceDE w:val="0"/>
              <w:autoSpaceDN w:val="0"/>
              <w:adjustRightInd w:val="0"/>
              <w:snapToGrid w:val="0"/>
              <w:ind w:firstLine="357"/>
              <w:jc w:val="center"/>
              <w:rPr>
                <w:kern w:val="0"/>
                <w:sz w:val="18"/>
                <w:szCs w:val="18"/>
              </w:rPr>
            </w:pPr>
            <w:r>
              <w:rPr>
                <w:kern w:val="0"/>
                <w:sz w:val="18"/>
                <w:szCs w:val="18"/>
              </w:rPr>
              <w:t>二氧化硫（SO</w:t>
            </w:r>
            <w:r>
              <w:rPr>
                <w:kern w:val="0"/>
                <w:sz w:val="12"/>
                <w:szCs w:val="12"/>
              </w:rPr>
              <w:t>2</w:t>
            </w:r>
            <w:r>
              <w:rPr>
                <w:kern w:val="0"/>
                <w:sz w:val="18"/>
                <w:szCs w:val="18"/>
              </w:rPr>
              <w:t>）、氮氧化物（NOx）等</w:t>
            </w: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lang w:bidi="ar"/>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bidi="ar"/>
        </w:rPr>
        <w:t>海洋工程用不锈钢钢板及钢带</w:t>
      </w:r>
      <w:r>
        <w:rPr>
          <w:rFonts w:eastAsia="黑体"/>
          <w:color w:val="000000"/>
          <w:kern w:val="0"/>
          <w:szCs w:val="21"/>
          <w:lang w:bidi="ar"/>
        </w:rPr>
        <w:t>产品生命周期影响评价</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5"/>
        <w:gridCol w:w="2119"/>
        <w:gridCol w:w="1612"/>
        <w:gridCol w:w="1780"/>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blHeader/>
          <w:jc w:val="center"/>
        </w:trPr>
        <w:tc>
          <w:tcPr>
            <w:tcW w:w="128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环境类别</w:t>
            </w: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单位</w:t>
            </w:r>
          </w:p>
        </w:tc>
        <w:tc>
          <w:tcPr>
            <w:tcW w:w="84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指标参数</w:t>
            </w:r>
          </w:p>
        </w:tc>
        <w:tc>
          <w:tcPr>
            <w:tcW w:w="9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特征化因子</w:t>
            </w:r>
          </w:p>
        </w:tc>
        <w:tc>
          <w:tcPr>
            <w:tcW w:w="83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全球变暖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CO</w:t>
            </w:r>
            <w:r>
              <w:rPr>
                <w:sz w:val="18"/>
                <w:vertAlign w:val="subscript"/>
                <w:lang w:bidi="ar"/>
              </w:rPr>
              <w:t>2</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2"/>
                <w:szCs w:val="12"/>
              </w:rPr>
            </w:pPr>
            <w:r>
              <w:rPr>
                <w:color w:val="000000"/>
                <w:kern w:val="0"/>
                <w:sz w:val="18"/>
                <w:szCs w:val="18"/>
                <w:lang w:bidi="ar"/>
              </w:rPr>
              <w:t>CO</w:t>
            </w:r>
            <w:r>
              <w:rPr>
                <w:color w:val="000000"/>
                <w:kern w:val="0"/>
                <w:sz w:val="12"/>
                <w:szCs w:val="12"/>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w:t>
            </w:r>
          </w:p>
        </w:tc>
        <w:tc>
          <w:tcPr>
            <w:tcW w:w="838"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rPr>
            </w:pPr>
            <w:r>
              <w:rPr>
                <w:sz w:val="18"/>
                <w:lang w:bidi="ar"/>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CH</w:t>
            </w:r>
            <w:r>
              <w:rPr>
                <w:color w:val="000000"/>
                <w:kern w:val="0"/>
                <w:sz w:val="18"/>
                <w:szCs w:val="18"/>
                <w:vertAlign w:val="subscript"/>
                <w:lang w:bidi="ar"/>
              </w:rPr>
              <w:t>4</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25</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298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PO</w:t>
            </w:r>
            <w:r>
              <w:rPr>
                <w:sz w:val="18"/>
                <w:vertAlign w:val="subscript"/>
                <w:lang w:bidi="ar"/>
              </w:rPr>
              <w:t>4</w:t>
            </w:r>
            <w:r>
              <w:rPr>
                <w:sz w:val="18"/>
                <w:vertAlign w:val="superscript"/>
                <w:lang w:bidi="ar"/>
              </w:rPr>
              <w:t>3-</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0.20</w:t>
            </w:r>
          </w:p>
        </w:tc>
        <w:tc>
          <w:tcPr>
            <w:tcW w:w="838"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0.42</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COD</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0.022</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1107"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r>
              <w:rPr>
                <w:color w:val="000000"/>
                <w:kern w:val="0"/>
                <w:sz w:val="18"/>
                <w:lang w:bidi="ar"/>
              </w:rPr>
              <w:t>当量/kg</w:t>
            </w: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3</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1.07</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HCl</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0.88</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07"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HF</w:t>
            </w:r>
          </w:p>
        </w:tc>
        <w:tc>
          <w:tcPr>
            <w:tcW w:w="93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1.60</w:t>
            </w:r>
          </w:p>
        </w:tc>
        <w:tc>
          <w:tcPr>
            <w:tcW w:w="838" w:type="pct"/>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autoSpaceDE w:val="0"/>
        <w:autoSpaceDN w:val="0"/>
        <w:adjustRightInd w:val="0"/>
        <w:spacing w:before="156" w:after="156"/>
        <w:jc w:val="center"/>
        <w:rPr>
          <w:rFonts w:eastAsia="黑体"/>
          <w:color w:val="000000"/>
          <w:kern w:val="0"/>
          <w:szCs w:val="21"/>
          <w:lang w:bidi="ar"/>
        </w:rPr>
      </w:pPr>
    </w:p>
    <w:p>
      <w:pPr>
        <w:pStyle w:val="30"/>
        <w:widowControl/>
        <w:numPr>
          <w:ilvl w:val="1"/>
          <w:numId w:val="20"/>
        </w:numPr>
        <w:tabs>
          <w:tab w:val="left" w:pos="0"/>
        </w:tabs>
        <w:spacing w:before="312" w:beforeLines="100" w:after="312" w:afterLines="100"/>
        <w:outlineLvl w:val="1"/>
        <w:rPr>
          <w:rFonts w:eastAsia="黑体"/>
          <w:sz w:val="21"/>
          <w:szCs w:val="21"/>
        </w:rPr>
      </w:pPr>
      <w:r>
        <w:rPr>
          <w:rFonts w:hint="eastAsia" w:eastAsia="黑体"/>
          <w:sz w:val="21"/>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 xml:space="preserve"> =ΣEP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 xml:space="preserve">附 录 </w:t>
      </w:r>
      <w:r>
        <w:rPr>
          <w:rFonts w:hint="eastAsia" w:eastAsia="黑体"/>
          <w:kern w:val="0"/>
          <w:sz w:val="21"/>
          <w:szCs w:val="20"/>
          <w:lang w:bidi="ar"/>
        </w:rPr>
        <w:t>C</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（资料性）</w:t>
      </w:r>
    </w:p>
    <w:p>
      <w:pPr>
        <w:ind w:firstLine="420" w:firstLineChars="200"/>
        <w:jc w:val="center"/>
      </w:pPr>
      <w:r>
        <w:rPr>
          <w:rFonts w:eastAsia="黑体"/>
          <w:kern w:val="0"/>
          <w:szCs w:val="20"/>
          <w:lang w:bidi="ar"/>
        </w:rPr>
        <w:t>数据收集表格</w:t>
      </w:r>
    </w:p>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原材料成分、用量及运输清单</w:t>
      </w:r>
    </w:p>
    <w:p>
      <w:pPr>
        <w:autoSpaceDE w:val="0"/>
        <w:autoSpaceDN w:val="0"/>
        <w:adjustRightInd w:val="0"/>
        <w:spacing w:before="156" w:after="156"/>
        <w:ind w:firstLine="420" w:firstLineChars="200"/>
        <w:rPr>
          <w:color w:val="000000"/>
          <w:kern w:val="0"/>
          <w:szCs w:val="21"/>
        </w:rPr>
      </w:pPr>
      <w:r>
        <w:rPr>
          <w:rFonts w:hint="eastAsia"/>
          <w:color w:val="000000"/>
          <w:kern w:val="0"/>
          <w:szCs w:val="21"/>
          <w:lang w:bidi="ar"/>
        </w:rPr>
        <w:t>原材料成分、用量及运输清单如表C.1所示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lang w:bidi="ar"/>
              </w:rPr>
              <w:t>红土镍矿</w:t>
            </w:r>
            <w:r>
              <w:rPr>
                <w:color w:val="000000"/>
                <w:kern w:val="0"/>
                <w:sz w:val="18"/>
                <w:szCs w:val="18"/>
                <w:lang w:bidi="ar"/>
              </w:rPr>
              <w:t>（</w:t>
            </w:r>
            <w:r>
              <w:rPr>
                <w:rFonts w:hint="eastAsia"/>
                <w:color w:val="000000"/>
                <w:kern w:val="0"/>
                <w:sz w:val="18"/>
                <w:szCs w:val="18"/>
                <w:lang w:bidi="ar"/>
              </w:rPr>
              <w:t>Ni</w:t>
            </w:r>
            <w:r>
              <w:rPr>
                <w:color w:val="000000"/>
                <w:kern w:val="0"/>
                <w:sz w:val="18"/>
                <w:szCs w:val="18"/>
                <w:lang w:bidi="ar"/>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lang w:bidi="ar"/>
              </w:rPr>
              <w:t>废钢</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焦炭</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lang w:bidi="ar"/>
              </w:rPr>
              <w:t>氢氟酸</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834" w:type="dxa"/>
            <w:vMerge w:val="continue"/>
            <w:tcBorders>
              <w:left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硫酸</w:t>
            </w:r>
          </w:p>
        </w:tc>
        <w:tc>
          <w:tcPr>
            <w:tcW w:w="1360"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834" w:type="dxa"/>
            <w:vMerge w:val="continue"/>
            <w:tcBorders>
              <w:left w:val="single" w:color="000000" w:sz="4" w:space="0"/>
              <w:right w:val="single" w:color="000000" w:sz="4" w:space="0"/>
            </w:tcBorders>
            <w:vAlign w:val="center"/>
          </w:tcPr>
          <w:p>
            <w:pPr>
              <w:rPr>
                <w:sz w:val="20"/>
                <w:szCs w:val="20"/>
              </w:rPr>
            </w:pPr>
          </w:p>
        </w:tc>
        <w:tc>
          <w:tcPr>
            <w:tcW w:w="1160"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盐酸</w:t>
            </w:r>
          </w:p>
        </w:tc>
        <w:tc>
          <w:tcPr>
            <w:tcW w:w="1360"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834" w:type="dxa"/>
            <w:vMerge w:val="continue"/>
            <w:tcBorders>
              <w:left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硝酸</w:t>
            </w:r>
          </w:p>
        </w:tc>
        <w:tc>
          <w:tcPr>
            <w:tcW w:w="1360"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34" w:type="dxa"/>
            <w:vMerge w:val="continue"/>
            <w:tcBorders>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1360"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红土镍矿高炉工序能源消耗清单</w:t>
      </w:r>
    </w:p>
    <w:p>
      <w:pPr>
        <w:autoSpaceDE w:val="0"/>
        <w:autoSpaceDN w:val="0"/>
        <w:adjustRightInd w:val="0"/>
        <w:spacing w:before="156" w:after="156"/>
        <w:ind w:firstLine="420" w:firstLineChars="200"/>
        <w:rPr>
          <w:b/>
          <w:color w:val="000000"/>
          <w:kern w:val="0"/>
          <w:szCs w:val="21"/>
        </w:rPr>
      </w:pPr>
      <w:r>
        <w:rPr>
          <w:rFonts w:hint="eastAsia"/>
          <w:color w:val="000000"/>
          <w:kern w:val="0"/>
          <w:szCs w:val="21"/>
          <w:lang w:bidi="ar"/>
        </w:rPr>
        <w:t>红土镍矿高炉工序能源消耗清单如表C.2所示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C.2　红土镍矿高炉工序</w:t>
      </w:r>
      <w:r>
        <w:rPr>
          <w:rFonts w:eastAsia="黑体"/>
          <w:color w:val="000000"/>
          <w:kern w:val="0"/>
          <w:szCs w:val="21"/>
          <w:lang w:bidi="ar"/>
        </w:rPr>
        <w:t>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兆焦(MJ)</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红土镍矿</w:t>
      </w:r>
      <w:r>
        <w:rPr>
          <w:rFonts w:eastAsia="黑体"/>
          <w:sz w:val="21"/>
          <w:szCs w:val="21"/>
        </w:rPr>
        <w:t>RKEF</w:t>
      </w:r>
      <w:r>
        <w:rPr>
          <w:rFonts w:hint="eastAsia" w:eastAsia="黑体"/>
          <w:sz w:val="21"/>
          <w:szCs w:val="21"/>
        </w:rPr>
        <w:t>工序能源消耗清单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红土镍矿RKEF工序能源消耗清单如表C.3所示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.3</w:t>
      </w:r>
      <w:r>
        <w:rPr>
          <w:rFonts w:hint="eastAsia" w:eastAsia="黑体"/>
          <w:color w:val="000000"/>
          <w:kern w:val="0"/>
          <w:szCs w:val="21"/>
          <w:lang w:bidi="ar"/>
        </w:rPr>
        <w:t>　红土镍矿RKEF工序</w:t>
      </w:r>
      <w:r>
        <w:rPr>
          <w:rFonts w:eastAsia="黑体"/>
          <w:color w:val="000000"/>
          <w:kern w:val="0"/>
          <w:szCs w:val="21"/>
          <w:lang w:bidi="ar"/>
        </w:rPr>
        <w:t>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兆焦(MJ)</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转炉工序能源消耗清单</w:t>
      </w:r>
    </w:p>
    <w:p>
      <w:pPr>
        <w:autoSpaceDE w:val="0"/>
        <w:autoSpaceDN w:val="0"/>
        <w:adjustRightInd w:val="0"/>
        <w:spacing w:before="156" w:after="156"/>
        <w:ind w:firstLine="420" w:firstLineChars="200"/>
      </w:pPr>
      <w:r>
        <w:rPr>
          <w:rFonts w:hint="eastAsia"/>
          <w:color w:val="000000"/>
          <w:kern w:val="0"/>
          <w:szCs w:val="21"/>
          <w:lang w:bidi="ar"/>
        </w:rPr>
        <w:t>转炉工序能源消耗清单如表C.4所示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.4</w:t>
      </w:r>
      <w:r>
        <w:rPr>
          <w:rFonts w:hint="eastAsia" w:eastAsia="黑体"/>
          <w:color w:val="000000"/>
          <w:kern w:val="0"/>
          <w:szCs w:val="21"/>
          <w:lang w:bidi="ar"/>
        </w:rPr>
        <w:t xml:space="preserve"> 转炉</w:t>
      </w:r>
      <w:r>
        <w:rPr>
          <w:rFonts w:eastAsia="黑体"/>
          <w:color w:val="000000"/>
          <w:kern w:val="0"/>
          <w:szCs w:val="21"/>
          <w:lang w:bidi="ar"/>
        </w:rPr>
        <w:t>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电炉工序能源消耗清单</w:t>
      </w:r>
    </w:p>
    <w:p>
      <w:pPr>
        <w:autoSpaceDE w:val="0"/>
        <w:autoSpaceDN w:val="0"/>
        <w:adjustRightInd w:val="0"/>
        <w:spacing w:before="156" w:after="156"/>
        <w:ind w:firstLine="420" w:firstLineChars="200"/>
      </w:pPr>
      <w:r>
        <w:rPr>
          <w:rFonts w:hint="eastAsia"/>
          <w:color w:val="000000"/>
          <w:kern w:val="0"/>
          <w:szCs w:val="21"/>
          <w:lang w:bidi="ar"/>
        </w:rPr>
        <w:t>电炉工序能源消耗清单如表C.</w:t>
      </w:r>
      <w:r>
        <w:rPr>
          <w:color w:val="000000"/>
          <w:kern w:val="0"/>
          <w:szCs w:val="21"/>
          <w:lang w:bidi="ar"/>
        </w:rPr>
        <w:t>5</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.5</w:t>
      </w:r>
      <w:r>
        <w:rPr>
          <w:rFonts w:hint="eastAsia" w:eastAsia="黑体"/>
          <w:color w:val="000000"/>
          <w:kern w:val="0"/>
          <w:szCs w:val="21"/>
          <w:lang w:bidi="ar"/>
        </w:rPr>
        <w:t xml:space="preserve"> 电炉</w:t>
      </w:r>
      <w:r>
        <w:rPr>
          <w:rFonts w:eastAsia="黑体"/>
          <w:color w:val="000000"/>
          <w:kern w:val="0"/>
          <w:szCs w:val="21"/>
          <w:lang w:bidi="ar"/>
        </w:rPr>
        <w:t>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冷轧不锈钢工序能源消耗清单</w:t>
      </w:r>
    </w:p>
    <w:p>
      <w:pPr>
        <w:autoSpaceDE w:val="0"/>
        <w:autoSpaceDN w:val="0"/>
        <w:adjustRightInd w:val="0"/>
        <w:spacing w:before="156" w:after="156"/>
        <w:ind w:firstLine="420" w:firstLineChars="200"/>
      </w:pPr>
      <w:r>
        <w:rPr>
          <w:rFonts w:hint="eastAsia"/>
          <w:color w:val="000000"/>
          <w:kern w:val="0"/>
          <w:szCs w:val="21"/>
          <w:lang w:bidi="ar"/>
        </w:rPr>
        <w:t>冷轧不锈钢工序能源消耗清单如表C.</w:t>
      </w:r>
      <w:r>
        <w:rPr>
          <w:color w:val="000000"/>
          <w:kern w:val="0"/>
          <w:szCs w:val="21"/>
          <w:lang w:bidi="ar"/>
        </w:rPr>
        <w:t>6</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.6</w:t>
      </w:r>
      <w:r>
        <w:rPr>
          <w:rFonts w:hint="eastAsia" w:eastAsia="黑体"/>
          <w:color w:val="000000"/>
          <w:kern w:val="0"/>
          <w:szCs w:val="21"/>
          <w:lang w:bidi="ar"/>
        </w:rPr>
        <w:t xml:space="preserve"> 冷轧不锈钢工序</w:t>
      </w:r>
      <w:r>
        <w:rPr>
          <w:rFonts w:eastAsia="黑体"/>
          <w:color w:val="000000"/>
          <w:kern w:val="0"/>
          <w:szCs w:val="21"/>
          <w:lang w:bidi="ar"/>
        </w:rPr>
        <w:t>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rFonts w:hint="eastAsia"/>
                <w:color w:val="000000"/>
                <w:kern w:val="0"/>
                <w:sz w:val="18"/>
                <w:szCs w:val="18"/>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新水消耗清单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新水消耗清单如表C.</w:t>
      </w:r>
      <w:r>
        <w:rPr>
          <w:color w:val="000000"/>
          <w:kern w:val="0"/>
          <w:szCs w:val="21"/>
          <w:lang w:bidi="ar"/>
        </w:rPr>
        <w:t>7</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.7</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污染物排放清单</w:t>
      </w:r>
    </w:p>
    <w:p>
      <w:pPr>
        <w:autoSpaceDE w:val="0"/>
        <w:autoSpaceDN w:val="0"/>
        <w:adjustRightInd w:val="0"/>
        <w:spacing w:before="156" w:after="156"/>
        <w:ind w:firstLine="420" w:firstLineChars="200"/>
        <w:rPr>
          <w:rFonts w:eastAsia="黑体"/>
          <w:color w:val="000000"/>
          <w:kern w:val="0"/>
          <w:szCs w:val="21"/>
        </w:rPr>
      </w:pPr>
      <w:r>
        <w:rPr>
          <w:rFonts w:hint="eastAsia"/>
          <w:color w:val="000000"/>
          <w:kern w:val="0"/>
          <w:szCs w:val="21"/>
          <w:lang w:bidi="ar"/>
        </w:rPr>
        <w:t>污染物排放清单如表C.</w:t>
      </w:r>
      <w:r>
        <w:rPr>
          <w:color w:val="000000"/>
          <w:kern w:val="0"/>
          <w:szCs w:val="21"/>
          <w:lang w:bidi="ar"/>
        </w:rPr>
        <w:t>8</w:t>
      </w:r>
      <w:r>
        <w:rPr>
          <w:rFonts w:hint="eastAsia"/>
          <w:color w:val="000000"/>
          <w:kern w:val="0"/>
          <w:szCs w:val="21"/>
          <w:lang w:bidi="ar"/>
        </w:rPr>
        <w:t>所示</w:t>
      </w:r>
      <w:r>
        <w:rPr>
          <w:color w:val="000000"/>
          <w:kern w:val="0"/>
          <w:szCs w:val="21"/>
          <w:lang w:bidi="ar"/>
        </w:rPr>
        <w:t>。</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.8</w:t>
      </w:r>
      <w:r>
        <w:rPr>
          <w:rFonts w:hint="eastAsia" w:eastAsia="黑体"/>
          <w:color w:val="000000"/>
          <w:kern w:val="0"/>
          <w:szCs w:val="21"/>
          <w:lang w:bidi="ar"/>
        </w:rPr>
        <w:t xml:space="preserve">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widowControl/>
        <w:jc w:val="left"/>
        <w:rPr>
          <w:kern w:val="0"/>
          <w:szCs w:val="20"/>
        </w:rPr>
      </w:pPr>
    </w:p>
    <w:p>
      <w:pPr>
        <w:widowControl/>
        <w:jc w:val="left"/>
        <w:rPr>
          <w:kern w:val="0"/>
          <w:szCs w:val="20"/>
        </w:rPr>
      </w:pPr>
    </w:p>
    <w:p>
      <w:pPr>
        <w:widowControl/>
        <w:jc w:val="left"/>
        <w:rPr>
          <w:kern w:val="0"/>
          <w:szCs w:val="20"/>
        </w:rPr>
      </w:pPr>
      <w:r>
        <w:rPr>
          <w:kern w:val="0"/>
          <w:szCs w:val="20"/>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0BE784"/>
    <w:multiLevelType w:val="multilevel"/>
    <w:tmpl w:val="070BE784"/>
    <w:lvl w:ilvl="0" w:tentative="0">
      <w:start w:val="1"/>
      <w:numFmt w:val="decimal"/>
      <w:suff w:val="nothing"/>
      <w:lvlText w:val="C.%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C.%1.%2　"/>
      <w:lvlJc w:val="left"/>
      <w:pPr>
        <w:tabs>
          <w:tab w:val="left" w:pos="0"/>
        </w:tabs>
        <w:ind w:left="0"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C.%1.%2.%3　"/>
      <w:lvlJc w:val="left"/>
      <w:pPr>
        <w:ind w:left="0" w:firstLine="0"/>
      </w:pPr>
      <w:rPr>
        <w:rFonts w:hint="default" w:ascii="宋体" w:hAnsi="宋体" w:eastAsia="宋体" w:cs="宋体"/>
        <w:b w:val="0"/>
        <w:i w:val="0"/>
        <w:sz w:val="21"/>
        <w:szCs w:val="21"/>
      </w:rPr>
    </w:lvl>
    <w:lvl w:ilvl="3" w:tentative="0">
      <w:start w:val="1"/>
      <w:numFmt w:val="decimal"/>
      <w:suff w:val="nothing"/>
      <w:lvlText w:val="C.%1.%2.%3.%4　"/>
      <w:lvlJc w:val="left"/>
      <w:pPr>
        <w:ind w:left="0" w:firstLine="0"/>
      </w:pPr>
      <w:rPr>
        <w:rFonts w:hint="default" w:ascii="宋体" w:hAnsi="宋体" w:eastAsia="宋体" w:cs="宋体"/>
        <w:b w:val="0"/>
        <w:i w:val="0"/>
        <w:sz w:val="21"/>
        <w:szCs w:val="21"/>
      </w:rPr>
    </w:lvl>
    <w:lvl w:ilvl="4" w:tentative="0">
      <w:start w:val="1"/>
      <w:numFmt w:val="decimal"/>
      <w:suff w:val="nothing"/>
      <w:lvlText w:val="C.%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default" w:ascii="宋体" w:hAnsi="宋体" w:eastAsia="宋体" w:cs="宋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2">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142"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3692"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4">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5"/>
  </w:num>
  <w:num w:numId="3">
    <w:abstractNumId w:val="7"/>
  </w:num>
  <w:num w:numId="4">
    <w:abstractNumId w:val="3"/>
  </w:num>
  <w:num w:numId="5">
    <w:abstractNumId w:val="9"/>
  </w:num>
  <w:num w:numId="6">
    <w:abstractNumId w:val="15"/>
  </w:num>
  <w:num w:numId="7">
    <w:abstractNumId w:val="17"/>
  </w:num>
  <w:num w:numId="8">
    <w:abstractNumId w:val="12"/>
  </w:num>
  <w:num w:numId="9">
    <w:abstractNumId w:val="14"/>
  </w:num>
  <w:num w:numId="10">
    <w:abstractNumId w:val="11"/>
  </w:num>
  <w:num w:numId="11">
    <w:abstractNumId w:val="16"/>
  </w:num>
  <w:num w:numId="12">
    <w:abstractNumId w:val="19"/>
  </w:num>
  <w:num w:numId="13">
    <w:abstractNumId w:val="18"/>
  </w:num>
  <w:num w:numId="14">
    <w:abstractNumId w:val="8"/>
  </w:num>
  <w:num w:numId="15">
    <w:abstractNumId w:val="4"/>
  </w:num>
  <w:num w:numId="16">
    <w:abstractNumId w:val="6"/>
  </w:num>
  <w:num w:numId="17">
    <w:abstractNumId w:val="2"/>
  </w:num>
  <w:num w:numId="18">
    <w:abstractNumId w:val="0"/>
  </w:num>
  <w:num w:numId="19">
    <w:abstractNumId w:val="2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2M1MTFiNDYxNDNkNzhiMDQzYzE3Mzc3ODRlN2YifQ=="/>
  </w:docVars>
  <w:rsids>
    <w:rsidRoot w:val="00172A27"/>
    <w:rsid w:val="00000244"/>
    <w:rsid w:val="0000185F"/>
    <w:rsid w:val="00003464"/>
    <w:rsid w:val="0000586F"/>
    <w:rsid w:val="00005D79"/>
    <w:rsid w:val="00007340"/>
    <w:rsid w:val="00010A5B"/>
    <w:rsid w:val="00011C01"/>
    <w:rsid w:val="00013D86"/>
    <w:rsid w:val="00013E02"/>
    <w:rsid w:val="0001738C"/>
    <w:rsid w:val="0002143C"/>
    <w:rsid w:val="00022016"/>
    <w:rsid w:val="00025A65"/>
    <w:rsid w:val="00026977"/>
    <w:rsid w:val="00026C31"/>
    <w:rsid w:val="00027280"/>
    <w:rsid w:val="000306E3"/>
    <w:rsid w:val="000320A7"/>
    <w:rsid w:val="00032420"/>
    <w:rsid w:val="00035925"/>
    <w:rsid w:val="000366F4"/>
    <w:rsid w:val="00037DAC"/>
    <w:rsid w:val="00037DB3"/>
    <w:rsid w:val="00041127"/>
    <w:rsid w:val="00045C9B"/>
    <w:rsid w:val="000466F7"/>
    <w:rsid w:val="000522F9"/>
    <w:rsid w:val="0005448B"/>
    <w:rsid w:val="00057967"/>
    <w:rsid w:val="000639E9"/>
    <w:rsid w:val="00063E76"/>
    <w:rsid w:val="0006738B"/>
    <w:rsid w:val="00067CDF"/>
    <w:rsid w:val="00074B69"/>
    <w:rsid w:val="00074FBE"/>
    <w:rsid w:val="000772BB"/>
    <w:rsid w:val="0008131C"/>
    <w:rsid w:val="000822C7"/>
    <w:rsid w:val="00083A09"/>
    <w:rsid w:val="00083EA1"/>
    <w:rsid w:val="00087B52"/>
    <w:rsid w:val="0009005E"/>
    <w:rsid w:val="00090E08"/>
    <w:rsid w:val="00092857"/>
    <w:rsid w:val="00094BB2"/>
    <w:rsid w:val="000A1A31"/>
    <w:rsid w:val="000A20A9"/>
    <w:rsid w:val="000A48B1"/>
    <w:rsid w:val="000A5495"/>
    <w:rsid w:val="000B3143"/>
    <w:rsid w:val="000C30C7"/>
    <w:rsid w:val="000C6B05"/>
    <w:rsid w:val="000C6DD6"/>
    <w:rsid w:val="000C73D4"/>
    <w:rsid w:val="000D3D4C"/>
    <w:rsid w:val="000D4406"/>
    <w:rsid w:val="000D4505"/>
    <w:rsid w:val="000D4F51"/>
    <w:rsid w:val="000D6259"/>
    <w:rsid w:val="000D718B"/>
    <w:rsid w:val="000E09EF"/>
    <w:rsid w:val="000E0C46"/>
    <w:rsid w:val="000E39E5"/>
    <w:rsid w:val="000E3E71"/>
    <w:rsid w:val="000E3EC7"/>
    <w:rsid w:val="000E5AA6"/>
    <w:rsid w:val="000F030C"/>
    <w:rsid w:val="000F04B4"/>
    <w:rsid w:val="000F1135"/>
    <w:rsid w:val="000F129C"/>
    <w:rsid w:val="000F6242"/>
    <w:rsid w:val="00104DFD"/>
    <w:rsid w:val="001056DE"/>
    <w:rsid w:val="00107602"/>
    <w:rsid w:val="00111863"/>
    <w:rsid w:val="001124C0"/>
    <w:rsid w:val="0012309C"/>
    <w:rsid w:val="00125647"/>
    <w:rsid w:val="001278EF"/>
    <w:rsid w:val="0013175F"/>
    <w:rsid w:val="00135CD6"/>
    <w:rsid w:val="001512B4"/>
    <w:rsid w:val="00152179"/>
    <w:rsid w:val="00156D41"/>
    <w:rsid w:val="0016056B"/>
    <w:rsid w:val="001620A5"/>
    <w:rsid w:val="00162F72"/>
    <w:rsid w:val="00164E53"/>
    <w:rsid w:val="0016699D"/>
    <w:rsid w:val="001701E9"/>
    <w:rsid w:val="00170F6D"/>
    <w:rsid w:val="0017259F"/>
    <w:rsid w:val="0017266F"/>
    <w:rsid w:val="00172A27"/>
    <w:rsid w:val="00175159"/>
    <w:rsid w:val="00176208"/>
    <w:rsid w:val="0018211B"/>
    <w:rsid w:val="00182D67"/>
    <w:rsid w:val="001830E2"/>
    <w:rsid w:val="001840D3"/>
    <w:rsid w:val="001841AA"/>
    <w:rsid w:val="00184BBB"/>
    <w:rsid w:val="00187A9A"/>
    <w:rsid w:val="00187C08"/>
    <w:rsid w:val="001900F8"/>
    <w:rsid w:val="001910D9"/>
    <w:rsid w:val="00191258"/>
    <w:rsid w:val="00192680"/>
    <w:rsid w:val="00193037"/>
    <w:rsid w:val="00193A2C"/>
    <w:rsid w:val="001A01D4"/>
    <w:rsid w:val="001A25CD"/>
    <w:rsid w:val="001A288E"/>
    <w:rsid w:val="001A2C54"/>
    <w:rsid w:val="001A32EE"/>
    <w:rsid w:val="001A6DD3"/>
    <w:rsid w:val="001B2277"/>
    <w:rsid w:val="001B6DC2"/>
    <w:rsid w:val="001C05F1"/>
    <w:rsid w:val="001C149C"/>
    <w:rsid w:val="001C21AC"/>
    <w:rsid w:val="001C47BA"/>
    <w:rsid w:val="001C59EA"/>
    <w:rsid w:val="001D406C"/>
    <w:rsid w:val="001D414F"/>
    <w:rsid w:val="001D41EE"/>
    <w:rsid w:val="001E0380"/>
    <w:rsid w:val="001E13B1"/>
    <w:rsid w:val="001E4676"/>
    <w:rsid w:val="001E55B7"/>
    <w:rsid w:val="001E5BE7"/>
    <w:rsid w:val="001E69DB"/>
    <w:rsid w:val="001E7A79"/>
    <w:rsid w:val="001F22E7"/>
    <w:rsid w:val="001F3A19"/>
    <w:rsid w:val="00210BFB"/>
    <w:rsid w:val="00216838"/>
    <w:rsid w:val="0022046A"/>
    <w:rsid w:val="00231142"/>
    <w:rsid w:val="0023115B"/>
    <w:rsid w:val="00231970"/>
    <w:rsid w:val="00232990"/>
    <w:rsid w:val="002332A1"/>
    <w:rsid w:val="0023428E"/>
    <w:rsid w:val="00234467"/>
    <w:rsid w:val="00237D8D"/>
    <w:rsid w:val="00237DD2"/>
    <w:rsid w:val="00240FE6"/>
    <w:rsid w:val="00241648"/>
    <w:rsid w:val="00241DA2"/>
    <w:rsid w:val="00245B95"/>
    <w:rsid w:val="00247FEE"/>
    <w:rsid w:val="00250E7D"/>
    <w:rsid w:val="002535F0"/>
    <w:rsid w:val="002565D5"/>
    <w:rsid w:val="00257C39"/>
    <w:rsid w:val="00257CFA"/>
    <w:rsid w:val="002621E4"/>
    <w:rsid w:val="002622C0"/>
    <w:rsid w:val="00262D2E"/>
    <w:rsid w:val="002665C3"/>
    <w:rsid w:val="00276B08"/>
    <w:rsid w:val="002778AE"/>
    <w:rsid w:val="00281919"/>
    <w:rsid w:val="002824CB"/>
    <w:rsid w:val="0028269A"/>
    <w:rsid w:val="00283590"/>
    <w:rsid w:val="00284913"/>
    <w:rsid w:val="00286973"/>
    <w:rsid w:val="002904AF"/>
    <w:rsid w:val="00290F60"/>
    <w:rsid w:val="00293657"/>
    <w:rsid w:val="00294E70"/>
    <w:rsid w:val="00295B84"/>
    <w:rsid w:val="00296FB8"/>
    <w:rsid w:val="002A06B3"/>
    <w:rsid w:val="002A1924"/>
    <w:rsid w:val="002A7420"/>
    <w:rsid w:val="002B0D34"/>
    <w:rsid w:val="002B0F12"/>
    <w:rsid w:val="002B1308"/>
    <w:rsid w:val="002B4554"/>
    <w:rsid w:val="002C0DBA"/>
    <w:rsid w:val="002C0FEA"/>
    <w:rsid w:val="002C2696"/>
    <w:rsid w:val="002C42FF"/>
    <w:rsid w:val="002C5B7F"/>
    <w:rsid w:val="002C72D8"/>
    <w:rsid w:val="002D11FA"/>
    <w:rsid w:val="002D430D"/>
    <w:rsid w:val="002E0DDF"/>
    <w:rsid w:val="002E2906"/>
    <w:rsid w:val="002E5635"/>
    <w:rsid w:val="002E64C3"/>
    <w:rsid w:val="002E6A2C"/>
    <w:rsid w:val="002F1D8C"/>
    <w:rsid w:val="002F21DA"/>
    <w:rsid w:val="002F3F0D"/>
    <w:rsid w:val="002F409E"/>
    <w:rsid w:val="002F42E2"/>
    <w:rsid w:val="002F57F3"/>
    <w:rsid w:val="002F5C1B"/>
    <w:rsid w:val="00301F39"/>
    <w:rsid w:val="00301F9F"/>
    <w:rsid w:val="003046C0"/>
    <w:rsid w:val="00305812"/>
    <w:rsid w:val="003073E0"/>
    <w:rsid w:val="00310478"/>
    <w:rsid w:val="003156EB"/>
    <w:rsid w:val="00317A37"/>
    <w:rsid w:val="0032071A"/>
    <w:rsid w:val="00325926"/>
    <w:rsid w:val="00327A8A"/>
    <w:rsid w:val="0033124C"/>
    <w:rsid w:val="00336610"/>
    <w:rsid w:val="00342930"/>
    <w:rsid w:val="00343F73"/>
    <w:rsid w:val="00345060"/>
    <w:rsid w:val="00350323"/>
    <w:rsid w:val="00350BC9"/>
    <w:rsid w:val="0035323B"/>
    <w:rsid w:val="003532E7"/>
    <w:rsid w:val="00355CB5"/>
    <w:rsid w:val="00356876"/>
    <w:rsid w:val="003609D2"/>
    <w:rsid w:val="00363F22"/>
    <w:rsid w:val="003650D5"/>
    <w:rsid w:val="003659A4"/>
    <w:rsid w:val="00370570"/>
    <w:rsid w:val="0037473D"/>
    <w:rsid w:val="00375564"/>
    <w:rsid w:val="003756CD"/>
    <w:rsid w:val="0037662F"/>
    <w:rsid w:val="003768C0"/>
    <w:rsid w:val="00383191"/>
    <w:rsid w:val="003852DB"/>
    <w:rsid w:val="00386DED"/>
    <w:rsid w:val="003912E7"/>
    <w:rsid w:val="0039140F"/>
    <w:rsid w:val="00393947"/>
    <w:rsid w:val="003A1F65"/>
    <w:rsid w:val="003A2275"/>
    <w:rsid w:val="003A45AA"/>
    <w:rsid w:val="003A48CA"/>
    <w:rsid w:val="003A6207"/>
    <w:rsid w:val="003A6A4F"/>
    <w:rsid w:val="003A7088"/>
    <w:rsid w:val="003B00DF"/>
    <w:rsid w:val="003B1275"/>
    <w:rsid w:val="003B1778"/>
    <w:rsid w:val="003B2A92"/>
    <w:rsid w:val="003C0C95"/>
    <w:rsid w:val="003C11CB"/>
    <w:rsid w:val="003C361C"/>
    <w:rsid w:val="003C65BD"/>
    <w:rsid w:val="003C75F3"/>
    <w:rsid w:val="003C78A3"/>
    <w:rsid w:val="003D3D76"/>
    <w:rsid w:val="003D721E"/>
    <w:rsid w:val="003E0D6C"/>
    <w:rsid w:val="003E1867"/>
    <w:rsid w:val="003E4DAE"/>
    <w:rsid w:val="003E5729"/>
    <w:rsid w:val="003E5A57"/>
    <w:rsid w:val="003F0150"/>
    <w:rsid w:val="003F1CB3"/>
    <w:rsid w:val="003F214C"/>
    <w:rsid w:val="003F4EE0"/>
    <w:rsid w:val="003F4FCE"/>
    <w:rsid w:val="003F5CAE"/>
    <w:rsid w:val="004009E5"/>
    <w:rsid w:val="00400C28"/>
    <w:rsid w:val="00402153"/>
    <w:rsid w:val="00402FC1"/>
    <w:rsid w:val="00410255"/>
    <w:rsid w:val="004120FF"/>
    <w:rsid w:val="004134DD"/>
    <w:rsid w:val="00413B0E"/>
    <w:rsid w:val="00415CE8"/>
    <w:rsid w:val="004166CD"/>
    <w:rsid w:val="00417391"/>
    <w:rsid w:val="0041793A"/>
    <w:rsid w:val="00423779"/>
    <w:rsid w:val="004239C2"/>
    <w:rsid w:val="00423DBC"/>
    <w:rsid w:val="00425082"/>
    <w:rsid w:val="00431A96"/>
    <w:rsid w:val="00431DEB"/>
    <w:rsid w:val="00433D81"/>
    <w:rsid w:val="00446B29"/>
    <w:rsid w:val="004519EC"/>
    <w:rsid w:val="00453F9A"/>
    <w:rsid w:val="0045413F"/>
    <w:rsid w:val="00454F40"/>
    <w:rsid w:val="0045659F"/>
    <w:rsid w:val="00462311"/>
    <w:rsid w:val="00466999"/>
    <w:rsid w:val="00471E91"/>
    <w:rsid w:val="00472AF6"/>
    <w:rsid w:val="00472C6E"/>
    <w:rsid w:val="00474675"/>
    <w:rsid w:val="0047470C"/>
    <w:rsid w:val="004822E1"/>
    <w:rsid w:val="004842A6"/>
    <w:rsid w:val="004851C9"/>
    <w:rsid w:val="00485828"/>
    <w:rsid w:val="00490008"/>
    <w:rsid w:val="00493970"/>
    <w:rsid w:val="004949C7"/>
    <w:rsid w:val="004A029F"/>
    <w:rsid w:val="004A0900"/>
    <w:rsid w:val="004A3380"/>
    <w:rsid w:val="004A35F9"/>
    <w:rsid w:val="004A52C6"/>
    <w:rsid w:val="004A7FD1"/>
    <w:rsid w:val="004B24C1"/>
    <w:rsid w:val="004B2F2F"/>
    <w:rsid w:val="004B3527"/>
    <w:rsid w:val="004B7A61"/>
    <w:rsid w:val="004C0DE4"/>
    <w:rsid w:val="004C208F"/>
    <w:rsid w:val="004C292F"/>
    <w:rsid w:val="004C3B1F"/>
    <w:rsid w:val="004C52B4"/>
    <w:rsid w:val="004D197C"/>
    <w:rsid w:val="004E056C"/>
    <w:rsid w:val="004E4034"/>
    <w:rsid w:val="004E7695"/>
    <w:rsid w:val="004F10FB"/>
    <w:rsid w:val="004F11CA"/>
    <w:rsid w:val="004F3DE1"/>
    <w:rsid w:val="004F5484"/>
    <w:rsid w:val="00505AEC"/>
    <w:rsid w:val="00506363"/>
    <w:rsid w:val="00510280"/>
    <w:rsid w:val="005107C9"/>
    <w:rsid w:val="005122F6"/>
    <w:rsid w:val="00512425"/>
    <w:rsid w:val="00513D73"/>
    <w:rsid w:val="00514A43"/>
    <w:rsid w:val="005174E5"/>
    <w:rsid w:val="00520FE0"/>
    <w:rsid w:val="00522393"/>
    <w:rsid w:val="00522620"/>
    <w:rsid w:val="00522FE0"/>
    <w:rsid w:val="00525656"/>
    <w:rsid w:val="00532F7A"/>
    <w:rsid w:val="00534C02"/>
    <w:rsid w:val="00534D29"/>
    <w:rsid w:val="00534EC9"/>
    <w:rsid w:val="0053668C"/>
    <w:rsid w:val="00537C59"/>
    <w:rsid w:val="0054264B"/>
    <w:rsid w:val="00543786"/>
    <w:rsid w:val="00545170"/>
    <w:rsid w:val="00550AC2"/>
    <w:rsid w:val="005521BC"/>
    <w:rsid w:val="005528F0"/>
    <w:rsid w:val="005533D7"/>
    <w:rsid w:val="0055430C"/>
    <w:rsid w:val="0055617E"/>
    <w:rsid w:val="005703DE"/>
    <w:rsid w:val="00573FF1"/>
    <w:rsid w:val="00575169"/>
    <w:rsid w:val="005828EB"/>
    <w:rsid w:val="0058464E"/>
    <w:rsid w:val="005873F7"/>
    <w:rsid w:val="00587FD0"/>
    <w:rsid w:val="00592C13"/>
    <w:rsid w:val="0059333D"/>
    <w:rsid w:val="00594AEB"/>
    <w:rsid w:val="00594D40"/>
    <w:rsid w:val="005A01CB"/>
    <w:rsid w:val="005A58FF"/>
    <w:rsid w:val="005A5EAF"/>
    <w:rsid w:val="005A64C0"/>
    <w:rsid w:val="005B12B4"/>
    <w:rsid w:val="005B3C11"/>
    <w:rsid w:val="005B3CB5"/>
    <w:rsid w:val="005B6E15"/>
    <w:rsid w:val="005B73B1"/>
    <w:rsid w:val="005B7BCA"/>
    <w:rsid w:val="005C1190"/>
    <w:rsid w:val="005C1C28"/>
    <w:rsid w:val="005C40BF"/>
    <w:rsid w:val="005C51F7"/>
    <w:rsid w:val="005C6DB5"/>
    <w:rsid w:val="005C7E1D"/>
    <w:rsid w:val="005D123F"/>
    <w:rsid w:val="005D347A"/>
    <w:rsid w:val="005D4E43"/>
    <w:rsid w:val="005D5F29"/>
    <w:rsid w:val="005D6B2D"/>
    <w:rsid w:val="005E0135"/>
    <w:rsid w:val="005E19E7"/>
    <w:rsid w:val="005E6105"/>
    <w:rsid w:val="005E6661"/>
    <w:rsid w:val="005E71F4"/>
    <w:rsid w:val="005F014C"/>
    <w:rsid w:val="005F1527"/>
    <w:rsid w:val="005F1913"/>
    <w:rsid w:val="005F2504"/>
    <w:rsid w:val="005F350E"/>
    <w:rsid w:val="005F7EFC"/>
    <w:rsid w:val="006008E6"/>
    <w:rsid w:val="00601611"/>
    <w:rsid w:val="00603CAD"/>
    <w:rsid w:val="00612C98"/>
    <w:rsid w:val="00616C04"/>
    <w:rsid w:val="0061716C"/>
    <w:rsid w:val="006243A1"/>
    <w:rsid w:val="0062500E"/>
    <w:rsid w:val="00626C34"/>
    <w:rsid w:val="0063099E"/>
    <w:rsid w:val="0063111E"/>
    <w:rsid w:val="00632E56"/>
    <w:rsid w:val="00635B45"/>
    <w:rsid w:val="00635CBA"/>
    <w:rsid w:val="00641A9B"/>
    <w:rsid w:val="00641C62"/>
    <w:rsid w:val="006423A6"/>
    <w:rsid w:val="0064338B"/>
    <w:rsid w:val="00646542"/>
    <w:rsid w:val="00646A44"/>
    <w:rsid w:val="00646A5E"/>
    <w:rsid w:val="006471BF"/>
    <w:rsid w:val="006504F4"/>
    <w:rsid w:val="00651D37"/>
    <w:rsid w:val="00652972"/>
    <w:rsid w:val="00652A8E"/>
    <w:rsid w:val="00654BC9"/>
    <w:rsid w:val="006552FD"/>
    <w:rsid w:val="006554A5"/>
    <w:rsid w:val="00663AF3"/>
    <w:rsid w:val="00666B6C"/>
    <w:rsid w:val="00674409"/>
    <w:rsid w:val="0067452E"/>
    <w:rsid w:val="00676D9C"/>
    <w:rsid w:val="006771B8"/>
    <w:rsid w:val="0067773B"/>
    <w:rsid w:val="00682682"/>
    <w:rsid w:val="006826F4"/>
    <w:rsid w:val="00682702"/>
    <w:rsid w:val="006862EB"/>
    <w:rsid w:val="00692368"/>
    <w:rsid w:val="00692CEA"/>
    <w:rsid w:val="00692D89"/>
    <w:rsid w:val="006961ED"/>
    <w:rsid w:val="006A2EBC"/>
    <w:rsid w:val="006A5EA0"/>
    <w:rsid w:val="006A70C5"/>
    <w:rsid w:val="006A783B"/>
    <w:rsid w:val="006A7AEB"/>
    <w:rsid w:val="006A7B33"/>
    <w:rsid w:val="006B0009"/>
    <w:rsid w:val="006B240C"/>
    <w:rsid w:val="006B4E13"/>
    <w:rsid w:val="006B75DD"/>
    <w:rsid w:val="006C2AB8"/>
    <w:rsid w:val="006C3EC4"/>
    <w:rsid w:val="006C4C67"/>
    <w:rsid w:val="006C558C"/>
    <w:rsid w:val="006C5EC8"/>
    <w:rsid w:val="006C67E0"/>
    <w:rsid w:val="006C7ABA"/>
    <w:rsid w:val="006D08F4"/>
    <w:rsid w:val="006D0D60"/>
    <w:rsid w:val="006D1122"/>
    <w:rsid w:val="006D3C00"/>
    <w:rsid w:val="006D4D2E"/>
    <w:rsid w:val="006D4D40"/>
    <w:rsid w:val="006D51B3"/>
    <w:rsid w:val="006E3675"/>
    <w:rsid w:val="006E37CB"/>
    <w:rsid w:val="006E4A7F"/>
    <w:rsid w:val="006E5E69"/>
    <w:rsid w:val="006F2AB3"/>
    <w:rsid w:val="00702335"/>
    <w:rsid w:val="00704DF6"/>
    <w:rsid w:val="0070651C"/>
    <w:rsid w:val="00707D93"/>
    <w:rsid w:val="00711B5A"/>
    <w:rsid w:val="007132A3"/>
    <w:rsid w:val="00713BF8"/>
    <w:rsid w:val="00716421"/>
    <w:rsid w:val="00717651"/>
    <w:rsid w:val="00724EFB"/>
    <w:rsid w:val="00725A41"/>
    <w:rsid w:val="00727F16"/>
    <w:rsid w:val="00732949"/>
    <w:rsid w:val="007410DC"/>
    <w:rsid w:val="007419C3"/>
    <w:rsid w:val="00743B4A"/>
    <w:rsid w:val="007467A7"/>
    <w:rsid w:val="007469DD"/>
    <w:rsid w:val="00747275"/>
    <w:rsid w:val="0074741B"/>
    <w:rsid w:val="0074759E"/>
    <w:rsid w:val="007478EA"/>
    <w:rsid w:val="00750DC8"/>
    <w:rsid w:val="00753E0E"/>
    <w:rsid w:val="0075415C"/>
    <w:rsid w:val="0076296A"/>
    <w:rsid w:val="00763502"/>
    <w:rsid w:val="00764C9D"/>
    <w:rsid w:val="00765463"/>
    <w:rsid w:val="00767D83"/>
    <w:rsid w:val="00774E9B"/>
    <w:rsid w:val="00776E00"/>
    <w:rsid w:val="00777400"/>
    <w:rsid w:val="007848C5"/>
    <w:rsid w:val="00784DB9"/>
    <w:rsid w:val="007913AB"/>
    <w:rsid w:val="007914F7"/>
    <w:rsid w:val="007930AA"/>
    <w:rsid w:val="00797015"/>
    <w:rsid w:val="0079710D"/>
    <w:rsid w:val="00797336"/>
    <w:rsid w:val="007A15FC"/>
    <w:rsid w:val="007B0C68"/>
    <w:rsid w:val="007B1625"/>
    <w:rsid w:val="007B2AA6"/>
    <w:rsid w:val="007B706E"/>
    <w:rsid w:val="007B71EB"/>
    <w:rsid w:val="007B7F4D"/>
    <w:rsid w:val="007C065D"/>
    <w:rsid w:val="007C0AE1"/>
    <w:rsid w:val="007C31CC"/>
    <w:rsid w:val="007C6205"/>
    <w:rsid w:val="007C686A"/>
    <w:rsid w:val="007C728E"/>
    <w:rsid w:val="007D2C53"/>
    <w:rsid w:val="007D3D60"/>
    <w:rsid w:val="007D5AF6"/>
    <w:rsid w:val="007E1980"/>
    <w:rsid w:val="007E1A9B"/>
    <w:rsid w:val="007E4B76"/>
    <w:rsid w:val="007E4C8A"/>
    <w:rsid w:val="007E5EA8"/>
    <w:rsid w:val="007F0CF1"/>
    <w:rsid w:val="007F12A5"/>
    <w:rsid w:val="007F3B0B"/>
    <w:rsid w:val="007F4CF1"/>
    <w:rsid w:val="007F758D"/>
    <w:rsid w:val="007F7D52"/>
    <w:rsid w:val="0080654C"/>
    <w:rsid w:val="00806627"/>
    <w:rsid w:val="008071C6"/>
    <w:rsid w:val="00811E5C"/>
    <w:rsid w:val="00815237"/>
    <w:rsid w:val="00817A00"/>
    <w:rsid w:val="00821C5F"/>
    <w:rsid w:val="0082408F"/>
    <w:rsid w:val="0083410A"/>
    <w:rsid w:val="008346A9"/>
    <w:rsid w:val="00835742"/>
    <w:rsid w:val="00835DB3"/>
    <w:rsid w:val="0083617B"/>
    <w:rsid w:val="008371BD"/>
    <w:rsid w:val="00844BEE"/>
    <w:rsid w:val="008452F2"/>
    <w:rsid w:val="008504A8"/>
    <w:rsid w:val="0085282E"/>
    <w:rsid w:val="008533B6"/>
    <w:rsid w:val="00861724"/>
    <w:rsid w:val="00862151"/>
    <w:rsid w:val="00864FB4"/>
    <w:rsid w:val="00866AE9"/>
    <w:rsid w:val="0087198C"/>
    <w:rsid w:val="00872C1F"/>
    <w:rsid w:val="00872E5B"/>
    <w:rsid w:val="00873B42"/>
    <w:rsid w:val="00874516"/>
    <w:rsid w:val="00874A40"/>
    <w:rsid w:val="00874BAA"/>
    <w:rsid w:val="00875A74"/>
    <w:rsid w:val="008770F5"/>
    <w:rsid w:val="00877177"/>
    <w:rsid w:val="0087773E"/>
    <w:rsid w:val="00877910"/>
    <w:rsid w:val="00882095"/>
    <w:rsid w:val="00882D2B"/>
    <w:rsid w:val="008838F4"/>
    <w:rsid w:val="00884075"/>
    <w:rsid w:val="008856D8"/>
    <w:rsid w:val="00892E82"/>
    <w:rsid w:val="008949A7"/>
    <w:rsid w:val="008B1A58"/>
    <w:rsid w:val="008B2414"/>
    <w:rsid w:val="008C0D91"/>
    <w:rsid w:val="008C1B58"/>
    <w:rsid w:val="008C3376"/>
    <w:rsid w:val="008C39AE"/>
    <w:rsid w:val="008C590D"/>
    <w:rsid w:val="008C5F12"/>
    <w:rsid w:val="008D009D"/>
    <w:rsid w:val="008D250B"/>
    <w:rsid w:val="008D4EA9"/>
    <w:rsid w:val="008D7B45"/>
    <w:rsid w:val="008E031B"/>
    <w:rsid w:val="008E10CC"/>
    <w:rsid w:val="008E1E00"/>
    <w:rsid w:val="008E2388"/>
    <w:rsid w:val="008E4014"/>
    <w:rsid w:val="008E58D7"/>
    <w:rsid w:val="008E5F27"/>
    <w:rsid w:val="008E60E2"/>
    <w:rsid w:val="008E7029"/>
    <w:rsid w:val="008E7EF6"/>
    <w:rsid w:val="008F1F98"/>
    <w:rsid w:val="008F46BC"/>
    <w:rsid w:val="008F5765"/>
    <w:rsid w:val="008F5792"/>
    <w:rsid w:val="008F6758"/>
    <w:rsid w:val="00902A08"/>
    <w:rsid w:val="0090326F"/>
    <w:rsid w:val="009040DD"/>
    <w:rsid w:val="00905B47"/>
    <w:rsid w:val="009075B7"/>
    <w:rsid w:val="0091331C"/>
    <w:rsid w:val="00913AC3"/>
    <w:rsid w:val="0091457E"/>
    <w:rsid w:val="00917DEE"/>
    <w:rsid w:val="009236CF"/>
    <w:rsid w:val="009240E8"/>
    <w:rsid w:val="00924A82"/>
    <w:rsid w:val="00924BEA"/>
    <w:rsid w:val="009279DE"/>
    <w:rsid w:val="00930116"/>
    <w:rsid w:val="0093079D"/>
    <w:rsid w:val="0093442B"/>
    <w:rsid w:val="00936007"/>
    <w:rsid w:val="009363F2"/>
    <w:rsid w:val="0093742D"/>
    <w:rsid w:val="00940FAC"/>
    <w:rsid w:val="0094212C"/>
    <w:rsid w:val="009421BE"/>
    <w:rsid w:val="00944D81"/>
    <w:rsid w:val="00946042"/>
    <w:rsid w:val="009504BC"/>
    <w:rsid w:val="009507F6"/>
    <w:rsid w:val="00950899"/>
    <w:rsid w:val="00951D89"/>
    <w:rsid w:val="009520CA"/>
    <w:rsid w:val="009545DC"/>
    <w:rsid w:val="00954689"/>
    <w:rsid w:val="009562D4"/>
    <w:rsid w:val="0095636A"/>
    <w:rsid w:val="00957E34"/>
    <w:rsid w:val="009602EB"/>
    <w:rsid w:val="009617C9"/>
    <w:rsid w:val="00961C93"/>
    <w:rsid w:val="00963087"/>
    <w:rsid w:val="00965324"/>
    <w:rsid w:val="0097091E"/>
    <w:rsid w:val="0097312C"/>
    <w:rsid w:val="009760D3"/>
    <w:rsid w:val="00977132"/>
    <w:rsid w:val="00980089"/>
    <w:rsid w:val="00981020"/>
    <w:rsid w:val="00981A4B"/>
    <w:rsid w:val="00982501"/>
    <w:rsid w:val="0098403E"/>
    <w:rsid w:val="009859AB"/>
    <w:rsid w:val="00987386"/>
    <w:rsid w:val="009877D3"/>
    <w:rsid w:val="00994E8F"/>
    <w:rsid w:val="009951DC"/>
    <w:rsid w:val="009959BB"/>
    <w:rsid w:val="00996669"/>
    <w:rsid w:val="00997158"/>
    <w:rsid w:val="009971BB"/>
    <w:rsid w:val="009A3A7C"/>
    <w:rsid w:val="009A65E2"/>
    <w:rsid w:val="009B2ADB"/>
    <w:rsid w:val="009B31F4"/>
    <w:rsid w:val="009B603A"/>
    <w:rsid w:val="009B7BD0"/>
    <w:rsid w:val="009C0F68"/>
    <w:rsid w:val="009C2D0E"/>
    <w:rsid w:val="009C3DAC"/>
    <w:rsid w:val="009C42E0"/>
    <w:rsid w:val="009C4EEC"/>
    <w:rsid w:val="009C7DCB"/>
    <w:rsid w:val="009D28B6"/>
    <w:rsid w:val="009D2B49"/>
    <w:rsid w:val="009D42C7"/>
    <w:rsid w:val="009D5362"/>
    <w:rsid w:val="009D5919"/>
    <w:rsid w:val="009D7928"/>
    <w:rsid w:val="009E09B4"/>
    <w:rsid w:val="009E1415"/>
    <w:rsid w:val="009E5754"/>
    <w:rsid w:val="009E6116"/>
    <w:rsid w:val="009F11B8"/>
    <w:rsid w:val="009F1B15"/>
    <w:rsid w:val="009F679C"/>
    <w:rsid w:val="009F73D8"/>
    <w:rsid w:val="00A0112A"/>
    <w:rsid w:val="00A02E43"/>
    <w:rsid w:val="00A065F9"/>
    <w:rsid w:val="00A07F34"/>
    <w:rsid w:val="00A1398A"/>
    <w:rsid w:val="00A15157"/>
    <w:rsid w:val="00A20C5E"/>
    <w:rsid w:val="00A22154"/>
    <w:rsid w:val="00A24393"/>
    <w:rsid w:val="00A25C38"/>
    <w:rsid w:val="00A26308"/>
    <w:rsid w:val="00A26A96"/>
    <w:rsid w:val="00A27215"/>
    <w:rsid w:val="00A27B20"/>
    <w:rsid w:val="00A3168B"/>
    <w:rsid w:val="00A34D69"/>
    <w:rsid w:val="00A35B1A"/>
    <w:rsid w:val="00A36411"/>
    <w:rsid w:val="00A36BBE"/>
    <w:rsid w:val="00A41191"/>
    <w:rsid w:val="00A4307A"/>
    <w:rsid w:val="00A43097"/>
    <w:rsid w:val="00A47EBB"/>
    <w:rsid w:val="00A50675"/>
    <w:rsid w:val="00A51CDD"/>
    <w:rsid w:val="00A60078"/>
    <w:rsid w:val="00A6107E"/>
    <w:rsid w:val="00A6208C"/>
    <w:rsid w:val="00A6394B"/>
    <w:rsid w:val="00A64559"/>
    <w:rsid w:val="00A65215"/>
    <w:rsid w:val="00A671A9"/>
    <w:rsid w:val="00A6730D"/>
    <w:rsid w:val="00A6746D"/>
    <w:rsid w:val="00A71625"/>
    <w:rsid w:val="00A71B9B"/>
    <w:rsid w:val="00A751C7"/>
    <w:rsid w:val="00A828DE"/>
    <w:rsid w:val="00A8428E"/>
    <w:rsid w:val="00A8492D"/>
    <w:rsid w:val="00A85A00"/>
    <w:rsid w:val="00A85B30"/>
    <w:rsid w:val="00A87373"/>
    <w:rsid w:val="00A87844"/>
    <w:rsid w:val="00A9269C"/>
    <w:rsid w:val="00A92ADF"/>
    <w:rsid w:val="00A94C41"/>
    <w:rsid w:val="00AA038C"/>
    <w:rsid w:val="00AA1737"/>
    <w:rsid w:val="00AA3DA9"/>
    <w:rsid w:val="00AA4E96"/>
    <w:rsid w:val="00AA7A09"/>
    <w:rsid w:val="00AB2D90"/>
    <w:rsid w:val="00AB3B50"/>
    <w:rsid w:val="00AB3C6A"/>
    <w:rsid w:val="00AC05B1"/>
    <w:rsid w:val="00AC6F5A"/>
    <w:rsid w:val="00AD0268"/>
    <w:rsid w:val="00AD1C43"/>
    <w:rsid w:val="00AD356C"/>
    <w:rsid w:val="00AD6C43"/>
    <w:rsid w:val="00AE2914"/>
    <w:rsid w:val="00AE42A9"/>
    <w:rsid w:val="00AE4B7D"/>
    <w:rsid w:val="00AE6D15"/>
    <w:rsid w:val="00AE7BBA"/>
    <w:rsid w:val="00AF4D12"/>
    <w:rsid w:val="00AF5F62"/>
    <w:rsid w:val="00B01D5B"/>
    <w:rsid w:val="00B01FF6"/>
    <w:rsid w:val="00B04182"/>
    <w:rsid w:val="00B07AE3"/>
    <w:rsid w:val="00B11430"/>
    <w:rsid w:val="00B13C00"/>
    <w:rsid w:val="00B157F4"/>
    <w:rsid w:val="00B23DBA"/>
    <w:rsid w:val="00B24CB6"/>
    <w:rsid w:val="00B25BDF"/>
    <w:rsid w:val="00B3352A"/>
    <w:rsid w:val="00B34238"/>
    <w:rsid w:val="00B34A96"/>
    <w:rsid w:val="00B353EB"/>
    <w:rsid w:val="00B36260"/>
    <w:rsid w:val="00B439C4"/>
    <w:rsid w:val="00B43E20"/>
    <w:rsid w:val="00B440D6"/>
    <w:rsid w:val="00B446FB"/>
    <w:rsid w:val="00B4535E"/>
    <w:rsid w:val="00B50B59"/>
    <w:rsid w:val="00B50D6E"/>
    <w:rsid w:val="00B5197C"/>
    <w:rsid w:val="00B52A8C"/>
    <w:rsid w:val="00B56E2D"/>
    <w:rsid w:val="00B6239F"/>
    <w:rsid w:val="00B62B02"/>
    <w:rsid w:val="00B636A8"/>
    <w:rsid w:val="00B64F53"/>
    <w:rsid w:val="00B651BB"/>
    <w:rsid w:val="00B665C6"/>
    <w:rsid w:val="00B66749"/>
    <w:rsid w:val="00B679EE"/>
    <w:rsid w:val="00B7172A"/>
    <w:rsid w:val="00B74EB5"/>
    <w:rsid w:val="00B77776"/>
    <w:rsid w:val="00B805AF"/>
    <w:rsid w:val="00B806EB"/>
    <w:rsid w:val="00B869E5"/>
    <w:rsid w:val="00B869EC"/>
    <w:rsid w:val="00B86D7D"/>
    <w:rsid w:val="00B86F4F"/>
    <w:rsid w:val="00B9076F"/>
    <w:rsid w:val="00B9397A"/>
    <w:rsid w:val="00B95E90"/>
    <w:rsid w:val="00B9633D"/>
    <w:rsid w:val="00BA03B9"/>
    <w:rsid w:val="00BA2EBE"/>
    <w:rsid w:val="00BA78BF"/>
    <w:rsid w:val="00BB0F28"/>
    <w:rsid w:val="00BB0F47"/>
    <w:rsid w:val="00BB1AEC"/>
    <w:rsid w:val="00BB41EA"/>
    <w:rsid w:val="00BB458A"/>
    <w:rsid w:val="00BB51B7"/>
    <w:rsid w:val="00BC18E2"/>
    <w:rsid w:val="00BD00D3"/>
    <w:rsid w:val="00BD049A"/>
    <w:rsid w:val="00BD1659"/>
    <w:rsid w:val="00BD3AA9"/>
    <w:rsid w:val="00BD4A18"/>
    <w:rsid w:val="00BD52D4"/>
    <w:rsid w:val="00BD6DB2"/>
    <w:rsid w:val="00BE042B"/>
    <w:rsid w:val="00BE046E"/>
    <w:rsid w:val="00BE11CF"/>
    <w:rsid w:val="00BE21AB"/>
    <w:rsid w:val="00BE25BF"/>
    <w:rsid w:val="00BE2E40"/>
    <w:rsid w:val="00BE4E0E"/>
    <w:rsid w:val="00BE55CB"/>
    <w:rsid w:val="00BE5F37"/>
    <w:rsid w:val="00BF101B"/>
    <w:rsid w:val="00BF356A"/>
    <w:rsid w:val="00BF5EEE"/>
    <w:rsid w:val="00BF617A"/>
    <w:rsid w:val="00C0216D"/>
    <w:rsid w:val="00C02813"/>
    <w:rsid w:val="00C02A73"/>
    <w:rsid w:val="00C033A6"/>
    <w:rsid w:val="00C0379D"/>
    <w:rsid w:val="00C03931"/>
    <w:rsid w:val="00C05FE3"/>
    <w:rsid w:val="00C066AB"/>
    <w:rsid w:val="00C13D45"/>
    <w:rsid w:val="00C16220"/>
    <w:rsid w:val="00C174F4"/>
    <w:rsid w:val="00C2136D"/>
    <w:rsid w:val="00C214EE"/>
    <w:rsid w:val="00C21AB5"/>
    <w:rsid w:val="00C21AC9"/>
    <w:rsid w:val="00C2314B"/>
    <w:rsid w:val="00C233BE"/>
    <w:rsid w:val="00C24971"/>
    <w:rsid w:val="00C259DC"/>
    <w:rsid w:val="00C26BE5"/>
    <w:rsid w:val="00C26E4D"/>
    <w:rsid w:val="00C27305"/>
    <w:rsid w:val="00C27909"/>
    <w:rsid w:val="00C27B03"/>
    <w:rsid w:val="00C3025F"/>
    <w:rsid w:val="00C30509"/>
    <w:rsid w:val="00C314E1"/>
    <w:rsid w:val="00C31A79"/>
    <w:rsid w:val="00C32DD9"/>
    <w:rsid w:val="00C33D40"/>
    <w:rsid w:val="00C34397"/>
    <w:rsid w:val="00C35530"/>
    <w:rsid w:val="00C4095D"/>
    <w:rsid w:val="00C428A7"/>
    <w:rsid w:val="00C446D1"/>
    <w:rsid w:val="00C458E9"/>
    <w:rsid w:val="00C45A5A"/>
    <w:rsid w:val="00C50805"/>
    <w:rsid w:val="00C50BA5"/>
    <w:rsid w:val="00C51C07"/>
    <w:rsid w:val="00C543C0"/>
    <w:rsid w:val="00C55F2B"/>
    <w:rsid w:val="00C56DF0"/>
    <w:rsid w:val="00C601D2"/>
    <w:rsid w:val="00C60B1E"/>
    <w:rsid w:val="00C613DE"/>
    <w:rsid w:val="00C61CA0"/>
    <w:rsid w:val="00C621B3"/>
    <w:rsid w:val="00C636F9"/>
    <w:rsid w:val="00C64305"/>
    <w:rsid w:val="00C657AB"/>
    <w:rsid w:val="00C65BCC"/>
    <w:rsid w:val="00C66970"/>
    <w:rsid w:val="00C67EE6"/>
    <w:rsid w:val="00C73BC7"/>
    <w:rsid w:val="00C7740A"/>
    <w:rsid w:val="00C778A9"/>
    <w:rsid w:val="00C8585D"/>
    <w:rsid w:val="00C8691C"/>
    <w:rsid w:val="00C86A9E"/>
    <w:rsid w:val="00C87771"/>
    <w:rsid w:val="00C90606"/>
    <w:rsid w:val="00C95B40"/>
    <w:rsid w:val="00CA168A"/>
    <w:rsid w:val="00CA357E"/>
    <w:rsid w:val="00CA4088"/>
    <w:rsid w:val="00CA44F9"/>
    <w:rsid w:val="00CA4A69"/>
    <w:rsid w:val="00CB2D67"/>
    <w:rsid w:val="00CB69AD"/>
    <w:rsid w:val="00CC12AE"/>
    <w:rsid w:val="00CC2872"/>
    <w:rsid w:val="00CC3E0C"/>
    <w:rsid w:val="00CC58D3"/>
    <w:rsid w:val="00CC784D"/>
    <w:rsid w:val="00CC7E72"/>
    <w:rsid w:val="00CD08A9"/>
    <w:rsid w:val="00CD10D1"/>
    <w:rsid w:val="00CD2F47"/>
    <w:rsid w:val="00CD7887"/>
    <w:rsid w:val="00CE1E88"/>
    <w:rsid w:val="00CE2006"/>
    <w:rsid w:val="00CE51F5"/>
    <w:rsid w:val="00CE51F7"/>
    <w:rsid w:val="00CF15CF"/>
    <w:rsid w:val="00CF24B2"/>
    <w:rsid w:val="00CF69EF"/>
    <w:rsid w:val="00D0337B"/>
    <w:rsid w:val="00D0412E"/>
    <w:rsid w:val="00D04F64"/>
    <w:rsid w:val="00D05B87"/>
    <w:rsid w:val="00D079B2"/>
    <w:rsid w:val="00D114E9"/>
    <w:rsid w:val="00D11A67"/>
    <w:rsid w:val="00D11FDA"/>
    <w:rsid w:val="00D12894"/>
    <w:rsid w:val="00D158B6"/>
    <w:rsid w:val="00D2393C"/>
    <w:rsid w:val="00D242F8"/>
    <w:rsid w:val="00D25665"/>
    <w:rsid w:val="00D362C8"/>
    <w:rsid w:val="00D37A4C"/>
    <w:rsid w:val="00D41BB5"/>
    <w:rsid w:val="00D429C6"/>
    <w:rsid w:val="00D45385"/>
    <w:rsid w:val="00D45825"/>
    <w:rsid w:val="00D470DA"/>
    <w:rsid w:val="00D47748"/>
    <w:rsid w:val="00D5483F"/>
    <w:rsid w:val="00D54CC3"/>
    <w:rsid w:val="00D55D26"/>
    <w:rsid w:val="00D567B0"/>
    <w:rsid w:val="00D60196"/>
    <w:rsid w:val="00D6041A"/>
    <w:rsid w:val="00D6053E"/>
    <w:rsid w:val="00D633EB"/>
    <w:rsid w:val="00D67C55"/>
    <w:rsid w:val="00D71C2B"/>
    <w:rsid w:val="00D72991"/>
    <w:rsid w:val="00D7361B"/>
    <w:rsid w:val="00D827AB"/>
    <w:rsid w:val="00D82FF7"/>
    <w:rsid w:val="00D83842"/>
    <w:rsid w:val="00D847FE"/>
    <w:rsid w:val="00D85F8E"/>
    <w:rsid w:val="00D86EC2"/>
    <w:rsid w:val="00D9561C"/>
    <w:rsid w:val="00D964EA"/>
    <w:rsid w:val="00D966D0"/>
    <w:rsid w:val="00D977E3"/>
    <w:rsid w:val="00DA0C59"/>
    <w:rsid w:val="00DA1E1B"/>
    <w:rsid w:val="00DA2D15"/>
    <w:rsid w:val="00DA3991"/>
    <w:rsid w:val="00DA3A00"/>
    <w:rsid w:val="00DB1642"/>
    <w:rsid w:val="00DB5F1D"/>
    <w:rsid w:val="00DB7566"/>
    <w:rsid w:val="00DB7E6C"/>
    <w:rsid w:val="00DC1267"/>
    <w:rsid w:val="00DC3B61"/>
    <w:rsid w:val="00DC6475"/>
    <w:rsid w:val="00DC68C1"/>
    <w:rsid w:val="00DC73B9"/>
    <w:rsid w:val="00DD3D68"/>
    <w:rsid w:val="00DD5A29"/>
    <w:rsid w:val="00DD5D9D"/>
    <w:rsid w:val="00DD62AF"/>
    <w:rsid w:val="00DD6351"/>
    <w:rsid w:val="00DE1E8C"/>
    <w:rsid w:val="00DE35CB"/>
    <w:rsid w:val="00DE3CC6"/>
    <w:rsid w:val="00DE3E01"/>
    <w:rsid w:val="00DE54C0"/>
    <w:rsid w:val="00DE69BA"/>
    <w:rsid w:val="00DF21E9"/>
    <w:rsid w:val="00DF3835"/>
    <w:rsid w:val="00DF4689"/>
    <w:rsid w:val="00DF642F"/>
    <w:rsid w:val="00DF7839"/>
    <w:rsid w:val="00DF7B36"/>
    <w:rsid w:val="00E00F14"/>
    <w:rsid w:val="00E014DB"/>
    <w:rsid w:val="00E01E2C"/>
    <w:rsid w:val="00E06386"/>
    <w:rsid w:val="00E06724"/>
    <w:rsid w:val="00E1121D"/>
    <w:rsid w:val="00E13AFD"/>
    <w:rsid w:val="00E14F96"/>
    <w:rsid w:val="00E16106"/>
    <w:rsid w:val="00E1779D"/>
    <w:rsid w:val="00E24EB4"/>
    <w:rsid w:val="00E307BF"/>
    <w:rsid w:val="00E320ED"/>
    <w:rsid w:val="00E32DF6"/>
    <w:rsid w:val="00E3368C"/>
    <w:rsid w:val="00E33AFB"/>
    <w:rsid w:val="00E34218"/>
    <w:rsid w:val="00E36B6A"/>
    <w:rsid w:val="00E46282"/>
    <w:rsid w:val="00E47E10"/>
    <w:rsid w:val="00E51468"/>
    <w:rsid w:val="00E5216E"/>
    <w:rsid w:val="00E569A0"/>
    <w:rsid w:val="00E57BBB"/>
    <w:rsid w:val="00E608D9"/>
    <w:rsid w:val="00E60B84"/>
    <w:rsid w:val="00E65663"/>
    <w:rsid w:val="00E70631"/>
    <w:rsid w:val="00E72A9E"/>
    <w:rsid w:val="00E76C52"/>
    <w:rsid w:val="00E76F30"/>
    <w:rsid w:val="00E80B7C"/>
    <w:rsid w:val="00E82344"/>
    <w:rsid w:val="00E84C82"/>
    <w:rsid w:val="00E84D64"/>
    <w:rsid w:val="00E87408"/>
    <w:rsid w:val="00E914C4"/>
    <w:rsid w:val="00E934F5"/>
    <w:rsid w:val="00E96961"/>
    <w:rsid w:val="00EA6F38"/>
    <w:rsid w:val="00EA72EC"/>
    <w:rsid w:val="00EA7FFE"/>
    <w:rsid w:val="00EB04E1"/>
    <w:rsid w:val="00EB11CB"/>
    <w:rsid w:val="00EB275A"/>
    <w:rsid w:val="00EB786A"/>
    <w:rsid w:val="00EB79AA"/>
    <w:rsid w:val="00EC1578"/>
    <w:rsid w:val="00EC1C72"/>
    <w:rsid w:val="00EC2945"/>
    <w:rsid w:val="00EC3CC9"/>
    <w:rsid w:val="00EC5C83"/>
    <w:rsid w:val="00EC670D"/>
    <w:rsid w:val="00EC680A"/>
    <w:rsid w:val="00ED1196"/>
    <w:rsid w:val="00ED4DD7"/>
    <w:rsid w:val="00ED7AEE"/>
    <w:rsid w:val="00EE1BF1"/>
    <w:rsid w:val="00EE205B"/>
    <w:rsid w:val="00EE2BED"/>
    <w:rsid w:val="00EE3414"/>
    <w:rsid w:val="00EE374B"/>
    <w:rsid w:val="00EE59FB"/>
    <w:rsid w:val="00EF10F8"/>
    <w:rsid w:val="00EF3D77"/>
    <w:rsid w:val="00EF58BA"/>
    <w:rsid w:val="00EF7629"/>
    <w:rsid w:val="00F01332"/>
    <w:rsid w:val="00F01C5C"/>
    <w:rsid w:val="00F03885"/>
    <w:rsid w:val="00F04C3F"/>
    <w:rsid w:val="00F11BB5"/>
    <w:rsid w:val="00F1417B"/>
    <w:rsid w:val="00F175E9"/>
    <w:rsid w:val="00F1787C"/>
    <w:rsid w:val="00F17E9C"/>
    <w:rsid w:val="00F25CC7"/>
    <w:rsid w:val="00F27FF2"/>
    <w:rsid w:val="00F34B99"/>
    <w:rsid w:val="00F37A7F"/>
    <w:rsid w:val="00F43145"/>
    <w:rsid w:val="00F47811"/>
    <w:rsid w:val="00F510E6"/>
    <w:rsid w:val="00F52DAB"/>
    <w:rsid w:val="00F543F0"/>
    <w:rsid w:val="00F54E41"/>
    <w:rsid w:val="00F57A6A"/>
    <w:rsid w:val="00F6373D"/>
    <w:rsid w:val="00F70F68"/>
    <w:rsid w:val="00F72314"/>
    <w:rsid w:val="00F73194"/>
    <w:rsid w:val="00F737AD"/>
    <w:rsid w:val="00F81158"/>
    <w:rsid w:val="00F81D29"/>
    <w:rsid w:val="00F81D61"/>
    <w:rsid w:val="00F81DC8"/>
    <w:rsid w:val="00F90061"/>
    <w:rsid w:val="00F91C4D"/>
    <w:rsid w:val="00F92FD9"/>
    <w:rsid w:val="00F976AD"/>
    <w:rsid w:val="00FA2541"/>
    <w:rsid w:val="00FA42EF"/>
    <w:rsid w:val="00FA6470"/>
    <w:rsid w:val="00FA6684"/>
    <w:rsid w:val="00FA705E"/>
    <w:rsid w:val="00FA725A"/>
    <w:rsid w:val="00FA731E"/>
    <w:rsid w:val="00FA767B"/>
    <w:rsid w:val="00FB0B66"/>
    <w:rsid w:val="00FB2B38"/>
    <w:rsid w:val="00FB3791"/>
    <w:rsid w:val="00FC2F6E"/>
    <w:rsid w:val="00FC6358"/>
    <w:rsid w:val="00FC6C90"/>
    <w:rsid w:val="00FD04BB"/>
    <w:rsid w:val="00FD320D"/>
    <w:rsid w:val="00FD570D"/>
    <w:rsid w:val="00FD5950"/>
    <w:rsid w:val="00FE23DE"/>
    <w:rsid w:val="00FE5E6A"/>
    <w:rsid w:val="00FE773B"/>
    <w:rsid w:val="00FF3033"/>
    <w:rsid w:val="00FF4DD8"/>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A5475F"/>
    <w:rsid w:val="1AAE65BB"/>
    <w:rsid w:val="1B56145F"/>
    <w:rsid w:val="1D781DF9"/>
    <w:rsid w:val="1F3E57F5"/>
    <w:rsid w:val="20236CFE"/>
    <w:rsid w:val="202E6203"/>
    <w:rsid w:val="208F11E7"/>
    <w:rsid w:val="215C14F1"/>
    <w:rsid w:val="23671F2C"/>
    <w:rsid w:val="23CA246C"/>
    <w:rsid w:val="24642242"/>
    <w:rsid w:val="24767468"/>
    <w:rsid w:val="26615569"/>
    <w:rsid w:val="26834513"/>
    <w:rsid w:val="274A5AC6"/>
    <w:rsid w:val="28752F46"/>
    <w:rsid w:val="2B8B7DC3"/>
    <w:rsid w:val="2BD650E5"/>
    <w:rsid w:val="2C2D37D2"/>
    <w:rsid w:val="2D1F1D65"/>
    <w:rsid w:val="2DAC5F75"/>
    <w:rsid w:val="2E1C1A4E"/>
    <w:rsid w:val="2E5D1AE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2B3952"/>
    <w:rsid w:val="40321118"/>
    <w:rsid w:val="40540B76"/>
    <w:rsid w:val="40EE303B"/>
    <w:rsid w:val="41695BCD"/>
    <w:rsid w:val="41B778CF"/>
    <w:rsid w:val="4383564A"/>
    <w:rsid w:val="451C3C40"/>
    <w:rsid w:val="45B03890"/>
    <w:rsid w:val="45C00343"/>
    <w:rsid w:val="469C2D08"/>
    <w:rsid w:val="47932DEB"/>
    <w:rsid w:val="479D0403"/>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515048A"/>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51340F7"/>
    <w:rsid w:val="6568477B"/>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8334C9A"/>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Char"/>
    <w:link w:val="7"/>
    <w:qFormat/>
    <w:uiPriority w:val="0"/>
    <w:rPr>
      <w:kern w:val="2"/>
      <w:sz w:val="21"/>
      <w:szCs w:val="24"/>
    </w:rPr>
  </w:style>
  <w:style w:type="character" w:customStyle="1" w:styleId="43">
    <w:name w:val="批注框文本 Char"/>
    <w:link w:val="15"/>
    <w:qFormat/>
    <w:uiPriority w:val="0"/>
    <w:rPr>
      <w:kern w:val="2"/>
      <w:sz w:val="18"/>
      <w:szCs w:val="18"/>
    </w:rPr>
  </w:style>
  <w:style w:type="character" w:customStyle="1" w:styleId="44">
    <w:name w:val="页脚 Char"/>
    <w:link w:val="16"/>
    <w:qFormat/>
    <w:locked/>
    <w:uiPriority w:val="99"/>
    <w:rPr>
      <w:kern w:val="2"/>
      <w:sz w:val="18"/>
      <w:szCs w:val="18"/>
    </w:rPr>
  </w:style>
  <w:style w:type="character" w:customStyle="1" w:styleId="45">
    <w:name w:val="页眉 Char"/>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Char"/>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 w:type="paragraph" w:customStyle="1" w:styleId="15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1915</Words>
  <Characters>10922</Characters>
  <Lines>91</Lines>
  <Paragraphs>25</Paragraphs>
  <TotalTime>0</TotalTime>
  <ScaleCrop>false</ScaleCrop>
  <LinksUpToDate>false</LinksUpToDate>
  <CharactersWithSpaces>12812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2021-11-10T08:05:00Z</cp:lastPrinted>
  <dcterms:modified xsi:type="dcterms:W3CDTF">2023-08-24T07:41:57Z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5053E38E325F403D8AD9FA42E0FDAA4C_13</vt:lpwstr>
  </property>
</Properties>
</file>