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framePr w:w="0" w:hRule="auto" w:wrap="around" w:x="1590" w:y="2356"/>
        <w:rPr>
          <w:rFonts w:ascii="Times New Roman"/>
          <w:color w:val="000000"/>
          <w:szCs w:val="48"/>
        </w:rPr>
      </w:pPr>
      <w:r>
        <w:rPr>
          <w:rFonts w:ascii="Times New Roman"/>
          <w:color w:val="000000"/>
        </w:rPr>
        <w:t>团体标准</w:t>
      </w:r>
    </w:p>
    <w:p>
      <w:pPr>
        <w:pStyle w:val="85"/>
        <w:framePr w:wrap="around"/>
        <w:pBdr>
          <w:bottom w:val="single" w:color="auto" w:sz="4" w:space="1"/>
        </w:pBdr>
        <w:wordWrap w:val="0"/>
        <w:rPr>
          <w:rFonts w:ascii="Times New Roman" w:eastAsia="宋体"/>
        </w:rPr>
      </w:pPr>
      <w:r>
        <w:rPr>
          <w:rFonts w:ascii="Times New Roman" w:eastAsia="宋体"/>
        </w:rPr>
        <w:t>T/SSEA XXXX—XXXX</w:t>
      </w:r>
    </w:p>
    <w:p>
      <w:pPr>
        <w:pStyle w:val="85"/>
        <w:framePr w:wrap="around"/>
        <w:pBdr>
          <w:bottom w:val="single" w:color="auto" w:sz="4" w:space="1"/>
        </w:pBdr>
        <w:wordWrap w:val="0"/>
        <w:spacing w:before="120"/>
        <w:rPr>
          <w:rFonts w:ascii="Times New Roman" w:eastAsia="宋体"/>
        </w:rPr>
      </w:pPr>
      <w:r>
        <w:rPr>
          <w:rFonts w:ascii="Times New Roman" w:eastAsia="宋体"/>
        </w:rPr>
        <w:t>T/CSTA XXXX—XXXX</w:t>
      </w:r>
    </w:p>
    <w:p>
      <w:pPr>
        <w:pStyle w:val="85"/>
        <w:framePr w:wrap="around"/>
        <w:rPr>
          <w:rFonts w:ascii="Times New Roman" w:eastAsia="宋体"/>
        </w:rPr>
      </w:pPr>
    </w:p>
    <w:p>
      <w:pPr>
        <w:pStyle w:val="85"/>
        <w:framePr w:wrap="around"/>
        <w:rPr>
          <w:rFonts w:ascii="Times New Roman" w:eastAsia="宋体"/>
        </w:rPr>
      </w:pPr>
    </w:p>
    <w:p>
      <w:pPr>
        <w:pStyle w:val="75"/>
        <w:framePr w:w="9108" w:wrap="around" w:x="1455" w:y="5231"/>
        <w:rPr>
          <w:rFonts w:ascii="Times New Roman"/>
        </w:rPr>
      </w:pPr>
      <w:r>
        <w:rPr>
          <w:rFonts w:ascii="Times New Roman"/>
        </w:rPr>
        <w:t>绿色设计产品评价技术规范 弹簧钢</w:t>
      </w:r>
    </w:p>
    <w:p>
      <w:pPr>
        <w:pStyle w:val="74"/>
        <w:framePr w:w="9108" w:wrap="around" w:x="1455" w:y="5231"/>
      </w:pPr>
      <w:r>
        <w:t>Technical specification for green-design product assessment            Spring steels</w:t>
      </w:r>
    </w:p>
    <w:p>
      <w:pPr>
        <w:pStyle w:val="73"/>
        <w:framePr w:w="9108" w:wrap="around" w:x="1455" w:y="5231"/>
        <w:spacing w:before="156" w:after="156"/>
        <w:rPr>
          <w:rFonts w:ascii="Times New Roman"/>
        </w:rPr>
      </w:pPr>
    </w:p>
    <w:p>
      <w:pPr>
        <w:pStyle w:val="116"/>
        <w:framePr w:wrap="around" w:hAnchor="page" w:x="1175" w:y="14086"/>
        <w:rPr>
          <w:rFonts w:eastAsia="宋体"/>
        </w:rPr>
      </w:pPr>
      <w:bookmarkStart w:id="0" w:name="FM"/>
      <w:r>
        <mc:AlternateContent>
          <mc:Choice Requires="wps">
            <w:drawing>
              <wp:anchor distT="0" distB="0" distL="114300" distR="114300" simplePos="0" relativeHeight="251659264" behindDoc="1" locked="0" layoutInCell="1" allowOverlap="1">
                <wp:simplePos x="0" y="0"/>
                <wp:positionH relativeFrom="column">
                  <wp:posOffset>12700</wp:posOffset>
                </wp:positionH>
                <wp:positionV relativeFrom="paragraph">
                  <wp:posOffset>354330</wp:posOffset>
                </wp:positionV>
                <wp:extent cx="5948680" cy="0"/>
                <wp:effectExtent l="0" t="0" r="33020" b="1905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pt;margin-top:27.9pt;height:0pt;width:468.4pt;mso-wrap-distance-left:9pt;mso-wrap-distance-right:9pt;z-index:-251657216;mso-width-relative:page;mso-height-relative:page;" filled="f" stroked="t" coordsize="21600,21600" wrapcoords="0 -1 0 -1 21651 -1 21651 -1 0 -1" o:gfxdata="UEsDBAoAAAAAAIdO4kAAAAAAAAAAAAAAAAAEAAAAZHJzL1BLAwQUAAAACACHTuJA3zXFutUAAAAH&#10;AQAADwAAAGRycy9kb3ducmV2LnhtbE2PT0/DMAzF70h8h8hIXKYtWaehUZruAPTGhQHa1WtMW9E4&#10;XZP9gU+PEQe42X5Pz79XrM++V0caYxfYwnxmQBHXwXXcWHh9qaYrUDEhO+wDk4VPirAuLy8KzF04&#10;8TMdN6lREsIxRwttSkOudaxb8hhnYSAW7T2MHpOsY6PdiCcJ973OjLnRHjuWDy0OdN9S/bE5eAux&#10;eqN99TWpJ2a7aAJl+4enR7T2+mpu7kAlOqc/M/zgCzqUwrQLB3ZR9RYyaZIsLJdSQOTbxUqG3e9B&#10;l4X+z19+A1BLAwQUAAAACACHTuJAPAr1JskBAACfAwAADgAAAGRycy9lMm9Eb2MueG1srVPBbtsw&#10;DL0P2D8Iui9OgqZIjTg9JOgu2Rag3QcosmwLlURBVGLn70fJSdp1lx7mgyCJ5ON7j/LqcbCGnVRA&#10;Da7is8mUM+Uk1Nq1Ff/98vRtyRlG4WphwKmKnxXyx/XXL6vel2oOHZhaBUYgDsveV7yL0ZdFgbJT&#10;VuAEvHIUbCBYEekY2qIOoid0a4r5dHpf9BBqH0AqRLrdjkF+QQyfAYSm0VJtQR6tcnFEDcqISJKw&#10;0x75OrNtGiXjr6ZBFZmpOCmNeaUmtD+ktVivRNkG4TstLxTEZyh80GSFdtT0BrUVUbBj0P9AWS0D&#10;IDRxIsEWo5DsCKmYTT9489wJr7IWshr9zXT8f7Dy52kfmK4rvuDMCUsD32mn2DI503ssKWHj9iFp&#10;k4N79juQr8gcbDrhWpUZvpw9lc1SRfFXSTqgJ/xD/wNqyhHHCNmmoQk2QZIBbMjTON+moYbIJF0u&#10;Hu6W90salLzGClFeC33A+F2BZWlTcUOcM7A47TAmIqK8pqQ+Dp60MXnYxrG+4g+L+SIXIBhdp2BK&#10;w9AeNiawk0jPJX9ZFUXepwU4unpsYtxFdNI5OnaA+rwPVzNobpnN5Y2lh/H+nKv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81xbrVAAAABwEAAA8AAAAAAAAAAQAgAAAAIgAAAGRycy9kb3du&#10;cmV2LnhtbFBLAQIUABQAAAAIAIdO4kA8CvUmyQEAAJ8DAAAOAAAAAAAAAAEAIAAAACQBAABkcnMv&#10;ZTJvRG9jLnhtbFBLBQYAAAAABgAGAFkBAABfBQAAAAA=&#10;">
                <v:fill on="f" focussize="0,0"/>
                <v:stroke color="#000000" joinstyle="round"/>
                <v:imagedata o:title=""/>
                <o:lock v:ext="edit" aspectratio="f"/>
                <w10:wrap type="tight"/>
              </v:line>
            </w:pict>
          </mc:Fallback>
        </mc:AlternateContent>
      </w:r>
      <w:r>
        <w:rPr>
          <w:rFonts w:eastAsia="宋体"/>
        </w:rPr>
        <w:t>XXXX-</w:t>
      </w:r>
      <w:bookmarkEnd w:id="0"/>
      <w:r>
        <w:rPr>
          <w:rFonts w:eastAsia="宋体"/>
        </w:rPr>
        <w:t>XX-XX</w:t>
      </w:r>
      <w:r>
        <w:t>发布</w:t>
      </w:r>
    </w:p>
    <w:p>
      <w:pPr>
        <w:pStyle w:val="147"/>
        <w:framePr w:wrap="around" w:hAnchor="page" w:x="6661" w:y="14041"/>
      </w:pPr>
      <w:r>
        <w:rPr>
          <w:rFonts w:eastAsia="宋体"/>
        </w:rPr>
        <w:t>XXXX-XX-XX</w:t>
      </w:r>
      <w:r>
        <w:t>实施</w:t>
      </w:r>
    </w:p>
    <w:p>
      <w:pPr>
        <w:pStyle w:val="141"/>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41"/>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50"/>
          <w:rFonts w:ascii="Times New Roman" w:eastAsia="宋体"/>
        </w:rPr>
        <w:t>发布</w:t>
      </w:r>
    </w:p>
    <w:p>
      <w:pPr>
        <w:pStyle w:val="141"/>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4"/>
        <w:spacing w:line="340" w:lineRule="exact"/>
        <w:rPr>
          <w:rFonts w:ascii="Times New Roman"/>
          <w:kern w:val="2"/>
          <w:sz w:val="22"/>
          <w:szCs w:val="22"/>
        </w:rPr>
      </w:pPr>
      <w:r>
        <w:rPr>
          <w:rFonts w:ascii="Times New Roman"/>
        </w:rPr>
        <w:t>ICS</w:t>
      </w:r>
      <w:r>
        <w:rPr>
          <w:rFonts w:ascii="Times New Roman"/>
          <w:kern w:val="2"/>
          <w:sz w:val="22"/>
          <w:szCs w:val="22"/>
        </w:rPr>
        <w:t xml:space="preserve"> 77.140.70</w:t>
      </w:r>
    </w:p>
    <w:p>
      <w:pPr>
        <w:pStyle w:val="24"/>
        <w:spacing w:line="340" w:lineRule="exact"/>
        <w:rPr>
          <w:rFonts w:ascii="Times New Roman"/>
        </w:rPr>
      </w:pPr>
      <w:r>
        <w:rPr>
          <w:rFonts w:ascii="Times New Roman"/>
        </w:rPr>
        <w:t>CCS H 44</w:t>
      </w:r>
    </w:p>
    <w:p>
      <w:pPr>
        <w:pStyle w:val="24"/>
        <w:spacing w:line="340" w:lineRule="exact"/>
        <w:rPr>
          <w:rFonts w:ascii="Times New Roman"/>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8"/>
        <w:rPr>
          <w:rFonts w:ascii="Times New Roman"/>
        </w:rPr>
      </w:pPr>
      <w:r>
        <w:rPr>
          <w:rFonts w:ascii="Times New Roman"/>
        </w:rPr>
        <w:t>前言</w:t>
      </w:r>
      <w:bookmarkEnd w:id="1"/>
    </w:p>
    <w:p>
      <w:pPr>
        <w:pStyle w:val="24"/>
        <w:rPr>
          <w:rFonts w:ascii="Times New Roman"/>
        </w:rPr>
      </w:pPr>
      <w:r>
        <w:rPr>
          <w:rFonts w:ascii="Times New Roman"/>
        </w:rPr>
        <w:t>本文件按照GB/T 1.1-2020《标准化工作导则  第1部分：标准化文件的结构和起草规则》的规定起草。</w:t>
      </w:r>
    </w:p>
    <w:p>
      <w:pPr>
        <w:pStyle w:val="24"/>
        <w:rPr>
          <w:rFonts w:ascii="Times New Roman"/>
        </w:rPr>
      </w:pPr>
      <w:r>
        <w:rPr>
          <w:rFonts w:ascii="Times New Roman"/>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pStyle w:val="24"/>
        <w:rPr>
          <w:rFonts w:ascii="Times New Roman"/>
        </w:rPr>
      </w:pPr>
      <w:bookmarkStart w:id="22" w:name="_GoBack"/>
      <w:bookmarkEnd w:id="22"/>
      <w:r>
        <w:rPr>
          <w:rFonts w:ascii="Times New Roman"/>
        </w:rPr>
        <w:t>本文件起草单位：</w:t>
      </w:r>
    </w:p>
    <w:p>
      <w:pPr>
        <w:pStyle w:val="24"/>
        <w:rPr>
          <w:rFonts w:ascii="Times New Roman"/>
        </w:rPr>
      </w:pPr>
      <w:r>
        <w:rPr>
          <w:rFonts w:ascii="Times New Roman"/>
        </w:rPr>
        <w:t>本文件主要起草人：</w:t>
      </w:r>
    </w:p>
    <w:p>
      <w:pPr>
        <w:pStyle w:val="24"/>
        <w:rPr>
          <w:rFonts w:ascii="Times New Roman"/>
        </w:rPr>
      </w:pPr>
    </w:p>
    <w:p>
      <w:pPr>
        <w:pStyle w:val="24"/>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65"/>
        <w:spacing w:after="624" w:afterLines="200"/>
        <w:rPr>
          <w:rFonts w:ascii="Times New Roman"/>
        </w:rPr>
      </w:pPr>
      <w:r>
        <w:rPr>
          <w:rFonts w:ascii="Times New Roman"/>
        </w:rPr>
        <w:t>绿色设计产品评价技术规范  弹簧钢</w:t>
      </w:r>
    </w:p>
    <w:p>
      <w:pPr>
        <w:pStyle w:val="52"/>
        <w:numPr>
          <w:ilvl w:val="0"/>
          <w:numId w:val="3"/>
        </w:numPr>
        <w:spacing w:before="312" w:after="312"/>
        <w:rPr>
          <w:rFonts w:ascii="Times New Roman"/>
        </w:rPr>
      </w:pPr>
      <w:bookmarkStart w:id="2" w:name="_Toc63427522"/>
      <w:bookmarkStart w:id="3" w:name="_Toc499730568"/>
      <w:bookmarkStart w:id="4" w:name="_Toc512093859"/>
      <w:bookmarkStart w:id="5" w:name="_Toc499733966"/>
      <w:bookmarkStart w:id="6" w:name="_Toc499735462"/>
      <w:r>
        <w:rPr>
          <w:rFonts w:ascii="Times New Roman"/>
        </w:rPr>
        <w:t>范围</w:t>
      </w:r>
      <w:bookmarkEnd w:id="2"/>
      <w:bookmarkEnd w:id="3"/>
      <w:bookmarkEnd w:id="4"/>
      <w:bookmarkEnd w:id="5"/>
      <w:bookmarkEnd w:id="6"/>
    </w:p>
    <w:p>
      <w:pPr>
        <w:pStyle w:val="24"/>
        <w:rPr>
          <w:rFonts w:ascii="Times New Roman"/>
        </w:rPr>
      </w:pPr>
      <w:r>
        <w:rPr>
          <w:rFonts w:ascii="Times New Roman"/>
        </w:rPr>
        <w:t>本文件规定了弹簧钢绿色设计产品评价的术语和定义、评价原则和方法、评价要求、生命周期评价报告编制方法。</w:t>
      </w:r>
    </w:p>
    <w:p>
      <w:pPr>
        <w:pStyle w:val="24"/>
        <w:rPr>
          <w:rFonts w:ascii="Times New Roman"/>
        </w:rPr>
      </w:pPr>
      <w:r>
        <w:rPr>
          <w:rFonts w:ascii="Times New Roman"/>
        </w:rPr>
        <w:t>本文件适用于弹簧钢绿色设计产品评价。</w:t>
      </w:r>
    </w:p>
    <w:p>
      <w:pPr>
        <w:pStyle w:val="52"/>
        <w:numPr>
          <w:ilvl w:val="0"/>
          <w:numId w:val="3"/>
        </w:numPr>
        <w:spacing w:before="312" w:after="312"/>
        <w:rPr>
          <w:rFonts w:ascii="Times New Roman"/>
        </w:rPr>
      </w:pPr>
      <w:bookmarkStart w:id="7" w:name="_Toc499735463"/>
      <w:bookmarkStart w:id="8" w:name="_Toc63427523"/>
      <w:bookmarkStart w:id="9" w:name="_Toc499730569"/>
      <w:bookmarkStart w:id="10" w:name="_Toc512093860"/>
      <w:bookmarkStart w:id="11" w:name="_Toc499733967"/>
      <w:r>
        <w:rPr>
          <w:rFonts w:ascii="Times New Roman"/>
        </w:rPr>
        <w:t>规范性引用文件</w:t>
      </w:r>
      <w:bookmarkEnd w:id="7"/>
      <w:bookmarkEnd w:id="8"/>
      <w:bookmarkEnd w:id="9"/>
      <w:bookmarkEnd w:id="10"/>
      <w:bookmarkEnd w:id="11"/>
    </w:p>
    <w:p>
      <w:pPr>
        <w:pStyle w:val="24"/>
        <w:rPr>
          <w:rFonts w:ascii="Times New Roman"/>
          <w:color w:val="FF0000"/>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ascii="Times New Roman"/>
        </w:rPr>
      </w:pPr>
      <w:bookmarkStart w:id="12" w:name="_Toc499730570"/>
      <w:bookmarkEnd w:id="12"/>
      <w:bookmarkStart w:id="13" w:name="_Toc63427524"/>
      <w:r>
        <w:rPr>
          <w:rFonts w:hint="eastAsia" w:ascii="Times New Roman"/>
        </w:rPr>
        <w:t xml:space="preserve">GB/T 224 </w:t>
      </w:r>
      <w:r>
        <w:rPr>
          <w:rFonts w:ascii="Times New Roman"/>
        </w:rPr>
        <w:t xml:space="preserve"> </w:t>
      </w:r>
      <w:r>
        <w:rPr>
          <w:rFonts w:hint="eastAsia" w:ascii="Times New Roman"/>
        </w:rPr>
        <w:t>钢的脱碳层深度测定法</w:t>
      </w:r>
    </w:p>
    <w:p>
      <w:pPr>
        <w:pStyle w:val="24"/>
        <w:rPr>
          <w:rFonts w:ascii="Times New Roman"/>
        </w:rPr>
      </w:pPr>
      <w:r>
        <w:rPr>
          <w:rFonts w:ascii="Times New Roman"/>
        </w:rPr>
        <w:t xml:space="preserve">GB/T 1222-2016  </w:t>
      </w:r>
      <w:r>
        <w:rPr>
          <w:rFonts w:hint="eastAsia" w:ascii="Times New Roman"/>
        </w:rPr>
        <w:t>弹簧钢</w:t>
      </w:r>
    </w:p>
    <w:p>
      <w:pPr>
        <w:pStyle w:val="24"/>
        <w:rPr>
          <w:rFonts w:ascii="Times New Roman"/>
        </w:rPr>
      </w:pPr>
      <w:r>
        <w:rPr>
          <w:rFonts w:ascii="Times New Roman"/>
        </w:rPr>
        <w:t xml:space="preserve">GB/T 1996  </w:t>
      </w:r>
      <w:r>
        <w:rPr>
          <w:rFonts w:hint="eastAsia" w:ascii="Times New Roman"/>
        </w:rPr>
        <w:t>冶金焦炭</w:t>
      </w:r>
    </w:p>
    <w:p>
      <w:pPr>
        <w:pStyle w:val="24"/>
        <w:rPr>
          <w:rFonts w:ascii="Times New Roman"/>
        </w:rPr>
      </w:pPr>
      <w:r>
        <w:rPr>
          <w:rFonts w:hint="eastAsia" w:ascii="Times New Roman"/>
        </w:rPr>
        <w:t>GB/T 10561</w:t>
      </w:r>
      <w:r>
        <w:rPr>
          <w:rFonts w:ascii="Times New Roman"/>
        </w:rPr>
        <w:t xml:space="preserve">  </w:t>
      </w:r>
      <w:r>
        <w:rPr>
          <w:rFonts w:hint="eastAsia" w:ascii="Times New Roman"/>
        </w:rPr>
        <w:t>钢中非金属夹杂物含量的测定　标准评级图显微检验法</w:t>
      </w:r>
    </w:p>
    <w:p>
      <w:pPr>
        <w:pStyle w:val="24"/>
        <w:rPr>
          <w:rFonts w:ascii="Times New Roman"/>
        </w:rPr>
      </w:pPr>
      <w:r>
        <w:rPr>
          <w:rFonts w:ascii="Times New Roman"/>
        </w:rPr>
        <w:t>GB 17167  用能单位能源计量器具配备和管理通则</w:t>
      </w:r>
    </w:p>
    <w:p>
      <w:pPr>
        <w:pStyle w:val="24"/>
        <w:rPr>
          <w:rFonts w:ascii="Times New Roman"/>
        </w:rPr>
      </w:pPr>
      <w:r>
        <w:rPr>
          <w:rFonts w:ascii="Times New Roman"/>
        </w:rPr>
        <w:t xml:space="preserve">GB/T 18512  </w:t>
      </w:r>
      <w:r>
        <w:rPr>
          <w:rFonts w:hint="eastAsia" w:ascii="Times New Roman"/>
        </w:rPr>
        <w:t>高炉</w:t>
      </w:r>
      <w:r>
        <w:rPr>
          <w:rFonts w:ascii="Times New Roman"/>
        </w:rPr>
        <w:t>喷吹用无烟煤技术条件</w:t>
      </w:r>
    </w:p>
    <w:p>
      <w:pPr>
        <w:pStyle w:val="24"/>
        <w:rPr>
          <w:rFonts w:ascii="Times New Roman"/>
        </w:rPr>
      </w:pPr>
      <w:r>
        <w:rPr>
          <w:rFonts w:ascii="Times New Roman"/>
        </w:rPr>
        <w:t>GB/T 19001  质量管理体系要求</w:t>
      </w:r>
    </w:p>
    <w:p>
      <w:pPr>
        <w:pStyle w:val="24"/>
        <w:rPr>
          <w:rFonts w:ascii="Times New Roman"/>
        </w:rPr>
      </w:pPr>
      <w:r>
        <w:rPr>
          <w:rFonts w:ascii="Times New Roman"/>
        </w:rPr>
        <w:t xml:space="preserve">GB 21342  </w:t>
      </w:r>
      <w:r>
        <w:rPr>
          <w:rFonts w:hint="eastAsia" w:ascii="Times New Roman"/>
        </w:rPr>
        <w:t>焦炭</w:t>
      </w:r>
      <w:r>
        <w:rPr>
          <w:rFonts w:ascii="Times New Roman"/>
        </w:rPr>
        <w:t>单位产品能耗限额标准</w:t>
      </w:r>
    </w:p>
    <w:p>
      <w:pPr>
        <w:pStyle w:val="24"/>
        <w:rPr>
          <w:rFonts w:ascii="Times New Roman"/>
        </w:rPr>
      </w:pPr>
      <w:r>
        <w:rPr>
          <w:rFonts w:ascii="Times New Roman"/>
        </w:rPr>
        <w:t>GB/T 23331  能源管理体系要求</w:t>
      </w:r>
    </w:p>
    <w:p>
      <w:pPr>
        <w:pStyle w:val="24"/>
        <w:rPr>
          <w:rFonts w:ascii="Times New Roman"/>
        </w:rPr>
      </w:pPr>
      <w:r>
        <w:rPr>
          <w:rFonts w:ascii="Times New Roman"/>
        </w:rPr>
        <w:t>GB/T 24001  环境管理体系要求及使用指南</w:t>
      </w:r>
    </w:p>
    <w:p>
      <w:pPr>
        <w:pStyle w:val="24"/>
        <w:rPr>
          <w:rFonts w:ascii="Times New Roman"/>
        </w:rPr>
      </w:pPr>
      <w:r>
        <w:rPr>
          <w:rFonts w:ascii="Times New Roman"/>
        </w:rPr>
        <w:t xml:space="preserve">GB/T 26924  </w:t>
      </w:r>
      <w:r>
        <w:rPr>
          <w:rFonts w:hint="eastAsia" w:ascii="Times New Roman"/>
        </w:rPr>
        <w:t>节水型企业</w:t>
      </w:r>
      <w:r>
        <w:rPr>
          <w:rFonts w:ascii="Times New Roman"/>
        </w:rPr>
        <w:t>钢铁行业</w:t>
      </w:r>
    </w:p>
    <w:p>
      <w:pPr>
        <w:pStyle w:val="24"/>
        <w:rPr>
          <w:rFonts w:ascii="Times New Roman"/>
        </w:rPr>
      </w:pPr>
      <w:r>
        <w:rPr>
          <w:rFonts w:hint="eastAsia" w:ascii="Times New Roman"/>
        </w:rPr>
        <w:t>GB/T 30052  钢铁产品制造生命周期评价技术规范</w:t>
      </w:r>
    </w:p>
    <w:p>
      <w:pPr>
        <w:pStyle w:val="24"/>
        <w:rPr>
          <w:rFonts w:ascii="Times New Roman"/>
        </w:rPr>
      </w:pPr>
      <w:r>
        <w:rPr>
          <w:rFonts w:hint="eastAsia" w:ascii="Times New Roman"/>
        </w:rPr>
        <w:t>GB/T 32161  生态设计产品评价通则</w:t>
      </w:r>
    </w:p>
    <w:p>
      <w:pPr>
        <w:pStyle w:val="24"/>
        <w:rPr>
          <w:rFonts w:ascii="Times New Roman"/>
        </w:rPr>
      </w:pPr>
      <w:r>
        <w:rPr>
          <w:rFonts w:ascii="Times New Roman"/>
        </w:rPr>
        <w:t>GB/T 45001  职业健康安全管理体系要求及使用指南</w:t>
      </w:r>
    </w:p>
    <w:p>
      <w:pPr>
        <w:pStyle w:val="24"/>
        <w:rPr>
          <w:rFonts w:ascii="Times New Roman"/>
        </w:rPr>
      </w:pPr>
      <w:r>
        <w:rPr>
          <w:rFonts w:ascii="Times New Roman"/>
        </w:rPr>
        <w:t xml:space="preserve">GB 50427  </w:t>
      </w:r>
      <w:r>
        <w:rPr>
          <w:rFonts w:hint="eastAsia" w:ascii="Times New Roman"/>
        </w:rPr>
        <w:t>高炉炼铁</w:t>
      </w:r>
      <w:r>
        <w:rPr>
          <w:rFonts w:ascii="Times New Roman"/>
        </w:rPr>
        <w:t>工程设计规范</w:t>
      </w:r>
    </w:p>
    <w:p>
      <w:pPr>
        <w:pStyle w:val="24"/>
        <w:rPr>
          <w:rFonts w:ascii="Times New Roman"/>
        </w:rPr>
      </w:pPr>
      <w:r>
        <w:rPr>
          <w:rFonts w:ascii="Times New Roman"/>
        </w:rPr>
        <w:t>GB/T 50632  钢铁企业节能设计标准</w:t>
      </w:r>
    </w:p>
    <w:p>
      <w:pPr>
        <w:pStyle w:val="24"/>
        <w:rPr>
          <w:rFonts w:ascii="Times New Roman"/>
        </w:rPr>
      </w:pPr>
      <w:r>
        <w:rPr>
          <w:rFonts w:ascii="Times New Roman"/>
        </w:rPr>
        <w:t xml:space="preserve">YB/T 4416  </w:t>
      </w:r>
      <w:r>
        <w:rPr>
          <w:rFonts w:hint="eastAsia" w:ascii="Times New Roman"/>
        </w:rPr>
        <w:t>焦化行业</w:t>
      </w:r>
      <w:r>
        <w:rPr>
          <w:rFonts w:ascii="Times New Roman"/>
        </w:rPr>
        <w:t>清洁生产水平评价标准</w:t>
      </w:r>
    </w:p>
    <w:p>
      <w:pPr>
        <w:pStyle w:val="24"/>
        <w:rPr>
          <w:rFonts w:ascii="Times New Roman"/>
        </w:rPr>
      </w:pPr>
      <w:r>
        <w:rPr>
          <w:rFonts w:hint="eastAsia" w:ascii="Times New Roman"/>
        </w:rPr>
        <w:t>《钢铁行业（烧结、球团）清洁生产评价指标体系》（2018版）</w:t>
      </w:r>
    </w:p>
    <w:p>
      <w:pPr>
        <w:pStyle w:val="24"/>
        <w:rPr>
          <w:rFonts w:ascii="Times New Roman"/>
        </w:rPr>
      </w:pPr>
      <w:r>
        <w:rPr>
          <w:rFonts w:hint="eastAsia" w:ascii="Times New Roman"/>
        </w:rPr>
        <w:t>《钢铁</w:t>
      </w:r>
      <w:r>
        <w:rPr>
          <w:rFonts w:ascii="Times New Roman"/>
        </w:rPr>
        <w:t>行业（</w:t>
      </w:r>
      <w:r>
        <w:rPr>
          <w:rFonts w:hint="eastAsia" w:ascii="Times New Roman"/>
        </w:rPr>
        <w:t>高炉炼铁</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24"/>
        <w:rPr>
          <w:rFonts w:ascii="Times New Roman"/>
        </w:rPr>
      </w:pPr>
      <w:r>
        <w:rPr>
          <w:rFonts w:hint="eastAsia" w:ascii="Times New Roman"/>
        </w:rPr>
        <w:t>《钢铁</w:t>
      </w:r>
      <w:r>
        <w:rPr>
          <w:rFonts w:ascii="Times New Roman"/>
        </w:rPr>
        <w:t>行业（</w:t>
      </w:r>
      <w:r>
        <w:rPr>
          <w:rFonts w:hint="eastAsia" w:ascii="Times New Roman"/>
        </w:rPr>
        <w:t>炼钢</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24"/>
        <w:rPr>
          <w:rFonts w:ascii="Times New Roman"/>
        </w:rPr>
      </w:pPr>
      <w:r>
        <w:rPr>
          <w:rFonts w:hint="eastAsia" w:ascii="Times New Roman"/>
        </w:rPr>
        <w:t>《钢铁</w:t>
      </w:r>
      <w:r>
        <w:rPr>
          <w:rFonts w:ascii="Times New Roman"/>
        </w:rPr>
        <w:t>行业（</w:t>
      </w:r>
      <w:r>
        <w:rPr>
          <w:rFonts w:hint="eastAsia" w:ascii="Times New Roman"/>
        </w:rPr>
        <w:t>钢压延加工</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52"/>
        <w:numPr>
          <w:ilvl w:val="0"/>
          <w:numId w:val="3"/>
        </w:numPr>
        <w:spacing w:before="312" w:after="312"/>
        <w:rPr>
          <w:rFonts w:ascii="Times New Roman"/>
        </w:rPr>
      </w:pPr>
      <w:r>
        <w:rPr>
          <w:rFonts w:ascii="Times New Roman"/>
        </w:rPr>
        <w:t>术语和定义</w:t>
      </w:r>
      <w:bookmarkEnd w:id="13"/>
    </w:p>
    <w:p>
      <w:pPr>
        <w:widowControl/>
        <w:tabs>
          <w:tab w:val="center" w:pos="4201"/>
          <w:tab w:val="right" w:leader="dot" w:pos="9298"/>
        </w:tabs>
        <w:autoSpaceDE w:val="0"/>
        <w:autoSpaceDN w:val="0"/>
        <w:ind w:firstLine="420" w:firstLineChars="200"/>
        <w:rPr>
          <w:kern w:val="0"/>
          <w:szCs w:val="20"/>
        </w:rPr>
      </w:pPr>
      <w:r>
        <w:rPr>
          <w:kern w:val="0"/>
          <w:szCs w:val="20"/>
        </w:rPr>
        <w:t>GB/T 32161界定的以及下列术语和定义适用于本文件。</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产品制造生命周期  manufacture of steel products life cycle</w:t>
      </w:r>
    </w:p>
    <w:p>
      <w:pPr>
        <w:pStyle w:val="24"/>
        <w:rPr>
          <w:rFonts w:ascii="Times New Roman"/>
        </w:rPr>
      </w:pPr>
      <w:r>
        <w:rPr>
          <w:rFonts w:ascii="Times New Roman"/>
        </w:rPr>
        <w:t>从铁矿石、煤炭等原料、燃料开采开始，经过焦化、烧结等原料加工工序，炼铁、炼钢、轧钢等制造工序，形成钢铁产品的过程，即“从摇篮到大门（from cradle to gate）”的生命周期过程。</w:t>
      </w:r>
    </w:p>
    <w:p>
      <w:pPr>
        <w:widowControl/>
        <w:tabs>
          <w:tab w:val="center" w:pos="4201"/>
          <w:tab w:val="right" w:leader="dot" w:pos="9298"/>
        </w:tabs>
        <w:autoSpaceDE w:val="0"/>
        <w:autoSpaceDN w:val="0"/>
        <w:ind w:firstLine="420" w:firstLineChars="200"/>
        <w:rPr>
          <w:kern w:val="0"/>
          <w:szCs w:val="22"/>
        </w:rPr>
      </w:pPr>
      <w:r>
        <w:rPr>
          <w:kern w:val="0"/>
          <w:szCs w:val="22"/>
        </w:rPr>
        <w:t>[来源：GB/T 30052，3.1，有修改]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rPr>
        <w:t>绿色设计 green-design</w:t>
      </w:r>
    </w:p>
    <w:p>
      <w:pPr>
        <w:pStyle w:val="24"/>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4"/>
        <w:rPr>
          <w:rFonts w:ascii="Times New Roman"/>
        </w:rPr>
      </w:pPr>
      <w:r>
        <w:rPr>
          <w:rFonts w:ascii="Times New Roman"/>
        </w:rPr>
        <w:t>[来源：GB/T 32161-2015，3.2，有修改]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绿色设计产品 green-design product</w:t>
      </w:r>
    </w:p>
    <w:p>
      <w:pPr>
        <w:pStyle w:val="24"/>
        <w:rPr>
          <w:rFonts w:ascii="Times New Roman"/>
        </w:rPr>
      </w:pPr>
      <w:r>
        <w:rPr>
          <w:rFonts w:ascii="Times New Roman"/>
        </w:rPr>
        <w:t>符合绿色设计理念和评价要求的产品。</w:t>
      </w:r>
    </w:p>
    <w:p>
      <w:pPr>
        <w:pStyle w:val="24"/>
        <w:rPr>
          <w:rFonts w:ascii="Times New Roman"/>
        </w:rPr>
      </w:pPr>
      <w:r>
        <w:rPr>
          <w:rFonts w:ascii="Times New Roman"/>
        </w:rPr>
        <w:t>[来源：GB/T 32161-2015，3.3，有修改]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生命周期评价报告 report for life cycle assessment</w:t>
      </w:r>
    </w:p>
    <w:p>
      <w:pPr>
        <w:pStyle w:val="24"/>
        <w:rPr>
          <w:rFonts w:ascii="Times New Roman"/>
        </w:rPr>
      </w:pPr>
      <w:r>
        <w:rPr>
          <w:rFonts w:ascii="Times New Roman"/>
        </w:rPr>
        <w:t>依据生命周期评价方法编制的，用于披露产品绿色设计情况及钢铁产品制造生命周期环境影响信息的报告。</w:t>
      </w:r>
    </w:p>
    <w:p>
      <w:pPr>
        <w:pStyle w:val="24"/>
        <w:rPr>
          <w:rFonts w:ascii="Times New Roman"/>
        </w:rPr>
      </w:pPr>
      <w:r>
        <w:rPr>
          <w:rFonts w:ascii="Times New Roman"/>
        </w:rPr>
        <w:t>[来源：GB/T 32161-2015，3.7，有修改]</w:t>
      </w:r>
    </w:p>
    <w:p>
      <w:pPr>
        <w:pStyle w:val="52"/>
        <w:numPr>
          <w:ilvl w:val="0"/>
          <w:numId w:val="3"/>
        </w:numPr>
        <w:spacing w:before="312" w:after="312"/>
        <w:rPr>
          <w:rFonts w:ascii="Times New Roman"/>
        </w:rPr>
      </w:pPr>
      <w:r>
        <w:rPr>
          <w:rFonts w:ascii="Times New Roman"/>
        </w:rPr>
        <w:t>评价指标体系</w:t>
      </w:r>
    </w:p>
    <w:p>
      <w:pPr>
        <w:pStyle w:val="54"/>
        <w:numPr>
          <w:ilvl w:val="1"/>
          <w:numId w:val="3"/>
        </w:numPr>
        <w:spacing w:before="156" w:after="156"/>
        <w:ind w:left="0"/>
        <w:jc w:val="both"/>
        <w:rPr>
          <w:rFonts w:ascii="Times New Roman"/>
        </w:rPr>
      </w:pPr>
      <w:bookmarkStart w:id="14" w:name="_Toc499733970"/>
      <w:bookmarkStart w:id="15" w:name="_Toc496267158"/>
      <w:bookmarkStart w:id="16" w:name="_Toc512093863"/>
      <w:bookmarkStart w:id="17" w:name="_Toc499735466"/>
      <w:r>
        <w:rPr>
          <w:rFonts w:ascii="Times New Roman"/>
        </w:rPr>
        <w:t>评价原则</w:t>
      </w:r>
    </w:p>
    <w:p>
      <w:pPr>
        <w:pStyle w:val="57"/>
        <w:numPr>
          <w:ilvl w:val="2"/>
          <w:numId w:val="3"/>
        </w:numPr>
        <w:spacing w:before="156" w:after="156"/>
        <w:rPr>
          <w:rFonts w:ascii="Times New Roman"/>
        </w:rPr>
      </w:pPr>
      <w:r>
        <w:rPr>
          <w:rFonts w:ascii="Times New Roman"/>
        </w:rPr>
        <w:t>指标评价与生命周期评价相结合的原则</w:t>
      </w:r>
    </w:p>
    <w:p>
      <w:pPr>
        <w:pStyle w:val="24"/>
        <w:rPr>
          <w:rFonts w:ascii="Times New Roman"/>
        </w:rPr>
      </w:pPr>
      <w:r>
        <w:rPr>
          <w:rFonts w:ascii="Times New Roman"/>
        </w:rPr>
        <w:t>依据生命周期评价方法，考虑弹簧钢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7"/>
        <w:numPr>
          <w:ilvl w:val="2"/>
          <w:numId w:val="3"/>
        </w:numPr>
        <w:spacing w:before="156" w:after="156"/>
        <w:rPr>
          <w:rFonts w:ascii="Times New Roman"/>
        </w:rPr>
      </w:pPr>
      <w:r>
        <w:rPr>
          <w:rFonts w:ascii="Times New Roman"/>
        </w:rPr>
        <w:t>环境影响种类最优选取原则</w:t>
      </w:r>
    </w:p>
    <w:p>
      <w:pPr>
        <w:pStyle w:val="24"/>
        <w:rPr>
          <w:rFonts w:ascii="Times New Roman"/>
        </w:rPr>
      </w:pPr>
      <w:r>
        <w:rPr>
          <w:rFonts w:ascii="Times New Roman"/>
        </w:rPr>
        <w:t>为降低生命周期生命评价的难度，宜选取具有影响大、社会关注度高、国家法律或政策明确要求的环境影响种类，通常可在人体毒性-癌症影响、可吸入颗粒物、水资源消耗、臭氧层破坏、气候变化、水体生态毒性、人体毒性-非癌症影响、电离辐射-人体健康影响、光化学臭氧生成潜势、酸化、富营养化-陆地、富营养化-水体、矿物和化石能源消耗、土地利用变化等种类中选取，选取的数量不宜过多。</w:t>
      </w:r>
    </w:p>
    <w:p>
      <w:pPr>
        <w:pStyle w:val="54"/>
        <w:numPr>
          <w:ilvl w:val="1"/>
          <w:numId w:val="3"/>
        </w:numPr>
        <w:spacing w:before="156" w:after="156"/>
        <w:ind w:left="0"/>
        <w:jc w:val="both"/>
        <w:rPr>
          <w:rFonts w:ascii="Times New Roman"/>
        </w:rPr>
      </w:pPr>
      <w:r>
        <w:rPr>
          <w:rFonts w:ascii="Times New Roman"/>
        </w:rPr>
        <w:t>评价方法和流程</w:t>
      </w:r>
    </w:p>
    <w:p>
      <w:pPr>
        <w:widowControl/>
        <w:tabs>
          <w:tab w:val="center" w:pos="4201"/>
          <w:tab w:val="right" w:leader="dot" w:pos="9298"/>
        </w:tabs>
        <w:autoSpaceDE w:val="0"/>
        <w:autoSpaceDN w:val="0"/>
        <w:ind w:firstLine="420" w:firstLineChars="200"/>
        <w:rPr>
          <w:kern w:val="0"/>
          <w:szCs w:val="22"/>
        </w:rPr>
      </w:pPr>
      <w:r>
        <w:rPr>
          <w:kern w:val="0"/>
          <w:szCs w:val="22"/>
        </w:rPr>
        <w:t>本文件采用指标评价和生命周期评价相结合的方法。弹簧钢产品应同时满足以下两个条件，可判定为绿色设计产品：</w:t>
      </w:r>
    </w:p>
    <w:p>
      <w:pPr>
        <w:widowControl/>
        <w:tabs>
          <w:tab w:val="center" w:pos="4201"/>
          <w:tab w:val="right" w:leader="dot" w:pos="9298"/>
        </w:tabs>
        <w:autoSpaceDE w:val="0"/>
        <w:autoSpaceDN w:val="0"/>
        <w:ind w:firstLine="420" w:firstLineChars="200"/>
        <w:rPr>
          <w:kern w:val="0"/>
          <w:szCs w:val="22"/>
        </w:rPr>
      </w:pPr>
      <w:r>
        <w:rPr>
          <w:kern w:val="0"/>
          <w:szCs w:val="22"/>
        </w:rPr>
        <w:t>a）满足基本要求（见5.1）和评价指标要求（见5.2）；</w:t>
      </w:r>
    </w:p>
    <w:p>
      <w:pPr>
        <w:widowControl/>
        <w:tabs>
          <w:tab w:val="center" w:pos="4201"/>
          <w:tab w:val="right" w:leader="dot" w:pos="9298"/>
        </w:tabs>
        <w:autoSpaceDE w:val="0"/>
        <w:autoSpaceDN w:val="0"/>
        <w:ind w:firstLine="420" w:firstLineChars="200"/>
        <w:rPr>
          <w:kern w:val="0"/>
          <w:szCs w:val="22"/>
        </w:rPr>
      </w:pPr>
      <w:r>
        <w:rPr>
          <w:kern w:val="0"/>
          <w:szCs w:val="22"/>
        </w:rPr>
        <w:t>b）提供弹簧钢产品生命周期评价报告（见6.2）。</w:t>
      </w:r>
    </w:p>
    <w:p>
      <w:pPr>
        <w:pStyle w:val="52"/>
        <w:numPr>
          <w:ilvl w:val="0"/>
          <w:numId w:val="3"/>
        </w:numPr>
        <w:spacing w:before="312" w:after="312"/>
        <w:rPr>
          <w:rFonts w:ascii="Times New Roman"/>
        </w:rPr>
      </w:pPr>
      <w:r>
        <w:rPr>
          <w:rFonts w:ascii="Times New Roman"/>
        </w:rPr>
        <w:t>评价要求</w:t>
      </w:r>
    </w:p>
    <w:p>
      <w:pPr>
        <w:pStyle w:val="54"/>
        <w:numPr>
          <w:ilvl w:val="1"/>
          <w:numId w:val="3"/>
        </w:numPr>
        <w:spacing w:before="156" w:after="156"/>
        <w:ind w:left="0"/>
        <w:jc w:val="both"/>
        <w:rPr>
          <w:rFonts w:ascii="Times New Roman"/>
        </w:rPr>
      </w:pPr>
      <w:r>
        <w:rPr>
          <w:rFonts w:ascii="Times New Roman"/>
        </w:rPr>
        <w:t>基本要求</w:t>
      </w:r>
    </w:p>
    <w:p>
      <w:pPr>
        <w:widowControl/>
        <w:tabs>
          <w:tab w:val="center" w:pos="4201"/>
          <w:tab w:val="right" w:leader="dot" w:pos="9298"/>
        </w:tabs>
        <w:autoSpaceDE w:val="0"/>
        <w:autoSpaceDN w:val="0"/>
        <w:ind w:firstLine="420" w:firstLineChars="200"/>
        <w:rPr>
          <w:kern w:val="0"/>
          <w:szCs w:val="22"/>
        </w:rPr>
      </w:pPr>
      <w:r>
        <w:rPr>
          <w:kern w:val="0"/>
          <w:szCs w:val="22"/>
        </w:rPr>
        <w:t>弹簧钢生产企业应满足以下要求，包括但不限于：</w:t>
      </w:r>
    </w:p>
    <w:p>
      <w:pPr>
        <w:widowControl/>
        <w:tabs>
          <w:tab w:val="center" w:pos="4201"/>
          <w:tab w:val="right" w:leader="dot" w:pos="9298"/>
        </w:tabs>
        <w:autoSpaceDE w:val="0"/>
        <w:autoSpaceDN w:val="0"/>
        <w:ind w:firstLine="420" w:firstLineChars="200"/>
        <w:rPr>
          <w:kern w:val="0"/>
          <w:szCs w:val="22"/>
        </w:rPr>
      </w:pPr>
      <w:r>
        <w:rPr>
          <w:kern w:val="0"/>
          <w:szCs w:val="22"/>
        </w:rPr>
        <w:t>a）弹簧钢生产企业的污染物排放应达到国家或地方污染物排放标准的要求，近三年（投产不足三年的企业自投产之日起）无重大安全和环境污染事故；</w:t>
      </w:r>
    </w:p>
    <w:p>
      <w:pPr>
        <w:widowControl/>
        <w:tabs>
          <w:tab w:val="center" w:pos="4201"/>
          <w:tab w:val="right" w:leader="dot" w:pos="9298"/>
        </w:tabs>
        <w:autoSpaceDE w:val="0"/>
        <w:autoSpaceDN w:val="0"/>
        <w:ind w:firstLine="420" w:firstLineChars="200"/>
        <w:rPr>
          <w:kern w:val="0"/>
          <w:szCs w:val="22"/>
        </w:rPr>
      </w:pPr>
      <w:r>
        <w:rPr>
          <w:kern w:val="0"/>
          <w:szCs w:val="22"/>
        </w:rPr>
        <w:t>b）企业稳定生产弹簧钢应至少满一年；</w:t>
      </w:r>
    </w:p>
    <w:p>
      <w:pPr>
        <w:widowControl/>
        <w:tabs>
          <w:tab w:val="center" w:pos="4201"/>
          <w:tab w:val="right" w:leader="dot" w:pos="9298"/>
        </w:tabs>
        <w:autoSpaceDE w:val="0"/>
        <w:autoSpaceDN w:val="0"/>
        <w:ind w:firstLine="420" w:firstLineChars="200"/>
        <w:rPr>
          <w:kern w:val="0"/>
          <w:szCs w:val="22"/>
        </w:rPr>
      </w:pPr>
      <w:r>
        <w:rPr>
          <w:kern w:val="0"/>
          <w:szCs w:val="22"/>
        </w:rPr>
        <w:t>c）生产企业清洁生产水平国内先进；</w:t>
      </w:r>
    </w:p>
    <w:p>
      <w:pPr>
        <w:widowControl/>
        <w:tabs>
          <w:tab w:val="center" w:pos="4201"/>
          <w:tab w:val="right" w:leader="dot" w:pos="9298"/>
        </w:tabs>
        <w:autoSpaceDE w:val="0"/>
        <w:autoSpaceDN w:val="0"/>
        <w:ind w:firstLine="420" w:firstLineChars="200"/>
        <w:rPr>
          <w:kern w:val="0"/>
          <w:szCs w:val="22"/>
        </w:rPr>
      </w:pPr>
      <w:r>
        <w:rPr>
          <w:kern w:val="0"/>
          <w:szCs w:val="22"/>
        </w:rPr>
        <w:t>d）产品节能降耗和综合利用水平，应达到国家标准、行业标准的相关要求；</w:t>
      </w:r>
    </w:p>
    <w:p>
      <w:pPr>
        <w:widowControl/>
        <w:tabs>
          <w:tab w:val="center" w:pos="4201"/>
          <w:tab w:val="right" w:leader="dot" w:pos="9298"/>
        </w:tabs>
        <w:autoSpaceDE w:val="0"/>
        <w:autoSpaceDN w:val="0"/>
        <w:ind w:firstLine="420" w:firstLineChars="200"/>
        <w:rPr>
          <w:kern w:val="0"/>
          <w:szCs w:val="22"/>
        </w:rPr>
      </w:pPr>
      <w:r>
        <w:rPr>
          <w:kern w:val="0"/>
          <w:szCs w:val="22"/>
        </w:rPr>
        <w:t>e）生产企业宜采用国家鼓励的先进技术工艺，不应使用国家或有关部门发布的淘汰或禁止的技术、工艺、装备及相关物质；</w:t>
      </w:r>
    </w:p>
    <w:p>
      <w:pPr>
        <w:widowControl/>
        <w:tabs>
          <w:tab w:val="center" w:pos="4201"/>
          <w:tab w:val="right" w:leader="dot" w:pos="9298"/>
        </w:tabs>
        <w:autoSpaceDE w:val="0"/>
        <w:autoSpaceDN w:val="0"/>
        <w:ind w:firstLine="420" w:firstLineChars="200"/>
        <w:rPr>
          <w:kern w:val="0"/>
          <w:szCs w:val="22"/>
        </w:rPr>
      </w:pPr>
      <w:r>
        <w:rPr>
          <w:kern w:val="0"/>
          <w:szCs w:val="22"/>
        </w:rPr>
        <w:t>f）生产企业污染物总量控制，满足排污许可证载明的许可排放总量与管理要求，达到国家和地方污染物排放总量控制指标；</w:t>
      </w:r>
    </w:p>
    <w:p>
      <w:pPr>
        <w:widowControl/>
        <w:tabs>
          <w:tab w:val="center" w:pos="4201"/>
          <w:tab w:val="right" w:leader="dot" w:pos="9298"/>
        </w:tabs>
        <w:autoSpaceDE w:val="0"/>
        <w:autoSpaceDN w:val="0"/>
        <w:ind w:firstLine="420" w:firstLineChars="200"/>
        <w:rPr>
          <w:kern w:val="0"/>
          <w:szCs w:val="22"/>
        </w:rPr>
      </w:pPr>
      <w:r>
        <w:rPr>
          <w:kern w:val="0"/>
          <w:szCs w:val="22"/>
        </w:rPr>
        <w:t>g）生产企业所生产的弹簧钢产品质量应满足GB/T 1222的规定；</w:t>
      </w:r>
    </w:p>
    <w:p>
      <w:pPr>
        <w:widowControl/>
        <w:tabs>
          <w:tab w:val="center" w:pos="4201"/>
          <w:tab w:val="right" w:leader="dot" w:pos="9298"/>
        </w:tabs>
        <w:autoSpaceDE w:val="0"/>
        <w:autoSpaceDN w:val="0"/>
        <w:ind w:firstLine="420" w:firstLineChars="200"/>
        <w:rPr>
          <w:kern w:val="0"/>
          <w:szCs w:val="22"/>
        </w:rPr>
      </w:pPr>
      <w:r>
        <w:rPr>
          <w:kern w:val="0"/>
          <w:szCs w:val="22"/>
        </w:rPr>
        <w:t>h）生产企业的环境管理，应按照GB/T 19001、GB/T 23331、GB/T 24001和GB/T 45001分别建立并运行质量管理体系、能源管理体系、环境管理体系和职业健康安全管理体系；</w:t>
      </w:r>
    </w:p>
    <w:p>
      <w:pPr>
        <w:widowControl/>
        <w:tabs>
          <w:tab w:val="center" w:pos="4201"/>
          <w:tab w:val="right" w:leader="dot" w:pos="9298"/>
        </w:tabs>
        <w:autoSpaceDE w:val="0"/>
        <w:autoSpaceDN w:val="0"/>
        <w:ind w:firstLine="420" w:firstLineChars="200"/>
        <w:rPr>
          <w:kern w:val="0"/>
          <w:szCs w:val="22"/>
        </w:rPr>
      </w:pPr>
      <w:r>
        <w:rPr>
          <w:kern w:val="0"/>
          <w:szCs w:val="22"/>
        </w:rPr>
        <w:t>i）生产企业应按照GB 17167配备能源计量器具并有效执行，根据环保法律法规和标准要求配备污染物检测和在线监测设备并有效执行。</w:t>
      </w:r>
    </w:p>
    <w:p>
      <w:pPr>
        <w:pStyle w:val="54"/>
        <w:numPr>
          <w:ilvl w:val="1"/>
          <w:numId w:val="3"/>
        </w:numPr>
        <w:spacing w:before="156" w:after="156"/>
        <w:ind w:left="0"/>
        <w:jc w:val="both"/>
        <w:rPr>
          <w:rFonts w:ascii="Times New Roman"/>
        </w:rPr>
      </w:pPr>
      <w:r>
        <w:rPr>
          <w:rFonts w:ascii="Times New Roman"/>
        </w:rPr>
        <w:t>评价指标要求</w:t>
      </w:r>
    </w:p>
    <w:p>
      <w:pPr>
        <w:widowControl/>
        <w:tabs>
          <w:tab w:val="center" w:pos="4201"/>
          <w:tab w:val="right" w:leader="dot" w:pos="9298"/>
        </w:tabs>
        <w:autoSpaceDE w:val="0"/>
        <w:autoSpaceDN w:val="0"/>
        <w:ind w:firstLine="420" w:firstLineChars="200"/>
        <w:rPr>
          <w:kern w:val="0"/>
          <w:szCs w:val="22"/>
        </w:rPr>
      </w:pPr>
      <w:r>
        <w:rPr>
          <w:kern w:val="0"/>
          <w:szCs w:val="22"/>
        </w:rPr>
        <w:t>弹簧钢的评价指标由一级指标和二级指标组成，其中一级指标包括资源属性指标、能源属性指标、环境属性指标和产品属性指标。弹簧钢的评价指标名称、基准值、判定依据等要求见表1。</w:t>
      </w:r>
    </w:p>
    <w:p>
      <w:pPr>
        <w:widowControl/>
        <w:tabs>
          <w:tab w:val="center" w:pos="4201"/>
          <w:tab w:val="right" w:leader="dot" w:pos="9298"/>
        </w:tabs>
        <w:autoSpaceDE w:val="0"/>
        <w:autoSpaceDN w:val="0"/>
        <w:ind w:firstLine="420" w:firstLineChars="200"/>
        <w:rPr>
          <w:kern w:val="0"/>
          <w:szCs w:val="22"/>
        </w:rPr>
      </w:pPr>
    </w:p>
    <w:p>
      <w:pPr>
        <w:widowControl/>
        <w:tabs>
          <w:tab w:val="center" w:pos="4201"/>
          <w:tab w:val="right" w:leader="dot" w:pos="9298"/>
        </w:tabs>
        <w:autoSpaceDE w:val="0"/>
        <w:autoSpaceDN w:val="0"/>
        <w:jc w:val="center"/>
        <w:rPr>
          <w:rFonts w:eastAsia="黑体"/>
          <w:kern w:val="0"/>
          <w:szCs w:val="22"/>
        </w:rPr>
      </w:pPr>
      <w:r>
        <w:rPr>
          <w:rFonts w:eastAsia="黑体"/>
          <w:kern w:val="0"/>
          <w:szCs w:val="22"/>
        </w:rPr>
        <w:t>表1 弹簧钢评价指标要求</w:t>
      </w:r>
    </w:p>
    <w:tbl>
      <w:tblPr>
        <w:tblStyle w:val="3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13"/>
        <w:gridCol w:w="802"/>
        <w:gridCol w:w="709"/>
        <w:gridCol w:w="141"/>
        <w:gridCol w:w="568"/>
        <w:gridCol w:w="1133"/>
        <w:gridCol w:w="709"/>
        <w:gridCol w:w="1868"/>
        <w:gridCol w:w="214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65" w:type="dxa"/>
            <w:vAlign w:val="center"/>
          </w:tcPr>
          <w:p>
            <w:pPr>
              <w:jc w:val="center"/>
              <w:rPr>
                <w:sz w:val="18"/>
                <w:szCs w:val="18"/>
              </w:rPr>
            </w:pPr>
            <w:r>
              <w:rPr>
                <w:sz w:val="18"/>
                <w:szCs w:val="18"/>
              </w:rPr>
              <w:t>一级指标</w:t>
            </w:r>
          </w:p>
        </w:tc>
        <w:tc>
          <w:tcPr>
            <w:tcW w:w="3766" w:type="dxa"/>
            <w:gridSpan w:val="6"/>
            <w:vAlign w:val="center"/>
          </w:tcPr>
          <w:p>
            <w:pPr>
              <w:jc w:val="center"/>
              <w:rPr>
                <w:sz w:val="18"/>
                <w:szCs w:val="18"/>
              </w:rPr>
            </w:pPr>
            <w:r>
              <w:rPr>
                <w:sz w:val="18"/>
                <w:szCs w:val="18"/>
              </w:rPr>
              <w:t>二级指标</w:t>
            </w:r>
          </w:p>
        </w:tc>
        <w:tc>
          <w:tcPr>
            <w:tcW w:w="709" w:type="dxa"/>
            <w:vAlign w:val="center"/>
          </w:tcPr>
          <w:p>
            <w:pPr>
              <w:jc w:val="center"/>
              <w:rPr>
                <w:sz w:val="18"/>
                <w:szCs w:val="18"/>
              </w:rPr>
            </w:pPr>
            <w:r>
              <w:rPr>
                <w:sz w:val="18"/>
                <w:szCs w:val="18"/>
              </w:rPr>
              <w:t>单位</w:t>
            </w:r>
          </w:p>
        </w:tc>
        <w:tc>
          <w:tcPr>
            <w:tcW w:w="1868" w:type="dxa"/>
            <w:vAlign w:val="center"/>
          </w:tcPr>
          <w:p>
            <w:pPr>
              <w:jc w:val="center"/>
              <w:rPr>
                <w:sz w:val="18"/>
                <w:szCs w:val="18"/>
              </w:rPr>
            </w:pPr>
            <w:r>
              <w:rPr>
                <w:sz w:val="18"/>
                <w:szCs w:val="18"/>
              </w:rPr>
              <w:t>基准值</w:t>
            </w:r>
          </w:p>
        </w:tc>
        <w:tc>
          <w:tcPr>
            <w:tcW w:w="2144" w:type="dxa"/>
            <w:vAlign w:val="center"/>
          </w:tcPr>
          <w:p>
            <w:pPr>
              <w:jc w:val="center"/>
              <w:rPr>
                <w:sz w:val="18"/>
                <w:szCs w:val="18"/>
              </w:rPr>
            </w:pPr>
            <w:r>
              <w:rPr>
                <w:sz w:val="18"/>
                <w:szCs w:val="18"/>
              </w:rPr>
              <w:t>测试依据和确认条件</w:t>
            </w:r>
          </w:p>
        </w:tc>
        <w:tc>
          <w:tcPr>
            <w:tcW w:w="977" w:type="dxa"/>
            <w:vAlign w:val="center"/>
          </w:tcPr>
          <w:p>
            <w:pPr>
              <w:jc w:val="center"/>
              <w:rPr>
                <w:sz w:val="18"/>
                <w:szCs w:val="18"/>
              </w:rPr>
            </w:pPr>
            <w:r>
              <w:rPr>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资源属性</w:t>
            </w:r>
          </w:p>
        </w:tc>
        <w:tc>
          <w:tcPr>
            <w:tcW w:w="1215" w:type="dxa"/>
            <w:gridSpan w:val="2"/>
            <w:vMerge w:val="restart"/>
            <w:vAlign w:val="center"/>
          </w:tcPr>
          <w:p>
            <w:pPr>
              <w:jc w:val="center"/>
              <w:rPr>
                <w:sz w:val="18"/>
                <w:szCs w:val="18"/>
              </w:rPr>
            </w:pPr>
            <w:r>
              <w:rPr>
                <w:sz w:val="18"/>
                <w:szCs w:val="18"/>
              </w:rPr>
              <w:t>原材料质量要求</w:t>
            </w:r>
          </w:p>
        </w:tc>
        <w:tc>
          <w:tcPr>
            <w:tcW w:w="850" w:type="dxa"/>
            <w:gridSpan w:val="2"/>
            <w:vMerge w:val="restart"/>
            <w:vAlign w:val="center"/>
          </w:tcPr>
          <w:p>
            <w:pPr>
              <w:jc w:val="center"/>
              <w:rPr>
                <w:sz w:val="18"/>
                <w:szCs w:val="18"/>
              </w:rPr>
            </w:pPr>
            <w:r>
              <w:rPr>
                <w:sz w:val="18"/>
                <w:szCs w:val="18"/>
              </w:rPr>
              <w:t>高炉原燃料</w:t>
            </w:r>
          </w:p>
        </w:tc>
        <w:tc>
          <w:tcPr>
            <w:tcW w:w="1701" w:type="dxa"/>
            <w:gridSpan w:val="2"/>
            <w:vAlign w:val="center"/>
          </w:tcPr>
          <w:p>
            <w:pPr>
              <w:jc w:val="center"/>
              <w:rPr>
                <w:sz w:val="18"/>
                <w:szCs w:val="18"/>
              </w:rPr>
            </w:pPr>
            <w:r>
              <w:rPr>
                <w:sz w:val="18"/>
                <w:szCs w:val="18"/>
              </w:rPr>
              <w:t>高炉入炉品位</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≥57.0</w:t>
            </w:r>
          </w:p>
        </w:tc>
        <w:tc>
          <w:tcPr>
            <w:tcW w:w="2144" w:type="dxa"/>
            <w:vAlign w:val="center"/>
          </w:tcPr>
          <w:p>
            <w:pPr>
              <w:jc w:val="center"/>
              <w:rPr>
                <w:sz w:val="18"/>
                <w:szCs w:val="18"/>
              </w:rPr>
            </w:pPr>
            <w:r>
              <w:rPr>
                <w:sz w:val="18"/>
                <w:szCs w:val="18"/>
              </w:rPr>
              <w:t>按照《钢铁行业（高炉炼铁）清洁生产评价指标体系》和GB 50427标准，提供采购合同、采购原料清单及证明材料</w:t>
            </w:r>
          </w:p>
        </w:tc>
        <w:tc>
          <w:tcPr>
            <w:tcW w:w="977" w:type="dxa"/>
            <w:vMerge w:val="restart"/>
            <w:vAlign w:val="center"/>
          </w:tcPr>
          <w:p>
            <w:pPr>
              <w:jc w:val="center"/>
              <w:rPr>
                <w:sz w:val="18"/>
                <w:szCs w:val="18"/>
              </w:rPr>
            </w:pPr>
            <w:r>
              <w:rPr>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850" w:type="dxa"/>
            <w:gridSpan w:val="2"/>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焦炭硫含量</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≤1.10</w:t>
            </w:r>
          </w:p>
        </w:tc>
        <w:tc>
          <w:tcPr>
            <w:tcW w:w="2144" w:type="dxa"/>
            <w:vAlign w:val="center"/>
          </w:tcPr>
          <w:p>
            <w:pPr>
              <w:jc w:val="center"/>
              <w:rPr>
                <w:sz w:val="18"/>
                <w:szCs w:val="18"/>
              </w:rPr>
            </w:pPr>
            <w:r>
              <w:rPr>
                <w:sz w:val="18"/>
                <w:szCs w:val="18"/>
              </w:rPr>
              <w:t>按照GB/T 1996标准，并提供基础数据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850" w:type="dxa"/>
            <w:gridSpan w:val="2"/>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喷吹煤硫含量</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≤1.00</w:t>
            </w:r>
          </w:p>
        </w:tc>
        <w:tc>
          <w:tcPr>
            <w:tcW w:w="2144" w:type="dxa"/>
            <w:vAlign w:val="center"/>
          </w:tcPr>
          <w:p>
            <w:pPr>
              <w:jc w:val="center"/>
              <w:rPr>
                <w:sz w:val="18"/>
                <w:szCs w:val="18"/>
              </w:rPr>
            </w:pPr>
            <w:r>
              <w:rPr>
                <w:sz w:val="18"/>
                <w:szCs w:val="18"/>
              </w:rPr>
              <w:t>按照GB/T 18512标准，并提供采购合同、采购原料清单及证明材料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jc w:val="center"/>
              <w:rPr>
                <w:sz w:val="18"/>
                <w:szCs w:val="18"/>
              </w:rPr>
            </w:pPr>
            <w:r>
              <w:rPr>
                <w:sz w:val="18"/>
                <w:szCs w:val="18"/>
              </w:rPr>
              <w:t>废钢</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不含放射性物质</w:t>
            </w:r>
          </w:p>
        </w:tc>
        <w:tc>
          <w:tcPr>
            <w:tcW w:w="2144" w:type="dxa"/>
            <w:vAlign w:val="center"/>
          </w:tcPr>
          <w:p>
            <w:pPr>
              <w:jc w:val="center"/>
              <w:rPr>
                <w:sz w:val="18"/>
                <w:szCs w:val="18"/>
              </w:rPr>
            </w:pPr>
            <w:r>
              <w:rPr>
                <w:sz w:val="18"/>
                <w:szCs w:val="18"/>
              </w:rPr>
              <w:t>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restart"/>
            <w:vAlign w:val="center"/>
          </w:tcPr>
          <w:p>
            <w:pPr>
              <w:jc w:val="center"/>
              <w:rPr>
                <w:sz w:val="18"/>
                <w:szCs w:val="18"/>
              </w:rPr>
            </w:pPr>
            <w:r>
              <w:rPr>
                <w:sz w:val="18"/>
                <w:szCs w:val="18"/>
              </w:rPr>
              <w:t>水资源</w:t>
            </w:r>
          </w:p>
        </w:tc>
        <w:tc>
          <w:tcPr>
            <w:tcW w:w="802" w:type="dxa"/>
            <w:vMerge w:val="restart"/>
            <w:vAlign w:val="center"/>
          </w:tcPr>
          <w:p>
            <w:pPr>
              <w:jc w:val="center"/>
              <w:rPr>
                <w:sz w:val="18"/>
                <w:szCs w:val="18"/>
              </w:rPr>
            </w:pPr>
            <w:r>
              <w:rPr>
                <w:sz w:val="18"/>
                <w:szCs w:val="18"/>
              </w:rPr>
              <w:t>单位产品取水量</w:t>
            </w:r>
          </w:p>
        </w:tc>
        <w:tc>
          <w:tcPr>
            <w:tcW w:w="2551" w:type="dxa"/>
            <w:gridSpan w:val="4"/>
            <w:vAlign w:val="center"/>
          </w:tcPr>
          <w:p>
            <w:pPr>
              <w:jc w:val="center"/>
              <w:rPr>
                <w:sz w:val="18"/>
                <w:szCs w:val="18"/>
              </w:rPr>
            </w:pPr>
            <w:r>
              <w:rPr>
                <w:sz w:val="18"/>
                <w:szCs w:val="18"/>
              </w:rPr>
              <w:t>高炉-转炉生产工艺</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868" w:type="dxa"/>
            <w:vAlign w:val="center"/>
          </w:tcPr>
          <w:p>
            <w:pPr>
              <w:jc w:val="center"/>
              <w:rPr>
                <w:sz w:val="18"/>
                <w:szCs w:val="18"/>
              </w:rPr>
            </w:pPr>
            <w:r>
              <w:rPr>
                <w:sz w:val="18"/>
                <w:szCs w:val="18"/>
              </w:rPr>
              <w:t>≤4.0</w:t>
            </w:r>
          </w:p>
        </w:tc>
        <w:tc>
          <w:tcPr>
            <w:tcW w:w="2144" w:type="dxa"/>
            <w:vMerge w:val="restart"/>
            <w:vAlign w:val="center"/>
          </w:tcPr>
          <w:p>
            <w:pPr>
              <w:jc w:val="center"/>
              <w:rPr>
                <w:sz w:val="18"/>
                <w:szCs w:val="18"/>
              </w:rPr>
            </w:pPr>
            <w:r>
              <w:rPr>
                <w:sz w:val="18"/>
                <w:szCs w:val="18"/>
              </w:rPr>
              <w:t>按照附录A，并提供基础数据（按照一年生产周期计算平均值）</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continue"/>
            <w:vAlign w:val="center"/>
          </w:tcPr>
          <w:p>
            <w:pPr>
              <w:jc w:val="center"/>
              <w:rPr>
                <w:sz w:val="18"/>
                <w:szCs w:val="18"/>
              </w:rPr>
            </w:pPr>
          </w:p>
        </w:tc>
        <w:tc>
          <w:tcPr>
            <w:tcW w:w="802" w:type="dxa"/>
            <w:vMerge w:val="continue"/>
            <w:vAlign w:val="center"/>
          </w:tcPr>
          <w:p>
            <w:pPr>
              <w:jc w:val="center"/>
              <w:rPr>
                <w:sz w:val="18"/>
                <w:szCs w:val="18"/>
              </w:rPr>
            </w:pPr>
          </w:p>
        </w:tc>
        <w:tc>
          <w:tcPr>
            <w:tcW w:w="2551" w:type="dxa"/>
            <w:gridSpan w:val="4"/>
            <w:vAlign w:val="center"/>
          </w:tcPr>
          <w:p>
            <w:pPr>
              <w:jc w:val="center"/>
              <w:rPr>
                <w:sz w:val="18"/>
                <w:szCs w:val="18"/>
              </w:rPr>
            </w:pPr>
            <w:r>
              <w:rPr>
                <w:sz w:val="18"/>
                <w:szCs w:val="18"/>
              </w:rPr>
              <w:t>电炉生产工艺</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868" w:type="dxa"/>
            <w:vAlign w:val="center"/>
          </w:tcPr>
          <w:p>
            <w:pPr>
              <w:jc w:val="center"/>
              <w:rPr>
                <w:sz w:val="18"/>
                <w:szCs w:val="18"/>
              </w:rPr>
            </w:pPr>
            <w:r>
              <w:rPr>
                <w:sz w:val="18"/>
                <w:szCs w:val="18"/>
              </w:rPr>
              <w:t>≤2.6</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continue"/>
            <w:vAlign w:val="center"/>
          </w:tcPr>
          <w:p>
            <w:pPr>
              <w:jc w:val="center"/>
              <w:rPr>
                <w:sz w:val="18"/>
                <w:szCs w:val="18"/>
              </w:rPr>
            </w:pPr>
          </w:p>
        </w:tc>
        <w:tc>
          <w:tcPr>
            <w:tcW w:w="3353" w:type="dxa"/>
            <w:gridSpan w:val="5"/>
            <w:vAlign w:val="center"/>
          </w:tcPr>
          <w:p>
            <w:pPr>
              <w:jc w:val="center"/>
              <w:rPr>
                <w:sz w:val="18"/>
                <w:szCs w:val="18"/>
              </w:rPr>
            </w:pPr>
            <w:r>
              <w:rPr>
                <w:sz w:val="18"/>
                <w:szCs w:val="18"/>
              </w:rPr>
              <w:t>水重复利用率</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≥97</w:t>
            </w:r>
          </w:p>
        </w:tc>
        <w:tc>
          <w:tcPr>
            <w:tcW w:w="2144" w:type="dxa"/>
            <w:vAlign w:val="center"/>
          </w:tcPr>
          <w:p>
            <w:pPr>
              <w:adjustRightInd w:val="0"/>
              <w:snapToGrid w:val="0"/>
              <w:spacing w:line="240" w:lineRule="atLeast"/>
              <w:jc w:val="center"/>
              <w:rPr>
                <w:sz w:val="18"/>
                <w:szCs w:val="18"/>
              </w:rPr>
            </w:pPr>
            <w:r>
              <w:rPr>
                <w:sz w:val="18"/>
                <w:szCs w:val="18"/>
              </w:rPr>
              <w:t>按照GB/T 26924标准和附录A，并提供基础数据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能源属性</w:t>
            </w:r>
          </w:p>
        </w:tc>
        <w:tc>
          <w:tcPr>
            <w:tcW w:w="1215" w:type="dxa"/>
            <w:gridSpan w:val="2"/>
            <w:vMerge w:val="restart"/>
            <w:vAlign w:val="center"/>
          </w:tcPr>
          <w:p>
            <w:pPr>
              <w:jc w:val="center"/>
              <w:rPr>
                <w:sz w:val="18"/>
                <w:szCs w:val="18"/>
              </w:rPr>
            </w:pPr>
            <w:r>
              <w:rPr>
                <w:sz w:val="18"/>
                <w:szCs w:val="18"/>
              </w:rPr>
              <w:t>单位产品能耗指标</w:t>
            </w:r>
          </w:p>
        </w:tc>
        <w:tc>
          <w:tcPr>
            <w:tcW w:w="2551" w:type="dxa"/>
            <w:gridSpan w:val="4"/>
            <w:vAlign w:val="center"/>
          </w:tcPr>
          <w:p>
            <w:pPr>
              <w:widowControl/>
              <w:snapToGrid w:val="0"/>
              <w:jc w:val="center"/>
              <w:rPr>
                <w:kern w:val="0"/>
                <w:sz w:val="18"/>
                <w:szCs w:val="18"/>
              </w:rPr>
            </w:pPr>
            <w:r>
              <w:rPr>
                <w:kern w:val="0"/>
                <w:sz w:val="18"/>
                <w:szCs w:val="18"/>
              </w:rPr>
              <w:t>焦化工序（顶装）</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≤122</w:t>
            </w:r>
          </w:p>
        </w:tc>
        <w:tc>
          <w:tcPr>
            <w:tcW w:w="2144" w:type="dxa"/>
            <w:vAlign w:val="center"/>
          </w:tcPr>
          <w:p>
            <w:pPr>
              <w:jc w:val="center"/>
              <w:rPr>
                <w:sz w:val="18"/>
                <w:szCs w:val="18"/>
              </w:rPr>
            </w:pPr>
            <w:r>
              <w:rPr>
                <w:sz w:val="18"/>
                <w:szCs w:val="18"/>
              </w:rPr>
              <w:t>按照GB 21342要求，并提供基础数据</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sz w:val="18"/>
                <w:szCs w:val="18"/>
              </w:rPr>
            </w:pPr>
            <w:r>
              <w:rPr>
                <w:kern w:val="0"/>
                <w:sz w:val="18"/>
                <w:szCs w:val="18"/>
              </w:rPr>
              <w:t>焦化工序（捣固）</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≤127</w:t>
            </w:r>
          </w:p>
        </w:tc>
        <w:tc>
          <w:tcPr>
            <w:tcW w:w="2144" w:type="dxa"/>
            <w:vAlign w:val="center"/>
          </w:tcPr>
          <w:p>
            <w:pPr>
              <w:jc w:val="center"/>
              <w:rPr>
                <w:sz w:val="18"/>
                <w:szCs w:val="18"/>
              </w:rPr>
            </w:pPr>
            <w:r>
              <w:rPr>
                <w:sz w:val="18"/>
                <w:szCs w:val="18"/>
              </w:rPr>
              <w:t>按照GB 21342要求，并提供基础数据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sz w:val="18"/>
                <w:szCs w:val="18"/>
              </w:rPr>
            </w:pPr>
            <w:r>
              <w:rPr>
                <w:sz w:val="18"/>
                <w:szCs w:val="18"/>
              </w:rPr>
              <w:t>烧结工序（含脱硫脱硝）</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≤54</w:t>
            </w:r>
          </w:p>
        </w:tc>
        <w:tc>
          <w:tcPr>
            <w:tcW w:w="2144" w:type="dxa"/>
            <w:vMerge w:val="restart"/>
            <w:vAlign w:val="center"/>
          </w:tcPr>
          <w:p>
            <w:pPr>
              <w:jc w:val="center"/>
              <w:rPr>
                <w:sz w:val="18"/>
                <w:szCs w:val="18"/>
              </w:rPr>
            </w:pPr>
            <w:r>
              <w:rPr>
                <w:sz w:val="18"/>
                <w:szCs w:val="18"/>
              </w:rPr>
              <w:t>按照《钢铁行业（烧结、球团）清洁生产评价指标体系》标准和附录A，并提供基础数据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kern w:val="0"/>
                <w:sz w:val="18"/>
                <w:szCs w:val="18"/>
              </w:rPr>
            </w:pPr>
            <w:r>
              <w:rPr>
                <w:sz w:val="18"/>
                <w:szCs w:val="18"/>
              </w:rPr>
              <w:t>球团工序</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≤24</w:t>
            </w:r>
          </w:p>
        </w:tc>
        <w:tc>
          <w:tcPr>
            <w:tcW w:w="2144" w:type="dxa"/>
            <w:vMerge w:val="continue"/>
            <w:vAlign w:val="center"/>
          </w:tcPr>
          <w:p>
            <w:pP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kern w:val="0"/>
                <w:sz w:val="18"/>
                <w:szCs w:val="18"/>
              </w:rPr>
            </w:pPr>
            <w:r>
              <w:rPr>
                <w:sz w:val="18"/>
                <w:szCs w:val="18"/>
              </w:rPr>
              <w:t>高炉工序</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≤390</w:t>
            </w:r>
          </w:p>
        </w:tc>
        <w:tc>
          <w:tcPr>
            <w:tcW w:w="2144" w:type="dxa"/>
            <w:vAlign w:val="center"/>
          </w:tcPr>
          <w:p>
            <w:pPr>
              <w:rPr>
                <w:sz w:val="18"/>
                <w:szCs w:val="18"/>
              </w:rPr>
            </w:pPr>
            <w:r>
              <w:rPr>
                <w:sz w:val="18"/>
                <w:szCs w:val="18"/>
              </w:rPr>
              <w:t>按照《钢铁行业（高炉炼铁）清洁生产评价指标体系》标准和附录A，并提供基础数据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shd w:val="clear" w:color="auto" w:fill="auto"/>
            <w:vAlign w:val="center"/>
          </w:tcPr>
          <w:p>
            <w:pPr>
              <w:widowControl/>
              <w:snapToGrid w:val="0"/>
              <w:jc w:val="center"/>
              <w:rPr>
                <w:kern w:val="0"/>
                <w:sz w:val="18"/>
                <w:szCs w:val="18"/>
              </w:rPr>
            </w:pPr>
            <w:r>
              <w:rPr>
                <w:sz w:val="18"/>
                <w:szCs w:val="18"/>
              </w:rPr>
              <w:t>转炉工序</w:t>
            </w:r>
            <w:r>
              <w:rPr>
                <w:sz w:val="18"/>
                <w:szCs w:val="18"/>
                <w:vertAlign w:val="superscript"/>
              </w:rPr>
              <w:t>a</w:t>
            </w:r>
          </w:p>
        </w:tc>
        <w:tc>
          <w:tcPr>
            <w:tcW w:w="709" w:type="dxa"/>
            <w:shd w:val="clear" w:color="auto" w:fill="auto"/>
            <w:vAlign w:val="center"/>
          </w:tcPr>
          <w:p>
            <w:pPr>
              <w:widowControl/>
              <w:snapToGrid w:val="0"/>
              <w:jc w:val="center"/>
              <w:rPr>
                <w:kern w:val="0"/>
                <w:sz w:val="18"/>
                <w:szCs w:val="18"/>
              </w:rPr>
            </w:pPr>
            <w:r>
              <w:rPr>
                <w:kern w:val="0"/>
                <w:sz w:val="18"/>
                <w:szCs w:val="18"/>
              </w:rPr>
              <w:t>kgce/t</w:t>
            </w:r>
          </w:p>
        </w:tc>
        <w:tc>
          <w:tcPr>
            <w:tcW w:w="1868" w:type="dxa"/>
            <w:shd w:val="clear" w:color="auto" w:fill="auto"/>
            <w:vAlign w:val="center"/>
          </w:tcPr>
          <w:p>
            <w:pPr>
              <w:jc w:val="center"/>
              <w:rPr>
                <w:sz w:val="18"/>
                <w:szCs w:val="18"/>
              </w:rPr>
            </w:pPr>
            <w:r>
              <w:rPr>
                <w:sz w:val="18"/>
                <w:szCs w:val="18"/>
              </w:rPr>
              <w:t>≤-20</w:t>
            </w:r>
          </w:p>
        </w:tc>
        <w:tc>
          <w:tcPr>
            <w:tcW w:w="2144" w:type="dxa"/>
            <w:vMerge w:val="restart"/>
            <w:vAlign w:val="center"/>
          </w:tcPr>
          <w:p>
            <w:pPr>
              <w:rPr>
                <w:sz w:val="18"/>
                <w:szCs w:val="18"/>
              </w:rPr>
            </w:pPr>
            <w:r>
              <w:rPr>
                <w:sz w:val="18"/>
                <w:szCs w:val="18"/>
              </w:rPr>
              <w:t>按照《钢铁行业（炼钢）清洁生产评价指标体系》标准和附录A，并提供基础数据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shd w:val="clear" w:color="auto" w:fill="auto"/>
            <w:vAlign w:val="center"/>
          </w:tcPr>
          <w:p>
            <w:pPr>
              <w:widowControl/>
              <w:snapToGrid w:val="0"/>
              <w:jc w:val="center"/>
              <w:rPr>
                <w:kern w:val="0"/>
                <w:sz w:val="18"/>
                <w:szCs w:val="18"/>
              </w:rPr>
            </w:pPr>
            <w:r>
              <w:rPr>
                <w:sz w:val="18"/>
                <w:szCs w:val="18"/>
              </w:rPr>
              <w:t>电炉工序</w:t>
            </w:r>
            <w:r>
              <w:rPr>
                <w:sz w:val="18"/>
                <w:szCs w:val="18"/>
                <w:vertAlign w:val="superscript"/>
              </w:rPr>
              <w:t>b</w:t>
            </w:r>
          </w:p>
        </w:tc>
        <w:tc>
          <w:tcPr>
            <w:tcW w:w="709" w:type="dxa"/>
            <w:shd w:val="clear" w:color="auto" w:fill="auto"/>
            <w:vAlign w:val="center"/>
          </w:tcPr>
          <w:p>
            <w:pPr>
              <w:widowControl/>
              <w:snapToGrid w:val="0"/>
              <w:jc w:val="center"/>
              <w:rPr>
                <w:kern w:val="0"/>
                <w:sz w:val="18"/>
                <w:szCs w:val="18"/>
              </w:rPr>
            </w:pPr>
            <w:r>
              <w:rPr>
                <w:kern w:val="0"/>
                <w:sz w:val="18"/>
                <w:szCs w:val="18"/>
              </w:rPr>
              <w:t>kgce/t</w:t>
            </w:r>
          </w:p>
        </w:tc>
        <w:tc>
          <w:tcPr>
            <w:tcW w:w="1868" w:type="dxa"/>
            <w:shd w:val="clear" w:color="auto" w:fill="auto"/>
            <w:vAlign w:val="center"/>
          </w:tcPr>
          <w:p>
            <w:pPr>
              <w:jc w:val="center"/>
              <w:rPr>
                <w:sz w:val="18"/>
                <w:szCs w:val="18"/>
              </w:rPr>
            </w:pPr>
            <w:r>
              <w:rPr>
                <w:sz w:val="18"/>
                <w:szCs w:val="18"/>
              </w:rPr>
              <w:t>≤64</w:t>
            </w:r>
          </w:p>
        </w:tc>
        <w:tc>
          <w:tcPr>
            <w:tcW w:w="2144" w:type="dxa"/>
            <w:vMerge w:val="continue"/>
            <w:vAlign w:val="center"/>
          </w:tcPr>
          <w:p>
            <w:pP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418" w:type="dxa"/>
            <w:gridSpan w:val="3"/>
            <w:vMerge w:val="restart"/>
            <w:vAlign w:val="center"/>
          </w:tcPr>
          <w:p>
            <w:pPr>
              <w:jc w:val="center"/>
              <w:rPr>
                <w:sz w:val="18"/>
                <w:szCs w:val="18"/>
              </w:rPr>
            </w:pPr>
            <w:r>
              <w:rPr>
                <w:sz w:val="18"/>
                <w:szCs w:val="18"/>
              </w:rPr>
              <w:t>轧钢工序</w:t>
            </w:r>
          </w:p>
        </w:tc>
        <w:tc>
          <w:tcPr>
            <w:tcW w:w="1133" w:type="dxa"/>
            <w:vAlign w:val="center"/>
          </w:tcPr>
          <w:p>
            <w:pPr>
              <w:jc w:val="center"/>
              <w:rPr>
                <w:sz w:val="18"/>
                <w:szCs w:val="18"/>
              </w:rPr>
            </w:pPr>
            <w:r>
              <w:rPr>
                <w:rFonts w:hint="eastAsia"/>
                <w:sz w:val="18"/>
                <w:szCs w:val="18"/>
              </w:rPr>
              <w:t>棒材</w:t>
            </w:r>
            <w:r>
              <w:rPr>
                <w:rFonts w:hint="eastAsia"/>
                <w:sz w:val="18"/>
                <w:szCs w:val="18"/>
                <w:vertAlign w:val="superscript"/>
              </w:rPr>
              <w:t>c</w:t>
            </w:r>
          </w:p>
        </w:tc>
        <w:tc>
          <w:tcPr>
            <w:tcW w:w="709" w:type="dxa"/>
            <w:vMerge w:val="restart"/>
            <w:vAlign w:val="center"/>
          </w:tcPr>
          <w:p>
            <w:pPr>
              <w:widowControl/>
              <w:snapToGrid w:val="0"/>
              <w:jc w:val="center"/>
              <w:rPr>
                <w:color w:val="000000"/>
                <w:kern w:val="0"/>
                <w:sz w:val="18"/>
                <w:szCs w:val="18"/>
              </w:rPr>
            </w:pPr>
            <w:r>
              <w:rPr>
                <w:color w:val="000000"/>
                <w:kern w:val="0"/>
                <w:sz w:val="18"/>
                <w:szCs w:val="18"/>
              </w:rPr>
              <w:t>kgce/t</w:t>
            </w:r>
          </w:p>
        </w:tc>
        <w:tc>
          <w:tcPr>
            <w:tcW w:w="1868" w:type="dxa"/>
            <w:vAlign w:val="center"/>
          </w:tcPr>
          <w:p>
            <w:pPr>
              <w:widowControl/>
              <w:snapToGrid w:val="0"/>
              <w:jc w:val="center"/>
              <w:rPr>
                <w:color w:val="000000"/>
                <w:kern w:val="0"/>
                <w:sz w:val="18"/>
                <w:szCs w:val="18"/>
              </w:rPr>
            </w:pPr>
            <w:r>
              <w:rPr>
                <w:color w:val="000000"/>
                <w:kern w:val="0"/>
                <w:sz w:val="18"/>
                <w:szCs w:val="18"/>
              </w:rPr>
              <w:t>≤38.2</w:t>
            </w:r>
          </w:p>
        </w:tc>
        <w:tc>
          <w:tcPr>
            <w:tcW w:w="2144" w:type="dxa"/>
            <w:vMerge w:val="restart"/>
            <w:vAlign w:val="center"/>
          </w:tcPr>
          <w:p>
            <w:pPr>
              <w:jc w:val="center"/>
              <w:rPr>
                <w:sz w:val="18"/>
                <w:szCs w:val="18"/>
              </w:rPr>
            </w:pPr>
            <w:r>
              <w:rPr>
                <w:sz w:val="18"/>
                <w:szCs w:val="18"/>
              </w:rPr>
              <w:t>按照GB 50632标准和附录A，并提供基础数据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418" w:type="dxa"/>
            <w:gridSpan w:val="3"/>
            <w:vMerge w:val="continue"/>
            <w:vAlign w:val="center"/>
          </w:tcPr>
          <w:p>
            <w:pPr>
              <w:jc w:val="center"/>
              <w:rPr>
                <w:sz w:val="18"/>
                <w:szCs w:val="18"/>
              </w:rPr>
            </w:pPr>
          </w:p>
        </w:tc>
        <w:tc>
          <w:tcPr>
            <w:tcW w:w="1133" w:type="dxa"/>
            <w:vAlign w:val="center"/>
          </w:tcPr>
          <w:p>
            <w:pPr>
              <w:jc w:val="center"/>
              <w:rPr>
                <w:sz w:val="18"/>
                <w:szCs w:val="18"/>
              </w:rPr>
            </w:pPr>
            <w:r>
              <w:rPr>
                <w:rFonts w:hint="eastAsia"/>
                <w:sz w:val="18"/>
                <w:szCs w:val="18"/>
              </w:rPr>
              <w:t>线材</w:t>
            </w:r>
            <w:r>
              <w:rPr>
                <w:rFonts w:hint="eastAsia"/>
                <w:sz w:val="18"/>
                <w:szCs w:val="18"/>
                <w:vertAlign w:val="superscript"/>
              </w:rPr>
              <w:t>d</w:t>
            </w:r>
          </w:p>
        </w:tc>
        <w:tc>
          <w:tcPr>
            <w:tcW w:w="709" w:type="dxa"/>
            <w:vMerge w:val="continue"/>
            <w:vAlign w:val="center"/>
          </w:tcPr>
          <w:p>
            <w:pPr>
              <w:widowControl/>
              <w:snapToGrid w:val="0"/>
              <w:jc w:val="center"/>
              <w:rPr>
                <w:color w:val="000000"/>
                <w:kern w:val="0"/>
                <w:sz w:val="18"/>
                <w:szCs w:val="18"/>
              </w:rPr>
            </w:pPr>
          </w:p>
        </w:tc>
        <w:tc>
          <w:tcPr>
            <w:tcW w:w="1868" w:type="dxa"/>
            <w:vAlign w:val="center"/>
          </w:tcPr>
          <w:p>
            <w:pPr>
              <w:snapToGrid w:val="0"/>
              <w:jc w:val="center"/>
              <w:rPr>
                <w:color w:val="000000"/>
                <w:kern w:val="0"/>
                <w:sz w:val="18"/>
                <w:szCs w:val="18"/>
              </w:rPr>
            </w:pPr>
            <w:r>
              <w:rPr>
                <w:color w:val="000000"/>
                <w:kern w:val="0"/>
                <w:sz w:val="18"/>
                <w:szCs w:val="18"/>
              </w:rPr>
              <w:t>≤41.2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环境属性</w:t>
            </w:r>
          </w:p>
        </w:tc>
        <w:tc>
          <w:tcPr>
            <w:tcW w:w="1215" w:type="dxa"/>
            <w:gridSpan w:val="2"/>
            <w:vMerge w:val="restart"/>
            <w:vAlign w:val="center"/>
          </w:tcPr>
          <w:p>
            <w:pPr>
              <w:jc w:val="center"/>
              <w:rPr>
                <w:sz w:val="18"/>
                <w:szCs w:val="18"/>
              </w:rPr>
            </w:pPr>
            <w:r>
              <w:rPr>
                <w:sz w:val="18"/>
                <w:szCs w:val="18"/>
              </w:rPr>
              <w:t>生产过程中污染物排放量</w:t>
            </w:r>
          </w:p>
        </w:tc>
        <w:tc>
          <w:tcPr>
            <w:tcW w:w="2551" w:type="dxa"/>
            <w:gridSpan w:val="4"/>
            <w:vAlign w:val="center"/>
          </w:tcPr>
          <w:p>
            <w:pPr>
              <w:jc w:val="center"/>
              <w:rPr>
                <w:sz w:val="18"/>
                <w:szCs w:val="18"/>
              </w:rPr>
            </w:pPr>
            <w:r>
              <w:rPr>
                <w:sz w:val="18"/>
                <w:szCs w:val="18"/>
              </w:rPr>
              <w:t>无组织排放（颗粒物）</w:t>
            </w:r>
          </w:p>
        </w:tc>
        <w:tc>
          <w:tcPr>
            <w:tcW w:w="709" w:type="dxa"/>
            <w:vAlign w:val="center"/>
          </w:tcPr>
          <w:p>
            <w:pPr>
              <w:widowControl/>
              <w:snapToGrid w:val="0"/>
              <w:jc w:val="center"/>
              <w:rPr>
                <w:color w:val="000000"/>
                <w:kern w:val="0"/>
                <w:sz w:val="18"/>
                <w:szCs w:val="18"/>
              </w:rPr>
            </w:pPr>
            <w:r>
              <w:rPr>
                <w:color w:val="000000"/>
                <w:kern w:val="0"/>
                <w:sz w:val="18"/>
                <w:szCs w:val="18"/>
              </w:rPr>
              <w:t>—</w:t>
            </w:r>
          </w:p>
        </w:tc>
        <w:tc>
          <w:tcPr>
            <w:tcW w:w="1868" w:type="dxa"/>
            <w:vAlign w:val="center"/>
          </w:tcPr>
          <w:p>
            <w:pPr>
              <w:widowControl/>
              <w:snapToGrid w:val="0"/>
              <w:jc w:val="center"/>
              <w:rPr>
                <w:color w:val="000000"/>
                <w:kern w:val="0"/>
                <w:sz w:val="18"/>
                <w:szCs w:val="18"/>
              </w:rPr>
            </w:pPr>
            <w:r>
              <w:rPr>
                <w:color w:val="000000"/>
                <w:kern w:val="0"/>
                <w:sz w:val="18"/>
                <w:szCs w:val="18"/>
              </w:rPr>
              <w:t>车间（工序）无组织排放控制措施与浓度标准满足钢铁行业排污许可要求</w:t>
            </w:r>
          </w:p>
        </w:tc>
        <w:tc>
          <w:tcPr>
            <w:tcW w:w="2144" w:type="dxa"/>
            <w:vAlign w:val="center"/>
          </w:tcPr>
          <w:p>
            <w:pPr>
              <w:jc w:val="center"/>
              <w:rPr>
                <w:sz w:val="18"/>
                <w:szCs w:val="18"/>
              </w:rPr>
            </w:pPr>
            <w:r>
              <w:rPr>
                <w:sz w:val="18"/>
                <w:szCs w:val="18"/>
              </w:rPr>
              <w:t>提供无组织排放控制措施清单；每半年监测报告中所涉及的车间（工序）无组织监测结果</w:t>
            </w:r>
          </w:p>
        </w:tc>
        <w:tc>
          <w:tcPr>
            <w:tcW w:w="977" w:type="dxa"/>
            <w:vMerge w:val="restart"/>
            <w:vAlign w:val="center"/>
          </w:tcPr>
          <w:p>
            <w:pPr>
              <w:jc w:val="center"/>
              <w:rPr>
                <w:color w:val="FF0000"/>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rFonts w:hint="eastAsia"/>
                <w:sz w:val="18"/>
                <w:szCs w:val="18"/>
              </w:rPr>
              <w:t>焦化工序</w:t>
            </w:r>
          </w:p>
        </w:tc>
        <w:tc>
          <w:tcPr>
            <w:tcW w:w="1842" w:type="dxa"/>
            <w:gridSpan w:val="3"/>
            <w:vAlign w:val="center"/>
          </w:tcPr>
          <w:p>
            <w:pPr>
              <w:widowControl/>
              <w:snapToGrid w:val="0"/>
              <w:jc w:val="center"/>
              <w:rPr>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≤0.55</w:t>
            </w:r>
          </w:p>
        </w:tc>
        <w:tc>
          <w:tcPr>
            <w:tcW w:w="2144" w:type="dxa"/>
            <w:vMerge w:val="restart"/>
            <w:vAlign w:val="center"/>
          </w:tcPr>
          <w:p>
            <w:pPr>
              <w:jc w:val="center"/>
              <w:rPr>
                <w:sz w:val="18"/>
                <w:szCs w:val="18"/>
              </w:rPr>
            </w:pPr>
            <w:r>
              <w:rPr>
                <w:rFonts w:hint="eastAsia"/>
                <w:sz w:val="18"/>
                <w:szCs w:val="18"/>
              </w:rPr>
              <w:t>按照YB/T</w:t>
            </w:r>
            <w:r>
              <w:rPr>
                <w:sz w:val="18"/>
                <w:szCs w:val="18"/>
              </w:rPr>
              <w:t xml:space="preserve"> 4416</w:t>
            </w:r>
            <w:r>
              <w:rPr>
                <w:rFonts w:hint="eastAsia"/>
                <w:sz w:val="18"/>
                <w:szCs w:val="18"/>
              </w:rPr>
              <w:t>标准</w:t>
            </w:r>
            <w:r>
              <w:rPr>
                <w:sz w:val="18"/>
                <w:szCs w:val="18"/>
              </w:rPr>
              <w:t>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NO</w:t>
            </w:r>
            <w:r>
              <w:rPr>
                <w:kern w:val="0"/>
                <w:sz w:val="18"/>
                <w:szCs w:val="18"/>
                <w:vertAlign w:val="subscript"/>
              </w:rPr>
              <w:t>X</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≤0.77</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BaP（废气）</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废水</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m</w:t>
            </w:r>
            <w:r>
              <w:rPr>
                <w:color w:val="000000"/>
                <w:kern w:val="0"/>
                <w:sz w:val="18"/>
                <w:szCs w:val="18"/>
                <w:vertAlign w:val="superscript"/>
              </w:rPr>
              <w:t>3</w:t>
            </w:r>
            <w:r>
              <w:rPr>
                <w:rFonts w:hint="eastAsia"/>
                <w:color w:val="000000"/>
                <w:kern w:val="0"/>
                <w:sz w:val="18"/>
                <w:szCs w:val="18"/>
              </w:rPr>
              <w:t>/t</w:t>
            </w:r>
          </w:p>
        </w:tc>
        <w:tc>
          <w:tcPr>
            <w:tcW w:w="1868" w:type="dxa"/>
            <w:vAlign w:val="center"/>
          </w:tcPr>
          <w:p>
            <w:pPr>
              <w:widowControl/>
              <w:adjustRightInd w:val="0"/>
              <w:snapToGrid w:val="0"/>
              <w:jc w:val="center"/>
              <w:rPr>
                <w:kern w:val="0"/>
                <w:sz w:val="18"/>
                <w:szCs w:val="18"/>
                <w:highlight w:val="yellow"/>
              </w:rPr>
            </w:pPr>
            <w:r>
              <w:rPr>
                <w:sz w:val="18"/>
                <w:szCs w:val="18"/>
              </w:rPr>
              <w:t>≤0.3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CODCr</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≤12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氨氮</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石油类</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挥发酚</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氰化物</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≤0.06</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BaP（废水）</w:t>
            </w:r>
          </w:p>
        </w:tc>
        <w:tc>
          <w:tcPr>
            <w:tcW w:w="709" w:type="dxa"/>
            <w:vAlign w:val="center"/>
          </w:tcPr>
          <w:p>
            <w:pPr>
              <w:widowControl/>
              <w:snapToGrid w:val="0"/>
              <w:jc w:val="center"/>
              <w:rPr>
                <w:color w:val="000000"/>
                <w:kern w:val="0"/>
                <w:sz w:val="18"/>
                <w:szCs w:val="18"/>
              </w:rPr>
            </w:pPr>
            <w:r>
              <w:rPr>
                <w:color w:val="000000"/>
                <w:kern w:val="0"/>
                <w:sz w:val="18"/>
                <w:szCs w:val="18"/>
              </w:rPr>
              <w:t>μg/t</w:t>
            </w:r>
          </w:p>
        </w:tc>
        <w:tc>
          <w:tcPr>
            <w:tcW w:w="1868" w:type="dxa"/>
            <w:vAlign w:val="center"/>
          </w:tcPr>
          <w:p>
            <w:pPr>
              <w:widowControl/>
              <w:adjustRightInd w:val="0"/>
              <w:snapToGrid w:val="0"/>
              <w:jc w:val="center"/>
              <w:rPr>
                <w:kern w:val="0"/>
                <w:sz w:val="18"/>
                <w:szCs w:val="18"/>
                <w:highlight w:val="yellow"/>
              </w:rPr>
            </w:pPr>
            <w:r>
              <w:rPr>
                <w:sz w:val="18"/>
                <w:szCs w:val="18"/>
              </w:rPr>
              <w:t>≤0.009</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烧结工序</w:t>
            </w:r>
          </w:p>
        </w:tc>
        <w:tc>
          <w:tcPr>
            <w:tcW w:w="1842" w:type="dxa"/>
            <w:gridSpan w:val="3"/>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≤0.09</w:t>
            </w:r>
          </w:p>
        </w:tc>
        <w:tc>
          <w:tcPr>
            <w:tcW w:w="2144" w:type="dxa"/>
            <w:vMerge w:val="restart"/>
            <w:vAlign w:val="center"/>
          </w:tcPr>
          <w:p>
            <w:pPr>
              <w:jc w:val="center"/>
              <w:rPr>
                <w:sz w:val="18"/>
                <w:szCs w:val="18"/>
              </w:rPr>
            </w:pPr>
            <w:r>
              <w:rPr>
                <w:sz w:val="18"/>
                <w:szCs w:val="18"/>
              </w:rPr>
              <w:t>按照《钢铁行业（烧结、球团）清洁生产评价指标体系》标准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≤0.28</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球团工序</w:t>
            </w:r>
          </w:p>
        </w:tc>
        <w:tc>
          <w:tcPr>
            <w:tcW w:w="1842" w:type="dxa"/>
            <w:gridSpan w:val="3"/>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≤0.08</w:t>
            </w:r>
          </w:p>
        </w:tc>
        <w:tc>
          <w:tcPr>
            <w:tcW w:w="2144" w:type="dxa"/>
            <w:vMerge w:val="restart"/>
            <w:vAlign w:val="center"/>
          </w:tcPr>
          <w:p>
            <w:pPr>
              <w:jc w:val="center"/>
              <w:rPr>
                <w:sz w:val="18"/>
                <w:szCs w:val="18"/>
              </w:rPr>
            </w:pPr>
            <w:r>
              <w:rPr>
                <w:sz w:val="18"/>
                <w:szCs w:val="18"/>
              </w:rPr>
              <w:t>按照《钢铁行业（烧结、球团）清洁生产评价指标体系》标准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高炉</w:t>
            </w:r>
            <w:r>
              <w:rPr>
                <w:rFonts w:hint="eastAsia"/>
                <w:sz w:val="18"/>
                <w:szCs w:val="18"/>
              </w:rPr>
              <w:t>工序</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≤0.20</w:t>
            </w:r>
          </w:p>
        </w:tc>
        <w:tc>
          <w:tcPr>
            <w:tcW w:w="2144" w:type="dxa"/>
            <w:vMerge w:val="restart"/>
            <w:vAlign w:val="center"/>
          </w:tcPr>
          <w:p>
            <w:pPr>
              <w:jc w:val="center"/>
              <w:rPr>
                <w:sz w:val="18"/>
                <w:szCs w:val="18"/>
              </w:rPr>
            </w:pPr>
            <w:r>
              <w:rPr>
                <w:sz w:val="18"/>
                <w:szCs w:val="18"/>
              </w:rPr>
              <w:t>按照《钢铁行业（</w:t>
            </w:r>
            <w:r>
              <w:rPr>
                <w:rFonts w:hint="eastAsia"/>
                <w:sz w:val="18"/>
                <w:szCs w:val="18"/>
              </w:rPr>
              <w:t>高炉炼铁</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SO</w:t>
            </w:r>
            <w:r>
              <w:rPr>
                <w:sz w:val="18"/>
                <w:szCs w:val="18"/>
                <w:vertAlign w:val="subscript"/>
              </w:rPr>
              <w:t>2</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≤0.30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Align w:val="center"/>
          </w:tcPr>
          <w:p>
            <w:pPr>
              <w:jc w:val="center"/>
              <w:rPr>
                <w:sz w:val="18"/>
                <w:szCs w:val="18"/>
              </w:rPr>
            </w:pPr>
            <w:r>
              <w:rPr>
                <w:sz w:val="18"/>
                <w:szCs w:val="18"/>
              </w:rPr>
              <w:t>转炉</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≤0.11</w:t>
            </w:r>
          </w:p>
        </w:tc>
        <w:tc>
          <w:tcPr>
            <w:tcW w:w="2144" w:type="dxa"/>
            <w:vMerge w:val="restart"/>
            <w:vAlign w:val="center"/>
          </w:tcPr>
          <w:p>
            <w:pPr>
              <w:jc w:val="center"/>
              <w:rPr>
                <w:sz w:val="18"/>
                <w:szCs w:val="18"/>
              </w:rPr>
            </w:pPr>
            <w:r>
              <w:rPr>
                <w:sz w:val="18"/>
                <w:szCs w:val="18"/>
              </w:rPr>
              <w:t>按照《钢铁行业（</w:t>
            </w:r>
            <w:r>
              <w:rPr>
                <w:rFonts w:hint="eastAsia"/>
                <w:sz w:val="18"/>
                <w:szCs w:val="18"/>
              </w:rPr>
              <w:t>炼钢</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Align w:val="center"/>
          </w:tcPr>
          <w:p>
            <w:pPr>
              <w:jc w:val="center"/>
              <w:rPr>
                <w:sz w:val="18"/>
                <w:szCs w:val="18"/>
              </w:rPr>
            </w:pPr>
            <w:r>
              <w:rPr>
                <w:sz w:val="18"/>
                <w:szCs w:val="18"/>
              </w:rPr>
              <w:t>电炉</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轧钢工序</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≤0.025</w:t>
            </w:r>
          </w:p>
        </w:tc>
        <w:tc>
          <w:tcPr>
            <w:tcW w:w="2144" w:type="dxa"/>
            <w:vMerge w:val="restart"/>
            <w:vAlign w:val="center"/>
          </w:tcPr>
          <w:p>
            <w:pPr>
              <w:jc w:val="center"/>
              <w:rPr>
                <w:sz w:val="18"/>
                <w:szCs w:val="18"/>
              </w:rPr>
            </w:pPr>
            <w:r>
              <w:rPr>
                <w:sz w:val="18"/>
                <w:szCs w:val="18"/>
              </w:rPr>
              <w:t>按照《钢铁行业（</w:t>
            </w:r>
            <w:r>
              <w:rPr>
                <w:rFonts w:hint="eastAsia"/>
                <w:sz w:val="18"/>
                <w:szCs w:val="18"/>
              </w:rPr>
              <w:t>钢压延加工</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SO</w:t>
            </w:r>
            <w:r>
              <w:rPr>
                <w:sz w:val="18"/>
                <w:szCs w:val="18"/>
                <w:vertAlign w:val="subscript"/>
              </w:rPr>
              <w:t>2</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产品属性</w:t>
            </w:r>
          </w:p>
        </w:tc>
        <w:tc>
          <w:tcPr>
            <w:tcW w:w="3766" w:type="dxa"/>
            <w:gridSpan w:val="6"/>
            <w:vAlign w:val="center"/>
          </w:tcPr>
          <w:p>
            <w:pPr>
              <w:jc w:val="center"/>
              <w:rPr>
                <w:sz w:val="18"/>
                <w:szCs w:val="18"/>
              </w:rPr>
            </w:pPr>
            <w:r>
              <w:rPr>
                <w:rFonts w:hint="eastAsia"/>
                <w:sz w:val="18"/>
                <w:szCs w:val="18"/>
              </w:rPr>
              <w:t>表面质量</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rFonts w:hint="eastAsia"/>
                <w:sz w:val="18"/>
                <w:szCs w:val="18"/>
              </w:rPr>
              <w:t>表面</w:t>
            </w:r>
            <w:r>
              <w:rPr>
                <w:sz w:val="18"/>
                <w:szCs w:val="18"/>
              </w:rPr>
              <w:t>不允许存在裂纹、折叠、</w:t>
            </w:r>
            <w:r>
              <w:rPr>
                <w:rFonts w:hint="eastAsia"/>
                <w:sz w:val="18"/>
                <w:szCs w:val="18"/>
              </w:rPr>
              <w:t>结疤</w:t>
            </w:r>
            <w:r>
              <w:rPr>
                <w:sz w:val="18"/>
                <w:szCs w:val="18"/>
              </w:rPr>
              <w:t>、夹杂、分层和压入的氧化铁皮等缺陷。钢材端部</w:t>
            </w:r>
            <w:r>
              <w:rPr>
                <w:rFonts w:hint="eastAsia"/>
                <w:sz w:val="18"/>
                <w:szCs w:val="18"/>
              </w:rPr>
              <w:t>应</w:t>
            </w:r>
            <w:r>
              <w:rPr>
                <w:sz w:val="18"/>
                <w:szCs w:val="18"/>
              </w:rPr>
              <w:t>平整，不得有轧钢飞边、毛刺</w:t>
            </w:r>
            <w:r>
              <w:rPr>
                <w:rFonts w:hint="eastAsia"/>
                <w:sz w:val="18"/>
                <w:szCs w:val="18"/>
              </w:rPr>
              <w:t>等</w:t>
            </w:r>
          </w:p>
        </w:tc>
        <w:tc>
          <w:tcPr>
            <w:tcW w:w="2144" w:type="dxa"/>
            <w:vAlign w:val="center"/>
          </w:tcPr>
          <w:p>
            <w:pPr>
              <w:jc w:val="center"/>
              <w:rPr>
                <w:sz w:val="18"/>
                <w:szCs w:val="18"/>
              </w:rPr>
            </w:pPr>
            <w:r>
              <w:rPr>
                <w:rFonts w:hint="eastAsia"/>
                <w:sz w:val="18"/>
                <w:szCs w:val="18"/>
              </w:rPr>
              <w:t>外观</w:t>
            </w:r>
            <w:r>
              <w:rPr>
                <w:sz w:val="18"/>
                <w:szCs w:val="18"/>
              </w:rPr>
              <w:t>等其他要求</w:t>
            </w:r>
            <w:r>
              <w:rPr>
                <w:rFonts w:hint="eastAsia"/>
                <w:sz w:val="18"/>
                <w:szCs w:val="18"/>
              </w:rPr>
              <w:t>应符合</w:t>
            </w:r>
            <w:r>
              <w:rPr>
                <w:sz w:val="18"/>
                <w:szCs w:val="18"/>
              </w:rPr>
              <w:t>GB/T 1222-2016</w:t>
            </w:r>
            <w:r>
              <w:rPr>
                <w:rFonts w:hint="eastAsia"/>
                <w:sz w:val="18"/>
                <w:szCs w:val="18"/>
              </w:rPr>
              <w:t>的</w:t>
            </w:r>
            <w:r>
              <w:rPr>
                <w:sz w:val="18"/>
                <w:szCs w:val="18"/>
              </w:rPr>
              <w:t>规定</w:t>
            </w:r>
          </w:p>
        </w:tc>
        <w:tc>
          <w:tcPr>
            <w:tcW w:w="977" w:type="dxa"/>
            <w:vMerge w:val="restart"/>
            <w:vAlign w:val="center"/>
          </w:tcPr>
          <w:p>
            <w:pPr>
              <w:jc w:val="center"/>
              <w:rPr>
                <w:sz w:val="18"/>
                <w:szCs w:val="18"/>
              </w:rPr>
            </w:pPr>
            <w:r>
              <w:rPr>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3766" w:type="dxa"/>
            <w:gridSpan w:val="6"/>
            <w:vAlign w:val="center"/>
          </w:tcPr>
          <w:p>
            <w:pPr>
              <w:jc w:val="center"/>
              <w:rPr>
                <w:sz w:val="18"/>
                <w:szCs w:val="18"/>
              </w:rPr>
            </w:pPr>
            <w:r>
              <w:rPr>
                <w:rFonts w:hint="eastAsia"/>
                <w:sz w:val="18"/>
                <w:szCs w:val="18"/>
              </w:rPr>
              <w:t>脱碳层</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rFonts w:hint="eastAsia"/>
                <w:sz w:val="18"/>
                <w:szCs w:val="18"/>
              </w:rPr>
              <w:t>不低于</w:t>
            </w:r>
            <w:r>
              <w:rPr>
                <w:sz w:val="18"/>
                <w:szCs w:val="18"/>
              </w:rPr>
              <w:t>GB/T 1222-2016</w:t>
            </w:r>
            <w:r>
              <w:rPr>
                <w:rFonts w:hint="eastAsia"/>
                <w:sz w:val="18"/>
                <w:szCs w:val="18"/>
              </w:rPr>
              <w:t>中</w:t>
            </w:r>
            <w:r>
              <w:rPr>
                <w:sz w:val="18"/>
                <w:szCs w:val="18"/>
              </w:rPr>
              <w:t>1</w:t>
            </w:r>
            <w:r>
              <w:rPr>
                <w:rFonts w:hint="eastAsia"/>
                <w:sz w:val="18"/>
                <w:szCs w:val="18"/>
              </w:rPr>
              <w:t>组</w:t>
            </w:r>
            <w:r>
              <w:rPr>
                <w:sz w:val="18"/>
                <w:szCs w:val="18"/>
              </w:rPr>
              <w:t>要求</w:t>
            </w:r>
          </w:p>
        </w:tc>
        <w:tc>
          <w:tcPr>
            <w:tcW w:w="2144" w:type="dxa"/>
            <w:vAlign w:val="center"/>
          </w:tcPr>
          <w:p>
            <w:pPr>
              <w:jc w:val="center"/>
              <w:rPr>
                <w:sz w:val="18"/>
                <w:szCs w:val="18"/>
              </w:rPr>
            </w:pPr>
            <w:r>
              <w:rPr>
                <w:rFonts w:hint="eastAsia"/>
                <w:sz w:val="18"/>
                <w:szCs w:val="18"/>
              </w:rPr>
              <w:t>GB/T</w:t>
            </w:r>
            <w:r>
              <w:rPr>
                <w:sz w:val="18"/>
                <w:szCs w:val="18"/>
              </w:rPr>
              <w:t xml:space="preserve"> 224</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3766" w:type="dxa"/>
            <w:gridSpan w:val="6"/>
            <w:vAlign w:val="center"/>
          </w:tcPr>
          <w:p>
            <w:pPr>
              <w:jc w:val="center"/>
              <w:rPr>
                <w:sz w:val="18"/>
                <w:szCs w:val="18"/>
              </w:rPr>
            </w:pPr>
            <w:r>
              <w:rPr>
                <w:rFonts w:hint="eastAsia"/>
                <w:sz w:val="18"/>
                <w:szCs w:val="18"/>
              </w:rPr>
              <w:t>非金属夹杂物</w:t>
            </w:r>
            <w:r>
              <w:rPr>
                <w:sz w:val="18"/>
                <w:szCs w:val="18"/>
              </w:rPr>
              <w:t>DS类</w:t>
            </w:r>
          </w:p>
        </w:tc>
        <w:tc>
          <w:tcPr>
            <w:tcW w:w="709" w:type="dxa"/>
            <w:vAlign w:val="center"/>
          </w:tcPr>
          <w:p>
            <w:pPr>
              <w:jc w:val="center"/>
              <w:rPr>
                <w:sz w:val="18"/>
                <w:szCs w:val="18"/>
              </w:rPr>
            </w:pPr>
            <w:r>
              <w:rPr>
                <w:rFonts w:hint="eastAsia"/>
                <w:sz w:val="18"/>
                <w:szCs w:val="18"/>
              </w:rPr>
              <w:t>级</w:t>
            </w:r>
          </w:p>
        </w:tc>
        <w:tc>
          <w:tcPr>
            <w:tcW w:w="1868" w:type="dxa"/>
            <w:vAlign w:val="center"/>
          </w:tcPr>
          <w:p>
            <w:pPr>
              <w:snapToGrid w:val="0"/>
              <w:jc w:val="center"/>
              <w:rPr>
                <w:sz w:val="18"/>
                <w:szCs w:val="18"/>
              </w:rPr>
            </w:pPr>
            <w:r>
              <w:rPr>
                <w:color w:val="000000"/>
                <w:kern w:val="0"/>
                <w:sz w:val="18"/>
                <w:szCs w:val="18"/>
              </w:rPr>
              <w:t>≤</w:t>
            </w:r>
            <w:r>
              <w:rPr>
                <w:sz w:val="18"/>
                <w:szCs w:val="18"/>
              </w:rPr>
              <w:t>1.5</w:t>
            </w:r>
          </w:p>
        </w:tc>
        <w:tc>
          <w:tcPr>
            <w:tcW w:w="2144" w:type="dxa"/>
            <w:vAlign w:val="center"/>
          </w:tcPr>
          <w:p>
            <w:pPr>
              <w:jc w:val="center"/>
              <w:rPr>
                <w:sz w:val="18"/>
                <w:szCs w:val="18"/>
              </w:rPr>
            </w:pPr>
            <w:r>
              <w:rPr>
                <w:rFonts w:hint="eastAsia"/>
                <w:sz w:val="18"/>
                <w:szCs w:val="18"/>
              </w:rPr>
              <w:t>GB/T</w:t>
            </w:r>
            <w:r>
              <w:rPr>
                <w:sz w:val="18"/>
                <w:szCs w:val="18"/>
              </w:rPr>
              <w:t xml:space="preserve"> 10561</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9" w:type="dxa"/>
            <w:gridSpan w:val="11"/>
            <w:tcBorders>
              <w:bottom w:val="single" w:color="auto" w:sz="4" w:space="0"/>
            </w:tcBorders>
          </w:tcPr>
          <w:p>
            <w:pPr>
              <w:rPr>
                <w:sz w:val="18"/>
                <w:szCs w:val="18"/>
              </w:rPr>
            </w:pPr>
            <w:r>
              <w:rPr>
                <w:sz w:val="18"/>
                <w:szCs w:val="18"/>
                <w:vertAlign w:val="superscript"/>
              </w:rPr>
              <w:t xml:space="preserve">a </w:t>
            </w:r>
            <w:r>
              <w:rPr>
                <w:sz w:val="18"/>
                <w:szCs w:val="18"/>
              </w:rPr>
              <w:t>炉外精炼、连铸工序能耗按照《钢铁企业节能设计标准》（GB/T 50632）要求，需符合设计指标要求</w:t>
            </w:r>
            <w:r>
              <w:rPr>
                <w:rFonts w:hint="eastAsia"/>
                <w:sz w:val="18"/>
                <w:szCs w:val="18"/>
              </w:rPr>
              <w:t>。</w:t>
            </w:r>
          </w:p>
          <w:p>
            <w:pPr>
              <w:rPr>
                <w:sz w:val="18"/>
                <w:szCs w:val="18"/>
              </w:rPr>
            </w:pPr>
            <w:r>
              <w:rPr>
                <w:sz w:val="18"/>
                <w:szCs w:val="18"/>
                <w:vertAlign w:val="superscript"/>
              </w:rPr>
              <w:t xml:space="preserve">b </w:t>
            </w:r>
            <w:r>
              <w:rPr>
                <w:rFonts w:hint="eastAsia"/>
                <w:sz w:val="18"/>
                <w:szCs w:val="18"/>
              </w:rPr>
              <w:t>铁水比例</w:t>
            </w:r>
            <w:r>
              <w:rPr>
                <w:sz w:val="18"/>
                <w:szCs w:val="18"/>
              </w:rPr>
              <w:t>每增减</w:t>
            </w:r>
            <w:r>
              <w:rPr>
                <w:rFonts w:hint="eastAsia"/>
                <w:sz w:val="18"/>
                <w:szCs w:val="18"/>
              </w:rPr>
              <w:t>1</w:t>
            </w:r>
            <w:r>
              <w:rPr>
                <w:sz w:val="18"/>
                <w:szCs w:val="18"/>
              </w:rPr>
              <w:t>%，电炉工序单位产品能耗减</w:t>
            </w:r>
            <w:r>
              <w:rPr>
                <w:rFonts w:hint="eastAsia"/>
                <w:sz w:val="18"/>
                <w:szCs w:val="18"/>
              </w:rPr>
              <w:t>增0.8</w:t>
            </w:r>
            <w:r>
              <w:rPr>
                <w:sz w:val="18"/>
                <w:szCs w:val="18"/>
              </w:rPr>
              <w:t xml:space="preserve"> kgce/t</w:t>
            </w:r>
            <w:r>
              <w:rPr>
                <w:rFonts w:hint="eastAsia"/>
                <w:sz w:val="18"/>
                <w:szCs w:val="18"/>
              </w:rPr>
              <w:t>。</w:t>
            </w:r>
          </w:p>
          <w:p>
            <w:pPr>
              <w:rPr>
                <w:sz w:val="18"/>
                <w:szCs w:val="18"/>
              </w:rPr>
            </w:pPr>
            <w:r>
              <w:rPr>
                <w:sz w:val="18"/>
                <w:szCs w:val="18"/>
                <w:vertAlign w:val="superscript"/>
              </w:rPr>
              <w:t xml:space="preserve">c </w:t>
            </w:r>
            <w:r>
              <w:rPr>
                <w:rFonts w:hint="eastAsia"/>
                <w:sz w:val="18"/>
                <w:szCs w:val="18"/>
              </w:rPr>
              <w:t>生产合金钢</w:t>
            </w:r>
            <w:r>
              <w:rPr>
                <w:sz w:val="18"/>
                <w:szCs w:val="18"/>
              </w:rPr>
              <w:t>产品的小型轧钢车间，工序能耗应根据钢种比例的多少乘以系数</w:t>
            </w:r>
            <w:r>
              <w:rPr>
                <w:rFonts w:hint="eastAsia"/>
                <w:sz w:val="18"/>
                <w:szCs w:val="18"/>
              </w:rPr>
              <w:t>1.3</w:t>
            </w:r>
            <w:r>
              <w:rPr>
                <w:sz w:val="18"/>
                <w:szCs w:val="18"/>
              </w:rPr>
              <w:t>~1.6</w:t>
            </w:r>
            <w:r>
              <w:rPr>
                <w:rFonts w:hint="eastAsia"/>
                <w:sz w:val="18"/>
                <w:szCs w:val="18"/>
              </w:rPr>
              <w:t>。</w:t>
            </w:r>
          </w:p>
          <w:p>
            <w:pPr>
              <w:rPr>
                <w:sz w:val="18"/>
                <w:szCs w:val="18"/>
              </w:rPr>
            </w:pPr>
            <w:r>
              <w:rPr>
                <w:sz w:val="18"/>
                <w:szCs w:val="18"/>
                <w:vertAlign w:val="superscript"/>
              </w:rPr>
              <w:t xml:space="preserve">d </w:t>
            </w:r>
            <w:r>
              <w:rPr>
                <w:rFonts w:hint="eastAsia"/>
                <w:sz w:val="18"/>
                <w:szCs w:val="18"/>
              </w:rPr>
              <w:t>线材</w:t>
            </w:r>
            <w:r>
              <w:rPr>
                <w:sz w:val="18"/>
                <w:szCs w:val="18"/>
              </w:rPr>
              <w:t>工序能耗调整系数，当车间原料小于</w:t>
            </w:r>
            <w:r>
              <w:rPr>
                <w:rFonts w:hint="eastAsia"/>
                <w:sz w:val="18"/>
                <w:szCs w:val="18"/>
              </w:rPr>
              <w:t>150</w:t>
            </w:r>
            <w:r>
              <w:rPr>
                <w:sz w:val="18"/>
                <w:szCs w:val="18"/>
              </w:rPr>
              <w:t>mm×150mm方坯，能耗调整系数应为</w:t>
            </w:r>
            <w:r>
              <w:rPr>
                <w:rFonts w:hint="eastAsia"/>
                <w:sz w:val="18"/>
                <w:szCs w:val="18"/>
              </w:rPr>
              <w:t>0.95</w:t>
            </w:r>
            <w:r>
              <w:rPr>
                <w:sz w:val="18"/>
                <w:szCs w:val="18"/>
              </w:rPr>
              <w:t>~0.85</w:t>
            </w:r>
            <w:r>
              <w:rPr>
                <w:rFonts w:hint="eastAsia"/>
                <w:sz w:val="18"/>
                <w:szCs w:val="18"/>
              </w:rPr>
              <w:t>；</w:t>
            </w:r>
            <w:r>
              <w:rPr>
                <w:sz w:val="18"/>
                <w:szCs w:val="18"/>
              </w:rPr>
              <w:t>当车间原料采用大于</w:t>
            </w:r>
            <w:r>
              <w:rPr>
                <w:rFonts w:hint="eastAsia"/>
                <w:sz w:val="18"/>
                <w:szCs w:val="18"/>
              </w:rPr>
              <w:t>150</w:t>
            </w:r>
            <w:r>
              <w:rPr>
                <w:sz w:val="18"/>
                <w:szCs w:val="18"/>
              </w:rPr>
              <w:t>mm×150mm方坯，能耗调整系数应为</w:t>
            </w:r>
            <w:r>
              <w:rPr>
                <w:rFonts w:hint="eastAsia"/>
                <w:sz w:val="18"/>
                <w:szCs w:val="18"/>
              </w:rPr>
              <w:t>1.05</w:t>
            </w:r>
            <w:r>
              <w:rPr>
                <w:sz w:val="18"/>
                <w:szCs w:val="18"/>
              </w:rPr>
              <w:t>~1.2</w:t>
            </w:r>
            <w:r>
              <w:rPr>
                <w:rFonts w:hint="eastAsia"/>
                <w:sz w:val="18"/>
                <w:szCs w:val="18"/>
              </w:rPr>
              <w:t>。当</w:t>
            </w:r>
            <w:r>
              <w:rPr>
                <w:sz w:val="18"/>
                <w:szCs w:val="18"/>
              </w:rPr>
              <w:t>生产硬线时</w:t>
            </w:r>
            <w:r>
              <w:rPr>
                <w:rFonts w:hint="eastAsia"/>
                <w:sz w:val="18"/>
                <w:szCs w:val="18"/>
              </w:rPr>
              <w:t>，</w:t>
            </w:r>
            <w:r>
              <w:rPr>
                <w:sz w:val="18"/>
                <w:szCs w:val="18"/>
              </w:rPr>
              <w:t>能耗</w:t>
            </w:r>
            <w:r>
              <w:rPr>
                <w:rFonts w:hint="eastAsia"/>
                <w:sz w:val="18"/>
                <w:szCs w:val="18"/>
              </w:rPr>
              <w:t>调整</w:t>
            </w:r>
            <w:r>
              <w:rPr>
                <w:sz w:val="18"/>
                <w:szCs w:val="18"/>
              </w:rPr>
              <w:t>系数应为</w:t>
            </w:r>
            <w:r>
              <w:rPr>
                <w:rFonts w:hint="eastAsia"/>
                <w:sz w:val="18"/>
                <w:szCs w:val="18"/>
              </w:rPr>
              <w:t>1.3；</w:t>
            </w:r>
            <w:r>
              <w:rPr>
                <w:sz w:val="18"/>
                <w:szCs w:val="18"/>
              </w:rPr>
              <w:t>当生产</w:t>
            </w:r>
            <w:r>
              <w:rPr>
                <w:rFonts w:hint="eastAsia"/>
                <w:sz w:val="18"/>
                <w:szCs w:val="18"/>
              </w:rPr>
              <w:t>合金钢</w:t>
            </w:r>
            <w:r>
              <w:rPr>
                <w:sz w:val="18"/>
                <w:szCs w:val="18"/>
              </w:rPr>
              <w:t>时</w:t>
            </w:r>
            <w:r>
              <w:rPr>
                <w:rFonts w:hint="eastAsia"/>
                <w:sz w:val="18"/>
                <w:szCs w:val="18"/>
              </w:rPr>
              <w:t>，</w:t>
            </w:r>
            <w:r>
              <w:rPr>
                <w:sz w:val="18"/>
                <w:szCs w:val="18"/>
              </w:rPr>
              <w:t>能耗调整系数应为</w:t>
            </w:r>
            <w:r>
              <w:rPr>
                <w:rFonts w:hint="eastAsia"/>
                <w:sz w:val="18"/>
                <w:szCs w:val="18"/>
              </w:rPr>
              <w:t>1.5；</w:t>
            </w:r>
            <w:r>
              <w:rPr>
                <w:sz w:val="18"/>
                <w:szCs w:val="18"/>
              </w:rPr>
              <w:t>当生产高合金钢时</w:t>
            </w:r>
            <w:r>
              <w:rPr>
                <w:rFonts w:hint="eastAsia"/>
                <w:sz w:val="18"/>
                <w:szCs w:val="18"/>
              </w:rPr>
              <w:t>，能耗</w:t>
            </w:r>
            <w:r>
              <w:rPr>
                <w:sz w:val="18"/>
                <w:szCs w:val="18"/>
              </w:rPr>
              <w:t>调整系数应为</w:t>
            </w:r>
            <w:r>
              <w:rPr>
                <w:rFonts w:hint="eastAsia"/>
                <w:sz w:val="18"/>
                <w:szCs w:val="18"/>
              </w:rPr>
              <w:t>2.0。</w:t>
            </w:r>
          </w:p>
        </w:tc>
      </w:tr>
    </w:tbl>
    <w:p>
      <w:pPr>
        <w:pStyle w:val="54"/>
        <w:numPr>
          <w:ilvl w:val="1"/>
          <w:numId w:val="3"/>
        </w:numPr>
        <w:spacing w:before="156" w:after="156"/>
        <w:ind w:left="0"/>
        <w:jc w:val="both"/>
        <w:rPr>
          <w:rFonts w:ascii="Times New Roman"/>
        </w:rPr>
      </w:pPr>
      <w:r>
        <w:rPr>
          <w:rFonts w:ascii="Times New Roman"/>
        </w:rPr>
        <w:t>检验方法和指标计算方法</w:t>
      </w:r>
    </w:p>
    <w:p>
      <w:pPr>
        <w:widowControl/>
        <w:tabs>
          <w:tab w:val="center" w:pos="4201"/>
          <w:tab w:val="right" w:leader="dot" w:pos="9298"/>
        </w:tabs>
        <w:autoSpaceDE w:val="0"/>
        <w:autoSpaceDN w:val="0"/>
        <w:ind w:firstLine="420" w:firstLineChars="200"/>
        <w:rPr>
          <w:kern w:val="0"/>
          <w:szCs w:val="22"/>
        </w:rPr>
      </w:pPr>
      <w:r>
        <w:rPr>
          <w:kern w:val="0"/>
          <w:szCs w:val="22"/>
        </w:rPr>
        <w:t>所有指标均按采样次数的实测数据进行平均，各指标的测试方法和计算方法见附录A。</w:t>
      </w:r>
    </w:p>
    <w:p>
      <w:pPr>
        <w:pStyle w:val="52"/>
        <w:numPr>
          <w:ilvl w:val="0"/>
          <w:numId w:val="3"/>
        </w:numPr>
        <w:spacing w:before="312" w:after="312"/>
        <w:rPr>
          <w:rFonts w:ascii="Times New Roman"/>
        </w:rPr>
      </w:pPr>
      <w:r>
        <w:rPr>
          <w:rFonts w:ascii="Times New Roman"/>
        </w:rPr>
        <w:t>生命周期评价报告编制方法</w:t>
      </w:r>
    </w:p>
    <w:p>
      <w:pPr>
        <w:pStyle w:val="54"/>
        <w:numPr>
          <w:ilvl w:val="1"/>
          <w:numId w:val="3"/>
        </w:numPr>
        <w:spacing w:before="156" w:after="156"/>
        <w:ind w:left="0"/>
        <w:jc w:val="both"/>
        <w:rPr>
          <w:rFonts w:ascii="Times New Roman"/>
        </w:rPr>
      </w:pPr>
      <w:r>
        <w:rPr>
          <w:rFonts w:ascii="Times New Roman"/>
        </w:rPr>
        <w:t>编制依据</w:t>
      </w:r>
    </w:p>
    <w:p>
      <w:pPr>
        <w:widowControl/>
        <w:tabs>
          <w:tab w:val="center" w:pos="4201"/>
          <w:tab w:val="right" w:leader="dot" w:pos="9298"/>
        </w:tabs>
        <w:autoSpaceDE w:val="0"/>
        <w:autoSpaceDN w:val="0"/>
        <w:ind w:firstLine="420" w:firstLineChars="200"/>
        <w:rPr>
          <w:kern w:val="0"/>
          <w:szCs w:val="22"/>
        </w:rPr>
      </w:pPr>
      <w:r>
        <w:rPr>
          <w:kern w:val="0"/>
          <w:szCs w:val="22"/>
        </w:rPr>
        <w:t>应依据附录B</w:t>
      </w:r>
      <w:r>
        <w:rPr>
          <w:rFonts w:hint="eastAsia"/>
          <w:kern w:val="0"/>
          <w:szCs w:val="22"/>
        </w:rPr>
        <w:t>对</w:t>
      </w:r>
      <w:r>
        <w:rPr>
          <w:kern w:val="0"/>
          <w:szCs w:val="22"/>
        </w:rPr>
        <w:t>弹簧钢产品生命周期评价方法框架建立生命周期评价方法学</w:t>
      </w:r>
      <w:r>
        <w:rPr>
          <w:rFonts w:hint="eastAsia"/>
          <w:kern w:val="0"/>
          <w:szCs w:val="22"/>
        </w:rPr>
        <w:t>，</w:t>
      </w:r>
      <w:r>
        <w:rPr>
          <w:kern w:val="0"/>
          <w:szCs w:val="22"/>
        </w:rPr>
        <w:t>并依据此</w:t>
      </w:r>
      <w:r>
        <w:rPr>
          <w:rFonts w:hint="eastAsia"/>
          <w:kern w:val="0"/>
          <w:szCs w:val="22"/>
        </w:rPr>
        <w:t>方法</w:t>
      </w:r>
      <w:r>
        <w:rPr>
          <w:kern w:val="0"/>
          <w:szCs w:val="22"/>
        </w:rPr>
        <w:t>学编制生命周期评价报告。</w:t>
      </w:r>
    </w:p>
    <w:p>
      <w:pPr>
        <w:pStyle w:val="54"/>
        <w:numPr>
          <w:ilvl w:val="1"/>
          <w:numId w:val="3"/>
        </w:numPr>
        <w:spacing w:before="156" w:after="156"/>
        <w:ind w:left="0"/>
        <w:jc w:val="both"/>
        <w:rPr>
          <w:rFonts w:ascii="Times New Roman"/>
        </w:rPr>
      </w:pPr>
      <w:r>
        <w:rPr>
          <w:rFonts w:ascii="Times New Roman"/>
        </w:rPr>
        <w:t>基本信息</w:t>
      </w:r>
    </w:p>
    <w:p>
      <w:pPr>
        <w:widowControl/>
        <w:tabs>
          <w:tab w:val="center" w:pos="4201"/>
          <w:tab w:val="right" w:leader="dot" w:pos="9298"/>
        </w:tabs>
        <w:autoSpaceDE w:val="0"/>
        <w:autoSpaceDN w:val="0"/>
        <w:ind w:firstLine="420" w:firstLineChars="200"/>
        <w:rPr>
          <w:kern w:val="0"/>
          <w:szCs w:val="22"/>
        </w:rPr>
      </w:pPr>
      <w:r>
        <w:rPr>
          <w:kern w:val="0"/>
          <w:szCs w:val="22"/>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4"/>
        <w:numPr>
          <w:ilvl w:val="1"/>
          <w:numId w:val="3"/>
        </w:numPr>
        <w:spacing w:before="156" w:after="156"/>
        <w:ind w:left="0"/>
        <w:jc w:val="both"/>
        <w:rPr>
          <w:rFonts w:ascii="Times New Roman"/>
        </w:rPr>
      </w:pPr>
      <w:r>
        <w:rPr>
          <w:rFonts w:ascii="Times New Roman"/>
        </w:rPr>
        <w:t>评价对象及工具</w:t>
      </w:r>
    </w:p>
    <w:p>
      <w:pPr>
        <w:widowControl/>
        <w:tabs>
          <w:tab w:val="center" w:pos="4201"/>
          <w:tab w:val="right" w:leader="dot" w:pos="9298"/>
        </w:tabs>
        <w:autoSpaceDE w:val="0"/>
        <w:autoSpaceDN w:val="0"/>
        <w:ind w:firstLine="420" w:firstLineChars="200"/>
        <w:rPr>
          <w:kern w:val="0"/>
          <w:szCs w:val="22"/>
        </w:rPr>
      </w:pPr>
      <w:r>
        <w:rPr>
          <w:kern w:val="0"/>
          <w:szCs w:val="22"/>
        </w:rPr>
        <w:t>报告中应详细描述评估的对象、功能单位和产品主要功能，提供弹簧钢的原材料构成及主要技术参数表，绘制并说明弹簧钢的系统边界，披露所使用的基于生命周期数据库的工具。</w:t>
      </w:r>
    </w:p>
    <w:p>
      <w:pPr>
        <w:widowControl/>
        <w:tabs>
          <w:tab w:val="center" w:pos="4201"/>
          <w:tab w:val="right" w:leader="dot" w:pos="9298"/>
        </w:tabs>
        <w:autoSpaceDE w:val="0"/>
        <w:autoSpaceDN w:val="0"/>
        <w:ind w:firstLine="420" w:firstLineChars="200"/>
        <w:rPr>
          <w:kern w:val="0"/>
          <w:szCs w:val="22"/>
        </w:rPr>
      </w:pPr>
      <w:r>
        <w:rPr>
          <w:kern w:val="0"/>
          <w:szCs w:val="22"/>
        </w:rPr>
        <w:t>本文件以“1吨弹簧钢”为功能单位来表示。</w:t>
      </w:r>
    </w:p>
    <w:p>
      <w:pPr>
        <w:pStyle w:val="54"/>
        <w:numPr>
          <w:ilvl w:val="1"/>
          <w:numId w:val="3"/>
        </w:numPr>
        <w:spacing w:before="156" w:after="156"/>
        <w:ind w:left="0"/>
        <w:jc w:val="both"/>
        <w:rPr>
          <w:rFonts w:ascii="Times New Roman"/>
        </w:rPr>
      </w:pPr>
      <w:r>
        <w:rPr>
          <w:rFonts w:ascii="Times New Roman"/>
        </w:rPr>
        <w:t>符合性评价</w:t>
      </w:r>
    </w:p>
    <w:p>
      <w:pPr>
        <w:widowControl/>
        <w:tabs>
          <w:tab w:val="center" w:pos="4201"/>
          <w:tab w:val="right" w:leader="dot" w:pos="9298"/>
        </w:tabs>
        <w:autoSpaceDE w:val="0"/>
        <w:autoSpaceDN w:val="0"/>
        <w:ind w:firstLine="420" w:firstLineChars="200"/>
        <w:rPr>
          <w:kern w:val="0"/>
          <w:szCs w:val="22"/>
        </w:rPr>
      </w:pPr>
      <w:r>
        <w:rPr>
          <w:kern w:val="0"/>
          <w:szCs w:val="22"/>
        </w:rPr>
        <w:t>报告中应提供对基本要求和评价指标要求的符合性情况，并提供所有评价指标报告期比基期改进情况的说明。其中报告期为当前评价的年份，一般是指弹簧钢产品参与评价的上一年；基期为一个对照年份，一般比报告期提前1年。</w:t>
      </w:r>
    </w:p>
    <w:p>
      <w:pPr>
        <w:pStyle w:val="54"/>
        <w:numPr>
          <w:ilvl w:val="1"/>
          <w:numId w:val="3"/>
        </w:numPr>
        <w:spacing w:before="156" w:after="156"/>
        <w:ind w:left="0"/>
        <w:jc w:val="both"/>
        <w:rPr>
          <w:rFonts w:ascii="Times New Roman"/>
        </w:rPr>
      </w:pPr>
      <w:r>
        <w:rPr>
          <w:rFonts w:ascii="Times New Roman"/>
        </w:rPr>
        <w:t>生命周期清单分析</w:t>
      </w:r>
    </w:p>
    <w:p>
      <w:pPr>
        <w:widowControl/>
        <w:tabs>
          <w:tab w:val="center" w:pos="4201"/>
          <w:tab w:val="right" w:leader="dot" w:pos="9298"/>
        </w:tabs>
        <w:autoSpaceDE w:val="0"/>
        <w:autoSpaceDN w:val="0"/>
        <w:ind w:firstLine="420" w:firstLineChars="200"/>
        <w:rPr>
          <w:kern w:val="0"/>
          <w:szCs w:val="22"/>
        </w:rPr>
      </w:pPr>
      <w:r>
        <w:rPr>
          <w:kern w:val="0"/>
          <w:szCs w:val="22"/>
        </w:rPr>
        <w:t>报告中应提供考虑的生命周期阶段，说明每个阶段所考虑的清单因子及收集到的现场数据或背景数据，涉及到数据分配的情况应说明分配方法和结果。</w:t>
      </w:r>
    </w:p>
    <w:p>
      <w:pPr>
        <w:pStyle w:val="54"/>
        <w:numPr>
          <w:ilvl w:val="1"/>
          <w:numId w:val="3"/>
        </w:numPr>
        <w:spacing w:before="156" w:after="156"/>
        <w:ind w:left="0"/>
        <w:jc w:val="both"/>
        <w:rPr>
          <w:rFonts w:ascii="Times New Roman"/>
        </w:rPr>
      </w:pPr>
      <w:r>
        <w:rPr>
          <w:rFonts w:ascii="Times New Roman"/>
        </w:rPr>
        <w:t>生命周期影响评价</w:t>
      </w:r>
    </w:p>
    <w:p>
      <w:pPr>
        <w:widowControl/>
        <w:tabs>
          <w:tab w:val="center" w:pos="4201"/>
          <w:tab w:val="right" w:leader="dot" w:pos="9298"/>
        </w:tabs>
        <w:autoSpaceDE w:val="0"/>
        <w:autoSpaceDN w:val="0"/>
        <w:ind w:firstLine="420" w:firstLineChars="200"/>
        <w:rPr>
          <w:kern w:val="0"/>
          <w:szCs w:val="22"/>
        </w:rPr>
      </w:pPr>
      <w:r>
        <w:rPr>
          <w:kern w:val="0"/>
          <w:szCs w:val="22"/>
        </w:rPr>
        <w:t>报告中应提供弹簧钢生命周期各阶段的不同影响类型的特征化值，并对不同影响类型在各生命周期阶段的分布情况进行比较分析。</w:t>
      </w:r>
    </w:p>
    <w:p>
      <w:pPr>
        <w:pStyle w:val="54"/>
        <w:numPr>
          <w:ilvl w:val="1"/>
          <w:numId w:val="3"/>
        </w:numPr>
        <w:spacing w:before="156" w:after="156"/>
        <w:ind w:left="0"/>
        <w:jc w:val="both"/>
        <w:rPr>
          <w:rFonts w:ascii="Times New Roman"/>
        </w:rPr>
      </w:pPr>
      <w:r>
        <w:rPr>
          <w:rFonts w:ascii="Times New Roman"/>
        </w:rPr>
        <w:t>绿色设计改进方案</w:t>
      </w:r>
    </w:p>
    <w:p>
      <w:pPr>
        <w:widowControl/>
        <w:tabs>
          <w:tab w:val="center" w:pos="4201"/>
          <w:tab w:val="right" w:leader="dot" w:pos="9298"/>
        </w:tabs>
        <w:autoSpaceDE w:val="0"/>
        <w:autoSpaceDN w:val="0"/>
        <w:ind w:firstLine="420" w:firstLineChars="200"/>
        <w:rPr>
          <w:kern w:val="0"/>
          <w:szCs w:val="22"/>
        </w:rPr>
      </w:pPr>
      <w:r>
        <w:rPr>
          <w:kern w:val="0"/>
          <w:szCs w:val="22"/>
        </w:rPr>
        <w:t>在分析指标的符合性评价结果以及生命周期评价结果的基础上，提出弹簧钢绿色设计改进的具体方案。</w:t>
      </w:r>
    </w:p>
    <w:p>
      <w:pPr>
        <w:pStyle w:val="54"/>
        <w:numPr>
          <w:ilvl w:val="1"/>
          <w:numId w:val="3"/>
        </w:numPr>
        <w:spacing w:before="156" w:after="156"/>
        <w:ind w:left="0"/>
        <w:jc w:val="both"/>
        <w:rPr>
          <w:rFonts w:ascii="Times New Roman"/>
        </w:rPr>
      </w:pPr>
      <w:r>
        <w:rPr>
          <w:rFonts w:ascii="Times New Roman"/>
        </w:rPr>
        <w:t>评价报告主要结论</w:t>
      </w:r>
    </w:p>
    <w:p>
      <w:pPr>
        <w:widowControl/>
        <w:tabs>
          <w:tab w:val="center" w:pos="4201"/>
          <w:tab w:val="right" w:leader="dot" w:pos="9298"/>
        </w:tabs>
        <w:autoSpaceDE w:val="0"/>
        <w:autoSpaceDN w:val="0"/>
        <w:ind w:firstLine="420" w:firstLineChars="200"/>
        <w:rPr>
          <w:kern w:val="0"/>
          <w:szCs w:val="22"/>
        </w:rPr>
      </w:pPr>
      <w:r>
        <w:rPr>
          <w:kern w:val="0"/>
          <w:szCs w:val="22"/>
        </w:rPr>
        <w:t>应说明弹簧钢对评价指标的符合性结论、生命周期评价结果、提出的改进方案，并根据评价结论初步判断弹簧钢是否为绿色设计产品。</w:t>
      </w:r>
    </w:p>
    <w:p>
      <w:pPr>
        <w:pStyle w:val="54"/>
        <w:numPr>
          <w:ilvl w:val="1"/>
          <w:numId w:val="3"/>
        </w:numPr>
        <w:spacing w:before="156" w:after="156"/>
        <w:ind w:left="0"/>
        <w:jc w:val="both"/>
        <w:rPr>
          <w:rFonts w:ascii="Times New Roman"/>
        </w:rPr>
      </w:pPr>
      <w:r>
        <w:rPr>
          <w:rFonts w:ascii="Times New Roman"/>
        </w:rPr>
        <w:t>附件</w:t>
      </w:r>
    </w:p>
    <w:p>
      <w:pPr>
        <w:widowControl/>
        <w:tabs>
          <w:tab w:val="center" w:pos="4201"/>
          <w:tab w:val="right" w:leader="dot" w:pos="9298"/>
        </w:tabs>
        <w:autoSpaceDE w:val="0"/>
        <w:autoSpaceDN w:val="0"/>
        <w:ind w:firstLine="420" w:firstLineChars="200"/>
        <w:rPr>
          <w:kern w:val="0"/>
          <w:szCs w:val="20"/>
        </w:rPr>
      </w:pPr>
      <w:r>
        <w:rPr>
          <w:kern w:val="0"/>
          <w:szCs w:val="20"/>
        </w:rPr>
        <w:t>报告中应在附件中提供：</w:t>
      </w:r>
    </w:p>
    <w:p>
      <w:pPr>
        <w:widowControl/>
        <w:tabs>
          <w:tab w:val="center" w:pos="4201"/>
          <w:tab w:val="right" w:leader="dot" w:pos="9298"/>
        </w:tabs>
        <w:autoSpaceDE w:val="0"/>
        <w:autoSpaceDN w:val="0"/>
        <w:ind w:firstLine="420" w:firstLineChars="200"/>
        <w:rPr>
          <w:kern w:val="0"/>
          <w:szCs w:val="20"/>
        </w:rPr>
      </w:pPr>
      <w:r>
        <w:rPr>
          <w:kern w:val="0"/>
          <w:szCs w:val="20"/>
        </w:rPr>
        <w:t>——产品生产材料清单；</w:t>
      </w:r>
    </w:p>
    <w:p>
      <w:pPr>
        <w:widowControl/>
        <w:tabs>
          <w:tab w:val="center" w:pos="4201"/>
          <w:tab w:val="right" w:leader="dot" w:pos="9298"/>
        </w:tabs>
        <w:autoSpaceDE w:val="0"/>
        <w:autoSpaceDN w:val="0"/>
        <w:ind w:firstLine="420" w:firstLineChars="200"/>
        <w:rPr>
          <w:kern w:val="0"/>
          <w:szCs w:val="20"/>
        </w:rPr>
      </w:pPr>
      <w:r>
        <w:rPr>
          <w:kern w:val="0"/>
          <w:szCs w:val="20"/>
        </w:rPr>
        <w:t>——产品工艺表（产品生产工艺过程示意图等）；</w:t>
      </w:r>
    </w:p>
    <w:p>
      <w:pPr>
        <w:widowControl/>
        <w:tabs>
          <w:tab w:val="center" w:pos="4201"/>
          <w:tab w:val="right" w:leader="dot" w:pos="9298"/>
        </w:tabs>
        <w:autoSpaceDE w:val="0"/>
        <w:autoSpaceDN w:val="0"/>
        <w:ind w:firstLine="420" w:firstLineChars="200"/>
        <w:rPr>
          <w:kern w:val="0"/>
          <w:szCs w:val="20"/>
        </w:rPr>
      </w:pPr>
      <w:r>
        <w:rPr>
          <w:kern w:val="0"/>
          <w:szCs w:val="20"/>
        </w:rPr>
        <w:t>——各单元过程的数据收集表（见附录C）；</w:t>
      </w:r>
    </w:p>
    <w:p>
      <w:pPr>
        <w:widowControl/>
        <w:tabs>
          <w:tab w:val="center" w:pos="4201"/>
          <w:tab w:val="right" w:leader="dot" w:pos="9298"/>
        </w:tabs>
        <w:autoSpaceDE w:val="0"/>
        <w:autoSpaceDN w:val="0"/>
        <w:ind w:firstLine="420" w:firstLineChars="200"/>
        <w:rPr>
          <w:kern w:val="0"/>
          <w:szCs w:val="20"/>
        </w:rPr>
      </w:pPr>
      <w:r>
        <w:rPr>
          <w:kern w:val="0"/>
          <w:szCs w:val="20"/>
        </w:rPr>
        <w:t>——其他。</w:t>
      </w:r>
    </w:p>
    <w:p>
      <w:pPr>
        <w:widowControl/>
        <w:tabs>
          <w:tab w:val="center" w:pos="4201"/>
          <w:tab w:val="right" w:leader="dot" w:pos="9298"/>
        </w:tabs>
        <w:autoSpaceDE w:val="0"/>
        <w:autoSpaceDN w:val="0"/>
        <w:ind w:firstLine="420" w:firstLineChars="200"/>
        <w:rPr>
          <w:kern w:val="0"/>
          <w:szCs w:val="20"/>
        </w:rPr>
      </w:pP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1"/>
        </w:rPr>
        <w:br w:type="page"/>
      </w:r>
      <w:bookmarkStart w:id="18" w:name="_Toc20116345"/>
      <w:bookmarkStart w:id="19" w:name="_Toc49802322"/>
      <w:bookmarkStart w:id="20" w:name="_Toc50706900"/>
      <w:r>
        <w:rPr>
          <w:rFonts w:eastAsia="黑体"/>
          <w:kern w:val="0"/>
          <w:szCs w:val="21"/>
        </w:rPr>
        <w:t>附录A</w:t>
      </w:r>
      <w:r>
        <w:rPr>
          <w:rFonts w:eastAsia="黑体"/>
          <w:kern w:val="0"/>
          <w:szCs w:val="20"/>
        </w:rPr>
        <w:br w:type="textWrapping"/>
      </w:r>
      <w:r>
        <w:rPr>
          <w:rFonts w:eastAsia="黑体"/>
          <w:kern w:val="0"/>
          <w:szCs w:val="20"/>
        </w:rPr>
        <w:t>（规范性）</w:t>
      </w:r>
      <w:r>
        <w:rPr>
          <w:rFonts w:eastAsia="黑体"/>
          <w:kern w:val="0"/>
          <w:szCs w:val="20"/>
        </w:rPr>
        <w:br w:type="textWrapping"/>
      </w:r>
      <w:bookmarkEnd w:id="18"/>
      <w:bookmarkEnd w:id="19"/>
      <w:bookmarkEnd w:id="20"/>
      <w:r>
        <w:rPr>
          <w:rFonts w:eastAsia="黑体"/>
          <w:kern w:val="0"/>
          <w:szCs w:val="20"/>
        </w:rPr>
        <w:t>评价指标计算方法</w:t>
      </w:r>
    </w:p>
    <w:p>
      <w:pPr>
        <w:widowControl/>
        <w:adjustRightInd w:val="0"/>
        <w:snapToGrid w:val="0"/>
        <w:spacing w:before="156" w:beforeLines="50" w:line="360" w:lineRule="auto"/>
        <w:outlineLvl w:val="2"/>
        <w:rPr>
          <w:rFonts w:eastAsia="黑体"/>
          <w:kern w:val="0"/>
          <w:szCs w:val="20"/>
        </w:rPr>
      </w:pPr>
      <w:r>
        <w:rPr>
          <w:rFonts w:eastAsia="黑体"/>
          <w:kern w:val="0"/>
          <w:szCs w:val="20"/>
        </w:rPr>
        <w:t>A.1单位产品取水量</w:t>
      </w:r>
    </w:p>
    <w:p>
      <w:pPr>
        <w:ind w:firstLine="420" w:firstLineChars="200"/>
      </w:pPr>
      <w:r>
        <w:t>生产过程中的用水量，计算时按照1年生产为周期计算平均值。每生产1吨产品所消耗的新水量，按照公式（A.1）计算：</w:t>
      </w:r>
    </w:p>
    <w:p>
      <w:pPr>
        <w:jc w:val="center"/>
        <w:rPr>
          <w:rFonts w:eastAsia="黑体"/>
        </w:rPr>
      </w:pPr>
      <m:oMath>
        <m:r>
          <m:rPr>
            <m:sty m:val="p"/>
          </m:rPr>
          <w:rPr>
            <w:rFonts w:ascii="Cambria Math" w:hAnsi="Cambria Math"/>
            <w:sz w:val="28"/>
            <w:szCs w:val="28"/>
          </w:rPr>
          <m:t>V=</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V</m:t>
                </m:r>
                <m:ctrlPr>
                  <w:rPr>
                    <w:rFonts w:ascii="Cambria Math" w:hAnsi="Cambria Math"/>
                    <w:sz w:val="28"/>
                    <w:szCs w:val="28"/>
                  </w:rPr>
                </m:ctrlPr>
              </m:e>
              <m:sub>
                <m:r>
                  <m:rPr>
                    <m:sty m:val="p"/>
                  </m:rPr>
                  <w:rPr>
                    <w:rFonts w:ascii="Cambria Math" w:hAnsi="Cambria Math"/>
                    <w:sz w:val="28"/>
                    <w:szCs w:val="28"/>
                  </w:rPr>
                  <m:t>i</m:t>
                </m:r>
                <m:ctrlPr>
                  <w:rPr>
                    <w:rFonts w:ascii="Cambria Math" w:hAnsi="Cambria Math"/>
                    <w:sz w:val="28"/>
                    <w:szCs w:val="28"/>
                  </w:rPr>
                </m:ctrlPr>
              </m:sub>
            </m:sSub>
            <m:ctrlPr>
              <w:rPr>
                <w:rFonts w:ascii="Cambria Math" w:hAnsi="Cambria Math"/>
                <w:sz w:val="28"/>
                <w:szCs w:val="28"/>
              </w:rPr>
            </m:ctrlPr>
          </m:num>
          <m:den>
            <m:sSub>
              <m:sSubPr>
                <m:ctrlPr>
                  <w:rPr>
                    <w:rFonts w:ascii="Cambria Math" w:hAnsi="Cambria Math"/>
                    <w:sz w:val="28"/>
                    <w:szCs w:val="28"/>
                  </w:rPr>
                </m:ctrlPr>
              </m:sSubPr>
              <m:e>
                <m:r>
                  <m:rPr>
                    <m:sty m:val="p"/>
                  </m:rPr>
                  <w:rPr>
                    <w:rFonts w:ascii="Cambria Math" w:hAnsi="Cambria Math"/>
                    <w:sz w:val="28"/>
                    <w:szCs w:val="28"/>
                  </w:rPr>
                  <m:t>M</m:t>
                </m:r>
                <m:ctrlPr>
                  <w:rPr>
                    <w:rFonts w:ascii="Cambria Math" w:hAnsi="Cambria Math"/>
                    <w:sz w:val="28"/>
                    <w:szCs w:val="28"/>
                  </w:rPr>
                </m:ctrlPr>
              </m:e>
              <m:sub>
                <m:r>
                  <m:rPr>
                    <m:sty m:val="p"/>
                  </m:rPr>
                  <w:rPr>
                    <w:rFonts w:ascii="Cambria Math" w:hAnsi="Cambria Math"/>
                    <w:sz w:val="28"/>
                    <w:szCs w:val="28"/>
                  </w:rPr>
                  <m:t>C</m:t>
                </m:r>
                <m:ctrlPr>
                  <w:rPr>
                    <w:rFonts w:ascii="Cambria Math" w:hAnsi="Cambria Math"/>
                    <w:sz w:val="28"/>
                    <w:szCs w:val="28"/>
                  </w:rPr>
                </m:ctrlPr>
              </m:sub>
            </m:sSub>
            <m:ctrlPr>
              <w:rPr>
                <w:rFonts w:ascii="Cambria Math" w:hAnsi="Cambria Math"/>
                <w:sz w:val="28"/>
                <w:szCs w:val="28"/>
              </w:rPr>
            </m:ctrlPr>
          </m:den>
        </m:f>
      </m:oMath>
      <w:r>
        <w:rPr>
          <w:rFonts w:eastAsia="黑体"/>
          <w:kern w:val="0"/>
          <w:szCs w:val="20"/>
        </w:rPr>
        <w:t>………（A.1）</w:t>
      </w:r>
    </w:p>
    <w:p>
      <w:pPr>
        <w:widowControl/>
        <w:tabs>
          <w:tab w:val="center" w:pos="4201"/>
          <w:tab w:val="right" w:leader="dot" w:pos="9298"/>
        </w:tabs>
        <w:autoSpaceDE w:val="0"/>
        <w:autoSpaceDN w:val="0"/>
        <w:ind w:firstLine="420" w:firstLineChars="200"/>
        <w:rPr>
          <w:kern w:val="0"/>
          <w:szCs w:val="22"/>
        </w:rPr>
      </w:pPr>
      <w:r>
        <w:rPr>
          <w:kern w:val="0"/>
          <w:szCs w:val="22"/>
        </w:rPr>
        <w:t>式中：</w:t>
      </w:r>
    </w:p>
    <w:p>
      <w:pPr>
        <w:widowControl/>
        <w:tabs>
          <w:tab w:val="center" w:pos="4201"/>
          <w:tab w:val="right" w:leader="dot" w:pos="9298"/>
        </w:tabs>
        <w:autoSpaceDE w:val="0"/>
        <w:autoSpaceDN w:val="0"/>
        <w:ind w:firstLine="1050" w:firstLineChars="500"/>
        <w:rPr>
          <w:kern w:val="0"/>
          <w:szCs w:val="22"/>
        </w:rPr>
      </w:pPr>
      <w:r>
        <w:rPr>
          <w:i/>
          <w:kern w:val="0"/>
          <w:szCs w:val="22"/>
        </w:rPr>
        <w:t>V</w:t>
      </w:r>
      <w:r>
        <w:rPr>
          <w:kern w:val="0"/>
          <w:szCs w:val="22"/>
        </w:rPr>
        <w:t>—每生产1 吨产品所消耗的新水量，单位为立方米每吨（m</w:t>
      </w:r>
      <w:r>
        <w:rPr>
          <w:kern w:val="0"/>
          <w:szCs w:val="22"/>
          <w:vertAlign w:val="superscript"/>
        </w:rPr>
        <w:t>3</w:t>
      </w:r>
      <w:r>
        <w:rPr>
          <w:kern w:val="0"/>
          <w:szCs w:val="22"/>
        </w:rPr>
        <w:t>/t）；</w:t>
      </w:r>
    </w:p>
    <w:p>
      <w:pPr>
        <w:widowControl/>
        <w:tabs>
          <w:tab w:val="center" w:pos="4201"/>
          <w:tab w:val="right" w:leader="dot" w:pos="9298"/>
        </w:tabs>
        <w:autoSpaceDE w:val="0"/>
        <w:autoSpaceDN w:val="0"/>
        <w:ind w:firstLine="1050" w:firstLineChars="500"/>
        <w:rPr>
          <w:kern w:val="0"/>
          <w:szCs w:val="22"/>
        </w:rPr>
      </w:pPr>
      <w:r>
        <w:rPr>
          <w:i/>
          <w:kern w:val="0"/>
          <w:szCs w:val="22"/>
        </w:rPr>
        <w:t>Vi</w:t>
      </w:r>
      <w:r>
        <w:rPr>
          <w:kern w:val="0"/>
          <w:szCs w:val="22"/>
        </w:rPr>
        <w:t>—1年内生产取新水量，单位为立方米（m</w:t>
      </w:r>
      <w:r>
        <w:rPr>
          <w:kern w:val="0"/>
          <w:szCs w:val="22"/>
          <w:vertAlign w:val="superscript"/>
        </w:rPr>
        <w:t>3</w:t>
      </w:r>
      <w:r>
        <w:rPr>
          <w:kern w:val="0"/>
          <w:szCs w:val="22"/>
        </w:rPr>
        <w:t>）；</w:t>
      </w:r>
    </w:p>
    <w:p>
      <w:pPr>
        <w:widowControl/>
        <w:tabs>
          <w:tab w:val="center" w:pos="4201"/>
          <w:tab w:val="right" w:leader="dot" w:pos="9298"/>
        </w:tabs>
        <w:autoSpaceDE w:val="0"/>
        <w:autoSpaceDN w:val="0"/>
        <w:ind w:firstLine="1050" w:firstLineChars="500"/>
        <w:rPr>
          <w:kern w:val="0"/>
          <w:szCs w:val="22"/>
        </w:rPr>
      </w:pPr>
      <w:r>
        <w:rPr>
          <w:i/>
          <w:kern w:val="0"/>
          <w:szCs w:val="22"/>
        </w:rPr>
        <w:t>M</w:t>
      </w:r>
      <w:r>
        <w:rPr>
          <w:i/>
          <w:kern w:val="0"/>
          <w:szCs w:val="22"/>
          <w:vertAlign w:val="subscript"/>
        </w:rPr>
        <w:t>C</w:t>
      </w:r>
      <w:r>
        <w:rPr>
          <w:kern w:val="0"/>
          <w:szCs w:val="22"/>
        </w:rPr>
        <w:t>—1年内产品生产总量，单位为吨（t）。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A.2 水重复利用率</w:t>
      </w:r>
    </w:p>
    <w:p>
      <w:pPr>
        <w:ind w:firstLine="420" w:firstLineChars="200"/>
      </w:pPr>
      <w:r>
        <w:t>水重复利用率，计算时按照1 年生产为周期计算。生产过程中使用的重复利用水量与总用水量进行计算，按照公式（A.2）计算：</w:t>
      </w:r>
    </w:p>
    <w:p>
      <w:pPr>
        <w:ind w:firstLine="480" w:firstLineChars="200"/>
        <w:jc w:val="center"/>
      </w:pPr>
      <w:r>
        <w:rPr>
          <w:sz w:val="24"/>
        </w:rPr>
        <w:fldChar w:fldCharType="begin"/>
      </w:r>
      <w:r>
        <w:rPr>
          <w:sz w:val="24"/>
        </w:rPr>
        <w:instrText xml:space="preserve"> QUOTE </w:instrText>
      </w:r>
      <m:oMath>
        <m:r>
          <m:rPr>
            <m:sty m:val="p"/>
          </m:rPr>
          <w:rPr>
            <w:rFonts w:ascii="Cambria Math" w:hAnsi="Cambria Math"/>
            <w:sz w:val="24"/>
          </w:rPr>
          <m:t xml:space="preserve">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r>
              <m:rPr>
                <m:sty m:val="p"/>
              </m:rPr>
              <w:rPr>
                <w:rFonts w:ascii="Cambria Math" w:hAnsi="Cambria Math"/>
                <w:sz w:val="24"/>
              </w:rPr>
              <m:t xml:space="preserve">+</m:t>
            </m:r>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 xml:space="preserve">×100%</m:t>
        </m:r>
      </m:oMath>
      <w:r>
        <w:rPr>
          <w:sz w:val="24"/>
        </w:rPr>
        <w:fldChar w:fldCharType="separate"/>
      </w:r>
      <m:oMath>
        <m:r>
          <m:rPr>
            <m:sty m:val="p"/>
          </m:rPr>
          <w:rPr>
            <w:rFonts w:ascii="Cambria Math" w:hAnsi="Cambria Math"/>
            <w:sz w:val="24"/>
          </w:rPr>
          <m:t>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×100%</m:t>
        </m:r>
      </m:oMath>
      <w:r>
        <w:rPr>
          <w:sz w:val="24"/>
        </w:rPr>
        <w:fldChar w:fldCharType="end"/>
      </w:r>
      <w:r>
        <w:rPr>
          <w:rFonts w:eastAsia="黑体"/>
          <w:kern w:val="0"/>
          <w:szCs w:val="20"/>
        </w:rPr>
        <w:t>………（A.2）</w:t>
      </w:r>
    </w:p>
    <w:p>
      <w:pPr>
        <w:ind w:firstLine="420" w:firstLineChars="200"/>
        <w:rPr>
          <w:szCs w:val="21"/>
        </w:rPr>
      </w:pPr>
      <w:r>
        <w:rPr>
          <w:szCs w:val="21"/>
        </w:rPr>
        <w:t>式中：</w:t>
      </w:r>
    </w:p>
    <w:p>
      <w:pPr>
        <w:ind w:firstLine="1050" w:firstLineChars="500"/>
        <w:rPr>
          <w:szCs w:val="21"/>
        </w:rPr>
      </w:pPr>
      <w:r>
        <w:rPr>
          <w:i/>
          <w:szCs w:val="21"/>
        </w:rPr>
        <w:t>W</w:t>
      </w:r>
      <w:r>
        <w:rPr>
          <w:szCs w:val="21"/>
        </w:rPr>
        <w:t>—水重复利用率，%；</w:t>
      </w:r>
    </w:p>
    <w:p>
      <w:pPr>
        <w:ind w:firstLine="1050" w:firstLineChars="500"/>
        <w:rPr>
          <w:szCs w:val="21"/>
        </w:rPr>
      </w:pPr>
      <w:r>
        <w:rPr>
          <w:i/>
          <w:szCs w:val="21"/>
        </w:rPr>
        <w:t>W</w:t>
      </w:r>
      <w:r>
        <w:rPr>
          <w:i/>
          <w:szCs w:val="21"/>
          <w:vertAlign w:val="subscript"/>
        </w:rPr>
        <w:t>r</w:t>
      </w:r>
      <w:r>
        <w:rPr>
          <w:szCs w:val="21"/>
        </w:rPr>
        <w:t>—1年内重复利用水量，单位为立方米（m</w:t>
      </w:r>
      <w:r>
        <w:rPr>
          <w:szCs w:val="21"/>
          <w:vertAlign w:val="superscript"/>
        </w:rPr>
        <w:t>3</w:t>
      </w:r>
      <w:r>
        <w:rPr>
          <w:szCs w:val="21"/>
        </w:rPr>
        <w:t>）；</w:t>
      </w:r>
    </w:p>
    <w:p>
      <w:pPr>
        <w:ind w:firstLine="1050" w:firstLineChars="500"/>
        <w:rPr>
          <w:i/>
          <w:szCs w:val="21"/>
        </w:rPr>
      </w:pPr>
      <w:r>
        <w:rPr>
          <w:i/>
          <w:szCs w:val="21"/>
        </w:rPr>
        <w:t>Wn—</w:t>
      </w:r>
      <w:r>
        <w:rPr>
          <w:szCs w:val="21"/>
        </w:rPr>
        <w:t>1年内总补水量，单位为立方米（m</w:t>
      </w:r>
      <w:r>
        <w:rPr>
          <w:szCs w:val="21"/>
          <w:vertAlign w:val="superscript"/>
        </w:rPr>
        <w:t>3</w:t>
      </w:r>
      <w:r>
        <w:rPr>
          <w:szCs w:val="21"/>
        </w:rPr>
        <w:t>）</w:t>
      </w:r>
      <w:r>
        <w:rPr>
          <w:i/>
          <w:szCs w:val="21"/>
        </w:rPr>
        <w:t>。</w:t>
      </w:r>
    </w:p>
    <w:p>
      <w:pPr>
        <w:widowControl/>
        <w:adjustRightInd w:val="0"/>
        <w:snapToGrid w:val="0"/>
        <w:spacing w:before="156" w:beforeLines="50" w:line="360" w:lineRule="auto"/>
        <w:outlineLvl w:val="2"/>
        <w:rPr>
          <w:rFonts w:eastAsia="黑体"/>
          <w:kern w:val="0"/>
          <w:szCs w:val="20"/>
        </w:rPr>
      </w:pPr>
      <w:r>
        <w:rPr>
          <w:rFonts w:eastAsia="黑体"/>
          <w:kern w:val="0"/>
          <w:szCs w:val="20"/>
        </w:rPr>
        <w:t>A.3 单位产品污染物排放量</w:t>
      </w:r>
    </w:p>
    <w:p>
      <w:pPr>
        <w:ind w:firstLine="420" w:firstLineChars="200"/>
        <w:rPr>
          <w:rFonts w:eastAsia="黑体"/>
          <w:sz w:val="28"/>
          <w:szCs w:val="28"/>
        </w:rPr>
      </w:pPr>
      <w:r>
        <w:t>弹簧钢生产过程中的颗粒物、SO</w:t>
      </w:r>
      <w:r>
        <w:rPr>
          <w:vertAlign w:val="subscript"/>
        </w:rPr>
        <w:t>2</w:t>
      </w:r>
      <w:r>
        <w:t>、NO</w:t>
      </w:r>
      <w:r>
        <w:rPr>
          <w:vertAlign w:val="subscript"/>
        </w:rPr>
        <w:t>X</w:t>
      </w:r>
      <w:r>
        <w:t>、COD和氨氮等主要污染物排放量，计算时按照1年生产为周期计算平均值。每生产1吨弹簧钢所排放的主要污染物量，按照公式（A.3）计算：</w:t>
      </w:r>
    </w:p>
    <w:p>
      <w:pPr>
        <w:jc w:val="center"/>
      </w:pPr>
      <w:r>
        <w:rPr>
          <w:sz w:val="24"/>
        </w:rPr>
        <w:fldChar w:fldCharType="begin"/>
      </w:r>
      <w:r>
        <w:rPr>
          <w:sz w:val="24"/>
        </w:rPr>
        <w:instrText xml:space="preserve"> QUOTE </w:instrText>
      </w:r>
      <m:oMath>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L</m:t>
            </m:r>
            <m:ctrlPr>
              <w:rPr>
                <w:rFonts w:ascii="Cambria Math" w:hAnsi="Cambria Math"/>
                <w:sz w:val="24"/>
              </w:rPr>
            </m:ctrlPr>
          </m:sub>
        </m:sSub>
        <m:r>
          <m:rPr>
            <m:sty m:val="p"/>
          </m:rPr>
          <w:rPr>
            <w:rFonts w:ascii="Cambria Math" w:hAnsi="Cambria Math"/>
            <w:sz w:val="24"/>
          </w:rPr>
          <m:t xml:space="preserve">=</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T</m:t>
                </m:r>
                <m:ctrlPr>
                  <w:rPr>
                    <w:rFonts w:ascii="Cambria Math" w:hAnsi="Cambria Math"/>
                    <w:sz w:val="24"/>
                  </w:rPr>
                </m:ctrlPr>
              </m:e>
              <m:sub>
                <m:r>
                  <m:rPr>
                    <m:sty m:val="p"/>
                  </m:rPr>
                  <w:rPr>
                    <w:rFonts w:ascii="Cambria Math" w:hAnsi="Cambria Math"/>
                    <w:sz w:val="24"/>
                  </w:rPr>
                  <m:t xml:space="preserve">CG</m:t>
                </m:r>
                <m:ctrlPr>
                  <w:rPr>
                    <w:rFonts w:ascii="Cambria Math" w:hAnsi="Cambria Math"/>
                    <w:sz w:val="24"/>
                  </w:rPr>
                </m:ctrlPr>
              </m:sub>
            </m:sSub>
            <m:ctrlPr>
              <w:rPr>
                <w:rFonts w:ascii="Cambria Math" w:hAnsi="Cambria Math"/>
                <w:sz w:val="24"/>
              </w:rPr>
            </m:ctrlPr>
          </m:den>
        </m:f>
      </m:oMath>
      <w:r>
        <w:rPr>
          <w:sz w:val="24"/>
        </w:rPr>
        <w:fldChar w:fldCharType="separate"/>
      </w:r>
      <m:oMath>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L</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T</m:t>
                </m:r>
                <m:ctrlPr>
                  <w:rPr>
                    <w:rFonts w:ascii="Cambria Math" w:hAnsi="Cambria Math"/>
                    <w:sz w:val="24"/>
                  </w:rPr>
                </m:ctrlPr>
              </m:e>
              <m:sub>
                <m:r>
                  <m:rPr>
                    <m:sty m:val="p"/>
                  </m:rPr>
                  <w:rPr>
                    <w:rFonts w:ascii="Cambria Math" w:hAnsi="Cambria Math"/>
                    <w:sz w:val="24"/>
                  </w:rPr>
                  <m:t>CG</m:t>
                </m:r>
                <m:ctrlPr>
                  <w:rPr>
                    <w:rFonts w:ascii="Cambria Math" w:hAnsi="Cambria Math"/>
                    <w:sz w:val="24"/>
                  </w:rPr>
                </m:ctrlPr>
              </m:sub>
            </m:sSub>
            <m:ctrlPr>
              <w:rPr>
                <w:rFonts w:ascii="Cambria Math" w:hAnsi="Cambria Math"/>
                <w:sz w:val="24"/>
              </w:rPr>
            </m:ctrlPr>
          </m:den>
        </m:f>
      </m:oMath>
      <w:r>
        <w:rPr>
          <w:sz w:val="24"/>
        </w:rPr>
        <w:fldChar w:fldCharType="end"/>
      </w:r>
      <w:r>
        <w:rPr>
          <w:rFonts w:eastAsia="黑体"/>
          <w:kern w:val="0"/>
          <w:szCs w:val="20"/>
        </w:rPr>
        <w:t>……………（A.3）</w:t>
      </w:r>
    </w:p>
    <w:p>
      <w:pPr>
        <w:ind w:firstLine="420" w:firstLineChars="200"/>
        <w:rPr>
          <w:szCs w:val="21"/>
        </w:rPr>
      </w:pPr>
      <w:r>
        <w:rPr>
          <w:szCs w:val="21"/>
        </w:rPr>
        <w:t>式中：</w:t>
      </w:r>
    </w:p>
    <w:p>
      <w:pPr>
        <w:ind w:firstLine="1050" w:firstLineChars="500"/>
        <w:rPr>
          <w:szCs w:val="21"/>
        </w:rPr>
      </w:pPr>
      <w:r>
        <w:rPr>
          <w:i/>
          <w:szCs w:val="21"/>
        </w:rPr>
        <w:t>W</w:t>
      </w:r>
      <w:r>
        <w:rPr>
          <w:i/>
          <w:szCs w:val="21"/>
          <w:vertAlign w:val="subscript"/>
        </w:rPr>
        <w:t>L</w:t>
      </w:r>
      <w:r>
        <w:rPr>
          <w:szCs w:val="21"/>
        </w:rPr>
        <w:t>—每生产1 吨</w:t>
      </w:r>
      <w:r>
        <w:rPr>
          <w:color w:val="000000"/>
          <w:kern w:val="0"/>
          <w:szCs w:val="21"/>
        </w:rPr>
        <w:t>弹簧钢</w:t>
      </w:r>
      <w:r>
        <w:rPr>
          <w:szCs w:val="21"/>
        </w:rPr>
        <w:t>外排污染物量，单位为千克每吨（kg/t）；</w:t>
      </w:r>
    </w:p>
    <w:p>
      <w:pPr>
        <w:ind w:firstLine="1050" w:firstLineChars="500"/>
        <w:rPr>
          <w:szCs w:val="21"/>
        </w:rPr>
      </w:pPr>
      <w:r>
        <w:rPr>
          <w:i/>
          <w:szCs w:val="21"/>
        </w:rPr>
        <w:t>W</w:t>
      </w:r>
      <w:r>
        <w:rPr>
          <w:i/>
          <w:szCs w:val="21"/>
          <w:vertAlign w:val="subscript"/>
        </w:rPr>
        <w:t>SL</w:t>
      </w:r>
      <w:r>
        <w:rPr>
          <w:szCs w:val="21"/>
        </w:rPr>
        <w:t>—1年内</w:t>
      </w:r>
      <w:r>
        <w:rPr>
          <w:color w:val="000000"/>
          <w:kern w:val="0"/>
          <w:szCs w:val="21"/>
        </w:rPr>
        <w:t>弹簧钢</w:t>
      </w:r>
      <w:r>
        <w:rPr>
          <w:szCs w:val="21"/>
        </w:rPr>
        <w:t>生产过程中的颗粒物、SO</w:t>
      </w:r>
      <w:r>
        <w:rPr>
          <w:szCs w:val="21"/>
          <w:vertAlign w:val="subscript"/>
        </w:rPr>
        <w:t>2</w:t>
      </w:r>
      <w:r>
        <w:rPr>
          <w:szCs w:val="21"/>
        </w:rPr>
        <w:t>、NO</w:t>
      </w:r>
      <w:r>
        <w:rPr>
          <w:szCs w:val="21"/>
          <w:vertAlign w:val="subscript"/>
        </w:rPr>
        <w:t>X</w:t>
      </w:r>
      <w:r>
        <w:rPr>
          <w:szCs w:val="21"/>
        </w:rPr>
        <w:t>、COD和氨氮等主要污染物排放量，单位为千克（kg）；</w:t>
      </w:r>
    </w:p>
    <w:p>
      <w:pPr>
        <w:ind w:firstLine="1050" w:firstLineChars="500"/>
        <w:rPr>
          <w:szCs w:val="21"/>
        </w:rPr>
      </w:pPr>
      <w:r>
        <w:rPr>
          <w:i/>
          <w:szCs w:val="21"/>
        </w:rPr>
        <w:t>T</w:t>
      </w:r>
      <w:r>
        <w:rPr>
          <w:i/>
          <w:szCs w:val="21"/>
          <w:vertAlign w:val="subscript"/>
        </w:rPr>
        <w:t>CG</w:t>
      </w:r>
      <w:r>
        <w:rPr>
          <w:szCs w:val="21"/>
        </w:rPr>
        <w:t>—1年内</w:t>
      </w:r>
      <w:r>
        <w:rPr>
          <w:color w:val="000000"/>
          <w:kern w:val="0"/>
          <w:szCs w:val="21"/>
        </w:rPr>
        <w:t>弹簧钢</w:t>
      </w:r>
      <w:r>
        <w:rPr>
          <w:szCs w:val="21"/>
        </w:rPr>
        <w:t>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A.4 各工序单位产品能耗</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各工序单位产品能耗应按公式（A.4）计算：</w:t>
      </w:r>
    </w:p>
    <w:p>
      <w:pPr>
        <w:jc w:val="center"/>
      </w:pPr>
      <m:oMath>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m:sty m:val="p"/>
              </m:rPr>
              <w:rPr>
                <w:rFonts w:ascii="Cambria Math" w:hAnsi="Cambria Math"/>
                <w:sz w:val="28"/>
              </w:rPr>
              <m:t>iL</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iz</m:t>
                </m:r>
                <m:ctrlPr>
                  <w:rPr>
                    <w:rFonts w:ascii="Cambria Math" w:hAnsi="Cambria Math"/>
                    <w:sz w:val="28"/>
                  </w:rPr>
                </m:ctrlP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iℎ</m:t>
                </m:r>
                <m:ctrlPr>
                  <w:rPr>
                    <w:rFonts w:ascii="Cambria Math" w:hAnsi="Cambria Math"/>
                    <w:sz w:val="28"/>
                  </w:rPr>
                </m:ctrlPr>
              </m:sub>
            </m:sSub>
            <m:ctrlPr>
              <w:rPr>
                <w:rFonts w:ascii="Cambria Math" w:hAnsi="Cambria Math"/>
                <w:sz w:val="28"/>
              </w:rPr>
            </m:ctrlPr>
          </m:num>
          <m:den>
            <m:sSub>
              <m:sSubPr>
                <m:ctrlPr>
                  <w:rPr>
                    <w:rFonts w:ascii="Cambria Math" w:hAnsi="Cambria Math"/>
                    <w:sz w:val="28"/>
                  </w:rPr>
                </m:ctrlPr>
              </m:sSubPr>
              <m:e>
                <m:r>
                  <m:rPr>
                    <m:sty m:val="p"/>
                  </m:rPr>
                  <w:rPr>
                    <w:rFonts w:ascii="Cambria Math" w:hAnsi="Cambria Math"/>
                    <w:sz w:val="28"/>
                  </w:rPr>
                  <m:t>P</m:t>
                </m:r>
                <m:ctrlPr>
                  <w:rPr>
                    <w:rFonts w:ascii="Cambria Math" w:hAnsi="Cambria Math"/>
                    <w:sz w:val="28"/>
                  </w:rPr>
                </m:ctrlPr>
              </m:e>
              <m:sub>
                <m:r>
                  <m:rPr>
                    <m:sty m:val="p"/>
                  </m:rPr>
                  <w:rPr>
                    <w:rFonts w:ascii="Cambria Math" w:hAnsi="Cambria Math"/>
                    <w:sz w:val="28"/>
                  </w:rPr>
                  <m:t>i</m:t>
                </m:r>
                <m:ctrlPr>
                  <w:rPr>
                    <w:rFonts w:ascii="Cambria Math" w:hAnsi="Cambria Math"/>
                    <w:sz w:val="28"/>
                  </w:rPr>
                </m:ctrlPr>
              </m:sub>
            </m:sSub>
            <m:ctrlPr>
              <w:rPr>
                <w:rFonts w:ascii="Cambria Math" w:hAnsi="Cambria Math"/>
                <w:sz w:val="28"/>
              </w:rPr>
            </m:ctrlPr>
          </m:den>
        </m:f>
      </m:oMath>
      <w:r>
        <w:rPr>
          <w:rFonts w:eastAsia="黑体"/>
          <w:kern w:val="0"/>
          <w:szCs w:val="20"/>
        </w:rPr>
        <w:t>……………</w:t>
      </w:r>
      <w:r>
        <w:rPr>
          <w:kern w:val="0"/>
          <w:szCs w:val="20"/>
          <w:lang w:val="be-BY"/>
        </w:rPr>
        <w:t>（</w:t>
      </w:r>
      <w:r>
        <w:rPr>
          <w:kern w:val="0"/>
          <w:szCs w:val="20"/>
        </w:rPr>
        <w:t>A</w:t>
      </w:r>
      <w:r>
        <w:rPr>
          <w:kern w:val="0"/>
          <w:szCs w:val="20"/>
          <w:lang w:val="be-BY"/>
        </w:rPr>
        <w:t>.4）</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式中：</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i</w:t>
      </w:r>
      <w:r>
        <w:rPr>
          <w:color w:val="000000"/>
          <w:kern w:val="0"/>
          <w:szCs w:val="21"/>
        </w:rPr>
        <w:t>—代表烧结、球团、高炉、转炉、电炉、轧钢各工序；</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iL</w:t>
      </w:r>
      <w:r>
        <w:rPr>
          <w:color w:val="000000"/>
          <w:kern w:val="0"/>
          <w:szCs w:val="21"/>
        </w:rPr>
        <w:t>—各工序单位产品能耗，单位为千克标准煤每吨（kgce/t）；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iz</w:t>
      </w:r>
      <w:r>
        <w:rPr>
          <w:color w:val="000000"/>
          <w:kern w:val="0"/>
          <w:szCs w:val="21"/>
        </w:rPr>
        <w:t>—各工序消耗的各种能源折标准煤量总和，单位为千克标准煤（kgce）；</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e</w:t>
      </w:r>
      <w:r>
        <w:rPr>
          <w:color w:val="000000"/>
          <w:szCs w:val="21"/>
          <w:vertAlign w:val="subscript"/>
          <w:lang w:val="be-BY"/>
        </w:rPr>
        <w:t>ih</w:t>
      </w:r>
      <w:r>
        <w:rPr>
          <w:color w:val="000000"/>
          <w:kern w:val="0"/>
          <w:szCs w:val="21"/>
        </w:rPr>
        <w:t>—各工序回收的能源量折标准煤量，单位为千克标准煤（kgce）；</w:t>
      </w:r>
    </w:p>
    <w:p>
      <w:pPr>
        <w:widowControl/>
        <w:adjustRightInd w:val="0"/>
        <w:snapToGrid w:val="0"/>
        <w:spacing w:before="156" w:beforeLines="50" w:line="360" w:lineRule="auto"/>
        <w:ind w:firstLine="420" w:firstLineChars="200"/>
        <w:rPr>
          <w:color w:val="000000"/>
          <w:kern w:val="0"/>
          <w:szCs w:val="21"/>
        </w:rPr>
      </w:pPr>
      <w:r>
        <w:rPr>
          <w:color w:val="000000"/>
          <w:kern w:val="0"/>
          <w:szCs w:val="21"/>
        </w:rPr>
        <w:t>P</w:t>
      </w:r>
      <w:r>
        <w:rPr>
          <w:color w:val="000000"/>
          <w:kern w:val="0"/>
          <w:szCs w:val="21"/>
          <w:vertAlign w:val="subscript"/>
        </w:rPr>
        <w:t>i</w:t>
      </w:r>
      <w:r>
        <w:rPr>
          <w:color w:val="000000"/>
          <w:kern w:val="0"/>
          <w:szCs w:val="21"/>
        </w:rPr>
        <w:t>—各工序合格产品产量，单位为吨（t）。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A.5 电炉兑铁水比例</w:t>
      </w:r>
    </w:p>
    <w:p>
      <w:pPr>
        <w:spacing w:before="156" w:beforeLines="50" w:line="312" w:lineRule="auto"/>
        <w:ind w:firstLine="420" w:firstLineChars="200"/>
        <w:rPr>
          <w:sz w:val="24"/>
        </w:rPr>
      </w:pPr>
      <w:r>
        <w:rPr>
          <w:color w:val="000000"/>
          <w:szCs w:val="21"/>
          <w:lang w:val="be-BY"/>
        </w:rPr>
        <w:t>电炉兑铁水比例按公式（A.5）计算：</w:t>
      </w:r>
    </w:p>
    <w:p>
      <w:pPr>
        <w:spacing w:before="156" w:beforeLines="50" w:line="312" w:lineRule="auto"/>
        <w:rPr>
          <w:color w:val="000000"/>
          <w:szCs w:val="21"/>
          <w:lang w:val="be-BY"/>
        </w:rPr>
      </w:pPr>
      <m:oMath>
        <m:sSub>
          <m:sSubPr>
            <m:ctrlPr>
              <w:rPr>
                <w:rFonts w:ascii="Cambria Math" w:hAnsi="Cambria Math"/>
                <w:sz w:val="28"/>
              </w:rPr>
            </m:ctrlPr>
          </m:sSubPr>
          <m:e>
            <m:r>
              <m:rPr>
                <m:sty m:val="p"/>
              </m:rPr>
              <w:rPr>
                <w:rFonts w:ascii="Cambria Math" w:hAnsi="Cambria Math"/>
                <w:sz w:val="28"/>
              </w:rPr>
              <m:t xml:space="preserve">                           r</m:t>
            </m:r>
            <m:ctrlPr>
              <w:rPr>
                <w:rFonts w:ascii="Cambria Math" w:hAnsi="Cambria Math"/>
                <w:sz w:val="28"/>
              </w:rPr>
            </m:ctrlPr>
          </m:e>
          <m:sub>
            <m:r>
              <m:rPr>
                <m:sty m:val="p"/>
              </m:rPr>
              <w:rPr>
                <w:rFonts w:ascii="Cambria Math" w:hAnsi="Cambria Math"/>
                <w:sz w:val="28"/>
              </w:rPr>
              <m:t>ts</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m</m:t>
                </m:r>
                <m:ctrlPr>
                  <w:rPr>
                    <w:rFonts w:ascii="Cambria Math" w:hAnsi="Cambria Math"/>
                    <w:sz w:val="28"/>
                  </w:rPr>
                </m:ctrlPr>
              </m:e>
              <m:sub>
                <m:r>
                  <m:rPr/>
                  <w:rPr>
                    <w:rFonts w:ascii="Cambria Math" w:hAnsi="Cambria Math"/>
                    <w:sz w:val="28"/>
                  </w:rPr>
                  <m:t>ts</m:t>
                </m:r>
                <m:ctrlPr>
                  <w:rPr>
                    <w:rFonts w:ascii="Cambria Math" w:hAnsi="Cambria Math"/>
                    <w:sz w:val="28"/>
                  </w:rPr>
                </m:ctrlPr>
              </m:sub>
            </m:sSub>
            <m:ctrlPr>
              <w:rPr>
                <w:rFonts w:ascii="Cambria Math" w:hAnsi="Cambria Math"/>
                <w:sz w:val="28"/>
              </w:rPr>
            </m:ctrlPr>
          </m:num>
          <m:den>
            <m:r>
              <m:rPr>
                <m:sty m:val="p"/>
              </m:rPr>
              <w:rPr>
                <w:rFonts w:ascii="Cambria Math" w:hAnsi="Cambria Math"/>
                <w:sz w:val="28"/>
              </w:rPr>
              <m:t>m</m:t>
            </m:r>
            <m:ctrlPr>
              <w:rPr>
                <w:rFonts w:ascii="Cambria Math" w:hAnsi="Cambria Math"/>
                <w:sz w:val="28"/>
              </w:rPr>
            </m:ctrlPr>
          </m:den>
        </m:f>
        <m:r>
          <m:rPr/>
          <w:rPr>
            <w:rFonts w:ascii="Cambria Math" w:hAnsi="Cambria Math"/>
            <w:sz w:val="28"/>
          </w:rPr>
          <m:t>×100%</m:t>
        </m:r>
      </m:oMath>
      <w:r>
        <w:rPr>
          <w:rFonts w:eastAsia="黑体"/>
          <w:kern w:val="0"/>
          <w:szCs w:val="20"/>
        </w:rPr>
        <w:t>……………</w:t>
      </w:r>
      <w:r>
        <w:rPr>
          <w:kern w:val="0"/>
          <w:szCs w:val="20"/>
        </w:rPr>
        <w:t>（A.5）</w:t>
      </w:r>
    </w:p>
    <w:p>
      <w:pPr>
        <w:widowControl/>
        <w:adjustRightInd w:val="0"/>
        <w:snapToGrid w:val="0"/>
        <w:spacing w:before="156" w:beforeLines="50" w:line="360" w:lineRule="auto"/>
        <w:ind w:firstLine="420" w:firstLineChars="200"/>
        <w:rPr>
          <w:szCs w:val="21"/>
          <w:lang w:val="be-BY"/>
        </w:rPr>
      </w:pPr>
      <w:r>
        <w:rPr>
          <w:szCs w:val="21"/>
        </w:rPr>
        <w:t>式中</w:t>
      </w:r>
      <w:r>
        <w:rPr>
          <w:szCs w:val="21"/>
          <w:lang w:val="be-BY"/>
        </w:rPr>
        <w: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r</w:t>
      </w:r>
      <w:r>
        <w:rPr>
          <w:color w:val="000000"/>
          <w:kern w:val="0"/>
          <w:szCs w:val="21"/>
          <w:vertAlign w:val="subscript"/>
        </w:rPr>
        <w:t>ts</w:t>
      </w:r>
      <w:r>
        <w:rPr>
          <w:color w:val="000000"/>
          <w:kern w:val="0"/>
          <w:szCs w:val="21"/>
        </w:rPr>
        <w:t>—电弧炉兑铁水比例，用质量百分数（%）表示；</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m</w:t>
      </w:r>
      <w:r>
        <w:rPr>
          <w:color w:val="000000"/>
          <w:szCs w:val="21"/>
          <w:vertAlign w:val="subscript"/>
          <w:lang w:val="be-BY"/>
        </w:rPr>
        <w:t>ts</w:t>
      </w:r>
      <w:r>
        <w:rPr>
          <w:color w:val="000000"/>
          <w:kern w:val="0"/>
          <w:szCs w:val="21"/>
        </w:rPr>
        <w:t>—统计期内电炉钢冶炼兑入铁水量，单位为（t）；</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m</w:t>
      </w:r>
      <w:r>
        <w:rPr>
          <w:color w:val="000000"/>
          <w:kern w:val="0"/>
          <w:szCs w:val="21"/>
        </w:rPr>
        <w:t>—钢铁料总量，单位为吨（t）。</w:t>
      </w:r>
    </w:p>
    <w:p>
      <w:pPr>
        <w:widowControl/>
        <w:jc w:val="left"/>
        <w:rPr>
          <w:rFonts w:eastAsia="黑体"/>
        </w:rPr>
      </w:pPr>
      <w:r>
        <w:rPr>
          <w:rFonts w:eastAsia="黑体"/>
        </w:rPr>
        <w:br w:type="page"/>
      </w: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0"/>
        </w:rPr>
        <w:t>附录B</w:t>
      </w:r>
      <w:r>
        <w:rPr>
          <w:rFonts w:eastAsia="黑体"/>
          <w:kern w:val="0"/>
          <w:szCs w:val="20"/>
        </w:rPr>
        <w:br w:type="textWrapping"/>
      </w:r>
      <w:r>
        <w:rPr>
          <w:rFonts w:eastAsia="黑体"/>
          <w:kern w:val="0"/>
          <w:szCs w:val="20"/>
        </w:rPr>
        <w:t>（规范性）</w:t>
      </w:r>
      <w:r>
        <w:rPr>
          <w:rFonts w:eastAsia="黑体"/>
          <w:kern w:val="0"/>
          <w:szCs w:val="20"/>
        </w:rPr>
        <w:br w:type="textWrapping"/>
      </w:r>
      <w:r>
        <w:rPr>
          <w:rFonts w:eastAsia="黑体"/>
          <w:kern w:val="0"/>
          <w:szCs w:val="20"/>
        </w:rPr>
        <w:t>弹簧钢生命周期评价方法框架</w:t>
      </w:r>
    </w:p>
    <w:p>
      <w:pPr>
        <w:widowControl/>
        <w:adjustRightInd w:val="0"/>
        <w:snapToGrid w:val="0"/>
        <w:spacing w:before="156" w:beforeLines="50" w:line="360" w:lineRule="auto"/>
        <w:outlineLvl w:val="2"/>
        <w:rPr>
          <w:rFonts w:eastAsia="黑体"/>
          <w:kern w:val="0"/>
          <w:szCs w:val="20"/>
        </w:rPr>
      </w:pPr>
      <w:r>
        <w:rPr>
          <w:rFonts w:eastAsia="黑体"/>
          <w:kern w:val="0"/>
          <w:szCs w:val="20"/>
        </w:rPr>
        <w:t>B.1 目的</w:t>
      </w:r>
    </w:p>
    <w:p>
      <w:pPr>
        <w:ind w:firstLine="420" w:firstLineChars="200"/>
      </w:pPr>
      <w:r>
        <w:t>弹簧钢原料的获取、生产、运输、销售、使用到最终废弃处理的过程中对环境造成的影响，通过评价弹簧钢全生命周期的环境影响大小，提出弹簧钢绿色设计改进方案，从而大幅提升其生态友好性。</w:t>
      </w:r>
    </w:p>
    <w:p>
      <w:pPr>
        <w:widowControl/>
        <w:adjustRightInd w:val="0"/>
        <w:snapToGrid w:val="0"/>
        <w:spacing w:before="156" w:beforeLines="50" w:line="360" w:lineRule="auto"/>
        <w:outlineLvl w:val="2"/>
        <w:rPr>
          <w:rFonts w:eastAsia="黑体"/>
          <w:kern w:val="0"/>
          <w:szCs w:val="20"/>
        </w:rPr>
      </w:pPr>
      <w:r>
        <w:rPr>
          <w:rFonts w:eastAsia="黑体"/>
          <w:kern w:val="0"/>
          <w:szCs w:val="20"/>
        </w:rPr>
        <w:t>B.2 范围</w:t>
      </w:r>
    </w:p>
    <w:p>
      <w:pPr>
        <w:ind w:firstLine="420" w:firstLineChars="200"/>
      </w:pPr>
      <w:r>
        <w:t>应根据评价目的确定评价范围，确保两者相适应。定义生命周期评价范围时，应考虑以下内容并作出清晰描述：</w:t>
      </w:r>
    </w:p>
    <w:p>
      <w:pPr>
        <w:rPr>
          <w:rFonts w:eastAsia="黑体"/>
        </w:rPr>
      </w:pPr>
      <w:r>
        <w:rPr>
          <w:rFonts w:eastAsia="黑体"/>
        </w:rPr>
        <w:t>B.2.1 功能单位</w:t>
      </w:r>
    </w:p>
    <w:p>
      <w:pPr>
        <w:ind w:firstLine="420" w:firstLineChars="200"/>
      </w:pPr>
      <w:r>
        <w:t>功能单位必须是明确规定并且可测量的。本文件以1吨弹簧钢为功能单位来表示。同时考虑具体功能、使用寿命、是否包括包装材料等。</w:t>
      </w:r>
    </w:p>
    <w:p>
      <w:pPr>
        <w:rPr>
          <w:rFonts w:eastAsia="黑体"/>
        </w:rPr>
      </w:pPr>
      <w:r>
        <w:rPr>
          <w:rFonts w:eastAsia="黑体"/>
        </w:rPr>
        <w:t xml:space="preserve">B.2.2 系统边界 </w:t>
      </w:r>
    </w:p>
    <w:p>
      <w:pPr>
        <w:ind w:firstLine="420" w:firstLineChars="200"/>
      </w:pPr>
      <w:r>
        <w:t>本文件界定的弹簧钢生命周期系统边界，包括三个阶段：原材料获取阶段、生产阶段（高炉-转炉生产工艺和电炉生产工艺）及验收阶段，如图B.1、图B.2所示，具体包括如下过程：</w:t>
      </w:r>
    </w:p>
    <w:p>
      <w:pPr>
        <w:jc w:val="center"/>
        <w:rPr>
          <w:rFonts w:eastAsia="黑体"/>
          <w:sz w:val="18"/>
          <w:szCs w:val="18"/>
        </w:rPr>
      </w:pPr>
      <w:r>
        <w:rPr>
          <w:rFonts w:eastAsia="黑体"/>
          <w:sz w:val="18"/>
          <w:szCs w:val="18"/>
        </w:rPr>
        <w:drawing>
          <wp:inline distT="0" distB="0" distL="0" distR="0">
            <wp:extent cx="6149340" cy="2143125"/>
            <wp:effectExtent l="0" t="0" r="381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68179" cy="2150152"/>
                    </a:xfrm>
                    <a:prstGeom prst="rect">
                      <a:avLst/>
                    </a:prstGeom>
                    <a:noFill/>
                  </pic:spPr>
                </pic:pic>
              </a:graphicData>
            </a:graphic>
          </wp:inline>
        </w:drawing>
      </w:r>
    </w:p>
    <w:p>
      <w:pPr>
        <w:jc w:val="center"/>
        <w:rPr>
          <w:rFonts w:eastAsia="黑体"/>
          <w:sz w:val="18"/>
          <w:szCs w:val="18"/>
        </w:rPr>
      </w:pPr>
      <w:r>
        <w:rPr>
          <w:rFonts w:eastAsia="黑体"/>
          <w:sz w:val="18"/>
          <w:szCs w:val="18"/>
        </w:rPr>
        <w:t>图B.1 弹簧钢生命周期系统边界示意图（高炉-转炉生产工艺）</w:t>
      </w:r>
    </w:p>
    <w:p>
      <w:pPr>
        <w:jc w:val="center"/>
        <w:rPr>
          <w:sz w:val="18"/>
          <w:szCs w:val="18"/>
        </w:rPr>
      </w:pPr>
      <w:r>
        <w:rPr>
          <w:sz w:val="18"/>
          <w:szCs w:val="18"/>
        </w:rPr>
        <w:drawing>
          <wp:inline distT="0" distB="0" distL="0" distR="0">
            <wp:extent cx="4699000" cy="2309495"/>
            <wp:effectExtent l="0" t="0" r="635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39421" cy="2329493"/>
                    </a:xfrm>
                    <a:prstGeom prst="rect">
                      <a:avLst/>
                    </a:prstGeom>
                    <a:noFill/>
                  </pic:spPr>
                </pic:pic>
              </a:graphicData>
            </a:graphic>
          </wp:inline>
        </w:drawing>
      </w:r>
    </w:p>
    <w:p>
      <w:pPr>
        <w:jc w:val="center"/>
        <w:rPr>
          <w:rFonts w:eastAsia="黑体"/>
          <w:sz w:val="18"/>
          <w:szCs w:val="18"/>
        </w:rPr>
      </w:pPr>
      <w:r>
        <w:rPr>
          <w:rFonts w:eastAsia="黑体"/>
          <w:sz w:val="18"/>
          <w:szCs w:val="18"/>
        </w:rPr>
        <w:t>图B.2 弹簧钢生命周期系统边界示意图（电炉生产工艺）</w:t>
      </w:r>
    </w:p>
    <w:p>
      <w:pPr>
        <w:ind w:firstLine="420" w:firstLineChars="200"/>
      </w:pPr>
      <w:r>
        <w:t>生命周期评价研究的时间应在规定的期限内。数据应反映具有代表性的时期（取最近三年内有效值）。如果未能取到三年内有效值，应做具体说明。</w:t>
      </w:r>
    </w:p>
    <w:p>
      <w:pPr>
        <w:ind w:firstLine="420" w:firstLineChars="200"/>
      </w:pPr>
      <w:r>
        <w:t>原材料数据应是在参与产品的生产和使用的地点/地区。</w:t>
      </w:r>
    </w:p>
    <w:p>
      <w:pPr>
        <w:ind w:firstLine="420" w:firstLineChars="200"/>
      </w:pPr>
      <w:r>
        <w:t>生产过程数据应是在最终产品的生产中所涉及的地点/地区。</w:t>
      </w:r>
    </w:p>
    <w:p>
      <w:pPr>
        <w:rPr>
          <w:rFonts w:eastAsia="黑体"/>
        </w:rPr>
      </w:pPr>
      <w:r>
        <w:rPr>
          <w:rFonts w:eastAsia="黑体"/>
        </w:rPr>
        <w:t>B.2.3 数据取舍原则</w:t>
      </w:r>
    </w:p>
    <w:p>
      <w:pPr>
        <w:ind w:firstLine="420" w:firstLineChars="200"/>
      </w:pPr>
      <w:r>
        <w:t>单元过程数据种类很多，应对数据进行适当的取舍，原则如下：</w:t>
      </w:r>
    </w:p>
    <w:p>
      <w:pPr>
        <w:ind w:firstLine="420" w:firstLineChars="200"/>
      </w:pPr>
      <w:r>
        <w:t>——能源的所有输入均列出；</w:t>
      </w:r>
    </w:p>
    <w:p>
      <w:pPr>
        <w:ind w:firstLine="420" w:firstLineChars="200"/>
      </w:pPr>
      <w:r>
        <w:t>——原料的所有输入均列出；</w:t>
      </w:r>
    </w:p>
    <w:p>
      <w:pPr>
        <w:ind w:firstLine="420" w:firstLineChars="200"/>
      </w:pPr>
      <w:r>
        <w:t>——辅助材料质量小于原来总消耗0.1%的项目输入可忽略；</w:t>
      </w:r>
    </w:p>
    <w:p>
      <w:pPr>
        <w:ind w:firstLine="420" w:firstLineChars="200"/>
      </w:pPr>
      <w:r>
        <w:t>——大气、水体的各种排放均列出；</w:t>
      </w:r>
    </w:p>
    <w:p>
      <w:pPr>
        <w:ind w:firstLine="420" w:firstLineChars="200"/>
      </w:pPr>
      <w:r>
        <w:t>——小于固体废弃物排放总量1%的一般性固体废弃物可忽略；</w:t>
      </w:r>
    </w:p>
    <w:p>
      <w:pPr>
        <w:ind w:firstLine="420" w:firstLineChars="200"/>
      </w:pPr>
      <w:r>
        <w:t>——道路与厂房的基础设施、各工序的设备、厂区内人员及生活设施的消耗和排放，均忽略；</w:t>
      </w:r>
    </w:p>
    <w:p>
      <w:pPr>
        <w:ind w:firstLine="420" w:firstLineChars="200"/>
      </w:pPr>
      <w:r>
        <w:t>——取舍原则不适用于有毒有害物质，任何有毒有害的材料和物质均应包含于清单中，不可忽略。</w:t>
      </w:r>
    </w:p>
    <w:p>
      <w:pPr>
        <w:widowControl/>
        <w:adjustRightInd w:val="0"/>
        <w:snapToGrid w:val="0"/>
        <w:spacing w:before="156" w:beforeLines="50" w:line="360" w:lineRule="auto"/>
        <w:outlineLvl w:val="2"/>
        <w:rPr>
          <w:rFonts w:eastAsia="黑体"/>
          <w:kern w:val="0"/>
          <w:szCs w:val="20"/>
        </w:rPr>
      </w:pPr>
      <w:r>
        <w:rPr>
          <w:rFonts w:eastAsia="黑体"/>
          <w:kern w:val="0"/>
          <w:szCs w:val="20"/>
        </w:rPr>
        <w:t>B.3 生命周期清单分析</w:t>
      </w:r>
    </w:p>
    <w:p>
      <w:pPr>
        <w:rPr>
          <w:rFonts w:eastAsia="黑体"/>
        </w:rPr>
      </w:pPr>
      <w:r>
        <w:rPr>
          <w:rFonts w:eastAsia="黑体"/>
        </w:rPr>
        <w:t>B.3.1 总则</w:t>
      </w:r>
    </w:p>
    <w:p>
      <w:pPr>
        <w:ind w:firstLine="420" w:firstLineChars="200"/>
      </w:pPr>
      <w:r>
        <w:t>应编制弹簧钢系统边界内的所有材料/能源输入、输出清单，作为产品生命周期评价的依据。如果数据清单有特殊情况、异常点或其它问题，应在报告中进行明确说明。</w:t>
      </w:r>
    </w:p>
    <w:p>
      <w:pPr>
        <w:ind w:firstLine="420" w:firstLineChars="200"/>
      </w:pPr>
      <w:r>
        <w:t>当数据收集完成后，应对收集的数据进行审定。然后，确定每个单元过程的基本流，并据此计算出单元过程的定量输入和输出。此后，将各个单元过程的输入输出数据除以产品的产量，得到功能单位（即1吨弹簧钢产品）的资源消耗和环境排放。最后，将产品各单元过程中相同影响因素的数据求和，以获取该影响因素的总量，为产品级的影响评价提供必要的数据。</w:t>
      </w:r>
    </w:p>
    <w:p>
      <w:pPr>
        <w:rPr>
          <w:rFonts w:eastAsia="黑体"/>
        </w:rPr>
      </w:pPr>
      <w:r>
        <w:rPr>
          <w:rFonts w:eastAsia="黑体"/>
        </w:rPr>
        <w:t xml:space="preserve">B.3.2 数据收集 </w:t>
      </w:r>
    </w:p>
    <w:p>
      <w:pPr>
        <w:rPr>
          <w:rFonts w:eastAsia="黑体"/>
        </w:rPr>
      </w:pPr>
      <w:r>
        <w:rPr>
          <w:rFonts w:eastAsia="黑体"/>
        </w:rPr>
        <w:t>B.3.2.1 概况</w:t>
      </w:r>
    </w:p>
    <w:p>
      <w:pPr>
        <w:ind w:firstLine="420" w:firstLineChars="200"/>
      </w:pPr>
      <w:r>
        <w:t>应将以下要素纳入数据清单：</w:t>
      </w:r>
    </w:p>
    <w:p>
      <w:pPr>
        <w:ind w:firstLine="420" w:firstLineChars="200"/>
      </w:pPr>
      <w:r>
        <w:t>——原材料采购和预加工；</w:t>
      </w:r>
    </w:p>
    <w:p>
      <w:pPr>
        <w:ind w:firstLine="420" w:firstLineChars="200"/>
      </w:pPr>
      <w:r>
        <w:t>——生产；</w:t>
      </w:r>
    </w:p>
    <w:p>
      <w:pPr>
        <w:ind w:firstLine="420" w:firstLineChars="200"/>
      </w:pPr>
      <w:r>
        <w:t>基于生命周期评价的信息中要使用的数据可分为两类：现场数据和背景数据。主要数据尽量使用现场数据，如果“现场数据”收集缺乏，可以选择“背景数据”。</w:t>
      </w:r>
    </w:p>
    <w:p>
      <w:pPr>
        <w:ind w:firstLine="420" w:firstLineChars="200"/>
      </w:pPr>
      <w:r>
        <w:t>现场数据是在现场具体操作过程中收集来的。主要包括生产过程的能源与水资源消耗、产品原料的使用量等等。</w:t>
      </w:r>
    </w:p>
    <w:p>
      <w:pPr>
        <w:ind w:firstLine="420" w:firstLineChars="200"/>
      </w:pPr>
      <w:r>
        <w:t>背景数据应当包括主要原料的生产数据、电力使用数据（如火力、水、风力发电等）、过程中造成的环境影响以及弹簧钢生产过程的排放数据。</w:t>
      </w:r>
    </w:p>
    <w:p>
      <w:pPr>
        <w:rPr>
          <w:rFonts w:eastAsia="黑体"/>
        </w:rPr>
      </w:pPr>
      <w:r>
        <w:rPr>
          <w:rFonts w:eastAsia="黑体"/>
        </w:rPr>
        <w:t>B.3.2.2 现场数据采集</w:t>
      </w:r>
    </w:p>
    <w:p>
      <w:pPr>
        <w:ind w:firstLine="420" w:firstLineChars="200"/>
      </w:pPr>
      <w: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t>现场数据的质量要求包括：</w:t>
      </w:r>
    </w:p>
    <w:p>
      <w:pPr>
        <w:ind w:firstLine="420" w:firstLineChars="200"/>
      </w:pPr>
      <w:r>
        <w:t>a) 代表性：现场数据应按照企业生产单元收集所确定范围内的生产统计数据。</w:t>
      </w:r>
    </w:p>
    <w:p>
      <w:pPr>
        <w:ind w:firstLine="420" w:firstLineChars="200"/>
      </w:pPr>
      <w:r>
        <w:t>b) 完整性：现场数据应采集完整的生命周期要求数据。</w:t>
      </w:r>
    </w:p>
    <w:p>
      <w:pPr>
        <w:ind w:firstLine="420" w:firstLineChars="200"/>
      </w:pPr>
      <w: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弹簧钢为基准折算，且需要详细记录相关的原始数据、数据来源、计算过程等。</w:t>
      </w:r>
    </w:p>
    <w:p>
      <w:pPr>
        <w:ind w:firstLine="420" w:firstLineChars="200"/>
      </w:pPr>
      <w:r>
        <w:t>d) 一致性：企业现场数据收集时应保持相同的数据来源、统计口径、处理规则等。</w:t>
      </w:r>
    </w:p>
    <w:p>
      <w:pPr>
        <w:ind w:firstLine="420" w:firstLineChars="200"/>
      </w:pPr>
      <w:r>
        <w:t>典型现场数据来源包括：</w:t>
      </w:r>
    </w:p>
    <w:p>
      <w:pPr>
        <w:ind w:firstLine="420" w:firstLineChars="200"/>
      </w:pPr>
      <w:r>
        <w:t>1) 原材料采购和预处理；</w:t>
      </w:r>
    </w:p>
    <w:p>
      <w:pPr>
        <w:ind w:firstLine="420" w:firstLineChars="200"/>
      </w:pPr>
      <w:r>
        <w:t>2) 产品生产过程能源消耗和污染物排放数据；</w:t>
      </w:r>
    </w:p>
    <w:p>
      <w:pPr>
        <w:ind w:firstLine="420" w:firstLineChars="200"/>
      </w:pPr>
      <w:r>
        <w:t>3) 生产统计报表，搜集原材料分配及用量数据；</w:t>
      </w:r>
    </w:p>
    <w:p>
      <w:pPr>
        <w:ind w:firstLine="420" w:firstLineChars="200"/>
      </w:pPr>
      <w:r>
        <w:t>4) 设备仪表的计量数据。</w:t>
      </w:r>
    </w:p>
    <w:p>
      <w:pPr>
        <w:rPr>
          <w:rFonts w:eastAsia="黑体"/>
        </w:rPr>
      </w:pPr>
      <w:r>
        <w:rPr>
          <w:rFonts w:eastAsia="黑体"/>
        </w:rPr>
        <w:t>B.3.2.3 背景数据采集</w:t>
      </w:r>
    </w:p>
    <w:p>
      <w:pPr>
        <w:ind w:firstLine="420" w:firstLineChars="200"/>
      </w:pPr>
      <w: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t>背景数据的质量要求包括：</w:t>
      </w:r>
    </w:p>
    <w:p>
      <w:pPr>
        <w:ind w:firstLine="420" w:firstLineChars="200"/>
      </w:pPr>
      <w: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t>b) 完整性：背景数据的系统边界应该从资源开采到这些原辅材料或能源产品出厂为止。</w:t>
      </w:r>
    </w:p>
    <w:p>
      <w:pPr>
        <w:ind w:firstLine="420" w:firstLineChars="200"/>
      </w:pPr>
      <w: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rPr>
          <w:rFonts w:eastAsia="黑体"/>
        </w:rPr>
      </w:pPr>
      <w:r>
        <w:rPr>
          <w:rFonts w:eastAsia="黑体"/>
        </w:rPr>
        <w:t>B.3.2.4 原材料采购和预加工（从摇篮到大门）</w:t>
      </w:r>
    </w:p>
    <w:p>
      <w:pPr>
        <w:ind w:firstLine="420" w:firstLineChars="200"/>
      </w:pPr>
      <w:r>
        <w:t>该阶段始于从大自然提取资源，结束于弹簧钢产品原料进入产品生产设施，包括:</w:t>
      </w:r>
    </w:p>
    <w:p>
      <w:pPr>
        <w:ind w:firstLine="420" w:firstLineChars="200"/>
      </w:pPr>
      <w:r>
        <w:t>a) 开采和提取；</w:t>
      </w:r>
    </w:p>
    <w:p>
      <w:pPr>
        <w:ind w:firstLine="420" w:firstLineChars="200"/>
      </w:pPr>
      <w:r>
        <w:t>b) 所有材料的预加工，例如铁矿采选与废钢分选等；</w:t>
      </w:r>
    </w:p>
    <w:p>
      <w:pPr>
        <w:ind w:firstLine="420" w:firstLineChars="200"/>
      </w:pPr>
      <w:r>
        <w:t>c) 转换回收的剩余材料；</w:t>
      </w:r>
    </w:p>
    <w:p>
      <w:pPr>
        <w:ind w:firstLine="420" w:firstLineChars="200"/>
      </w:pPr>
      <w:r>
        <w:t>d) 提取或与加工设施内部或与加工设施之间的运输。</w:t>
      </w:r>
    </w:p>
    <w:p>
      <w:pPr>
        <w:rPr>
          <w:rFonts w:eastAsia="黑体"/>
        </w:rPr>
      </w:pPr>
      <w:r>
        <w:rPr>
          <w:rFonts w:eastAsia="黑体"/>
        </w:rPr>
        <w:t>B.3.2.5 生产阶段</w:t>
      </w:r>
    </w:p>
    <w:p>
      <w:pPr>
        <w:ind w:firstLine="420" w:firstLineChars="200"/>
      </w:pPr>
      <w:r>
        <w:t>该阶段始于弹簧钢产品原料进入生产设施，结束于产品离开生产设施。生产活动包括化学处理、制造、制造过程中半成品的运输、产品包装等。此过程涵盖高炉-转炉生产工艺和电炉生产工艺中的情形。</w:t>
      </w:r>
    </w:p>
    <w:p>
      <w:pPr>
        <w:rPr>
          <w:rFonts w:eastAsia="黑体"/>
        </w:rPr>
      </w:pPr>
      <w:r>
        <w:rPr>
          <w:rFonts w:eastAsia="黑体"/>
        </w:rPr>
        <w:t>B.3.3 数据计算</w:t>
      </w:r>
    </w:p>
    <w:p>
      <w:pPr>
        <w:ind w:firstLine="420" w:firstLineChars="200"/>
      </w:pPr>
      <w:r>
        <w:t>数据收集后，应对所收集数据的有效性进行检查，确保数据符合质量要求。将收集的数据与单元过程进行关联，同时与功能单位的基本流进行关联。</w:t>
      </w:r>
    </w:p>
    <w:p>
      <w:pPr>
        <w:ind w:firstLine="420" w:firstLineChars="200"/>
      </w:pPr>
      <w:r>
        <w:t>合并来自相同数据类型、相同物质、不同单元过程的数据，以得到整个产品系统的能源消耗、原材料消耗以及空气排放、水体排放数据。</w:t>
      </w:r>
    </w:p>
    <w:p>
      <w:pPr>
        <w:rPr>
          <w:rFonts w:eastAsia="黑体"/>
        </w:rPr>
      </w:pPr>
      <w:r>
        <w:rPr>
          <w:rFonts w:eastAsia="黑体"/>
        </w:rPr>
        <w:t>B.3.4 数据分配</w:t>
      </w:r>
    </w:p>
    <w:p>
      <w:pPr>
        <w:ind w:firstLine="420" w:firstLineChars="200"/>
      </w:pPr>
      <w:r>
        <w:t>在进行弹簧钢生命周期评价的过程中涉及到数据分配问题，特别是弹簧钢的生产环节。对于弹簧钢生产而言，由于厂家往往同时生产多种类型的产品，一条工艺线上或一个车间里可能会同时生产多种型号弹簧钢。很难就某单个型号的产品生产来收集清单数据，往往会就某个车间、某条流水线或某个工艺来收集数据，然后再分配到具体的产品上。针对弹簧钢生产阶段，因生产的产品主要成分比较一致，因此本文件选取“重量分配”作为分摊的比例，即重量越大的产品，其分摊额度就越大。</w:t>
      </w:r>
    </w:p>
    <w:p>
      <w:pPr>
        <w:rPr>
          <w:rFonts w:eastAsia="黑体"/>
        </w:rPr>
      </w:pPr>
      <w:r>
        <w:rPr>
          <w:rFonts w:eastAsia="黑体"/>
        </w:rPr>
        <w:t>B.3.5 数据质量要求</w:t>
      </w:r>
    </w:p>
    <w:p>
      <w:pPr>
        <w:ind w:firstLine="420" w:firstLineChars="200"/>
      </w:pPr>
      <w:r>
        <w:t>数据质量应遵循以下原则和要求：</w:t>
      </w:r>
    </w:p>
    <w:p>
      <w:pPr>
        <w:ind w:firstLine="420" w:firstLineChars="200"/>
      </w:pPr>
      <w:r>
        <w:t>a）完整性：充足的样本、合适的期间；</w:t>
      </w:r>
    </w:p>
    <w:p>
      <w:pPr>
        <w:ind w:firstLine="420" w:firstLineChars="200"/>
      </w:pPr>
      <w:r>
        <w:t>b）可信度：数据根据测量、校验得到；</w:t>
      </w:r>
    </w:p>
    <w:p>
      <w:pPr>
        <w:ind w:firstLine="420" w:firstLineChars="200"/>
      </w:pPr>
      <w:r>
        <w:t>c）时间相关：与评价目标时间差别小于3年；</w:t>
      </w:r>
    </w:p>
    <w:p>
      <w:pPr>
        <w:ind w:firstLine="420" w:firstLineChars="200"/>
      </w:pPr>
      <w:r>
        <w:t>d）地理相关：来自研究区域的数据；</w:t>
      </w:r>
    </w:p>
    <w:p>
      <w:pPr>
        <w:ind w:firstLine="420" w:firstLineChars="200"/>
      </w:pPr>
      <w:r>
        <w:t>e）技术相关：从研究的企业工艺过程和材料得到数据。</w:t>
      </w:r>
    </w:p>
    <w:p>
      <w:pPr>
        <w:widowControl/>
        <w:adjustRightInd w:val="0"/>
        <w:snapToGrid w:val="0"/>
        <w:spacing w:before="156" w:beforeLines="50" w:line="360" w:lineRule="auto"/>
        <w:outlineLvl w:val="2"/>
        <w:rPr>
          <w:rFonts w:eastAsia="黑体"/>
          <w:kern w:val="0"/>
          <w:szCs w:val="20"/>
        </w:rPr>
      </w:pPr>
      <w:r>
        <w:rPr>
          <w:rFonts w:eastAsia="黑体"/>
          <w:kern w:val="0"/>
          <w:szCs w:val="20"/>
        </w:rPr>
        <w:t>B.4 生命周期影响评价</w:t>
      </w:r>
    </w:p>
    <w:p>
      <w:pPr>
        <w:rPr>
          <w:rFonts w:eastAsia="黑体"/>
        </w:rPr>
      </w:pPr>
      <w:r>
        <w:rPr>
          <w:rFonts w:eastAsia="黑体"/>
        </w:rPr>
        <w:t>B.4.1 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rPr>
        <w:t>参照附录中表C.1~表</w:t>
      </w:r>
      <w:r>
        <w:rPr>
          <w:kern w:val="0"/>
          <w:szCs w:val="21"/>
        </w:rPr>
        <w:t>C.6</w:t>
      </w:r>
      <w:r>
        <w:rPr>
          <w:color w:val="000000"/>
          <w:kern w:val="0"/>
          <w:szCs w:val="21"/>
        </w:rPr>
        <w:t>对应需要的数据进行填报：</w:t>
      </w:r>
    </w:p>
    <w:p>
      <w:pPr>
        <w:ind w:firstLine="420" w:firstLineChars="200"/>
      </w:pPr>
      <w: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t>b) 从实际调研过程中无法获得的数据，即背景数据，采用相关数据库进行替代，在这一步骤中所涉及到的单元过程包括弹簧钢行业相关原材料生产、能源消耗以及产品的制造加工等。</w:t>
      </w:r>
    </w:p>
    <w:p>
      <w:pPr>
        <w:rPr>
          <w:rFonts w:eastAsia="黑体"/>
        </w:rPr>
      </w:pPr>
      <w:r>
        <w:rPr>
          <w:rFonts w:eastAsia="黑体"/>
        </w:rPr>
        <w:t>B.4.2 清单分析</w:t>
      </w:r>
    </w:p>
    <w:p>
      <w:pPr>
        <w:ind w:firstLine="420" w:firstLineChars="200"/>
      </w:pPr>
      <w:r>
        <w:t>所收集的数据进行核实后，利用生命周期评估工具进行数据的分析处理，用以建立生命周期评价科学完整的计算程序。企业可根据实际情况选择评估工具。通过建立各个过程单元模块，输入各过程单元的数据，可得到全部输入与输出物质和排放清单，选择表B.1各个清单因子的量[以千克(kg)为单位]，为分类评价做准备。</w:t>
      </w:r>
    </w:p>
    <w:p>
      <w:pPr>
        <w:widowControl/>
        <w:adjustRightInd w:val="0"/>
        <w:snapToGrid w:val="0"/>
        <w:spacing w:before="156" w:beforeLines="50" w:line="360" w:lineRule="auto"/>
        <w:outlineLvl w:val="2"/>
        <w:rPr>
          <w:rFonts w:eastAsia="黑体"/>
          <w:kern w:val="0"/>
          <w:szCs w:val="20"/>
        </w:rPr>
      </w:pPr>
      <w:r>
        <w:rPr>
          <w:rFonts w:eastAsia="黑体"/>
          <w:kern w:val="0"/>
          <w:szCs w:val="20"/>
        </w:rPr>
        <w:t>B.5 影响评价</w:t>
      </w:r>
    </w:p>
    <w:p>
      <w:pPr>
        <w:rPr>
          <w:rFonts w:eastAsia="黑体"/>
        </w:rPr>
      </w:pPr>
      <w:r>
        <w:rPr>
          <w:rFonts w:eastAsia="黑体"/>
        </w:rPr>
        <w:t>B.5.1 影响类型</w:t>
      </w:r>
    </w:p>
    <w:p>
      <w:pPr>
        <w:ind w:firstLine="420" w:firstLineChars="200"/>
      </w:pPr>
      <w:r>
        <w:t>影响类型分为人体健康危害、生态环境影响和资源能源消耗3类。弹簧钢的影响类型采用化石能源消耗、气候变化、富营养化和人体健康危害4个指标。</w:t>
      </w:r>
    </w:p>
    <w:p>
      <w:pPr>
        <w:rPr>
          <w:rFonts w:eastAsia="黑体"/>
        </w:rPr>
      </w:pPr>
      <w:r>
        <w:rPr>
          <w:rFonts w:eastAsia="黑体"/>
        </w:rPr>
        <w:t>B.5.2 清单因子归类</w:t>
      </w:r>
    </w:p>
    <w:p>
      <w:pPr>
        <w:ind w:firstLine="420" w:firstLineChars="200"/>
      </w:pPr>
      <w:r>
        <w:t>根据清单因子的物理化学性质将对某影响类型有贡献的因子归到一起，见表B.1。例如，将对气候变化有贡献的二氧化碳、甲烷、氧化亚氮等清单因子归到气候变化影响类型里面。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表B.1弹簧钢产品生命周期清单因子归类</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影响类型</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化石能源消耗</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气候变化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二氧化碳（CO</w:t>
            </w:r>
            <w:r>
              <w:rPr>
                <w:color w:val="000000"/>
                <w:kern w:val="0"/>
                <w:sz w:val="12"/>
                <w:szCs w:val="12"/>
              </w:rPr>
              <w:t>2</w:t>
            </w:r>
            <w:r>
              <w:rPr>
                <w:color w:val="000000"/>
                <w:kern w:val="0"/>
                <w:sz w:val="18"/>
                <w:szCs w:val="18"/>
              </w:rPr>
              <w:t>）、甲烷（CH</w:t>
            </w:r>
            <w:r>
              <w:rPr>
                <w:color w:val="000000"/>
                <w:kern w:val="0"/>
                <w:sz w:val="18"/>
                <w:szCs w:val="18"/>
                <w:vertAlign w:val="subscript"/>
              </w:rPr>
              <w:t>4</w:t>
            </w:r>
            <w:r>
              <w:rPr>
                <w:color w:val="000000"/>
                <w:kern w:val="0"/>
                <w:sz w:val="18"/>
                <w:szCs w:val="18"/>
              </w:rPr>
              <w:t>）、氧化亚氮（N</w:t>
            </w:r>
            <w:r>
              <w:rPr>
                <w:color w:val="000000"/>
                <w:kern w:val="0"/>
                <w:sz w:val="18"/>
                <w:szCs w:val="18"/>
                <w:vertAlign w:val="subscript"/>
              </w:rPr>
              <w:t>2</w:t>
            </w:r>
            <w:r>
              <w:rPr>
                <w:color w:val="000000"/>
                <w:kern w:val="0"/>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氨氮、化学需氧量（COD）等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二氧化硫（SO</w:t>
            </w:r>
            <w:r>
              <w:rPr>
                <w:color w:val="000000"/>
                <w:kern w:val="0"/>
                <w:sz w:val="12"/>
                <w:szCs w:val="12"/>
              </w:rPr>
              <w:t>2</w:t>
            </w:r>
            <w:r>
              <w:rPr>
                <w:color w:val="000000"/>
                <w:kern w:val="0"/>
                <w:sz w:val="18"/>
                <w:szCs w:val="18"/>
              </w:rPr>
              <w:t>）、氮氧化物（NOx）等</w:t>
            </w:r>
          </w:p>
        </w:tc>
      </w:tr>
    </w:tbl>
    <w:p/>
    <w:p/>
    <w:p>
      <w:pPr>
        <w:rPr>
          <w:rFonts w:eastAsia="黑体"/>
        </w:rPr>
      </w:pPr>
      <w:r>
        <w:rPr>
          <w:rFonts w:eastAsia="黑体"/>
        </w:rPr>
        <w:t>B.5.3 分类评价</w:t>
      </w:r>
    </w:p>
    <w:p>
      <w:pPr>
        <w:ind w:firstLine="420" w:firstLineChars="200"/>
      </w:pPr>
      <w:r>
        <w:t>计算出不同影响类型的特征化模型。分类评价的结果采用表B.2中的当量物质表示。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表B.2弹簧钢产品生命周期影响评价</w:t>
      </w:r>
    </w:p>
    <w:tbl>
      <w:tblPr>
        <w:tblStyle w:val="34"/>
        <w:tblW w:w="41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2"/>
        <w:gridCol w:w="1719"/>
        <w:gridCol w:w="1307"/>
        <w:gridCol w:w="1445"/>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blHeader/>
          <w:jc w:val="center"/>
        </w:trPr>
        <w:tc>
          <w:tcPr>
            <w:tcW w:w="1248" w:type="pct"/>
            <w:vAlign w:val="center"/>
          </w:tcPr>
          <w:p>
            <w:pPr>
              <w:autoSpaceDE w:val="0"/>
              <w:autoSpaceDN w:val="0"/>
              <w:adjustRightInd w:val="0"/>
              <w:snapToGrid w:val="0"/>
              <w:jc w:val="center"/>
              <w:rPr>
                <w:color w:val="000000"/>
                <w:kern w:val="0"/>
                <w:sz w:val="18"/>
                <w:szCs w:val="18"/>
              </w:rPr>
            </w:pPr>
            <w:r>
              <w:rPr>
                <w:color w:val="000000"/>
                <w:kern w:val="0"/>
                <w:sz w:val="18"/>
                <w:szCs w:val="18"/>
              </w:rPr>
              <w:t>环境类别</w:t>
            </w:r>
          </w:p>
        </w:tc>
        <w:tc>
          <w:tcPr>
            <w:tcW w:w="1077" w:type="pct"/>
            <w:vAlign w:val="center"/>
          </w:tcPr>
          <w:p>
            <w:pPr>
              <w:adjustRightInd w:val="0"/>
              <w:snapToGrid w:val="0"/>
              <w:jc w:val="center"/>
              <w:rPr>
                <w:sz w:val="18"/>
              </w:rPr>
            </w:pPr>
            <w:r>
              <w:rPr>
                <w:sz w:val="18"/>
              </w:rPr>
              <w:t>单位</w:t>
            </w:r>
          </w:p>
        </w:tc>
        <w:tc>
          <w:tcPr>
            <w:tcW w:w="819" w:type="pct"/>
            <w:vAlign w:val="center"/>
          </w:tcPr>
          <w:p>
            <w:pPr>
              <w:adjustRightInd w:val="0"/>
              <w:snapToGrid w:val="0"/>
              <w:jc w:val="center"/>
              <w:rPr>
                <w:sz w:val="18"/>
              </w:rPr>
            </w:pPr>
            <w:r>
              <w:rPr>
                <w:sz w:val="18"/>
              </w:rPr>
              <w:t>指标参数</w:t>
            </w:r>
          </w:p>
        </w:tc>
        <w:tc>
          <w:tcPr>
            <w:tcW w:w="905" w:type="pct"/>
            <w:vAlign w:val="center"/>
          </w:tcPr>
          <w:p>
            <w:pPr>
              <w:adjustRightInd w:val="0"/>
              <w:snapToGrid w:val="0"/>
              <w:jc w:val="center"/>
              <w:rPr>
                <w:sz w:val="18"/>
              </w:rPr>
            </w:pPr>
            <w:r>
              <w:rPr>
                <w:sz w:val="18"/>
              </w:rPr>
              <w:t>特征化因子</w:t>
            </w:r>
          </w:p>
        </w:tc>
        <w:tc>
          <w:tcPr>
            <w:tcW w:w="951" w:type="pct"/>
            <w:vAlign w:val="center"/>
          </w:tcPr>
          <w:p>
            <w:pPr>
              <w:adjustRightInd w:val="0"/>
              <w:snapToGrid w:val="0"/>
              <w:jc w:val="center"/>
              <w:rPr>
                <w:sz w:val="18"/>
              </w:rPr>
            </w:pPr>
            <w:r>
              <w:rPr>
                <w:sz w:val="18"/>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全球变暖</w:t>
            </w:r>
          </w:p>
        </w:tc>
        <w:tc>
          <w:tcPr>
            <w:tcW w:w="1077" w:type="pct"/>
            <w:vMerge w:val="restart"/>
            <w:vAlign w:val="center"/>
          </w:tcPr>
          <w:p>
            <w:pPr>
              <w:adjustRightInd w:val="0"/>
              <w:snapToGrid w:val="0"/>
              <w:jc w:val="center"/>
              <w:rPr>
                <w:sz w:val="18"/>
              </w:rPr>
            </w:pPr>
            <w:r>
              <w:rPr>
                <w:sz w:val="18"/>
              </w:rPr>
              <w:t>kg CO</w:t>
            </w:r>
            <w:r>
              <w:rPr>
                <w:sz w:val="18"/>
                <w:vertAlign w:val="subscript"/>
              </w:rPr>
              <w:t xml:space="preserve">2 </w:t>
            </w:r>
            <w:r>
              <w:rPr>
                <w:sz w:val="18"/>
              </w:rPr>
              <w:t>eq.</w:t>
            </w:r>
          </w:p>
        </w:tc>
        <w:tc>
          <w:tcPr>
            <w:tcW w:w="819" w:type="pct"/>
            <w:vAlign w:val="center"/>
          </w:tcPr>
          <w:p>
            <w:pPr>
              <w:autoSpaceDE w:val="0"/>
              <w:autoSpaceDN w:val="0"/>
              <w:adjustRightInd w:val="0"/>
              <w:snapToGrid w:val="0"/>
              <w:jc w:val="center"/>
              <w:rPr>
                <w:color w:val="000000"/>
                <w:kern w:val="0"/>
                <w:sz w:val="12"/>
                <w:szCs w:val="12"/>
              </w:rPr>
            </w:pPr>
            <w:r>
              <w:rPr>
                <w:color w:val="000000"/>
                <w:kern w:val="0"/>
                <w:sz w:val="18"/>
                <w:szCs w:val="18"/>
              </w:rPr>
              <w:t>CO</w:t>
            </w:r>
            <w:r>
              <w:rPr>
                <w:color w:val="000000"/>
                <w:kern w:val="0"/>
                <w:sz w:val="12"/>
                <w:szCs w:val="12"/>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w:t>
            </w:r>
          </w:p>
        </w:tc>
        <w:tc>
          <w:tcPr>
            <w:tcW w:w="951" w:type="pct"/>
            <w:vMerge w:val="restart"/>
            <w:vAlign w:val="center"/>
          </w:tcPr>
          <w:p>
            <w:pPr>
              <w:autoSpaceDE w:val="0"/>
              <w:autoSpaceDN w:val="0"/>
              <w:adjustRightInd w:val="0"/>
              <w:snapToGrid w:val="0"/>
              <w:jc w:val="center"/>
              <w:rPr>
                <w:sz w:val="18"/>
              </w:rPr>
            </w:pPr>
            <w:r>
              <w:rPr>
                <w:sz w:val="18"/>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CH</w:t>
            </w:r>
            <w:r>
              <w:rPr>
                <w:color w:val="000000"/>
                <w:kern w:val="0"/>
                <w:sz w:val="18"/>
                <w:szCs w:val="18"/>
                <w:vertAlign w:val="subscript"/>
              </w:rPr>
              <w:t>4</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25</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w:t>
            </w:r>
            <w:r>
              <w:rPr>
                <w:color w:val="000000"/>
                <w:kern w:val="0"/>
                <w:sz w:val="18"/>
                <w:szCs w:val="18"/>
                <w:vertAlign w:val="subscript"/>
              </w:rPr>
              <w:t>2</w:t>
            </w:r>
            <w:r>
              <w:rPr>
                <w:color w:val="000000"/>
                <w:kern w:val="0"/>
                <w:sz w:val="18"/>
                <w:szCs w:val="18"/>
              </w:rPr>
              <w:t>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298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1077" w:type="pct"/>
            <w:vMerge w:val="restart"/>
            <w:vAlign w:val="center"/>
          </w:tcPr>
          <w:p>
            <w:pPr>
              <w:adjustRightInd w:val="0"/>
              <w:snapToGrid w:val="0"/>
              <w:jc w:val="center"/>
              <w:rPr>
                <w:sz w:val="18"/>
              </w:rPr>
            </w:pPr>
            <w:r>
              <w:rPr>
                <w:sz w:val="18"/>
              </w:rPr>
              <w:t>kg PO</w:t>
            </w:r>
            <w:r>
              <w:rPr>
                <w:sz w:val="18"/>
                <w:vertAlign w:val="subscript"/>
              </w:rPr>
              <w:t>4</w:t>
            </w:r>
            <w:r>
              <w:rPr>
                <w:sz w:val="18"/>
                <w:vertAlign w:val="superscript"/>
              </w:rPr>
              <w:t xml:space="preserve">3- </w:t>
            </w:r>
            <w:r>
              <w:rPr>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0.20</w:t>
            </w:r>
          </w:p>
        </w:tc>
        <w:tc>
          <w:tcPr>
            <w:tcW w:w="951"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0.42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0.022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1077" w:type="pct"/>
            <w:vMerge w:val="restart"/>
            <w:vAlign w:val="center"/>
          </w:tcPr>
          <w:p>
            <w:pPr>
              <w:autoSpaceDE w:val="0"/>
              <w:autoSpaceDN w:val="0"/>
              <w:adjustRightInd w:val="0"/>
              <w:snapToGrid w:val="0"/>
              <w:jc w:val="center"/>
              <w:rPr>
                <w:color w:val="000000"/>
                <w:kern w:val="0"/>
                <w:sz w:val="18"/>
                <w:szCs w:val="18"/>
              </w:rPr>
            </w:pPr>
            <w:r>
              <w:rPr>
                <w:sz w:val="18"/>
              </w:rPr>
              <w:t xml:space="preserve">kg </w:t>
            </w:r>
            <w:r>
              <w:rPr>
                <w:color w:val="000000"/>
                <w:kern w:val="0"/>
                <w:sz w:val="18"/>
              </w:rPr>
              <w:t>SO</w:t>
            </w:r>
            <w:r>
              <w:rPr>
                <w:color w:val="000000"/>
                <w:kern w:val="0"/>
                <w:sz w:val="18"/>
                <w:vertAlign w:val="subscript"/>
              </w:rPr>
              <w:t xml:space="preserve">2 </w:t>
            </w:r>
            <w:r>
              <w:rPr>
                <w:color w:val="000000"/>
                <w:kern w:val="0"/>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1.07</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HCl</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HF</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1.60</w:t>
            </w:r>
          </w:p>
        </w:tc>
        <w:tc>
          <w:tcPr>
            <w:tcW w:w="951" w:type="pct"/>
            <w:vMerge w:val="continue"/>
            <w:vAlign w:val="center"/>
          </w:tcPr>
          <w:p>
            <w:pPr>
              <w:autoSpaceDE w:val="0"/>
              <w:autoSpaceDN w:val="0"/>
              <w:adjustRightInd w:val="0"/>
              <w:snapToGrid w:val="0"/>
              <w:jc w:val="center"/>
              <w:rPr>
                <w:color w:val="000000"/>
                <w:kern w:val="0"/>
                <w:sz w:val="18"/>
                <w:szCs w:val="18"/>
              </w:rPr>
            </w:pPr>
          </w:p>
        </w:tc>
      </w:tr>
    </w:tbl>
    <w:p>
      <w:pPr>
        <w:rPr>
          <w:rFonts w:eastAsia="黑体"/>
        </w:rPr>
      </w:pPr>
    </w:p>
    <w:p>
      <w:pPr>
        <w:rPr>
          <w:rFonts w:eastAsia="黑体"/>
        </w:rPr>
      </w:pPr>
      <w:r>
        <w:rPr>
          <w:rFonts w:eastAsia="黑体"/>
        </w:rPr>
        <w:t>B.5.4 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rPr>
        <w:t>影响评价结果计算方法见公式（B.1）：</w:t>
      </w:r>
    </w:p>
    <w:p>
      <w:pPr>
        <w:autoSpaceDE w:val="0"/>
        <w:autoSpaceDN w:val="0"/>
        <w:adjustRightInd w:val="0"/>
        <w:spacing w:before="156" w:after="156"/>
        <w:ind w:firstLine="420" w:firstLineChars="200"/>
        <w:jc w:val="center"/>
        <w:rPr>
          <w:color w:val="000000"/>
          <w:kern w:val="0"/>
          <w:szCs w:val="21"/>
        </w:rPr>
      </w:pPr>
      <w:r>
        <w:rPr>
          <w:color w:val="000000"/>
          <w:kern w:val="0"/>
          <w:szCs w:val="21"/>
        </w:rPr>
        <w:t>EP</w:t>
      </w:r>
      <w:r>
        <w:rPr>
          <w:color w:val="000000"/>
          <w:kern w:val="0"/>
          <w:szCs w:val="21"/>
          <w:vertAlign w:val="subscript"/>
        </w:rPr>
        <w:t>i</w:t>
      </w:r>
      <w:r>
        <w:rPr>
          <w:color w:val="000000"/>
          <w:kern w:val="0"/>
          <w:szCs w:val="21"/>
        </w:rPr>
        <w:t xml:space="preserve"> =ΣEP</w:t>
      </w:r>
      <w:r>
        <w:rPr>
          <w:color w:val="000000"/>
          <w:kern w:val="0"/>
          <w:szCs w:val="21"/>
          <w:vertAlign w:val="subscript"/>
        </w:rPr>
        <w:t>ij</w:t>
      </w:r>
      <w:r>
        <w:rPr>
          <w:color w:val="000000"/>
          <w:kern w:val="0"/>
          <w:szCs w:val="21"/>
        </w:rPr>
        <w:t>=ΣQ</w:t>
      </w:r>
      <w:r>
        <w:rPr>
          <w:color w:val="000000"/>
          <w:kern w:val="0"/>
          <w:szCs w:val="21"/>
          <w:vertAlign w:val="subscript"/>
        </w:rPr>
        <w:t>j</w:t>
      </w:r>
      <w:r>
        <w:rPr>
          <w:color w:val="000000"/>
          <w:kern w:val="0"/>
          <w:szCs w:val="21"/>
        </w:rPr>
        <w:t>×EF</w:t>
      </w:r>
      <w:r>
        <w:rPr>
          <w:color w:val="000000"/>
          <w:kern w:val="0"/>
          <w:szCs w:val="21"/>
          <w:vertAlign w:val="subscript"/>
        </w:rPr>
        <w:t>ij</w:t>
      </w:r>
      <w:r>
        <w:rPr>
          <w:color w:val="000000"/>
          <w:kern w:val="0"/>
          <w:szCs w:val="21"/>
        </w:rPr>
        <w:t>……… (B.1)</w:t>
      </w:r>
    </w:p>
    <w:p>
      <w:r>
        <w:t>式中:</w:t>
      </w:r>
    </w:p>
    <w:p>
      <w:pPr>
        <w:ind w:firstLine="420" w:firstLineChars="200"/>
      </w:pPr>
      <w:r>
        <w:rPr>
          <w:i/>
        </w:rPr>
        <w:t>EP</w:t>
      </w:r>
      <w:r>
        <w:rPr>
          <w:i/>
          <w:vertAlign w:val="subscript"/>
        </w:rPr>
        <w:t>i</w:t>
      </w:r>
      <w:r>
        <w:t>——第i种影响类型特征化值；</w:t>
      </w:r>
    </w:p>
    <w:p>
      <w:pPr>
        <w:ind w:firstLine="420" w:firstLineChars="200"/>
      </w:pPr>
      <w:r>
        <w:rPr>
          <w:i/>
        </w:rPr>
        <w:t>EP</w:t>
      </w:r>
      <w:r>
        <w:rPr>
          <w:i/>
          <w:vertAlign w:val="subscript"/>
        </w:rPr>
        <w:t>ij</w:t>
      </w:r>
      <w:r>
        <w:t>——第i种影响类型中第j种清单因子的贡献；</w:t>
      </w:r>
    </w:p>
    <w:p>
      <w:pPr>
        <w:ind w:firstLine="420" w:firstLineChars="200"/>
      </w:pPr>
      <w:r>
        <w:rPr>
          <w:i/>
        </w:rPr>
        <w:t>Q</w:t>
      </w:r>
      <w:r>
        <w:rPr>
          <w:i/>
          <w:vertAlign w:val="subscript"/>
        </w:rPr>
        <w:t>j</w:t>
      </w:r>
      <w:r>
        <w:t>——第j种清单因子的排放量；</w:t>
      </w:r>
    </w:p>
    <w:p>
      <w:pPr>
        <w:ind w:firstLine="420" w:firstLineChars="200"/>
      </w:pPr>
      <w:r>
        <w:rPr>
          <w:i/>
        </w:rPr>
        <w:t>EF</w:t>
      </w:r>
      <w:r>
        <w:rPr>
          <w:i/>
          <w:vertAlign w:val="subscript"/>
        </w:rPr>
        <w:t>ij</w:t>
      </w:r>
      <w:r>
        <w:t>——第i种影响类型中第j种清单因子的特征化因子。</w:t>
      </w:r>
    </w:p>
    <w:p>
      <w:pPr>
        <w:widowControl/>
        <w:jc w:val="left"/>
      </w:pPr>
      <w:r>
        <w:br w:type="page"/>
      </w:r>
    </w:p>
    <w:p>
      <w:pPr>
        <w:keepNext/>
        <w:widowControl/>
        <w:shd w:val="clear" w:color="FFFFFF" w:fill="FFFFFF"/>
        <w:tabs>
          <w:tab w:val="left" w:pos="360"/>
          <w:tab w:val="left" w:pos="6405"/>
        </w:tabs>
        <w:spacing w:before="640" w:after="280"/>
        <w:jc w:val="center"/>
        <w:outlineLvl w:val="0"/>
        <w:rPr>
          <w:rFonts w:eastAsia="黑体"/>
          <w:kern w:val="0"/>
          <w:szCs w:val="20"/>
        </w:rPr>
      </w:pPr>
      <w:bookmarkStart w:id="21" w:name="_Toc503728496"/>
      <w:r>
        <w:rPr>
          <w:rFonts w:eastAsia="黑体"/>
          <w:kern w:val="0"/>
          <w:szCs w:val="20"/>
        </w:rPr>
        <w:t>附录C</w:t>
      </w:r>
      <w:r>
        <w:rPr>
          <w:rFonts w:eastAsia="黑体"/>
          <w:kern w:val="0"/>
          <w:szCs w:val="20"/>
        </w:rPr>
        <w:br w:type="textWrapping"/>
      </w:r>
      <w:r>
        <w:rPr>
          <w:rFonts w:eastAsia="黑体"/>
          <w:kern w:val="0"/>
          <w:szCs w:val="20"/>
        </w:rPr>
        <w:t>（资料性）</w:t>
      </w:r>
      <w:r>
        <w:rPr>
          <w:rFonts w:eastAsia="黑体"/>
          <w:kern w:val="0"/>
          <w:szCs w:val="20"/>
        </w:rPr>
        <w:br w:type="textWrapping"/>
      </w:r>
      <w:r>
        <w:rPr>
          <w:rFonts w:eastAsia="黑体"/>
          <w:kern w:val="0"/>
          <w:szCs w:val="20"/>
        </w:rPr>
        <w:t>数据收集表格</w:t>
      </w:r>
      <w:bookmarkEnd w:id="21"/>
    </w:p>
    <w:p>
      <w:pPr>
        <w:widowControl/>
        <w:adjustRightInd w:val="0"/>
        <w:snapToGrid w:val="0"/>
        <w:spacing w:before="156" w:beforeLines="50" w:line="360" w:lineRule="auto"/>
        <w:outlineLvl w:val="2"/>
        <w:rPr>
          <w:rFonts w:eastAsia="黑体"/>
          <w:kern w:val="0"/>
          <w:szCs w:val="20"/>
        </w:rPr>
      </w:pPr>
      <w:r>
        <w:rPr>
          <w:rFonts w:eastAsia="黑体"/>
          <w:kern w:val="0"/>
          <w:szCs w:val="20"/>
        </w:rPr>
        <w:t>C.1</w:t>
      </w:r>
      <w:r>
        <w:rPr>
          <w:kern w:val="0"/>
          <w:szCs w:val="20"/>
        </w:rPr>
        <w:t xml:space="preserve"> 参照表C.1-C.6收集原材料、重点工序能耗、新水耗量与污染物排放等数据。</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表C.1 原材料成分、用量及运输清单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94"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成分</w:t>
            </w:r>
          </w:p>
        </w:tc>
        <w:tc>
          <w:tcPr>
            <w:tcW w:w="1360" w:type="dxa"/>
            <w:vAlign w:val="center"/>
          </w:tcPr>
          <w:p>
            <w:pPr>
              <w:autoSpaceDE w:val="0"/>
              <w:autoSpaceDN w:val="0"/>
              <w:adjustRightInd w:val="0"/>
              <w:snapToGrid w:val="0"/>
              <w:jc w:val="center"/>
              <w:rPr>
                <w:color w:val="000000"/>
                <w:kern w:val="0"/>
                <w:sz w:val="18"/>
                <w:szCs w:val="18"/>
              </w:rPr>
            </w:pPr>
            <w:r>
              <w:rPr>
                <w:color w:val="000000"/>
                <w:kern w:val="0"/>
                <w:sz w:val="18"/>
                <w:szCs w:val="18"/>
              </w:rPr>
              <w:t>有效组分含量（%）</w:t>
            </w:r>
          </w:p>
        </w:tc>
        <w:tc>
          <w:tcPr>
            <w:tcW w:w="864" w:type="dxa"/>
            <w:vAlign w:val="center"/>
          </w:tcPr>
          <w:p>
            <w:pPr>
              <w:autoSpaceDE w:val="0"/>
              <w:autoSpaceDN w:val="0"/>
              <w:adjustRightInd w:val="0"/>
              <w:snapToGrid w:val="0"/>
              <w:jc w:val="center"/>
              <w:rPr>
                <w:color w:val="000000"/>
                <w:kern w:val="0"/>
                <w:sz w:val="18"/>
                <w:szCs w:val="18"/>
              </w:rPr>
            </w:pPr>
            <w:r>
              <w:rPr>
                <w:color w:val="000000"/>
                <w:kern w:val="0"/>
                <w:sz w:val="18"/>
                <w:szCs w:val="18"/>
              </w:rPr>
              <w:t>用量（t）</w:t>
            </w:r>
          </w:p>
        </w:tc>
        <w:tc>
          <w:tcPr>
            <w:tcW w:w="2643" w:type="dxa"/>
            <w:vAlign w:val="center"/>
          </w:tcPr>
          <w:p>
            <w:pPr>
              <w:autoSpaceDE w:val="0"/>
              <w:autoSpaceDN w:val="0"/>
              <w:adjustRightInd w:val="0"/>
              <w:snapToGrid w:val="0"/>
              <w:jc w:val="center"/>
              <w:rPr>
                <w:color w:val="000000"/>
                <w:kern w:val="0"/>
                <w:sz w:val="18"/>
                <w:szCs w:val="18"/>
              </w:rPr>
            </w:pPr>
            <w:r>
              <w:rPr>
                <w:color w:val="000000"/>
                <w:kern w:val="0"/>
                <w:sz w:val="18"/>
                <w:szCs w:val="18"/>
              </w:rPr>
              <w:t>原料产地</w:t>
            </w:r>
          </w:p>
        </w:tc>
        <w:tc>
          <w:tcPr>
            <w:tcW w:w="1681" w:type="dxa"/>
            <w:vAlign w:val="center"/>
          </w:tcPr>
          <w:p>
            <w:pPr>
              <w:autoSpaceDE w:val="0"/>
              <w:autoSpaceDN w:val="0"/>
              <w:adjustRightInd w:val="0"/>
              <w:snapToGrid w:val="0"/>
              <w:jc w:val="center"/>
              <w:rPr>
                <w:color w:val="000000"/>
                <w:kern w:val="0"/>
                <w:sz w:val="18"/>
                <w:szCs w:val="18"/>
              </w:rPr>
            </w:pPr>
            <w:r>
              <w:rPr>
                <w:color w:val="000000"/>
                <w:kern w:val="0"/>
                <w:sz w:val="18"/>
                <w:szCs w:val="18"/>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原材料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铁矿</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焦炭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煤炭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辅助材料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石灰石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萤石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白云石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2" w:firstLineChars="200"/>
        <w:jc w:val="center"/>
        <w:rPr>
          <w:b/>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表C.2 炼铁工序能源消耗清单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47"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006"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煤耗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兆焦(MJ)</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表C.3炼钢工序能源消耗清单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3021"/>
        <w:gridCol w:w="232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21"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1984"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蒸汽</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表C.4轧制工序能源消耗清单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460"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103"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天燃气</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表C.5新水消耗清单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阶段/单元过程</w:t>
            </w:r>
          </w:p>
        </w:tc>
        <w:tc>
          <w:tcPr>
            <w:tcW w:w="2269" w:type="dxa"/>
            <w:gridSpan w:val="3"/>
            <w:vAlign w:val="center"/>
          </w:tcPr>
          <w:p>
            <w:pPr>
              <w:autoSpaceDE w:val="0"/>
              <w:autoSpaceDN w:val="0"/>
              <w:adjustRightInd w:val="0"/>
              <w:snapToGrid w:val="0"/>
              <w:jc w:val="center"/>
              <w:rPr>
                <w:color w:val="000000"/>
                <w:kern w:val="0"/>
                <w:sz w:val="18"/>
                <w:szCs w:val="18"/>
              </w:rPr>
            </w:pPr>
            <w:r>
              <w:rPr>
                <w:color w:val="000000"/>
                <w:kern w:val="0"/>
                <w:sz w:val="18"/>
                <w:szCs w:val="18"/>
              </w:rPr>
              <w:t>取水量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083"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196"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1629"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自取水</w:t>
            </w:r>
          </w:p>
        </w:tc>
        <w:tc>
          <w:tcPr>
            <w:tcW w:w="640"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水厂供水</w:t>
            </w:r>
          </w:p>
        </w:tc>
        <w:tc>
          <w:tcPr>
            <w:tcW w:w="82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56"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去处</w:t>
            </w:r>
          </w:p>
        </w:tc>
        <w:tc>
          <w:tcPr>
            <w:tcW w:w="962"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807"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22" w:type="dxa"/>
            <w:vAlign w:val="center"/>
          </w:tcPr>
          <w:p>
            <w:pPr>
              <w:autoSpaceDE w:val="0"/>
              <w:autoSpaceDN w:val="0"/>
              <w:adjustRightInd w:val="0"/>
              <w:snapToGrid w:val="0"/>
              <w:jc w:val="center"/>
              <w:rPr>
                <w:color w:val="000000"/>
                <w:kern w:val="0"/>
                <w:sz w:val="18"/>
                <w:szCs w:val="18"/>
              </w:rPr>
            </w:pPr>
            <w:r>
              <w:rPr>
                <w:color w:val="000000"/>
                <w:kern w:val="0"/>
                <w:sz w:val="18"/>
                <w:szCs w:val="18"/>
              </w:rPr>
              <w:t>地下水</w:t>
            </w:r>
          </w:p>
        </w:tc>
        <w:tc>
          <w:tcPr>
            <w:tcW w:w="640" w:type="dxa"/>
            <w:vMerge w:val="continue"/>
            <w:vAlign w:val="center"/>
          </w:tcPr>
          <w:p>
            <w:pPr>
              <w:autoSpaceDE w:val="0"/>
              <w:autoSpaceDN w:val="0"/>
              <w:adjustRightInd w:val="0"/>
              <w:snapToGrid w:val="0"/>
              <w:jc w:val="center"/>
              <w:rPr>
                <w:color w:val="000000"/>
                <w:kern w:val="0"/>
                <w:sz w:val="18"/>
                <w:szCs w:val="18"/>
              </w:rPr>
            </w:pPr>
          </w:p>
        </w:tc>
        <w:tc>
          <w:tcPr>
            <w:tcW w:w="827" w:type="dxa"/>
            <w:vMerge w:val="continue"/>
            <w:vAlign w:val="center"/>
          </w:tcPr>
          <w:p>
            <w:pPr>
              <w:autoSpaceDE w:val="0"/>
              <w:autoSpaceDN w:val="0"/>
              <w:adjustRightInd w:val="0"/>
              <w:snapToGrid w:val="0"/>
              <w:jc w:val="center"/>
              <w:rPr>
                <w:color w:val="000000"/>
                <w:kern w:val="0"/>
                <w:sz w:val="18"/>
                <w:szCs w:val="18"/>
              </w:rPr>
            </w:pPr>
          </w:p>
        </w:tc>
        <w:tc>
          <w:tcPr>
            <w:tcW w:w="1256" w:type="dxa"/>
            <w:vMerge w:val="continue"/>
            <w:vAlign w:val="center"/>
          </w:tcPr>
          <w:p>
            <w:pPr>
              <w:autoSpaceDE w:val="0"/>
              <w:autoSpaceDN w:val="0"/>
              <w:adjustRightInd w:val="0"/>
              <w:snapToGrid w:val="0"/>
              <w:jc w:val="center"/>
              <w:rPr>
                <w:color w:val="000000"/>
                <w:kern w:val="0"/>
                <w:sz w:val="18"/>
                <w:szCs w:val="18"/>
              </w:rPr>
            </w:pPr>
          </w:p>
        </w:tc>
        <w:tc>
          <w:tcPr>
            <w:tcW w:w="898"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69" w:type="dxa"/>
            <w:vAlign w:val="center"/>
          </w:tcPr>
          <w:p>
            <w:pPr>
              <w:autoSpaceDE w:val="0"/>
              <w:autoSpaceDN w:val="0"/>
              <w:adjustRightInd w:val="0"/>
              <w:snapToGrid w:val="0"/>
              <w:jc w:val="center"/>
              <w:rPr>
                <w:color w:val="000000"/>
                <w:kern w:val="0"/>
                <w:sz w:val="18"/>
                <w:szCs w:val="18"/>
              </w:rPr>
            </w:pPr>
            <w:r>
              <w:rPr>
                <w:color w:val="000000"/>
                <w:kern w:val="0"/>
                <w:sz w:val="18"/>
                <w:szCs w:val="18"/>
              </w:rPr>
              <w:t>纳管</w:t>
            </w:r>
          </w:p>
        </w:tc>
        <w:tc>
          <w:tcPr>
            <w:tcW w:w="962" w:type="dxa"/>
            <w:vMerge w:val="continue"/>
            <w:vAlign w:val="center"/>
          </w:tcPr>
          <w:p>
            <w:pPr>
              <w:autoSpaceDE w:val="0"/>
              <w:autoSpaceDN w:val="0"/>
              <w:adjustRightInd w:val="0"/>
              <w:snapToGrid w:val="0"/>
              <w:jc w:val="center"/>
              <w:rPr>
                <w:color w:val="000000"/>
                <w:kern w:val="0"/>
                <w:sz w:val="18"/>
                <w:szCs w:val="18"/>
              </w:rPr>
            </w:pPr>
          </w:p>
        </w:tc>
        <w:tc>
          <w:tcPr>
            <w:tcW w:w="1234" w:type="dxa"/>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表C.6污染物排放清单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Align w:val="center"/>
          </w:tcPr>
          <w:p>
            <w:pPr>
              <w:autoSpaceDE w:val="0"/>
              <w:autoSpaceDN w:val="0"/>
              <w:adjustRightInd w:val="0"/>
              <w:snapToGrid w:val="0"/>
              <w:jc w:val="center"/>
              <w:rPr>
                <w:color w:val="000000"/>
                <w:kern w:val="0"/>
                <w:sz w:val="18"/>
                <w:szCs w:val="18"/>
              </w:rPr>
            </w:pPr>
            <w:r>
              <w:rPr>
                <w:color w:val="000000"/>
                <w:kern w:val="0"/>
                <w:sz w:val="18"/>
                <w:szCs w:val="18"/>
              </w:rPr>
              <w:t>类别</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名称</w:t>
            </w:r>
          </w:p>
        </w:tc>
        <w:tc>
          <w:tcPr>
            <w:tcW w:w="1670" w:type="dxa"/>
            <w:vAlign w:val="center"/>
          </w:tcPr>
          <w:p>
            <w:pPr>
              <w:autoSpaceDE w:val="0"/>
              <w:autoSpaceDN w:val="0"/>
              <w:adjustRightInd w:val="0"/>
              <w:snapToGrid w:val="0"/>
              <w:jc w:val="center"/>
              <w:rPr>
                <w:color w:val="000000"/>
                <w:kern w:val="0"/>
                <w:sz w:val="18"/>
                <w:szCs w:val="18"/>
              </w:rPr>
            </w:pPr>
            <w:r>
              <w:rPr>
                <w:color w:val="000000"/>
                <w:kern w:val="0"/>
                <w:sz w:val="18"/>
                <w:szCs w:val="18"/>
              </w:rPr>
              <w:t>来源</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处理和回用情况</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废气</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SO2</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NOX</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颗粒物</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废水</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废水排放量</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bookmarkEnd w:id="14"/>
      <w:bookmarkEnd w:id="15"/>
      <w:bookmarkEnd w:id="16"/>
      <w:bookmarkEnd w:id="17"/>
    </w:tbl>
    <w:p>
      <w:pPr>
        <w:widowControl/>
        <w:tabs>
          <w:tab w:val="center" w:pos="4201"/>
          <w:tab w:val="right" w:leader="dot" w:pos="9298"/>
        </w:tabs>
        <w:autoSpaceDE w:val="0"/>
        <w:autoSpaceDN w:val="0"/>
        <w:ind w:firstLine="420" w:firstLineChars="200"/>
        <w:rPr>
          <w:kern w:val="0"/>
          <w:szCs w:val="22"/>
        </w:rPr>
      </w:pPr>
      <w:r>
        <w:rPr>
          <w:kern w:val="0"/>
          <w:szCs w:val="22"/>
        </w:rPr>
        <mc:AlternateContent>
          <mc:Choice Requires="wps">
            <w:drawing>
              <wp:anchor distT="0" distB="0" distL="114300" distR="114300" simplePos="0" relativeHeight="251660288"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60288;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8"/>
          <w:jc w:val="left"/>
        </w:pPr>
        <w:r>
          <w:fldChar w:fldCharType="begin"/>
        </w:r>
        <w:r>
          <w:instrText xml:space="preserve">PAGE   \* MERGEFORMAT</w:instrText>
        </w:r>
        <w:r>
          <w:fldChar w:fldCharType="separate"/>
        </w:r>
        <w:r>
          <w:rPr>
            <w:lang w:val="zh-CN"/>
          </w:rPr>
          <w:t>14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84"/>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0CD3"/>
    <w:rsid w:val="0000185F"/>
    <w:rsid w:val="00003624"/>
    <w:rsid w:val="000049B3"/>
    <w:rsid w:val="0000586F"/>
    <w:rsid w:val="00005D79"/>
    <w:rsid w:val="00007340"/>
    <w:rsid w:val="00013D86"/>
    <w:rsid w:val="00013E02"/>
    <w:rsid w:val="00014549"/>
    <w:rsid w:val="00017E7B"/>
    <w:rsid w:val="00020414"/>
    <w:rsid w:val="0002143C"/>
    <w:rsid w:val="00022016"/>
    <w:rsid w:val="000238EC"/>
    <w:rsid w:val="00025A65"/>
    <w:rsid w:val="000267B2"/>
    <w:rsid w:val="00026C31"/>
    <w:rsid w:val="00026FAA"/>
    <w:rsid w:val="00027280"/>
    <w:rsid w:val="000306E3"/>
    <w:rsid w:val="000320A7"/>
    <w:rsid w:val="00033C7F"/>
    <w:rsid w:val="00035925"/>
    <w:rsid w:val="000366F4"/>
    <w:rsid w:val="00037DAC"/>
    <w:rsid w:val="00040A51"/>
    <w:rsid w:val="00041127"/>
    <w:rsid w:val="00043660"/>
    <w:rsid w:val="00045C9B"/>
    <w:rsid w:val="000466F7"/>
    <w:rsid w:val="00054B4A"/>
    <w:rsid w:val="000639E9"/>
    <w:rsid w:val="00063E76"/>
    <w:rsid w:val="00064482"/>
    <w:rsid w:val="0006794E"/>
    <w:rsid w:val="00067CDF"/>
    <w:rsid w:val="00074FBE"/>
    <w:rsid w:val="000772BB"/>
    <w:rsid w:val="00077E45"/>
    <w:rsid w:val="000818DD"/>
    <w:rsid w:val="000825B7"/>
    <w:rsid w:val="00083A09"/>
    <w:rsid w:val="0009005E"/>
    <w:rsid w:val="00090BB0"/>
    <w:rsid w:val="00090E08"/>
    <w:rsid w:val="00092857"/>
    <w:rsid w:val="00094BD2"/>
    <w:rsid w:val="0009779B"/>
    <w:rsid w:val="000A20A9"/>
    <w:rsid w:val="000A48B1"/>
    <w:rsid w:val="000A4DFA"/>
    <w:rsid w:val="000A5495"/>
    <w:rsid w:val="000B3143"/>
    <w:rsid w:val="000B4D28"/>
    <w:rsid w:val="000C2469"/>
    <w:rsid w:val="000C30C7"/>
    <w:rsid w:val="000C6B05"/>
    <w:rsid w:val="000C6DD6"/>
    <w:rsid w:val="000C73D4"/>
    <w:rsid w:val="000D03F1"/>
    <w:rsid w:val="000D114F"/>
    <w:rsid w:val="000D3D4C"/>
    <w:rsid w:val="000D4406"/>
    <w:rsid w:val="000D4505"/>
    <w:rsid w:val="000D4F51"/>
    <w:rsid w:val="000D66D4"/>
    <w:rsid w:val="000D718B"/>
    <w:rsid w:val="000E0C46"/>
    <w:rsid w:val="000E2645"/>
    <w:rsid w:val="000E28AC"/>
    <w:rsid w:val="000E3EC7"/>
    <w:rsid w:val="000F030C"/>
    <w:rsid w:val="000F04B4"/>
    <w:rsid w:val="000F129C"/>
    <w:rsid w:val="000F31BB"/>
    <w:rsid w:val="000F7ADA"/>
    <w:rsid w:val="001018BA"/>
    <w:rsid w:val="001056DE"/>
    <w:rsid w:val="00111863"/>
    <w:rsid w:val="001124C0"/>
    <w:rsid w:val="00121FE9"/>
    <w:rsid w:val="001241EE"/>
    <w:rsid w:val="00125108"/>
    <w:rsid w:val="001257B9"/>
    <w:rsid w:val="001278EF"/>
    <w:rsid w:val="0013175F"/>
    <w:rsid w:val="00132E58"/>
    <w:rsid w:val="00134999"/>
    <w:rsid w:val="0013726B"/>
    <w:rsid w:val="00141BF1"/>
    <w:rsid w:val="00143F81"/>
    <w:rsid w:val="00146E19"/>
    <w:rsid w:val="001512B4"/>
    <w:rsid w:val="00152179"/>
    <w:rsid w:val="00154746"/>
    <w:rsid w:val="00154A8E"/>
    <w:rsid w:val="00156D41"/>
    <w:rsid w:val="00160652"/>
    <w:rsid w:val="001620A5"/>
    <w:rsid w:val="00164E53"/>
    <w:rsid w:val="0016699D"/>
    <w:rsid w:val="001701E9"/>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406C"/>
    <w:rsid w:val="001D41EE"/>
    <w:rsid w:val="001D4EC2"/>
    <w:rsid w:val="001D7CB7"/>
    <w:rsid w:val="001E0380"/>
    <w:rsid w:val="001E13B1"/>
    <w:rsid w:val="001E24EA"/>
    <w:rsid w:val="001E55B7"/>
    <w:rsid w:val="001E69DB"/>
    <w:rsid w:val="001F05EE"/>
    <w:rsid w:val="001F3A19"/>
    <w:rsid w:val="001F3FBF"/>
    <w:rsid w:val="002002E4"/>
    <w:rsid w:val="0020347E"/>
    <w:rsid w:val="002040EA"/>
    <w:rsid w:val="002046F0"/>
    <w:rsid w:val="0020499E"/>
    <w:rsid w:val="00207392"/>
    <w:rsid w:val="0022046A"/>
    <w:rsid w:val="002242CD"/>
    <w:rsid w:val="002310F8"/>
    <w:rsid w:val="00231142"/>
    <w:rsid w:val="00231970"/>
    <w:rsid w:val="00232B34"/>
    <w:rsid w:val="00234467"/>
    <w:rsid w:val="00237D8D"/>
    <w:rsid w:val="00240622"/>
    <w:rsid w:val="00240FE6"/>
    <w:rsid w:val="00241990"/>
    <w:rsid w:val="00241DA2"/>
    <w:rsid w:val="00245B95"/>
    <w:rsid w:val="00247FEE"/>
    <w:rsid w:val="00250E7D"/>
    <w:rsid w:val="002543BB"/>
    <w:rsid w:val="002549B0"/>
    <w:rsid w:val="002565D5"/>
    <w:rsid w:val="00257415"/>
    <w:rsid w:val="00257C39"/>
    <w:rsid w:val="002622C0"/>
    <w:rsid w:val="00262D2E"/>
    <w:rsid w:val="00264F9B"/>
    <w:rsid w:val="00274122"/>
    <w:rsid w:val="002759BB"/>
    <w:rsid w:val="00276B08"/>
    <w:rsid w:val="002778AE"/>
    <w:rsid w:val="0028022A"/>
    <w:rsid w:val="00281919"/>
    <w:rsid w:val="002824CB"/>
    <w:rsid w:val="0028269A"/>
    <w:rsid w:val="00283590"/>
    <w:rsid w:val="00286973"/>
    <w:rsid w:val="00287EDD"/>
    <w:rsid w:val="002904AF"/>
    <w:rsid w:val="00292655"/>
    <w:rsid w:val="00294E70"/>
    <w:rsid w:val="002952CE"/>
    <w:rsid w:val="00296FB8"/>
    <w:rsid w:val="002A06B3"/>
    <w:rsid w:val="002A0C9E"/>
    <w:rsid w:val="002A1924"/>
    <w:rsid w:val="002A390B"/>
    <w:rsid w:val="002A7420"/>
    <w:rsid w:val="002B0F12"/>
    <w:rsid w:val="002B1308"/>
    <w:rsid w:val="002B3E73"/>
    <w:rsid w:val="002B4449"/>
    <w:rsid w:val="002B4554"/>
    <w:rsid w:val="002B4FE3"/>
    <w:rsid w:val="002B640B"/>
    <w:rsid w:val="002B6B15"/>
    <w:rsid w:val="002C2696"/>
    <w:rsid w:val="002C72D8"/>
    <w:rsid w:val="002C7F73"/>
    <w:rsid w:val="002D04A2"/>
    <w:rsid w:val="002D11FA"/>
    <w:rsid w:val="002D2EED"/>
    <w:rsid w:val="002D4DCE"/>
    <w:rsid w:val="002D545A"/>
    <w:rsid w:val="002E0DDF"/>
    <w:rsid w:val="002E2906"/>
    <w:rsid w:val="002E5635"/>
    <w:rsid w:val="002E64C3"/>
    <w:rsid w:val="002E6A2C"/>
    <w:rsid w:val="002F1D8C"/>
    <w:rsid w:val="002F21DA"/>
    <w:rsid w:val="002F31F1"/>
    <w:rsid w:val="002F3F0D"/>
    <w:rsid w:val="002F42E2"/>
    <w:rsid w:val="002F4512"/>
    <w:rsid w:val="002F4891"/>
    <w:rsid w:val="002F57F3"/>
    <w:rsid w:val="002F72D0"/>
    <w:rsid w:val="00301F39"/>
    <w:rsid w:val="00305812"/>
    <w:rsid w:val="003073E0"/>
    <w:rsid w:val="00310478"/>
    <w:rsid w:val="00310E68"/>
    <w:rsid w:val="003117BB"/>
    <w:rsid w:val="00317A37"/>
    <w:rsid w:val="0032071A"/>
    <w:rsid w:val="00325926"/>
    <w:rsid w:val="00326BCE"/>
    <w:rsid w:val="00327A8A"/>
    <w:rsid w:val="003306E2"/>
    <w:rsid w:val="00334596"/>
    <w:rsid w:val="00336610"/>
    <w:rsid w:val="00343F73"/>
    <w:rsid w:val="00345060"/>
    <w:rsid w:val="00345A2F"/>
    <w:rsid w:val="00350BC9"/>
    <w:rsid w:val="0035323B"/>
    <w:rsid w:val="00356876"/>
    <w:rsid w:val="003568C0"/>
    <w:rsid w:val="00356951"/>
    <w:rsid w:val="003609D2"/>
    <w:rsid w:val="00363F22"/>
    <w:rsid w:val="003650D5"/>
    <w:rsid w:val="003657C0"/>
    <w:rsid w:val="003659A4"/>
    <w:rsid w:val="00371BE7"/>
    <w:rsid w:val="003732A9"/>
    <w:rsid w:val="0037473D"/>
    <w:rsid w:val="00375564"/>
    <w:rsid w:val="0037662F"/>
    <w:rsid w:val="003768C0"/>
    <w:rsid w:val="00383191"/>
    <w:rsid w:val="00383618"/>
    <w:rsid w:val="003839CA"/>
    <w:rsid w:val="003852DB"/>
    <w:rsid w:val="003858BE"/>
    <w:rsid w:val="00385B77"/>
    <w:rsid w:val="00386DED"/>
    <w:rsid w:val="003912E7"/>
    <w:rsid w:val="0039140F"/>
    <w:rsid w:val="00393947"/>
    <w:rsid w:val="003A1F65"/>
    <w:rsid w:val="003A2275"/>
    <w:rsid w:val="003A3F2D"/>
    <w:rsid w:val="003A48CA"/>
    <w:rsid w:val="003A5141"/>
    <w:rsid w:val="003A6A4F"/>
    <w:rsid w:val="003A7088"/>
    <w:rsid w:val="003A7304"/>
    <w:rsid w:val="003B00DF"/>
    <w:rsid w:val="003B1275"/>
    <w:rsid w:val="003B1778"/>
    <w:rsid w:val="003B217D"/>
    <w:rsid w:val="003B32E2"/>
    <w:rsid w:val="003B70DD"/>
    <w:rsid w:val="003B7AC1"/>
    <w:rsid w:val="003C11CB"/>
    <w:rsid w:val="003C5654"/>
    <w:rsid w:val="003C75F3"/>
    <w:rsid w:val="003C78A3"/>
    <w:rsid w:val="003D0240"/>
    <w:rsid w:val="003D0948"/>
    <w:rsid w:val="003D1B0C"/>
    <w:rsid w:val="003D1E37"/>
    <w:rsid w:val="003D721E"/>
    <w:rsid w:val="003E0318"/>
    <w:rsid w:val="003E0D6C"/>
    <w:rsid w:val="003E1225"/>
    <w:rsid w:val="003E1867"/>
    <w:rsid w:val="003E5000"/>
    <w:rsid w:val="003E5729"/>
    <w:rsid w:val="003E5A57"/>
    <w:rsid w:val="003E7013"/>
    <w:rsid w:val="003F4EE0"/>
    <w:rsid w:val="00400C28"/>
    <w:rsid w:val="00402153"/>
    <w:rsid w:val="00402FC1"/>
    <w:rsid w:val="004134DD"/>
    <w:rsid w:val="004145B9"/>
    <w:rsid w:val="004166CD"/>
    <w:rsid w:val="0041793A"/>
    <w:rsid w:val="00423779"/>
    <w:rsid w:val="00423DBC"/>
    <w:rsid w:val="00425082"/>
    <w:rsid w:val="004279FA"/>
    <w:rsid w:val="00431DEB"/>
    <w:rsid w:val="00433284"/>
    <w:rsid w:val="00440EBF"/>
    <w:rsid w:val="004412E4"/>
    <w:rsid w:val="00446B29"/>
    <w:rsid w:val="004509E6"/>
    <w:rsid w:val="00453F9A"/>
    <w:rsid w:val="004552EA"/>
    <w:rsid w:val="0045659F"/>
    <w:rsid w:val="00462705"/>
    <w:rsid w:val="004643CB"/>
    <w:rsid w:val="00471E91"/>
    <w:rsid w:val="00472AF6"/>
    <w:rsid w:val="00472C6E"/>
    <w:rsid w:val="00474675"/>
    <w:rsid w:val="0047470C"/>
    <w:rsid w:val="0047745F"/>
    <w:rsid w:val="00485828"/>
    <w:rsid w:val="00490762"/>
    <w:rsid w:val="0049326C"/>
    <w:rsid w:val="004A029F"/>
    <w:rsid w:val="004A0900"/>
    <w:rsid w:val="004A24EB"/>
    <w:rsid w:val="004A2EB0"/>
    <w:rsid w:val="004A35F9"/>
    <w:rsid w:val="004B0452"/>
    <w:rsid w:val="004B1107"/>
    <w:rsid w:val="004B1EA1"/>
    <w:rsid w:val="004B24C1"/>
    <w:rsid w:val="004B3527"/>
    <w:rsid w:val="004B4141"/>
    <w:rsid w:val="004B421B"/>
    <w:rsid w:val="004B7A61"/>
    <w:rsid w:val="004C0DE4"/>
    <w:rsid w:val="004C15CE"/>
    <w:rsid w:val="004C292F"/>
    <w:rsid w:val="004C32E0"/>
    <w:rsid w:val="004C52B4"/>
    <w:rsid w:val="004C6D21"/>
    <w:rsid w:val="004D197C"/>
    <w:rsid w:val="004E4034"/>
    <w:rsid w:val="004E504F"/>
    <w:rsid w:val="004E7695"/>
    <w:rsid w:val="004F10FB"/>
    <w:rsid w:val="004F11BC"/>
    <w:rsid w:val="004F11CA"/>
    <w:rsid w:val="004F63FD"/>
    <w:rsid w:val="00500A34"/>
    <w:rsid w:val="00505327"/>
    <w:rsid w:val="00510280"/>
    <w:rsid w:val="005107C9"/>
    <w:rsid w:val="00513480"/>
    <w:rsid w:val="00513D73"/>
    <w:rsid w:val="00514A43"/>
    <w:rsid w:val="005174E5"/>
    <w:rsid w:val="00522393"/>
    <w:rsid w:val="00522620"/>
    <w:rsid w:val="00522F9A"/>
    <w:rsid w:val="00523F6A"/>
    <w:rsid w:val="00525656"/>
    <w:rsid w:val="00526AEC"/>
    <w:rsid w:val="00534C02"/>
    <w:rsid w:val="00534D29"/>
    <w:rsid w:val="00534EC9"/>
    <w:rsid w:val="0054264B"/>
    <w:rsid w:val="00543786"/>
    <w:rsid w:val="005445B2"/>
    <w:rsid w:val="00544A6A"/>
    <w:rsid w:val="00550AC2"/>
    <w:rsid w:val="005533D7"/>
    <w:rsid w:val="00560E0C"/>
    <w:rsid w:val="00561F1B"/>
    <w:rsid w:val="00566B1B"/>
    <w:rsid w:val="005703DE"/>
    <w:rsid w:val="00571C63"/>
    <w:rsid w:val="00575169"/>
    <w:rsid w:val="00580B6B"/>
    <w:rsid w:val="005828EB"/>
    <w:rsid w:val="00582AD4"/>
    <w:rsid w:val="0058464E"/>
    <w:rsid w:val="00587FD0"/>
    <w:rsid w:val="00592092"/>
    <w:rsid w:val="00592C13"/>
    <w:rsid w:val="005A01CB"/>
    <w:rsid w:val="005A58FF"/>
    <w:rsid w:val="005A5BD3"/>
    <w:rsid w:val="005A5EAF"/>
    <w:rsid w:val="005A64C0"/>
    <w:rsid w:val="005B1AD6"/>
    <w:rsid w:val="005B3747"/>
    <w:rsid w:val="005B3C11"/>
    <w:rsid w:val="005B3CB5"/>
    <w:rsid w:val="005B3ECB"/>
    <w:rsid w:val="005B73B1"/>
    <w:rsid w:val="005C1190"/>
    <w:rsid w:val="005C1C28"/>
    <w:rsid w:val="005C3767"/>
    <w:rsid w:val="005C40BF"/>
    <w:rsid w:val="005C6DB5"/>
    <w:rsid w:val="005C7E1D"/>
    <w:rsid w:val="005D08B6"/>
    <w:rsid w:val="005D347A"/>
    <w:rsid w:val="005D4E43"/>
    <w:rsid w:val="005E0135"/>
    <w:rsid w:val="005E015A"/>
    <w:rsid w:val="005E19E7"/>
    <w:rsid w:val="005E1E9D"/>
    <w:rsid w:val="005E6290"/>
    <w:rsid w:val="005E6661"/>
    <w:rsid w:val="005E71F4"/>
    <w:rsid w:val="005E7A66"/>
    <w:rsid w:val="005F11F9"/>
    <w:rsid w:val="005F1878"/>
    <w:rsid w:val="005F1913"/>
    <w:rsid w:val="005F2504"/>
    <w:rsid w:val="005F68A1"/>
    <w:rsid w:val="005F7EFC"/>
    <w:rsid w:val="00602123"/>
    <w:rsid w:val="00603CAD"/>
    <w:rsid w:val="006123BE"/>
    <w:rsid w:val="0061716C"/>
    <w:rsid w:val="0062170B"/>
    <w:rsid w:val="006243A1"/>
    <w:rsid w:val="0062654B"/>
    <w:rsid w:val="006268F1"/>
    <w:rsid w:val="006274A6"/>
    <w:rsid w:val="00627580"/>
    <w:rsid w:val="0063111E"/>
    <w:rsid w:val="00632E56"/>
    <w:rsid w:val="00635CBA"/>
    <w:rsid w:val="00635CD4"/>
    <w:rsid w:val="00636D65"/>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2AFC"/>
    <w:rsid w:val="006637E9"/>
    <w:rsid w:val="00663AF3"/>
    <w:rsid w:val="006661D4"/>
    <w:rsid w:val="00666B6C"/>
    <w:rsid w:val="00676D9C"/>
    <w:rsid w:val="006802C6"/>
    <w:rsid w:val="00682682"/>
    <w:rsid w:val="00682702"/>
    <w:rsid w:val="006833B0"/>
    <w:rsid w:val="00684205"/>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972"/>
    <w:rsid w:val="006B4E13"/>
    <w:rsid w:val="006B6E45"/>
    <w:rsid w:val="006B75DD"/>
    <w:rsid w:val="006C3EC4"/>
    <w:rsid w:val="006C5EC8"/>
    <w:rsid w:val="006C67E0"/>
    <w:rsid w:val="006C7ABA"/>
    <w:rsid w:val="006D0D60"/>
    <w:rsid w:val="006D1122"/>
    <w:rsid w:val="006D3A7D"/>
    <w:rsid w:val="006D3C00"/>
    <w:rsid w:val="006D5514"/>
    <w:rsid w:val="006D5B44"/>
    <w:rsid w:val="006E3675"/>
    <w:rsid w:val="006E4A7F"/>
    <w:rsid w:val="006E5E69"/>
    <w:rsid w:val="006E5F94"/>
    <w:rsid w:val="006F2AB3"/>
    <w:rsid w:val="006F738B"/>
    <w:rsid w:val="00702335"/>
    <w:rsid w:val="00704DF6"/>
    <w:rsid w:val="00704F6D"/>
    <w:rsid w:val="0070651C"/>
    <w:rsid w:val="00707491"/>
    <w:rsid w:val="00707D93"/>
    <w:rsid w:val="00710179"/>
    <w:rsid w:val="0071145F"/>
    <w:rsid w:val="00711B5A"/>
    <w:rsid w:val="007132A3"/>
    <w:rsid w:val="007134B9"/>
    <w:rsid w:val="00716421"/>
    <w:rsid w:val="00717250"/>
    <w:rsid w:val="00717651"/>
    <w:rsid w:val="00722D17"/>
    <w:rsid w:val="00724EFB"/>
    <w:rsid w:val="00726875"/>
    <w:rsid w:val="00727559"/>
    <w:rsid w:val="00727B0D"/>
    <w:rsid w:val="007310A0"/>
    <w:rsid w:val="0073132D"/>
    <w:rsid w:val="00732949"/>
    <w:rsid w:val="00733E7A"/>
    <w:rsid w:val="007360E0"/>
    <w:rsid w:val="00741842"/>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3FAE"/>
    <w:rsid w:val="00765463"/>
    <w:rsid w:val="00765465"/>
    <w:rsid w:val="00767D83"/>
    <w:rsid w:val="00771B48"/>
    <w:rsid w:val="00772FB2"/>
    <w:rsid w:val="00774E9B"/>
    <w:rsid w:val="007760D4"/>
    <w:rsid w:val="00782C2D"/>
    <w:rsid w:val="007848C5"/>
    <w:rsid w:val="00784DB9"/>
    <w:rsid w:val="007913AB"/>
    <w:rsid w:val="007914F7"/>
    <w:rsid w:val="00797015"/>
    <w:rsid w:val="007A2B33"/>
    <w:rsid w:val="007B0C68"/>
    <w:rsid w:val="007B1625"/>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E1980"/>
    <w:rsid w:val="007E2EBE"/>
    <w:rsid w:val="007E4B76"/>
    <w:rsid w:val="007E4C8A"/>
    <w:rsid w:val="007E5982"/>
    <w:rsid w:val="007E5EA8"/>
    <w:rsid w:val="007F0949"/>
    <w:rsid w:val="007F0CF1"/>
    <w:rsid w:val="007F12A5"/>
    <w:rsid w:val="007F2D6D"/>
    <w:rsid w:val="007F3B0B"/>
    <w:rsid w:val="007F4CF1"/>
    <w:rsid w:val="007F55A8"/>
    <w:rsid w:val="007F758D"/>
    <w:rsid w:val="007F7D52"/>
    <w:rsid w:val="00802398"/>
    <w:rsid w:val="0080654C"/>
    <w:rsid w:val="008071C6"/>
    <w:rsid w:val="008109D6"/>
    <w:rsid w:val="00811750"/>
    <w:rsid w:val="00815237"/>
    <w:rsid w:val="00817A00"/>
    <w:rsid w:val="00821C5F"/>
    <w:rsid w:val="008278AA"/>
    <w:rsid w:val="0083084A"/>
    <w:rsid w:val="00832776"/>
    <w:rsid w:val="00834260"/>
    <w:rsid w:val="00834B6C"/>
    <w:rsid w:val="00835DA5"/>
    <w:rsid w:val="00835DB3"/>
    <w:rsid w:val="0083617B"/>
    <w:rsid w:val="008371BD"/>
    <w:rsid w:val="0084647F"/>
    <w:rsid w:val="008504A8"/>
    <w:rsid w:val="0085282E"/>
    <w:rsid w:val="008533B6"/>
    <w:rsid w:val="00857A3C"/>
    <w:rsid w:val="00862151"/>
    <w:rsid w:val="00864F43"/>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C0D91"/>
    <w:rsid w:val="008C137C"/>
    <w:rsid w:val="008C1B46"/>
    <w:rsid w:val="008C1B58"/>
    <w:rsid w:val="008C38FE"/>
    <w:rsid w:val="008C39AE"/>
    <w:rsid w:val="008C3DCD"/>
    <w:rsid w:val="008C590D"/>
    <w:rsid w:val="008C786F"/>
    <w:rsid w:val="008D009D"/>
    <w:rsid w:val="008D250B"/>
    <w:rsid w:val="008D4EA9"/>
    <w:rsid w:val="008E031B"/>
    <w:rsid w:val="008E0EEA"/>
    <w:rsid w:val="008E2388"/>
    <w:rsid w:val="008E4014"/>
    <w:rsid w:val="008E60E2"/>
    <w:rsid w:val="008E620C"/>
    <w:rsid w:val="008E7029"/>
    <w:rsid w:val="008E7EF6"/>
    <w:rsid w:val="008F04D6"/>
    <w:rsid w:val="008F1F98"/>
    <w:rsid w:val="008F5765"/>
    <w:rsid w:val="008F6758"/>
    <w:rsid w:val="00900900"/>
    <w:rsid w:val="00902A08"/>
    <w:rsid w:val="009030E8"/>
    <w:rsid w:val="0090326F"/>
    <w:rsid w:val="009040DD"/>
    <w:rsid w:val="00905B47"/>
    <w:rsid w:val="00906F0A"/>
    <w:rsid w:val="0090711E"/>
    <w:rsid w:val="0091331C"/>
    <w:rsid w:val="0091457E"/>
    <w:rsid w:val="00916945"/>
    <w:rsid w:val="00917ACA"/>
    <w:rsid w:val="009236CF"/>
    <w:rsid w:val="009240E8"/>
    <w:rsid w:val="00924BA0"/>
    <w:rsid w:val="009279DE"/>
    <w:rsid w:val="00930116"/>
    <w:rsid w:val="00933DC7"/>
    <w:rsid w:val="00933EC5"/>
    <w:rsid w:val="00935676"/>
    <w:rsid w:val="009363F2"/>
    <w:rsid w:val="0093742D"/>
    <w:rsid w:val="009375C7"/>
    <w:rsid w:val="00940FAC"/>
    <w:rsid w:val="00941421"/>
    <w:rsid w:val="0094212C"/>
    <w:rsid w:val="009421BE"/>
    <w:rsid w:val="00944733"/>
    <w:rsid w:val="00946042"/>
    <w:rsid w:val="009473C1"/>
    <w:rsid w:val="009475C8"/>
    <w:rsid w:val="009500A5"/>
    <w:rsid w:val="009504BC"/>
    <w:rsid w:val="009507F6"/>
    <w:rsid w:val="00951D89"/>
    <w:rsid w:val="009520CA"/>
    <w:rsid w:val="00953278"/>
    <w:rsid w:val="00954689"/>
    <w:rsid w:val="009554F8"/>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32A5"/>
    <w:rsid w:val="009B346E"/>
    <w:rsid w:val="009B603A"/>
    <w:rsid w:val="009B6E06"/>
    <w:rsid w:val="009C012B"/>
    <w:rsid w:val="009C0F68"/>
    <w:rsid w:val="009C18A3"/>
    <w:rsid w:val="009C2D0E"/>
    <w:rsid w:val="009C3DAC"/>
    <w:rsid w:val="009C42E0"/>
    <w:rsid w:val="009C4EEC"/>
    <w:rsid w:val="009C5BD2"/>
    <w:rsid w:val="009C7DCB"/>
    <w:rsid w:val="009D0964"/>
    <w:rsid w:val="009D28B6"/>
    <w:rsid w:val="009D2B49"/>
    <w:rsid w:val="009D5362"/>
    <w:rsid w:val="009E09B4"/>
    <w:rsid w:val="009E1415"/>
    <w:rsid w:val="009E4174"/>
    <w:rsid w:val="009E4E89"/>
    <w:rsid w:val="009E5238"/>
    <w:rsid w:val="009E5754"/>
    <w:rsid w:val="009E6116"/>
    <w:rsid w:val="009E6A1B"/>
    <w:rsid w:val="009E7BBD"/>
    <w:rsid w:val="009F11B5"/>
    <w:rsid w:val="009F11B8"/>
    <w:rsid w:val="009F1B15"/>
    <w:rsid w:val="009F2170"/>
    <w:rsid w:val="009F355E"/>
    <w:rsid w:val="009F4C79"/>
    <w:rsid w:val="009F51BD"/>
    <w:rsid w:val="009F73D8"/>
    <w:rsid w:val="00A00B9D"/>
    <w:rsid w:val="00A0112A"/>
    <w:rsid w:val="00A02E43"/>
    <w:rsid w:val="00A065F9"/>
    <w:rsid w:val="00A07F34"/>
    <w:rsid w:val="00A11FEF"/>
    <w:rsid w:val="00A132FB"/>
    <w:rsid w:val="00A15157"/>
    <w:rsid w:val="00A22154"/>
    <w:rsid w:val="00A24393"/>
    <w:rsid w:val="00A25C38"/>
    <w:rsid w:val="00A26308"/>
    <w:rsid w:val="00A26A96"/>
    <w:rsid w:val="00A27B20"/>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730D"/>
    <w:rsid w:val="00A6746D"/>
    <w:rsid w:val="00A711A2"/>
    <w:rsid w:val="00A71625"/>
    <w:rsid w:val="00A71B9B"/>
    <w:rsid w:val="00A72B66"/>
    <w:rsid w:val="00A751C7"/>
    <w:rsid w:val="00A828DE"/>
    <w:rsid w:val="00A828EA"/>
    <w:rsid w:val="00A83E95"/>
    <w:rsid w:val="00A87844"/>
    <w:rsid w:val="00A92231"/>
    <w:rsid w:val="00A924A5"/>
    <w:rsid w:val="00A92ADF"/>
    <w:rsid w:val="00A94C41"/>
    <w:rsid w:val="00A97D1F"/>
    <w:rsid w:val="00AA038C"/>
    <w:rsid w:val="00AA1737"/>
    <w:rsid w:val="00AA7A09"/>
    <w:rsid w:val="00AA7AD2"/>
    <w:rsid w:val="00AB2D90"/>
    <w:rsid w:val="00AB3B50"/>
    <w:rsid w:val="00AB3C6A"/>
    <w:rsid w:val="00AC05B1"/>
    <w:rsid w:val="00AC6F5A"/>
    <w:rsid w:val="00AD28AD"/>
    <w:rsid w:val="00AD2DFC"/>
    <w:rsid w:val="00AD356C"/>
    <w:rsid w:val="00AD6C42"/>
    <w:rsid w:val="00AE2914"/>
    <w:rsid w:val="00AE35E5"/>
    <w:rsid w:val="00AE42A9"/>
    <w:rsid w:val="00AE6D15"/>
    <w:rsid w:val="00AE7BBA"/>
    <w:rsid w:val="00AF03D9"/>
    <w:rsid w:val="00AF40A2"/>
    <w:rsid w:val="00AF4D12"/>
    <w:rsid w:val="00AF5E42"/>
    <w:rsid w:val="00B00BED"/>
    <w:rsid w:val="00B01D5B"/>
    <w:rsid w:val="00B01FF6"/>
    <w:rsid w:val="00B04182"/>
    <w:rsid w:val="00B07AE3"/>
    <w:rsid w:val="00B10F4F"/>
    <w:rsid w:val="00B11430"/>
    <w:rsid w:val="00B1209E"/>
    <w:rsid w:val="00B12D55"/>
    <w:rsid w:val="00B1604C"/>
    <w:rsid w:val="00B174A5"/>
    <w:rsid w:val="00B17FB5"/>
    <w:rsid w:val="00B243D1"/>
    <w:rsid w:val="00B2575F"/>
    <w:rsid w:val="00B25987"/>
    <w:rsid w:val="00B3352A"/>
    <w:rsid w:val="00B34078"/>
    <w:rsid w:val="00B34238"/>
    <w:rsid w:val="00B34A96"/>
    <w:rsid w:val="00B353EB"/>
    <w:rsid w:val="00B42210"/>
    <w:rsid w:val="00B439C4"/>
    <w:rsid w:val="00B4535E"/>
    <w:rsid w:val="00B462D4"/>
    <w:rsid w:val="00B47B9D"/>
    <w:rsid w:val="00B47C3F"/>
    <w:rsid w:val="00B50D6E"/>
    <w:rsid w:val="00B52A8C"/>
    <w:rsid w:val="00B53C7E"/>
    <w:rsid w:val="00B54165"/>
    <w:rsid w:val="00B60A4D"/>
    <w:rsid w:val="00B61939"/>
    <w:rsid w:val="00B6239F"/>
    <w:rsid w:val="00B62C5E"/>
    <w:rsid w:val="00B636A8"/>
    <w:rsid w:val="00B65085"/>
    <w:rsid w:val="00B651BB"/>
    <w:rsid w:val="00B665C6"/>
    <w:rsid w:val="00B66FA5"/>
    <w:rsid w:val="00B679EE"/>
    <w:rsid w:val="00B74AFC"/>
    <w:rsid w:val="00B74EB5"/>
    <w:rsid w:val="00B805AF"/>
    <w:rsid w:val="00B82D7E"/>
    <w:rsid w:val="00B869EC"/>
    <w:rsid w:val="00B86D7D"/>
    <w:rsid w:val="00B9076F"/>
    <w:rsid w:val="00B9397A"/>
    <w:rsid w:val="00B95E90"/>
    <w:rsid w:val="00B9633D"/>
    <w:rsid w:val="00BA2EBE"/>
    <w:rsid w:val="00BA5F3B"/>
    <w:rsid w:val="00BA6E1A"/>
    <w:rsid w:val="00BA78BF"/>
    <w:rsid w:val="00BB0F28"/>
    <w:rsid w:val="00BB0F47"/>
    <w:rsid w:val="00BB41EA"/>
    <w:rsid w:val="00BB458A"/>
    <w:rsid w:val="00BC18E2"/>
    <w:rsid w:val="00BC21F3"/>
    <w:rsid w:val="00BD00D3"/>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2B68"/>
    <w:rsid w:val="00C0379D"/>
    <w:rsid w:val="00C03931"/>
    <w:rsid w:val="00C05FE3"/>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3BC6"/>
    <w:rsid w:val="00C458E9"/>
    <w:rsid w:val="00C50A35"/>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67DF5"/>
    <w:rsid w:val="00C71400"/>
    <w:rsid w:val="00C73BC7"/>
    <w:rsid w:val="00C74BF3"/>
    <w:rsid w:val="00C778A9"/>
    <w:rsid w:val="00C77B57"/>
    <w:rsid w:val="00C803FF"/>
    <w:rsid w:val="00C80C16"/>
    <w:rsid w:val="00C8585D"/>
    <w:rsid w:val="00C866A1"/>
    <w:rsid w:val="00C8691C"/>
    <w:rsid w:val="00C86A9E"/>
    <w:rsid w:val="00C90606"/>
    <w:rsid w:val="00C95B40"/>
    <w:rsid w:val="00C966B8"/>
    <w:rsid w:val="00CA0E56"/>
    <w:rsid w:val="00CA168A"/>
    <w:rsid w:val="00CA357E"/>
    <w:rsid w:val="00CA3C12"/>
    <w:rsid w:val="00CA44F9"/>
    <w:rsid w:val="00CA4A69"/>
    <w:rsid w:val="00CA6444"/>
    <w:rsid w:val="00CB2D67"/>
    <w:rsid w:val="00CB40FD"/>
    <w:rsid w:val="00CB7DFE"/>
    <w:rsid w:val="00CC3E0C"/>
    <w:rsid w:val="00CC58D3"/>
    <w:rsid w:val="00CC784D"/>
    <w:rsid w:val="00CD01C5"/>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221F1"/>
    <w:rsid w:val="00D2393C"/>
    <w:rsid w:val="00D242F8"/>
    <w:rsid w:val="00D26E06"/>
    <w:rsid w:val="00D32C52"/>
    <w:rsid w:val="00D34245"/>
    <w:rsid w:val="00D34E6B"/>
    <w:rsid w:val="00D37A4C"/>
    <w:rsid w:val="00D414A3"/>
    <w:rsid w:val="00D41BB5"/>
    <w:rsid w:val="00D421DF"/>
    <w:rsid w:val="00D429C6"/>
    <w:rsid w:val="00D47748"/>
    <w:rsid w:val="00D5173C"/>
    <w:rsid w:val="00D51EBB"/>
    <w:rsid w:val="00D54CC3"/>
    <w:rsid w:val="00D567B0"/>
    <w:rsid w:val="00D6041A"/>
    <w:rsid w:val="00D633EB"/>
    <w:rsid w:val="00D66C4C"/>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6DA9"/>
    <w:rsid w:val="00D97DB6"/>
    <w:rsid w:val="00DA0C59"/>
    <w:rsid w:val="00DA3991"/>
    <w:rsid w:val="00DA43C3"/>
    <w:rsid w:val="00DB12DE"/>
    <w:rsid w:val="00DB3709"/>
    <w:rsid w:val="00DB5F1D"/>
    <w:rsid w:val="00DB72FF"/>
    <w:rsid w:val="00DB7566"/>
    <w:rsid w:val="00DB7E6C"/>
    <w:rsid w:val="00DC1267"/>
    <w:rsid w:val="00DC3B61"/>
    <w:rsid w:val="00DC6D7E"/>
    <w:rsid w:val="00DD09D2"/>
    <w:rsid w:val="00DD5A29"/>
    <w:rsid w:val="00DD5D9D"/>
    <w:rsid w:val="00DE0570"/>
    <w:rsid w:val="00DE1E8C"/>
    <w:rsid w:val="00DE35CB"/>
    <w:rsid w:val="00DE54C0"/>
    <w:rsid w:val="00DE5E0F"/>
    <w:rsid w:val="00DE611F"/>
    <w:rsid w:val="00DE6E45"/>
    <w:rsid w:val="00DF21E9"/>
    <w:rsid w:val="00DF3746"/>
    <w:rsid w:val="00DF3835"/>
    <w:rsid w:val="00DF45C6"/>
    <w:rsid w:val="00DF4689"/>
    <w:rsid w:val="00DF5466"/>
    <w:rsid w:val="00E00F14"/>
    <w:rsid w:val="00E014DB"/>
    <w:rsid w:val="00E01B56"/>
    <w:rsid w:val="00E01E2C"/>
    <w:rsid w:val="00E06386"/>
    <w:rsid w:val="00E06523"/>
    <w:rsid w:val="00E06724"/>
    <w:rsid w:val="00E06A22"/>
    <w:rsid w:val="00E1006D"/>
    <w:rsid w:val="00E1088B"/>
    <w:rsid w:val="00E12D88"/>
    <w:rsid w:val="00E14DD6"/>
    <w:rsid w:val="00E2225D"/>
    <w:rsid w:val="00E24EB4"/>
    <w:rsid w:val="00E320ED"/>
    <w:rsid w:val="00E32DF6"/>
    <w:rsid w:val="00E33AFB"/>
    <w:rsid w:val="00E34218"/>
    <w:rsid w:val="00E36B6A"/>
    <w:rsid w:val="00E427A5"/>
    <w:rsid w:val="00E42989"/>
    <w:rsid w:val="00E46282"/>
    <w:rsid w:val="00E47E10"/>
    <w:rsid w:val="00E51468"/>
    <w:rsid w:val="00E5216E"/>
    <w:rsid w:val="00E54137"/>
    <w:rsid w:val="00E55461"/>
    <w:rsid w:val="00E57BBB"/>
    <w:rsid w:val="00E60892"/>
    <w:rsid w:val="00E608D9"/>
    <w:rsid w:val="00E60B84"/>
    <w:rsid w:val="00E6237B"/>
    <w:rsid w:val="00E639D6"/>
    <w:rsid w:val="00E664FF"/>
    <w:rsid w:val="00E67760"/>
    <w:rsid w:val="00E70631"/>
    <w:rsid w:val="00E715C9"/>
    <w:rsid w:val="00E72A9E"/>
    <w:rsid w:val="00E74BE1"/>
    <w:rsid w:val="00E766A1"/>
    <w:rsid w:val="00E76C52"/>
    <w:rsid w:val="00E82344"/>
    <w:rsid w:val="00E84C82"/>
    <w:rsid w:val="00E84D64"/>
    <w:rsid w:val="00E86AF7"/>
    <w:rsid w:val="00E87408"/>
    <w:rsid w:val="00E914C4"/>
    <w:rsid w:val="00E934F5"/>
    <w:rsid w:val="00E957A5"/>
    <w:rsid w:val="00E96961"/>
    <w:rsid w:val="00EA72EC"/>
    <w:rsid w:val="00EB04E1"/>
    <w:rsid w:val="00EB11CB"/>
    <w:rsid w:val="00EB275A"/>
    <w:rsid w:val="00EB3E99"/>
    <w:rsid w:val="00EB786A"/>
    <w:rsid w:val="00EC1578"/>
    <w:rsid w:val="00EC1C72"/>
    <w:rsid w:val="00EC2945"/>
    <w:rsid w:val="00EC3CC9"/>
    <w:rsid w:val="00EC55A5"/>
    <w:rsid w:val="00EC680A"/>
    <w:rsid w:val="00ED0130"/>
    <w:rsid w:val="00ED1196"/>
    <w:rsid w:val="00ED3BD7"/>
    <w:rsid w:val="00ED7AEE"/>
    <w:rsid w:val="00EE1B8C"/>
    <w:rsid w:val="00EE1BF1"/>
    <w:rsid w:val="00EE205B"/>
    <w:rsid w:val="00EE2BED"/>
    <w:rsid w:val="00EE3414"/>
    <w:rsid w:val="00EE374B"/>
    <w:rsid w:val="00EE4805"/>
    <w:rsid w:val="00EE59FB"/>
    <w:rsid w:val="00EE7E7F"/>
    <w:rsid w:val="00EF10F8"/>
    <w:rsid w:val="00EF58BA"/>
    <w:rsid w:val="00EF7629"/>
    <w:rsid w:val="00F01332"/>
    <w:rsid w:val="00F02D00"/>
    <w:rsid w:val="00F11BB5"/>
    <w:rsid w:val="00F1417B"/>
    <w:rsid w:val="00F1787C"/>
    <w:rsid w:val="00F20AA8"/>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0727"/>
    <w:rsid w:val="00F6373D"/>
    <w:rsid w:val="00F64C3D"/>
    <w:rsid w:val="00F7074B"/>
    <w:rsid w:val="00F72314"/>
    <w:rsid w:val="00F737AD"/>
    <w:rsid w:val="00F75807"/>
    <w:rsid w:val="00F81158"/>
    <w:rsid w:val="00F81D29"/>
    <w:rsid w:val="00F81D61"/>
    <w:rsid w:val="00F81DC8"/>
    <w:rsid w:val="00F90061"/>
    <w:rsid w:val="00F91C4D"/>
    <w:rsid w:val="00F91E00"/>
    <w:rsid w:val="00F92FD9"/>
    <w:rsid w:val="00F96BC5"/>
    <w:rsid w:val="00F976AD"/>
    <w:rsid w:val="00FA1947"/>
    <w:rsid w:val="00FA1D78"/>
    <w:rsid w:val="00FA2541"/>
    <w:rsid w:val="00FA42EF"/>
    <w:rsid w:val="00FA4EF5"/>
    <w:rsid w:val="00FA6470"/>
    <w:rsid w:val="00FA6684"/>
    <w:rsid w:val="00FA6963"/>
    <w:rsid w:val="00FA705E"/>
    <w:rsid w:val="00FA731E"/>
    <w:rsid w:val="00FB022A"/>
    <w:rsid w:val="00FB0B66"/>
    <w:rsid w:val="00FB1366"/>
    <w:rsid w:val="00FB2B38"/>
    <w:rsid w:val="00FB3791"/>
    <w:rsid w:val="00FB653E"/>
    <w:rsid w:val="00FC6358"/>
    <w:rsid w:val="00FC6C90"/>
    <w:rsid w:val="00FD04BB"/>
    <w:rsid w:val="00FD066A"/>
    <w:rsid w:val="00FD1AD2"/>
    <w:rsid w:val="00FD320D"/>
    <w:rsid w:val="00FD570D"/>
    <w:rsid w:val="00FD752C"/>
    <w:rsid w:val="00FE05C6"/>
    <w:rsid w:val="00FE1498"/>
    <w:rsid w:val="00FE23DE"/>
    <w:rsid w:val="0A842761"/>
    <w:rsid w:val="0C68411F"/>
    <w:rsid w:val="0DD7773F"/>
    <w:rsid w:val="0E8D76BF"/>
    <w:rsid w:val="0F515C7A"/>
    <w:rsid w:val="11A2456B"/>
    <w:rsid w:val="128A1009"/>
    <w:rsid w:val="1B650AE3"/>
    <w:rsid w:val="1C11425A"/>
    <w:rsid w:val="1F3E57F5"/>
    <w:rsid w:val="2029278C"/>
    <w:rsid w:val="215C14F1"/>
    <w:rsid w:val="24642242"/>
    <w:rsid w:val="2B9D1BD3"/>
    <w:rsid w:val="2E1C1A4E"/>
    <w:rsid w:val="44C91FC3"/>
    <w:rsid w:val="4C4874E2"/>
    <w:rsid w:val="4DC024C2"/>
    <w:rsid w:val="51C508AC"/>
    <w:rsid w:val="521A3A80"/>
    <w:rsid w:val="529945F3"/>
    <w:rsid w:val="585D505C"/>
    <w:rsid w:val="5AE12A2F"/>
    <w:rsid w:val="5F7B5377"/>
    <w:rsid w:val="6568477B"/>
    <w:rsid w:val="674B0307"/>
    <w:rsid w:val="68D52A0C"/>
    <w:rsid w:val="6E906FA7"/>
    <w:rsid w:val="72917923"/>
    <w:rsid w:val="74A70BD1"/>
    <w:rsid w:val="799C7E72"/>
    <w:rsid w:val="7DBD2FDC"/>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156"/>
    <w:qFormat/>
    <w:uiPriority w:val="0"/>
    <w:pPr>
      <w:jc w:val="left"/>
      <w:outlineLvl w:val="2"/>
    </w:pPr>
    <w:rPr>
      <w:rFonts w:hint="eastAsia" w:ascii="宋体" w:hAnsi="宋体"/>
      <w:b/>
      <w:kern w:val="0"/>
      <w:sz w:val="2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163"/>
    <w:semiHidden/>
    <w:qFormat/>
    <w:uiPriority w:val="0"/>
    <w:pPr>
      <w:shd w:val="clear" w:color="auto" w:fill="000080"/>
    </w:pPr>
  </w:style>
  <w:style w:type="paragraph" w:styleId="9">
    <w:name w:val="annotation text"/>
    <w:basedOn w:val="1"/>
    <w:link w:val="153"/>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link w:val="165"/>
    <w:semiHidden/>
    <w:qFormat/>
    <w:uiPriority w:val="0"/>
    <w:pPr>
      <w:snapToGrid w:val="0"/>
      <w:jc w:val="left"/>
    </w:pPr>
  </w:style>
  <w:style w:type="paragraph" w:styleId="17">
    <w:name w:val="Balloon Text"/>
    <w:basedOn w:val="1"/>
    <w:link w:val="49"/>
    <w:qFormat/>
    <w:uiPriority w:val="0"/>
    <w:rPr>
      <w:sz w:val="18"/>
      <w:szCs w:val="18"/>
    </w:rPr>
  </w:style>
  <w:style w:type="paragraph" w:styleId="18">
    <w:name w:val="footer"/>
    <w:basedOn w:val="1"/>
    <w:link w:val="60"/>
    <w:qFormat/>
    <w:uiPriority w:val="0"/>
    <w:pPr>
      <w:snapToGrid w:val="0"/>
      <w:ind w:right="210" w:rightChars="100"/>
      <w:jc w:val="right"/>
    </w:pPr>
    <w:rPr>
      <w:sz w:val="18"/>
      <w:szCs w:val="18"/>
    </w:rPr>
  </w:style>
  <w:style w:type="paragraph" w:styleId="19">
    <w:name w:val="header"/>
    <w:basedOn w:val="1"/>
    <w:link w:val="48"/>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64"/>
    <w:qFormat/>
    <w:uiPriority w:val="0"/>
    <w:pPr>
      <w:tabs>
        <w:tab w:val="left" w:pos="0"/>
      </w:tabs>
      <w:snapToGrid w:val="0"/>
      <w:ind w:left="720" w:hanging="357"/>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54"/>
    <w:semiHidden/>
    <w:unhideWhenUsed/>
    <w:qFormat/>
    <w:uiPriority w:val="0"/>
    <w:rPr>
      <w:b/>
      <w:bCs/>
    </w:rPr>
  </w:style>
  <w:style w:type="table" w:styleId="35">
    <w:name w:val="Table Grid"/>
    <w:basedOn w:val="34"/>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sz w:val="24"/>
      <w:szCs w:val="24"/>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qFormat/>
    <w:uiPriority w:val="0"/>
    <w:rPr>
      <w:color w:val="CC0000"/>
      <w:sz w:val="24"/>
      <w:szCs w:val="24"/>
    </w:rPr>
  </w:style>
  <w:style w:type="character" w:styleId="42">
    <w:name w:val="Hyperlink"/>
    <w:qFormat/>
    <w:uiPriority w:val="0"/>
    <w:rPr>
      <w:color w:val="0000FF"/>
      <w:spacing w:val="0"/>
      <w:w w:val="100"/>
      <w:szCs w:val="21"/>
      <w:u w:val="single"/>
      <w:lang w:val="en-US" w:eastAsia="zh-CN"/>
    </w:rPr>
  </w:style>
  <w:style w:type="character" w:styleId="43">
    <w:name w:val="annotation reference"/>
    <w:basedOn w:val="36"/>
    <w:unhideWhenUsed/>
    <w:qFormat/>
    <w:uiPriority w:val="0"/>
    <w:rPr>
      <w:sz w:val="21"/>
      <w:szCs w:val="21"/>
    </w:rPr>
  </w:style>
  <w:style w:type="character" w:styleId="44">
    <w:name w:val="HTML Cite"/>
    <w:qFormat/>
    <w:uiPriority w:val="0"/>
    <w:rPr>
      <w:sz w:val="24"/>
      <w:szCs w:val="24"/>
    </w:rPr>
  </w:style>
  <w:style w:type="character" w:styleId="45">
    <w:name w:val="footnote reference"/>
    <w:semiHidden/>
    <w:qFormat/>
    <w:uiPriority w:val="0"/>
    <w:rPr>
      <w:vertAlign w:val="superscript"/>
    </w:rPr>
  </w:style>
  <w:style w:type="character" w:customStyle="1" w:styleId="46">
    <w:name w:val="段 Char"/>
    <w:link w:val="24"/>
    <w:qFormat/>
    <w:uiPriority w:val="0"/>
    <w:rPr>
      <w:rFonts w:ascii="宋体"/>
      <w:sz w:val="21"/>
      <w:lang w:val="en-US" w:eastAsia="zh-CN" w:bidi="ar-SA"/>
    </w:rPr>
  </w:style>
  <w:style w:type="character" w:customStyle="1" w:styleId="47">
    <w:name w:val="访问过的超链接1"/>
    <w:qFormat/>
    <w:uiPriority w:val="0"/>
    <w:rPr>
      <w:color w:val="800080"/>
      <w:u w:val="single"/>
    </w:rPr>
  </w:style>
  <w:style w:type="character" w:customStyle="1" w:styleId="48">
    <w:name w:val="页眉 Char"/>
    <w:link w:val="19"/>
    <w:qFormat/>
    <w:locked/>
    <w:uiPriority w:val="0"/>
    <w:rPr>
      <w:kern w:val="2"/>
      <w:sz w:val="18"/>
      <w:szCs w:val="18"/>
    </w:rPr>
  </w:style>
  <w:style w:type="character" w:customStyle="1" w:styleId="49">
    <w:name w:val="批注框文本 Char"/>
    <w:link w:val="17"/>
    <w:qFormat/>
    <w:uiPriority w:val="0"/>
    <w:rPr>
      <w:kern w:val="2"/>
      <w:sz w:val="18"/>
      <w:szCs w:val="18"/>
    </w:rPr>
  </w:style>
  <w:style w:type="character" w:customStyle="1" w:styleId="50">
    <w:name w:val="发布"/>
    <w:qFormat/>
    <w:uiPriority w:val="0"/>
    <w:rPr>
      <w:rFonts w:ascii="黑体" w:eastAsia="黑体"/>
      <w:spacing w:val="85"/>
      <w:w w:val="100"/>
      <w:position w:val="3"/>
      <w:sz w:val="28"/>
      <w:szCs w:val="28"/>
    </w:rPr>
  </w:style>
  <w:style w:type="character" w:customStyle="1" w:styleId="51">
    <w:name w:val="章标题 Char"/>
    <w:link w:val="52"/>
    <w:qFormat/>
    <w:locked/>
    <w:uiPriority w:val="0"/>
    <w:rPr>
      <w:rFonts w:ascii="黑体" w:eastAsia="黑体"/>
      <w:sz w:val="21"/>
    </w:rPr>
  </w:style>
  <w:style w:type="paragraph" w:customStyle="1" w:styleId="52">
    <w:name w:val="章标题"/>
    <w:next w:val="24"/>
    <w:link w:val="51"/>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rPr>
  </w:style>
  <w:style w:type="paragraph" w:customStyle="1" w:styleId="54">
    <w:name w:val="一级条标题"/>
    <w:next w:val="24"/>
    <w:link w:val="53"/>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5">
    <w:name w:val="二级无 Char"/>
    <w:link w:val="56"/>
    <w:qFormat/>
    <w:locked/>
    <w:uiPriority w:val="0"/>
    <w:rPr>
      <w:rFonts w:ascii="宋体"/>
      <w:sz w:val="21"/>
      <w:szCs w:val="21"/>
    </w:rPr>
  </w:style>
  <w:style w:type="paragraph" w:customStyle="1" w:styleId="56">
    <w:name w:val="二级无"/>
    <w:basedOn w:val="57"/>
    <w:link w:val="55"/>
    <w:qFormat/>
    <w:uiPriority w:val="0"/>
    <w:pPr>
      <w:spacing w:beforeLines="0" w:afterLines="0"/>
    </w:pPr>
    <w:rPr>
      <w:rFonts w:ascii="宋体" w:eastAsia="宋体"/>
    </w:rPr>
  </w:style>
  <w:style w:type="paragraph" w:customStyle="1" w:styleId="57">
    <w:name w:val="二级条标题"/>
    <w:basedOn w:val="54"/>
    <w:next w:val="24"/>
    <w:link w:val="152"/>
    <w:qFormat/>
    <w:uiPriority w:val="0"/>
    <w:pPr>
      <w:spacing w:before="50" w:after="50"/>
      <w:outlineLvl w:val="3"/>
    </w:pPr>
  </w:style>
  <w:style w:type="character" w:customStyle="1" w:styleId="58">
    <w:name w:val="附录公式 Char"/>
    <w:basedOn w:val="46"/>
    <w:link w:val="59"/>
    <w:qFormat/>
    <w:uiPriority w:val="0"/>
    <w:rPr>
      <w:rFonts w:ascii="宋体"/>
      <w:sz w:val="21"/>
      <w:lang w:val="en-US" w:eastAsia="zh-CN" w:bidi="ar-SA"/>
    </w:rPr>
  </w:style>
  <w:style w:type="paragraph" w:customStyle="1" w:styleId="59">
    <w:name w:val="附录公式"/>
    <w:basedOn w:val="24"/>
    <w:next w:val="24"/>
    <w:link w:val="58"/>
    <w:qFormat/>
    <w:uiPriority w:val="0"/>
  </w:style>
  <w:style w:type="character" w:customStyle="1" w:styleId="60">
    <w:name w:val="页脚 Char"/>
    <w:link w:val="18"/>
    <w:qFormat/>
    <w:locked/>
    <w:uiPriority w:val="0"/>
    <w:rPr>
      <w:kern w:val="2"/>
      <w:sz w:val="18"/>
      <w:szCs w:val="18"/>
    </w:rPr>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4"/>
    <w:link w:val="61"/>
    <w:qFormat/>
    <w:uiPriority w:val="0"/>
    <w:pPr>
      <w:tabs>
        <w:tab w:val="left" w:pos="360"/>
      </w:tabs>
    </w:pPr>
    <w:rPr>
      <w:rFonts w:ascii="宋体" w:hAnsi="宋体" w:eastAsia="宋体" w:cs="Times New Roman"/>
      <w:kern w:val="2"/>
      <w:sz w:val="18"/>
      <w:szCs w:val="18"/>
      <w:lang w:val="en-US" w:eastAsia="zh-CN" w:bidi="ar-SA"/>
    </w:rPr>
  </w:style>
  <w:style w:type="paragraph" w:customStyle="1" w:styleId="63">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6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示例后文字"/>
    <w:basedOn w:val="24"/>
    <w:next w:val="24"/>
    <w:qFormat/>
    <w:uiPriority w:val="0"/>
    <w:pPr>
      <w:ind w:firstLine="360"/>
    </w:pPr>
    <w:rPr>
      <w:sz w:val="18"/>
    </w:rPr>
  </w:style>
  <w:style w:type="paragraph" w:customStyle="1" w:styleId="6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附录表标号"/>
    <w:basedOn w:val="1"/>
    <w:next w:val="24"/>
    <w:qFormat/>
    <w:uiPriority w:val="0"/>
    <w:pPr>
      <w:spacing w:line="14" w:lineRule="exact"/>
      <w:ind w:left="811" w:hanging="448"/>
      <w:jc w:val="center"/>
      <w:outlineLvl w:val="0"/>
    </w:pPr>
    <w:rPr>
      <w:color w:val="FFFFFF"/>
    </w:rPr>
  </w:style>
  <w:style w:type="paragraph" w:customStyle="1" w:styleId="72">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3">
    <w:name w:val="封面一致性程度标识"/>
    <w:basedOn w:val="74"/>
    <w:qFormat/>
    <w:uiPriority w:val="0"/>
    <w:pPr>
      <w:framePr w:wrap="around"/>
      <w:spacing w:before="440"/>
    </w:pPr>
    <w:rPr>
      <w:rFonts w:ascii="宋体" w:eastAsia="宋体"/>
    </w:rPr>
  </w:style>
  <w:style w:type="paragraph" w:customStyle="1" w:styleId="74">
    <w:name w:val="封面标准英文名称"/>
    <w:basedOn w:val="75"/>
    <w:qFormat/>
    <w:uiPriority w:val="0"/>
    <w:pPr>
      <w:framePr w:wrap="around"/>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附录二级无"/>
    <w:basedOn w:val="72"/>
    <w:qFormat/>
    <w:uiPriority w:val="0"/>
    <w:pPr>
      <w:tabs>
        <w:tab w:val="clear" w:pos="360"/>
      </w:tabs>
      <w:spacing w:beforeLines="0" w:afterLines="0"/>
    </w:pPr>
    <w:rPr>
      <w:rFonts w:ascii="宋体" w:eastAsia="宋体"/>
      <w:szCs w:val="21"/>
    </w:rPr>
  </w:style>
  <w:style w:type="paragraph" w:customStyle="1" w:styleId="77">
    <w:name w:val="一级无"/>
    <w:basedOn w:val="54"/>
    <w:qFormat/>
    <w:uiPriority w:val="0"/>
    <w:pPr>
      <w:spacing w:beforeLines="0" w:afterLines="0"/>
    </w:pPr>
    <w:rPr>
      <w:rFonts w:ascii="宋体" w:eastAsia="宋体"/>
    </w:rPr>
  </w:style>
  <w:style w:type="paragraph" w:customStyle="1" w:styleId="78">
    <w:name w:val="实施日期"/>
    <w:basedOn w:val="64"/>
    <w:qFormat/>
    <w:uiPriority w:val="0"/>
    <w:pPr>
      <w:framePr w:wrap="around" w:vAnchor="page" w:hAnchor="text"/>
      <w:jc w:val="right"/>
    </w:pPr>
  </w:style>
  <w:style w:type="paragraph" w:customStyle="1" w:styleId="79">
    <w:name w:val="四级无"/>
    <w:basedOn w:val="80"/>
    <w:qFormat/>
    <w:uiPriority w:val="0"/>
    <w:pPr>
      <w:spacing w:beforeLines="0" w:afterLines="0"/>
    </w:pPr>
    <w:rPr>
      <w:rFonts w:ascii="宋体" w:eastAsia="宋体"/>
    </w:rPr>
  </w:style>
  <w:style w:type="paragraph" w:customStyle="1" w:styleId="80">
    <w:name w:val="四级条标题"/>
    <w:basedOn w:val="81"/>
    <w:next w:val="24"/>
    <w:qFormat/>
    <w:uiPriority w:val="0"/>
    <w:pPr>
      <w:outlineLvl w:val="5"/>
    </w:pPr>
  </w:style>
  <w:style w:type="paragraph" w:customStyle="1" w:styleId="81">
    <w:name w:val="三级条标题"/>
    <w:basedOn w:val="57"/>
    <w:next w:val="24"/>
    <w:qFormat/>
    <w:uiPriority w:val="0"/>
    <w:pPr>
      <w:outlineLvl w:val="4"/>
    </w:pPr>
  </w:style>
  <w:style w:type="paragraph" w:customStyle="1" w:styleId="8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8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4">
    <w:name w:val="正文表标题"/>
    <w:next w:val="24"/>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图标脚注说明"/>
    <w:basedOn w:val="24"/>
    <w:qFormat/>
    <w:uiPriority w:val="0"/>
    <w:pPr>
      <w:ind w:left="840" w:hanging="420" w:firstLineChars="0"/>
    </w:pPr>
    <w:rPr>
      <w:sz w:val="18"/>
      <w:szCs w:val="18"/>
    </w:rPr>
  </w:style>
  <w:style w:type="paragraph" w:customStyle="1" w:styleId="87">
    <w:name w:val="列项◆（三级）"/>
    <w:basedOn w:val="1"/>
    <w:qFormat/>
    <w:uiPriority w:val="0"/>
    <w:pPr>
      <w:tabs>
        <w:tab w:val="left" w:pos="1678"/>
      </w:tabs>
      <w:ind w:left="1678" w:hanging="414"/>
    </w:pPr>
    <w:rPr>
      <w:rFonts w:ascii="宋体"/>
      <w:szCs w:val="21"/>
    </w:rPr>
  </w:style>
  <w:style w:type="paragraph" w:customStyle="1" w:styleId="8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9">
    <w:name w:val="附录三级条标题"/>
    <w:basedOn w:val="72"/>
    <w:next w:val="24"/>
    <w:qFormat/>
    <w:uiPriority w:val="0"/>
    <w:pPr>
      <w:outlineLvl w:val="4"/>
    </w:p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附录五级无"/>
    <w:basedOn w:val="92"/>
    <w:qFormat/>
    <w:uiPriority w:val="0"/>
    <w:pPr>
      <w:tabs>
        <w:tab w:val="left" w:pos="360"/>
      </w:tabs>
      <w:spacing w:beforeLines="0" w:afterLines="0"/>
    </w:pPr>
    <w:rPr>
      <w:rFonts w:ascii="宋体" w:eastAsia="宋体"/>
      <w:szCs w:val="21"/>
    </w:rPr>
  </w:style>
  <w:style w:type="paragraph" w:customStyle="1" w:styleId="92">
    <w:name w:val="附录五级条标题"/>
    <w:basedOn w:val="93"/>
    <w:next w:val="24"/>
    <w:qFormat/>
    <w:uiPriority w:val="0"/>
    <w:pPr>
      <w:tabs>
        <w:tab w:val="left" w:pos="360"/>
      </w:tabs>
      <w:outlineLvl w:val="6"/>
    </w:pPr>
  </w:style>
  <w:style w:type="paragraph" w:customStyle="1" w:styleId="93">
    <w:name w:val="附录四级条标题"/>
    <w:basedOn w:val="89"/>
    <w:next w:val="24"/>
    <w:qFormat/>
    <w:uiPriority w:val="0"/>
    <w:pPr>
      <w:outlineLvl w:val="5"/>
    </w:pPr>
  </w:style>
  <w:style w:type="paragraph" w:customStyle="1" w:styleId="9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5">
    <w:name w:val="附录一级无"/>
    <w:basedOn w:val="96"/>
    <w:qFormat/>
    <w:uiPriority w:val="0"/>
    <w:pPr>
      <w:tabs>
        <w:tab w:val="left" w:pos="360"/>
      </w:tabs>
      <w:spacing w:beforeLines="0" w:afterLines="0"/>
    </w:pPr>
    <w:rPr>
      <w:rFonts w:ascii="宋体" w:eastAsia="宋体"/>
      <w:szCs w:val="21"/>
    </w:rPr>
  </w:style>
  <w:style w:type="paragraph" w:customStyle="1" w:styleId="96">
    <w:name w:val="附录一级条标题"/>
    <w:basedOn w:val="97"/>
    <w:next w:val="24"/>
    <w:qFormat/>
    <w:uiPriority w:val="0"/>
    <w:pPr>
      <w:tabs>
        <w:tab w:val="left" w:pos="360"/>
      </w:tabs>
      <w:autoSpaceDN w:val="0"/>
      <w:spacing w:beforeLines="50" w:afterLines="50"/>
      <w:outlineLvl w:val="2"/>
    </w:pPr>
  </w:style>
  <w:style w:type="paragraph" w:customStyle="1" w:styleId="97">
    <w:name w:val="附录章标题"/>
    <w:next w:val="2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图标题"/>
    <w:basedOn w:val="1"/>
    <w:next w:val="24"/>
    <w:qFormat/>
    <w:uiPriority w:val="0"/>
    <w:pPr>
      <w:tabs>
        <w:tab w:val="left" w:pos="363"/>
      </w:tabs>
      <w:spacing w:beforeLines="50" w:afterLines="50"/>
      <w:jc w:val="center"/>
    </w:pPr>
    <w:rPr>
      <w:rFonts w:ascii="黑体" w:eastAsia="黑体"/>
      <w:szCs w:val="21"/>
    </w:rPr>
  </w:style>
  <w:style w:type="paragraph" w:customStyle="1" w:styleId="10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7">
    <w:name w:val="条文脚注"/>
    <w:basedOn w:val="25"/>
    <w:qFormat/>
    <w:uiPriority w:val="0"/>
    <w:pPr>
      <w:ind w:left="0" w:firstLine="0"/>
      <w:jc w:val="both"/>
    </w:pPr>
  </w:style>
  <w:style w:type="paragraph" w:customStyle="1" w:styleId="10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9">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10">
    <w:name w:val="示例"/>
    <w:next w:val="11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2">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13">
    <w:name w:val="封面一致性程度标识2"/>
    <w:basedOn w:val="73"/>
    <w:qFormat/>
    <w:uiPriority w:val="0"/>
    <w:pPr>
      <w:framePr w:wrap="around" w:y="4469"/>
    </w:pPr>
  </w:style>
  <w:style w:type="paragraph" w:customStyle="1" w:styleId="11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5">
    <w:name w:val="附录三级无"/>
    <w:basedOn w:val="89"/>
    <w:qFormat/>
    <w:uiPriority w:val="0"/>
    <w:pPr>
      <w:tabs>
        <w:tab w:val="clear" w:pos="360"/>
      </w:tabs>
      <w:spacing w:beforeLines="0" w:afterLines="0"/>
    </w:pPr>
    <w:rPr>
      <w:rFonts w:ascii="宋体" w:eastAsia="宋体"/>
      <w:szCs w:val="21"/>
    </w:rPr>
  </w:style>
  <w:style w:type="paragraph" w:customStyle="1" w:styleId="116">
    <w:name w:val="其他发布日期"/>
    <w:basedOn w:val="64"/>
    <w:qFormat/>
    <w:uiPriority w:val="0"/>
    <w:pPr>
      <w:framePr w:wrap="around" w:vAnchor="page" w:hAnchor="text" w:x="1419"/>
    </w:pPr>
  </w:style>
  <w:style w:type="paragraph" w:customStyle="1" w:styleId="117">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8">
    <w:name w:val="其他标准标志"/>
    <w:basedOn w:val="108"/>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图表脚注说明"/>
    <w:basedOn w:val="1"/>
    <w:qFormat/>
    <w:uiPriority w:val="0"/>
    <w:pPr>
      <w:ind w:left="544" w:hanging="181"/>
    </w:pPr>
    <w:rPr>
      <w:rFonts w:ascii="宋体"/>
      <w:sz w:val="18"/>
      <w:szCs w:val="18"/>
    </w:rPr>
  </w:style>
  <w:style w:type="paragraph" w:customStyle="1" w:styleId="121">
    <w:name w:val="五级条标题"/>
    <w:basedOn w:val="80"/>
    <w:next w:val="24"/>
    <w:qFormat/>
    <w:uiPriority w:val="0"/>
    <w:pPr>
      <w:outlineLvl w:val="6"/>
    </w:pPr>
  </w:style>
  <w:style w:type="paragraph" w:customStyle="1" w:styleId="122">
    <w:name w:val="封面标准文稿类别"/>
    <w:basedOn w:val="73"/>
    <w:qFormat/>
    <w:uiPriority w:val="0"/>
    <w:pPr>
      <w:framePr w:wrap="around"/>
      <w:spacing w:after="160" w:line="240" w:lineRule="auto"/>
    </w:pPr>
    <w:rPr>
      <w:sz w:val="24"/>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示例×："/>
    <w:basedOn w:val="52"/>
    <w:qFormat/>
    <w:uiPriority w:val="0"/>
    <w:pPr>
      <w:spacing w:beforeLines="0" w:afterLines="0"/>
      <w:ind w:firstLine="363"/>
      <w:outlineLvl w:val="9"/>
    </w:pPr>
    <w:rPr>
      <w:rFonts w:ascii="宋体" w:eastAsia="宋体"/>
      <w:sz w:val="18"/>
      <w:szCs w:val="18"/>
    </w:rPr>
  </w:style>
  <w:style w:type="paragraph" w:customStyle="1" w:styleId="12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7">
    <w:name w:val="附录标识"/>
    <w:basedOn w:val="1"/>
    <w:next w:val="24"/>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标准书眉_偶数页"/>
    <w:basedOn w:val="90"/>
    <w:next w:val="1"/>
    <w:qFormat/>
    <w:uiPriority w:val="0"/>
    <w:pPr>
      <w:jc w:val="left"/>
    </w:pPr>
  </w:style>
  <w:style w:type="paragraph" w:customStyle="1" w:styleId="129">
    <w:name w:val="封面标准文稿编辑信息"/>
    <w:basedOn w:val="122"/>
    <w:qFormat/>
    <w:uiPriority w:val="0"/>
    <w:pPr>
      <w:framePr w:wrap="around"/>
      <w:spacing w:before="180" w:line="180" w:lineRule="exact"/>
    </w:pPr>
    <w:rPr>
      <w:sz w:val="21"/>
    </w:rPr>
  </w:style>
  <w:style w:type="paragraph" w:customStyle="1" w:styleId="130">
    <w:name w:val="附录表标题"/>
    <w:basedOn w:val="1"/>
    <w:next w:val="24"/>
    <w:qFormat/>
    <w:uiPriority w:val="0"/>
    <w:pPr>
      <w:tabs>
        <w:tab w:val="left" w:pos="180"/>
      </w:tabs>
      <w:spacing w:beforeLines="50" w:afterLines="50"/>
      <w:jc w:val="center"/>
    </w:pPr>
    <w:rPr>
      <w:rFonts w:ascii="黑体" w:eastAsia="黑体"/>
      <w:szCs w:val="21"/>
    </w:rPr>
  </w:style>
  <w:style w:type="paragraph" w:customStyle="1" w:styleId="131">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2">
    <w:name w:val="注：（正文）"/>
    <w:basedOn w:val="131"/>
    <w:next w:val="24"/>
    <w:qFormat/>
    <w:uiPriority w:val="0"/>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6">
    <w:name w:val="附录标题"/>
    <w:basedOn w:val="24"/>
    <w:next w:val="24"/>
    <w:qFormat/>
    <w:uiPriority w:val="0"/>
    <w:pPr>
      <w:ind w:firstLine="0" w:firstLineChars="0"/>
      <w:jc w:val="center"/>
    </w:pPr>
    <w:rPr>
      <w:rFonts w:ascii="黑体" w:eastAsia="黑体"/>
    </w:rPr>
  </w:style>
  <w:style w:type="paragraph" w:customStyle="1" w:styleId="13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8">
    <w:name w:val="封面标准名称2"/>
    <w:basedOn w:val="75"/>
    <w:qFormat/>
    <w:uiPriority w:val="0"/>
    <w:pPr>
      <w:framePr w:wrap="around" w:y="4469"/>
      <w:spacing w:beforeLines="630"/>
    </w:pPr>
  </w:style>
  <w:style w:type="paragraph" w:customStyle="1" w:styleId="139">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0">
    <w:name w:val="封面标准文稿编辑信息2"/>
    <w:basedOn w:val="129"/>
    <w:qFormat/>
    <w:uiPriority w:val="0"/>
    <w:pPr>
      <w:framePr w:wrap="around" w:y="4469"/>
    </w:pPr>
  </w:style>
  <w:style w:type="paragraph" w:customStyle="1" w:styleId="141">
    <w:name w:val="其他发布部门"/>
    <w:basedOn w:val="139"/>
    <w:qFormat/>
    <w:uiPriority w:val="0"/>
    <w:pPr>
      <w:framePr w:wrap="around" w:y="15310"/>
      <w:spacing w:line="0" w:lineRule="atLeast"/>
    </w:pPr>
    <w:rPr>
      <w:rFonts w:ascii="黑体" w:eastAsia="黑体"/>
      <w:b w:val="0"/>
    </w:rPr>
  </w:style>
  <w:style w:type="paragraph" w:customStyle="1" w:styleId="142">
    <w:name w:val="附录四级无"/>
    <w:basedOn w:val="93"/>
    <w:qFormat/>
    <w:uiPriority w:val="0"/>
    <w:pPr>
      <w:tabs>
        <w:tab w:val="clear" w:pos="360"/>
      </w:tabs>
      <w:spacing w:beforeLines="0" w:afterLines="0"/>
    </w:pPr>
    <w:rPr>
      <w:rFonts w:ascii="宋体" w:eastAsia="宋体"/>
      <w:szCs w:val="21"/>
    </w:rPr>
  </w:style>
  <w:style w:type="paragraph" w:customStyle="1" w:styleId="143">
    <w:name w:val="三级无"/>
    <w:basedOn w:val="81"/>
    <w:qFormat/>
    <w:uiPriority w:val="0"/>
    <w:pPr>
      <w:spacing w:beforeLines="0" w:afterLines="0"/>
    </w:pPr>
    <w:rPr>
      <w:rFonts w:ascii="宋体" w:eastAsia="宋体"/>
    </w:rPr>
  </w:style>
  <w:style w:type="paragraph" w:customStyle="1" w:styleId="144">
    <w:name w:val="五级无"/>
    <w:basedOn w:val="121"/>
    <w:qFormat/>
    <w:uiPriority w:val="0"/>
    <w:pPr>
      <w:spacing w:beforeLines="0" w:afterLines="0"/>
    </w:pPr>
    <w:rPr>
      <w:rFonts w:ascii="宋体" w:eastAsia="宋体"/>
    </w:rPr>
  </w:style>
  <w:style w:type="paragraph" w:customStyle="1" w:styleId="145">
    <w:name w:val="正文公式编号制表符"/>
    <w:basedOn w:val="24"/>
    <w:next w:val="24"/>
    <w:qFormat/>
    <w:uiPriority w:val="0"/>
    <w:pPr>
      <w:ind w:firstLine="0" w:firstLineChars="0"/>
    </w:pPr>
  </w:style>
  <w:style w:type="paragraph" w:customStyle="1" w:styleId="146">
    <w:name w:val="终结线"/>
    <w:basedOn w:val="1"/>
    <w:qFormat/>
    <w:uiPriority w:val="0"/>
    <w:pPr>
      <w:framePr w:hSpace="181" w:vSpace="181" w:wrap="around" w:vAnchor="text" w:hAnchor="margin" w:xAlign="center" w:y="285"/>
    </w:pPr>
  </w:style>
  <w:style w:type="paragraph" w:customStyle="1" w:styleId="147">
    <w:name w:val="其他实施日期"/>
    <w:basedOn w:val="78"/>
    <w:qFormat/>
    <w:uiPriority w:val="0"/>
    <w:pPr>
      <w:framePr w:wrap="around"/>
    </w:pPr>
  </w:style>
  <w:style w:type="paragraph" w:customStyle="1" w:styleId="148">
    <w:name w:val="封面标准英文名称2"/>
    <w:basedOn w:val="74"/>
    <w:qFormat/>
    <w:uiPriority w:val="0"/>
    <w:pPr>
      <w:framePr w:wrap="around" w:y="4469"/>
    </w:pPr>
  </w:style>
  <w:style w:type="paragraph" w:customStyle="1" w:styleId="149">
    <w:name w:val="封面标准文稿类别2"/>
    <w:basedOn w:val="122"/>
    <w:qFormat/>
    <w:uiPriority w:val="0"/>
    <w:pPr>
      <w:framePr w:wrap="around" w:y="4469"/>
    </w:pPr>
  </w:style>
  <w:style w:type="paragraph" w:styleId="150">
    <w:name w:val="List Paragraph"/>
    <w:basedOn w:val="1"/>
    <w:qFormat/>
    <w:uiPriority w:val="99"/>
    <w:pPr>
      <w:ind w:firstLine="420" w:firstLineChars="200"/>
    </w:pPr>
    <w:rPr>
      <w:rFonts w:ascii="Calibri" w:hAnsi="Calibri"/>
      <w:szCs w:val="22"/>
    </w:rPr>
  </w:style>
  <w:style w:type="paragraph" w:customStyle="1" w:styleId="151">
    <w:name w:val="Char Char Char Char"/>
    <w:basedOn w:val="1"/>
    <w:qFormat/>
    <w:uiPriority w:val="0"/>
    <w:pPr>
      <w:adjustRightInd w:val="0"/>
      <w:spacing w:line="360" w:lineRule="auto"/>
    </w:pPr>
    <w:rPr>
      <w:kern w:val="0"/>
      <w:sz w:val="24"/>
      <w:szCs w:val="20"/>
    </w:rPr>
  </w:style>
  <w:style w:type="character" w:customStyle="1" w:styleId="152">
    <w:name w:val="二级条标题 Char"/>
    <w:link w:val="57"/>
    <w:qFormat/>
    <w:locked/>
    <w:uiPriority w:val="0"/>
    <w:rPr>
      <w:rFonts w:ascii="黑体" w:eastAsia="黑体"/>
      <w:sz w:val="21"/>
      <w:szCs w:val="21"/>
    </w:rPr>
  </w:style>
  <w:style w:type="character" w:customStyle="1" w:styleId="153">
    <w:name w:val="批注文字 Char"/>
    <w:basedOn w:val="36"/>
    <w:link w:val="9"/>
    <w:qFormat/>
    <w:uiPriority w:val="0"/>
    <w:rPr>
      <w:kern w:val="2"/>
      <w:sz w:val="21"/>
      <w:szCs w:val="24"/>
    </w:rPr>
  </w:style>
  <w:style w:type="character" w:customStyle="1" w:styleId="154">
    <w:name w:val="批注主题 Char"/>
    <w:basedOn w:val="153"/>
    <w:link w:val="33"/>
    <w:semiHidden/>
    <w:qFormat/>
    <w:uiPriority w:val="0"/>
    <w:rPr>
      <w:b/>
      <w:bCs/>
      <w:kern w:val="2"/>
      <w:sz w:val="21"/>
      <w:szCs w:val="24"/>
    </w:rPr>
  </w:style>
  <w:style w:type="character" w:customStyle="1" w:styleId="155">
    <w:name w:val="标题 1 Char"/>
    <w:basedOn w:val="36"/>
    <w:link w:val="2"/>
    <w:qFormat/>
    <w:uiPriority w:val="0"/>
    <w:rPr>
      <w:rFonts w:ascii="宋体" w:hAnsi="宋体"/>
      <w:b/>
      <w:kern w:val="44"/>
      <w:sz w:val="48"/>
      <w:szCs w:val="48"/>
    </w:rPr>
  </w:style>
  <w:style w:type="character" w:customStyle="1" w:styleId="156">
    <w:name w:val="标题 3 Char"/>
    <w:basedOn w:val="36"/>
    <w:link w:val="3"/>
    <w:qFormat/>
    <w:uiPriority w:val="0"/>
    <w:rPr>
      <w:rFonts w:ascii="宋体" w:hAnsi="宋体"/>
      <w:b/>
      <w:sz w:val="24"/>
      <w:szCs w:val="24"/>
    </w:rPr>
  </w:style>
  <w:style w:type="character" w:customStyle="1" w:styleId="157">
    <w:name w:val="font11"/>
    <w:qFormat/>
    <w:uiPriority w:val="0"/>
    <w:rPr>
      <w:rFonts w:hint="default" w:ascii="Times New Roman" w:hAnsi="Times New Roman" w:cs="Times New Roman"/>
      <w:b/>
      <w:color w:val="000000"/>
      <w:sz w:val="24"/>
      <w:szCs w:val="24"/>
      <w:u w:val="none"/>
    </w:rPr>
  </w:style>
  <w:style w:type="character" w:customStyle="1" w:styleId="158">
    <w:name w:val="font31"/>
    <w:qFormat/>
    <w:uiPriority w:val="0"/>
    <w:rPr>
      <w:rFonts w:hint="default" w:ascii="Times New Roman" w:hAnsi="Times New Roman" w:cs="Times New Roman"/>
      <w:color w:val="000000"/>
      <w:sz w:val="24"/>
      <w:szCs w:val="24"/>
      <w:u w:val="none"/>
    </w:rPr>
  </w:style>
  <w:style w:type="character" w:customStyle="1" w:styleId="159">
    <w:name w:val="font21"/>
    <w:qFormat/>
    <w:uiPriority w:val="0"/>
    <w:rPr>
      <w:rFonts w:hint="eastAsia" w:ascii="宋体" w:hAnsi="宋体" w:eastAsia="宋体" w:cs="宋体"/>
      <w:color w:val="000000"/>
      <w:sz w:val="24"/>
      <w:szCs w:val="24"/>
      <w:u w:val="none"/>
    </w:rPr>
  </w:style>
  <w:style w:type="character" w:customStyle="1" w:styleId="160">
    <w:name w:val="font41"/>
    <w:qFormat/>
    <w:uiPriority w:val="0"/>
    <w:rPr>
      <w:rFonts w:hint="default" w:ascii="Times New Roman" w:hAnsi="Times New Roman" w:cs="Times New Roman"/>
      <w:b/>
      <w:color w:val="000000"/>
      <w:sz w:val="24"/>
      <w:szCs w:val="24"/>
      <w:u w:val="none"/>
    </w:rPr>
  </w:style>
  <w:style w:type="character" w:customStyle="1" w:styleId="161">
    <w:name w:val="font81"/>
    <w:qFormat/>
    <w:uiPriority w:val="0"/>
    <w:rPr>
      <w:rFonts w:hint="eastAsia" w:ascii="宋体" w:hAnsi="宋体" w:eastAsia="宋体" w:cs="宋体"/>
      <w:color w:val="000000"/>
      <w:sz w:val="22"/>
      <w:szCs w:val="22"/>
      <w:u w:val="none"/>
    </w:rPr>
  </w:style>
  <w:style w:type="character" w:customStyle="1" w:styleId="162">
    <w:name w:val="font51"/>
    <w:qFormat/>
    <w:uiPriority w:val="0"/>
    <w:rPr>
      <w:rFonts w:hint="eastAsia" w:ascii="宋体" w:hAnsi="宋体" w:eastAsia="宋体" w:cs="宋体"/>
      <w:b/>
      <w:color w:val="000000"/>
      <w:sz w:val="24"/>
      <w:szCs w:val="24"/>
      <w:u w:val="none"/>
    </w:rPr>
  </w:style>
  <w:style w:type="character" w:customStyle="1" w:styleId="163">
    <w:name w:val="文档结构图 Char"/>
    <w:basedOn w:val="36"/>
    <w:link w:val="8"/>
    <w:semiHidden/>
    <w:qFormat/>
    <w:uiPriority w:val="0"/>
    <w:rPr>
      <w:kern w:val="2"/>
      <w:sz w:val="21"/>
      <w:szCs w:val="24"/>
      <w:shd w:val="clear" w:color="auto" w:fill="000080"/>
    </w:rPr>
  </w:style>
  <w:style w:type="character" w:customStyle="1" w:styleId="164">
    <w:name w:val="脚注文本 Char"/>
    <w:basedOn w:val="36"/>
    <w:link w:val="25"/>
    <w:qFormat/>
    <w:uiPriority w:val="0"/>
    <w:rPr>
      <w:rFonts w:ascii="宋体"/>
      <w:kern w:val="2"/>
      <w:sz w:val="18"/>
      <w:szCs w:val="18"/>
    </w:rPr>
  </w:style>
  <w:style w:type="character" w:customStyle="1" w:styleId="165">
    <w:name w:val="尾注文本 Char"/>
    <w:basedOn w:val="36"/>
    <w:link w:val="16"/>
    <w:semiHidden/>
    <w:qFormat/>
    <w:uiPriority w:val="0"/>
    <w:rPr>
      <w:kern w:val="2"/>
      <w:sz w:val="21"/>
      <w:szCs w:val="24"/>
    </w:rPr>
  </w:style>
  <w:style w:type="character" w:customStyle="1" w:styleId="166">
    <w:name w:val="批注框文本 Char1"/>
    <w:basedOn w:val="36"/>
    <w:semiHidden/>
    <w:qFormat/>
    <w:uiPriority w:val="99"/>
    <w:rPr>
      <w:kern w:val="2"/>
      <w:sz w:val="18"/>
      <w:szCs w:val="18"/>
    </w:rPr>
  </w:style>
  <w:style w:type="paragraph" w:customStyle="1" w:styleId="167">
    <w:name w:val="列出段落1"/>
    <w:basedOn w:val="1"/>
    <w:qFormat/>
    <w:uiPriority w:val="34"/>
    <w:pPr>
      <w:ind w:firstLine="420" w:firstLineChars="200"/>
    </w:pPr>
  </w:style>
  <w:style w:type="table" w:customStyle="1" w:styleId="168">
    <w:name w:val="网格型1"/>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23DCC-87E6-4A33-8DE1-06A5054893F8}">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1769</Words>
  <Characters>10088</Characters>
  <Lines>84</Lines>
  <Paragraphs>23</Paragraphs>
  <TotalTime>0</TotalTime>
  <ScaleCrop>false</ScaleCrop>
  <LinksUpToDate>false</LinksUpToDate>
  <CharactersWithSpaces>11834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2023-07-21T06:27:00Z</dcterms:created>
  <dcterms:modified xsi:type="dcterms:W3CDTF">2023-08-24T07:39:54Z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57D9988D6F52450A9E6CEB6490BDBBF3</vt:lpwstr>
  </property>
</Properties>
</file>