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XXXX—XXXX</w:t>
      </w:r>
    </w:p>
    <w:p>
      <w:pPr>
        <w:pStyle w:val="147"/>
        <w:framePr w:wrap="around"/>
        <w:pBdr>
          <w:bottom w:val="single" w:color="auto" w:sz="4" w:space="1"/>
        </w:pBdr>
        <w:wordWrap w:val="0"/>
        <w:spacing w:before="120"/>
        <w:rPr>
          <w:rFonts w:ascii="Times New Roman" w:eastAsia="宋体"/>
        </w:rPr>
      </w:pPr>
      <w:r>
        <w:rPr>
          <w:rFonts w:ascii="Times New Roman" w:eastAsia="宋体"/>
        </w:rPr>
        <w:t>T/CSTA XXXX—XXXX</w:t>
      </w:r>
    </w:p>
    <w:p>
      <w:pPr>
        <w:pStyle w:val="147"/>
        <w:framePr w:wrap="around"/>
        <w:rPr>
          <w:rFonts w:ascii="Times New Roman" w:eastAsia="宋体"/>
        </w:rPr>
      </w:pPr>
    </w:p>
    <w:p>
      <w:pPr>
        <w:pStyle w:val="147"/>
        <w:framePr w:wrap="around"/>
        <w:rPr>
          <w:rFonts w:ascii="Times New Roman" w:eastAsia="宋体"/>
        </w:rPr>
      </w:pPr>
    </w:p>
    <w:p>
      <w:pPr>
        <w:pStyle w:val="71"/>
        <w:framePr w:wrap="around" w:x="1381" w:y="6406"/>
        <w:rPr>
          <w:rFonts w:ascii="Times New Roman"/>
        </w:rPr>
      </w:pPr>
      <w:r>
        <w:rPr>
          <w:rFonts w:ascii="Times New Roman"/>
        </w:rPr>
        <w:t>绿色设计产品评价</w:t>
      </w:r>
      <w:r>
        <w:rPr>
          <w:rFonts w:hint="eastAsia" w:ascii="Times New Roman"/>
        </w:rPr>
        <w:t>技术</w:t>
      </w:r>
      <w:r>
        <w:rPr>
          <w:rFonts w:ascii="Times New Roman"/>
        </w:rPr>
        <w:t>规范</w:t>
      </w:r>
    </w:p>
    <w:p>
      <w:pPr>
        <w:pStyle w:val="71"/>
        <w:framePr w:wrap="around" w:x="1381" w:y="6406"/>
        <w:rPr>
          <w:rFonts w:ascii="Times New Roman"/>
        </w:rPr>
      </w:pPr>
      <w:r>
        <w:rPr>
          <w:rFonts w:hint="eastAsia" w:ascii="Times New Roman"/>
        </w:rPr>
        <w:t>不锈钢焊接钢管</w:t>
      </w:r>
    </w:p>
    <w:p>
      <w:pPr>
        <w:pStyle w:val="70"/>
        <w:framePr w:wrap="around" w:x="1381" w:y="6406"/>
      </w:pPr>
      <w:r>
        <w:t>Technical specification for green-design product assessment—</w:t>
      </w:r>
    </w:p>
    <w:p>
      <w:pPr>
        <w:pStyle w:val="70"/>
        <w:framePr w:wrap="around" w:x="1381" w:y="6406"/>
      </w:pPr>
      <w:r>
        <w:t xml:space="preserve"> Stainless steel welded steel pipe</w:t>
      </w:r>
    </w:p>
    <w:p>
      <w:pPr>
        <w:pStyle w:val="113"/>
        <w:framePr w:wrap="around" w:hAnchor="page" w:x="1387" w:y="14075"/>
        <w:rPr>
          <w:rFonts w:eastAsia="宋体"/>
        </w:rPr>
      </w:pPr>
      <w:r>
        <w:rPr>
          <w:rFonts w:eastAsia="宋体"/>
        </w:rPr>
        <w:t>20</w:t>
      </w:r>
      <w:bookmarkStart w:id="0" w:name="FM"/>
      <w:r>
        <w:rPr>
          <w:rFonts w:eastAsia="宋体"/>
        </w:rPr>
        <w:t>23-</w:t>
      </w:r>
      <w:bookmarkEnd w:id="0"/>
      <w:r>
        <w:rPr>
          <w:rFonts w:eastAsia="宋体"/>
        </w:rPr>
        <w:t>XX-XX发布</w:t>
      </w:r>
      <w:r>
        <w:rPr>
          <w:rFonts w:eastAsia="宋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pPr>
        <w:pStyle w:val="92"/>
        <w:framePr w:wrap="around" w:hAnchor="page" w:x="7161" w:y="14061"/>
        <w:rPr>
          <w:rFonts w:eastAsia="宋体"/>
        </w:rPr>
      </w:pPr>
      <w:r>
        <w:rPr>
          <w:rFonts w:eastAsia="宋体"/>
        </w:rPr>
        <w:t>2023-XX-XX实施</w:t>
      </w:r>
    </w:p>
    <w:p>
      <w:pPr>
        <w:pStyle w:val="110"/>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10"/>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w:t>
      </w:r>
      <w:r>
        <w:rPr>
          <w:rFonts w:ascii="Times New Roman"/>
          <w:kern w:val="2"/>
          <w:sz w:val="22"/>
          <w:szCs w:val="22"/>
        </w:rPr>
        <w:t>5</w:t>
      </w:r>
      <w:r>
        <w:rPr>
          <w:rFonts w:hint="eastAsia" w:ascii="Times New Roman"/>
          <w:kern w:val="2"/>
          <w:sz w:val="22"/>
          <w:szCs w:val="22"/>
        </w:rPr>
        <w:t>0</w:t>
      </w:r>
    </w:p>
    <w:p>
      <w:pPr>
        <w:pStyle w:val="22"/>
        <w:spacing w:line="340" w:lineRule="exact"/>
        <w:rPr>
          <w:rFonts w:ascii="Times New Roman"/>
        </w:rPr>
      </w:pPr>
      <w:r>
        <w:rPr>
          <w:rFonts w:ascii="Times New Roman"/>
        </w:rPr>
        <w:t xml:space="preserve">CCS H </w:t>
      </w:r>
      <w:r>
        <w:rPr>
          <w:rFonts w:hint="eastAsia" w:ascii="Times New Roman"/>
        </w:rPr>
        <w:t>4</w:t>
      </w:r>
      <w:r>
        <w:rPr>
          <w:rFonts w:ascii="Times New Roman"/>
        </w:rPr>
        <w:t>6</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5611495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859155" y="9256395"/>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441.85pt;height:0pt;width:489.75pt;z-index:251661312;mso-width-relative:page;mso-height-relative:page;" filled="f" stroked="t" coordsize="21600,21600" o:gfxdata="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V468tcAAAAK&#10;AQAADwAAAAAAAAABACAAAAAiAAAAZHJzL2Rvd25yZXYueG1sUEsBAhQAFAAAAAgAh07iQGEIBmPk&#10;AQAApQMAAA4AAAAAAAAAAQAgAAAAJgEAAGRycy9lMm9Eb2MueG1sUEsFBgAAAAAGAAYAWQEAAHwF&#10;AAAAAA==&#10;">
                <v:fill on="f" focussize="0,0"/>
                <v:stroke color="#000000 [3213]" joinstyle="round"/>
                <v:imagedata o:title=""/>
                <o:lock v:ext="edit" aspectratio="f"/>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1" w:name="_Toc951"/>
      <w:bookmarkStart w:id="2" w:name="_Toc1337"/>
      <w:bookmarkStart w:id="3" w:name="_Toc40475545"/>
      <w:bookmarkStart w:id="4" w:name="_Toc40476791"/>
      <w:bookmarkStart w:id="5" w:name="_Toc534127476"/>
      <w:bookmarkStart w:id="6" w:name="_Toc26452183"/>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bookmarkEnd w:id="2"/>
    <w:bookmarkEnd w:id="3"/>
    <w:bookmarkEnd w:id="4"/>
    <w:bookmarkEnd w:id="5"/>
    <w:bookmarkEnd w:id="6"/>
    <w:p>
      <w:pPr>
        <w:pStyle w:val="90"/>
        <w:rPr>
          <w:rFonts w:ascii="Times New Roman"/>
        </w:rPr>
      </w:pP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pStyle w:val="22"/>
        <w:rPr>
          <w:rFonts w:ascii="Times New Roman"/>
        </w:rPr>
      </w:pPr>
      <w:bookmarkStart w:id="17" w:name="_GoBack"/>
      <w:bookmarkEnd w:id="17"/>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pPr>
    </w:p>
    <w:p>
      <w:pPr>
        <w:pStyle w:val="106"/>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rPr>
      </w:pPr>
      <w:r>
        <w:rPr>
          <w:rFonts w:ascii="Times New Roman"/>
        </w:rPr>
        <w:t>绿色设计产品评价</w:t>
      </w:r>
      <w:r>
        <w:rPr>
          <w:rFonts w:hint="eastAsia" w:ascii="Times New Roman"/>
        </w:rPr>
        <w:t>技术</w:t>
      </w:r>
      <w:r>
        <w:rPr>
          <w:rFonts w:ascii="Times New Roman"/>
        </w:rPr>
        <w:t>规范</w:t>
      </w:r>
      <w:r>
        <w:rPr>
          <w:rFonts w:hint="eastAsia" w:ascii="Times New Roman"/>
        </w:rPr>
        <w:t xml:space="preserve">  不锈钢焊接钢管</w:t>
      </w:r>
    </w:p>
    <w:p>
      <w:pPr>
        <w:pStyle w:val="52"/>
        <w:outlineLvl w:val="0"/>
        <w:rPr>
          <w:rFonts w:ascii="Times New Roman"/>
        </w:rPr>
      </w:pPr>
      <w:bookmarkStart w:id="9" w:name="_Toc520380391"/>
      <w:bookmarkStart w:id="10" w:name="_Toc31747"/>
      <w:r>
        <w:rPr>
          <w:rFonts w:ascii="Times New Roman"/>
        </w:rPr>
        <w:t>范围</w:t>
      </w:r>
      <w:bookmarkEnd w:id="9"/>
      <w:bookmarkEnd w:id="10"/>
    </w:p>
    <w:p>
      <w:pPr>
        <w:pStyle w:val="22"/>
        <w:rPr>
          <w:rFonts w:ascii="Times New Roman"/>
        </w:rPr>
      </w:pPr>
      <w:bookmarkStart w:id="11" w:name="_Toc520380392"/>
      <w:r>
        <w:rPr>
          <w:rFonts w:ascii="Times New Roman"/>
        </w:rPr>
        <w:t>本文件规定了</w:t>
      </w:r>
      <w:r>
        <w:rPr>
          <w:rFonts w:hint="eastAsia" w:ascii="Times New Roman"/>
        </w:rPr>
        <w:t>不锈钢焊接钢管</w:t>
      </w:r>
      <w:r>
        <w:rPr>
          <w:rFonts w:ascii="Times New Roman"/>
        </w:rPr>
        <w:t>绿色设计产品评价的术语和定义、评价原则和方法、评价要求、生命周期评价报告编制方法。</w:t>
      </w:r>
    </w:p>
    <w:p>
      <w:pPr>
        <w:pStyle w:val="22"/>
        <w:rPr>
          <w:rFonts w:ascii="Times New Roman"/>
        </w:rPr>
      </w:pPr>
      <w:r>
        <w:rPr>
          <w:rFonts w:ascii="Times New Roman"/>
        </w:rPr>
        <w:t>本文件适用于</w:t>
      </w:r>
      <w:r>
        <w:rPr>
          <w:rFonts w:hint="eastAsia" w:ascii="Times New Roman"/>
        </w:rPr>
        <w:t>不锈钢焊接钢管</w:t>
      </w:r>
      <w:r>
        <w:rPr>
          <w:rFonts w:ascii="Times New Roman"/>
        </w:rPr>
        <w:t>的绿色设计产品评价。</w:t>
      </w:r>
    </w:p>
    <w:p>
      <w:pPr>
        <w:pStyle w:val="52"/>
        <w:rPr>
          <w:rFonts w:ascii="Times New Roman"/>
        </w:rPr>
      </w:pPr>
      <w:bookmarkStart w:id="12" w:name="_Toc2222"/>
      <w:r>
        <w:rPr>
          <w:rFonts w:ascii="Times New Roman"/>
        </w:rPr>
        <w:t>规范性引用文件</w:t>
      </w:r>
      <w:bookmarkEnd w:id="11"/>
      <w:bookmarkEnd w:id="12"/>
    </w:p>
    <w:p>
      <w:pPr>
        <w:pStyle w:val="22"/>
        <w:rPr>
          <w:rFonts w:ascii="Times New Roman"/>
        </w:rPr>
      </w:pPr>
      <w:bookmarkStart w:id="13"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rPr>
      </w:pPr>
      <w:r>
        <w:rPr>
          <w:rFonts w:hint="eastAsia" w:ascii="Times New Roman"/>
        </w:rPr>
        <w:t>GB/</w:t>
      </w:r>
      <w:r>
        <w:rPr>
          <w:rFonts w:ascii="Times New Roman"/>
        </w:rPr>
        <w:t xml:space="preserve">T 3280  </w:t>
      </w:r>
      <w:r>
        <w:rPr>
          <w:rFonts w:hint="eastAsia" w:ascii="Times New Roman"/>
        </w:rPr>
        <w:t>不锈钢冷轧钢板和钢带</w:t>
      </w:r>
    </w:p>
    <w:p>
      <w:pPr>
        <w:pStyle w:val="22"/>
        <w:rPr>
          <w:rFonts w:ascii="Times New Roman"/>
        </w:rPr>
      </w:pPr>
      <w:r>
        <w:rPr>
          <w:rFonts w:hint="eastAsia" w:ascii="Times New Roman"/>
        </w:rPr>
        <w:t>GB/</w:t>
      </w:r>
      <w:r>
        <w:rPr>
          <w:rFonts w:ascii="Times New Roman"/>
        </w:rPr>
        <w:t xml:space="preserve">T 4237  </w:t>
      </w:r>
      <w:r>
        <w:rPr>
          <w:rFonts w:hint="eastAsia" w:ascii="Times New Roman"/>
        </w:rPr>
        <w:t>不锈钢热轧钢板和钢带</w:t>
      </w:r>
    </w:p>
    <w:p>
      <w:pPr>
        <w:pStyle w:val="22"/>
        <w:rPr>
          <w:rFonts w:ascii="Times New Roman"/>
        </w:rPr>
      </w:pPr>
      <w:r>
        <w:rPr>
          <w:rFonts w:ascii="Times New Roman"/>
        </w:rPr>
        <w:t>GB 17167</w:t>
      </w:r>
      <w:r>
        <w:rPr>
          <w:rFonts w:hint="eastAsia" w:ascii="Times New Roman"/>
        </w:rPr>
        <w:t xml:space="preserve"> </w:t>
      </w:r>
      <w:r>
        <w:rPr>
          <w:rFonts w:ascii="Times New Roman"/>
        </w:rPr>
        <w:t xml:space="preserve"> 用能单位能源计量器具配备和管理通则</w:t>
      </w:r>
    </w:p>
    <w:p>
      <w:pPr>
        <w:pStyle w:val="22"/>
        <w:rPr>
          <w:rFonts w:ascii="Times New Roman"/>
        </w:rPr>
      </w:pPr>
      <w:r>
        <w:rPr>
          <w:rFonts w:ascii="Times New Roman"/>
        </w:rPr>
        <w:t>GB/T 19001</w:t>
      </w:r>
      <w:r>
        <w:rPr>
          <w:rFonts w:hint="eastAsia" w:ascii="Times New Roman"/>
        </w:rPr>
        <w:t xml:space="preserve"> </w:t>
      </w:r>
      <w:r>
        <w:rPr>
          <w:rFonts w:ascii="Times New Roman"/>
        </w:rPr>
        <w:t xml:space="preserve"> 质量管理体系</w:t>
      </w:r>
      <w:r>
        <w:rPr>
          <w:rFonts w:hint="eastAsia" w:ascii="Times New Roman"/>
        </w:rPr>
        <w:t xml:space="preserve"> </w:t>
      </w:r>
      <w:r>
        <w:rPr>
          <w:rFonts w:ascii="Times New Roman"/>
        </w:rPr>
        <w:t xml:space="preserve">  要求</w:t>
      </w:r>
    </w:p>
    <w:p>
      <w:pPr>
        <w:pStyle w:val="22"/>
        <w:rPr>
          <w:rFonts w:ascii="Times New Roman"/>
        </w:rPr>
      </w:pPr>
      <w:r>
        <w:rPr>
          <w:rFonts w:ascii="Times New Roman"/>
        </w:rPr>
        <w:t xml:space="preserve">GB/T 23331 </w:t>
      </w:r>
      <w:r>
        <w:rPr>
          <w:rFonts w:hint="eastAsia" w:ascii="Times New Roman"/>
        </w:rPr>
        <w:t xml:space="preserve"> </w:t>
      </w:r>
      <w:r>
        <w:rPr>
          <w:rFonts w:ascii="Times New Roman"/>
        </w:rPr>
        <w:t>能源管理体系</w:t>
      </w:r>
      <w:r>
        <w:rPr>
          <w:rFonts w:hint="eastAsia" w:ascii="Times New Roman"/>
        </w:rPr>
        <w:t xml:space="preserve"> </w:t>
      </w:r>
      <w:r>
        <w:rPr>
          <w:rFonts w:ascii="Times New Roman"/>
        </w:rPr>
        <w:t xml:space="preserve"> 要求</w:t>
      </w:r>
    </w:p>
    <w:p>
      <w:pPr>
        <w:pStyle w:val="22"/>
        <w:rPr>
          <w:rFonts w:ascii="Times New Roman"/>
        </w:rPr>
      </w:pPr>
      <w:r>
        <w:rPr>
          <w:rFonts w:ascii="Times New Roman"/>
        </w:rPr>
        <w:t xml:space="preserve">GB/T 24001 </w:t>
      </w:r>
      <w:r>
        <w:rPr>
          <w:rFonts w:hint="eastAsia" w:ascii="Times New Roman"/>
        </w:rPr>
        <w:t xml:space="preserve"> </w:t>
      </w:r>
      <w:r>
        <w:rPr>
          <w:rFonts w:ascii="Times New Roman"/>
        </w:rPr>
        <w:t>环境管理体系</w:t>
      </w:r>
      <w:r>
        <w:rPr>
          <w:rFonts w:hint="eastAsia" w:ascii="Times New Roman"/>
        </w:rPr>
        <w:t xml:space="preserve">  </w:t>
      </w:r>
      <w:r>
        <w:rPr>
          <w:rFonts w:ascii="Times New Roman"/>
        </w:rPr>
        <w:t>要求及使用指南</w:t>
      </w:r>
    </w:p>
    <w:p>
      <w:pPr>
        <w:pStyle w:val="22"/>
        <w:rPr>
          <w:rFonts w:ascii="Times New Roman"/>
        </w:rPr>
      </w:pPr>
      <w:r>
        <w:rPr>
          <w:rFonts w:ascii="Times New Roman"/>
        </w:rPr>
        <w:t xml:space="preserve">GB/T 24040 </w:t>
      </w:r>
      <w:r>
        <w:rPr>
          <w:rFonts w:hint="eastAsia" w:ascii="Times New Roman"/>
        </w:rPr>
        <w:t xml:space="preserve"> </w:t>
      </w:r>
      <w:r>
        <w:rPr>
          <w:rFonts w:ascii="Times New Roman"/>
        </w:rPr>
        <w:t>环境管理</w:t>
      </w:r>
      <w:r>
        <w:rPr>
          <w:rFonts w:hint="eastAsia" w:ascii="Times New Roman"/>
        </w:rPr>
        <w:t xml:space="preserve">  </w:t>
      </w:r>
      <w:r>
        <w:rPr>
          <w:rFonts w:ascii="Times New Roman"/>
        </w:rPr>
        <w:t>生命周期评价原则与框架</w:t>
      </w:r>
    </w:p>
    <w:p>
      <w:pPr>
        <w:pStyle w:val="22"/>
        <w:rPr>
          <w:rFonts w:ascii="Times New Roman"/>
        </w:rPr>
      </w:pPr>
      <w:r>
        <w:rPr>
          <w:rFonts w:ascii="Times New Roman"/>
        </w:rPr>
        <w:t>GB/T 24044</w:t>
      </w:r>
      <w:r>
        <w:rPr>
          <w:rFonts w:hint="eastAsia" w:ascii="Times New Roman"/>
        </w:rPr>
        <w:t xml:space="preserve"> </w:t>
      </w:r>
      <w:r>
        <w:rPr>
          <w:rFonts w:ascii="Times New Roman"/>
        </w:rPr>
        <w:t xml:space="preserve"> 环境管理</w:t>
      </w:r>
      <w:r>
        <w:rPr>
          <w:rFonts w:hint="eastAsia" w:ascii="Times New Roman"/>
        </w:rPr>
        <w:t xml:space="preserve">  </w:t>
      </w:r>
      <w:r>
        <w:rPr>
          <w:rFonts w:ascii="Times New Roman"/>
        </w:rPr>
        <w:t>生命周期评价要求与指南</w:t>
      </w:r>
    </w:p>
    <w:p>
      <w:pPr>
        <w:pStyle w:val="22"/>
        <w:rPr>
          <w:rFonts w:ascii="Times New Roman"/>
        </w:rPr>
      </w:pPr>
      <w:r>
        <w:rPr>
          <w:rFonts w:hint="eastAsia" w:ascii="Times New Roman"/>
        </w:rPr>
        <w:t>GB/T 26924  节水型企业钢铁行业</w:t>
      </w:r>
    </w:p>
    <w:p>
      <w:pPr>
        <w:pStyle w:val="22"/>
        <w:rPr>
          <w:rFonts w:ascii="Times New Roman"/>
        </w:rPr>
      </w:pPr>
      <w:r>
        <w:rPr>
          <w:rFonts w:ascii="Times New Roman"/>
        </w:rPr>
        <w:t>GB/T 30052</w:t>
      </w:r>
      <w:r>
        <w:rPr>
          <w:rFonts w:hint="eastAsia" w:ascii="Times New Roman"/>
        </w:rPr>
        <w:t xml:space="preserve">-2013 </w:t>
      </w:r>
      <w:r>
        <w:rPr>
          <w:rFonts w:ascii="Times New Roman"/>
        </w:rPr>
        <w:t xml:space="preserve"> 钢铁产品制造生命周期评价技术规范</w:t>
      </w:r>
    </w:p>
    <w:p>
      <w:pPr>
        <w:pStyle w:val="22"/>
        <w:rPr>
          <w:rFonts w:ascii="Times New Roman"/>
        </w:rPr>
      </w:pPr>
      <w:r>
        <w:rPr>
          <w:rFonts w:ascii="Times New Roman"/>
        </w:rPr>
        <w:t>GB/T 32161</w:t>
      </w:r>
      <w:r>
        <w:rPr>
          <w:rFonts w:hint="eastAsia" w:ascii="Times New Roman"/>
        </w:rPr>
        <w:t xml:space="preserve">-2015  </w:t>
      </w:r>
      <w:r>
        <w:rPr>
          <w:rFonts w:ascii="Times New Roman"/>
        </w:rPr>
        <w:t>生态设计产品评价通则</w:t>
      </w:r>
    </w:p>
    <w:p>
      <w:pPr>
        <w:pStyle w:val="22"/>
        <w:rPr>
          <w:rFonts w:ascii="Times New Roman"/>
        </w:rPr>
      </w:pPr>
      <w:r>
        <w:rPr>
          <w:rFonts w:ascii="Times New Roman"/>
        </w:rPr>
        <w:t xml:space="preserve">GB/T 45001 </w:t>
      </w:r>
      <w:r>
        <w:rPr>
          <w:rFonts w:hint="eastAsia" w:ascii="Times New Roman"/>
        </w:rPr>
        <w:t xml:space="preserve"> </w:t>
      </w:r>
      <w:r>
        <w:rPr>
          <w:rFonts w:ascii="Times New Roman"/>
        </w:rPr>
        <w:t>职业健康安全管理体系</w:t>
      </w:r>
      <w:r>
        <w:rPr>
          <w:rFonts w:hint="eastAsia" w:ascii="Times New Roman"/>
        </w:rPr>
        <w:t xml:space="preserve"> </w:t>
      </w:r>
      <w:r>
        <w:rPr>
          <w:rFonts w:ascii="Times New Roman"/>
        </w:rPr>
        <w:t xml:space="preserve"> 要求及使用指南</w:t>
      </w:r>
    </w:p>
    <w:bookmarkEnd w:id="13"/>
    <w:p>
      <w:pPr>
        <w:pStyle w:val="52"/>
        <w:rPr>
          <w:rFonts w:ascii="Times New Roman"/>
        </w:rPr>
      </w:pPr>
      <w:bookmarkStart w:id="14" w:name="_Toc10886"/>
      <w:bookmarkStart w:id="15" w:name="_Toc520380395"/>
      <w:r>
        <w:rPr>
          <w:rFonts w:ascii="Times New Roman"/>
        </w:rPr>
        <w:t>术语和定义</w:t>
      </w:r>
      <w:bookmarkEnd w:id="14"/>
    </w:p>
    <w:bookmarkEnd w:id="15"/>
    <w:p>
      <w:pPr>
        <w:pStyle w:val="22"/>
        <w:rPr>
          <w:rFonts w:ascii="Times New Roman"/>
        </w:rPr>
      </w:pPr>
      <w:r>
        <w:rPr>
          <w:rFonts w:ascii="Times New Roman"/>
        </w:rPr>
        <w:t>GB/T 32161界定的以及下列术语和定义适用于本文件。</w:t>
      </w:r>
    </w:p>
    <w:p>
      <w:pPr>
        <w:pStyle w:val="54"/>
        <w:ind w:left="0"/>
        <w:rPr>
          <w:rFonts w:ascii="Times New Roman"/>
          <w:szCs w:val="22"/>
        </w:rPr>
      </w:pPr>
    </w:p>
    <w:p>
      <w:pPr>
        <w:pStyle w:val="22"/>
        <w:rPr>
          <w:rFonts w:ascii="Times New Roman"/>
        </w:rPr>
      </w:pPr>
      <w:r>
        <w:rPr>
          <w:rFonts w:ascii="Times New Roman"/>
        </w:rPr>
        <w:t>产品制造生命周期  life cycle of steel products manufacture</w:t>
      </w:r>
    </w:p>
    <w:p>
      <w:pPr>
        <w:pStyle w:val="22"/>
        <w:rPr>
          <w:rFonts w:ascii="Times New Roman"/>
        </w:rPr>
      </w:pPr>
      <w:r>
        <w:rPr>
          <w:rFonts w:ascii="Times New Roman"/>
        </w:rPr>
        <w:t>从铁矿石、煤炭等原料、燃料开采开始，经过烧结、焦化等原料加工工序，炼铁、炼钢、轧钢等制造工序，形成钢铁产品的过程，即“从摇篮到大门（from cradle to gate）”的生命周期过程。</w:t>
      </w:r>
    </w:p>
    <w:p>
      <w:pPr>
        <w:pStyle w:val="22"/>
        <w:rPr>
          <w:rFonts w:ascii="Times New Roman"/>
        </w:rPr>
      </w:pPr>
      <w:r>
        <w:rPr>
          <w:rFonts w:ascii="Times New Roman"/>
        </w:rPr>
        <w:t>[来源：GB/T 30052-2013，3.1，有修改]</w:t>
      </w:r>
    </w:p>
    <w:p>
      <w:pPr>
        <w:pStyle w:val="54"/>
        <w:ind w:left="0"/>
        <w:rPr>
          <w:rFonts w:ascii="Times New Roman"/>
          <w:szCs w:val="22"/>
        </w:rPr>
      </w:pPr>
    </w:p>
    <w:p>
      <w:pPr>
        <w:pStyle w:val="22"/>
        <w:rPr>
          <w:rFonts w:ascii="Times New Roman"/>
        </w:rPr>
      </w:pPr>
      <w:r>
        <w:rPr>
          <w:rFonts w:ascii="Times New Roman"/>
        </w:rPr>
        <w:t>绿色设计</w:t>
      </w:r>
      <w:r>
        <w:rPr>
          <w:rFonts w:hint="eastAsia" w:ascii="Times New Roman"/>
        </w:rPr>
        <w:t xml:space="preserve"> </w:t>
      </w:r>
      <w:r>
        <w:rPr>
          <w:rFonts w:ascii="Times New Roman"/>
        </w:rPr>
        <w:t xml:space="preserve"> green-design</w:t>
      </w:r>
    </w:p>
    <w:p>
      <w:pPr>
        <w:pStyle w:val="2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2"/>
        <w:rPr>
          <w:rFonts w:ascii="Times New Roman"/>
        </w:rPr>
      </w:pPr>
      <w:r>
        <w:rPr>
          <w:rFonts w:ascii="Times New Roman"/>
        </w:rPr>
        <w:t>[来源：GB/T 32161-2015，3.2，有修改]</w:t>
      </w:r>
    </w:p>
    <w:p>
      <w:pPr>
        <w:pStyle w:val="54"/>
        <w:ind w:left="0"/>
        <w:rPr>
          <w:rFonts w:ascii="Times New Roman"/>
          <w:szCs w:val="22"/>
        </w:rPr>
      </w:pPr>
    </w:p>
    <w:p>
      <w:pPr>
        <w:pStyle w:val="22"/>
        <w:rPr>
          <w:rFonts w:ascii="Times New Roman"/>
        </w:rPr>
      </w:pPr>
      <w:r>
        <w:rPr>
          <w:rFonts w:ascii="Times New Roman"/>
        </w:rPr>
        <w:t>绿色设计产品</w:t>
      </w:r>
      <w:r>
        <w:rPr>
          <w:rFonts w:hint="eastAsia" w:ascii="Times New Roman"/>
        </w:rPr>
        <w:t xml:space="preserve"> </w:t>
      </w:r>
      <w:r>
        <w:rPr>
          <w:rFonts w:ascii="Times New Roman"/>
        </w:rPr>
        <w:t xml:space="preserve"> green-design product</w:t>
      </w:r>
    </w:p>
    <w:p>
      <w:pPr>
        <w:pStyle w:val="22"/>
        <w:rPr>
          <w:rFonts w:ascii="Times New Roman"/>
        </w:rPr>
      </w:pPr>
      <w:r>
        <w:rPr>
          <w:rFonts w:ascii="Times New Roman"/>
        </w:rPr>
        <w:t>符合绿色设计理念和评价要求的产品。</w:t>
      </w:r>
    </w:p>
    <w:p>
      <w:pPr>
        <w:pStyle w:val="22"/>
        <w:rPr>
          <w:rFonts w:ascii="Times New Roman"/>
        </w:rPr>
      </w:pPr>
      <w:r>
        <w:rPr>
          <w:rFonts w:ascii="Times New Roman"/>
        </w:rPr>
        <w:t>[来源：GB/T 32161-2015，3.3，有修改]</w:t>
      </w:r>
    </w:p>
    <w:p>
      <w:pPr>
        <w:pStyle w:val="54"/>
        <w:ind w:left="0"/>
        <w:rPr>
          <w:rFonts w:ascii="Times New Roman"/>
          <w:szCs w:val="22"/>
        </w:rPr>
      </w:pPr>
    </w:p>
    <w:p>
      <w:pPr>
        <w:pStyle w:val="22"/>
        <w:rPr>
          <w:rFonts w:ascii="Times New Roman"/>
        </w:rPr>
      </w:pPr>
      <w:r>
        <w:rPr>
          <w:rFonts w:ascii="Times New Roman"/>
        </w:rPr>
        <w:t xml:space="preserve">生命周期评价报告 </w:t>
      </w:r>
      <w:r>
        <w:rPr>
          <w:rFonts w:hint="eastAsia" w:ascii="Times New Roman"/>
        </w:rPr>
        <w:t xml:space="preserve"> </w:t>
      </w:r>
      <w:r>
        <w:rPr>
          <w:rFonts w:ascii="Times New Roman"/>
        </w:rPr>
        <w:t>report for life cycle assessment</w:t>
      </w:r>
    </w:p>
    <w:p>
      <w:pPr>
        <w:pStyle w:val="22"/>
        <w:rPr>
          <w:rFonts w:ascii="Times New Roman"/>
        </w:rPr>
      </w:pPr>
      <w:r>
        <w:rPr>
          <w:rFonts w:ascii="Times New Roman"/>
        </w:rPr>
        <w:t>依据生命周期评价方法编制的，用于披露产品绿色设计情况及钢铁产品制造生命周期环境影响信息的报告。</w:t>
      </w:r>
    </w:p>
    <w:p>
      <w:pPr>
        <w:pStyle w:val="52"/>
        <w:rPr>
          <w:rFonts w:ascii="Times New Roman"/>
          <w:szCs w:val="22"/>
        </w:rPr>
      </w:pPr>
      <w:r>
        <w:rPr>
          <w:rFonts w:ascii="Times New Roman"/>
          <w:szCs w:val="22"/>
        </w:rPr>
        <w:t>评价原则和方法</w:t>
      </w:r>
    </w:p>
    <w:p>
      <w:pPr>
        <w:pStyle w:val="54"/>
        <w:ind w:left="0"/>
        <w:rPr>
          <w:rFonts w:ascii="Times New Roman"/>
          <w:szCs w:val="22"/>
        </w:rPr>
      </w:pPr>
      <w:r>
        <w:rPr>
          <w:rFonts w:ascii="Times New Roman"/>
          <w:szCs w:val="22"/>
        </w:rPr>
        <w:t>评价原则</w:t>
      </w:r>
    </w:p>
    <w:p>
      <w:pPr>
        <w:pStyle w:val="56"/>
        <w:spacing w:before="156" w:after="156"/>
        <w:ind w:left="0"/>
        <w:rPr>
          <w:rFonts w:ascii="Times New Roman"/>
        </w:rPr>
      </w:pPr>
      <w:r>
        <w:rPr>
          <w:rFonts w:ascii="Times New Roman"/>
        </w:rPr>
        <w:t>生命周期评价与指标评价相结合的原则</w:t>
      </w:r>
    </w:p>
    <w:p>
      <w:pPr>
        <w:pStyle w:val="22"/>
        <w:rPr>
          <w:rFonts w:ascii="Times New Roman"/>
        </w:rPr>
      </w:pPr>
      <w:r>
        <w:rPr>
          <w:rFonts w:ascii="Times New Roman"/>
        </w:rPr>
        <w:t>依据生命周期评价方法，考虑</w:t>
      </w:r>
      <w:r>
        <w:rPr>
          <w:rFonts w:hint="eastAsia" w:ascii="Times New Roman"/>
        </w:rPr>
        <w:t>不锈钢焊接钢管</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6"/>
        <w:spacing w:before="156" w:after="156"/>
        <w:ind w:left="0"/>
        <w:rPr>
          <w:rFonts w:ascii="Times New Roman"/>
        </w:rPr>
      </w:pPr>
      <w:r>
        <w:rPr>
          <w:rFonts w:ascii="Times New Roman"/>
        </w:rPr>
        <w:t>环境影响种类最优选取原则</w:t>
      </w:r>
    </w:p>
    <w:p>
      <w:pPr>
        <w:pStyle w:val="2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ind w:left="0"/>
        <w:rPr>
          <w:rFonts w:ascii="Times New Roman"/>
          <w:szCs w:val="22"/>
        </w:rPr>
      </w:pPr>
      <w:r>
        <w:rPr>
          <w:rFonts w:ascii="Times New Roman"/>
          <w:szCs w:val="22"/>
        </w:rPr>
        <w:t>评价方法</w:t>
      </w:r>
    </w:p>
    <w:p>
      <w:pPr>
        <w:pStyle w:val="22"/>
        <w:rPr>
          <w:rFonts w:ascii="Times New Roman"/>
        </w:rPr>
      </w:pPr>
      <w:r>
        <w:rPr>
          <w:rFonts w:ascii="Times New Roman"/>
        </w:rPr>
        <w:t>本文件采用指标评价和生命周期评价相结合的方法。</w:t>
      </w:r>
      <w:r>
        <w:rPr>
          <w:rFonts w:hint="eastAsia" w:ascii="Times New Roman"/>
        </w:rPr>
        <w:t>不锈钢焊接钢管</w:t>
      </w:r>
      <w:r>
        <w:rPr>
          <w:rFonts w:ascii="Times New Roman"/>
        </w:rPr>
        <w:t>产品应同时满足以下两个条件，可判定为绿色设计产品：</w:t>
      </w:r>
    </w:p>
    <w:p>
      <w:pPr>
        <w:pStyle w:val="22"/>
        <w:rPr>
          <w:rFonts w:ascii="Times New Roman"/>
        </w:rPr>
      </w:pPr>
      <w:r>
        <w:rPr>
          <w:rFonts w:ascii="Times New Roman"/>
        </w:rPr>
        <w:t>a）满足基本要求（见5.1）和评价指标要求（见5.2）；</w:t>
      </w:r>
    </w:p>
    <w:p>
      <w:pPr>
        <w:pStyle w:val="22"/>
        <w:rPr>
          <w:rFonts w:ascii="Times New Roman"/>
        </w:rPr>
      </w:pPr>
      <w:r>
        <w:rPr>
          <w:rFonts w:ascii="Times New Roman"/>
        </w:rPr>
        <w:t>b）提供</w:t>
      </w:r>
      <w:r>
        <w:rPr>
          <w:rFonts w:hint="eastAsia" w:ascii="Times New Roman"/>
        </w:rPr>
        <w:t>不锈钢焊接钢管</w:t>
      </w:r>
      <w:r>
        <w:rPr>
          <w:rFonts w:ascii="Times New Roman"/>
        </w:rPr>
        <w:t>产品生命周期评价报告（见6.2）。</w:t>
      </w:r>
    </w:p>
    <w:p>
      <w:pPr>
        <w:pStyle w:val="52"/>
        <w:rPr>
          <w:rFonts w:ascii="Times New Roman"/>
          <w:szCs w:val="22"/>
        </w:rPr>
      </w:pPr>
      <w:r>
        <w:rPr>
          <w:rFonts w:ascii="Times New Roman"/>
          <w:szCs w:val="22"/>
        </w:rPr>
        <w:t>评价要求</w:t>
      </w:r>
    </w:p>
    <w:p>
      <w:pPr>
        <w:pStyle w:val="54"/>
        <w:ind w:left="0"/>
        <w:rPr>
          <w:rFonts w:ascii="Times New Roman"/>
          <w:szCs w:val="22"/>
        </w:rPr>
      </w:pPr>
      <w:r>
        <w:rPr>
          <w:rFonts w:ascii="Times New Roman"/>
          <w:szCs w:val="22"/>
        </w:rPr>
        <w:t>基本要求</w:t>
      </w:r>
    </w:p>
    <w:p>
      <w:pPr>
        <w:pStyle w:val="22"/>
        <w:rPr>
          <w:rFonts w:ascii="Times New Roman"/>
        </w:rPr>
      </w:pPr>
      <w:r>
        <w:rPr>
          <w:rFonts w:hint="eastAsia" w:ascii="Times New Roman"/>
        </w:rPr>
        <w:t>不锈钢焊接钢管</w:t>
      </w:r>
      <w:r>
        <w:rPr>
          <w:rFonts w:ascii="Times New Roman"/>
        </w:rPr>
        <w:t>生产企业应满足以下要求，包括但不限于：</w:t>
      </w:r>
    </w:p>
    <w:p>
      <w:pPr>
        <w:pStyle w:val="22"/>
        <w:numPr>
          <w:ilvl w:val="0"/>
          <w:numId w:val="18"/>
        </w:numPr>
        <w:rPr>
          <w:rFonts w:ascii="Times New Roman"/>
        </w:rPr>
      </w:pPr>
      <w:r>
        <w:rPr>
          <w:rFonts w:ascii="Times New Roman"/>
        </w:rPr>
        <w:t>符合安全生产规范，生产企业三年内（投产不足三年的，自投产之日起）无重大安全和环境污染事故；</w:t>
      </w:r>
    </w:p>
    <w:p>
      <w:pPr>
        <w:pStyle w:val="22"/>
        <w:numPr>
          <w:ilvl w:val="0"/>
          <w:numId w:val="18"/>
        </w:numPr>
        <w:rPr>
          <w:rFonts w:ascii="Times New Roman"/>
        </w:rPr>
      </w:pPr>
      <w:r>
        <w:rPr>
          <w:rFonts w:ascii="Times New Roman"/>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污染物排放达到国家和地方排放控制和排污许可管理要求；</w:t>
      </w:r>
    </w:p>
    <w:p>
      <w:pPr>
        <w:pStyle w:val="22"/>
        <w:numPr>
          <w:ilvl w:val="0"/>
          <w:numId w:val="18"/>
        </w:numPr>
        <w:rPr>
          <w:rFonts w:ascii="Times New Roman"/>
        </w:rPr>
      </w:pPr>
      <w:r>
        <w:rPr>
          <w:rFonts w:hint="eastAsia" w:ascii="Times New Roman"/>
        </w:rPr>
        <w:t>污染物总量控制应达到国家和地方污染物排放总量控制指标；</w:t>
      </w:r>
    </w:p>
    <w:p>
      <w:pPr>
        <w:pStyle w:val="22"/>
        <w:numPr>
          <w:ilvl w:val="0"/>
          <w:numId w:val="18"/>
        </w:numPr>
        <w:rPr>
          <w:rFonts w:ascii="Times New Roman"/>
        </w:rPr>
      </w:pPr>
      <w:r>
        <w:rPr>
          <w:rFonts w:ascii="Times New Roman"/>
        </w:rPr>
        <w:t>应确保参与绿色设计产品评价的产品基本性能符合</w:t>
      </w:r>
      <w:r>
        <w:rPr>
          <w:rFonts w:hint="eastAsia" w:ascii="Times New Roman"/>
        </w:rPr>
        <w:t>相关国家</w:t>
      </w:r>
      <w:r>
        <w:rPr>
          <w:rFonts w:ascii="Times New Roman"/>
        </w:rPr>
        <w:t>标准、行业标准的规定，并满足用户设计和使用的要求</w:t>
      </w:r>
      <w:r>
        <w:rPr>
          <w:rFonts w:hint="eastAsia" w:ascii="Times New Roman"/>
        </w:rPr>
        <w:t>。</w:t>
      </w:r>
    </w:p>
    <w:p>
      <w:pPr>
        <w:pStyle w:val="111"/>
        <w:numPr>
          <w:ilvl w:val="0"/>
          <w:numId w:val="18"/>
        </w:numPr>
        <w:ind w:firstLineChars="0"/>
        <w:rPr>
          <w:rFonts w:ascii="Times New Roman" w:hAnsi="Times New Roman"/>
          <w:kern w:val="0"/>
          <w:szCs w:val="20"/>
        </w:rPr>
      </w:pPr>
      <w:r>
        <w:rPr>
          <w:rFonts w:hint="eastAsia" w:ascii="Times New Roman" w:hAnsi="Times New Roman"/>
          <w:kern w:val="0"/>
          <w:szCs w:val="20"/>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应按照GB/T 19001、GB/T 23331、GB/T 24001和GB/T 45001分别建立、实施、保持并持续改进质量管理、能源管理、环境管理和职业健康安全管理体系；</w:t>
      </w:r>
    </w:p>
    <w:p>
      <w:pPr>
        <w:pStyle w:val="22"/>
        <w:numPr>
          <w:ilvl w:val="0"/>
          <w:numId w:val="18"/>
        </w:numPr>
        <w:rPr>
          <w:rFonts w:ascii="Times New Roman"/>
        </w:rPr>
      </w:pPr>
      <w:r>
        <w:rPr>
          <w:rFonts w:ascii="Times New Roman"/>
        </w:rPr>
        <w:t>应按照GB 17167配备能源计量器具</w:t>
      </w:r>
      <w:r>
        <w:rPr>
          <w:rFonts w:hint="eastAsia" w:ascii="Times New Roman"/>
        </w:rPr>
        <w:t>，并</w:t>
      </w:r>
      <w:r>
        <w:rPr>
          <w:rFonts w:ascii="Times New Roman"/>
        </w:rPr>
        <w:t>根据环保法律法规和标准要求</w:t>
      </w:r>
      <w:r>
        <w:rPr>
          <w:rFonts w:hint="eastAsia" w:ascii="Times New Roman"/>
        </w:rPr>
        <w:t>开展</w:t>
      </w:r>
      <w:r>
        <w:rPr>
          <w:rFonts w:ascii="Times New Roman"/>
        </w:rPr>
        <w:t>污染物</w:t>
      </w:r>
      <w:r>
        <w:rPr>
          <w:rFonts w:hint="eastAsia" w:ascii="Times New Roman"/>
        </w:rPr>
        <w:t>检测或配备</w:t>
      </w:r>
      <w:r>
        <w:rPr>
          <w:rFonts w:ascii="Times New Roman"/>
        </w:rPr>
        <w:t>在线监测设备</w:t>
      </w:r>
      <w:r>
        <w:rPr>
          <w:rFonts w:hint="eastAsia" w:ascii="Times New Roman"/>
        </w:rPr>
        <w:t>。</w:t>
      </w:r>
    </w:p>
    <w:p>
      <w:pPr>
        <w:pStyle w:val="54"/>
        <w:ind w:left="0"/>
        <w:rPr>
          <w:rFonts w:ascii="Times New Roman"/>
          <w:szCs w:val="22"/>
        </w:rPr>
      </w:pPr>
      <w:r>
        <w:rPr>
          <w:rFonts w:ascii="Times New Roman"/>
          <w:szCs w:val="22"/>
        </w:rPr>
        <w:t>评价指标要求</w:t>
      </w:r>
    </w:p>
    <w:p>
      <w:pPr>
        <w:pStyle w:val="22"/>
        <w:rPr>
          <w:rFonts w:ascii="Times New Roman"/>
        </w:rPr>
      </w:pPr>
      <w:r>
        <w:rPr>
          <w:rFonts w:hint="eastAsia" w:ascii="Times New Roman"/>
        </w:rPr>
        <w:t>不锈钢焊接钢管</w:t>
      </w:r>
      <w:r>
        <w:rPr>
          <w:rFonts w:ascii="Times New Roman"/>
        </w:rPr>
        <w:t>的评价指标由一级指标和二级指标组成，其中一级指标包括资源属性指标、能源属性指标、环境属性指标</w:t>
      </w:r>
      <w:r>
        <w:rPr>
          <w:rFonts w:hint="eastAsia" w:ascii="Times New Roman"/>
        </w:rPr>
        <w:t>、</w:t>
      </w:r>
      <w:r>
        <w:rPr>
          <w:rFonts w:ascii="Times New Roman"/>
        </w:rPr>
        <w:t>产品属性</w:t>
      </w:r>
      <w:r>
        <w:rPr>
          <w:rFonts w:hint="eastAsia" w:ascii="Times New Roman"/>
        </w:rPr>
        <w:t>指标</w:t>
      </w:r>
      <w:r>
        <w:rPr>
          <w:rFonts w:ascii="Times New Roman"/>
        </w:rPr>
        <w:t>。</w:t>
      </w:r>
    </w:p>
    <w:p>
      <w:pPr>
        <w:pStyle w:val="22"/>
        <w:rPr>
          <w:rFonts w:ascii="Times New Roman"/>
        </w:rPr>
      </w:pPr>
      <w:r>
        <w:rPr>
          <w:rFonts w:hint="eastAsia" w:ascii="Times New Roman"/>
        </w:rPr>
        <w:t>不锈钢焊接钢管</w:t>
      </w:r>
      <w:r>
        <w:rPr>
          <w:rFonts w:ascii="Times New Roman"/>
        </w:rPr>
        <w:t>的评价指标名称、基准值、判定依据等要求见表1。</w:t>
      </w:r>
    </w:p>
    <w:p>
      <w:pPr>
        <w:pStyle w:val="30"/>
        <w:widowControl/>
        <w:tabs>
          <w:tab w:val="center" w:pos="4201"/>
          <w:tab w:val="right" w:leader="dot" w:pos="9298"/>
        </w:tabs>
        <w:autoSpaceDE w:val="0"/>
        <w:autoSpaceDN w:val="0"/>
        <w:spacing w:line="360" w:lineRule="auto"/>
        <w:ind w:firstLine="420" w:firstLineChars="200"/>
        <w:jc w:val="center"/>
        <w:rPr>
          <w:rFonts w:eastAsia="黑体"/>
          <w:szCs w:val="22"/>
        </w:rPr>
      </w:pPr>
      <w:r>
        <w:rPr>
          <w:rFonts w:eastAsia="黑体"/>
          <w:kern w:val="0"/>
          <w:sz w:val="21"/>
          <w:szCs w:val="22"/>
          <w:lang w:bidi="ar"/>
        </w:rPr>
        <w:t xml:space="preserve">表1 </w:t>
      </w:r>
      <w:r>
        <w:rPr>
          <w:rFonts w:hint="eastAsia" w:eastAsia="黑体"/>
          <w:kern w:val="0"/>
          <w:sz w:val="21"/>
          <w:szCs w:val="22"/>
          <w:lang w:bidi="ar"/>
        </w:rPr>
        <w:t xml:space="preserve"> 不锈钢焊接钢管</w:t>
      </w:r>
      <w:r>
        <w:rPr>
          <w:rFonts w:eastAsia="黑体"/>
          <w:kern w:val="0"/>
          <w:sz w:val="21"/>
          <w:szCs w:val="22"/>
          <w:lang w:bidi="ar"/>
        </w:rPr>
        <w:t>评价指标要求</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69"/>
        <w:gridCol w:w="2448"/>
        <w:gridCol w:w="743"/>
        <w:gridCol w:w="1313"/>
        <w:gridCol w:w="222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6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一级指标</w:t>
            </w:r>
          </w:p>
        </w:tc>
        <w:tc>
          <w:tcPr>
            <w:tcW w:w="1890"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二级指标</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单位</w:t>
            </w:r>
          </w:p>
        </w:tc>
        <w:tc>
          <w:tcPr>
            <w:tcW w:w="686"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基准值</w:t>
            </w:r>
          </w:p>
        </w:tc>
        <w:tc>
          <w:tcPr>
            <w:tcW w:w="116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测试依据和确认条件</w:t>
            </w:r>
          </w:p>
        </w:tc>
        <w:tc>
          <w:tcPr>
            <w:tcW w:w="512"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1" w:type="pct"/>
            <w:vMerge w:val="restart"/>
            <w:tcBorders>
              <w:top w:val="single" w:color="auto" w:sz="4" w:space="0"/>
              <w:left w:val="single" w:color="auto" w:sz="4" w:space="0"/>
              <w:right w:val="single" w:color="auto" w:sz="4" w:space="0"/>
            </w:tcBorders>
            <w:vAlign w:val="center"/>
          </w:tcPr>
          <w:p>
            <w:pPr>
              <w:jc w:val="center"/>
              <w:rPr>
                <w:sz w:val="18"/>
                <w:szCs w:val="18"/>
                <w:lang w:bidi="ar"/>
              </w:rPr>
            </w:pPr>
            <w:r>
              <w:rPr>
                <w:sz w:val="18"/>
                <w:szCs w:val="18"/>
                <w:lang w:bidi="ar"/>
              </w:rPr>
              <w:t>资源属性</w:t>
            </w:r>
          </w:p>
        </w:tc>
        <w:tc>
          <w:tcPr>
            <w:tcW w:w="611" w:type="pct"/>
            <w:tcBorders>
              <w:top w:val="single" w:color="auto" w:sz="4" w:space="0"/>
              <w:left w:val="single" w:color="auto" w:sz="4" w:space="0"/>
              <w:right w:val="single" w:color="auto" w:sz="4" w:space="0"/>
            </w:tcBorders>
            <w:vAlign w:val="center"/>
          </w:tcPr>
          <w:p>
            <w:pPr>
              <w:jc w:val="center"/>
              <w:rPr>
                <w:sz w:val="18"/>
                <w:szCs w:val="18"/>
                <w:lang w:bidi="ar"/>
              </w:rPr>
            </w:pPr>
            <w:r>
              <w:rPr>
                <w:sz w:val="18"/>
                <w:szCs w:val="18"/>
                <w:lang w:bidi="ar"/>
              </w:rPr>
              <w:t>原材料质量要求</w:t>
            </w:r>
          </w:p>
        </w:tc>
        <w:tc>
          <w:tcPr>
            <w:tcW w:w="1279"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钢板（带）</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w:t>
            </w:r>
          </w:p>
        </w:tc>
        <w:tc>
          <w:tcPr>
            <w:tcW w:w="686"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分别符合GB/</w:t>
            </w:r>
            <w:r>
              <w:rPr>
                <w:sz w:val="18"/>
                <w:szCs w:val="18"/>
              </w:rPr>
              <w:t>T 3280</w:t>
            </w:r>
            <w:r>
              <w:rPr>
                <w:rFonts w:hint="eastAsia"/>
                <w:sz w:val="18"/>
                <w:szCs w:val="18"/>
              </w:rPr>
              <w:t>、GB/</w:t>
            </w:r>
            <w:r>
              <w:rPr>
                <w:sz w:val="18"/>
                <w:szCs w:val="18"/>
              </w:rPr>
              <w:t>T 4237</w:t>
            </w:r>
            <w:r>
              <w:rPr>
                <w:rFonts w:hint="eastAsia"/>
                <w:sz w:val="18"/>
                <w:szCs w:val="18"/>
              </w:rPr>
              <w:t>的规定</w:t>
            </w:r>
          </w:p>
        </w:tc>
        <w:tc>
          <w:tcPr>
            <w:tcW w:w="1163" w:type="pc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提供采购合同、采购原料清单及证明材料</w:t>
            </w:r>
          </w:p>
        </w:tc>
        <w:tc>
          <w:tcPr>
            <w:tcW w:w="512" w:type="pct"/>
            <w:tcBorders>
              <w:top w:val="single" w:color="auto" w:sz="4" w:space="0"/>
              <w:left w:val="single" w:color="auto" w:sz="4" w:space="0"/>
              <w:right w:val="single" w:color="auto" w:sz="4" w:space="0"/>
            </w:tcBorders>
            <w:vAlign w:val="center"/>
          </w:tcPr>
          <w:p>
            <w:pPr>
              <w:jc w:val="center"/>
              <w:rPr>
                <w:sz w:val="18"/>
                <w:szCs w:val="18"/>
                <w:lang w:bidi="ar"/>
              </w:rPr>
            </w:pPr>
            <w:r>
              <w:rPr>
                <w:rFonts w:hint="eastAsia"/>
                <w:sz w:val="18"/>
                <w:szCs w:val="18"/>
                <w:lang w:bidi="ar"/>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361" w:type="pct"/>
            <w:vMerge w:val="continue"/>
            <w:tcBorders>
              <w:left w:val="single" w:color="auto" w:sz="4" w:space="0"/>
              <w:right w:val="single" w:color="auto" w:sz="4" w:space="0"/>
            </w:tcBorders>
            <w:vAlign w:val="center"/>
          </w:tcPr>
          <w:p>
            <w:pPr>
              <w:rPr>
                <w:sz w:val="20"/>
                <w:szCs w:val="20"/>
              </w:rPr>
            </w:pPr>
          </w:p>
        </w:tc>
        <w:tc>
          <w:tcPr>
            <w:tcW w:w="611"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水资源</w:t>
            </w:r>
          </w:p>
        </w:tc>
        <w:tc>
          <w:tcPr>
            <w:tcW w:w="1279" w:type="pct"/>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rFonts w:hint="eastAsia"/>
                <w:sz w:val="18"/>
                <w:szCs w:val="18"/>
                <w:lang w:bidi="ar"/>
              </w:rPr>
              <w:t>酸洗</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m</w:t>
            </w:r>
            <w:r>
              <w:rPr>
                <w:sz w:val="18"/>
                <w:szCs w:val="18"/>
                <w:vertAlign w:val="superscript"/>
                <w:lang w:bidi="ar"/>
              </w:rPr>
              <w:t>3</w:t>
            </w:r>
            <w:r>
              <w:rPr>
                <w:sz w:val="18"/>
                <w:szCs w:val="18"/>
                <w:lang w:bidi="ar"/>
              </w:rPr>
              <w:t>/t</w:t>
            </w:r>
          </w:p>
        </w:tc>
        <w:tc>
          <w:tcPr>
            <w:tcW w:w="686" w:type="pct"/>
            <w:tcBorders>
              <w:top w:val="single" w:color="auto" w:sz="4" w:space="0"/>
              <w:left w:val="single" w:color="auto" w:sz="4" w:space="0"/>
              <w:right w:val="single" w:color="auto" w:sz="4" w:space="0"/>
            </w:tcBorders>
            <w:vAlign w:val="center"/>
          </w:tcPr>
          <w:p>
            <w:pPr>
              <w:jc w:val="center"/>
              <w:rPr>
                <w:rFonts w:eastAsia="仿宋_GB2312"/>
              </w:rPr>
            </w:pPr>
            <w:r>
              <w:rPr>
                <w:sz w:val="18"/>
                <w:szCs w:val="18"/>
              </w:rPr>
              <w:t>≤</w:t>
            </w:r>
            <w:r>
              <w:rPr>
                <w:sz w:val="18"/>
                <w:szCs w:val="18"/>
                <w:lang w:bidi="ar"/>
              </w:rPr>
              <w:t>2.5</w:t>
            </w:r>
          </w:p>
        </w:tc>
        <w:tc>
          <w:tcPr>
            <w:tcW w:w="1163" w:type="pct"/>
            <w:vMerge w:val="restar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按照附录</w:t>
            </w:r>
            <w:r>
              <w:rPr>
                <w:rFonts w:hint="eastAsia"/>
                <w:sz w:val="18"/>
                <w:szCs w:val="18"/>
              </w:rPr>
              <w:t>A计算</w:t>
            </w:r>
            <w:r>
              <w:rPr>
                <w:sz w:val="18"/>
                <w:szCs w:val="18"/>
              </w:rPr>
              <w:t>，并提供</w:t>
            </w:r>
            <w:r>
              <w:rPr>
                <w:rFonts w:hint="eastAsia"/>
                <w:sz w:val="18"/>
                <w:szCs w:val="18"/>
              </w:rPr>
              <w:t>证明材料（按照一年生产周期计算平均值）</w:t>
            </w:r>
          </w:p>
        </w:tc>
        <w:tc>
          <w:tcPr>
            <w:tcW w:w="512"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361" w:type="pct"/>
            <w:vMerge w:val="continue"/>
            <w:tcBorders>
              <w:left w:val="single" w:color="auto" w:sz="4" w:space="0"/>
              <w:right w:val="single" w:color="auto" w:sz="4" w:space="0"/>
            </w:tcBorders>
            <w:vAlign w:val="center"/>
          </w:tcPr>
          <w:p>
            <w:pPr>
              <w:rPr>
                <w:sz w:val="20"/>
                <w:szCs w:val="20"/>
              </w:rPr>
            </w:pPr>
          </w:p>
        </w:tc>
        <w:tc>
          <w:tcPr>
            <w:tcW w:w="611"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p>
        </w:tc>
        <w:tc>
          <w:tcPr>
            <w:tcW w:w="1279" w:type="pct"/>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rFonts w:hint="eastAsia"/>
                <w:sz w:val="18"/>
                <w:szCs w:val="18"/>
                <w:lang w:bidi="ar"/>
              </w:rPr>
              <w:t>抛光</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sz w:val="18"/>
                <w:szCs w:val="18"/>
                <w:lang w:bidi="ar"/>
              </w:rPr>
              <w:t>m</w:t>
            </w:r>
            <w:r>
              <w:rPr>
                <w:sz w:val="18"/>
                <w:szCs w:val="18"/>
                <w:vertAlign w:val="superscript"/>
                <w:lang w:bidi="ar"/>
              </w:rPr>
              <w:t>3</w:t>
            </w:r>
            <w:r>
              <w:rPr>
                <w:sz w:val="18"/>
                <w:szCs w:val="18"/>
                <w:lang w:bidi="ar"/>
              </w:rPr>
              <w:t>/t</w:t>
            </w:r>
          </w:p>
        </w:tc>
        <w:tc>
          <w:tcPr>
            <w:tcW w:w="686" w:type="pct"/>
            <w:tcBorders>
              <w:left w:val="single" w:color="auto" w:sz="4" w:space="0"/>
              <w:bottom w:val="single" w:color="auto" w:sz="4" w:space="0"/>
              <w:right w:val="single" w:color="auto" w:sz="4" w:space="0"/>
            </w:tcBorders>
            <w:vAlign w:val="center"/>
          </w:tcPr>
          <w:p>
            <w:pPr>
              <w:jc w:val="center"/>
              <w:rPr>
                <w:sz w:val="18"/>
                <w:szCs w:val="18"/>
              </w:rPr>
            </w:pPr>
            <w:r>
              <w:rPr>
                <w:sz w:val="18"/>
                <w:szCs w:val="18"/>
              </w:rPr>
              <w:t>≤</w:t>
            </w:r>
            <w:r>
              <w:rPr>
                <w:sz w:val="18"/>
                <w:szCs w:val="18"/>
                <w:lang w:bidi="ar"/>
              </w:rPr>
              <w:t>2.0</w:t>
            </w:r>
          </w:p>
        </w:tc>
        <w:tc>
          <w:tcPr>
            <w:tcW w:w="1163" w:type="pct"/>
            <w:vMerge w:val="continue"/>
            <w:tcBorders>
              <w:left w:val="single" w:color="auto" w:sz="4" w:space="0"/>
              <w:right w:val="single" w:color="auto" w:sz="4" w:space="0"/>
            </w:tcBorders>
            <w:vAlign w:val="center"/>
          </w:tcPr>
          <w:p>
            <w:pPr>
              <w:snapToGrid w:val="0"/>
              <w:jc w:val="left"/>
              <w:rPr>
                <w:sz w:val="18"/>
                <w:szCs w:val="18"/>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361" w:type="pct"/>
            <w:vMerge w:val="continue"/>
            <w:tcBorders>
              <w:left w:val="single" w:color="auto" w:sz="4" w:space="0"/>
              <w:bottom w:val="single" w:color="auto" w:sz="4" w:space="0"/>
              <w:right w:val="single" w:color="auto" w:sz="4" w:space="0"/>
            </w:tcBorders>
            <w:vAlign w:val="center"/>
          </w:tcPr>
          <w:p>
            <w:pPr>
              <w:rPr>
                <w:sz w:val="20"/>
                <w:szCs w:val="20"/>
              </w:rPr>
            </w:pPr>
          </w:p>
        </w:tc>
        <w:tc>
          <w:tcPr>
            <w:tcW w:w="611"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279"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水重复利用率</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w:t>
            </w:r>
          </w:p>
        </w:tc>
        <w:tc>
          <w:tcPr>
            <w:tcW w:w="686"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kern w:val="0"/>
                <w:sz w:val="18"/>
                <w:szCs w:val="18"/>
              </w:rPr>
              <w:t>≥97</w:t>
            </w:r>
          </w:p>
        </w:tc>
        <w:tc>
          <w:tcPr>
            <w:tcW w:w="1163"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按照GB/T 26924标准和附录A</w:t>
            </w:r>
            <w:r>
              <w:rPr>
                <w:rFonts w:hint="eastAsia"/>
                <w:sz w:val="18"/>
                <w:szCs w:val="18"/>
              </w:rPr>
              <w:t>，</w:t>
            </w:r>
            <w:r>
              <w:rPr>
                <w:sz w:val="18"/>
                <w:szCs w:val="18"/>
              </w:rPr>
              <w:t>并提供基础数据</w:t>
            </w: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1" w:type="pc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能源属性</w:t>
            </w:r>
          </w:p>
        </w:tc>
        <w:tc>
          <w:tcPr>
            <w:tcW w:w="611" w:type="pct"/>
            <w:tcBorders>
              <w:top w:val="single" w:color="auto" w:sz="4" w:space="0"/>
              <w:left w:val="single" w:color="auto" w:sz="4" w:space="0"/>
              <w:right w:val="single" w:color="auto" w:sz="4" w:space="0"/>
            </w:tcBorders>
            <w:vAlign w:val="center"/>
          </w:tcPr>
          <w:p>
            <w:pPr>
              <w:jc w:val="center"/>
              <w:rPr>
                <w:sz w:val="18"/>
                <w:szCs w:val="18"/>
                <w:lang w:bidi="ar"/>
              </w:rPr>
            </w:pPr>
            <w:r>
              <w:rPr>
                <w:sz w:val="18"/>
                <w:szCs w:val="18"/>
                <w:lang w:bidi="ar"/>
              </w:rPr>
              <w:t>单位产品</w:t>
            </w:r>
          </w:p>
          <w:p>
            <w:pPr>
              <w:jc w:val="center"/>
              <w:rPr>
                <w:sz w:val="18"/>
                <w:szCs w:val="18"/>
              </w:rPr>
            </w:pPr>
            <w:r>
              <w:rPr>
                <w:sz w:val="18"/>
                <w:szCs w:val="18"/>
                <w:lang w:bidi="ar"/>
              </w:rPr>
              <w:t>能耗指标</w:t>
            </w:r>
          </w:p>
        </w:tc>
        <w:tc>
          <w:tcPr>
            <w:tcW w:w="1279"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钢管</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kgce/t</w:t>
            </w:r>
          </w:p>
        </w:tc>
        <w:tc>
          <w:tcPr>
            <w:tcW w:w="686"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≤50</w:t>
            </w:r>
          </w:p>
        </w:tc>
        <w:tc>
          <w:tcPr>
            <w:tcW w:w="1163" w:type="pc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按照附录</w:t>
            </w:r>
            <w:r>
              <w:rPr>
                <w:rFonts w:hint="eastAsia"/>
                <w:caps/>
                <w:sz w:val="18"/>
                <w:szCs w:val="18"/>
              </w:rPr>
              <w:t>A</w:t>
            </w:r>
            <w:r>
              <w:rPr>
                <w:rFonts w:hint="eastAsia"/>
                <w:sz w:val="18"/>
                <w:szCs w:val="18"/>
              </w:rPr>
              <w:t>计算</w:t>
            </w:r>
            <w:r>
              <w:rPr>
                <w:sz w:val="18"/>
                <w:szCs w:val="18"/>
              </w:rPr>
              <w:t>，并提供</w:t>
            </w:r>
            <w:r>
              <w:rPr>
                <w:rFonts w:hint="eastAsia"/>
                <w:sz w:val="18"/>
                <w:szCs w:val="18"/>
              </w:rPr>
              <w:t>证明材料（按照一年生产周期计算平均值）</w:t>
            </w:r>
          </w:p>
        </w:tc>
        <w:tc>
          <w:tcPr>
            <w:tcW w:w="512" w:type="pc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61"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环境属性</w:t>
            </w:r>
          </w:p>
        </w:tc>
        <w:tc>
          <w:tcPr>
            <w:tcW w:w="611"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生产过程中污染物排放量</w:t>
            </w:r>
          </w:p>
        </w:tc>
        <w:tc>
          <w:tcPr>
            <w:tcW w:w="1279"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lang w:bidi="ar"/>
              </w:rPr>
              <w:t>酸雾</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8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≤0.006</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18"/>
                <w:szCs w:val="18"/>
              </w:rPr>
            </w:pPr>
            <w:r>
              <w:rPr>
                <w:sz w:val="18"/>
                <w:szCs w:val="18"/>
              </w:rPr>
              <w:t>提供</w:t>
            </w:r>
            <w:r>
              <w:rPr>
                <w:rFonts w:hint="eastAsia"/>
                <w:sz w:val="18"/>
                <w:szCs w:val="18"/>
              </w:rPr>
              <w:t>排放量证明</w:t>
            </w:r>
            <w:r>
              <w:rPr>
                <w:sz w:val="18"/>
                <w:szCs w:val="18"/>
              </w:rPr>
              <w:t>（按照一年生产周期计算平均值）</w:t>
            </w:r>
            <w:r>
              <w:rPr>
                <w:rFonts w:hint="eastAsia"/>
                <w:sz w:val="18"/>
                <w:szCs w:val="18"/>
              </w:rPr>
              <w:t>；每半年监测报告中所涉及的排放监测结果</w:t>
            </w:r>
          </w:p>
        </w:tc>
        <w:tc>
          <w:tcPr>
            <w:tcW w:w="512"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1" w:type="pct"/>
            <w:vMerge w:val="continue"/>
            <w:tcBorders>
              <w:left w:val="single" w:color="auto" w:sz="4" w:space="0"/>
              <w:right w:val="single" w:color="auto" w:sz="4" w:space="0"/>
            </w:tcBorders>
            <w:vAlign w:val="center"/>
          </w:tcPr>
          <w:p>
            <w:pPr>
              <w:rPr>
                <w:sz w:val="20"/>
                <w:szCs w:val="20"/>
              </w:rPr>
            </w:pPr>
          </w:p>
        </w:tc>
        <w:tc>
          <w:tcPr>
            <w:tcW w:w="611" w:type="pct"/>
            <w:vMerge w:val="continue"/>
            <w:tcBorders>
              <w:left w:val="single" w:color="auto" w:sz="4" w:space="0"/>
              <w:right w:val="single" w:color="auto" w:sz="4" w:space="0"/>
            </w:tcBorders>
            <w:vAlign w:val="center"/>
          </w:tcPr>
          <w:p>
            <w:pPr>
              <w:rPr>
                <w:sz w:val="20"/>
                <w:szCs w:val="20"/>
              </w:rPr>
            </w:pPr>
          </w:p>
        </w:tc>
        <w:tc>
          <w:tcPr>
            <w:tcW w:w="12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8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≤0.004</w:t>
            </w:r>
          </w:p>
        </w:tc>
        <w:tc>
          <w:tcPr>
            <w:tcW w:w="1163" w:type="pct"/>
            <w:vMerge w:val="restart"/>
            <w:tcBorders>
              <w:top w:val="single" w:color="auto" w:sz="4" w:space="0"/>
              <w:left w:val="single" w:color="auto" w:sz="4" w:space="0"/>
              <w:right w:val="single" w:color="auto" w:sz="4" w:space="0"/>
            </w:tcBorders>
            <w:vAlign w:val="center"/>
          </w:tcPr>
          <w:p>
            <w:pPr>
              <w:widowControl/>
              <w:snapToGrid w:val="0"/>
              <w:jc w:val="left"/>
              <w:rPr>
                <w:sz w:val="18"/>
                <w:szCs w:val="18"/>
              </w:rPr>
            </w:pPr>
            <w:r>
              <w:rPr>
                <w:sz w:val="18"/>
                <w:szCs w:val="18"/>
              </w:rPr>
              <w:t>按照《钢铁行业（烧结、球团）清洁生产评价指标体系》，并提供基础数据（按照一年生产周期计算平均值）</w:t>
            </w:r>
          </w:p>
        </w:tc>
        <w:tc>
          <w:tcPr>
            <w:tcW w:w="512"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1" w:type="pct"/>
            <w:vMerge w:val="continue"/>
            <w:tcBorders>
              <w:left w:val="single" w:color="auto" w:sz="4" w:space="0"/>
              <w:right w:val="single" w:color="auto" w:sz="4" w:space="0"/>
            </w:tcBorders>
            <w:vAlign w:val="center"/>
          </w:tcPr>
          <w:p>
            <w:pPr>
              <w:rPr>
                <w:sz w:val="20"/>
                <w:szCs w:val="20"/>
              </w:rPr>
            </w:pPr>
          </w:p>
        </w:tc>
        <w:tc>
          <w:tcPr>
            <w:tcW w:w="611" w:type="pct"/>
            <w:vMerge w:val="continue"/>
            <w:tcBorders>
              <w:left w:val="single" w:color="auto" w:sz="4" w:space="0"/>
              <w:right w:val="single" w:color="auto" w:sz="4" w:space="0"/>
            </w:tcBorders>
            <w:vAlign w:val="center"/>
          </w:tcPr>
          <w:p>
            <w:pPr>
              <w:rPr>
                <w:sz w:val="20"/>
                <w:szCs w:val="20"/>
              </w:rPr>
            </w:pPr>
          </w:p>
        </w:tc>
        <w:tc>
          <w:tcPr>
            <w:tcW w:w="1279"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hint="eastAsia"/>
                <w:kern w:val="0"/>
                <w:sz w:val="18"/>
                <w:szCs w:val="18"/>
              </w:rPr>
              <w:t>COD</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8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≤0.08</w:t>
            </w:r>
          </w:p>
        </w:tc>
        <w:tc>
          <w:tcPr>
            <w:tcW w:w="1163" w:type="pct"/>
            <w:vMerge w:val="continue"/>
            <w:tcBorders>
              <w:left w:val="single" w:color="auto" w:sz="4" w:space="0"/>
              <w:right w:val="single" w:color="auto" w:sz="4" w:space="0"/>
            </w:tcBorders>
            <w:vAlign w:val="center"/>
          </w:tcPr>
          <w:p>
            <w:pPr>
              <w:snapToGrid w:val="0"/>
              <w:jc w:val="left"/>
              <w:rPr>
                <w:sz w:val="20"/>
                <w:szCs w:val="20"/>
              </w:rPr>
            </w:pPr>
          </w:p>
        </w:tc>
        <w:tc>
          <w:tcPr>
            <w:tcW w:w="512"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1" w:type="pct"/>
            <w:vMerge w:val="continue"/>
            <w:tcBorders>
              <w:left w:val="single" w:color="auto" w:sz="4" w:space="0"/>
              <w:right w:val="single" w:color="auto" w:sz="4" w:space="0"/>
            </w:tcBorders>
            <w:vAlign w:val="center"/>
          </w:tcPr>
          <w:p>
            <w:pPr>
              <w:rPr>
                <w:sz w:val="20"/>
                <w:szCs w:val="20"/>
              </w:rPr>
            </w:pPr>
          </w:p>
        </w:tc>
        <w:tc>
          <w:tcPr>
            <w:tcW w:w="611" w:type="pct"/>
            <w:vMerge w:val="continue"/>
            <w:tcBorders>
              <w:left w:val="single" w:color="auto" w:sz="4" w:space="0"/>
              <w:right w:val="single" w:color="auto" w:sz="4" w:space="0"/>
            </w:tcBorders>
            <w:vAlign w:val="center"/>
          </w:tcPr>
          <w:p>
            <w:pPr>
              <w:rPr>
                <w:sz w:val="20"/>
                <w:szCs w:val="20"/>
              </w:rPr>
            </w:pPr>
          </w:p>
        </w:tc>
        <w:tc>
          <w:tcPr>
            <w:tcW w:w="12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氨氮</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8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≤0.003</w:t>
            </w:r>
          </w:p>
        </w:tc>
        <w:tc>
          <w:tcPr>
            <w:tcW w:w="1163" w:type="pct"/>
            <w:vMerge w:val="continue"/>
            <w:tcBorders>
              <w:left w:val="single" w:color="auto" w:sz="4" w:space="0"/>
              <w:right w:val="single" w:color="auto" w:sz="4" w:space="0"/>
            </w:tcBorders>
            <w:vAlign w:val="center"/>
          </w:tcPr>
          <w:p>
            <w:pPr>
              <w:snapToGrid w:val="0"/>
              <w:jc w:val="left"/>
              <w:rPr>
                <w:sz w:val="20"/>
                <w:szCs w:val="20"/>
              </w:rPr>
            </w:pPr>
          </w:p>
        </w:tc>
        <w:tc>
          <w:tcPr>
            <w:tcW w:w="512"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61" w:type="pct"/>
            <w:vMerge w:val="continue"/>
            <w:tcBorders>
              <w:left w:val="single" w:color="auto" w:sz="4" w:space="0"/>
              <w:right w:val="single" w:color="auto" w:sz="4" w:space="0"/>
            </w:tcBorders>
            <w:vAlign w:val="center"/>
          </w:tcPr>
          <w:p>
            <w:pPr>
              <w:rPr>
                <w:sz w:val="20"/>
                <w:szCs w:val="20"/>
              </w:rPr>
            </w:pPr>
          </w:p>
        </w:tc>
        <w:tc>
          <w:tcPr>
            <w:tcW w:w="611" w:type="pct"/>
            <w:vMerge w:val="continue"/>
            <w:tcBorders>
              <w:left w:val="single" w:color="auto" w:sz="4" w:space="0"/>
              <w:right w:val="single" w:color="auto" w:sz="4" w:space="0"/>
            </w:tcBorders>
            <w:vAlign w:val="center"/>
          </w:tcPr>
          <w:p>
            <w:pPr>
              <w:rPr>
                <w:sz w:val="20"/>
                <w:szCs w:val="20"/>
              </w:rPr>
            </w:pPr>
          </w:p>
        </w:tc>
        <w:tc>
          <w:tcPr>
            <w:tcW w:w="12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单位产品工业废水排放量</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m</w:t>
            </w:r>
            <w:r>
              <w:rPr>
                <w:kern w:val="0"/>
                <w:sz w:val="18"/>
                <w:szCs w:val="18"/>
                <w:vertAlign w:val="superscript"/>
              </w:rPr>
              <w:t>3</w:t>
            </w:r>
            <w:r>
              <w:rPr>
                <w:kern w:val="0"/>
                <w:sz w:val="18"/>
                <w:szCs w:val="18"/>
              </w:rPr>
              <w:t>/t</w:t>
            </w:r>
          </w:p>
        </w:tc>
        <w:tc>
          <w:tcPr>
            <w:tcW w:w="68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无排放</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18"/>
                <w:szCs w:val="18"/>
              </w:rPr>
            </w:pPr>
            <w:r>
              <w:rPr>
                <w:rFonts w:hint="eastAsia"/>
                <w:sz w:val="18"/>
                <w:szCs w:val="18"/>
              </w:rPr>
              <w:t>—</w:t>
            </w:r>
          </w:p>
        </w:tc>
        <w:tc>
          <w:tcPr>
            <w:tcW w:w="512" w:type="pct"/>
            <w:vMerge w:val="continue"/>
            <w:tcBorders>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361"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产品属性</w:t>
            </w:r>
          </w:p>
        </w:tc>
        <w:tc>
          <w:tcPr>
            <w:tcW w:w="1890"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18"/>
                <w:szCs w:val="18"/>
              </w:rPr>
            </w:pPr>
            <w:r>
              <w:rPr>
                <w:rFonts w:hint="eastAsia"/>
                <w:sz w:val="18"/>
                <w:szCs w:val="18"/>
              </w:rPr>
              <w:t>碳含量</w:t>
            </w:r>
          </w:p>
        </w:tc>
        <w:tc>
          <w:tcPr>
            <w:tcW w:w="388"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rFonts w:hint="eastAsia"/>
                <w:sz w:val="18"/>
                <w:szCs w:val="18"/>
              </w:rPr>
              <w:t>%</w:t>
            </w:r>
          </w:p>
        </w:tc>
        <w:tc>
          <w:tcPr>
            <w:tcW w:w="686"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rFonts w:hint="eastAsia"/>
                <w:sz w:val="18"/>
                <w:szCs w:val="18"/>
              </w:rPr>
              <w:t>符合GB/</w:t>
            </w:r>
            <w:r>
              <w:rPr>
                <w:sz w:val="18"/>
                <w:szCs w:val="18"/>
              </w:rPr>
              <w:t>T 3280</w:t>
            </w:r>
            <w:r>
              <w:rPr>
                <w:rFonts w:hint="eastAsia"/>
                <w:sz w:val="18"/>
                <w:szCs w:val="18"/>
              </w:rPr>
              <w:t>、GB/</w:t>
            </w:r>
            <w:r>
              <w:rPr>
                <w:sz w:val="18"/>
                <w:szCs w:val="18"/>
              </w:rPr>
              <w:t>T 4237</w:t>
            </w:r>
            <w:r>
              <w:rPr>
                <w:rFonts w:hint="eastAsia"/>
                <w:sz w:val="18"/>
                <w:szCs w:val="18"/>
              </w:rPr>
              <w:t>的规定</w:t>
            </w:r>
          </w:p>
        </w:tc>
        <w:tc>
          <w:tcPr>
            <w:tcW w:w="1163"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提供检测报告</w:t>
            </w:r>
          </w:p>
        </w:tc>
        <w:tc>
          <w:tcPr>
            <w:tcW w:w="512"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361" w:type="pct"/>
            <w:vMerge w:val="continue"/>
            <w:tcBorders>
              <w:left w:val="single" w:color="auto" w:sz="4" w:space="0"/>
              <w:right w:val="single" w:color="auto" w:sz="4" w:space="0"/>
            </w:tcBorders>
            <w:vAlign w:val="center"/>
          </w:tcPr>
          <w:p>
            <w:pPr>
              <w:jc w:val="center"/>
              <w:rPr>
                <w:sz w:val="18"/>
                <w:szCs w:val="18"/>
                <w:lang w:bidi="ar"/>
              </w:rPr>
            </w:pPr>
          </w:p>
        </w:tc>
        <w:tc>
          <w:tcPr>
            <w:tcW w:w="1890"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铬含量</w:t>
            </w:r>
          </w:p>
        </w:tc>
        <w:tc>
          <w:tcPr>
            <w:tcW w:w="388" w:type="pct"/>
            <w:tcBorders>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686" w:type="pct"/>
            <w:tcBorders>
              <w:left w:val="single" w:color="auto" w:sz="4" w:space="0"/>
              <w:bottom w:val="single" w:color="auto" w:sz="4" w:space="0"/>
              <w:right w:val="single" w:color="auto" w:sz="4" w:space="0"/>
            </w:tcBorders>
            <w:vAlign w:val="center"/>
          </w:tcPr>
          <w:p>
            <w:pPr>
              <w:snapToGrid w:val="0"/>
              <w:jc w:val="center"/>
              <w:rPr>
                <w:kern w:val="0"/>
                <w:sz w:val="18"/>
                <w:szCs w:val="18"/>
              </w:rPr>
            </w:pPr>
            <w:r>
              <w:rPr>
                <w:sz w:val="18"/>
                <w:szCs w:val="18"/>
              </w:rPr>
              <w:t>10.5</w:t>
            </w:r>
            <w:r>
              <w:rPr>
                <w:rFonts w:hint="eastAsia"/>
                <w:sz w:val="18"/>
                <w:szCs w:val="18"/>
              </w:rPr>
              <w:t>~</w:t>
            </w:r>
            <w:r>
              <w:rPr>
                <w:sz w:val="18"/>
                <w:szCs w:val="18"/>
              </w:rPr>
              <w:t>32.00</w:t>
            </w:r>
          </w:p>
        </w:tc>
        <w:tc>
          <w:tcPr>
            <w:tcW w:w="1163" w:type="pct"/>
            <w:vMerge w:val="continue"/>
            <w:tcBorders>
              <w:left w:val="single" w:color="auto" w:sz="4" w:space="0"/>
              <w:right w:val="single" w:color="auto" w:sz="4" w:space="0"/>
            </w:tcBorders>
            <w:vAlign w:val="center"/>
          </w:tcPr>
          <w:p>
            <w:pPr>
              <w:jc w:val="center"/>
              <w:rPr>
                <w:kern w:val="0"/>
                <w:sz w:val="18"/>
                <w:szCs w:val="18"/>
              </w:rPr>
            </w:pPr>
          </w:p>
        </w:tc>
        <w:tc>
          <w:tcPr>
            <w:tcW w:w="512"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1" w:type="pct"/>
            <w:vMerge w:val="continue"/>
            <w:tcBorders>
              <w:left w:val="single" w:color="auto" w:sz="4" w:space="0"/>
              <w:bottom w:val="single" w:color="auto" w:sz="4" w:space="0"/>
              <w:right w:val="single" w:color="auto" w:sz="4" w:space="0"/>
            </w:tcBorders>
            <w:vAlign w:val="center"/>
          </w:tcPr>
          <w:p>
            <w:pPr>
              <w:jc w:val="center"/>
              <w:rPr>
                <w:sz w:val="18"/>
                <w:szCs w:val="18"/>
                <w:lang w:bidi="ar"/>
              </w:rPr>
            </w:pPr>
          </w:p>
        </w:tc>
        <w:tc>
          <w:tcPr>
            <w:tcW w:w="1890"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铅增加量</w:t>
            </w:r>
          </w:p>
        </w:tc>
        <w:tc>
          <w:tcPr>
            <w:tcW w:w="388" w:type="pct"/>
            <w:tcBorders>
              <w:left w:val="single" w:color="auto" w:sz="4" w:space="0"/>
              <w:bottom w:val="single" w:color="auto" w:sz="4" w:space="0"/>
              <w:right w:val="single" w:color="auto" w:sz="4" w:space="0"/>
            </w:tcBorders>
            <w:vAlign w:val="center"/>
          </w:tcPr>
          <w:p>
            <w:pPr>
              <w:snapToGrid w:val="0"/>
              <w:jc w:val="center"/>
              <w:rPr>
                <w:sz w:val="18"/>
                <w:szCs w:val="18"/>
              </w:rPr>
            </w:pPr>
            <w:r>
              <w:rPr>
                <w:kern w:val="0"/>
                <w:sz w:val="18"/>
                <w:szCs w:val="18"/>
              </w:rPr>
              <w:t>mg/</w:t>
            </w:r>
            <w:r>
              <w:rPr>
                <w:rFonts w:hint="eastAsia"/>
                <w:kern w:val="0"/>
                <w:sz w:val="18"/>
                <w:szCs w:val="18"/>
              </w:rPr>
              <w:t>L</w:t>
            </w:r>
          </w:p>
        </w:tc>
        <w:tc>
          <w:tcPr>
            <w:tcW w:w="686" w:type="pct"/>
            <w:tcBorders>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w:t>
            </w:r>
            <w:r>
              <w:rPr>
                <w:kern w:val="0"/>
                <w:sz w:val="18"/>
                <w:szCs w:val="18"/>
              </w:rPr>
              <w:t>0.001</w:t>
            </w:r>
          </w:p>
        </w:tc>
        <w:tc>
          <w:tcPr>
            <w:tcW w:w="1163" w:type="pct"/>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512" w:type="pct"/>
            <w:vMerge w:val="continue"/>
            <w:tcBorders>
              <w:left w:val="single" w:color="auto" w:sz="4" w:space="0"/>
              <w:bottom w:val="single" w:color="auto" w:sz="4" w:space="0"/>
              <w:right w:val="single" w:color="auto" w:sz="4" w:space="0"/>
            </w:tcBorders>
            <w:vAlign w:val="center"/>
          </w:tcPr>
          <w:p>
            <w:pPr>
              <w:jc w:val="center"/>
              <w:rPr>
                <w:sz w:val="18"/>
                <w:szCs w:val="18"/>
                <w:lang w:bidi="ar"/>
              </w:rPr>
            </w:pPr>
          </w:p>
        </w:tc>
      </w:tr>
    </w:tbl>
    <w:p>
      <w:pPr>
        <w:pStyle w:val="54"/>
        <w:ind w:left="0"/>
        <w:rPr>
          <w:rFonts w:ascii="Times New Roman"/>
          <w:szCs w:val="22"/>
        </w:rPr>
      </w:pPr>
      <w:r>
        <w:rPr>
          <w:rFonts w:ascii="Times New Roman"/>
          <w:szCs w:val="22"/>
        </w:rPr>
        <w:t>检验方法和指标计算方法</w:t>
      </w:r>
    </w:p>
    <w:p>
      <w:pPr>
        <w:pStyle w:val="22"/>
        <w:rPr>
          <w:rFonts w:ascii="Times New Roman"/>
        </w:rPr>
      </w:pPr>
      <w:r>
        <w:rPr>
          <w:rFonts w:ascii="Times New Roman"/>
        </w:rPr>
        <w:t>本文件的各项指标的采集和检测按国家标准检测方法执行。相关数据处理和计算方法按照表1判定依据中的方法执行。</w:t>
      </w:r>
    </w:p>
    <w:p>
      <w:pPr>
        <w:pStyle w:val="52"/>
        <w:rPr>
          <w:rFonts w:ascii="Times New Roman"/>
          <w:szCs w:val="22"/>
        </w:rPr>
      </w:pPr>
      <w:r>
        <w:rPr>
          <w:rFonts w:ascii="Times New Roman"/>
          <w:szCs w:val="22"/>
        </w:rPr>
        <w:t>生命周期评价报告编制方法</w:t>
      </w:r>
    </w:p>
    <w:p>
      <w:pPr>
        <w:pStyle w:val="54"/>
        <w:ind w:left="0"/>
        <w:rPr>
          <w:rFonts w:ascii="Times New Roman"/>
          <w:szCs w:val="22"/>
        </w:rPr>
      </w:pPr>
      <w:r>
        <w:rPr>
          <w:rFonts w:ascii="Times New Roman"/>
          <w:szCs w:val="22"/>
        </w:rPr>
        <w:t>编制依据</w:t>
      </w:r>
    </w:p>
    <w:p>
      <w:pPr>
        <w:pStyle w:val="30"/>
        <w:widowControl/>
        <w:tabs>
          <w:tab w:val="center" w:pos="4201"/>
          <w:tab w:val="right" w:leader="dot" w:pos="9298"/>
        </w:tabs>
        <w:autoSpaceDE w:val="0"/>
        <w:autoSpaceDN w:val="0"/>
        <w:ind w:firstLine="420" w:firstLineChars="200"/>
        <w:rPr>
          <w:sz w:val="21"/>
        </w:rPr>
      </w:pPr>
      <w:r>
        <w:rPr>
          <w:rFonts w:hint="eastAsia"/>
          <w:sz w:val="21"/>
        </w:rPr>
        <w:t>应依据</w:t>
      </w:r>
      <w:r>
        <w:rPr>
          <w:sz w:val="21"/>
        </w:rPr>
        <w:t>附录</w:t>
      </w:r>
      <w:r>
        <w:rPr>
          <w:rFonts w:hint="eastAsia"/>
          <w:sz w:val="21"/>
        </w:rPr>
        <w:t>B</w:t>
      </w:r>
      <w:r>
        <w:rPr>
          <w:sz w:val="21"/>
        </w:rPr>
        <w:t>中的</w:t>
      </w:r>
      <w:r>
        <w:rPr>
          <w:rFonts w:hint="eastAsia"/>
          <w:sz w:val="21"/>
        </w:rPr>
        <w:t>不锈钢焊接钢管</w:t>
      </w:r>
      <w:r>
        <w:rPr>
          <w:sz w:val="21"/>
        </w:rPr>
        <w:t>产品生命周期评价方法框架建立生命周期评价方法学，并依据此方法学编制生命周期评价报告。</w:t>
      </w:r>
    </w:p>
    <w:p>
      <w:pPr>
        <w:pStyle w:val="54"/>
        <w:ind w:left="0"/>
        <w:rPr>
          <w:rFonts w:ascii="Times New Roman"/>
          <w:szCs w:val="22"/>
        </w:rPr>
      </w:pPr>
      <w:r>
        <w:rPr>
          <w:rFonts w:hint="eastAsia" w:ascii="Times New Roman"/>
          <w:szCs w:val="22"/>
        </w:rPr>
        <w:t>报告内容框架</w:t>
      </w:r>
    </w:p>
    <w:p>
      <w:pPr>
        <w:pStyle w:val="56"/>
        <w:spacing w:before="156" w:after="156"/>
        <w:ind w:left="0"/>
        <w:rPr>
          <w:rFonts w:ascii="Times New Roman"/>
        </w:rPr>
      </w:pPr>
      <w:r>
        <w:rPr>
          <w:rFonts w:ascii="Times New Roman"/>
        </w:rPr>
        <w:t>基本信息</w:t>
      </w:r>
    </w:p>
    <w:p>
      <w:pPr>
        <w:pStyle w:val="30"/>
        <w:widowControl/>
        <w:tabs>
          <w:tab w:val="center" w:pos="4201"/>
          <w:tab w:val="right" w:leader="dot" w:pos="9298"/>
        </w:tabs>
        <w:autoSpaceDE w:val="0"/>
        <w:autoSpaceDN w:val="0"/>
        <w:ind w:firstLine="420" w:firstLineChars="20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等，采用的标准信息应包括标准名称及标准号。</w:t>
      </w:r>
    </w:p>
    <w:p>
      <w:pPr>
        <w:pStyle w:val="56"/>
        <w:spacing w:before="156" w:after="156"/>
        <w:ind w:left="0"/>
        <w:rPr>
          <w:rFonts w:ascii="Times New Roman"/>
        </w:rPr>
      </w:pPr>
      <w:r>
        <w:rPr>
          <w:rFonts w:ascii="Times New Roman"/>
        </w:rPr>
        <w:t>符合性评价</w:t>
      </w:r>
    </w:p>
    <w:p>
      <w:pPr>
        <w:pStyle w:val="30"/>
        <w:widowControl/>
        <w:tabs>
          <w:tab w:val="center" w:pos="4201"/>
          <w:tab w:val="right" w:leader="dot" w:pos="9298"/>
        </w:tabs>
        <w:autoSpaceDE w:val="0"/>
        <w:autoSpaceDN w:val="0"/>
        <w:ind w:firstLine="420" w:firstLineChars="200"/>
        <w:rPr>
          <w:sz w:val="21"/>
        </w:rPr>
      </w:pPr>
      <w:r>
        <w:rPr>
          <w:sz w:val="21"/>
        </w:rPr>
        <w:t>报告中应提供对基本要求和评价指标要求的符合性情况，并提供所有评价指标报告期比基期改进情况的说明。其中报告期为当前评价的年份，一般是指</w:t>
      </w:r>
      <w:r>
        <w:rPr>
          <w:rFonts w:hint="eastAsia"/>
          <w:sz w:val="21"/>
        </w:rPr>
        <w:t>不锈钢焊接钢管</w:t>
      </w:r>
      <w:r>
        <w:rPr>
          <w:sz w:val="21"/>
        </w:rPr>
        <w:t>产品参与评价的上一年；基期为一个对照年份，一般比报告期提前1年。</w:t>
      </w:r>
    </w:p>
    <w:p>
      <w:pPr>
        <w:pStyle w:val="56"/>
        <w:spacing w:before="156" w:after="156"/>
        <w:ind w:left="0"/>
        <w:rPr>
          <w:rFonts w:ascii="Times New Roman"/>
        </w:rPr>
      </w:pPr>
      <w:r>
        <w:rPr>
          <w:rFonts w:hint="eastAsia" w:ascii="Times New Roman"/>
        </w:rPr>
        <w:t>生命周期评价</w:t>
      </w:r>
    </w:p>
    <w:p>
      <w:pPr>
        <w:pStyle w:val="78"/>
        <w:spacing w:before="156" w:after="156"/>
        <w:ind w:left="0"/>
      </w:pPr>
      <w:r>
        <w:t>评价对象及工具</w:t>
      </w:r>
    </w:p>
    <w:p>
      <w:pPr>
        <w:pStyle w:val="30"/>
        <w:widowControl/>
        <w:tabs>
          <w:tab w:val="center" w:pos="4201"/>
          <w:tab w:val="right" w:leader="dot" w:pos="9298"/>
        </w:tabs>
        <w:autoSpaceDE w:val="0"/>
        <w:autoSpaceDN w:val="0"/>
        <w:ind w:firstLine="420" w:firstLineChars="200"/>
        <w:rPr>
          <w:sz w:val="21"/>
        </w:rPr>
      </w:pPr>
      <w:r>
        <w:rPr>
          <w:sz w:val="21"/>
        </w:rPr>
        <w:t>报告中应详细描述评估的对象、功能单位和产品主要功能，提供</w:t>
      </w:r>
      <w:r>
        <w:rPr>
          <w:rFonts w:hint="eastAsia"/>
          <w:sz w:val="21"/>
        </w:rPr>
        <w:t>不锈钢焊接钢管</w:t>
      </w:r>
      <w:r>
        <w:rPr>
          <w:sz w:val="21"/>
        </w:rPr>
        <w:t>的原材料构成及主要技术参数表，绘制并说明</w:t>
      </w:r>
      <w:r>
        <w:rPr>
          <w:rFonts w:hint="eastAsia"/>
          <w:sz w:val="21"/>
        </w:rPr>
        <w:t>不锈钢焊接钢管</w:t>
      </w:r>
      <w:r>
        <w:rPr>
          <w:sz w:val="21"/>
        </w:rPr>
        <w:t>的系统边界，披露所使用的基于生命周期数据库的工具。</w:t>
      </w:r>
    </w:p>
    <w:p>
      <w:pPr>
        <w:pStyle w:val="30"/>
        <w:widowControl/>
        <w:tabs>
          <w:tab w:val="center" w:pos="4201"/>
          <w:tab w:val="right" w:leader="dot" w:pos="9298"/>
        </w:tabs>
        <w:autoSpaceDE w:val="0"/>
        <w:autoSpaceDN w:val="0"/>
        <w:ind w:firstLine="420" w:firstLineChars="200"/>
        <w:rPr>
          <w:sz w:val="21"/>
        </w:rPr>
      </w:pPr>
      <w:r>
        <w:rPr>
          <w:sz w:val="21"/>
        </w:rPr>
        <w:t>本文件以“1t</w:t>
      </w:r>
      <w:r>
        <w:rPr>
          <w:rFonts w:hint="eastAsia"/>
          <w:sz w:val="21"/>
        </w:rPr>
        <w:t>不锈钢焊接钢管</w:t>
      </w:r>
      <w:r>
        <w:rPr>
          <w:sz w:val="21"/>
        </w:rPr>
        <w:t>”为功能单位来表示。</w:t>
      </w:r>
    </w:p>
    <w:p>
      <w:pPr>
        <w:pStyle w:val="78"/>
        <w:spacing w:before="156" w:after="156"/>
        <w:ind w:left="0"/>
      </w:pPr>
      <w:r>
        <w:t>生命周期清单分析</w:t>
      </w:r>
    </w:p>
    <w:p>
      <w:pPr>
        <w:pStyle w:val="30"/>
        <w:widowControl/>
        <w:tabs>
          <w:tab w:val="center" w:pos="4201"/>
          <w:tab w:val="right" w:leader="dot" w:pos="9298"/>
        </w:tabs>
        <w:autoSpaceDE w:val="0"/>
        <w:autoSpaceDN w:val="0"/>
        <w:ind w:firstLine="420" w:firstLineChars="200"/>
        <w:rPr>
          <w:sz w:val="21"/>
        </w:rPr>
      </w:pPr>
      <w:r>
        <w:rPr>
          <w:sz w:val="21"/>
        </w:rPr>
        <w:t>报告中应提供考虑的生命周期阶段，说明每个阶段所考虑的清单因子及收集到的现场数据或背景数据，涉及到数据分配的情况应说明分配方法和结果。</w:t>
      </w:r>
    </w:p>
    <w:p>
      <w:pPr>
        <w:pStyle w:val="78"/>
        <w:spacing w:before="156" w:after="156"/>
        <w:ind w:left="0"/>
      </w:pPr>
      <w:r>
        <w:t>生命周期影响评价</w:t>
      </w:r>
    </w:p>
    <w:p>
      <w:pPr>
        <w:pStyle w:val="30"/>
        <w:widowControl/>
        <w:tabs>
          <w:tab w:val="center" w:pos="4201"/>
          <w:tab w:val="right" w:leader="dot" w:pos="9298"/>
        </w:tabs>
        <w:autoSpaceDE w:val="0"/>
        <w:autoSpaceDN w:val="0"/>
        <w:ind w:firstLine="420" w:firstLineChars="200"/>
        <w:rPr>
          <w:sz w:val="21"/>
        </w:rPr>
      </w:pPr>
      <w:r>
        <w:rPr>
          <w:sz w:val="21"/>
        </w:rPr>
        <w:t>报告中应提供</w:t>
      </w:r>
      <w:r>
        <w:rPr>
          <w:rFonts w:hint="eastAsia"/>
          <w:sz w:val="21"/>
        </w:rPr>
        <w:t>不锈钢焊接钢管</w:t>
      </w:r>
      <w:r>
        <w:rPr>
          <w:sz w:val="21"/>
        </w:rPr>
        <w:t>生命周期各阶段的不同影响类型的特征化值，并对不同影响类型在各生命周期阶段的分布情况进行比较分析。</w:t>
      </w:r>
    </w:p>
    <w:p>
      <w:pPr>
        <w:pStyle w:val="56"/>
        <w:spacing w:before="156" w:after="156"/>
        <w:ind w:left="0"/>
        <w:rPr>
          <w:rFonts w:ascii="Times New Roman"/>
        </w:rPr>
      </w:pPr>
      <w:r>
        <w:rPr>
          <w:rFonts w:hint="eastAsia" w:ascii="Times New Roman"/>
        </w:rPr>
        <w:t>绿色设计改进方案</w:t>
      </w:r>
    </w:p>
    <w:p>
      <w:pPr>
        <w:pStyle w:val="30"/>
        <w:widowControl/>
        <w:tabs>
          <w:tab w:val="center" w:pos="4201"/>
          <w:tab w:val="right" w:leader="dot" w:pos="9298"/>
        </w:tabs>
        <w:autoSpaceDE w:val="0"/>
        <w:autoSpaceDN w:val="0"/>
        <w:ind w:firstLine="420" w:firstLineChars="200"/>
        <w:rPr>
          <w:sz w:val="21"/>
        </w:rPr>
      </w:pPr>
      <w:r>
        <w:rPr>
          <w:sz w:val="21"/>
        </w:rPr>
        <w:t>在分析指标的符合性评价结果以及生命周期评价结果的基础上，提出</w:t>
      </w:r>
      <w:r>
        <w:rPr>
          <w:rFonts w:hint="eastAsia"/>
          <w:sz w:val="21"/>
        </w:rPr>
        <w:t>不锈钢焊接钢管</w:t>
      </w:r>
      <w:r>
        <w:rPr>
          <w:sz w:val="21"/>
        </w:rPr>
        <w:t>绿色设计改进的具体方案。</w:t>
      </w:r>
    </w:p>
    <w:p>
      <w:pPr>
        <w:pStyle w:val="56"/>
        <w:spacing w:before="156" w:after="156"/>
        <w:ind w:left="0"/>
        <w:rPr>
          <w:rFonts w:ascii="Times New Roman"/>
        </w:rPr>
      </w:pPr>
      <w:r>
        <w:rPr>
          <w:rFonts w:hint="eastAsia" w:ascii="Times New Roman"/>
        </w:rPr>
        <w:t>评价报告主要结论</w:t>
      </w:r>
    </w:p>
    <w:p>
      <w:pPr>
        <w:pStyle w:val="30"/>
        <w:widowControl/>
        <w:tabs>
          <w:tab w:val="center" w:pos="4201"/>
          <w:tab w:val="right" w:leader="dot" w:pos="9298"/>
        </w:tabs>
        <w:autoSpaceDE w:val="0"/>
        <w:autoSpaceDN w:val="0"/>
        <w:ind w:firstLine="420" w:firstLineChars="200"/>
        <w:rPr>
          <w:sz w:val="21"/>
        </w:rPr>
      </w:pPr>
      <w:r>
        <w:rPr>
          <w:sz w:val="21"/>
        </w:rPr>
        <w:t>应说明</w:t>
      </w:r>
      <w:r>
        <w:rPr>
          <w:rFonts w:hint="eastAsia"/>
          <w:sz w:val="21"/>
        </w:rPr>
        <w:t>不锈钢焊接钢管</w:t>
      </w:r>
      <w:r>
        <w:rPr>
          <w:sz w:val="21"/>
        </w:rPr>
        <w:t>对评价指标的符合性结论、生命周期评价结果、提出的改进方案，并根据评价结论初步判断</w:t>
      </w:r>
      <w:r>
        <w:rPr>
          <w:rFonts w:hint="eastAsia"/>
          <w:sz w:val="21"/>
        </w:rPr>
        <w:t>不锈钢焊接钢管</w:t>
      </w:r>
      <w:r>
        <w:rPr>
          <w:sz w:val="21"/>
        </w:rPr>
        <w:t>是否为绿色设计产品。</w:t>
      </w:r>
    </w:p>
    <w:p>
      <w:pPr>
        <w:pStyle w:val="56"/>
        <w:spacing w:before="156" w:after="156"/>
        <w:ind w:left="0"/>
        <w:rPr>
          <w:rFonts w:ascii="Times New Roman"/>
        </w:rPr>
      </w:pPr>
      <w:r>
        <w:rPr>
          <w:rFonts w:hint="eastAsia" w:ascii="Times New Roman"/>
        </w:rPr>
        <w:t>附件</w:t>
      </w:r>
    </w:p>
    <w:p>
      <w:pPr>
        <w:pStyle w:val="30"/>
        <w:widowControl/>
        <w:tabs>
          <w:tab w:val="center" w:pos="4201"/>
          <w:tab w:val="right" w:leader="dot" w:pos="9298"/>
        </w:tabs>
        <w:autoSpaceDE w:val="0"/>
        <w:autoSpaceDN w:val="0"/>
        <w:ind w:firstLine="420" w:firstLineChars="200"/>
        <w:rPr>
          <w:sz w:val="21"/>
        </w:rPr>
      </w:pPr>
      <w:r>
        <w:rPr>
          <w:sz w:val="21"/>
        </w:rPr>
        <w:t>报告中应在附件中提供：</w:t>
      </w:r>
    </w:p>
    <w:p>
      <w:pPr>
        <w:pStyle w:val="30"/>
        <w:widowControl/>
        <w:tabs>
          <w:tab w:val="center" w:pos="4201"/>
          <w:tab w:val="right" w:leader="dot" w:pos="9298"/>
        </w:tabs>
        <w:autoSpaceDE w:val="0"/>
        <w:autoSpaceDN w:val="0"/>
        <w:ind w:firstLine="420" w:firstLineChars="200"/>
        <w:rPr>
          <w:sz w:val="21"/>
        </w:rPr>
      </w:pPr>
      <w:r>
        <w:rPr>
          <w:sz w:val="21"/>
        </w:rPr>
        <w:t>——产品生产</w:t>
      </w:r>
      <w:r>
        <w:rPr>
          <w:rFonts w:hint="eastAsia"/>
          <w:sz w:val="21"/>
        </w:rPr>
        <w:t>原、辅料清单</w:t>
      </w:r>
      <w:r>
        <w:rPr>
          <w:sz w:val="21"/>
        </w:rPr>
        <w:t>；</w:t>
      </w:r>
    </w:p>
    <w:p>
      <w:pPr>
        <w:pStyle w:val="30"/>
        <w:widowControl/>
        <w:tabs>
          <w:tab w:val="center" w:pos="4201"/>
          <w:tab w:val="right" w:leader="dot" w:pos="9298"/>
        </w:tabs>
        <w:autoSpaceDE w:val="0"/>
        <w:autoSpaceDN w:val="0"/>
        <w:ind w:firstLine="420" w:firstLineChars="200"/>
        <w:rPr>
          <w:sz w:val="21"/>
        </w:rPr>
      </w:pPr>
      <w:r>
        <w:rPr>
          <w:sz w:val="21"/>
        </w:rPr>
        <w:t>——产品工艺表（产品生产工艺过程示意图等）；</w:t>
      </w:r>
    </w:p>
    <w:p>
      <w:pPr>
        <w:pStyle w:val="30"/>
        <w:widowControl/>
        <w:tabs>
          <w:tab w:val="center" w:pos="4201"/>
          <w:tab w:val="right" w:leader="dot" w:pos="9298"/>
        </w:tabs>
        <w:autoSpaceDE w:val="0"/>
        <w:autoSpaceDN w:val="0"/>
        <w:ind w:firstLine="420" w:firstLineChars="200"/>
        <w:rPr>
          <w:sz w:val="21"/>
        </w:rPr>
      </w:pPr>
      <w:r>
        <w:rPr>
          <w:sz w:val="21"/>
        </w:rPr>
        <w:t>——各单元过程的数据收集表（见附录</w:t>
      </w:r>
      <w:r>
        <w:rPr>
          <w:rFonts w:hint="eastAsia"/>
          <w:sz w:val="21"/>
        </w:rPr>
        <w:t>C</w:t>
      </w:r>
      <w:r>
        <w:rPr>
          <w:sz w:val="21"/>
        </w:rPr>
        <w:t>）；</w:t>
      </w:r>
    </w:p>
    <w:p>
      <w:pPr>
        <w:pStyle w:val="30"/>
        <w:widowControl/>
        <w:tabs>
          <w:tab w:val="center" w:pos="4201"/>
          <w:tab w:val="right" w:leader="dot" w:pos="9298"/>
        </w:tabs>
        <w:autoSpaceDE w:val="0"/>
        <w:autoSpaceDN w:val="0"/>
        <w:ind w:firstLine="420" w:firstLineChars="200"/>
        <w:rPr>
          <w:rFonts w:eastAsia="黑体"/>
          <w:kern w:val="0"/>
          <w:sz w:val="21"/>
          <w:szCs w:val="20"/>
          <w:lang w:bidi="ar"/>
        </w:rPr>
      </w:pPr>
      <w:r>
        <w:rPr>
          <w:sz w:val="21"/>
        </w:rPr>
        <w:t>——其他。</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footerReference r:id="rId8"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hint="eastAsia" w:eastAsia="黑体"/>
          <w:kern w:val="0"/>
          <w:sz w:val="21"/>
          <w:szCs w:val="20"/>
          <w:lang w:bidi="ar"/>
        </w:rPr>
        <w:t>评价指标计算方法</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单位产品取水量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生产过程中的用水量，计算时按照1年生产为周期计算平均值。每生产1吨不锈钢焊接钢管所消耗的新水量，按照公式（A.1）计算：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hint="eastAsia" w:ascii="Cambria Math" w:hAnsi="Cambria Math"/>
            <w:sz w:val="21"/>
          </w:rPr>
          <m:t>V=</m:t>
        </m:r>
        <m:f>
          <m:fPr>
            <m:ctrlPr>
              <w:rPr>
                <w:rFonts w:hint="eastAsia" w:ascii="Cambria Math" w:hAnsi="Cambria Math"/>
                <w:sz w:val="21"/>
              </w:rPr>
            </m:ctrlPr>
          </m:fPr>
          <m:num>
            <m:sSub>
              <m:sSubPr>
                <m:ctrlPr>
                  <w:rPr>
                    <w:rFonts w:ascii="Cambria Math" w:hAnsi="Cambria Math"/>
                    <w:sz w:val="21"/>
                  </w:rPr>
                </m:ctrlPr>
              </m:sSubPr>
              <m:e>
                <m:r>
                  <m:rPr>
                    <m:sty m:val="p"/>
                  </m:rPr>
                  <w:rPr>
                    <w:rFonts w:ascii="Cambria Math" w:hAnsi="Cambria Math"/>
                    <w:sz w:val="21"/>
                  </w:rPr>
                  <m:t>V</m:t>
                </m:r>
                <m:ctrlPr>
                  <w:rPr>
                    <w:rFonts w:ascii="Cambria Math" w:hAnsi="Cambria Math"/>
                    <w:sz w:val="21"/>
                  </w:rPr>
                </m:ctrlPr>
              </m:e>
              <m:sub>
                <m:r>
                  <m:rPr>
                    <m:sty m:val="p"/>
                  </m:rPr>
                  <w:rPr>
                    <w:rFonts w:hint="eastAsia" w:ascii="Cambria Math" w:hAnsi="Cambria Math"/>
                    <w:sz w:val="21"/>
                  </w:rPr>
                  <m:t>i</m:t>
                </m:r>
                <m:ctrlPr>
                  <w:rPr>
                    <w:rFonts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M</m:t>
                </m:r>
                <m:ctrlPr>
                  <w:rPr>
                    <w:rFonts w:hint="eastAsia" w:ascii="Cambria Math" w:hAnsi="Cambria Math"/>
                    <w:sz w:val="21"/>
                  </w:rPr>
                </m:ctrlPr>
              </m:e>
              <m:sub>
                <m:r>
                  <m:rPr>
                    <m:sty m:val="p"/>
                  </m:rPr>
                  <w:rPr>
                    <w:rFonts w:hint="eastAsia" w:ascii="Cambria Math" w:hAnsi="Cambria Math"/>
                    <w:sz w:val="21"/>
                  </w:rPr>
                  <m:t>c</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rPr>
        <w:t>不锈钢焊接钢管取新水量，</w:t>
      </w:r>
      <w:r>
        <w:t>单位为</w:t>
      </w:r>
      <w:r>
        <w:rPr>
          <w:rFonts w:hint="eastAsia"/>
        </w:rPr>
        <w:t>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V</m:t>
            </m:r>
            <m:ctrlPr>
              <w:rPr>
                <w:rFonts w:ascii="Cambria Math" w:hAnsi="Cambria Math"/>
                <w:i/>
                <w:vertAlign w:val="subscript"/>
                <w:lang w:bidi="ar"/>
              </w:rPr>
            </m:ctrlPr>
          </m:e>
          <m:sub>
            <m:r>
              <m:rPr/>
              <w:rPr>
                <w:rFonts w:ascii="Cambria Math" w:hAnsi="Cambria Math"/>
                <w:vertAlign w:val="subscript"/>
                <w:lang w:bidi="ar"/>
              </w:rPr>
              <m:t>i</m:t>
            </m:r>
            <m:ctrlPr>
              <w:rPr>
                <w:rFonts w:ascii="Cambria Math" w:hAnsi="Cambria Math"/>
                <w:i/>
                <w:vertAlign w:val="subscript"/>
                <w:lang w:bidi="ar"/>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rPr>
        <w:t>不锈钢焊接钢管生产取新水量，单位为立方米（m</w:t>
      </w:r>
      <w:r>
        <w:rPr>
          <w:rFonts w:hint="eastAsia"/>
          <w:vertAlign w:val="superscript"/>
        </w:rPr>
        <w:t>3</w:t>
      </w:r>
      <w:r>
        <w:rPr>
          <w:rFonts w:hint="eastAsia"/>
        </w:rPr>
        <w:t>）</w:t>
      </w:r>
      <w:r>
        <w:rPr>
          <w:lang w:bidi="ar"/>
        </w:rPr>
        <w:t>；</w:t>
      </w:r>
    </w:p>
    <w:p>
      <w:pPr>
        <w:ind w:firstLine="420" w:firstLineChars="200"/>
        <w:rPr>
          <w:rFonts w:hAnsi="Cambria Math"/>
        </w:rPr>
      </w:pPr>
      <m:oMath>
        <m:sSub>
          <m:sSubPr>
            <m:ctrlPr>
              <w:rPr>
                <w:rFonts w:ascii="Cambria Math" w:hAnsi="Cambria Math"/>
                <w:i/>
                <w:lang w:bidi="ar"/>
              </w:rPr>
            </m:ctrlPr>
          </m:sSubPr>
          <m:e>
            <m:r>
              <m:rPr/>
              <w:rPr>
                <w:rFonts w:ascii="Cambria Math" w:hAnsi="Cambria Math"/>
                <w:lang w:bidi="ar"/>
              </w:rPr>
              <m:t>M</m:t>
            </m:r>
            <m:ctrlPr>
              <w:rPr>
                <w:rFonts w:ascii="Cambria Math" w:hAnsi="Cambria Math"/>
                <w:i/>
                <w:lang w:bidi="ar"/>
              </w:rPr>
            </m:ctrlPr>
          </m:e>
          <m:sub>
            <m:r>
              <m:rPr/>
              <w:rPr>
                <w:rFonts w:ascii="Cambria Math" w:hAnsi="Cambria Math"/>
                <w:lang w:bidi="ar"/>
              </w:rPr>
              <m:t>c</m:t>
            </m:r>
            <m:ctrlPr>
              <w:rPr>
                <w:rFonts w:ascii="Cambria Math" w:hAnsi="Cambria Math"/>
                <w:i/>
                <w:lang w:bidi="ar"/>
              </w:rPr>
            </m:ctrlPr>
          </m:sub>
        </m:sSub>
      </m:oMath>
      <w:r>
        <w:rPr>
          <w:rFonts w:hint="eastAsia" w:hAnsi="Cambria Math"/>
          <w:lang w:bidi="ar"/>
        </w:rPr>
        <w:t xml:space="preserve"> </w:t>
      </w:r>
      <w:r>
        <w:rPr>
          <w:lang w:bidi="ar"/>
        </w:rPr>
        <w:t>——</w:t>
      </w:r>
      <w:r>
        <w:rPr>
          <w:rFonts w:hint="eastAsia"/>
          <w:lang w:bidi="ar"/>
        </w:rPr>
        <w:t>1年内</w:t>
      </w:r>
      <w:r>
        <w:rPr>
          <w:rFonts w:hint="eastAsia"/>
        </w:rPr>
        <w:t>不锈钢焊接钢管生产总量，单位为吨（t）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水重复利用率</w:t>
      </w:r>
    </w:p>
    <w:p>
      <w:pPr>
        <w:pStyle w:val="30"/>
        <w:widowControl/>
        <w:tabs>
          <w:tab w:val="center" w:pos="4201"/>
          <w:tab w:val="right" w:leader="dot" w:pos="9298"/>
        </w:tabs>
        <w:autoSpaceDE w:val="0"/>
        <w:autoSpaceDN w:val="0"/>
        <w:ind w:firstLine="420" w:firstLineChars="200"/>
        <w:rPr>
          <w:sz w:val="21"/>
        </w:rPr>
      </w:pPr>
      <w:r>
        <w:rPr>
          <w:rFonts w:hint="eastAsia"/>
          <w:sz w:val="21"/>
        </w:rPr>
        <w:t>水重复利用率计算时按照1年生产为周期计算。生产过程中使用的重复利用水量与总用水量进行计算，按照公式（A.2）计算：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W</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hint="eastAsia"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r>
              <m:rPr>
                <m:sty m:val="p"/>
              </m:rPr>
              <w:rPr>
                <w:rFonts w:hint="eastAsia" w:ascii="Cambria Math" w:hAnsi="Cambria Math"/>
                <w:sz w:val="21"/>
              </w:rPr>
              <m:t>+</m:t>
            </m:r>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n</m:t>
                </m:r>
                <m:ctrlPr>
                  <w:rPr>
                    <w:rFonts w:hint="eastAsia" w:ascii="Cambria Math" w:hAnsi="Cambria Math"/>
                    <w:sz w:val="21"/>
                  </w:rPr>
                </m:ctrlPr>
              </m:sub>
            </m:sSub>
            <m:ctrlPr>
              <w:rPr>
                <w:rFonts w:hint="eastAsia" w:ascii="Cambria Math" w:hAnsi="Cambria Math"/>
                <w:sz w:val="21"/>
              </w:rPr>
            </m:ctrlPr>
          </m:den>
        </m:f>
        <m:r>
          <m:rPr>
            <m:sty m:val="p"/>
          </m:rPr>
          <w:rPr>
            <w:rFonts w:ascii="Cambria Math" w:hAnsi="Cambria Math"/>
            <w:sz w:val="21"/>
          </w:rPr>
          <m:t>×</m:t>
        </m:r>
        <m:r>
          <m:rPr>
            <m:sty m:val="p"/>
          </m:rPr>
          <w:rPr>
            <w:rFonts w:hint="eastAsia" w:ascii="Cambria Math" w:hAnsi="Cambria Math"/>
            <w:sz w:val="21"/>
          </w:rPr>
          <m:t>100%</m:t>
        </m:r>
      </m:oMath>
      <w:r>
        <w:rPr>
          <w:rFonts w:hint="eastAsia" w:hAnsi="Cambria Math"/>
          <w:sz w:val="21"/>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r</m:t>
            </m:r>
            <m:ctrlPr>
              <w:rPr>
                <w:rFonts w:ascii="Cambria Math" w:hAnsi="Cambria Math"/>
                <w:i/>
                <w:vertAlign w:val="subscript"/>
                <w:lang w:bidi="ar"/>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lang w:bidi="ar"/>
              </w:rPr>
            </m:ctrlPr>
          </m:sSubPr>
          <m:e>
            <m:r>
              <m:rPr/>
              <w:rPr>
                <w:rFonts w:ascii="Cambria Math" w:hAnsi="Cambria Math"/>
                <w:lang w:bidi="ar"/>
              </w:rPr>
              <m:t>W</m:t>
            </m:r>
            <m:ctrlPr>
              <w:rPr>
                <w:rFonts w:ascii="Cambria Math" w:hAnsi="Cambria Math"/>
                <w:i/>
                <w:lang w:bidi="ar"/>
              </w:rPr>
            </m:ctrlPr>
          </m:e>
          <m:sub>
            <m:r>
              <m:rPr/>
              <w:rPr>
                <w:rFonts w:ascii="Cambria Math" w:hAnsi="Cambria Math"/>
                <w:lang w:bidi="ar"/>
              </w:rPr>
              <m:t>n</m:t>
            </m:r>
            <m:ctrlPr>
              <w:rPr>
                <w:rFonts w:ascii="Cambria Math" w:hAnsi="Cambria Math"/>
                <w:i/>
                <w:lang w:bidi="ar"/>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单位产品污染物排放量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生产过程中各工序的颗粒物、SO</w:t>
      </w:r>
      <w:r>
        <w:rPr>
          <w:rFonts w:hint="eastAsia"/>
          <w:sz w:val="21"/>
          <w:vertAlign w:val="subscript"/>
        </w:rPr>
        <w:t>2</w:t>
      </w:r>
      <w:r>
        <w:rPr>
          <w:rFonts w:hint="eastAsia"/>
          <w:sz w:val="21"/>
        </w:rPr>
        <w:t>、NOx等主要污染物排放量，计算时按照1年生产周期计算平均值。各工序每生产1吨产品所排放的主要污染物量，按照公式（A.3）计算：</w:t>
      </w:r>
    </w:p>
    <w:p>
      <w:pPr>
        <w:pStyle w:val="30"/>
        <w:widowControl/>
        <w:tabs>
          <w:tab w:val="center" w:pos="4201"/>
          <w:tab w:val="right" w:leader="dot" w:pos="9298"/>
        </w:tabs>
        <w:autoSpaceDE w:val="0"/>
        <w:autoSpaceDN w:val="0"/>
        <w:ind w:firstLine="420" w:firstLineChars="200"/>
        <w:jc w:val="right"/>
        <w:rPr>
          <w:rFonts w:hAnsi="Cambria Math"/>
          <w:sz w:val="21"/>
        </w:rPr>
      </w:pPr>
      <m:oMath>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L</m:t>
            </m:r>
            <m:ctrlPr>
              <w:rPr>
                <w:rFonts w:hint="eastAsia" w:ascii="Cambria Math" w:hAnsi="Cambria Math"/>
                <w:sz w:val="21"/>
              </w:rPr>
            </m:ctrlPr>
          </m:sub>
        </m:sSub>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SL</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T</m:t>
                </m:r>
                <m:ctrlPr>
                  <w:rPr>
                    <w:rFonts w:hint="eastAsia" w:ascii="Cambria Math" w:hAnsi="Cambria Math"/>
                    <w:sz w:val="21"/>
                  </w:rPr>
                </m:ctrlPr>
              </m:e>
              <m:sub>
                <m:r>
                  <m:rPr>
                    <m:sty m:val="p"/>
                  </m:rPr>
                  <w:rPr>
                    <w:rFonts w:ascii="Cambria Math" w:hAnsi="Cambria Math"/>
                    <w:sz w:val="21"/>
                  </w:rPr>
                  <m:t>CG</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………………………………………………（A.3）</w:t>
      </w:r>
    </w:p>
    <w:p>
      <w:pPr>
        <w:ind w:firstLine="420" w:firstLineChars="200"/>
      </w:pPr>
      <w:r>
        <w:rPr>
          <w:lang w:bidi="ar"/>
        </w:rPr>
        <w:t>式中:</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L</m:t>
            </m:r>
            <m:ctrlPr>
              <w:rPr>
                <w:rFonts w:ascii="Cambria Math" w:hAnsi="Cambria Math"/>
                <w:i/>
                <w:vertAlign w:val="subscript"/>
                <w:lang w:bidi="ar"/>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SL</m:t>
            </m:r>
            <m:ctrlPr>
              <w:rPr>
                <w:rFonts w:ascii="Cambria Math" w:hAnsi="Cambria Math"/>
                <w:i/>
                <w:vertAlign w:val="subscript"/>
                <w:lang w:bidi="ar"/>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lang w:bidi="ar"/>
              </w:rPr>
            </m:ctrlPr>
          </m:sSubPr>
          <m:e>
            <m:r>
              <m:rPr/>
              <w:rPr>
                <w:rFonts w:ascii="Cambria Math" w:hAnsi="Cambria Math"/>
                <w:lang w:bidi="ar"/>
              </w:rPr>
              <m:t>T</m:t>
            </m:r>
            <m:ctrlPr>
              <w:rPr>
                <w:rFonts w:ascii="Cambria Math" w:hAnsi="Cambria Math"/>
                <w:i/>
                <w:lang w:bidi="ar"/>
              </w:rPr>
            </m:ctrlPr>
          </m:e>
          <m:sub>
            <m:r>
              <m:rPr/>
              <w:rPr>
                <w:rFonts w:ascii="Cambria Math" w:hAnsi="Cambria Math"/>
                <w:lang w:bidi="ar"/>
              </w:rPr>
              <m:t>CG</m:t>
            </m:r>
            <m:ctrlPr>
              <w:rPr>
                <w:rFonts w:ascii="Cambria Math" w:hAnsi="Cambria Math"/>
                <w:i/>
                <w:lang w:bidi="ar"/>
              </w:rPr>
            </m:ctrlPr>
          </m:sub>
        </m:sSub>
      </m:oMath>
      <w:r>
        <w:rPr>
          <w:lang w:bidi="ar"/>
        </w:rPr>
        <w:t>——</w:t>
      </w:r>
      <w:r>
        <w:rPr>
          <w:rFonts w:hint="eastAsia"/>
          <w:lang w:bidi="ar"/>
        </w:rPr>
        <w:t>各工序1年内产品生产总量</w:t>
      </w:r>
      <w:r>
        <w:rPr>
          <w:rFonts w:hint="eastAsia"/>
        </w:rPr>
        <w:t>，单位为吨（t）</w:t>
      </w:r>
      <w:r>
        <w:rPr>
          <w:lang w:bidi="ar"/>
        </w:rPr>
        <w:t>。</w:t>
      </w:r>
    </w:p>
    <w:p>
      <w:pPr>
        <w:pStyle w:val="30"/>
        <w:widowControl/>
        <w:numPr>
          <w:ilvl w:val="0"/>
          <w:numId w:val="19"/>
        </w:numPr>
        <w:spacing w:before="312" w:beforeLines="100" w:after="312" w:afterLines="100"/>
        <w:outlineLvl w:val="1"/>
        <w:rPr>
          <w:rFonts w:eastAsia="黑体"/>
          <w:sz w:val="21"/>
          <w:szCs w:val="21"/>
        </w:rPr>
      </w:pPr>
      <w:bookmarkStart w:id="16" w:name="OLE_LINK1"/>
      <w:r>
        <w:rPr>
          <w:rFonts w:hint="eastAsia" w:eastAsia="黑体"/>
          <w:sz w:val="21"/>
          <w:szCs w:val="21"/>
        </w:rPr>
        <w:t>单位产品能源消耗</w:t>
      </w:r>
    </w:p>
    <w:bookmarkEnd w:id="16"/>
    <w:p>
      <w:pPr>
        <w:pStyle w:val="30"/>
        <w:widowControl/>
        <w:tabs>
          <w:tab w:val="center" w:pos="4201"/>
          <w:tab w:val="right" w:leader="dot" w:pos="9298"/>
        </w:tabs>
        <w:autoSpaceDE w:val="0"/>
        <w:autoSpaceDN w:val="0"/>
        <w:ind w:firstLine="420" w:firstLineChars="200"/>
        <w:rPr>
          <w:sz w:val="21"/>
        </w:rPr>
      </w:pPr>
      <w:r>
        <w:rPr>
          <w:rFonts w:hint="eastAsia"/>
          <w:sz w:val="21"/>
        </w:rPr>
        <w:t>各工序单位产品能源消耗按照公式（A.4）计算：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E</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E</m:t>
                </m:r>
                <m:ctrlPr>
                  <w:rPr>
                    <w:rFonts w:hint="eastAsia" w:ascii="Cambria Math" w:hAnsi="Cambria Math"/>
                    <w:sz w:val="21"/>
                  </w:rPr>
                </m:ctrlPr>
              </m:e>
              <m:sub>
                <m:r>
                  <m:rPr>
                    <m:sty m:val="p"/>
                  </m:rPr>
                  <w:rPr>
                    <w:rFonts w:ascii="Cambria Math" w:hAnsi="Cambria Math"/>
                    <w:sz w:val="21"/>
                  </w:rPr>
                  <m:t>Z</m:t>
                </m:r>
                <m:ctrlPr>
                  <w:rPr>
                    <w:rFonts w:hint="eastAsia" w:ascii="Cambria Math" w:hAnsi="Cambria Math"/>
                    <w:sz w:val="21"/>
                  </w:rPr>
                </m:ctrlPr>
              </m:sub>
            </m:sSub>
            <m:r>
              <m:rPr>
                <m:sty m:val="p"/>
              </m:rPr>
              <w:rPr>
                <w:rFonts w:ascii="Cambria Math" w:hAnsi="Cambria Math"/>
                <w:sz w:val="21"/>
              </w:rPr>
              <m:t>−</m:t>
            </m:r>
            <m:sSub>
              <m:sSubPr>
                <m:ctrlPr>
                  <w:rPr>
                    <w:rFonts w:ascii="Cambria Math" w:hAnsi="Cambria Math"/>
                    <w:sz w:val="21"/>
                  </w:rPr>
                </m:ctrlPr>
              </m:sSubPr>
              <m:e>
                <m:r>
                  <m:rPr>
                    <m:sty m:val="p"/>
                  </m:rPr>
                  <w:rPr>
                    <w:rFonts w:ascii="Cambria Math" w:hAnsi="Cambria Math"/>
                    <w:sz w:val="21"/>
                  </w:rPr>
                  <m:t>E</m:t>
                </m:r>
                <m:ctrlPr>
                  <w:rPr>
                    <w:rFonts w:ascii="Cambria Math" w:hAnsi="Cambria Math"/>
                    <w:sz w:val="21"/>
                  </w:rPr>
                </m:ctrlPr>
              </m:e>
              <m:sub>
                <m:r>
                  <m:rPr>
                    <m:sty m:val="p"/>
                  </m:rPr>
                  <w:rPr>
                    <w:rFonts w:ascii="Cambria Math" w:hAnsi="Cambria Math"/>
                    <w:sz w:val="21"/>
                  </w:rPr>
                  <m:t>H</m:t>
                </m:r>
                <m:ctrlPr>
                  <w:rPr>
                    <w:rFonts w:ascii="Cambria Math" w:hAnsi="Cambria Math"/>
                    <w:sz w:val="21"/>
                  </w:rPr>
                </m:ctrlPr>
              </m:sub>
            </m:sSub>
            <m:ctrlPr>
              <w:rPr>
                <w:rFonts w:hint="eastAsia" w:ascii="Cambria Math" w:hAnsi="Cambria Math"/>
                <w:sz w:val="21"/>
              </w:rPr>
            </m:ctrlPr>
          </m:num>
          <m:den>
            <m:r>
              <m:rPr>
                <m:sty m:val="p"/>
              </m:rPr>
              <w:rPr>
                <w:rFonts w:ascii="Cambria Math" w:hAnsi="Cambria Math"/>
                <w:sz w:val="21"/>
              </w:rPr>
              <m:t>P</m:t>
            </m:r>
            <m:ctrlPr>
              <w:rPr>
                <w:rFonts w:hint="eastAsia" w:ascii="Cambria Math" w:hAnsi="Cambria Math"/>
                <w:sz w:val="21"/>
              </w:rPr>
            </m:ctrlPr>
          </m:den>
        </m:f>
      </m:oMath>
      <w:r>
        <w:rPr>
          <w:rFonts w:hint="eastAsia" w:hAnsi="Cambria Math"/>
          <w:sz w:val="21"/>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H</m:t>
            </m:r>
            <m:ctrlPr>
              <w:rPr>
                <w:rFonts w:ascii="Cambria Math" w:hAnsi="Cambria Math"/>
                <w:i/>
                <w:vertAlign w:val="subscript"/>
                <w:lang w:bidi="ar"/>
              </w:rPr>
            </m:ctrlPr>
          </m:sub>
        </m:sSub>
      </m:oMath>
      <w:r>
        <w:rPr>
          <w:lang w:bidi="ar"/>
        </w:rPr>
        <w:t>——</w:t>
      </w:r>
      <w:r>
        <w:rPr>
          <w:rFonts w:hint="eastAsia"/>
          <w:lang w:bidi="ar"/>
        </w:rPr>
        <w:t>各工序回收的各种能源量折标准煤量，单位为千克标准煤</w:t>
      </w:r>
      <w:r>
        <w:rPr>
          <w:rFonts w:hint="eastAsia"/>
        </w:rPr>
        <w:t>（kgce）</w:t>
      </w:r>
      <w:r>
        <w:rPr>
          <w:lang w:bidi="ar"/>
        </w:rPr>
        <w:t>；</w:t>
      </w:r>
    </w:p>
    <w:p>
      <w:pPr>
        <w:ind w:firstLine="420" w:firstLineChars="200"/>
        <w:rPr>
          <w:rFonts w:eastAsia="黑体"/>
          <w:szCs w:val="21"/>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pStyle w:val="30"/>
        <w:widowControl/>
        <w:tabs>
          <w:tab w:val="left" w:pos="0"/>
        </w:tabs>
        <w:spacing w:before="312" w:beforeLines="100" w:after="312" w:afterLines="100"/>
        <w:outlineLvl w:val="1"/>
        <w:rPr>
          <w:rFonts w:eastAsia="黑体"/>
          <w:sz w:val="21"/>
          <w:szCs w:val="21"/>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pgSz w:w="11906" w:h="16838"/>
          <w:pgMar w:top="567" w:right="1134" w:bottom="1134" w:left="1418" w:header="1418" w:footer="1134" w:gutter="0"/>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 xml:space="preserve">附 录 </w:t>
      </w:r>
      <w:r>
        <w:rPr>
          <w:rFonts w:hint="eastAsia" w:eastAsia="黑体"/>
          <w:kern w:val="0"/>
          <w:sz w:val="21"/>
          <w:szCs w:val="20"/>
          <w:lang w:bidi="ar"/>
        </w:rPr>
        <w:t>B</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不锈钢焊接钢管</w:t>
      </w:r>
      <w:r>
        <w:rPr>
          <w:rFonts w:eastAsia="黑体"/>
          <w:kern w:val="0"/>
          <w:sz w:val="21"/>
          <w:szCs w:val="20"/>
          <w:lang w:bidi="ar"/>
        </w:rPr>
        <w:t>生命周期评价方法框架</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目的</w:t>
      </w:r>
    </w:p>
    <w:p>
      <w:pPr>
        <w:pStyle w:val="30"/>
        <w:widowControl/>
        <w:tabs>
          <w:tab w:val="center" w:pos="4201"/>
          <w:tab w:val="right" w:leader="dot" w:pos="9298"/>
        </w:tabs>
        <w:autoSpaceDE w:val="0"/>
        <w:autoSpaceDN w:val="0"/>
        <w:ind w:firstLine="420" w:firstLineChars="200"/>
        <w:rPr>
          <w:sz w:val="21"/>
        </w:rPr>
      </w:pPr>
      <w:r>
        <w:rPr>
          <w:rFonts w:hint="eastAsia"/>
          <w:sz w:val="21"/>
        </w:rPr>
        <w:t>不锈钢焊接钢管</w:t>
      </w:r>
      <w:r>
        <w:rPr>
          <w:sz w:val="21"/>
        </w:rPr>
        <w:t>原料的获取、生产、运输、销售、使用的过程中对环境造成的影响，通过评价</w:t>
      </w:r>
      <w:r>
        <w:rPr>
          <w:rFonts w:hint="eastAsia"/>
          <w:sz w:val="21"/>
        </w:rPr>
        <w:t>不锈钢焊接钢管</w:t>
      </w:r>
      <w:r>
        <w:rPr>
          <w:sz w:val="21"/>
        </w:rPr>
        <w:t>全生命周期的环境影响大小，提出</w:t>
      </w:r>
      <w:r>
        <w:rPr>
          <w:rFonts w:hint="eastAsia"/>
          <w:sz w:val="21"/>
        </w:rPr>
        <w:t>不锈钢焊接钢管产品</w:t>
      </w:r>
      <w:r>
        <w:rPr>
          <w:sz w:val="21"/>
        </w:rPr>
        <w:t>绿色设计改进方案，从而大幅提升其生态友好性。</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范围</w:t>
      </w:r>
    </w:p>
    <w:p>
      <w:pPr>
        <w:ind w:firstLine="420" w:firstLineChars="200"/>
      </w:pPr>
      <w:r>
        <w:rPr>
          <w:lang w:bidi="ar"/>
        </w:rPr>
        <w:t>应根据评价目的确定评价范围，确保两者相适应。定义生命周期评价范围时，应考虑以下内容并作出清晰描述。</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功能单位</w:t>
      </w:r>
    </w:p>
    <w:p>
      <w:pPr>
        <w:ind w:firstLine="420" w:firstLineChars="200"/>
      </w:pPr>
      <w:r>
        <w:rPr>
          <w:lang w:bidi="ar"/>
        </w:rPr>
        <w:t>功能单位必须是明确规定并且可测量的。同时考虑具体功能、使用寿命、是否包括包装材料等。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系统边界</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本文件界定的不锈钢焊接钢管生命周期系统边界，包括三个阶段：原材料获取阶段、生产阶段及使用阶段，如图B.1所示。</w:t>
      </w:r>
    </w:p>
    <w:p>
      <w:pPr>
        <w:jc w:val="center"/>
        <w:rPr>
          <w:sz w:val="18"/>
          <w:szCs w:val="18"/>
        </w:rPr>
      </w:pPr>
      <w:r>
        <w:rPr>
          <w:sz w:val="18"/>
          <w:szCs w:val="18"/>
        </w:rPr>
        <w:drawing>
          <wp:inline distT="0" distB="0" distL="0" distR="0">
            <wp:extent cx="5939790" cy="1063625"/>
            <wp:effectExtent l="0" t="0" r="3810" b="3175"/>
            <wp:docPr id="92"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1"/>
                    <pic:cNvPicPr>
                      <a:picLocks noChangeAspect="1"/>
                    </pic:cNvPicPr>
                  </pic:nvPicPr>
                  <pic:blipFill>
                    <a:blip r:embed="rId11"/>
                    <a:stretch>
                      <a:fillRect/>
                    </a:stretch>
                  </pic:blipFill>
                  <pic:spPr>
                    <a:xfrm>
                      <a:off x="0" y="0"/>
                      <a:ext cx="5939790" cy="1063625"/>
                    </a:xfrm>
                    <a:prstGeom prst="rect">
                      <a:avLst/>
                    </a:prstGeom>
                  </pic:spPr>
                </pic:pic>
              </a:graphicData>
            </a:graphic>
          </wp:inline>
        </w:drawing>
      </w:r>
    </w:p>
    <w:p>
      <w:pPr>
        <w:spacing w:before="156" w:beforeLines="50" w:after="156" w:afterLines="50"/>
        <w:jc w:val="center"/>
        <w:rPr>
          <w:sz w:val="18"/>
          <w:szCs w:val="18"/>
          <w:lang w:bidi="ar"/>
        </w:rPr>
      </w:pPr>
      <w:r>
        <w:rPr>
          <w:sz w:val="18"/>
          <w:szCs w:val="18"/>
          <w:lang w:bidi="ar"/>
        </w:rPr>
        <w:t xml:space="preserve">图B.1  </w:t>
      </w:r>
      <w:r>
        <w:rPr>
          <w:rFonts w:hint="eastAsia"/>
          <w:sz w:val="18"/>
          <w:szCs w:val="18"/>
          <w:lang w:bidi="ar"/>
        </w:rPr>
        <w:t>生产工艺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生命周期评价研究的时间应在规定的期限内。数据应反映具有代表性的时期（取最近三年内有效值）。如果未能取到三年内有效值，应做具体说明。</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原材料数据应是在参与产品的生产和使用的地点/地区。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生产过程数据应是在最终产品的生产中所涉及的地点/地区。</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生命周期清单分析</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总则</w:t>
      </w:r>
    </w:p>
    <w:p>
      <w:pPr>
        <w:ind w:firstLine="420" w:firstLineChars="200"/>
      </w:pPr>
      <w:r>
        <w:rPr>
          <w:lang w:bidi="ar"/>
        </w:rPr>
        <w:t>应编制</w:t>
      </w:r>
      <w:r>
        <w:rPr>
          <w:rFonts w:hint="eastAsia"/>
        </w:rPr>
        <w:t>不锈钢焊接钢管</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w:t>
      </w:r>
      <w:r>
        <w:rPr>
          <w:rFonts w:hint="eastAsia"/>
          <w:lang w:bidi="ar"/>
        </w:rPr>
        <w:t>基准</w:t>
      </w:r>
      <w:r>
        <w:rPr>
          <w:lang w:bidi="ar"/>
        </w:rPr>
        <w:t>吨</w:t>
      </w:r>
      <w:r>
        <w:rPr>
          <w:rFonts w:hint="eastAsia"/>
        </w:rPr>
        <w:t>不锈钢焊接钢管</w:t>
      </w:r>
      <w:r>
        <w:rPr>
          <w:lang w:bidi="ar"/>
        </w:rPr>
        <w:t>产品）的资源消耗和环境排放。最后，将产品各单元过程中相同影响因素的数据求和，以获取该影响因素的总量，为产品级的影响评价提供必要的数据。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数据收集</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rPr>
        <w:t>不锈钢焊接钢管</w:t>
      </w:r>
      <w:r>
        <w:rPr>
          <w:lang w:bidi="ar"/>
        </w:rPr>
        <w:t>生产过程的排放数据。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rFonts w:hint="eastAsia"/>
          <w:lang w:bidi="ar"/>
        </w:rPr>
        <w:t>a）</w:t>
      </w:r>
      <w:r>
        <w:rPr>
          <w:lang w:bidi="ar"/>
        </w:rPr>
        <w:t>代表性：现场数据应按照企业生产单元收集所确定范围内的生产统计数据。</w:t>
      </w:r>
    </w:p>
    <w:p>
      <w:pPr>
        <w:ind w:firstLine="420" w:firstLineChars="200"/>
      </w:pPr>
      <w:r>
        <w:rPr>
          <w:lang w:bidi="ar"/>
        </w:rPr>
        <w:t>b</w:t>
      </w:r>
      <w:r>
        <w:rPr>
          <w:rFonts w:hint="eastAsia"/>
          <w:lang w:bidi="ar"/>
        </w:rPr>
        <w:t>）</w:t>
      </w:r>
      <w:r>
        <w:rPr>
          <w:lang w:bidi="ar"/>
        </w:rPr>
        <w:t>完整性：现场数据应采集完整的生命周期要求数据。</w:t>
      </w:r>
    </w:p>
    <w:p>
      <w:pPr>
        <w:ind w:firstLine="420" w:firstLineChars="200"/>
      </w:pPr>
      <w:r>
        <w:rPr>
          <w:lang w:bidi="ar"/>
        </w:rPr>
        <w:t>c</w:t>
      </w:r>
      <w:r>
        <w:rPr>
          <w:rFonts w:hint="eastAsia"/>
          <w:lang w:bidi="ar"/>
        </w:rPr>
        <w:t>）</w:t>
      </w:r>
      <w:r>
        <w:rPr>
          <w:lang w:bidi="ar"/>
        </w:rPr>
        <w:t>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rPr>
        <w:t>不锈钢焊接钢管</w:t>
      </w:r>
      <w:r>
        <w:rPr>
          <w:lang w:bidi="ar"/>
        </w:rPr>
        <w:t>为基准折算，且需要详细记录相关的原始数据、数据来源、计算过程等。</w:t>
      </w:r>
    </w:p>
    <w:p>
      <w:pPr>
        <w:ind w:firstLine="420" w:firstLineChars="200"/>
      </w:pPr>
      <w:r>
        <w:rPr>
          <w:lang w:bidi="ar"/>
        </w:rPr>
        <w:t>d</w:t>
      </w:r>
      <w:r>
        <w:rPr>
          <w:rFonts w:hint="eastAsia"/>
          <w:lang w:bidi="ar"/>
        </w:rPr>
        <w:t>）</w:t>
      </w:r>
      <w:r>
        <w:rPr>
          <w:lang w:bidi="ar"/>
        </w:rPr>
        <w:t>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w:t>
      </w:r>
      <w:r>
        <w:rPr>
          <w:rFonts w:hint="eastAsia"/>
          <w:lang w:bidi="ar"/>
        </w:rPr>
        <w:t>）</w:t>
      </w:r>
      <w:r>
        <w:rPr>
          <w:lang w:bidi="ar"/>
        </w:rPr>
        <w:t>原材料采购和预处理；</w:t>
      </w:r>
    </w:p>
    <w:p>
      <w:pPr>
        <w:ind w:firstLine="840" w:firstLineChars="400"/>
      </w:pPr>
      <w:r>
        <w:rPr>
          <w:lang w:bidi="ar"/>
        </w:rPr>
        <w:t>2</w:t>
      </w:r>
      <w:r>
        <w:rPr>
          <w:rFonts w:hint="eastAsia"/>
          <w:lang w:bidi="ar"/>
        </w:rPr>
        <w:t>）</w:t>
      </w:r>
      <w:r>
        <w:rPr>
          <w:lang w:bidi="ar"/>
        </w:rPr>
        <w:t>产品生产过程能源消耗和污染物排放数据；</w:t>
      </w:r>
    </w:p>
    <w:p>
      <w:pPr>
        <w:ind w:firstLine="840" w:firstLineChars="400"/>
      </w:pPr>
      <w:r>
        <w:rPr>
          <w:lang w:bidi="ar"/>
        </w:rPr>
        <w:t>3</w:t>
      </w:r>
      <w:r>
        <w:rPr>
          <w:rFonts w:hint="eastAsia"/>
          <w:lang w:bidi="ar"/>
        </w:rPr>
        <w:t>）</w:t>
      </w:r>
      <w:r>
        <w:rPr>
          <w:lang w:bidi="ar"/>
        </w:rPr>
        <w:t>生产统计报表，搜集原材料分配及用量数据；</w:t>
      </w:r>
    </w:p>
    <w:p>
      <w:pPr>
        <w:ind w:firstLine="840" w:firstLineChars="400"/>
      </w:pPr>
      <w:r>
        <w:rPr>
          <w:lang w:bidi="ar"/>
        </w:rPr>
        <w:t>4</w:t>
      </w:r>
      <w:r>
        <w:rPr>
          <w:rFonts w:hint="eastAsia"/>
          <w:lang w:bidi="ar"/>
        </w:rPr>
        <w:t>）</w:t>
      </w:r>
      <w:r>
        <w:rPr>
          <w:lang w:bidi="ar"/>
        </w:rPr>
        <w:t>设备仪表的计量数据。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rPr>
          <w:lang w:bidi="ar"/>
        </w:rPr>
        <w:t>b) 完整性：背景数据的系统边界应该从资源开采到这些原辅材料或能源产品出厂为止。</w:t>
      </w:r>
    </w:p>
    <w:p>
      <w:pPr>
        <w:ind w:firstLine="420" w:firstLineChars="200"/>
      </w:pPr>
      <w:r>
        <w:rPr>
          <w:lang w:bidi="ar"/>
        </w:rP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原材料采购和预加工（从摇篮到大门）</w:t>
      </w:r>
    </w:p>
    <w:p>
      <w:pPr>
        <w:ind w:firstLine="420" w:firstLineChars="200"/>
      </w:pPr>
      <w:r>
        <w:rPr>
          <w:lang w:bidi="ar"/>
        </w:rPr>
        <w:t>该阶段始于从大自然提取资源，结束于</w:t>
      </w:r>
      <w:r>
        <w:rPr>
          <w:rFonts w:hint="eastAsia"/>
        </w:rPr>
        <w:t>不锈钢焊接钢管</w:t>
      </w:r>
      <w:r>
        <w:rPr>
          <w:lang w:bidi="ar"/>
        </w:rPr>
        <w:t>产品原料进入产品生产设施，包括:</w:t>
      </w:r>
    </w:p>
    <w:p>
      <w:pPr>
        <w:ind w:firstLine="420" w:firstLineChars="200"/>
      </w:pPr>
      <w:r>
        <w:rPr>
          <w:rFonts w:hint="eastAsia"/>
          <w:lang w:bidi="ar"/>
        </w:rPr>
        <w:t>a）</w:t>
      </w:r>
      <w:r>
        <w:rPr>
          <w:lang w:bidi="ar"/>
        </w:rPr>
        <w:t>开采和提取；</w:t>
      </w:r>
    </w:p>
    <w:p>
      <w:pPr>
        <w:ind w:firstLine="420" w:firstLineChars="200"/>
      </w:pPr>
      <w:r>
        <w:rPr>
          <w:lang w:bidi="ar"/>
        </w:rPr>
        <w:t>b</w:t>
      </w:r>
      <w:r>
        <w:rPr>
          <w:rFonts w:hint="eastAsia"/>
          <w:lang w:bidi="ar"/>
        </w:rPr>
        <w:t>）</w:t>
      </w:r>
      <w:r>
        <w:rPr>
          <w:lang w:bidi="ar"/>
        </w:rPr>
        <w:t>所有材料的预加工，例如铁矿采选与废钢分选等；</w:t>
      </w:r>
    </w:p>
    <w:p>
      <w:pPr>
        <w:ind w:firstLine="420" w:firstLineChars="200"/>
      </w:pPr>
      <w:r>
        <w:rPr>
          <w:rFonts w:hint="eastAsia"/>
          <w:lang w:bidi="ar"/>
        </w:rPr>
        <w:t>c）</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生产阶段</w:t>
      </w:r>
    </w:p>
    <w:p>
      <w:pPr>
        <w:ind w:firstLine="420" w:firstLineChars="200"/>
      </w:pPr>
      <w:r>
        <w:rPr>
          <w:lang w:bidi="ar"/>
        </w:rPr>
        <w:t>该阶段始于</w:t>
      </w:r>
      <w:r>
        <w:rPr>
          <w:rFonts w:hint="eastAsia"/>
        </w:rPr>
        <w:t>不锈钢焊接钢管</w:t>
      </w:r>
      <w:r>
        <w:rPr>
          <w:lang w:bidi="ar"/>
        </w:rPr>
        <w:t>产品原料进入生产设施，结束于产品离开生产设施。生产活动包括化学处理、制造、制造过程中半成品的运输、产品包装等。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w:t>
      </w:r>
      <w:r>
        <w:rPr>
          <w:rFonts w:hint="eastAsia"/>
          <w:lang w:bidi="ar"/>
        </w:rPr>
        <w:t>大气</w:t>
      </w:r>
      <w:r>
        <w:rPr>
          <w:lang w:bidi="ar"/>
        </w:rPr>
        <w:t>排放、水体排放数据。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数据分配</w:t>
      </w:r>
    </w:p>
    <w:p>
      <w:pPr>
        <w:ind w:firstLine="420" w:firstLineChars="200"/>
      </w:pPr>
      <w:r>
        <w:rPr>
          <w:lang w:bidi="ar"/>
        </w:rPr>
        <w:t>在进行</w:t>
      </w:r>
      <w:r>
        <w:rPr>
          <w:rFonts w:hint="eastAsia"/>
        </w:rPr>
        <w:t>不锈钢焊接钢管</w:t>
      </w:r>
      <w:r>
        <w:rPr>
          <w:lang w:bidi="ar"/>
        </w:rPr>
        <w:t>生命周期评价的过程中涉及到数据分配问题，特别是</w:t>
      </w:r>
      <w:r>
        <w:rPr>
          <w:rFonts w:hint="eastAsia"/>
        </w:rPr>
        <w:t>不锈钢焊接钢管</w:t>
      </w:r>
      <w:r>
        <w:rPr>
          <w:lang w:bidi="ar"/>
        </w:rPr>
        <w:t>的生产环节。对于</w:t>
      </w:r>
      <w:r>
        <w:rPr>
          <w:rFonts w:hint="eastAsia"/>
        </w:rPr>
        <w:t>不锈钢焊接钢管</w:t>
      </w:r>
      <w:r>
        <w:rPr>
          <w:lang w:bidi="ar"/>
        </w:rPr>
        <w:t>生产而言，由于厂家往往同时生产多种类型的产品，一条工艺线上或一个车间里可能会同时生产多种</w:t>
      </w:r>
      <w:r>
        <w:rPr>
          <w:rFonts w:hint="eastAsia"/>
          <w:lang w:bidi="ar"/>
        </w:rPr>
        <w:t>牌</w:t>
      </w:r>
      <w:r>
        <w:rPr>
          <w:lang w:bidi="ar"/>
        </w:rPr>
        <w:t>号</w:t>
      </w:r>
      <w:r>
        <w:rPr>
          <w:rFonts w:hint="eastAsia"/>
        </w:rPr>
        <w:t>不锈钢焊接钢管</w:t>
      </w:r>
      <w:r>
        <w:rPr>
          <w:lang w:bidi="ar"/>
        </w:rPr>
        <w:t>。很难就某单个型号的产品生产来收集清单数据，往往会就某个车间、某条流水线或某个工艺来收集数据，然后再分配到具体的产品上。针对</w:t>
      </w:r>
      <w:r>
        <w:rPr>
          <w:rFonts w:hint="eastAsia"/>
        </w:rPr>
        <w:t>不锈钢焊接钢管</w:t>
      </w:r>
      <w:r>
        <w:rPr>
          <w:lang w:bidi="ar"/>
        </w:rPr>
        <w:t>生产阶段，因生产的产品主要成分比较一致，因此本文件选取“重量分配”作为分摊的比例，即重量越大的产品，其分摊额度就越大。</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.5</w:t>
      </w:r>
      <w:r>
        <w:rPr>
          <w:color w:val="000000"/>
          <w:kern w:val="0"/>
          <w:szCs w:val="21"/>
          <w:lang w:bidi="ar"/>
        </w:rPr>
        <w:t>对应需要的数据进行填报：</w:t>
      </w:r>
    </w:p>
    <w:p>
      <w:pPr>
        <w:ind w:firstLine="420" w:firstLineChars="200"/>
      </w:pPr>
      <w:r>
        <w:rPr>
          <w:lang w:bidi="ar"/>
        </w:rP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 从实际调研过程中无法获得的数据，即背景数据，采用相关数据库进行替代，在这一步骤中所涉及到的单元过程包括</w:t>
      </w:r>
      <w:r>
        <w:rPr>
          <w:rFonts w:hint="eastAsia"/>
        </w:rPr>
        <w:t>不锈钢焊接钢管</w:t>
      </w:r>
      <w:r>
        <w:rPr>
          <w:lang w:bidi="ar"/>
        </w:rPr>
        <w:t>行业相关原材料生产、能源消耗以及产品的制造加工等。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影响类型</w:t>
      </w:r>
    </w:p>
    <w:p>
      <w:pPr>
        <w:ind w:firstLine="420" w:firstLineChars="200"/>
      </w:pPr>
      <w:r>
        <w:rPr>
          <w:lang w:bidi="ar"/>
        </w:rPr>
        <w:t>影响类型分为资源能源消耗、生态环境影响和人体健康危害3类。</w:t>
      </w:r>
      <w:r>
        <w:rPr>
          <w:rFonts w:hint="eastAsia"/>
        </w:rPr>
        <w:t>不锈钢焊接钢管</w:t>
      </w:r>
      <w:r>
        <w:rPr>
          <w:lang w:bidi="ar"/>
        </w:rPr>
        <w:t>的影响类型采用化石能源消耗、气候变化、富营养化和</w:t>
      </w:r>
      <w:r>
        <w:rPr>
          <w:rFonts w:hint="eastAsia"/>
          <w:lang w:bidi="ar"/>
        </w:rPr>
        <w:t>酸化</w:t>
      </w:r>
      <w:r>
        <w:rPr>
          <w:lang w:bidi="ar"/>
        </w:rPr>
        <w:t>4个指标。</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bidi="ar"/>
        </w:rPr>
        <w:t>不锈钢焊接钢管</w:t>
      </w:r>
      <w:r>
        <w:rPr>
          <w:rFonts w:eastAsia="黑体"/>
          <w:color w:val="000000"/>
          <w:kern w:val="0"/>
          <w:szCs w:val="21"/>
          <w:lang w:bidi="ar"/>
        </w:rPr>
        <w:t>产品生命周期清单因子归类</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2"/>
        <w:gridCol w:w="7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影响类型</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rFonts w:hint="eastAsia"/>
                <w:kern w:val="0"/>
                <w:sz w:val="18"/>
                <w:szCs w:val="18"/>
              </w:rPr>
              <w:t>化石能源消耗</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石油</w:t>
            </w:r>
            <w:r>
              <w:rPr>
                <w:rFonts w:hint="eastAsia"/>
                <w:kern w:val="0"/>
                <w:sz w:val="18"/>
                <w:szCs w:val="18"/>
              </w:rPr>
              <w:t>、</w:t>
            </w:r>
            <w:r>
              <w:rPr>
                <w:kern w:val="0"/>
                <w:sz w:val="18"/>
                <w:szCs w:val="18"/>
              </w:rPr>
              <w:t>煤炭</w:t>
            </w:r>
            <w:r>
              <w:rPr>
                <w:rFonts w:hint="eastAsia"/>
                <w:kern w:val="0"/>
                <w:sz w:val="18"/>
                <w:szCs w:val="18"/>
              </w:rPr>
              <w:t>、</w:t>
            </w:r>
            <w:r>
              <w:rPr>
                <w:kern w:val="0"/>
                <w:sz w:val="18"/>
                <w:szCs w:val="18"/>
              </w:rPr>
              <w:t>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气候变化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二氧化碳（CO</w:t>
            </w:r>
            <w:r>
              <w:rPr>
                <w:kern w:val="0"/>
                <w:sz w:val="12"/>
                <w:szCs w:val="12"/>
              </w:rPr>
              <w:t>2</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富营养化</w:t>
            </w:r>
          </w:p>
        </w:tc>
        <w:tc>
          <w:tcPr>
            <w:tcW w:w="3818" w:type="pct"/>
            <w:vAlign w:val="center"/>
          </w:tcPr>
          <w:p>
            <w:pPr>
              <w:autoSpaceDE w:val="0"/>
              <w:autoSpaceDN w:val="0"/>
              <w:adjustRightInd w:val="0"/>
              <w:snapToGrid w:val="0"/>
              <w:ind w:firstLine="357"/>
              <w:jc w:val="center"/>
              <w:rPr>
                <w:kern w:val="0"/>
                <w:sz w:val="18"/>
                <w:szCs w:val="18"/>
              </w:rPr>
            </w:pPr>
            <w:r>
              <w:rPr>
                <w:rFonts w:hint="eastAsia"/>
                <w:kern w:val="0"/>
                <w:sz w:val="18"/>
                <w:szCs w:val="18"/>
              </w:rPr>
              <w:t>氨氮</w:t>
            </w:r>
            <w:r>
              <w:rPr>
                <w:kern w:val="0"/>
                <w:sz w:val="18"/>
                <w:szCs w:val="18"/>
              </w:rPr>
              <w:t>、</w:t>
            </w:r>
            <w:r>
              <w:rPr>
                <w:rFonts w:hint="eastAsia"/>
                <w:kern w:val="0"/>
                <w:sz w:val="18"/>
                <w:szCs w:val="18"/>
              </w:rPr>
              <w:t>总磷</w:t>
            </w:r>
            <w:r>
              <w:rPr>
                <w:kern w:val="0"/>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酸化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二氧化硫（SO</w:t>
            </w:r>
            <w:r>
              <w:rPr>
                <w:kern w:val="0"/>
                <w:sz w:val="12"/>
                <w:szCs w:val="12"/>
              </w:rPr>
              <w:t>2</w:t>
            </w:r>
            <w:r>
              <w:rPr>
                <w:kern w:val="0"/>
                <w:sz w:val="18"/>
                <w:szCs w:val="18"/>
              </w:rPr>
              <w:t>）、氮氧化物（NOx）等</w:t>
            </w: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bidi="ar"/>
        </w:rPr>
        <w:t>不锈钢焊接钢管</w:t>
      </w:r>
      <w:r>
        <w:rPr>
          <w:rFonts w:eastAsia="黑体"/>
          <w:color w:val="000000"/>
          <w:kern w:val="0"/>
          <w:szCs w:val="21"/>
          <w:lang w:bidi="ar"/>
        </w:rPr>
        <w:t>产品生命周期影响评价</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5"/>
        <w:gridCol w:w="2119"/>
        <w:gridCol w:w="1612"/>
        <w:gridCol w:w="1780"/>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blHeader/>
          <w:jc w:val="center"/>
        </w:trPr>
        <w:tc>
          <w:tcPr>
            <w:tcW w:w="12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环境类别</w:t>
            </w: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单位</w:t>
            </w:r>
          </w:p>
        </w:tc>
        <w:tc>
          <w:tcPr>
            <w:tcW w:w="84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指标参数</w:t>
            </w:r>
          </w:p>
        </w:tc>
        <w:tc>
          <w:tcPr>
            <w:tcW w:w="9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特征化因子</w:t>
            </w:r>
          </w:p>
        </w:tc>
        <w:tc>
          <w:tcPr>
            <w:tcW w:w="83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全球变暖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CO</w:t>
            </w:r>
            <w:r>
              <w:rPr>
                <w:sz w:val="18"/>
                <w:vertAlign w:val="subscript"/>
                <w:lang w:bidi="ar"/>
              </w:rPr>
              <w:t>2</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2"/>
                <w:szCs w:val="12"/>
              </w:rPr>
            </w:pPr>
            <w:r>
              <w:rPr>
                <w:color w:val="000000"/>
                <w:kern w:val="0"/>
                <w:sz w:val="18"/>
                <w:szCs w:val="18"/>
                <w:lang w:bidi="ar"/>
              </w:rPr>
              <w:t>CO</w:t>
            </w:r>
            <w:r>
              <w:rPr>
                <w:color w:val="000000"/>
                <w:kern w:val="0"/>
                <w:sz w:val="12"/>
                <w:szCs w:val="12"/>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w:t>
            </w:r>
          </w:p>
        </w:tc>
        <w:tc>
          <w:tcPr>
            <w:tcW w:w="838"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rPr>
            </w:pPr>
            <w:r>
              <w:rPr>
                <w:sz w:val="18"/>
                <w:lang w:bidi="ar"/>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CH</w:t>
            </w:r>
            <w:r>
              <w:rPr>
                <w:color w:val="000000"/>
                <w:kern w:val="0"/>
                <w:sz w:val="18"/>
                <w:szCs w:val="18"/>
                <w:vertAlign w:val="subscript"/>
                <w:lang w:bidi="ar"/>
              </w:rPr>
              <w:t>4</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25</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298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PO</w:t>
            </w:r>
            <w:r>
              <w:rPr>
                <w:sz w:val="18"/>
                <w:vertAlign w:val="subscript"/>
                <w:lang w:bidi="ar"/>
              </w:rPr>
              <w:t>4</w:t>
            </w:r>
            <w:r>
              <w:rPr>
                <w:sz w:val="18"/>
                <w:vertAlign w:val="superscript"/>
                <w:lang w:bidi="ar"/>
              </w:rPr>
              <w:t>3-</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0.20</w:t>
            </w:r>
          </w:p>
        </w:tc>
        <w:tc>
          <w:tcPr>
            <w:tcW w:w="838"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3</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0.42</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COD</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0.022</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3</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1.07</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HCl</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HF</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1.60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autoSpaceDE w:val="0"/>
        <w:autoSpaceDN w:val="0"/>
        <w:adjustRightInd w:val="0"/>
        <w:spacing w:before="156" w:after="156"/>
        <w:jc w:val="center"/>
        <w:rPr>
          <w:rFonts w:eastAsia="黑体"/>
          <w:color w:val="000000"/>
          <w:kern w:val="0"/>
          <w:szCs w:val="21"/>
          <w:lang w:bidi="ar"/>
        </w:rPr>
      </w:pP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 xml:space="preserve"> =ΣEP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 xml:space="preserve">附 录 </w:t>
      </w:r>
      <w:r>
        <w:rPr>
          <w:rFonts w:hint="eastAsia" w:eastAsia="黑体"/>
          <w:kern w:val="0"/>
          <w:sz w:val="21"/>
          <w:szCs w:val="20"/>
          <w:lang w:bidi="ar"/>
        </w:rPr>
        <w:t>C</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（资料性）</w:t>
      </w:r>
    </w:p>
    <w:p>
      <w:pPr>
        <w:ind w:firstLine="420" w:firstLineChars="200"/>
        <w:jc w:val="center"/>
      </w:pPr>
      <w:r>
        <w:rPr>
          <w:rFonts w:eastAsia="黑体"/>
          <w:kern w:val="0"/>
          <w:szCs w:val="20"/>
          <w:lang w:bidi="ar"/>
        </w:rPr>
        <w:t>数据收集表格</w:t>
      </w:r>
    </w:p>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原材料成分、用量及运输清单</w:t>
      </w:r>
    </w:p>
    <w:p>
      <w:pPr>
        <w:autoSpaceDE w:val="0"/>
        <w:autoSpaceDN w:val="0"/>
        <w:adjustRightInd w:val="0"/>
        <w:spacing w:before="156" w:after="156"/>
        <w:ind w:firstLine="420" w:firstLineChars="200"/>
        <w:rPr>
          <w:color w:val="000000"/>
          <w:kern w:val="0"/>
          <w:szCs w:val="21"/>
        </w:rPr>
      </w:pPr>
      <w:r>
        <w:rPr>
          <w:rFonts w:hint="eastAsia"/>
          <w:color w:val="000000"/>
          <w:kern w:val="0"/>
          <w:szCs w:val="21"/>
          <w:lang w:bidi="ar"/>
        </w:rPr>
        <w:t>原材料成分、用量及运输清单如表C.1所示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lang w:bidi="ar"/>
              </w:rPr>
              <w:t>钢板（带）</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电炉工序能源消耗清单</w:t>
      </w:r>
    </w:p>
    <w:p>
      <w:pPr>
        <w:autoSpaceDE w:val="0"/>
        <w:autoSpaceDN w:val="0"/>
        <w:adjustRightInd w:val="0"/>
        <w:spacing w:before="156" w:after="156"/>
        <w:ind w:firstLine="420" w:firstLineChars="200"/>
      </w:pPr>
      <w:r>
        <w:rPr>
          <w:rFonts w:hint="eastAsia"/>
          <w:color w:val="000000"/>
          <w:kern w:val="0"/>
          <w:szCs w:val="21"/>
          <w:lang w:bidi="ar"/>
        </w:rPr>
        <w:t>电炉工序能源消耗清单如表C.</w:t>
      </w:r>
      <w:r>
        <w:rPr>
          <w:color w:val="000000"/>
          <w:kern w:val="0"/>
          <w:szCs w:val="21"/>
          <w:lang w:bidi="ar"/>
        </w:rPr>
        <w:t>5</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.5</w:t>
      </w:r>
      <w:r>
        <w:rPr>
          <w:rFonts w:hint="eastAsia" w:eastAsia="黑体"/>
          <w:color w:val="000000"/>
          <w:kern w:val="0"/>
          <w:szCs w:val="21"/>
          <w:lang w:bidi="ar"/>
        </w:rPr>
        <w:t xml:space="preserve"> 电炉</w:t>
      </w:r>
      <w:r>
        <w:rPr>
          <w:rFonts w:eastAsia="黑体"/>
          <w:color w:val="000000"/>
          <w:kern w:val="0"/>
          <w:szCs w:val="21"/>
          <w:lang w:bidi="ar"/>
        </w:rPr>
        <w:t>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冷轧不锈钢工序能源消耗清单</w:t>
      </w:r>
    </w:p>
    <w:p>
      <w:pPr>
        <w:autoSpaceDE w:val="0"/>
        <w:autoSpaceDN w:val="0"/>
        <w:adjustRightInd w:val="0"/>
        <w:spacing w:before="156" w:after="156"/>
        <w:ind w:firstLine="420" w:firstLineChars="200"/>
      </w:pPr>
      <w:r>
        <w:rPr>
          <w:rFonts w:hint="eastAsia"/>
          <w:color w:val="000000"/>
          <w:kern w:val="0"/>
          <w:szCs w:val="21"/>
          <w:lang w:bidi="ar"/>
        </w:rPr>
        <w:t>冷轧不锈钢工序能源消耗清单如表C.</w:t>
      </w:r>
      <w:r>
        <w:rPr>
          <w:color w:val="000000"/>
          <w:kern w:val="0"/>
          <w:szCs w:val="21"/>
          <w:lang w:bidi="ar"/>
        </w:rPr>
        <w:t>6</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.6</w:t>
      </w:r>
      <w:r>
        <w:rPr>
          <w:rFonts w:hint="eastAsia" w:eastAsia="黑体"/>
          <w:color w:val="000000"/>
          <w:kern w:val="0"/>
          <w:szCs w:val="21"/>
          <w:lang w:bidi="ar"/>
        </w:rPr>
        <w:t xml:space="preserve"> 冷轧不锈钢工序</w:t>
      </w:r>
      <w:r>
        <w:rPr>
          <w:rFonts w:eastAsia="黑体"/>
          <w:color w:val="000000"/>
          <w:kern w:val="0"/>
          <w:szCs w:val="21"/>
          <w:lang w:bidi="ar"/>
        </w:rPr>
        <w:t>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新水消耗清单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新水消耗清单如表C.</w:t>
      </w:r>
      <w:r>
        <w:rPr>
          <w:color w:val="000000"/>
          <w:kern w:val="0"/>
          <w:szCs w:val="21"/>
          <w:lang w:bidi="ar"/>
        </w:rPr>
        <w:t>7</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.7</w:t>
      </w:r>
      <w:r>
        <w:rPr>
          <w:rFonts w:hint="eastAsia" w:eastAsia="黑体"/>
          <w:color w:val="000000"/>
          <w:kern w:val="0"/>
          <w:szCs w:val="21"/>
          <w:lang w:bidi="ar"/>
        </w:rPr>
        <w:t xml:space="preserve">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污染物排放清单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污染物排放清单如表C.</w:t>
      </w:r>
      <w:r>
        <w:rPr>
          <w:color w:val="000000"/>
          <w:kern w:val="0"/>
          <w:szCs w:val="21"/>
          <w:lang w:bidi="ar"/>
        </w:rPr>
        <w:t>8</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.8</w:t>
      </w:r>
      <w:r>
        <w:rPr>
          <w:rFonts w:hint="eastAsia" w:eastAsia="黑体"/>
          <w:color w:val="000000"/>
          <w:kern w:val="0"/>
          <w:szCs w:val="21"/>
          <w:lang w:bidi="ar"/>
        </w:rPr>
        <w:t xml:space="preserve">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widowControl/>
        <w:jc w:val="left"/>
        <w:rPr>
          <w:kern w:val="0"/>
          <w:szCs w:val="20"/>
        </w:rPr>
      </w:pPr>
    </w:p>
    <w:p>
      <w:pPr>
        <w:widowControl/>
        <w:jc w:val="left"/>
        <w:rPr>
          <w:kern w:val="0"/>
          <w:szCs w:val="20"/>
        </w:rPr>
      </w:pPr>
    </w:p>
    <w:p>
      <w:pPr>
        <w:widowControl/>
        <w:jc w:val="left"/>
        <w:rPr>
          <w:kern w:val="0"/>
          <w:szCs w:val="20"/>
        </w:rPr>
      </w:pPr>
      <w:r>
        <w:rPr>
          <w:kern w:val="0"/>
          <w:szCs w:val="20"/>
        </w:rPr>
        <mc:AlternateContent>
          <mc:Choice Requires="wps">
            <w:drawing>
              <wp:anchor distT="0" distB="0" distL="114300" distR="114300" simplePos="0" relativeHeight="251660288"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0288;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0BE784"/>
    <w:multiLevelType w:val="multilevel"/>
    <w:tmpl w:val="070BE784"/>
    <w:lvl w:ilvl="0" w:tentative="0">
      <w:start w:val="1"/>
      <w:numFmt w:val="decimal"/>
      <w:suff w:val="nothing"/>
      <w:lvlText w:val="C.%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C.%1.%2　"/>
      <w:lvlJc w:val="left"/>
      <w:pPr>
        <w:tabs>
          <w:tab w:val="left" w:pos="0"/>
        </w:tabs>
        <w:ind w:left="0"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C.%1.%2.%3　"/>
      <w:lvlJc w:val="left"/>
      <w:pPr>
        <w:ind w:left="0" w:firstLine="0"/>
      </w:pPr>
      <w:rPr>
        <w:rFonts w:hint="default" w:ascii="宋体" w:hAnsi="宋体" w:eastAsia="宋体" w:cs="宋体"/>
        <w:b w:val="0"/>
        <w:i w:val="0"/>
        <w:sz w:val="21"/>
        <w:szCs w:val="21"/>
      </w:rPr>
    </w:lvl>
    <w:lvl w:ilvl="3" w:tentative="0">
      <w:start w:val="1"/>
      <w:numFmt w:val="decimal"/>
      <w:suff w:val="nothing"/>
      <w:lvlText w:val="C.%1.%2.%3.%4　"/>
      <w:lvlJc w:val="left"/>
      <w:pPr>
        <w:ind w:left="0" w:firstLine="0"/>
      </w:pPr>
      <w:rPr>
        <w:rFonts w:hint="default" w:ascii="宋体" w:hAnsi="宋体" w:eastAsia="宋体" w:cs="宋体"/>
        <w:b w:val="0"/>
        <w:i w:val="0"/>
        <w:sz w:val="21"/>
        <w:szCs w:val="21"/>
      </w:rPr>
    </w:lvl>
    <w:lvl w:ilvl="4" w:tentative="0">
      <w:start w:val="1"/>
      <w:numFmt w:val="decimal"/>
      <w:suff w:val="nothing"/>
      <w:lvlText w:val="C.%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default" w:ascii="宋体" w:hAnsi="宋体" w:eastAsia="宋体" w:cs="宋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2">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pPr>
        <w:ind w:left="142" w:firstLine="0"/>
      </w:pPr>
      <w:rPr>
        <w:rFonts w:hint="default"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6"/>
      <w:suff w:val="nothing"/>
      <w:lvlText w:val="%1.%2.%3　"/>
      <w:lvlJc w:val="left"/>
      <w:pPr>
        <w:ind w:left="3692"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4">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10"/>
  </w:num>
  <w:num w:numId="2">
    <w:abstractNumId w:val="5"/>
  </w:num>
  <w:num w:numId="3">
    <w:abstractNumId w:val="7"/>
  </w:num>
  <w:num w:numId="4">
    <w:abstractNumId w:val="3"/>
  </w:num>
  <w:num w:numId="5">
    <w:abstractNumId w:val="9"/>
  </w:num>
  <w:num w:numId="6">
    <w:abstractNumId w:val="15"/>
  </w:num>
  <w:num w:numId="7">
    <w:abstractNumId w:val="17"/>
  </w:num>
  <w:num w:numId="8">
    <w:abstractNumId w:val="12"/>
  </w:num>
  <w:num w:numId="9">
    <w:abstractNumId w:val="14"/>
  </w:num>
  <w:num w:numId="10">
    <w:abstractNumId w:val="11"/>
  </w:num>
  <w:num w:numId="11">
    <w:abstractNumId w:val="16"/>
  </w:num>
  <w:num w:numId="12">
    <w:abstractNumId w:val="19"/>
  </w:num>
  <w:num w:numId="13">
    <w:abstractNumId w:val="18"/>
  </w:num>
  <w:num w:numId="14">
    <w:abstractNumId w:val="8"/>
  </w:num>
  <w:num w:numId="15">
    <w:abstractNumId w:val="4"/>
  </w:num>
  <w:num w:numId="16">
    <w:abstractNumId w:val="6"/>
  </w:num>
  <w:num w:numId="17">
    <w:abstractNumId w:val="2"/>
  </w:num>
  <w:num w:numId="18">
    <w:abstractNumId w:val="0"/>
  </w:num>
  <w:num w:numId="19">
    <w:abstractNumId w:val="2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172A27"/>
    <w:rsid w:val="00000244"/>
    <w:rsid w:val="0000185F"/>
    <w:rsid w:val="00003464"/>
    <w:rsid w:val="0000586F"/>
    <w:rsid w:val="00005D79"/>
    <w:rsid w:val="00007340"/>
    <w:rsid w:val="00010A5B"/>
    <w:rsid w:val="00011C01"/>
    <w:rsid w:val="00013D86"/>
    <w:rsid w:val="00013E02"/>
    <w:rsid w:val="0001738C"/>
    <w:rsid w:val="0002143C"/>
    <w:rsid w:val="00022016"/>
    <w:rsid w:val="00025A65"/>
    <w:rsid w:val="00026977"/>
    <w:rsid w:val="00026C31"/>
    <w:rsid w:val="00027280"/>
    <w:rsid w:val="000306E3"/>
    <w:rsid w:val="000320A7"/>
    <w:rsid w:val="00032420"/>
    <w:rsid w:val="00035925"/>
    <w:rsid w:val="000366F4"/>
    <w:rsid w:val="00037DAC"/>
    <w:rsid w:val="00037DB3"/>
    <w:rsid w:val="00041127"/>
    <w:rsid w:val="00045C9B"/>
    <w:rsid w:val="000466F7"/>
    <w:rsid w:val="000522F9"/>
    <w:rsid w:val="0005448B"/>
    <w:rsid w:val="00061890"/>
    <w:rsid w:val="000639E9"/>
    <w:rsid w:val="00063E76"/>
    <w:rsid w:val="0006738B"/>
    <w:rsid w:val="00067CDF"/>
    <w:rsid w:val="00073BD3"/>
    <w:rsid w:val="00074B69"/>
    <w:rsid w:val="00074FBE"/>
    <w:rsid w:val="000772BB"/>
    <w:rsid w:val="0007731C"/>
    <w:rsid w:val="000822C7"/>
    <w:rsid w:val="00083A09"/>
    <w:rsid w:val="00083EA1"/>
    <w:rsid w:val="00087B52"/>
    <w:rsid w:val="0009005E"/>
    <w:rsid w:val="00090E08"/>
    <w:rsid w:val="00092857"/>
    <w:rsid w:val="000A20A9"/>
    <w:rsid w:val="000A48B1"/>
    <w:rsid w:val="000A5495"/>
    <w:rsid w:val="000B3143"/>
    <w:rsid w:val="000C30C7"/>
    <w:rsid w:val="000C6B05"/>
    <w:rsid w:val="000C6DD6"/>
    <w:rsid w:val="000C73D4"/>
    <w:rsid w:val="000D3D4C"/>
    <w:rsid w:val="000D4406"/>
    <w:rsid w:val="000D4505"/>
    <w:rsid w:val="000D4F51"/>
    <w:rsid w:val="000D718B"/>
    <w:rsid w:val="000E09EF"/>
    <w:rsid w:val="000E0C46"/>
    <w:rsid w:val="000E39E5"/>
    <w:rsid w:val="000E3EC7"/>
    <w:rsid w:val="000E5AA6"/>
    <w:rsid w:val="000F030C"/>
    <w:rsid w:val="000F04B4"/>
    <w:rsid w:val="000F129C"/>
    <w:rsid w:val="000F6242"/>
    <w:rsid w:val="00104DFD"/>
    <w:rsid w:val="001056DE"/>
    <w:rsid w:val="00107602"/>
    <w:rsid w:val="00111863"/>
    <w:rsid w:val="001124C0"/>
    <w:rsid w:val="0012309C"/>
    <w:rsid w:val="00125647"/>
    <w:rsid w:val="001278EF"/>
    <w:rsid w:val="00130946"/>
    <w:rsid w:val="0013175F"/>
    <w:rsid w:val="00135CD6"/>
    <w:rsid w:val="00144E03"/>
    <w:rsid w:val="001512B4"/>
    <w:rsid w:val="00152179"/>
    <w:rsid w:val="00156D41"/>
    <w:rsid w:val="0016056B"/>
    <w:rsid w:val="001620A5"/>
    <w:rsid w:val="00162F72"/>
    <w:rsid w:val="00164E53"/>
    <w:rsid w:val="0016699D"/>
    <w:rsid w:val="001701E9"/>
    <w:rsid w:val="00170F6D"/>
    <w:rsid w:val="0017259F"/>
    <w:rsid w:val="00172A27"/>
    <w:rsid w:val="00175159"/>
    <w:rsid w:val="00176208"/>
    <w:rsid w:val="0018211B"/>
    <w:rsid w:val="00182D67"/>
    <w:rsid w:val="001830E2"/>
    <w:rsid w:val="001840D3"/>
    <w:rsid w:val="001841AA"/>
    <w:rsid w:val="00184BBB"/>
    <w:rsid w:val="00187A9A"/>
    <w:rsid w:val="00187C08"/>
    <w:rsid w:val="001900F8"/>
    <w:rsid w:val="001910D9"/>
    <w:rsid w:val="00191258"/>
    <w:rsid w:val="00192680"/>
    <w:rsid w:val="00193037"/>
    <w:rsid w:val="00193A2C"/>
    <w:rsid w:val="001A01D4"/>
    <w:rsid w:val="001A25CD"/>
    <w:rsid w:val="001A288E"/>
    <w:rsid w:val="001A2C54"/>
    <w:rsid w:val="001A32EE"/>
    <w:rsid w:val="001A6DD3"/>
    <w:rsid w:val="001B2277"/>
    <w:rsid w:val="001B6DC2"/>
    <w:rsid w:val="001C05F1"/>
    <w:rsid w:val="001C149C"/>
    <w:rsid w:val="001C21AC"/>
    <w:rsid w:val="001C47BA"/>
    <w:rsid w:val="001C59EA"/>
    <w:rsid w:val="001D406C"/>
    <w:rsid w:val="001D414F"/>
    <w:rsid w:val="001D41EE"/>
    <w:rsid w:val="001E0380"/>
    <w:rsid w:val="001E13B1"/>
    <w:rsid w:val="001E4676"/>
    <w:rsid w:val="001E55B7"/>
    <w:rsid w:val="001E5BE7"/>
    <w:rsid w:val="001E69DB"/>
    <w:rsid w:val="001F22E7"/>
    <w:rsid w:val="001F3A19"/>
    <w:rsid w:val="00210BFB"/>
    <w:rsid w:val="0022046A"/>
    <w:rsid w:val="00231142"/>
    <w:rsid w:val="0023115B"/>
    <w:rsid w:val="00231970"/>
    <w:rsid w:val="00232990"/>
    <w:rsid w:val="002332A1"/>
    <w:rsid w:val="0023428E"/>
    <w:rsid w:val="00234467"/>
    <w:rsid w:val="00237D8D"/>
    <w:rsid w:val="00237DD2"/>
    <w:rsid w:val="00240FE6"/>
    <w:rsid w:val="00241648"/>
    <w:rsid w:val="00241DA2"/>
    <w:rsid w:val="00245B95"/>
    <w:rsid w:val="00247FEE"/>
    <w:rsid w:val="00250E7D"/>
    <w:rsid w:val="002535F0"/>
    <w:rsid w:val="002565D5"/>
    <w:rsid w:val="00257C39"/>
    <w:rsid w:val="00257CFA"/>
    <w:rsid w:val="002621E4"/>
    <w:rsid w:val="002622C0"/>
    <w:rsid w:val="00262D2E"/>
    <w:rsid w:val="002665C3"/>
    <w:rsid w:val="00276B08"/>
    <w:rsid w:val="002778AE"/>
    <w:rsid w:val="00281919"/>
    <w:rsid w:val="002824CB"/>
    <w:rsid w:val="0028269A"/>
    <w:rsid w:val="00283590"/>
    <w:rsid w:val="00284913"/>
    <w:rsid w:val="00286973"/>
    <w:rsid w:val="002904AF"/>
    <w:rsid w:val="00290F60"/>
    <w:rsid w:val="00294E70"/>
    <w:rsid w:val="00295B84"/>
    <w:rsid w:val="00296FB8"/>
    <w:rsid w:val="002A06B3"/>
    <w:rsid w:val="002A1924"/>
    <w:rsid w:val="002A7420"/>
    <w:rsid w:val="002B0F12"/>
    <w:rsid w:val="002B1308"/>
    <w:rsid w:val="002B28CC"/>
    <w:rsid w:val="002B4554"/>
    <w:rsid w:val="002C0FEA"/>
    <w:rsid w:val="002C2696"/>
    <w:rsid w:val="002C42FF"/>
    <w:rsid w:val="002C5B7F"/>
    <w:rsid w:val="002C72D8"/>
    <w:rsid w:val="002D11FA"/>
    <w:rsid w:val="002D430D"/>
    <w:rsid w:val="002E0DDF"/>
    <w:rsid w:val="002E2906"/>
    <w:rsid w:val="002E3263"/>
    <w:rsid w:val="002E5635"/>
    <w:rsid w:val="002E64C3"/>
    <w:rsid w:val="002E6A2C"/>
    <w:rsid w:val="002E6A61"/>
    <w:rsid w:val="002F1D8C"/>
    <w:rsid w:val="002F21DA"/>
    <w:rsid w:val="002F3F0D"/>
    <w:rsid w:val="002F409E"/>
    <w:rsid w:val="002F42E2"/>
    <w:rsid w:val="002F57F3"/>
    <w:rsid w:val="002F5C1B"/>
    <w:rsid w:val="002F7A7B"/>
    <w:rsid w:val="00301F39"/>
    <w:rsid w:val="00301F9F"/>
    <w:rsid w:val="003046C0"/>
    <w:rsid w:val="00305812"/>
    <w:rsid w:val="003073E0"/>
    <w:rsid w:val="00310478"/>
    <w:rsid w:val="00317A37"/>
    <w:rsid w:val="0032071A"/>
    <w:rsid w:val="00325926"/>
    <w:rsid w:val="00327A8A"/>
    <w:rsid w:val="0033124C"/>
    <w:rsid w:val="00336610"/>
    <w:rsid w:val="003379E6"/>
    <w:rsid w:val="00342634"/>
    <w:rsid w:val="00342930"/>
    <w:rsid w:val="00343F73"/>
    <w:rsid w:val="00345060"/>
    <w:rsid w:val="00350323"/>
    <w:rsid w:val="00350BC9"/>
    <w:rsid w:val="0035323B"/>
    <w:rsid w:val="003532E7"/>
    <w:rsid w:val="003559CE"/>
    <w:rsid w:val="00355CB5"/>
    <w:rsid w:val="00356876"/>
    <w:rsid w:val="00360858"/>
    <w:rsid w:val="003609D2"/>
    <w:rsid w:val="00363F22"/>
    <w:rsid w:val="003650D5"/>
    <w:rsid w:val="003659A4"/>
    <w:rsid w:val="0036645A"/>
    <w:rsid w:val="00370570"/>
    <w:rsid w:val="0037473D"/>
    <w:rsid w:val="00375564"/>
    <w:rsid w:val="003756CD"/>
    <w:rsid w:val="0037662F"/>
    <w:rsid w:val="003768C0"/>
    <w:rsid w:val="00383191"/>
    <w:rsid w:val="003852DB"/>
    <w:rsid w:val="003866D7"/>
    <w:rsid w:val="00386DED"/>
    <w:rsid w:val="003912E7"/>
    <w:rsid w:val="0039140F"/>
    <w:rsid w:val="00393947"/>
    <w:rsid w:val="003A1F65"/>
    <w:rsid w:val="003A2275"/>
    <w:rsid w:val="003A48CA"/>
    <w:rsid w:val="003A6207"/>
    <w:rsid w:val="003A6A4F"/>
    <w:rsid w:val="003A7088"/>
    <w:rsid w:val="003B00DF"/>
    <w:rsid w:val="003B1275"/>
    <w:rsid w:val="003B1778"/>
    <w:rsid w:val="003B2A92"/>
    <w:rsid w:val="003C0C95"/>
    <w:rsid w:val="003C11CB"/>
    <w:rsid w:val="003C75F3"/>
    <w:rsid w:val="003C78A3"/>
    <w:rsid w:val="003D3D76"/>
    <w:rsid w:val="003D721E"/>
    <w:rsid w:val="003E0D6C"/>
    <w:rsid w:val="003E1867"/>
    <w:rsid w:val="003E4DAE"/>
    <w:rsid w:val="003E5729"/>
    <w:rsid w:val="003E5A57"/>
    <w:rsid w:val="003F0150"/>
    <w:rsid w:val="003F1CB3"/>
    <w:rsid w:val="003F214C"/>
    <w:rsid w:val="003F4EE0"/>
    <w:rsid w:val="003F4FCE"/>
    <w:rsid w:val="003F5CAE"/>
    <w:rsid w:val="004009E5"/>
    <w:rsid w:val="00400C28"/>
    <w:rsid w:val="00402153"/>
    <w:rsid w:val="00402FC1"/>
    <w:rsid w:val="00410255"/>
    <w:rsid w:val="004120FF"/>
    <w:rsid w:val="004134DD"/>
    <w:rsid w:val="00413B0E"/>
    <w:rsid w:val="004143E2"/>
    <w:rsid w:val="00415CE8"/>
    <w:rsid w:val="004166CD"/>
    <w:rsid w:val="00417391"/>
    <w:rsid w:val="0041793A"/>
    <w:rsid w:val="00423779"/>
    <w:rsid w:val="004239C2"/>
    <w:rsid w:val="00423DBC"/>
    <w:rsid w:val="00425082"/>
    <w:rsid w:val="00431A96"/>
    <w:rsid w:val="00431DEB"/>
    <w:rsid w:val="00433D81"/>
    <w:rsid w:val="00446B29"/>
    <w:rsid w:val="004519EC"/>
    <w:rsid w:val="00453F9A"/>
    <w:rsid w:val="00454F40"/>
    <w:rsid w:val="0045659F"/>
    <w:rsid w:val="00462311"/>
    <w:rsid w:val="00466999"/>
    <w:rsid w:val="00471E91"/>
    <w:rsid w:val="00472AF6"/>
    <w:rsid w:val="00472C6E"/>
    <w:rsid w:val="00474675"/>
    <w:rsid w:val="0047470C"/>
    <w:rsid w:val="004822E1"/>
    <w:rsid w:val="004851C9"/>
    <w:rsid w:val="00485828"/>
    <w:rsid w:val="00490008"/>
    <w:rsid w:val="0049383F"/>
    <w:rsid w:val="00493970"/>
    <w:rsid w:val="004949C7"/>
    <w:rsid w:val="00497BA5"/>
    <w:rsid w:val="004A029F"/>
    <w:rsid w:val="004A0900"/>
    <w:rsid w:val="004A3380"/>
    <w:rsid w:val="004A35F9"/>
    <w:rsid w:val="004A52C6"/>
    <w:rsid w:val="004B24C1"/>
    <w:rsid w:val="004B2F2F"/>
    <w:rsid w:val="004B3527"/>
    <w:rsid w:val="004B7A61"/>
    <w:rsid w:val="004C0DE4"/>
    <w:rsid w:val="004C208F"/>
    <w:rsid w:val="004C292F"/>
    <w:rsid w:val="004C3B1F"/>
    <w:rsid w:val="004C52B4"/>
    <w:rsid w:val="004D197C"/>
    <w:rsid w:val="004E056C"/>
    <w:rsid w:val="004E4034"/>
    <w:rsid w:val="004E7695"/>
    <w:rsid w:val="004F10FB"/>
    <w:rsid w:val="004F11CA"/>
    <w:rsid w:val="004F3DE1"/>
    <w:rsid w:val="004F5484"/>
    <w:rsid w:val="00506363"/>
    <w:rsid w:val="00510280"/>
    <w:rsid w:val="005107C9"/>
    <w:rsid w:val="005122F6"/>
    <w:rsid w:val="00512425"/>
    <w:rsid w:val="005126E3"/>
    <w:rsid w:val="00513D73"/>
    <w:rsid w:val="00514A43"/>
    <w:rsid w:val="005174E5"/>
    <w:rsid w:val="00520FE0"/>
    <w:rsid w:val="00522393"/>
    <w:rsid w:val="00522620"/>
    <w:rsid w:val="00525656"/>
    <w:rsid w:val="00532F7A"/>
    <w:rsid w:val="00534C02"/>
    <w:rsid w:val="00534D29"/>
    <w:rsid w:val="00534EC9"/>
    <w:rsid w:val="0053668C"/>
    <w:rsid w:val="0054264B"/>
    <w:rsid w:val="00543786"/>
    <w:rsid w:val="00545170"/>
    <w:rsid w:val="00546C3C"/>
    <w:rsid w:val="00550AC2"/>
    <w:rsid w:val="005521BC"/>
    <w:rsid w:val="005528F0"/>
    <w:rsid w:val="005533D7"/>
    <w:rsid w:val="0055430C"/>
    <w:rsid w:val="0055617E"/>
    <w:rsid w:val="005703DE"/>
    <w:rsid w:val="00573FF1"/>
    <w:rsid w:val="00575169"/>
    <w:rsid w:val="005828EB"/>
    <w:rsid w:val="0058464E"/>
    <w:rsid w:val="005873F7"/>
    <w:rsid w:val="00587FD0"/>
    <w:rsid w:val="00592C13"/>
    <w:rsid w:val="0059333D"/>
    <w:rsid w:val="00594AEB"/>
    <w:rsid w:val="00594D40"/>
    <w:rsid w:val="005A01CB"/>
    <w:rsid w:val="005A58FF"/>
    <w:rsid w:val="005A5EAF"/>
    <w:rsid w:val="005A64C0"/>
    <w:rsid w:val="005B12B4"/>
    <w:rsid w:val="005B3C11"/>
    <w:rsid w:val="005B3CB5"/>
    <w:rsid w:val="005B6E15"/>
    <w:rsid w:val="005B73B1"/>
    <w:rsid w:val="005B7BCA"/>
    <w:rsid w:val="005C0A58"/>
    <w:rsid w:val="005C1190"/>
    <w:rsid w:val="005C1C28"/>
    <w:rsid w:val="005C40BF"/>
    <w:rsid w:val="005C51F7"/>
    <w:rsid w:val="005C6DB5"/>
    <w:rsid w:val="005C7E1D"/>
    <w:rsid w:val="005D347A"/>
    <w:rsid w:val="005D4E43"/>
    <w:rsid w:val="005D5F29"/>
    <w:rsid w:val="005D6B2D"/>
    <w:rsid w:val="005E0135"/>
    <w:rsid w:val="005E19E7"/>
    <w:rsid w:val="005E6105"/>
    <w:rsid w:val="005E6661"/>
    <w:rsid w:val="005E71F4"/>
    <w:rsid w:val="005F014C"/>
    <w:rsid w:val="005F1527"/>
    <w:rsid w:val="005F1913"/>
    <w:rsid w:val="005F2504"/>
    <w:rsid w:val="005F350E"/>
    <w:rsid w:val="005F7EFC"/>
    <w:rsid w:val="00603CAD"/>
    <w:rsid w:val="00610E2E"/>
    <w:rsid w:val="00612C98"/>
    <w:rsid w:val="00616C04"/>
    <w:rsid w:val="0061716C"/>
    <w:rsid w:val="006243A1"/>
    <w:rsid w:val="0062500E"/>
    <w:rsid w:val="00626C34"/>
    <w:rsid w:val="0063099E"/>
    <w:rsid w:val="0063111E"/>
    <w:rsid w:val="00632E56"/>
    <w:rsid w:val="00635B45"/>
    <w:rsid w:val="00635CBA"/>
    <w:rsid w:val="00641A9B"/>
    <w:rsid w:val="00641C62"/>
    <w:rsid w:val="006423A6"/>
    <w:rsid w:val="0064338B"/>
    <w:rsid w:val="00646542"/>
    <w:rsid w:val="00646A44"/>
    <w:rsid w:val="00646A5E"/>
    <w:rsid w:val="006471BF"/>
    <w:rsid w:val="0065002B"/>
    <w:rsid w:val="006504F4"/>
    <w:rsid w:val="00651D37"/>
    <w:rsid w:val="00652972"/>
    <w:rsid w:val="00652A8E"/>
    <w:rsid w:val="00654BC9"/>
    <w:rsid w:val="006552FD"/>
    <w:rsid w:val="006554A5"/>
    <w:rsid w:val="006556C7"/>
    <w:rsid w:val="00663AF3"/>
    <w:rsid w:val="00666B6C"/>
    <w:rsid w:val="00674409"/>
    <w:rsid w:val="00676D9C"/>
    <w:rsid w:val="006771B8"/>
    <w:rsid w:val="0067773B"/>
    <w:rsid w:val="00681FF8"/>
    <w:rsid w:val="00682682"/>
    <w:rsid w:val="006826F4"/>
    <w:rsid w:val="00682702"/>
    <w:rsid w:val="006862EB"/>
    <w:rsid w:val="00692368"/>
    <w:rsid w:val="006923FA"/>
    <w:rsid w:val="00692D89"/>
    <w:rsid w:val="006961ED"/>
    <w:rsid w:val="006A29B0"/>
    <w:rsid w:val="006A2EBC"/>
    <w:rsid w:val="006A5EA0"/>
    <w:rsid w:val="006A70C5"/>
    <w:rsid w:val="006A783B"/>
    <w:rsid w:val="006A7AEB"/>
    <w:rsid w:val="006A7B33"/>
    <w:rsid w:val="006B0009"/>
    <w:rsid w:val="006B240C"/>
    <w:rsid w:val="006B4E13"/>
    <w:rsid w:val="006B75DD"/>
    <w:rsid w:val="006C2AB8"/>
    <w:rsid w:val="006C3EC4"/>
    <w:rsid w:val="006C4C67"/>
    <w:rsid w:val="006C558C"/>
    <w:rsid w:val="006C5EC8"/>
    <w:rsid w:val="006C67E0"/>
    <w:rsid w:val="006C7ABA"/>
    <w:rsid w:val="006D08F4"/>
    <w:rsid w:val="006D0B01"/>
    <w:rsid w:val="006D0D60"/>
    <w:rsid w:val="006D1122"/>
    <w:rsid w:val="006D3C00"/>
    <w:rsid w:val="006D4D2E"/>
    <w:rsid w:val="006D4D40"/>
    <w:rsid w:val="006D51B3"/>
    <w:rsid w:val="006E3675"/>
    <w:rsid w:val="006E37CB"/>
    <w:rsid w:val="006E4A7F"/>
    <w:rsid w:val="006E5E69"/>
    <w:rsid w:val="006F2AB3"/>
    <w:rsid w:val="00702335"/>
    <w:rsid w:val="00704DF6"/>
    <w:rsid w:val="0070651C"/>
    <w:rsid w:val="00707D93"/>
    <w:rsid w:val="00711B5A"/>
    <w:rsid w:val="007132A3"/>
    <w:rsid w:val="00713BF8"/>
    <w:rsid w:val="00716421"/>
    <w:rsid w:val="00717651"/>
    <w:rsid w:val="00724EFB"/>
    <w:rsid w:val="00727F16"/>
    <w:rsid w:val="00732949"/>
    <w:rsid w:val="007410DC"/>
    <w:rsid w:val="007419C3"/>
    <w:rsid w:val="00743B4A"/>
    <w:rsid w:val="007467A7"/>
    <w:rsid w:val="007469DD"/>
    <w:rsid w:val="00747275"/>
    <w:rsid w:val="0074741B"/>
    <w:rsid w:val="0074759E"/>
    <w:rsid w:val="007478EA"/>
    <w:rsid w:val="00750DC8"/>
    <w:rsid w:val="00753E0E"/>
    <w:rsid w:val="0075415C"/>
    <w:rsid w:val="00763502"/>
    <w:rsid w:val="00764C9D"/>
    <w:rsid w:val="00765463"/>
    <w:rsid w:val="00767D83"/>
    <w:rsid w:val="00774E9B"/>
    <w:rsid w:val="00776E00"/>
    <w:rsid w:val="00777400"/>
    <w:rsid w:val="007848C5"/>
    <w:rsid w:val="00784DB9"/>
    <w:rsid w:val="007913AB"/>
    <w:rsid w:val="007914F7"/>
    <w:rsid w:val="00792403"/>
    <w:rsid w:val="007930AA"/>
    <w:rsid w:val="00797015"/>
    <w:rsid w:val="0079710D"/>
    <w:rsid w:val="007A15FC"/>
    <w:rsid w:val="007B0C68"/>
    <w:rsid w:val="007B1625"/>
    <w:rsid w:val="007B2AA6"/>
    <w:rsid w:val="007B706E"/>
    <w:rsid w:val="007B71EB"/>
    <w:rsid w:val="007B7F4D"/>
    <w:rsid w:val="007C065D"/>
    <w:rsid w:val="007C0AE1"/>
    <w:rsid w:val="007C31CC"/>
    <w:rsid w:val="007C6205"/>
    <w:rsid w:val="007C686A"/>
    <w:rsid w:val="007C728E"/>
    <w:rsid w:val="007D2C53"/>
    <w:rsid w:val="007D3D60"/>
    <w:rsid w:val="007D5AF6"/>
    <w:rsid w:val="007E1980"/>
    <w:rsid w:val="007E1A9B"/>
    <w:rsid w:val="007E4B76"/>
    <w:rsid w:val="007E4C8A"/>
    <w:rsid w:val="007E5EA8"/>
    <w:rsid w:val="007F0CF1"/>
    <w:rsid w:val="007F12A5"/>
    <w:rsid w:val="007F3B0B"/>
    <w:rsid w:val="007F4CF1"/>
    <w:rsid w:val="007F758D"/>
    <w:rsid w:val="007F7D52"/>
    <w:rsid w:val="0080654C"/>
    <w:rsid w:val="00806627"/>
    <w:rsid w:val="008071C6"/>
    <w:rsid w:val="00811E5C"/>
    <w:rsid w:val="00815237"/>
    <w:rsid w:val="00817A00"/>
    <w:rsid w:val="00821C5F"/>
    <w:rsid w:val="0082408F"/>
    <w:rsid w:val="0083410A"/>
    <w:rsid w:val="008346A9"/>
    <w:rsid w:val="00835742"/>
    <w:rsid w:val="00835DB3"/>
    <w:rsid w:val="0083617B"/>
    <w:rsid w:val="008371BD"/>
    <w:rsid w:val="00844BEE"/>
    <w:rsid w:val="008504A8"/>
    <w:rsid w:val="0085282E"/>
    <w:rsid w:val="008533B6"/>
    <w:rsid w:val="00862151"/>
    <w:rsid w:val="00864FB4"/>
    <w:rsid w:val="0087198C"/>
    <w:rsid w:val="00872C1F"/>
    <w:rsid w:val="00872E5B"/>
    <w:rsid w:val="00873B42"/>
    <w:rsid w:val="00874516"/>
    <w:rsid w:val="00874A40"/>
    <w:rsid w:val="00875A74"/>
    <w:rsid w:val="008770F5"/>
    <w:rsid w:val="00877177"/>
    <w:rsid w:val="0087773E"/>
    <w:rsid w:val="00877910"/>
    <w:rsid w:val="00882095"/>
    <w:rsid w:val="00882D2B"/>
    <w:rsid w:val="008838F4"/>
    <w:rsid w:val="00884075"/>
    <w:rsid w:val="008856D8"/>
    <w:rsid w:val="00892E82"/>
    <w:rsid w:val="008949A7"/>
    <w:rsid w:val="008A61B5"/>
    <w:rsid w:val="008B1A58"/>
    <w:rsid w:val="008B2414"/>
    <w:rsid w:val="008B7D1C"/>
    <w:rsid w:val="008C0D91"/>
    <w:rsid w:val="008C1399"/>
    <w:rsid w:val="008C1B58"/>
    <w:rsid w:val="008C3376"/>
    <w:rsid w:val="008C39AE"/>
    <w:rsid w:val="008C590D"/>
    <w:rsid w:val="008C5F12"/>
    <w:rsid w:val="008D009D"/>
    <w:rsid w:val="008D250B"/>
    <w:rsid w:val="008D4EA9"/>
    <w:rsid w:val="008D7B45"/>
    <w:rsid w:val="008E031B"/>
    <w:rsid w:val="008E10CC"/>
    <w:rsid w:val="008E1E00"/>
    <w:rsid w:val="008E2388"/>
    <w:rsid w:val="008E4014"/>
    <w:rsid w:val="008E58D7"/>
    <w:rsid w:val="008E5F27"/>
    <w:rsid w:val="008E60E2"/>
    <w:rsid w:val="008E7029"/>
    <w:rsid w:val="008E7EF6"/>
    <w:rsid w:val="008F1F98"/>
    <w:rsid w:val="008F46BC"/>
    <w:rsid w:val="008F5765"/>
    <w:rsid w:val="008F6758"/>
    <w:rsid w:val="00902A08"/>
    <w:rsid w:val="0090326F"/>
    <w:rsid w:val="009040DD"/>
    <w:rsid w:val="00905B47"/>
    <w:rsid w:val="0091331C"/>
    <w:rsid w:val="00913AC3"/>
    <w:rsid w:val="0091457E"/>
    <w:rsid w:val="00917DEE"/>
    <w:rsid w:val="009236CF"/>
    <w:rsid w:val="009240E8"/>
    <w:rsid w:val="00924BEA"/>
    <w:rsid w:val="009279DE"/>
    <w:rsid w:val="00930116"/>
    <w:rsid w:val="0093079D"/>
    <w:rsid w:val="0093442B"/>
    <w:rsid w:val="00936007"/>
    <w:rsid w:val="009363F2"/>
    <w:rsid w:val="0093742D"/>
    <w:rsid w:val="00940FAC"/>
    <w:rsid w:val="0094212C"/>
    <w:rsid w:val="009421BE"/>
    <w:rsid w:val="00944D81"/>
    <w:rsid w:val="00946042"/>
    <w:rsid w:val="009504BC"/>
    <w:rsid w:val="009507F6"/>
    <w:rsid w:val="00950899"/>
    <w:rsid w:val="00951D89"/>
    <w:rsid w:val="009520CA"/>
    <w:rsid w:val="00954689"/>
    <w:rsid w:val="009562D4"/>
    <w:rsid w:val="0095636A"/>
    <w:rsid w:val="00957E34"/>
    <w:rsid w:val="009602EB"/>
    <w:rsid w:val="009617C9"/>
    <w:rsid w:val="00961C93"/>
    <w:rsid w:val="00963087"/>
    <w:rsid w:val="00965324"/>
    <w:rsid w:val="0097091E"/>
    <w:rsid w:val="0097312C"/>
    <w:rsid w:val="009759B7"/>
    <w:rsid w:val="009760D3"/>
    <w:rsid w:val="00977132"/>
    <w:rsid w:val="00980089"/>
    <w:rsid w:val="00981020"/>
    <w:rsid w:val="00981A4B"/>
    <w:rsid w:val="00982501"/>
    <w:rsid w:val="0098403E"/>
    <w:rsid w:val="00987386"/>
    <w:rsid w:val="009877D3"/>
    <w:rsid w:val="009906FB"/>
    <w:rsid w:val="00994E8F"/>
    <w:rsid w:val="009951DC"/>
    <w:rsid w:val="009959BB"/>
    <w:rsid w:val="00996669"/>
    <w:rsid w:val="00997158"/>
    <w:rsid w:val="009971BB"/>
    <w:rsid w:val="009A3A7C"/>
    <w:rsid w:val="009A65E2"/>
    <w:rsid w:val="009B2ADB"/>
    <w:rsid w:val="009B31F4"/>
    <w:rsid w:val="009B603A"/>
    <w:rsid w:val="009B7BD0"/>
    <w:rsid w:val="009C0F68"/>
    <w:rsid w:val="009C2D0E"/>
    <w:rsid w:val="009C3DAC"/>
    <w:rsid w:val="009C42E0"/>
    <w:rsid w:val="009C4EEC"/>
    <w:rsid w:val="009C7DCB"/>
    <w:rsid w:val="009D28B6"/>
    <w:rsid w:val="009D2B49"/>
    <w:rsid w:val="009D42C7"/>
    <w:rsid w:val="009D5362"/>
    <w:rsid w:val="009D5919"/>
    <w:rsid w:val="009E09B4"/>
    <w:rsid w:val="009E1415"/>
    <w:rsid w:val="009E5754"/>
    <w:rsid w:val="009E6116"/>
    <w:rsid w:val="009F11B8"/>
    <w:rsid w:val="009F1B15"/>
    <w:rsid w:val="009F679C"/>
    <w:rsid w:val="009F73D8"/>
    <w:rsid w:val="009F795F"/>
    <w:rsid w:val="00A0112A"/>
    <w:rsid w:val="00A02E43"/>
    <w:rsid w:val="00A065F9"/>
    <w:rsid w:val="00A07F34"/>
    <w:rsid w:val="00A15157"/>
    <w:rsid w:val="00A20C5E"/>
    <w:rsid w:val="00A22154"/>
    <w:rsid w:val="00A24393"/>
    <w:rsid w:val="00A25C38"/>
    <w:rsid w:val="00A26308"/>
    <w:rsid w:val="00A26A96"/>
    <w:rsid w:val="00A27215"/>
    <w:rsid w:val="00A27B20"/>
    <w:rsid w:val="00A3168B"/>
    <w:rsid w:val="00A322D6"/>
    <w:rsid w:val="00A34D69"/>
    <w:rsid w:val="00A35B1A"/>
    <w:rsid w:val="00A36411"/>
    <w:rsid w:val="00A36BBE"/>
    <w:rsid w:val="00A41191"/>
    <w:rsid w:val="00A4307A"/>
    <w:rsid w:val="00A43097"/>
    <w:rsid w:val="00A47EBB"/>
    <w:rsid w:val="00A50675"/>
    <w:rsid w:val="00A51420"/>
    <w:rsid w:val="00A51CDD"/>
    <w:rsid w:val="00A60078"/>
    <w:rsid w:val="00A6107E"/>
    <w:rsid w:val="00A6208C"/>
    <w:rsid w:val="00A6394B"/>
    <w:rsid w:val="00A64559"/>
    <w:rsid w:val="00A65215"/>
    <w:rsid w:val="00A671A9"/>
    <w:rsid w:val="00A6730D"/>
    <w:rsid w:val="00A6746D"/>
    <w:rsid w:val="00A71625"/>
    <w:rsid w:val="00A71B9B"/>
    <w:rsid w:val="00A751C7"/>
    <w:rsid w:val="00A7627C"/>
    <w:rsid w:val="00A77DA8"/>
    <w:rsid w:val="00A8270D"/>
    <w:rsid w:val="00A828DE"/>
    <w:rsid w:val="00A8492D"/>
    <w:rsid w:val="00A85A00"/>
    <w:rsid w:val="00A85B30"/>
    <w:rsid w:val="00A87373"/>
    <w:rsid w:val="00A87844"/>
    <w:rsid w:val="00A9269C"/>
    <w:rsid w:val="00A92ADF"/>
    <w:rsid w:val="00A94C41"/>
    <w:rsid w:val="00AA038C"/>
    <w:rsid w:val="00AA1737"/>
    <w:rsid w:val="00AA3DA9"/>
    <w:rsid w:val="00AA4E96"/>
    <w:rsid w:val="00AA7A09"/>
    <w:rsid w:val="00AB2D90"/>
    <w:rsid w:val="00AB3B50"/>
    <w:rsid w:val="00AB3C6A"/>
    <w:rsid w:val="00AB5B4E"/>
    <w:rsid w:val="00AC05B1"/>
    <w:rsid w:val="00AC6F5A"/>
    <w:rsid w:val="00AD0268"/>
    <w:rsid w:val="00AD1C43"/>
    <w:rsid w:val="00AD356C"/>
    <w:rsid w:val="00AD6C43"/>
    <w:rsid w:val="00AE2914"/>
    <w:rsid w:val="00AE42A9"/>
    <w:rsid w:val="00AE4B7D"/>
    <w:rsid w:val="00AE6D15"/>
    <w:rsid w:val="00AE7BBA"/>
    <w:rsid w:val="00AF4D12"/>
    <w:rsid w:val="00AF5F62"/>
    <w:rsid w:val="00B01D5B"/>
    <w:rsid w:val="00B01FF6"/>
    <w:rsid w:val="00B04182"/>
    <w:rsid w:val="00B07AE3"/>
    <w:rsid w:val="00B11430"/>
    <w:rsid w:val="00B12861"/>
    <w:rsid w:val="00B13C00"/>
    <w:rsid w:val="00B157F4"/>
    <w:rsid w:val="00B24CB6"/>
    <w:rsid w:val="00B25BDF"/>
    <w:rsid w:val="00B3352A"/>
    <w:rsid w:val="00B34238"/>
    <w:rsid w:val="00B34A96"/>
    <w:rsid w:val="00B353EB"/>
    <w:rsid w:val="00B36260"/>
    <w:rsid w:val="00B439C4"/>
    <w:rsid w:val="00B43E20"/>
    <w:rsid w:val="00B440D6"/>
    <w:rsid w:val="00B446FB"/>
    <w:rsid w:val="00B4535E"/>
    <w:rsid w:val="00B50B59"/>
    <w:rsid w:val="00B50D6E"/>
    <w:rsid w:val="00B5197C"/>
    <w:rsid w:val="00B52A8C"/>
    <w:rsid w:val="00B56E2D"/>
    <w:rsid w:val="00B610A7"/>
    <w:rsid w:val="00B6239F"/>
    <w:rsid w:val="00B62B02"/>
    <w:rsid w:val="00B636A8"/>
    <w:rsid w:val="00B64F53"/>
    <w:rsid w:val="00B651BB"/>
    <w:rsid w:val="00B665C6"/>
    <w:rsid w:val="00B66749"/>
    <w:rsid w:val="00B679EE"/>
    <w:rsid w:val="00B7172A"/>
    <w:rsid w:val="00B74EB5"/>
    <w:rsid w:val="00B77776"/>
    <w:rsid w:val="00B77F09"/>
    <w:rsid w:val="00B805AF"/>
    <w:rsid w:val="00B806EB"/>
    <w:rsid w:val="00B869E5"/>
    <w:rsid w:val="00B869EC"/>
    <w:rsid w:val="00B86D7D"/>
    <w:rsid w:val="00B86F4F"/>
    <w:rsid w:val="00B9076F"/>
    <w:rsid w:val="00B9397A"/>
    <w:rsid w:val="00B95E90"/>
    <w:rsid w:val="00B9633D"/>
    <w:rsid w:val="00BA03B9"/>
    <w:rsid w:val="00BA2EBE"/>
    <w:rsid w:val="00BA78BF"/>
    <w:rsid w:val="00BB0F28"/>
    <w:rsid w:val="00BB0F47"/>
    <w:rsid w:val="00BB1AEC"/>
    <w:rsid w:val="00BB41EA"/>
    <w:rsid w:val="00BB458A"/>
    <w:rsid w:val="00BB51B7"/>
    <w:rsid w:val="00BC18E2"/>
    <w:rsid w:val="00BD00D3"/>
    <w:rsid w:val="00BD1659"/>
    <w:rsid w:val="00BD3AA9"/>
    <w:rsid w:val="00BD4A18"/>
    <w:rsid w:val="00BD52D4"/>
    <w:rsid w:val="00BD6DB2"/>
    <w:rsid w:val="00BE042B"/>
    <w:rsid w:val="00BE046E"/>
    <w:rsid w:val="00BE11CF"/>
    <w:rsid w:val="00BE21AB"/>
    <w:rsid w:val="00BE25BF"/>
    <w:rsid w:val="00BE2E40"/>
    <w:rsid w:val="00BE404C"/>
    <w:rsid w:val="00BE4E0E"/>
    <w:rsid w:val="00BE55CB"/>
    <w:rsid w:val="00BE5F37"/>
    <w:rsid w:val="00BF101B"/>
    <w:rsid w:val="00BF356A"/>
    <w:rsid w:val="00BF5EEE"/>
    <w:rsid w:val="00BF617A"/>
    <w:rsid w:val="00BF6D78"/>
    <w:rsid w:val="00C0216D"/>
    <w:rsid w:val="00C02813"/>
    <w:rsid w:val="00C02A73"/>
    <w:rsid w:val="00C033A6"/>
    <w:rsid w:val="00C0379D"/>
    <w:rsid w:val="00C03931"/>
    <w:rsid w:val="00C05FE3"/>
    <w:rsid w:val="00C066AB"/>
    <w:rsid w:val="00C13D45"/>
    <w:rsid w:val="00C16220"/>
    <w:rsid w:val="00C174F4"/>
    <w:rsid w:val="00C2136D"/>
    <w:rsid w:val="00C214EE"/>
    <w:rsid w:val="00C21532"/>
    <w:rsid w:val="00C21AB5"/>
    <w:rsid w:val="00C21AC9"/>
    <w:rsid w:val="00C2314B"/>
    <w:rsid w:val="00C233BE"/>
    <w:rsid w:val="00C24971"/>
    <w:rsid w:val="00C259DC"/>
    <w:rsid w:val="00C26BE5"/>
    <w:rsid w:val="00C26E4D"/>
    <w:rsid w:val="00C27305"/>
    <w:rsid w:val="00C27909"/>
    <w:rsid w:val="00C27B03"/>
    <w:rsid w:val="00C3025F"/>
    <w:rsid w:val="00C30509"/>
    <w:rsid w:val="00C314E1"/>
    <w:rsid w:val="00C31A79"/>
    <w:rsid w:val="00C32DD9"/>
    <w:rsid w:val="00C33D40"/>
    <w:rsid w:val="00C34397"/>
    <w:rsid w:val="00C35530"/>
    <w:rsid w:val="00C4095D"/>
    <w:rsid w:val="00C446D1"/>
    <w:rsid w:val="00C458E9"/>
    <w:rsid w:val="00C45A5A"/>
    <w:rsid w:val="00C50805"/>
    <w:rsid w:val="00C50BA5"/>
    <w:rsid w:val="00C51C07"/>
    <w:rsid w:val="00C543C0"/>
    <w:rsid w:val="00C55F2B"/>
    <w:rsid w:val="00C56DF0"/>
    <w:rsid w:val="00C601D2"/>
    <w:rsid w:val="00C60B1E"/>
    <w:rsid w:val="00C613DE"/>
    <w:rsid w:val="00C61CA0"/>
    <w:rsid w:val="00C621B3"/>
    <w:rsid w:val="00C636F9"/>
    <w:rsid w:val="00C64305"/>
    <w:rsid w:val="00C657AB"/>
    <w:rsid w:val="00C65BCC"/>
    <w:rsid w:val="00C66970"/>
    <w:rsid w:val="00C67EE6"/>
    <w:rsid w:val="00C73BC7"/>
    <w:rsid w:val="00C7740A"/>
    <w:rsid w:val="00C778A9"/>
    <w:rsid w:val="00C77900"/>
    <w:rsid w:val="00C8585D"/>
    <w:rsid w:val="00C8691C"/>
    <w:rsid w:val="00C86A9E"/>
    <w:rsid w:val="00C87771"/>
    <w:rsid w:val="00C90606"/>
    <w:rsid w:val="00C95B40"/>
    <w:rsid w:val="00CA14E5"/>
    <w:rsid w:val="00CA168A"/>
    <w:rsid w:val="00CA357E"/>
    <w:rsid w:val="00CA4088"/>
    <w:rsid w:val="00CA44F9"/>
    <w:rsid w:val="00CA4A69"/>
    <w:rsid w:val="00CB2D67"/>
    <w:rsid w:val="00CB6A3C"/>
    <w:rsid w:val="00CC12AE"/>
    <w:rsid w:val="00CC2872"/>
    <w:rsid w:val="00CC3E0C"/>
    <w:rsid w:val="00CC58D3"/>
    <w:rsid w:val="00CC784D"/>
    <w:rsid w:val="00CC7E72"/>
    <w:rsid w:val="00CD08A9"/>
    <w:rsid w:val="00CD10D1"/>
    <w:rsid w:val="00CD2F47"/>
    <w:rsid w:val="00CD72C8"/>
    <w:rsid w:val="00CE1E88"/>
    <w:rsid w:val="00CE2006"/>
    <w:rsid w:val="00CE51F5"/>
    <w:rsid w:val="00CE51F7"/>
    <w:rsid w:val="00CF15CF"/>
    <w:rsid w:val="00CF24B2"/>
    <w:rsid w:val="00CF3681"/>
    <w:rsid w:val="00CF69EF"/>
    <w:rsid w:val="00D01147"/>
    <w:rsid w:val="00D0130F"/>
    <w:rsid w:val="00D0337B"/>
    <w:rsid w:val="00D0412E"/>
    <w:rsid w:val="00D04F64"/>
    <w:rsid w:val="00D05B87"/>
    <w:rsid w:val="00D07619"/>
    <w:rsid w:val="00D079B2"/>
    <w:rsid w:val="00D114E9"/>
    <w:rsid w:val="00D11A67"/>
    <w:rsid w:val="00D11FDA"/>
    <w:rsid w:val="00D12894"/>
    <w:rsid w:val="00D2393C"/>
    <w:rsid w:val="00D242F8"/>
    <w:rsid w:val="00D25665"/>
    <w:rsid w:val="00D34F27"/>
    <w:rsid w:val="00D362C8"/>
    <w:rsid w:val="00D37A4C"/>
    <w:rsid w:val="00D41BB5"/>
    <w:rsid w:val="00D429C6"/>
    <w:rsid w:val="00D45385"/>
    <w:rsid w:val="00D45825"/>
    <w:rsid w:val="00D470DA"/>
    <w:rsid w:val="00D47748"/>
    <w:rsid w:val="00D5483F"/>
    <w:rsid w:val="00D54CC3"/>
    <w:rsid w:val="00D567B0"/>
    <w:rsid w:val="00D60196"/>
    <w:rsid w:val="00D6041A"/>
    <w:rsid w:val="00D6053E"/>
    <w:rsid w:val="00D633EB"/>
    <w:rsid w:val="00D67C55"/>
    <w:rsid w:val="00D71C2B"/>
    <w:rsid w:val="00D72991"/>
    <w:rsid w:val="00D7361B"/>
    <w:rsid w:val="00D827AB"/>
    <w:rsid w:val="00D82FF7"/>
    <w:rsid w:val="00D83842"/>
    <w:rsid w:val="00D83BBF"/>
    <w:rsid w:val="00D847FE"/>
    <w:rsid w:val="00D85F8E"/>
    <w:rsid w:val="00D86EC2"/>
    <w:rsid w:val="00D9561C"/>
    <w:rsid w:val="00D964EA"/>
    <w:rsid w:val="00D966D0"/>
    <w:rsid w:val="00D977E3"/>
    <w:rsid w:val="00DA0C59"/>
    <w:rsid w:val="00DA1E1B"/>
    <w:rsid w:val="00DA2D15"/>
    <w:rsid w:val="00DA3991"/>
    <w:rsid w:val="00DA3A00"/>
    <w:rsid w:val="00DB1642"/>
    <w:rsid w:val="00DB5F1D"/>
    <w:rsid w:val="00DB7566"/>
    <w:rsid w:val="00DB7E6C"/>
    <w:rsid w:val="00DC1267"/>
    <w:rsid w:val="00DC3B61"/>
    <w:rsid w:val="00DC6475"/>
    <w:rsid w:val="00DC68C1"/>
    <w:rsid w:val="00DC73B9"/>
    <w:rsid w:val="00DD3D68"/>
    <w:rsid w:val="00DD5A29"/>
    <w:rsid w:val="00DD5D9D"/>
    <w:rsid w:val="00DD62AF"/>
    <w:rsid w:val="00DD6351"/>
    <w:rsid w:val="00DE1E8C"/>
    <w:rsid w:val="00DE35CB"/>
    <w:rsid w:val="00DE3CC6"/>
    <w:rsid w:val="00DE3E01"/>
    <w:rsid w:val="00DE54C0"/>
    <w:rsid w:val="00DF21E9"/>
    <w:rsid w:val="00DF3835"/>
    <w:rsid w:val="00DF4689"/>
    <w:rsid w:val="00DF642F"/>
    <w:rsid w:val="00DF7839"/>
    <w:rsid w:val="00DF7B36"/>
    <w:rsid w:val="00E00F14"/>
    <w:rsid w:val="00E014DB"/>
    <w:rsid w:val="00E01E2C"/>
    <w:rsid w:val="00E06386"/>
    <w:rsid w:val="00E06724"/>
    <w:rsid w:val="00E1121D"/>
    <w:rsid w:val="00E121E3"/>
    <w:rsid w:val="00E13AFD"/>
    <w:rsid w:val="00E14F96"/>
    <w:rsid w:val="00E16106"/>
    <w:rsid w:val="00E1779D"/>
    <w:rsid w:val="00E24EB4"/>
    <w:rsid w:val="00E307BF"/>
    <w:rsid w:val="00E320ED"/>
    <w:rsid w:val="00E32DF6"/>
    <w:rsid w:val="00E33AFB"/>
    <w:rsid w:val="00E34218"/>
    <w:rsid w:val="00E36B6A"/>
    <w:rsid w:val="00E46282"/>
    <w:rsid w:val="00E47E10"/>
    <w:rsid w:val="00E51468"/>
    <w:rsid w:val="00E5216E"/>
    <w:rsid w:val="00E57BBB"/>
    <w:rsid w:val="00E608D9"/>
    <w:rsid w:val="00E60B84"/>
    <w:rsid w:val="00E65663"/>
    <w:rsid w:val="00E70631"/>
    <w:rsid w:val="00E72A9E"/>
    <w:rsid w:val="00E76C52"/>
    <w:rsid w:val="00E76F30"/>
    <w:rsid w:val="00E80B7C"/>
    <w:rsid w:val="00E82344"/>
    <w:rsid w:val="00E84C82"/>
    <w:rsid w:val="00E84D64"/>
    <w:rsid w:val="00E87408"/>
    <w:rsid w:val="00E914C4"/>
    <w:rsid w:val="00E934F5"/>
    <w:rsid w:val="00E96961"/>
    <w:rsid w:val="00EA6F38"/>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59FB"/>
    <w:rsid w:val="00EF10F8"/>
    <w:rsid w:val="00EF1B00"/>
    <w:rsid w:val="00EF3D77"/>
    <w:rsid w:val="00EF58BA"/>
    <w:rsid w:val="00EF7629"/>
    <w:rsid w:val="00F01332"/>
    <w:rsid w:val="00F03885"/>
    <w:rsid w:val="00F04C3F"/>
    <w:rsid w:val="00F11BB5"/>
    <w:rsid w:val="00F1417B"/>
    <w:rsid w:val="00F1466F"/>
    <w:rsid w:val="00F175E9"/>
    <w:rsid w:val="00F1787C"/>
    <w:rsid w:val="00F17E9C"/>
    <w:rsid w:val="00F256BC"/>
    <w:rsid w:val="00F25CC7"/>
    <w:rsid w:val="00F27FF2"/>
    <w:rsid w:val="00F34B99"/>
    <w:rsid w:val="00F37A7F"/>
    <w:rsid w:val="00F43145"/>
    <w:rsid w:val="00F47811"/>
    <w:rsid w:val="00F510E6"/>
    <w:rsid w:val="00F52DAB"/>
    <w:rsid w:val="00F543F0"/>
    <w:rsid w:val="00F54E41"/>
    <w:rsid w:val="00F57A6A"/>
    <w:rsid w:val="00F6373D"/>
    <w:rsid w:val="00F70F68"/>
    <w:rsid w:val="00F72314"/>
    <w:rsid w:val="00F737AD"/>
    <w:rsid w:val="00F81158"/>
    <w:rsid w:val="00F81D29"/>
    <w:rsid w:val="00F81D61"/>
    <w:rsid w:val="00F81DC8"/>
    <w:rsid w:val="00F90061"/>
    <w:rsid w:val="00F91C4D"/>
    <w:rsid w:val="00F92FD9"/>
    <w:rsid w:val="00F976AD"/>
    <w:rsid w:val="00FA2541"/>
    <w:rsid w:val="00FA42EF"/>
    <w:rsid w:val="00FA4C1D"/>
    <w:rsid w:val="00FA6470"/>
    <w:rsid w:val="00FA6684"/>
    <w:rsid w:val="00FA705E"/>
    <w:rsid w:val="00FA725A"/>
    <w:rsid w:val="00FA731E"/>
    <w:rsid w:val="00FB0B66"/>
    <w:rsid w:val="00FB2B38"/>
    <w:rsid w:val="00FB3791"/>
    <w:rsid w:val="00FC2F6E"/>
    <w:rsid w:val="00FC6358"/>
    <w:rsid w:val="00FC6C90"/>
    <w:rsid w:val="00FD04BB"/>
    <w:rsid w:val="00FD320D"/>
    <w:rsid w:val="00FD570D"/>
    <w:rsid w:val="00FD5950"/>
    <w:rsid w:val="00FE23DE"/>
    <w:rsid w:val="00FE5E6A"/>
    <w:rsid w:val="00FE773B"/>
    <w:rsid w:val="00FF3033"/>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B56145F"/>
    <w:rsid w:val="1D781DF9"/>
    <w:rsid w:val="1F3E57F5"/>
    <w:rsid w:val="20236CFE"/>
    <w:rsid w:val="202E6203"/>
    <w:rsid w:val="208F11E7"/>
    <w:rsid w:val="215C14F1"/>
    <w:rsid w:val="23671F2C"/>
    <w:rsid w:val="23CA246C"/>
    <w:rsid w:val="24642242"/>
    <w:rsid w:val="24767468"/>
    <w:rsid w:val="26615569"/>
    <w:rsid w:val="26834513"/>
    <w:rsid w:val="274A5AC6"/>
    <w:rsid w:val="28752F46"/>
    <w:rsid w:val="2B8B7DC3"/>
    <w:rsid w:val="2BD650E5"/>
    <w:rsid w:val="2C2D37D2"/>
    <w:rsid w:val="2D1F1D65"/>
    <w:rsid w:val="2DAC5F75"/>
    <w:rsid w:val="2E1C1A4E"/>
    <w:rsid w:val="2E5D1AE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862320"/>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1340F7"/>
    <w:rsid w:val="6568477B"/>
    <w:rsid w:val="66E7353A"/>
    <w:rsid w:val="674B0307"/>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8334C9A"/>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Char"/>
    <w:link w:val="7"/>
    <w:qFormat/>
    <w:uiPriority w:val="0"/>
    <w:rPr>
      <w:kern w:val="2"/>
      <w:sz w:val="21"/>
      <w:szCs w:val="24"/>
    </w:rPr>
  </w:style>
  <w:style w:type="character" w:customStyle="1" w:styleId="43">
    <w:name w:val="批注框文本 Char"/>
    <w:link w:val="15"/>
    <w:qFormat/>
    <w:uiPriority w:val="0"/>
    <w:rPr>
      <w:kern w:val="2"/>
      <w:sz w:val="18"/>
      <w:szCs w:val="18"/>
    </w:rPr>
  </w:style>
  <w:style w:type="character" w:customStyle="1" w:styleId="44">
    <w:name w:val="页脚 Char"/>
    <w:link w:val="16"/>
    <w:qFormat/>
    <w:locked/>
    <w:uiPriority w:val="99"/>
    <w:rPr>
      <w:kern w:val="2"/>
      <w:sz w:val="18"/>
      <w:szCs w:val="18"/>
    </w:rPr>
  </w:style>
  <w:style w:type="character" w:customStyle="1" w:styleId="45">
    <w:name w:val="页眉 Char"/>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Char"/>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7913</Words>
  <Characters>1722</Characters>
  <Lines>14</Lines>
  <Paragraphs>19</Paragraphs>
  <TotalTime>0</TotalTime>
  <ScaleCrop>false</ScaleCrop>
  <LinksUpToDate>false</LinksUpToDate>
  <CharactersWithSpaces>9616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2023-07-17T02:59:00Z</dcterms:created>
  <cp:lastPrinted>2021-11-10T08:05:00Z</cp:lastPrinted>
  <dcterms:modified xsi:type="dcterms:W3CDTF">2023-08-24T07:36:47Z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093488B3CE7B404CA498333D5319B0E4</vt:lpwstr>
  </property>
</Properties>
</file>