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32"/>
          <w:szCs w:val="32"/>
        </w:rPr>
      </w:pPr>
      <w:r>
        <w:rPr>
          <w:rFonts w:ascii="Times New Roman" w:hAnsi="Times New Roman" w:eastAsia="宋体" w:cs="Times New Roman"/>
          <w:sz w:val="30"/>
          <w:szCs w:val="30"/>
        </w:rPr>
        <w:t>《</w:t>
      </w:r>
      <w:r>
        <w:rPr>
          <w:rFonts w:hint="eastAsia" w:ascii="Times New Roman" w:hAnsi="Times New Roman" w:eastAsia="宋体" w:cs="Times New Roman"/>
          <w:sz w:val="30"/>
          <w:szCs w:val="30"/>
        </w:rPr>
        <w:t xml:space="preserve">绿色设计产品评价规范 </w:t>
      </w:r>
      <w:bookmarkStart w:id="0" w:name="_Hlk139983096"/>
      <w:r>
        <w:rPr>
          <w:rFonts w:hint="eastAsia" w:ascii="Times New Roman" w:hAnsi="Times New Roman" w:eastAsia="宋体" w:cs="Times New Roman"/>
          <w:sz w:val="30"/>
          <w:szCs w:val="30"/>
        </w:rPr>
        <w:t>薄板坯连铸连轧无头轧制酸洗冷成形钢板及钢带</w:t>
      </w:r>
      <w:bookmarkEnd w:id="0"/>
      <w:r>
        <w:rPr>
          <w:rFonts w:ascii="Times New Roman" w:hAnsi="Times New Roman" w:eastAsia="宋体" w:cs="Times New Roman"/>
          <w:sz w:val="30"/>
          <w:szCs w:val="30"/>
        </w:rPr>
        <w:t>》</w:t>
      </w:r>
    </w:p>
    <w:p>
      <w:pPr>
        <w:jc w:val="center"/>
        <w:rPr>
          <w:rFonts w:ascii="Times New Roman" w:hAnsi="Times New Roman" w:eastAsia="宋体" w:cs="Times New Roman"/>
          <w:sz w:val="30"/>
          <w:szCs w:val="30"/>
        </w:rPr>
      </w:pPr>
      <w:r>
        <w:rPr>
          <w:rFonts w:hint="eastAsia" w:ascii="Times New Roman" w:hAnsi="Times New Roman" w:eastAsia="宋体" w:cs="Times New Roman"/>
          <w:sz w:val="30"/>
          <w:szCs w:val="30"/>
        </w:rPr>
        <w:t>团体</w:t>
      </w:r>
      <w:r>
        <w:rPr>
          <w:rFonts w:ascii="Times New Roman" w:hAnsi="Times New Roman" w:eastAsia="宋体" w:cs="Times New Roman"/>
          <w:sz w:val="30"/>
          <w:szCs w:val="30"/>
        </w:rPr>
        <w:t>标准编制说明</w:t>
      </w:r>
    </w:p>
    <w:p>
      <w:pPr>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一、工作简况</w:t>
      </w:r>
    </w:p>
    <w:p>
      <w:pPr>
        <w:adjustRightInd w:val="0"/>
        <w:snapToGrid w:val="0"/>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（一）任务来源</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根据《</w:t>
      </w:r>
      <w:r>
        <w:rPr>
          <w:rFonts w:hint="eastAsia" w:ascii="Times New Roman" w:hAnsi="Times New Roman" w:eastAsia="宋体" w:cs="Times New Roman"/>
          <w:sz w:val="28"/>
          <w:szCs w:val="28"/>
        </w:rPr>
        <w:t>中国特钢企业协会团体标准化工作委员会关于下达 2023 年第二批团体标准制修订计划的通知》，由福建鼎盛钢铁有限公司、冶金工业规划研究院等单位负责制定《绿色设计产品评价规范 薄板坯连铸连轧无头轧制酸洗冷成形钢板及钢带》团体标准已正式立项。</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黑体" w:cs="Times New Roman"/>
          <w:sz w:val="28"/>
          <w:szCs w:val="28"/>
        </w:rPr>
        <w:t>（二）</w:t>
      </w:r>
      <w:r>
        <w:rPr>
          <w:rFonts w:hint="eastAsia" w:ascii="Times New Roman" w:hAnsi="Times New Roman" w:eastAsia="黑体" w:cs="Times New Roman"/>
          <w:sz w:val="28"/>
          <w:szCs w:val="28"/>
        </w:rPr>
        <w:t>主要工作过程</w:t>
      </w:r>
    </w:p>
    <w:p>
      <w:pPr>
        <w:adjustRightInd w:val="0"/>
        <w:snapToGrid w:val="0"/>
        <w:spacing w:line="360" w:lineRule="auto"/>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起草(草案、调研)阶段：</w:t>
      </w:r>
      <w:r>
        <w:rPr>
          <w:rFonts w:hint="eastAsia" w:ascii="Times New Roman" w:hAnsi="Times New Roman" w:eastAsia="宋体" w:cs="Times New Roman"/>
          <w:sz w:val="28"/>
          <w:szCs w:val="28"/>
        </w:rPr>
        <w:t>计划下达后，规划院组织各起草单位成立了标准起草编制工作组。工作组对国内酸洗冷成形钢板及钢带的生产与应用情况进行全面调研，同时广泛搜集绿色设计产品相关标准和国内外技术资料，进行了大量的研究分析、资料查证工作，结合实际应用经验，进行全面总结和归纳，在此基础上编制出《绿色设计产品评价规范 薄板坯连铸连轧无头轧制酸洗冷成形钢板及钢带》标准草案初稿。</w:t>
      </w:r>
    </w:p>
    <w:p>
      <w:pPr>
        <w:spacing w:line="360" w:lineRule="auto"/>
        <w:ind w:firstLine="562" w:firstLineChars="200"/>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征求意见阶段：</w:t>
      </w:r>
      <w:r>
        <w:rPr>
          <w:rFonts w:hint="eastAsia" w:ascii="Times New Roman" w:hAnsi="Times New Roman" w:eastAsia="宋体" w:cs="Times New Roman"/>
          <w:sz w:val="28"/>
          <w:szCs w:val="28"/>
        </w:rPr>
        <w:t>2</w:t>
      </w:r>
      <w:r>
        <w:rPr>
          <w:rFonts w:ascii="Times New Roman" w:hAnsi="Times New Roman" w:eastAsia="宋体" w:cs="Times New Roman"/>
          <w:sz w:val="28"/>
          <w:szCs w:val="28"/>
        </w:rPr>
        <w:t>023</w:t>
      </w:r>
      <w:r>
        <w:rPr>
          <w:rFonts w:hint="eastAsia" w:ascii="Times New Roman" w:hAnsi="Times New Roman" w:eastAsia="宋体" w:cs="Times New Roman"/>
          <w:sz w:val="28"/>
          <w:szCs w:val="28"/>
        </w:rPr>
        <w:t>年7月，在对标准草案进行研讨</w:t>
      </w:r>
      <w:r>
        <w:rPr>
          <w:rFonts w:hint="eastAsia" w:ascii="Times New Roman" w:hAnsi="Times New Roman" w:eastAsia="宋体" w:cs="Times New Roman"/>
          <w:sz w:val="28"/>
          <w:szCs w:val="28"/>
          <w:lang w:val="en-US" w:eastAsia="zh-CN"/>
        </w:rPr>
        <w:t>后</w:t>
      </w:r>
      <w:r>
        <w:rPr>
          <w:rFonts w:hint="eastAsia" w:ascii="Times New Roman" w:hAnsi="Times New Roman" w:eastAsia="宋体" w:cs="Times New Roman"/>
          <w:sz w:val="28"/>
          <w:szCs w:val="28"/>
        </w:rPr>
        <w:t>，编制组</w:t>
      </w:r>
      <w:r>
        <w:rPr>
          <w:rFonts w:ascii="Times New Roman" w:hAnsi="Times New Roman" w:eastAsia="宋体" w:cs="Times New Roman"/>
          <w:sz w:val="28"/>
          <w:szCs w:val="28"/>
        </w:rPr>
        <w:t>形成</w:t>
      </w:r>
      <w:r>
        <w:rPr>
          <w:rFonts w:hint="eastAsia" w:ascii="Times New Roman" w:hAnsi="Times New Roman" w:eastAsia="宋体" w:cs="Times New Roman"/>
          <w:sz w:val="28"/>
          <w:szCs w:val="28"/>
        </w:rPr>
        <w:t>标准</w:t>
      </w:r>
      <w:r>
        <w:rPr>
          <w:rFonts w:ascii="Times New Roman" w:hAnsi="Times New Roman" w:eastAsia="宋体" w:cs="Times New Roman"/>
          <w:sz w:val="28"/>
          <w:szCs w:val="28"/>
        </w:rPr>
        <w:t>征求意见稿并发出征求意见。</w:t>
      </w:r>
    </w:p>
    <w:p>
      <w:pPr>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w:t>
      </w:r>
      <w:r>
        <w:rPr>
          <w:rFonts w:hint="eastAsia" w:ascii="Times New Roman" w:hAnsi="Times New Roman" w:eastAsia="黑体" w:cs="Times New Roman"/>
          <w:sz w:val="28"/>
          <w:szCs w:val="28"/>
        </w:rPr>
        <w:t>标准编制原则及意义</w:t>
      </w:r>
    </w:p>
    <w:p>
      <w:pPr>
        <w:adjustRightInd w:val="0"/>
        <w:snapToGrid w:val="0"/>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（一）编制原则</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文件在制定过程中，遵循“面向市场、服务产业、自主制定、适时推出、及时修订、不断完善”的原则，注重标准的技术创新、试验验证、产业推进、应用推广相结合。本着先进性、科学性、合理性和可操作性以及标准的目标、统一性、协调性、适用性、一致性和规范性的原则来进行本标准的制定工作。</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本文件按照GB/T 1.1-2020《标准化工作导则 第1部分：标准化文件的结构和起草规则》的规定起草。在确定本文件结构框架和主要技术指标时，充分研究国内外现有标准，并综合考虑钢铁生产企业和下游用户领域的实际需求，充分体现了本文件内容和指标上的先进性和合理性。</w:t>
      </w:r>
    </w:p>
    <w:p>
      <w:pPr>
        <w:adjustRightInd w:val="0"/>
        <w:snapToGrid w:val="0"/>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（二）编制本标准的目的和意义</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中央全面深化改革领导小组将“制定绿色产品标准、认证、标识整合方案”列为2017年重点改革任务，国务院发布的《国务院关于积极发挥新消费引领作用、加快培育形成新供给新动力的指导意见》将绿色消费作为推进供给侧改革和消费升级的重点领域和方向之一，并提出全面提高标准化水平，加快制定和完善重点领域及新兴业态的相关标准。此外，《建立健全碳达峰碳中和标准计量体系实施方案》《工业领域碳达峰实施方案》等文件中，明确要求应鼓励工业产品绿色设计，推动发布绿色低碳产品名单，加快绿色制造标准体系制修订工作。绿色产品是工信部、国标委在2016年联合下发《绿色制造标准体系建设指南》中七个子标准体系之一，完善细分领域的绿色产品设计评价技术规范具有重要意义。</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无头连铸连轧酸洗冷成形钢板及钢带生产工艺是将ESP连铸连轧技术、酸洗、冷成形工艺有效整合后的生产技术路线。无头连铸连轧酸洗冷成形钢板具有以下产品质量优势：一是在微观组织方面，由于采用连铸连轧方式，有效减少了加工过程的热量损失，在提高能源利用效率的同时保障了组织均匀性、优化了组织的晶粒度等级。二是在力学性能方面，通过采用无头轧制技术，在强度符合使用要求的基础上同时具备了较好的塑性。此外，无头连铸连轧酸洗冷成形钢板在能源资源消耗、污染物排放等方面符合绿色产品的设计理念。无头轧制从源头避免了切头尾环节，降低了生产过程电耗。另外由于避免了加热炉的使用，显著降低了轧钢过程中NO</w:t>
      </w:r>
      <w:r>
        <w:rPr>
          <w:rFonts w:hint="eastAsia" w:ascii="Times New Roman" w:hAnsi="Times New Roman" w:eastAsia="宋体" w:cs="Times New Roman"/>
          <w:sz w:val="28"/>
          <w:szCs w:val="28"/>
          <w:vertAlign w:val="subscript"/>
        </w:rPr>
        <w:t>x</w:t>
      </w:r>
      <w:r>
        <w:rPr>
          <w:rFonts w:hint="eastAsia" w:ascii="Times New Roman" w:hAnsi="Times New Roman" w:eastAsia="宋体" w:cs="Times New Roman"/>
          <w:sz w:val="28"/>
          <w:szCs w:val="28"/>
        </w:rPr>
        <w:t>，颗粒物等空气污染物的排放，提升清洁生产水平。目前，无头连铸连轧酸洗冷成形钢板主要应用于汽车结构组件、光伏支架、钢结构建筑等领域。日照钢铁、福建鼎盛、亚新钢铁等企业具备了较成熟的ESP产品生产经验，在国内市场上具有较强竞争力。然而，在有关产品的绿色产品评价方面缺少相关标准依据，应制定有关标准填补技术空白。</w:t>
      </w:r>
    </w:p>
    <w:p>
      <w:pPr>
        <w:adjustRightInd w:val="0"/>
        <w:snapToGrid w:val="0"/>
        <w:spacing w:line="360" w:lineRule="auto"/>
        <w:ind w:firstLine="560" w:firstLineChars="200"/>
        <w:rPr>
          <w:rFonts w:ascii="Times New Roman" w:hAnsi="Times New Roman" w:eastAsia="宋体" w:cs="Times New Roman"/>
          <w:sz w:val="28"/>
          <w:szCs w:val="28"/>
          <w:highlight w:val="yellow"/>
        </w:rPr>
      </w:pPr>
      <w:r>
        <w:rPr>
          <w:rFonts w:hint="eastAsia" w:ascii="Times New Roman" w:hAnsi="Times New Roman" w:eastAsia="宋体" w:cs="Times New Roman"/>
          <w:sz w:val="28"/>
          <w:szCs w:val="28"/>
        </w:rPr>
        <w:t>标准的编制将补充酸洗冷成形钢板及钢带在绿色制造标准体系中的空白，为有关产品的绿色低碳评价提供依据。此外，也将有效推动加工技术的进一步优化。</w:t>
      </w: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三、主要内容说明</w:t>
      </w:r>
    </w:p>
    <w:p>
      <w:pPr>
        <w:adjustRightInd w:val="0"/>
        <w:snapToGrid w:val="0"/>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（一）范围</w:t>
      </w:r>
    </w:p>
    <w:p>
      <w:pPr>
        <w:adjustRightInd w:val="0"/>
        <w:snapToGrid w:val="0"/>
        <w:spacing w:line="360" w:lineRule="auto"/>
        <w:ind w:firstLine="560" w:firstLineChars="200"/>
        <w:rPr>
          <w:rFonts w:ascii="Times New Roman" w:hAnsi="Times New Roman" w:eastAsia="宋体" w:cs="Times New Roman"/>
          <w:sz w:val="28"/>
          <w:szCs w:val="28"/>
          <w:highlight w:val="yellow"/>
        </w:rPr>
      </w:pPr>
      <w:r>
        <w:rPr>
          <w:rFonts w:hint="eastAsia" w:ascii="Times New Roman" w:hAnsi="Times New Roman" w:eastAsia="宋体" w:cs="Times New Roman"/>
          <w:sz w:val="28"/>
          <w:szCs w:val="28"/>
        </w:rPr>
        <w:t>结合工信部已发布的绿色设计产品系列标准，本文件在制定时充分参考，在结构框架设置与现有绿色设计产品标准保持一致。主要包括术语和定义、评价原则和方法、评价要求、生命周期评价报告编制方法。</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在适用范围方面，本文件适用于采用电炉炼钢、薄板坯连铸连轧无头轧制工艺生产厚度为0.8mm~6.0mm、宽度为900mm~1600mm的酸洗冷成形钢板及钢带产品的绿色设计产品评价。</w:t>
      </w:r>
    </w:p>
    <w:p>
      <w:pPr>
        <w:adjustRightInd w:val="0"/>
        <w:snapToGrid w:val="0"/>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（二）规范性引用文件</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本部分将文件中所有引用标准按照标准编号顺序列出</w:t>
      </w:r>
      <w:r>
        <w:rPr>
          <w:rFonts w:ascii="Times New Roman" w:hAnsi="Times New Roman" w:eastAsia="宋体" w:cs="Times New Roman"/>
          <w:sz w:val="28"/>
          <w:szCs w:val="28"/>
        </w:rPr>
        <w:t>。</w:t>
      </w:r>
    </w:p>
    <w:p>
      <w:pPr>
        <w:adjustRightInd w:val="0"/>
        <w:snapToGrid w:val="0"/>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（三）术语和定义</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为帮助理解本文件中所出现的专业术语，指导使用者更加准确运用本文件，界定如下术语。</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w:t>
      </w:r>
      <w:r>
        <w:rPr>
          <w:rFonts w:hint="eastAsia" w:ascii="Times New Roman" w:hAnsi="Times New Roman" w:eastAsia="宋体" w:cs="Times New Roman"/>
          <w:sz w:val="28"/>
          <w:szCs w:val="28"/>
        </w:rPr>
        <w:t>本文件在编写中主要依据《生态设计产品评价通则》（GB/T 32161-2015）的相关内容，在描述上与该标准保持一致，因此在术语部分引用该标准。</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为进一步明确本文件中所界定的钢铁产品评价边界，体现钢铁产品评价特点，并与其他钢铁行业绿色设计产品标准保持一致，界定钢铁行业“产品制造生命周期”、“绿色设计”、“绿色设计产品”、“生命周期评价报告”几项术语。</w:t>
      </w:r>
    </w:p>
    <w:p>
      <w:pPr>
        <w:adjustRightInd w:val="0"/>
        <w:snapToGrid w:val="0"/>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（四）评价原则和方法</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本部分内容与《生态设计产品评价通则》（GB/T 32161-2015）基本保持一致，由于已在评价原则中进行了说明，因此省略评价流程部分。</w:t>
      </w:r>
    </w:p>
    <w:p>
      <w:pPr>
        <w:adjustRightInd w:val="0"/>
        <w:snapToGrid w:val="0"/>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（五）评价要求</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本部分提出开展绿色设计产品评价企业应具备的底线条件，对于不满足底线条件的企业，不予开展后续评价工作。参照《生态设计产品评价通则》（GB/T 32161-2015）标准中评价要求的描述，本文件在编制时考虑到钢铁行业的政策要求，在G</w:t>
      </w:r>
      <w:r>
        <w:rPr>
          <w:rFonts w:ascii="Times New Roman" w:hAnsi="Times New Roman" w:eastAsia="宋体" w:cs="Times New Roman"/>
          <w:sz w:val="28"/>
          <w:szCs w:val="28"/>
        </w:rPr>
        <w:t>B/T 32161</w:t>
      </w:r>
      <w:r>
        <w:rPr>
          <w:rFonts w:hint="eastAsia" w:ascii="Times New Roman" w:hAnsi="Times New Roman" w:eastAsia="宋体" w:cs="Times New Roman"/>
          <w:sz w:val="28"/>
          <w:szCs w:val="28"/>
        </w:rPr>
        <w:t>的基础上修改引用,增加了对于固体废弃物处置与回收、粉尘治理的有关要求，加强对于企业绿色环保水平的要求。</w:t>
      </w:r>
    </w:p>
    <w:p>
      <w:pPr>
        <w:numPr>
          <w:ilvl w:val="0"/>
          <w:numId w:val="1"/>
        </w:num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评价指标要求</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本部分提出薄板坯连铸连轧无头轧制酸洗冷成形钢板及钢带绿色设计产品具体的评价指标要求。参照《生态设计产品评价通则》（GB/T 32161-2015）标准的总体框架，由一级指标和二级指标组成，其中一级指标包括资源属性指标、能源属性指标、环境属性指标、产品属性指标和低碳属性指标。并在一级指标下细化分出多个二级指标。</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（1）资源属性</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①原材料质量要求</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由于本文件适用于电炉生产的</w:t>
      </w:r>
      <w:bookmarkStart w:id="1" w:name="_Hlk139982302"/>
      <w:r>
        <w:rPr>
          <w:rFonts w:hint="eastAsia" w:ascii="Times New Roman" w:hAnsi="Times New Roman" w:eastAsia="宋体" w:cs="Times New Roman"/>
          <w:sz w:val="28"/>
          <w:szCs w:val="28"/>
        </w:rPr>
        <w:t>酸洗冷成形钢板及钢带</w:t>
      </w:r>
      <w:bookmarkEnd w:id="1"/>
      <w:r>
        <w:rPr>
          <w:rFonts w:hint="eastAsia" w:ascii="Times New Roman" w:hAnsi="Times New Roman" w:eastAsia="宋体" w:cs="Times New Roman"/>
          <w:sz w:val="28"/>
          <w:szCs w:val="28"/>
        </w:rPr>
        <w:t>，在原材料质量部分参考《废钢铁》（</w:t>
      </w:r>
      <w:r>
        <w:rPr>
          <w:rFonts w:ascii="Times New Roman" w:hAnsi="Times New Roman" w:eastAsia="宋体" w:cs="Times New Roman"/>
          <w:sz w:val="28"/>
          <w:szCs w:val="28"/>
        </w:rPr>
        <w:t>GB/T 4223-2017</w:t>
      </w:r>
      <w:r>
        <w:rPr>
          <w:rFonts w:hint="eastAsia" w:ascii="Times New Roman" w:hAnsi="Times New Roman" w:eastAsia="宋体" w:cs="Times New Roman"/>
          <w:sz w:val="28"/>
          <w:szCs w:val="28"/>
        </w:rPr>
        <w:t>），要求废钢在夹杂物、有害元素含量等方面符合G</w:t>
      </w:r>
      <w:r>
        <w:rPr>
          <w:rFonts w:ascii="Times New Roman" w:hAnsi="Times New Roman" w:eastAsia="宋体" w:cs="Times New Roman"/>
          <w:sz w:val="28"/>
          <w:szCs w:val="28"/>
        </w:rPr>
        <w:t>B/T 4223</w:t>
      </w:r>
      <w:r>
        <w:rPr>
          <w:rFonts w:hint="eastAsia" w:ascii="Times New Roman" w:hAnsi="Times New Roman" w:eastAsia="宋体" w:cs="Times New Roman"/>
          <w:sz w:val="28"/>
          <w:szCs w:val="28"/>
        </w:rPr>
        <w:t>要求，应提供采购合同、采购清单等材料。</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②水资源</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电炉短流程生产工艺：</w:t>
      </w:r>
      <w:r>
        <w:rPr>
          <w:rFonts w:hint="eastAsia" w:ascii="Times New Roman" w:hAnsi="Times New Roman" w:eastAsia="宋体" w:cs="Times New Roman"/>
          <w:sz w:val="28"/>
          <w:szCs w:val="28"/>
        </w:rPr>
        <w:t>参考《取水定额 第2部分：钢铁联合企业》（GB/T 18916.2-2022）标准中现有企业取水定额指标</w:t>
      </w:r>
      <w:r>
        <w:rPr>
          <w:rFonts w:ascii="Times New Roman" w:hAnsi="Times New Roman" w:eastAsia="宋体" w:cs="Times New Roman"/>
          <w:sz w:val="28"/>
          <w:szCs w:val="28"/>
        </w:rPr>
        <w:t>，</w:t>
      </w:r>
      <w:r>
        <w:rPr>
          <w:rFonts w:hint="eastAsia" w:ascii="Times New Roman" w:hAnsi="Times New Roman" w:eastAsia="宋体" w:cs="Times New Roman"/>
          <w:sz w:val="28"/>
          <w:szCs w:val="28"/>
        </w:rPr>
        <w:t>结合行业整体</w:t>
      </w:r>
      <w:r>
        <w:rPr>
          <w:rFonts w:ascii="Times New Roman" w:hAnsi="Times New Roman" w:eastAsia="宋体" w:cs="Times New Roman"/>
          <w:sz w:val="28"/>
          <w:szCs w:val="28"/>
        </w:rPr>
        <w:t>情况，</w:t>
      </w:r>
      <w:r>
        <w:rPr>
          <w:rFonts w:hint="eastAsia" w:ascii="Times New Roman" w:hAnsi="Times New Roman" w:eastAsia="宋体" w:cs="Times New Roman"/>
          <w:sz w:val="28"/>
          <w:szCs w:val="28"/>
        </w:rPr>
        <w:t>定为</w:t>
      </w:r>
      <w:r>
        <w:rPr>
          <w:rFonts w:ascii="Times New Roman" w:hAnsi="Times New Roman" w:eastAsia="宋体" w:cs="Times New Roman"/>
          <w:sz w:val="28"/>
          <w:szCs w:val="28"/>
        </w:rPr>
        <w:t>≤</w:t>
      </w:r>
      <w:r>
        <w:rPr>
          <w:rFonts w:hint="eastAsia" w:ascii="Times New Roman" w:hAnsi="Times New Roman" w:eastAsia="宋体" w:cs="Times New Roman"/>
          <w:sz w:val="28"/>
          <w:szCs w:val="28"/>
        </w:rPr>
        <w:t>1.74</w:t>
      </w:r>
      <w:r>
        <w:rPr>
          <w:rFonts w:ascii="Times New Roman" w:hAnsi="Times New Roman" w:eastAsia="宋体" w:cs="Times New Roman"/>
          <w:sz w:val="28"/>
          <w:szCs w:val="28"/>
        </w:rPr>
        <w:t>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/t；</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参考《钢铁行业清洁生产评价指标体系》中水重复利用率</w:t>
      </w:r>
      <w:r>
        <w:rPr>
          <w:rFonts w:hint="eastAsia" w:ascii="Times New Roman" w:hAnsi="Times New Roman" w:eastAsia="宋体" w:cs="Times New Roman"/>
          <w:sz w:val="28"/>
          <w:szCs w:val="28"/>
          <w:lang w:val="en-US" w:eastAsia="zh-CN"/>
        </w:rPr>
        <w:t>II</w:t>
      </w:r>
      <w:r>
        <w:rPr>
          <w:rFonts w:hint="eastAsia" w:ascii="Times New Roman" w:hAnsi="Times New Roman" w:eastAsia="宋体" w:cs="Times New Roman"/>
          <w:sz w:val="28"/>
          <w:szCs w:val="28"/>
        </w:rPr>
        <w:t>级基准值水平，生产用</w:t>
      </w:r>
      <w:r>
        <w:rPr>
          <w:rFonts w:ascii="Times New Roman" w:hAnsi="Times New Roman" w:eastAsia="宋体" w:cs="Times New Roman"/>
          <w:sz w:val="28"/>
          <w:szCs w:val="28"/>
        </w:rPr>
        <w:t>水重复利用率≥9</w:t>
      </w:r>
      <w:r>
        <w:rPr>
          <w:rFonts w:hint="eastAsia" w:ascii="Times New Roman" w:hAnsi="Times New Roman" w:eastAsia="宋体" w:cs="Times New Roman"/>
          <w:sz w:val="28"/>
          <w:szCs w:val="28"/>
          <w:lang w:val="en-US" w:eastAsia="zh-CN"/>
        </w:rPr>
        <w:t>6</w:t>
      </w:r>
      <w:r>
        <w:rPr>
          <w:rFonts w:ascii="Times New Roman" w:hAnsi="Times New Roman" w:eastAsia="宋体" w:cs="Times New Roman"/>
          <w:sz w:val="28"/>
          <w:szCs w:val="28"/>
        </w:rPr>
        <w:t>%</w:t>
      </w:r>
      <w:r>
        <w:rPr>
          <w:rFonts w:hint="eastAsia" w:ascii="Times New Roman" w:hAnsi="Times New Roman" w:eastAsia="宋体" w:cs="Times New Roman"/>
          <w:sz w:val="28"/>
          <w:szCs w:val="28"/>
        </w:rPr>
        <w:t>的要求，以及热轧酸洗冷成形钢板生产企业用水情况，确定为≥9</w:t>
      </w:r>
      <w:r>
        <w:rPr>
          <w:rFonts w:hint="eastAsia" w:ascii="Times New Roman" w:hAnsi="Times New Roman" w:eastAsia="宋体" w:cs="Times New Roman"/>
          <w:sz w:val="28"/>
          <w:szCs w:val="28"/>
          <w:lang w:val="en-US" w:eastAsia="zh-CN"/>
        </w:rPr>
        <w:t>6</w:t>
      </w:r>
      <w:r>
        <w:rPr>
          <w:rFonts w:ascii="Times New Roman" w:hAnsi="Times New Roman" w:eastAsia="宋体" w:cs="Times New Roman"/>
          <w:sz w:val="28"/>
          <w:szCs w:val="28"/>
        </w:rPr>
        <w:t>%</w:t>
      </w:r>
      <w:r>
        <w:rPr>
          <w:rFonts w:hint="eastAsia" w:ascii="Times New Roman" w:hAnsi="Times New Roman" w:eastAsia="宋体" w:cs="Times New Roman"/>
          <w:sz w:val="28"/>
          <w:szCs w:val="28"/>
        </w:rPr>
        <w:t>，本文件直接采用该指标。</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（2）能源属性</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产品主要生产工序包括电炉炼钢、精炼、连铸连轧、酸洗，主要涉及耗能工序包括电炉熔炼、连铸连轧、酸洗等工序。</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对于电炉工序能耗，本文件参考《钢铁行业（炼钢）清洁生产评价指标体系》，选择电炉炼钢清洁生产指标体系中的“II级基准值”要求，要求采用全废钢冶炼时，吨钢电炉能耗≤64kgce/t。</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对于连铸连轧、酸洗工序能耗，清洁生产指标体系并无细化要求，因此在调查整理行业平均水平数据后，初步定为连铸连轧工序≤30kgce/t，酸洗工序≤10kgce/t。</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（3）环境属性</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为体现薄板坯连铸连轧无头轧制酸洗冷成形钢板及钢带在生产制造过程中的绿色化与环境友好性，考虑钢铁企业在炼铁、炼钢、轧钢等生产工序中的环境影响，按照工序规定单位产品污染物排放量（颗粒物等），数值必须满足《钢铁行业清洁生产评价指标体系》中Ⅱ级基准值。</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①颗粒物无组织排放</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根据钢铁行业排污许可证的要求，对无组织排放颗粒物的情况进行了规定，要求提供无组织排放控制措施清单，并且委托第三监测机构提供无组织排放监测报告，无组织排放的颗粒物浓度符合排污许可证的规定。</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②电炉工序颗粒物排放</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根据《钢铁行业（炼钢）清洁生产评价指标体系》中II级基准值要求，规定电炉工序颗粒物排放浓度不得高于0.1kg/t，同时颗粒物排放数据应有明确的数据来源。</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③连铸连轧工序颗粒物排放</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根据《钢铁行业（钢延压加工）清洁生产评价指标体系》中II级基准值要求，规定连铸连轧工序颗粒物排放浓度不得高于0.025kg/t，二氧化硫排放浓度不得高于0.05kg/t，氮氧化物排放浓度不得高于0.51kg/t。且SO</w:t>
      </w:r>
      <w:r>
        <w:rPr>
          <w:rFonts w:hint="eastAsia" w:ascii="Times New Roman" w:hAnsi="Times New Roman" w:eastAsia="宋体" w:cs="Times New Roman"/>
          <w:sz w:val="28"/>
          <w:szCs w:val="28"/>
          <w:vertAlign w:val="subscript"/>
        </w:rPr>
        <w:t>2</w:t>
      </w:r>
      <w:r>
        <w:rPr>
          <w:rFonts w:hint="eastAsia" w:ascii="Times New Roman" w:hAnsi="Times New Roman" w:eastAsia="宋体" w:cs="Times New Roman"/>
          <w:sz w:val="28"/>
          <w:szCs w:val="28"/>
        </w:rPr>
        <w:t>、颗粒物、NO</w:t>
      </w:r>
      <w:r>
        <w:rPr>
          <w:rFonts w:hint="eastAsia" w:ascii="Times New Roman" w:hAnsi="Times New Roman" w:eastAsia="宋体" w:cs="Times New Roman"/>
          <w:sz w:val="28"/>
          <w:szCs w:val="28"/>
          <w:vertAlign w:val="subscript"/>
        </w:rPr>
        <w:t>x</w:t>
      </w:r>
      <w:r>
        <w:rPr>
          <w:rFonts w:hint="eastAsia" w:ascii="Times New Roman" w:hAnsi="Times New Roman" w:eastAsia="宋体" w:cs="Times New Roman"/>
          <w:sz w:val="28"/>
          <w:szCs w:val="28"/>
        </w:rPr>
        <w:t>的检测浓度应提供第三方检测报告。</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④酸洗工序污染物排放</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依据《钢铁行业（钢延压加工）清洁生产评价指标体系》中II级基准值要求，规定HCl的排放浓度应≤0.008kg/t，排放监测数据应有明确的数据来源。</w:t>
      </w:r>
    </w:p>
    <w:p>
      <w:pPr>
        <w:numPr>
          <w:ilvl w:val="0"/>
          <w:numId w:val="2"/>
        </w:num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产品属性</w:t>
      </w:r>
    </w:p>
    <w:p>
      <w:pPr>
        <w:pStyle w:val="12"/>
        <w:numPr>
          <w:ilvl w:val="0"/>
          <w:numId w:val="3"/>
        </w:numPr>
        <w:adjustRightInd w:val="0"/>
        <w:snapToGrid w:val="0"/>
        <w:spacing w:line="360" w:lineRule="auto"/>
        <w:ind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尺寸、外形、重量</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规定应符合《电气柜用热轧薄钢板及钢带》(T/SSEA 0055)中厚度允许偏差、宽度允许偏差、长度允许偏差等尺寸要求，不平度等外形要求以及重量要求，满足力学性能、工艺性能要求。</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②表面质量</w:t>
      </w:r>
    </w:p>
    <w:p>
      <w:pPr>
        <w:adjustRightInd w:val="0"/>
        <w:snapToGrid w:val="0"/>
        <w:spacing w:line="360" w:lineRule="auto"/>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薄板坯连铸连轧无头轧制酸洗冷成形钢板及钢带主要应用于汽车、家用电器等对表面质量要求较高的用钢领域，应符合相关标准要求。规定应满足《电气柜用热轧薄钢板及钢带》(T/SSEA 0055)中对表面质量的要求，不应有裂纹等表面缺陷以及麻点、划痕等局部缺陷。</w:t>
      </w:r>
    </w:p>
    <w:p>
      <w:pPr>
        <w:adjustRightInd w:val="0"/>
        <w:snapToGrid w:val="0"/>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③力学性能、工艺性能</w:t>
      </w:r>
    </w:p>
    <w:p>
      <w:pPr>
        <w:adjustRightInd w:val="0"/>
        <w:snapToGrid w:val="0"/>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为满足家用电器用钢加工性能的要求，应满足</w:t>
      </w:r>
      <w:r>
        <w:rPr>
          <w:rFonts w:hint="eastAsia" w:ascii="Times New Roman" w:hAnsi="Times New Roman" w:eastAsia="宋体" w:cs="Times New Roman"/>
          <w:sz w:val="28"/>
          <w:szCs w:val="28"/>
        </w:rPr>
        <w:t>《电气柜用热轧薄钢板及钢带》(T/SSEA 0055)</w:t>
      </w:r>
      <w:r>
        <w:rPr>
          <w:rFonts w:hint="eastAsia" w:ascii="Times New Roman" w:hAnsi="Times New Roman" w:eastAsia="宋体" w:cs="Times New Roman"/>
          <w:sz w:val="28"/>
          <w:szCs w:val="28"/>
          <w:lang w:val="en-US" w:eastAsia="zh-CN"/>
        </w:rPr>
        <w:t>中对于拉伸试验、弯曲试验中有关指标的要求。</w:t>
      </w:r>
      <w:bookmarkStart w:id="2" w:name="_GoBack"/>
      <w:bookmarkEnd w:id="2"/>
    </w:p>
    <w:p>
      <w:pPr>
        <w:adjustRightInd w:val="0"/>
        <w:snapToGrid w:val="0"/>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（六）生命周期评价报告编制方法</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本部分参照《生态设计产品评价通则》（GB/T 32161-2015）标准内容，结合酸洗冷成形钢板及钢带生产工艺特点修改引用。</w:t>
      </w:r>
    </w:p>
    <w:p>
      <w:pPr>
        <w:adjustRightInd w:val="0"/>
        <w:snapToGrid w:val="0"/>
        <w:spacing w:line="360" w:lineRule="auto"/>
        <w:rPr>
          <w:rFonts w:ascii="Times New Roman" w:hAnsi="Times New Roman" w:eastAsia="仿宋_GB2312" w:cs="Times New Roman"/>
          <w:sz w:val="32"/>
          <w:szCs w:val="32"/>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四、与专利的关系</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本文件不涉及专利内容。</w:t>
      </w:r>
    </w:p>
    <w:p>
      <w:pPr>
        <w:adjustRightInd w:val="0"/>
        <w:snapToGrid w:val="0"/>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五、预期达到的社会效益、对产业发展的作用等情况</w:t>
      </w:r>
    </w:p>
    <w:p>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通过标准的制定和实施，进一步完善绿色制造标准体系，推动钢材产品绿色产品评价及认证有关工作的有序开展。标准发布后，预计解决薄板坯连铸连轧无头轧制酸洗冷成形钢板及钢带生产企业制造的产品长期以来未有全面系统的生命周期客观评价的现实问题，引导薄板坯连铸连轧无头轧制酸洗冷成形钢板及钢带生产企业和下游用户单位开展绿色设计产品评价工作，有效规范薄板坯连铸连轧无头轧制酸洗冷成形钢板及钢带生产企业追求绿色化、品质化的市场行为，向着“中国制造2025”的高端产品制造目标迈进。对行业薄板坯连铸连轧无头轧制酸洗冷成形钢板及钢带产品生产有较高的指导价值和应用规范。制定的原则体现了标准的先进性、科学性。</w:t>
      </w:r>
    </w:p>
    <w:p>
      <w:pPr>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六、与国际、国外对比情况</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本标准没有采用国际标准。</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本标准制定过程中未查到同类国际、国外标准。</w:t>
      </w:r>
    </w:p>
    <w:p>
      <w:pPr>
        <w:adjustRightInd w:val="0"/>
        <w:snapToGrid w:val="0"/>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七、在标准体系中的位置，与现行相关法律、法规、规章及标准，特别是强制性标准的协调性</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本标准与现行相关法律、法规、规章及相关标准协调一致。</w:t>
      </w:r>
      <w:r>
        <w:rPr>
          <w:rFonts w:hint="eastAsia" w:ascii="Times New Roman" w:hAnsi="Times New Roman" w:eastAsia="宋体" w:cs="Times New Roman"/>
          <w:sz w:val="28"/>
          <w:szCs w:val="28"/>
        </w:rPr>
        <w:t>在绿色制造标准体系中属于绿色设计产品评价技术规范系列标准，在标准体系中位置明确。</w:t>
      </w:r>
    </w:p>
    <w:p>
      <w:pPr>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八、重大分歧意见的处理经过和依据</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无重大分歧意见。</w:t>
      </w:r>
    </w:p>
    <w:p>
      <w:pPr>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九、标准性质的建议说明</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w:t>
      </w:r>
      <w:r>
        <w:rPr>
          <w:rFonts w:hint="eastAsia" w:ascii="Times New Roman" w:hAnsi="Times New Roman" w:eastAsia="宋体" w:cs="Times New Roman"/>
          <w:sz w:val="28"/>
          <w:szCs w:val="28"/>
        </w:rPr>
        <w:t>文件</w:t>
      </w:r>
      <w:r>
        <w:rPr>
          <w:rFonts w:ascii="Times New Roman" w:hAnsi="Times New Roman" w:eastAsia="宋体" w:cs="Times New Roman"/>
          <w:sz w:val="28"/>
          <w:szCs w:val="28"/>
        </w:rPr>
        <w:t>为推荐性标准。</w:t>
      </w:r>
    </w:p>
    <w:p>
      <w:pPr>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十、贯彻标准的要求和措施建议</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w:t>
      </w:r>
      <w:r>
        <w:rPr>
          <w:rFonts w:hint="eastAsia" w:ascii="Times New Roman" w:hAnsi="Times New Roman" w:eastAsia="宋体" w:cs="Times New Roman"/>
          <w:sz w:val="28"/>
          <w:szCs w:val="28"/>
        </w:rPr>
        <w:t>文件由中国特钢企业协会提出并归口</w:t>
      </w:r>
      <w:r>
        <w:rPr>
          <w:rFonts w:ascii="Times New Roman" w:hAnsi="Times New Roman" w:eastAsia="宋体" w:cs="Times New Roman"/>
          <w:sz w:val="28"/>
          <w:szCs w:val="28"/>
        </w:rPr>
        <w:t>，经过审定报批后，由</w:t>
      </w:r>
      <w:r>
        <w:rPr>
          <w:rFonts w:hint="eastAsia" w:ascii="Times New Roman" w:hAnsi="Times New Roman" w:eastAsia="宋体" w:cs="Times New Roman"/>
          <w:sz w:val="28"/>
          <w:szCs w:val="28"/>
        </w:rPr>
        <w:t>中国特钢企业协会</w:t>
      </w:r>
      <w:r>
        <w:rPr>
          <w:rFonts w:ascii="Times New Roman" w:hAnsi="Times New Roman" w:eastAsia="宋体" w:cs="Times New Roman"/>
          <w:sz w:val="28"/>
          <w:szCs w:val="28"/>
        </w:rPr>
        <w:t>发布。建议本</w:t>
      </w:r>
      <w:r>
        <w:rPr>
          <w:rFonts w:hint="eastAsia" w:ascii="Times New Roman" w:hAnsi="Times New Roman" w:eastAsia="宋体" w:cs="Times New Roman"/>
          <w:sz w:val="28"/>
          <w:szCs w:val="28"/>
        </w:rPr>
        <w:t>文件</w:t>
      </w:r>
      <w:r>
        <w:rPr>
          <w:rFonts w:ascii="Times New Roman" w:hAnsi="Times New Roman" w:eastAsia="宋体" w:cs="Times New Roman"/>
          <w:sz w:val="28"/>
          <w:szCs w:val="28"/>
        </w:rPr>
        <w:t>批准发布6个月后实施，在</w:t>
      </w:r>
      <w:r>
        <w:rPr>
          <w:rFonts w:hint="eastAsia" w:ascii="Times New Roman" w:hAnsi="Times New Roman" w:eastAsia="宋体" w:cs="Times New Roman"/>
          <w:sz w:val="28"/>
          <w:szCs w:val="28"/>
        </w:rPr>
        <w:t>钢铁企业</w:t>
      </w:r>
      <w:r>
        <w:rPr>
          <w:rFonts w:ascii="Times New Roman" w:hAnsi="Times New Roman" w:eastAsia="宋体" w:cs="Times New Roman"/>
          <w:sz w:val="28"/>
          <w:szCs w:val="28"/>
        </w:rPr>
        <w:t>进行宣贯执行。</w:t>
      </w:r>
    </w:p>
    <w:p>
      <w:pPr>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十一、废止或代替现行相关标准的建议</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本文件为首次发布</w:t>
      </w:r>
      <w:r>
        <w:rPr>
          <w:rFonts w:ascii="Times New Roman" w:hAnsi="Times New Roman" w:eastAsia="宋体" w:cs="Times New Roman"/>
          <w:sz w:val="28"/>
          <w:szCs w:val="28"/>
        </w:rPr>
        <w:t>。</w:t>
      </w:r>
    </w:p>
    <w:p>
      <w:pPr>
        <w:spacing w:line="360" w:lineRule="auto"/>
        <w:ind w:firstLine="560" w:firstLineChars="200"/>
        <w:rPr>
          <w:rFonts w:ascii="Times New Roman" w:hAnsi="Times New Roman" w:eastAsia="宋体" w:cs="Times New Roman"/>
          <w:sz w:val="28"/>
          <w:szCs w:val="28"/>
          <w:highlight w:val="yellow"/>
        </w:rPr>
      </w:pPr>
    </w:p>
    <w:p>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十二、其他应予说明的事项</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无。</w:t>
      </w:r>
    </w:p>
    <w:p>
      <w:pPr>
        <w:ind w:firstLine="560" w:firstLineChars="200"/>
        <w:rPr>
          <w:rFonts w:ascii="Times New Roman" w:hAnsi="Times New Roman" w:eastAsia="宋体" w:cs="Times New Roman"/>
          <w:sz w:val="28"/>
          <w:szCs w:val="28"/>
        </w:rPr>
      </w:pPr>
    </w:p>
    <w:p>
      <w:pPr>
        <w:jc w:val="right"/>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绿色设计产品评价规范 薄板坯连铸连轧无头轧制酸洗冷成形钢板及钢带</w:t>
      </w:r>
      <w:r>
        <w:rPr>
          <w:rFonts w:ascii="Times New Roman" w:hAnsi="Times New Roman" w:eastAsia="宋体" w:cs="Times New Roman"/>
          <w:sz w:val="28"/>
          <w:szCs w:val="28"/>
        </w:rPr>
        <w:t>》</w:t>
      </w:r>
    </w:p>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团体</w:t>
      </w:r>
      <w:r>
        <w:rPr>
          <w:rFonts w:ascii="Times New Roman" w:hAnsi="Times New Roman" w:eastAsia="宋体" w:cs="Times New Roman"/>
          <w:sz w:val="28"/>
          <w:szCs w:val="28"/>
        </w:rPr>
        <w:t>标准编制工作组</w:t>
      </w:r>
    </w:p>
    <w:p>
      <w:pPr>
        <w:jc w:val="right"/>
        <w:rPr>
          <w:rFonts w:ascii="Times New Roman" w:hAnsi="Times New Roman" w:eastAsia="宋体" w:cs="Times New Roman"/>
          <w:sz w:val="28"/>
          <w:szCs w:val="28"/>
        </w:rPr>
      </w:pPr>
      <w:r>
        <w:rPr>
          <w:rFonts w:ascii="Times New Roman" w:hAnsi="Times New Roman" w:eastAsia="宋体" w:cs="Times New Roman"/>
          <w:sz w:val="28"/>
          <w:szCs w:val="28"/>
        </w:rPr>
        <w:t>2023年</w:t>
      </w:r>
      <w:r>
        <w:rPr>
          <w:rFonts w:hint="eastAsia" w:ascii="Times New Roman" w:hAnsi="Times New Roman" w:eastAsia="宋体" w:cs="Times New Roman"/>
          <w:sz w:val="28"/>
          <w:szCs w:val="28"/>
        </w:rPr>
        <w:t>7</w:t>
      </w:r>
      <w:r>
        <w:rPr>
          <w:rFonts w:ascii="Times New Roman" w:hAnsi="Times New Roman" w:eastAsia="宋体" w:cs="Times New Roman"/>
          <w:sz w:val="28"/>
          <w:szCs w:val="28"/>
        </w:rPr>
        <w:t>月11</w:t>
      </w:r>
      <w:r>
        <w:rPr>
          <w:rFonts w:hint="eastAsia" w:ascii="Times New Roman" w:hAnsi="Times New Roman" w:eastAsia="宋体"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C4BCE"/>
    <w:multiLevelType w:val="singleLevel"/>
    <w:tmpl w:val="27CC4BCE"/>
    <w:lvl w:ilvl="0" w:tentative="0">
      <w:start w:val="2"/>
      <w:numFmt w:val="decimal"/>
      <w:suff w:val="space"/>
      <w:lvlText w:val="%1."/>
      <w:lvlJc w:val="left"/>
    </w:lvl>
  </w:abstractNum>
  <w:abstractNum w:abstractNumId="1">
    <w:nsid w:val="5F64FEF8"/>
    <w:multiLevelType w:val="singleLevel"/>
    <w:tmpl w:val="5F64FEF8"/>
    <w:lvl w:ilvl="0" w:tentative="0">
      <w:start w:val="4"/>
      <w:numFmt w:val="decimal"/>
      <w:suff w:val="nothing"/>
      <w:lvlText w:val="（%1）"/>
      <w:lvlJc w:val="left"/>
    </w:lvl>
  </w:abstractNum>
  <w:abstractNum w:abstractNumId="2">
    <w:nsid w:val="705E072D"/>
    <w:multiLevelType w:val="multilevel"/>
    <w:tmpl w:val="705E072D"/>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1NDczZWM3YmYxYTZhYTZhNTQxN2U1MmY2ODQyMTMifQ=="/>
  </w:docVars>
  <w:rsids>
    <w:rsidRoot w:val="00172A27"/>
    <w:rsid w:val="00082C2F"/>
    <w:rsid w:val="0009643A"/>
    <w:rsid w:val="000A06F8"/>
    <w:rsid w:val="000A7543"/>
    <w:rsid w:val="000A7DC3"/>
    <w:rsid w:val="000B461A"/>
    <w:rsid w:val="000F5D2F"/>
    <w:rsid w:val="00107191"/>
    <w:rsid w:val="00107E8C"/>
    <w:rsid w:val="00115806"/>
    <w:rsid w:val="00120611"/>
    <w:rsid w:val="001674D1"/>
    <w:rsid w:val="00172A27"/>
    <w:rsid w:val="00194396"/>
    <w:rsid w:val="001D339D"/>
    <w:rsid w:val="0021176C"/>
    <w:rsid w:val="00233184"/>
    <w:rsid w:val="0023389E"/>
    <w:rsid w:val="002541B3"/>
    <w:rsid w:val="00264B89"/>
    <w:rsid w:val="00282C79"/>
    <w:rsid w:val="00286425"/>
    <w:rsid w:val="002A5F3A"/>
    <w:rsid w:val="002C231C"/>
    <w:rsid w:val="002D4B71"/>
    <w:rsid w:val="002E27DB"/>
    <w:rsid w:val="002E6E1C"/>
    <w:rsid w:val="003068A1"/>
    <w:rsid w:val="00320831"/>
    <w:rsid w:val="00320ECA"/>
    <w:rsid w:val="00325824"/>
    <w:rsid w:val="00326B2D"/>
    <w:rsid w:val="00333876"/>
    <w:rsid w:val="00343688"/>
    <w:rsid w:val="00345EDA"/>
    <w:rsid w:val="00374FB4"/>
    <w:rsid w:val="003C3D9C"/>
    <w:rsid w:val="003E4A58"/>
    <w:rsid w:val="003F0C36"/>
    <w:rsid w:val="00424797"/>
    <w:rsid w:val="00453F1F"/>
    <w:rsid w:val="004776D7"/>
    <w:rsid w:val="00485FFA"/>
    <w:rsid w:val="004A4931"/>
    <w:rsid w:val="004B6AE6"/>
    <w:rsid w:val="004D5FB9"/>
    <w:rsid w:val="004E739C"/>
    <w:rsid w:val="00503BA5"/>
    <w:rsid w:val="00545933"/>
    <w:rsid w:val="00557643"/>
    <w:rsid w:val="00566DB7"/>
    <w:rsid w:val="00570105"/>
    <w:rsid w:val="00570856"/>
    <w:rsid w:val="005A2F5B"/>
    <w:rsid w:val="005C5161"/>
    <w:rsid w:val="005D45B4"/>
    <w:rsid w:val="005D7EBD"/>
    <w:rsid w:val="00611259"/>
    <w:rsid w:val="00637D53"/>
    <w:rsid w:val="00657550"/>
    <w:rsid w:val="0066215D"/>
    <w:rsid w:val="006870AE"/>
    <w:rsid w:val="00696540"/>
    <w:rsid w:val="006B4B3F"/>
    <w:rsid w:val="00700131"/>
    <w:rsid w:val="00735DE2"/>
    <w:rsid w:val="00774C20"/>
    <w:rsid w:val="007A7932"/>
    <w:rsid w:val="007B761A"/>
    <w:rsid w:val="007D2529"/>
    <w:rsid w:val="007F313E"/>
    <w:rsid w:val="00805EAF"/>
    <w:rsid w:val="008273BF"/>
    <w:rsid w:val="008743D4"/>
    <w:rsid w:val="00890B39"/>
    <w:rsid w:val="00897179"/>
    <w:rsid w:val="008A0B90"/>
    <w:rsid w:val="008E66DB"/>
    <w:rsid w:val="00907D0B"/>
    <w:rsid w:val="00910E04"/>
    <w:rsid w:val="00915210"/>
    <w:rsid w:val="00921496"/>
    <w:rsid w:val="009411AF"/>
    <w:rsid w:val="00942BC4"/>
    <w:rsid w:val="009511E3"/>
    <w:rsid w:val="0095258D"/>
    <w:rsid w:val="0097397E"/>
    <w:rsid w:val="009B458D"/>
    <w:rsid w:val="009C124C"/>
    <w:rsid w:val="009D4A37"/>
    <w:rsid w:val="009E0F91"/>
    <w:rsid w:val="00A025B7"/>
    <w:rsid w:val="00A074A2"/>
    <w:rsid w:val="00A179B3"/>
    <w:rsid w:val="00A4725E"/>
    <w:rsid w:val="00A64861"/>
    <w:rsid w:val="00A92567"/>
    <w:rsid w:val="00AE3FEC"/>
    <w:rsid w:val="00AF2897"/>
    <w:rsid w:val="00B11D05"/>
    <w:rsid w:val="00B34757"/>
    <w:rsid w:val="00BC1A4C"/>
    <w:rsid w:val="00BC6B34"/>
    <w:rsid w:val="00BD6F5C"/>
    <w:rsid w:val="00C44538"/>
    <w:rsid w:val="00C45F61"/>
    <w:rsid w:val="00CB63A2"/>
    <w:rsid w:val="00CC4876"/>
    <w:rsid w:val="00CC5054"/>
    <w:rsid w:val="00CD1195"/>
    <w:rsid w:val="00D36492"/>
    <w:rsid w:val="00DA7B09"/>
    <w:rsid w:val="00DB57D6"/>
    <w:rsid w:val="00DC32F3"/>
    <w:rsid w:val="00E05E9A"/>
    <w:rsid w:val="00E1095C"/>
    <w:rsid w:val="00E13836"/>
    <w:rsid w:val="00E609DF"/>
    <w:rsid w:val="00E7128C"/>
    <w:rsid w:val="00EA082D"/>
    <w:rsid w:val="00ED77A0"/>
    <w:rsid w:val="00F01864"/>
    <w:rsid w:val="00F21B9E"/>
    <w:rsid w:val="00F86D39"/>
    <w:rsid w:val="00FC0008"/>
    <w:rsid w:val="00FD52CD"/>
    <w:rsid w:val="03525CB3"/>
    <w:rsid w:val="038A0BB1"/>
    <w:rsid w:val="051842E3"/>
    <w:rsid w:val="05E642CD"/>
    <w:rsid w:val="070E6657"/>
    <w:rsid w:val="07B70A9C"/>
    <w:rsid w:val="10B65D95"/>
    <w:rsid w:val="113D4340"/>
    <w:rsid w:val="11407778"/>
    <w:rsid w:val="13C620D3"/>
    <w:rsid w:val="157901A5"/>
    <w:rsid w:val="19BB1252"/>
    <w:rsid w:val="1AEC1E2D"/>
    <w:rsid w:val="1FE83066"/>
    <w:rsid w:val="20BE2A44"/>
    <w:rsid w:val="22B534A1"/>
    <w:rsid w:val="22C848CB"/>
    <w:rsid w:val="241E6970"/>
    <w:rsid w:val="27873642"/>
    <w:rsid w:val="2CDF77C2"/>
    <w:rsid w:val="2DA67891"/>
    <w:rsid w:val="306A7EA8"/>
    <w:rsid w:val="3293387F"/>
    <w:rsid w:val="331207DC"/>
    <w:rsid w:val="358619E5"/>
    <w:rsid w:val="38545D1F"/>
    <w:rsid w:val="3FD61D3F"/>
    <w:rsid w:val="40106FF9"/>
    <w:rsid w:val="415F6293"/>
    <w:rsid w:val="41B33AA7"/>
    <w:rsid w:val="46A00372"/>
    <w:rsid w:val="48F34D1C"/>
    <w:rsid w:val="49100928"/>
    <w:rsid w:val="49792BF0"/>
    <w:rsid w:val="4B012A16"/>
    <w:rsid w:val="4B95093D"/>
    <w:rsid w:val="542518CC"/>
    <w:rsid w:val="575200A0"/>
    <w:rsid w:val="5B717255"/>
    <w:rsid w:val="63946393"/>
    <w:rsid w:val="644D7E4A"/>
    <w:rsid w:val="66BE2423"/>
    <w:rsid w:val="66BE68C6"/>
    <w:rsid w:val="6C006B01"/>
    <w:rsid w:val="6C8C6DA3"/>
    <w:rsid w:val="6DE50CA6"/>
    <w:rsid w:val="718801FD"/>
    <w:rsid w:val="73A36584"/>
    <w:rsid w:val="74C846EA"/>
    <w:rsid w:val="75BC336F"/>
    <w:rsid w:val="76021786"/>
    <w:rsid w:val="765D0336"/>
    <w:rsid w:val="776307C5"/>
    <w:rsid w:val="77BB799D"/>
    <w:rsid w:val="79813E5B"/>
    <w:rsid w:val="799845CA"/>
    <w:rsid w:val="7A6B7FB8"/>
    <w:rsid w:val="7B022DCE"/>
    <w:rsid w:val="7D35357A"/>
    <w:rsid w:val="7F2D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8"/>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文档结构图 字符"/>
    <w:basedOn w:val="9"/>
    <w:link w:val="2"/>
    <w:semiHidden/>
    <w:qFormat/>
    <w:uiPriority w:val="99"/>
    <w:rPr>
      <w:rFonts w:ascii="宋体" w:eastAsia="宋体"/>
      <w:sz w:val="18"/>
      <w:szCs w:val="18"/>
    </w:rPr>
  </w:style>
  <w:style w:type="paragraph" w:customStyle="1" w:styleId="14">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9"/>
    <w:link w:val="14"/>
    <w:qFormat/>
    <w:uiPriority w:val="0"/>
    <w:rPr>
      <w:rFonts w:ascii="宋体" w:hAnsi="Times New Roman" w:eastAsia="宋体" w:cs="Times New Roman"/>
      <w:kern w:val="0"/>
      <w:szCs w:val="20"/>
    </w:rPr>
  </w:style>
  <w:style w:type="paragraph" w:customStyle="1" w:styleId="16">
    <w:name w:val="三级无"/>
    <w:basedOn w:val="1"/>
    <w:qFormat/>
    <w:uiPriority w:val="0"/>
    <w:pPr>
      <w:widowControl/>
      <w:jc w:val="left"/>
      <w:outlineLvl w:val="4"/>
    </w:pPr>
    <w:rPr>
      <w:rFonts w:ascii="宋体" w:hAnsi="Times New Roman" w:eastAsia="宋体" w:cs="Times New Roman"/>
      <w:kern w:val="0"/>
      <w:szCs w:val="21"/>
    </w:rPr>
  </w:style>
  <w:style w:type="paragraph" w:customStyle="1" w:styleId="17">
    <w:name w:val="二级条标题"/>
    <w:basedOn w:val="1"/>
    <w:next w:val="14"/>
    <w:qFormat/>
    <w:uiPriority w:val="0"/>
    <w:pPr>
      <w:widowControl/>
      <w:spacing w:beforeLines="50" w:afterLines="50"/>
      <w:jc w:val="left"/>
      <w:outlineLvl w:val="3"/>
    </w:pPr>
    <w:rPr>
      <w:rFonts w:ascii="黑体" w:hAnsi="Times New Roman" w:eastAsia="黑体" w:cs="Times New Roman"/>
      <w:kern w:val="0"/>
      <w:szCs w:val="21"/>
    </w:rPr>
  </w:style>
  <w:style w:type="character" w:customStyle="1" w:styleId="18">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1D4E-1C06-432D-AB52-244C577BFDD7}">
  <ds:schemaRefs/>
</ds:datastoreItem>
</file>

<file path=docProps/app.xml><?xml version="1.0" encoding="utf-8"?>
<Properties xmlns="http://schemas.openxmlformats.org/officeDocument/2006/extended-properties" xmlns:vt="http://schemas.openxmlformats.org/officeDocument/2006/docPropsVTypes">
  <Template>Normal</Template>
  <Pages>9</Pages>
  <Words>684</Words>
  <Characters>3905</Characters>
  <Lines>32</Lines>
  <Paragraphs>9</Paragraphs>
  <TotalTime>1</TotalTime>
  <ScaleCrop>false</ScaleCrop>
  <LinksUpToDate>false</LinksUpToDate>
  <CharactersWithSpaces>4580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2023-07-10T00:50:00Z</dcterms:created>
  <dc:creator>user</dc:creator>
  <cp:lastModifiedBy>小野不是妹子</cp:lastModifiedBy>
  <cp:lastPrinted>2022-04-20T09:40:00Z</cp:lastPrinted>
  <dcterms:modified xsi:type="dcterms:W3CDTF">2023-07-25T10:30:00Z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F7C41E8A50794DA4B6BEEC4C779FB924</vt:lpwstr>
  </property>
</Properties>
</file>