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4</w:t>
      </w:r>
    </w:p>
    <w:p>
      <w:pPr>
        <w:pStyle w:val="22"/>
        <w:spacing w:line="340" w:lineRule="exact"/>
        <w:rPr>
          <w:rFonts w:ascii="Times New Roman"/>
        </w:rPr>
      </w:pPr>
    </w:p>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bookmarkStart w:id="17" w:name="_GoBack"/>
      <w:bookmarkEnd w:id="17"/>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薄板坯连铸连轧无头轧制酸洗钢板及钢带</w:t>
      </w:r>
    </w:p>
    <w:p>
      <w:pPr>
        <w:pStyle w:val="70"/>
        <w:framePr w:wrap="around" w:x="1381" w:y="6406"/>
      </w:pPr>
      <w:r>
        <w:t>Technical specification for green-design product assessment—</w:t>
      </w:r>
    </w:p>
    <w:p>
      <w:pPr>
        <w:pStyle w:val="70"/>
        <w:framePr w:wrap="around" w:x="1381" w:y="6406"/>
      </w:pPr>
      <w:r>
        <w:t xml:space="preserve">Thin slab continuous casting and rolling endless rolling </w:t>
      </w:r>
      <w:r>
        <w:rPr>
          <w:rFonts w:hint="eastAsia"/>
        </w:rPr>
        <w:t xml:space="preserve">pickled </w:t>
      </w:r>
      <w:r>
        <w:t>steel sheet and strip</w:t>
      </w:r>
    </w:p>
    <w:p>
      <w:pPr>
        <w:pStyle w:val="92"/>
        <w:framePr w:wrap="around" w:vAnchor="page" w:hAnchor="page" w:x="7061" w:y="14188"/>
        <w:rPr>
          <w:rFonts w:eastAsia="宋体"/>
        </w:rPr>
      </w:pPr>
      <w:r>
        <w:rPr>
          <w:rFonts w:eastAsia="宋体"/>
        </w:rPr>
        <w:t>2023-XX-XX实施</w:t>
      </w:r>
    </w:p>
    <w:p>
      <w:pPr>
        <w:pStyle w:val="70"/>
        <w:framePr w:h="4131" w:hRule="exact" w:wrap="around" w:x="1401" w:y="8681"/>
      </w:pPr>
      <w:r>
        <w:cr/>
      </w:r>
    </w:p>
    <w:p>
      <w:pPr>
        <w:jc w:val="center"/>
        <w:rPr>
          <w:spacing w:val="20"/>
          <w:sz w:val="28"/>
          <w:szCs w:val="28"/>
        </w:rPr>
      </w:pPr>
    </w:p>
    <w:p>
      <w:pPr>
        <w:jc w:val="center"/>
        <w:rPr>
          <w:spacing w:val="20"/>
          <w:sz w:val="28"/>
          <w:szCs w:val="28"/>
        </w:rPr>
      </w:pPr>
    </w:p>
    <w:p>
      <w:pPr>
        <w:pStyle w:val="113"/>
        <w:framePr w:wrap="around" w:vAnchor="page" w:hAnchor="page" w:x="1291" w:y="14225"/>
        <w:rPr>
          <w:rFonts w:eastAsia="宋体"/>
        </w:rPr>
      </w:pPr>
      <w:r>
        <w:rPr>
          <w:rFonts w:eastAsia="宋体"/>
        </w:rPr>
        <w:t>20</w:t>
      </w:r>
      <w:bookmarkStart w:id="0" w:name="FM"/>
      <w:r>
        <w:rPr>
          <w:rFonts w:eastAsia="宋体"/>
        </w:rPr>
        <w:t>23-</w:t>
      </w:r>
      <w:bookmarkEnd w:id="0"/>
      <w:r>
        <w:rPr>
          <w:rFonts w:eastAsia="宋体"/>
        </w:rPr>
        <w:t>XX-XX发布</w:t>
      </w:r>
    </w:p>
    <w:p>
      <w:pPr>
        <w:pStyle w:val="110"/>
        <w:framePr w:w="10883" w:h="1489" w:hRule="exact" w:wrap="around" w:x="339" w:y="14998"/>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39" w:y="14998"/>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39" w:y="14998"/>
        <w:ind w:left="1480" w:hanging="640"/>
        <w:rPr>
          <w:rFonts w:ascii="Times New Roman" w:eastAsia="宋体"/>
        </w:rPr>
      </w:pPr>
      <w:r>
        <w:rPr>
          <w:rFonts w:ascii="Times New Roman" w:eastAsia="宋体"/>
          <w:sz w:val="32"/>
          <w:szCs w:val="32"/>
        </w:rPr>
        <w:t>产业技术创新联盟</w: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5749925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5pt;margin-top:452.75pt;height:0pt;width:489.75pt;z-index:251660288;mso-width-relative:page;mso-height-relative:page;" filled="f" stroked="t" coordsize="21600,21600" o:gfxdata="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2XqT9gAAAALAQAADwAAAAAAAAAB&#10;ACAAAAAiAAAAZHJzL2Rvd25yZXYueG1sUEsBAhQAFAAAAAgAh07iQLfaYibXAQAAmgMAAA4AAAAA&#10;AAAAAQAgAAAAJwEAAGRycy9lMm9Eb2MueG1sUEsFBgAAAAAGAAYAWQEAAHAFAAAAAA==&#10;">
                <v:fill on="f" focussize="0,0"/>
                <v:stroke color="#000000 [3213]" joinstyle="round"/>
                <v:imagedata o:title=""/>
                <o:lock v:ext="edit" aspectratio="f"/>
              </v:line>
            </w:pict>
          </mc:Fallback>
        </mc:AlternateContent>
      </w:r>
    </w:p>
    <w:p>
      <w:pPr>
        <w:pStyle w:val="90"/>
        <w:rPr>
          <w:rFonts w:ascii="Times New Roman"/>
        </w:rPr>
      </w:pPr>
      <w:bookmarkStart w:id="1" w:name="_Toc534127476"/>
      <w:bookmarkStart w:id="2" w:name="_Toc1337"/>
      <w:bookmarkStart w:id="3" w:name="_Toc40476791"/>
      <w:bookmarkStart w:id="4" w:name="_Toc26452183"/>
      <w:bookmarkStart w:id="5" w:name="_Toc951"/>
      <w:bookmarkStart w:id="6" w:name="_Toc40475545"/>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pPr>
      <w:r>
        <w:rPr>
          <w:rFonts w:hint="eastAsia" w:ascii="Times New Roman"/>
        </w:rPr>
        <w:t>绿色设计产品评价技术规范 薄板坯连铸连轧无头轧制酸洗冷成形钢板及钢带</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薄板坯连铸连轧无头轧制酸洗冷成形钢板及钢带</w:t>
      </w:r>
      <w:r>
        <w:rPr>
          <w:rFonts w:ascii="Times New Roman"/>
        </w:rPr>
        <w:t>绿色设计产品评价的术语和定义、评价原则和方法、评价要求、生命周期评价报告编制方法。</w:t>
      </w:r>
    </w:p>
    <w:p>
      <w:pPr>
        <w:pStyle w:val="22"/>
        <w:rPr>
          <w:rFonts w:ascii="Times New Roman"/>
        </w:rPr>
      </w:pPr>
      <w:r>
        <w:rPr>
          <w:rFonts w:hint="eastAsia" w:ascii="Times New Roman"/>
        </w:rPr>
        <w:t>本文件适用于采用电炉炼钢、薄板坯连铸连轧无头轧制工艺生产厚度为0.</w:t>
      </w:r>
      <w:r>
        <w:rPr>
          <w:rFonts w:ascii="Times New Roman"/>
        </w:rPr>
        <w:t>8</w:t>
      </w:r>
      <w:r>
        <w:rPr>
          <w:rFonts w:hint="eastAsia" w:ascii="Times New Roman"/>
        </w:rPr>
        <w:t>mm~</w:t>
      </w:r>
      <w:r>
        <w:rPr>
          <w:rFonts w:ascii="Times New Roman"/>
        </w:rPr>
        <w:t>6</w:t>
      </w:r>
      <w:r>
        <w:rPr>
          <w:rFonts w:hint="eastAsia" w:ascii="Times New Roman"/>
        </w:rPr>
        <w:t>.0mm、宽度为900mm~1</w:t>
      </w:r>
      <w:r>
        <w:rPr>
          <w:rFonts w:ascii="Times New Roman"/>
        </w:rPr>
        <w:t>6</w:t>
      </w:r>
      <w:r>
        <w:rPr>
          <w:rFonts w:hint="eastAsia" w:ascii="Times New Roman"/>
        </w:rPr>
        <w:t>00mm的酸洗冷成形钢板及钢带产品的绿色设计产品评价。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hint="eastAsia" w:ascii="Times New Roman"/>
        </w:rPr>
        <w:t>GB/T 228.1</w:t>
      </w:r>
      <w:r>
        <w:rPr>
          <w:rFonts w:ascii="Times New Roman"/>
        </w:rPr>
        <w:t xml:space="preserve"> </w:t>
      </w:r>
      <w:r>
        <w:rPr>
          <w:rFonts w:hint="eastAsia" w:ascii="Times New Roman"/>
        </w:rPr>
        <w:t>金属材料 拉伸试验 第1部分:室温试验方法</w:t>
      </w:r>
    </w:p>
    <w:p>
      <w:pPr>
        <w:pStyle w:val="22"/>
        <w:rPr>
          <w:rFonts w:ascii="Times New Roman"/>
        </w:rPr>
      </w:pPr>
      <w:r>
        <w:rPr>
          <w:rFonts w:hint="eastAsia" w:ascii="Times New Roman"/>
        </w:rPr>
        <w:t>GB/T 232</w:t>
      </w:r>
      <w:r>
        <w:rPr>
          <w:rFonts w:ascii="Times New Roman"/>
        </w:rPr>
        <w:t xml:space="preserve">  </w:t>
      </w:r>
      <w:r>
        <w:rPr>
          <w:rFonts w:hint="eastAsia" w:ascii="Times New Roman"/>
        </w:rPr>
        <w:t>金属材料 弯曲试验方法</w:t>
      </w:r>
    </w:p>
    <w:p>
      <w:pPr>
        <w:pStyle w:val="22"/>
        <w:rPr>
          <w:rFonts w:hint="eastAsia" w:ascii="Times New Roman"/>
        </w:rPr>
      </w:pPr>
      <w:r>
        <w:rPr>
          <w:rFonts w:ascii="Times New Roman"/>
        </w:rPr>
        <w:t xml:space="preserve">GB/T 4223  </w:t>
      </w:r>
      <w:r>
        <w:rPr>
          <w:rFonts w:hint="eastAsia" w:ascii="Times New Roman"/>
        </w:rPr>
        <w:t>废钢铁</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hint="eastAsia" w:ascii="Times New Roman"/>
        </w:rPr>
        <w:t>GB/T 18916.2  取水定额 第2部分：钢铁联合企业</w:t>
      </w:r>
    </w:p>
    <w:p>
      <w:pPr>
        <w:pStyle w:val="22"/>
        <w:rPr>
          <w:rFonts w:ascii="Times New Roman"/>
        </w:rPr>
      </w:pPr>
      <w:r>
        <w:rPr>
          <w:rFonts w:ascii="Times New Roman"/>
        </w:rPr>
        <w:t xml:space="preserve">GB/T 19001 </w:t>
      </w:r>
      <w:r>
        <w:rPr>
          <w:rFonts w:hint="eastAsia" w:ascii="Times New Roman"/>
        </w:rPr>
        <w:t xml:space="preserve"> </w:t>
      </w:r>
      <w:r>
        <w:rPr>
          <w:rFonts w:ascii="Times New Roman"/>
        </w:rPr>
        <w:t>质量管理体系要求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环境管理体系要求及使用指南</w:t>
      </w:r>
    </w:p>
    <w:p>
      <w:pPr>
        <w:pStyle w:val="22"/>
        <w:rPr>
          <w:rFonts w:ascii="Times New Roman"/>
        </w:rPr>
      </w:pPr>
      <w:r>
        <w:rPr>
          <w:rFonts w:ascii="Times New Roman"/>
        </w:rPr>
        <w:t>GB/T 24040</w:t>
      </w:r>
      <w:r>
        <w:rPr>
          <w:rFonts w:hint="eastAsia" w:ascii="Times New Roman"/>
        </w:rPr>
        <w:t xml:space="preserve"> </w:t>
      </w:r>
      <w:r>
        <w:rPr>
          <w:rFonts w:ascii="Times New Roman"/>
        </w:rPr>
        <w:t xml:space="preserve"> 环境管理生命周期评价原则与框架</w:t>
      </w:r>
    </w:p>
    <w:p>
      <w:pPr>
        <w:pStyle w:val="22"/>
        <w:rPr>
          <w:rFonts w:ascii="Times New Roman"/>
        </w:rPr>
      </w:pPr>
      <w:r>
        <w:rPr>
          <w:rFonts w:ascii="Times New Roman"/>
        </w:rPr>
        <w:t xml:space="preserve">GB/T 24044 </w:t>
      </w:r>
      <w:r>
        <w:rPr>
          <w:rFonts w:hint="eastAsia" w:ascii="Times New Roman"/>
        </w:rPr>
        <w:t xml:space="preserve"> </w:t>
      </w:r>
      <w:r>
        <w:rPr>
          <w:rFonts w:ascii="Times New Roman"/>
        </w:rPr>
        <w:t>环境管理生命周期评价要求与指南</w:t>
      </w:r>
    </w:p>
    <w:p>
      <w:pPr>
        <w:pStyle w:val="22"/>
        <w:rPr>
          <w:rFonts w:ascii="Times New Roman"/>
        </w:rPr>
      </w:pPr>
      <w:r>
        <w:rPr>
          <w:rFonts w:ascii="Times New Roman"/>
        </w:rPr>
        <w:t>GB/T 30052</w:t>
      </w:r>
      <w:r>
        <w:rPr>
          <w:rFonts w:hint="eastAsia" w:ascii="Times New Roman"/>
        </w:rPr>
        <w:t>-2013</w:t>
      </w:r>
      <w:r>
        <w:rPr>
          <w:rFonts w:ascii="Times New Roman"/>
        </w:rPr>
        <w:t xml:space="preserve"> </w:t>
      </w:r>
      <w:r>
        <w:rPr>
          <w:rFonts w:hint="eastAsia" w:ascii="Times New Roman"/>
        </w:rPr>
        <w:t xml:space="preserve"> </w:t>
      </w:r>
      <w:r>
        <w:rPr>
          <w:rFonts w:ascii="Times New Roman"/>
        </w:rPr>
        <w:t>钢铁产品制造生命周期评价技术规范</w:t>
      </w:r>
    </w:p>
    <w:p>
      <w:pPr>
        <w:pStyle w:val="22"/>
        <w:rPr>
          <w:rFonts w:ascii="Times New Roman"/>
        </w:rPr>
      </w:pPr>
      <w:r>
        <w:rPr>
          <w:rFonts w:ascii="Times New Roman"/>
        </w:rPr>
        <w:t>GB/T 32161</w:t>
      </w:r>
      <w:r>
        <w:rPr>
          <w:rFonts w:hint="eastAsia" w:ascii="Times New Roman"/>
        </w:rPr>
        <w:t>-2015</w:t>
      </w:r>
      <w:r>
        <w:rPr>
          <w:rFonts w:ascii="Times New Roman"/>
        </w:rPr>
        <w:t xml:space="preserve"> </w:t>
      </w:r>
      <w:r>
        <w:rPr>
          <w:rFonts w:hint="eastAsia" w:ascii="Times New Roman"/>
        </w:rPr>
        <w:t xml:space="preserve">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职业健康安全管理体系要求及使用指南</w:t>
      </w:r>
    </w:p>
    <w:p>
      <w:pPr>
        <w:pStyle w:val="22"/>
        <w:rPr>
          <w:rFonts w:ascii="Times New Roman"/>
        </w:rPr>
      </w:pPr>
      <w:r>
        <w:rPr>
          <w:rFonts w:ascii="Times New Roman"/>
        </w:rPr>
        <w:t>T/SSEA 0055-2020</w:t>
      </w:r>
      <w:r>
        <w:rPr>
          <w:rFonts w:hint="eastAsia" w:ascii="Times New Roman"/>
        </w:rPr>
        <w:t xml:space="preserve">  电气柜用热轧薄钢板及钢带</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rPr>
          <w:rFonts w:ascii="Times New Roman"/>
          <w:szCs w:val="22"/>
        </w:rPr>
      </w:pPr>
    </w:p>
    <w:p>
      <w:pPr>
        <w:pStyle w:val="22"/>
        <w:rPr>
          <w:rFonts w:ascii="Times New Roman"/>
        </w:rPr>
      </w:pPr>
      <w:r>
        <w:rPr>
          <w:rFonts w:ascii="Times New Roman"/>
        </w:rPr>
        <w:t>产品制造生命周期  life cycle of steel products manufacture</w:t>
      </w:r>
    </w:p>
    <w:p>
      <w:pPr>
        <w:pStyle w:val="22"/>
        <w:rPr>
          <w:rFonts w:ascii="Times New Roman"/>
        </w:rPr>
      </w:pPr>
      <w:r>
        <w:rPr>
          <w:rFonts w:ascii="Times New Roman"/>
        </w:rPr>
        <w:t>从</w:t>
      </w:r>
      <w:r>
        <w:rPr>
          <w:rFonts w:hint="eastAsia" w:ascii="Times New Roman"/>
        </w:rPr>
        <w:t>铁合金、溶剂</w:t>
      </w:r>
      <w:r>
        <w:rPr>
          <w:rFonts w:ascii="Times New Roman"/>
        </w:rPr>
        <w:t>等原料开采开始</w:t>
      </w:r>
      <w:r>
        <w:rPr>
          <w:rFonts w:hint="eastAsia" w:ascii="Times New Roman"/>
        </w:rPr>
        <w:t>以及废钢的回收及运输，</w:t>
      </w:r>
      <w:r>
        <w:rPr>
          <w:rFonts w:ascii="Times New Roman"/>
        </w:rPr>
        <w:t>经过炼钢、轧钢等制造工序，形成钢铁产品的过程，即“从摇篮到大门（from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rPr>
          <w:rFonts w:ascii="Times New Roman"/>
          <w:szCs w:val="22"/>
        </w:rPr>
      </w:pPr>
    </w:p>
    <w:p>
      <w:pPr>
        <w:pStyle w:val="22"/>
        <w:rPr>
          <w:rFonts w:ascii="Times New Roman"/>
        </w:rPr>
      </w:pPr>
      <w:r>
        <w:rPr>
          <w:rFonts w:ascii="Times New Roman"/>
        </w:rPr>
        <w:t>绿色设计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rPr>
          <w:rFonts w:ascii="Times New Roman"/>
          <w:szCs w:val="22"/>
        </w:rPr>
      </w:pPr>
    </w:p>
    <w:p>
      <w:pPr>
        <w:pStyle w:val="22"/>
        <w:rPr>
          <w:rFonts w:ascii="Times New Roman"/>
        </w:rPr>
      </w:pPr>
      <w:r>
        <w:rPr>
          <w:rFonts w:ascii="Times New Roman"/>
        </w:rPr>
        <w:t>绿色设计产品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rPr>
          <w:rFonts w:ascii="Times New Roman"/>
          <w:szCs w:val="22"/>
        </w:rPr>
      </w:pPr>
    </w:p>
    <w:p>
      <w:pPr>
        <w:pStyle w:val="22"/>
        <w:rPr>
          <w:rFonts w:ascii="Times New Roman"/>
        </w:rPr>
      </w:pPr>
      <w:r>
        <w:rPr>
          <w:rFonts w:ascii="Times New Roman"/>
        </w:rPr>
        <w:t>生命周期评价报告 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22"/>
        <w:rPr>
          <w:rFonts w:ascii="Times New Roman"/>
        </w:rPr>
      </w:pPr>
      <w:r>
        <w:rPr>
          <w:rFonts w:ascii="Times New Roman"/>
        </w:rPr>
        <w:t>[来源：GB/T 32161-2015，3.3，有修改]</w:t>
      </w:r>
    </w:p>
    <w:p>
      <w:pPr>
        <w:pStyle w:val="52"/>
        <w:rPr>
          <w:rFonts w:ascii="Times New Roman"/>
          <w:szCs w:val="22"/>
        </w:rPr>
      </w:pPr>
      <w:r>
        <w:rPr>
          <w:rFonts w:ascii="Times New Roman"/>
          <w:szCs w:val="22"/>
        </w:rPr>
        <w:t>评价原则和方法</w:t>
      </w:r>
    </w:p>
    <w:p>
      <w:pPr>
        <w:pStyle w:val="54"/>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rPr>
        <w:t>薄板坯连铸连轧无头轧制酸洗冷成形钢板及钢带</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薄板坯连铸连轧无头轧制酸洗冷成形钢板及钢带</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薄板坯连铸连轧无头轧制酸洗冷成形钢板及钢带</w:t>
      </w:r>
      <w:r>
        <w:rPr>
          <w:rFonts w:ascii="Times New Roman"/>
        </w:rPr>
        <w:t>产品生命周期评价报告（见6.2）。</w:t>
      </w:r>
    </w:p>
    <w:p>
      <w:pPr>
        <w:pStyle w:val="52"/>
        <w:rPr>
          <w:rFonts w:ascii="Times New Roman"/>
          <w:szCs w:val="22"/>
        </w:rPr>
      </w:pPr>
      <w:r>
        <w:rPr>
          <w:rFonts w:ascii="Times New Roman"/>
          <w:szCs w:val="22"/>
        </w:rPr>
        <w:t>评价要求</w:t>
      </w:r>
    </w:p>
    <w:p>
      <w:pPr>
        <w:pStyle w:val="54"/>
        <w:rPr>
          <w:rFonts w:ascii="Times New Roman"/>
          <w:szCs w:val="22"/>
        </w:rPr>
      </w:pPr>
      <w:r>
        <w:rPr>
          <w:rFonts w:ascii="Times New Roman"/>
          <w:szCs w:val="22"/>
        </w:rPr>
        <w:t>基本要求</w:t>
      </w:r>
    </w:p>
    <w:p>
      <w:pPr>
        <w:pStyle w:val="22"/>
        <w:rPr>
          <w:rFonts w:ascii="Times New Roman"/>
        </w:rPr>
      </w:pPr>
      <w:r>
        <w:rPr>
          <w:rFonts w:hint="eastAsia" w:ascii="Times New Roman"/>
        </w:rPr>
        <w:t>薄板坯连铸连轧无头轧制酸洗冷成形钢板及钢带</w:t>
      </w:r>
      <w:r>
        <w:rPr>
          <w:rFonts w:ascii="Times New Roman"/>
        </w:rPr>
        <w:t>生产企业应满足以下要求，包括但不限于：</w:t>
      </w:r>
    </w:p>
    <w:p>
      <w:pPr>
        <w:pStyle w:val="22"/>
        <w:numPr>
          <w:ilvl w:val="0"/>
          <w:numId w:val="18"/>
        </w:numPr>
        <w:rPr>
          <w:rFonts w:ascii="Times New Roman"/>
        </w:rPr>
      </w:pPr>
      <w:r>
        <w:rPr>
          <w:rFonts w:ascii="Times New Roman"/>
        </w:rPr>
        <w:t>应符合安全生产规范，生产企业三年内（投产不足三年的，自投产之日起）无重大安全和环境污染事故；</w:t>
      </w:r>
    </w:p>
    <w:p>
      <w:pPr>
        <w:pStyle w:val="22"/>
        <w:numPr>
          <w:ilvl w:val="0"/>
          <w:numId w:val="18"/>
        </w:numPr>
        <w:rPr>
          <w:rFonts w:ascii="Times New Roman"/>
        </w:rPr>
      </w:pP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pStyle w:val="22"/>
        <w:numPr>
          <w:ilvl w:val="0"/>
          <w:numId w:val="18"/>
        </w:numPr>
        <w:rPr>
          <w:rFonts w:ascii="Times New Roman"/>
        </w:rPr>
      </w:pPr>
      <w:r>
        <w:rPr>
          <w:rFonts w:hint="eastAsia" w:ascii="Times New Roman"/>
        </w:rPr>
        <w:t>应确保参与绿色设计产品评价的产品基本性能符合国家有关规定，并满足用户设计和使用的要求；</w:t>
      </w:r>
    </w:p>
    <w:p>
      <w:pPr>
        <w:pStyle w:val="22"/>
        <w:numPr>
          <w:ilvl w:val="0"/>
          <w:numId w:val="18"/>
        </w:numPr>
        <w:rPr>
          <w:rFonts w:ascii="Times New Roman"/>
        </w:rPr>
      </w:pP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ascii="Times New Roman"/>
        </w:rPr>
        <w:t>应按照GB 17167配备能源计量器具，并根据环保法律法规和标准要求配备污染物监测和在线监测设备</w:t>
      </w:r>
      <w:r>
        <w:rPr>
          <w:rFonts w:hint="eastAsia" w:ascii="Times New Roman"/>
        </w:rPr>
        <w:t>。</w:t>
      </w:r>
    </w:p>
    <w:p>
      <w:pPr>
        <w:pStyle w:val="54"/>
        <w:rPr>
          <w:rFonts w:ascii="Times New Roman"/>
          <w:szCs w:val="22"/>
        </w:rPr>
      </w:pPr>
      <w:r>
        <w:rPr>
          <w:rFonts w:ascii="Times New Roman"/>
          <w:szCs w:val="22"/>
        </w:rPr>
        <w:t>评价指标要求</w:t>
      </w:r>
    </w:p>
    <w:p>
      <w:pPr>
        <w:pStyle w:val="22"/>
        <w:rPr>
          <w:rFonts w:ascii="Times New Roman"/>
        </w:rPr>
      </w:pPr>
      <w:r>
        <w:rPr>
          <w:rFonts w:hint="eastAsia" w:ascii="Times New Roman"/>
        </w:rPr>
        <w:t>薄板坯连铸连轧无头轧制酸洗冷成形钢板及钢带</w:t>
      </w:r>
      <w:r>
        <w:rPr>
          <w:rFonts w:ascii="Times New Roman"/>
        </w:rPr>
        <w:t>的评价指标由一级指标和二级指标组成，其中一级指标包括资源属性指标、能源属性指标、环境属性指标</w:t>
      </w:r>
      <w:r>
        <w:rPr>
          <w:rFonts w:hint="eastAsia" w:ascii="Times New Roman"/>
        </w:rPr>
        <w:t>和</w:t>
      </w:r>
      <w:r>
        <w:rPr>
          <w:rFonts w:ascii="Times New Roman"/>
        </w:rPr>
        <w:t>产品属性指标。</w:t>
      </w:r>
    </w:p>
    <w:p>
      <w:pPr>
        <w:pStyle w:val="22"/>
        <w:rPr>
          <w:rFonts w:ascii="Times New Roman"/>
        </w:rPr>
      </w:pPr>
      <w:r>
        <w:rPr>
          <w:rFonts w:hint="eastAsia" w:ascii="Times New Roman"/>
        </w:rPr>
        <w:t>薄板坯连铸连轧无头轧制酸洗冷成形钢板及钢带</w:t>
      </w:r>
      <w:r>
        <w:rPr>
          <w:rFonts w:ascii="Times New Roman"/>
        </w:rPr>
        <w:t>的评价指标名称、基准值、判定依据</w:t>
      </w:r>
      <w:r>
        <w:rPr>
          <w:rFonts w:hint="eastAsia" w:ascii="Times New Roman"/>
        </w:rPr>
        <w:t>和确认条件</w:t>
      </w:r>
      <w:r>
        <w:rPr>
          <w:rFonts w:ascii="Times New Roman"/>
        </w:rPr>
        <w:t>等要求见表1。</w:t>
      </w:r>
    </w:p>
    <w:p>
      <w:pPr>
        <w:pStyle w:val="30"/>
        <w:widowControl/>
        <w:tabs>
          <w:tab w:val="center" w:pos="4201"/>
          <w:tab w:val="right" w:leader="dot" w:pos="9298"/>
        </w:tabs>
        <w:autoSpaceDE w:val="0"/>
        <w:autoSpaceDN w:val="0"/>
        <w:ind w:firstLine="360" w:firstLineChars="200"/>
        <w:jc w:val="center"/>
        <w:rPr>
          <w:rFonts w:eastAsia="黑体"/>
          <w:sz w:val="18"/>
          <w:szCs w:val="18"/>
        </w:rPr>
      </w:pPr>
      <w:r>
        <w:rPr>
          <w:rFonts w:eastAsia="黑体"/>
          <w:kern w:val="0"/>
          <w:sz w:val="18"/>
          <w:szCs w:val="18"/>
          <w:lang w:bidi="ar"/>
        </w:rPr>
        <w:t>表1</w:t>
      </w:r>
      <w:r>
        <w:rPr>
          <w:rFonts w:hint="eastAsia" w:eastAsia="黑体"/>
          <w:kern w:val="0"/>
          <w:sz w:val="18"/>
          <w:szCs w:val="18"/>
          <w:lang w:bidi="ar"/>
        </w:rPr>
        <w:t xml:space="preserve"> </w:t>
      </w:r>
      <w:r>
        <w:rPr>
          <w:rFonts w:eastAsia="黑体"/>
          <w:kern w:val="0"/>
          <w:sz w:val="18"/>
          <w:szCs w:val="18"/>
          <w:lang w:bidi="ar"/>
        </w:rPr>
        <w:t xml:space="preserve"> </w:t>
      </w:r>
      <w:r>
        <w:rPr>
          <w:rFonts w:hint="eastAsia" w:eastAsia="黑体"/>
          <w:kern w:val="0"/>
          <w:sz w:val="18"/>
          <w:szCs w:val="18"/>
          <w:lang w:bidi="ar"/>
        </w:rPr>
        <w:t>薄板坯连铸连轧无头轧制酸洗冷成形钢板及钢带</w:t>
      </w:r>
      <w:r>
        <w:rPr>
          <w:rFonts w:eastAsia="黑体"/>
          <w:kern w:val="0"/>
          <w:sz w:val="18"/>
          <w:szCs w:val="18"/>
          <w:lang w:bidi="ar"/>
        </w:rPr>
        <w:t>评价指标要求</w:t>
      </w:r>
    </w:p>
    <w:tbl>
      <w:tblPr>
        <w:tblStyle w:val="33"/>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18"/>
        <w:gridCol w:w="520"/>
        <w:gridCol w:w="1397"/>
        <w:gridCol w:w="828"/>
        <w:gridCol w:w="1336"/>
        <w:gridCol w:w="1634"/>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293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lang w:bidi="ar"/>
              </w:rPr>
              <w:t>判定</w:t>
            </w:r>
            <w:r>
              <w:rPr>
                <w:sz w:val="18"/>
                <w:szCs w:val="18"/>
                <w:lang w:bidi="ar"/>
              </w:rPr>
              <w:t>依据和确认条件</w:t>
            </w: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资源属性</w:t>
            </w:r>
          </w:p>
        </w:tc>
        <w:tc>
          <w:tcPr>
            <w:tcW w:w="1018"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原材料质量要求</w:t>
            </w:r>
          </w:p>
        </w:tc>
        <w:tc>
          <w:tcPr>
            <w:tcW w:w="1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废钢</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符合《</w:t>
            </w:r>
            <w:r>
              <w:rPr>
                <w:rFonts w:hint="eastAsia"/>
                <w:sz w:val="18"/>
                <w:szCs w:val="18"/>
              </w:rPr>
              <w:t>废钢铁</w:t>
            </w:r>
            <w:r>
              <w:rPr>
                <w:sz w:val="18"/>
                <w:szCs w:val="18"/>
              </w:rPr>
              <w:t>》（</w:t>
            </w:r>
            <w:bookmarkStart w:id="16" w:name="_Hlk117625391"/>
            <w:r>
              <w:rPr>
                <w:sz w:val="18"/>
                <w:szCs w:val="18"/>
              </w:rPr>
              <w:t xml:space="preserve">GB/T </w:t>
            </w:r>
            <w:bookmarkEnd w:id="16"/>
            <w:r>
              <w:rPr>
                <w:sz w:val="18"/>
                <w:szCs w:val="18"/>
              </w:rPr>
              <w:t>4223）标准要求</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提供采购合同、采购原料清单及证明材料</w:t>
            </w:r>
          </w:p>
        </w:tc>
        <w:tc>
          <w:tcPr>
            <w:tcW w:w="835" w:type="dxa"/>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水资源</w:t>
            </w:r>
          </w:p>
        </w:tc>
        <w:tc>
          <w:tcPr>
            <w:tcW w:w="1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电炉</w:t>
            </w:r>
            <w:r>
              <w:rPr>
                <w:sz w:val="18"/>
                <w:szCs w:val="18"/>
                <w:lang w:bidi="ar"/>
              </w:rPr>
              <w:t>生产工艺单位产品取水量</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rPr>
            </w:pPr>
            <w:r>
              <w:rPr>
                <w:sz w:val="18"/>
                <w:szCs w:val="18"/>
                <w:lang w:bidi="ar"/>
              </w:rPr>
              <w:t>≤</w:t>
            </w:r>
            <w:r>
              <w:rPr>
                <w:rFonts w:hint="eastAsia"/>
                <w:sz w:val="18"/>
                <w:szCs w:val="18"/>
                <w:lang w:bidi="ar"/>
              </w:rPr>
              <w:t>1</w:t>
            </w:r>
            <w:r>
              <w:rPr>
                <w:sz w:val="18"/>
                <w:szCs w:val="18"/>
                <w:lang w:bidi="ar"/>
              </w:rPr>
              <w:t>.7</w:t>
            </w:r>
            <w:r>
              <w:rPr>
                <w:rFonts w:hint="eastAsia"/>
                <w:sz w:val="18"/>
                <w:szCs w:val="18"/>
                <w:lang w:bidi="ar"/>
              </w:rPr>
              <w:t>4</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按照GB/T 18916.2计算并提供数据</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水重复利用率</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eastAsia="宋体"/>
                <w:sz w:val="18"/>
                <w:szCs w:val="18"/>
                <w:lang w:val="en-US" w:eastAsia="zh-CN"/>
              </w:rPr>
            </w:pPr>
            <w:r>
              <w:rPr>
                <w:sz w:val="18"/>
                <w:szCs w:val="18"/>
                <w:lang w:bidi="ar"/>
              </w:rPr>
              <w:t>≥9</w:t>
            </w:r>
            <w:r>
              <w:rPr>
                <w:rFonts w:hint="eastAsia"/>
                <w:sz w:val="18"/>
                <w:szCs w:val="18"/>
                <w:lang w:val="en-US" w:eastAsia="zh-CN" w:bidi="ar"/>
              </w:rPr>
              <w:t>6</w:t>
            </w:r>
          </w:p>
        </w:tc>
        <w:tc>
          <w:tcPr>
            <w:tcW w:w="1634" w:type="dxa"/>
            <w:tcBorders>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jc w:val="center"/>
              <w:rPr>
                <w:sz w:val="18"/>
                <w:szCs w:val="18"/>
              </w:rPr>
            </w:pPr>
            <w:r>
              <w:rPr>
                <w:sz w:val="18"/>
                <w:szCs w:val="18"/>
              </w:rPr>
              <w:t>按照《钢铁行业清洁生产评价指标体系》要求，并提供基础数据</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能源属性</w:t>
            </w:r>
          </w:p>
        </w:tc>
        <w:tc>
          <w:tcPr>
            <w:tcW w:w="1018"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单位产品能耗指标</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sz w:val="18"/>
                <w:szCs w:val="18"/>
                <w:lang w:bidi="ar"/>
              </w:rPr>
              <w:t>电炉</w:t>
            </w:r>
            <w:r>
              <w:rPr>
                <w:sz w:val="18"/>
                <w:szCs w:val="18"/>
                <w:lang w:bidi="ar"/>
              </w:rPr>
              <w:t>工序</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≤64</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rPr>
              <w:t>按照《钢铁行业（炼钢）清洁生产评价指标体系》标准，并提供基础数据</w:t>
            </w:r>
          </w:p>
          <w:p>
            <w:pPr>
              <w:jc w:val="center"/>
              <w:rPr>
                <w:sz w:val="18"/>
                <w:szCs w:val="18"/>
              </w:rPr>
            </w:pPr>
          </w:p>
        </w:tc>
        <w:tc>
          <w:tcPr>
            <w:tcW w:w="835"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top w:val="single" w:color="auto" w:sz="4" w:space="0"/>
              <w:left w:val="single" w:color="auto" w:sz="4" w:space="0"/>
              <w:right w:val="single" w:color="auto" w:sz="4" w:space="0"/>
            </w:tcBorders>
            <w:shd w:val="clear" w:color="auto" w:fill="auto"/>
            <w:vAlign w:val="center"/>
          </w:tcPr>
          <w:p>
            <w:pPr>
              <w:jc w:val="center"/>
              <w:rPr>
                <w:sz w:val="18"/>
                <w:szCs w:val="18"/>
                <w:lang w:bidi="ar"/>
              </w:rPr>
            </w:pPr>
          </w:p>
        </w:tc>
        <w:tc>
          <w:tcPr>
            <w:tcW w:w="1018" w:type="dxa"/>
            <w:vMerge w:val="continue"/>
            <w:tcBorders>
              <w:top w:val="single" w:color="auto" w:sz="4" w:space="0"/>
              <w:left w:val="single" w:color="auto" w:sz="4" w:space="0"/>
              <w:right w:val="single" w:color="auto" w:sz="4" w:space="0"/>
            </w:tcBorders>
            <w:shd w:val="clear" w:color="auto" w:fill="auto"/>
            <w:vAlign w:val="center"/>
          </w:tcPr>
          <w:p>
            <w:pPr>
              <w:jc w:val="center"/>
              <w:rPr>
                <w:sz w:val="18"/>
                <w:szCs w:val="18"/>
                <w:lang w:bidi="ar"/>
              </w:rPr>
            </w:pP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sz w:val="18"/>
                <w:szCs w:val="18"/>
                <w:lang w:bidi="ar"/>
              </w:rPr>
            </w:pPr>
            <w:r>
              <w:rPr>
                <w:sz w:val="18"/>
                <w:szCs w:val="18"/>
                <w:lang w:bidi="ar"/>
              </w:rPr>
              <w:t>铸轧工序</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lang w:bidi="ar"/>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≤30</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rPr>
              <w:t>提供基础数据</w:t>
            </w:r>
          </w:p>
        </w:tc>
        <w:tc>
          <w:tcPr>
            <w:tcW w:w="835" w:type="dxa"/>
            <w:vMerge w:val="continue"/>
            <w:tcBorders>
              <w:top w:val="single" w:color="auto" w:sz="4" w:space="0"/>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left w:val="single" w:color="auto" w:sz="4" w:space="0"/>
              <w:right w:val="single" w:color="auto" w:sz="4" w:space="0"/>
            </w:tcBorders>
            <w:shd w:val="clear" w:color="auto" w:fill="auto"/>
            <w:vAlign w:val="center"/>
          </w:tcPr>
          <w:p>
            <w:pPr>
              <w:rPr>
                <w:sz w:val="20"/>
                <w:szCs w:val="20"/>
              </w:rPr>
            </w:pPr>
          </w:p>
        </w:tc>
        <w:tc>
          <w:tcPr>
            <w:tcW w:w="1018" w:type="dxa"/>
            <w:vMerge w:val="continue"/>
            <w:tcBorders>
              <w:left w:val="single" w:color="auto" w:sz="4" w:space="0"/>
              <w:right w:val="single" w:color="auto" w:sz="4" w:space="0"/>
            </w:tcBorders>
            <w:shd w:val="clear" w:color="auto" w:fill="auto"/>
            <w:vAlign w:val="center"/>
          </w:tcPr>
          <w:p>
            <w:pPr>
              <w:rPr>
                <w:sz w:val="20"/>
                <w:szCs w:val="20"/>
              </w:rPr>
            </w:pP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kern w:val="0"/>
                <w:sz w:val="18"/>
                <w:szCs w:val="18"/>
              </w:rPr>
              <w:t>酸洗工序</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w:t>
            </w:r>
            <w:r>
              <w:rPr>
                <w:rFonts w:hint="eastAsia"/>
                <w:kern w:val="0"/>
                <w:sz w:val="18"/>
                <w:szCs w:val="18"/>
              </w:rPr>
              <w:t>1</w:t>
            </w:r>
            <w:r>
              <w:rPr>
                <w:kern w:val="0"/>
                <w:sz w:val="18"/>
                <w:szCs w:val="18"/>
              </w:rPr>
              <w:t>0</w:t>
            </w:r>
          </w:p>
        </w:tc>
        <w:tc>
          <w:tcPr>
            <w:tcW w:w="1634" w:type="dxa"/>
            <w:tcBorders>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提供基础数据</w:t>
            </w:r>
          </w:p>
        </w:tc>
        <w:tc>
          <w:tcPr>
            <w:tcW w:w="835" w:type="dxa"/>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环境属性</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生产过程中污染物排放量</w:t>
            </w:r>
          </w:p>
        </w:tc>
        <w:tc>
          <w:tcPr>
            <w:tcW w:w="1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无组织排放（颗粒物）</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车间（工序）无组织排放控制措施与浓度满足钢铁行业排污许可要求</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提供无组织排放控制措施清单：每年委托第三方检测机构报告中所涉的车间（工序）无组织监测结果</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电</w:t>
            </w:r>
            <w:r>
              <w:rPr>
                <w:sz w:val="18"/>
                <w:szCs w:val="18"/>
                <w:lang w:bidi="ar"/>
              </w:rPr>
              <w:t>炉</w:t>
            </w:r>
            <w:r>
              <w:rPr>
                <w:rFonts w:hint="eastAsia"/>
                <w:sz w:val="18"/>
                <w:szCs w:val="18"/>
                <w:lang w:bidi="ar"/>
              </w:rPr>
              <w:t>工序</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颗粒物</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kg/t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sz w:val="18"/>
                <w:szCs w:val="18"/>
              </w:rPr>
            </w:pPr>
            <w:r>
              <w:rPr>
                <w:kern w:val="0"/>
                <w:sz w:val="18"/>
                <w:szCs w:val="18"/>
              </w:rPr>
              <w:t>≤0.10</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按照《钢铁行业（炼钢）清洁生产评价指标体系》，并提供基础数据（按照一年生产周期计算平均值）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right w:val="single" w:color="auto" w:sz="4" w:space="0"/>
            </w:tcBorders>
            <w:shd w:val="clear" w:color="auto" w:fill="FFFFFF"/>
            <w:vAlign w:val="center"/>
          </w:tcPr>
          <w:p>
            <w:pPr>
              <w:jc w:val="center"/>
              <w:rPr>
                <w:sz w:val="18"/>
                <w:szCs w:val="18"/>
                <w:lang w:bidi="ar"/>
              </w:rPr>
            </w:pPr>
            <w:r>
              <w:rPr>
                <w:rFonts w:hint="eastAsia"/>
                <w:sz w:val="18"/>
                <w:szCs w:val="18"/>
                <w:lang w:bidi="ar"/>
              </w:rPr>
              <w:t>铸轧</w:t>
            </w:r>
            <w:r>
              <w:rPr>
                <w:sz w:val="18"/>
                <w:szCs w:val="18"/>
                <w:lang w:bidi="ar"/>
              </w:rPr>
              <w:t>工序</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bidi="ar"/>
              </w:rPr>
            </w:pPr>
            <w:r>
              <w:rPr>
                <w:sz w:val="18"/>
                <w:szCs w:val="18"/>
                <w:lang w:bidi="ar"/>
              </w:rPr>
              <w:t>颗粒物</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lang w:bidi="ar"/>
              </w:rPr>
            </w:pPr>
            <w:r>
              <w:rPr>
                <w:sz w:val="18"/>
                <w:szCs w:val="18"/>
                <w:lang w:bidi="ar"/>
              </w:rPr>
              <w:t>kg/t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kern w:val="0"/>
                <w:sz w:val="18"/>
                <w:szCs w:val="18"/>
              </w:rPr>
            </w:pPr>
            <w:r>
              <w:rPr>
                <w:kern w:val="0"/>
                <w:sz w:val="18"/>
                <w:szCs w:val="18"/>
              </w:rPr>
              <w:t>≤0.025</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rPr>
              <w:t>提供轧钢工序颗粒物排放量证明（按照一年生产周期计算平均值）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酸洗工序</w:t>
            </w:r>
          </w:p>
        </w:tc>
        <w:tc>
          <w:tcPr>
            <w:tcW w:w="13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H</w:t>
            </w:r>
            <w:r>
              <w:rPr>
                <w:sz w:val="18"/>
                <w:szCs w:val="18"/>
              </w:rPr>
              <w:t>C</w:t>
            </w:r>
            <w:r>
              <w:rPr>
                <w:rFonts w:hint="eastAsia"/>
                <w:sz w:val="18"/>
                <w:szCs w:val="18"/>
              </w:rPr>
              <w:t>l</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kg</w:t>
            </w:r>
            <w:r>
              <w:rPr>
                <w:sz w:val="18"/>
                <w:szCs w:val="18"/>
              </w:rPr>
              <w:t>/</w:t>
            </w:r>
            <w:r>
              <w:rPr>
                <w:rFonts w:hint="eastAsia"/>
                <w:sz w:val="18"/>
                <w:szCs w:val="18"/>
              </w:rPr>
              <w:t>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sz w:val="18"/>
                <w:szCs w:val="18"/>
              </w:rPr>
            </w:pPr>
            <w:r>
              <w:rPr>
                <w:kern w:val="0"/>
                <w:sz w:val="18"/>
                <w:szCs w:val="18"/>
              </w:rPr>
              <w:t>≤0.008</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按照《钢铁行业（</w:t>
            </w:r>
            <w:r>
              <w:rPr>
                <w:rFonts w:hint="eastAsia"/>
                <w:sz w:val="18"/>
                <w:szCs w:val="18"/>
              </w:rPr>
              <w:t>钢延压加工</w:t>
            </w:r>
            <w:r>
              <w:rPr>
                <w:sz w:val="18"/>
                <w:szCs w:val="18"/>
              </w:rPr>
              <w:t>）清洁生产评价指标体系》，并提供基础数据（按照一年生产周期计算平均值）。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产品属性</w:t>
            </w:r>
          </w:p>
        </w:tc>
        <w:tc>
          <w:tcPr>
            <w:tcW w:w="293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尺寸、外形、重量</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rFonts w:hint="eastAsia"/>
                <w:kern w:val="0"/>
                <w:sz w:val="18"/>
                <w:szCs w:val="18"/>
              </w:rPr>
              <w:t>符合</w:t>
            </w:r>
            <w:r>
              <w:rPr>
                <w:kern w:val="0"/>
                <w:sz w:val="18"/>
                <w:szCs w:val="18"/>
              </w:rPr>
              <w:t>T/SSEA 0055-2020</w:t>
            </w:r>
            <w:r>
              <w:rPr>
                <w:rFonts w:hint="eastAsia"/>
                <w:kern w:val="0"/>
                <w:sz w:val="18"/>
                <w:szCs w:val="18"/>
              </w:rPr>
              <w:t>中6.</w:t>
            </w:r>
            <w:r>
              <w:rPr>
                <w:kern w:val="0"/>
                <w:sz w:val="18"/>
                <w:szCs w:val="18"/>
              </w:rPr>
              <w:t>1</w:t>
            </w:r>
            <w:r>
              <w:rPr>
                <w:rFonts w:hint="eastAsia"/>
                <w:kern w:val="0"/>
                <w:sz w:val="18"/>
                <w:szCs w:val="18"/>
              </w:rPr>
              <w:t>、6</w:t>
            </w:r>
            <w:r>
              <w:rPr>
                <w:kern w:val="0"/>
                <w:sz w:val="18"/>
                <w:szCs w:val="18"/>
              </w:rPr>
              <w:t>.2</w:t>
            </w:r>
            <w:r>
              <w:rPr>
                <w:rFonts w:hint="eastAsia"/>
                <w:kern w:val="0"/>
                <w:sz w:val="18"/>
                <w:szCs w:val="18"/>
              </w:rPr>
              <w:t>、6</w:t>
            </w:r>
            <w:r>
              <w:rPr>
                <w:kern w:val="0"/>
                <w:sz w:val="18"/>
                <w:szCs w:val="18"/>
              </w:rPr>
              <w:t>.3</w:t>
            </w:r>
            <w:r>
              <w:rPr>
                <w:rFonts w:hint="eastAsia"/>
                <w:kern w:val="0"/>
                <w:sz w:val="18"/>
                <w:szCs w:val="18"/>
              </w:rPr>
              <w:t>要求</w:t>
            </w:r>
          </w:p>
        </w:tc>
        <w:tc>
          <w:tcPr>
            <w:tcW w:w="1634" w:type="dxa"/>
            <w:vMerge w:val="restart"/>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参照</w:t>
            </w:r>
            <w:r>
              <w:rPr>
                <w:sz w:val="18"/>
                <w:szCs w:val="18"/>
              </w:rPr>
              <w:t>T/SSEA 0055-2020</w:t>
            </w:r>
            <w:r>
              <w:rPr>
                <w:rFonts w:hint="eastAsia"/>
                <w:sz w:val="18"/>
                <w:szCs w:val="18"/>
              </w:rPr>
              <w:t>的试验方法，由有</w:t>
            </w:r>
          </w:p>
          <w:p>
            <w:pPr>
              <w:jc w:val="center"/>
              <w:rPr>
                <w:sz w:val="18"/>
                <w:szCs w:val="18"/>
              </w:rPr>
            </w:pPr>
            <w:r>
              <w:rPr>
                <w:rFonts w:hint="eastAsia"/>
                <w:sz w:val="18"/>
                <w:szCs w:val="18"/>
              </w:rPr>
              <w:t>资质的第三方检测机构提供产品试验报告</w:t>
            </w:r>
          </w:p>
        </w:tc>
        <w:tc>
          <w:tcPr>
            <w:tcW w:w="835"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293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表面质量</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kern w:val="0"/>
                <w:sz w:val="18"/>
                <w:szCs w:val="18"/>
              </w:rPr>
            </w:pPr>
            <w:r>
              <w:rPr>
                <w:rFonts w:hint="eastAsia"/>
                <w:kern w:val="0"/>
                <w:sz w:val="18"/>
                <w:szCs w:val="18"/>
              </w:rPr>
              <w:t>符合</w:t>
            </w:r>
            <w:r>
              <w:rPr>
                <w:kern w:val="0"/>
                <w:sz w:val="18"/>
                <w:szCs w:val="18"/>
              </w:rPr>
              <w:t>T/SSEA 0055-2020</w:t>
            </w:r>
            <w:r>
              <w:rPr>
                <w:rFonts w:hint="eastAsia"/>
                <w:kern w:val="0"/>
                <w:sz w:val="18"/>
                <w:szCs w:val="18"/>
              </w:rPr>
              <w:t>中</w:t>
            </w:r>
            <w:r>
              <w:rPr>
                <w:kern w:val="0"/>
                <w:sz w:val="18"/>
                <w:szCs w:val="18"/>
              </w:rPr>
              <w:t>7.6</w:t>
            </w:r>
            <w:r>
              <w:rPr>
                <w:rFonts w:hint="eastAsia"/>
                <w:kern w:val="0"/>
                <w:sz w:val="18"/>
                <w:szCs w:val="18"/>
              </w:rPr>
              <w:t>的要求</w:t>
            </w:r>
          </w:p>
        </w:tc>
        <w:tc>
          <w:tcPr>
            <w:tcW w:w="1634" w:type="dxa"/>
            <w:vMerge w:val="continue"/>
            <w:tcBorders>
              <w:left w:val="single" w:color="auto" w:sz="4" w:space="0"/>
              <w:right w:val="single" w:color="auto" w:sz="4" w:space="0"/>
            </w:tcBorders>
            <w:shd w:val="clear" w:color="auto" w:fill="FFFFFF"/>
            <w:vAlign w:val="center"/>
          </w:tcPr>
          <w:p>
            <w:pPr>
              <w:jc w:val="center"/>
              <w:rPr>
                <w:sz w:val="18"/>
                <w:szCs w:val="18"/>
              </w:rPr>
            </w:pPr>
          </w:p>
        </w:tc>
        <w:tc>
          <w:tcPr>
            <w:tcW w:w="835" w:type="dxa"/>
            <w:vMerge w:val="continue"/>
            <w:tcBorders>
              <w:left w:val="single" w:color="auto" w:sz="4" w:space="0"/>
              <w:right w:val="single" w:color="auto" w:sz="4" w:space="0"/>
            </w:tcBorders>
            <w:vAlign w:val="center"/>
          </w:tcPr>
          <w:p>
            <w:pPr>
              <w:jc w:val="center"/>
              <w:rPr>
                <w:color w:val="FF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293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sz w:val="18"/>
                <w:szCs w:val="18"/>
              </w:rPr>
            </w:pPr>
            <w:r>
              <w:rPr>
                <w:rFonts w:hint="eastAsia"/>
                <w:sz w:val="18"/>
                <w:szCs w:val="18"/>
              </w:rPr>
              <w:t>力学性能、工艺性能</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sz w:val="18"/>
                <w:szCs w:val="18"/>
              </w:rPr>
            </w:pPr>
            <w:r>
              <w:rPr>
                <w:rFonts w:hint="eastAsia"/>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kern w:val="0"/>
                <w:sz w:val="18"/>
                <w:szCs w:val="18"/>
              </w:rPr>
            </w:pPr>
            <w:r>
              <w:rPr>
                <w:rFonts w:hint="eastAsia"/>
                <w:kern w:val="0"/>
                <w:sz w:val="18"/>
                <w:szCs w:val="18"/>
              </w:rPr>
              <w:t>符合</w:t>
            </w:r>
            <w:r>
              <w:rPr>
                <w:kern w:val="0"/>
                <w:sz w:val="18"/>
                <w:szCs w:val="18"/>
              </w:rPr>
              <w:t>T/SSEA 0055-2020</w:t>
            </w:r>
            <w:r>
              <w:rPr>
                <w:rFonts w:hint="eastAsia"/>
                <w:kern w:val="0"/>
                <w:sz w:val="18"/>
                <w:szCs w:val="18"/>
              </w:rPr>
              <w:t>中7</w:t>
            </w:r>
            <w:r>
              <w:rPr>
                <w:kern w:val="0"/>
                <w:sz w:val="18"/>
                <w:szCs w:val="18"/>
              </w:rPr>
              <w:t>.4</w:t>
            </w:r>
            <w:r>
              <w:rPr>
                <w:rFonts w:hint="eastAsia"/>
                <w:kern w:val="0"/>
                <w:sz w:val="18"/>
                <w:szCs w:val="18"/>
              </w:rPr>
              <w:t>、7</w:t>
            </w:r>
            <w:r>
              <w:rPr>
                <w:kern w:val="0"/>
                <w:sz w:val="18"/>
                <w:szCs w:val="18"/>
              </w:rPr>
              <w:t>.5</w:t>
            </w:r>
            <w:r>
              <w:rPr>
                <w:rFonts w:hint="eastAsia"/>
                <w:kern w:val="0"/>
                <w:sz w:val="18"/>
                <w:szCs w:val="18"/>
              </w:rPr>
              <w:t>要求</w:t>
            </w:r>
          </w:p>
        </w:tc>
        <w:tc>
          <w:tcPr>
            <w:tcW w:w="1634" w:type="dxa"/>
            <w:tcBorders>
              <w:left w:val="single" w:color="auto" w:sz="4" w:space="0"/>
              <w:right w:val="single" w:color="auto" w:sz="4" w:space="0"/>
            </w:tcBorders>
            <w:shd w:val="clear" w:color="auto" w:fill="FFFFFF"/>
            <w:vAlign w:val="center"/>
          </w:tcPr>
          <w:p>
            <w:pPr>
              <w:jc w:val="center"/>
              <w:rPr>
                <w:rFonts w:hint="eastAsia"/>
                <w:sz w:val="18"/>
                <w:szCs w:val="18"/>
              </w:rPr>
            </w:pPr>
            <w:r>
              <w:rPr>
                <w:rFonts w:hint="eastAsia"/>
                <w:sz w:val="18"/>
                <w:szCs w:val="18"/>
              </w:rPr>
              <w:t>参照G</w:t>
            </w:r>
            <w:r>
              <w:rPr>
                <w:sz w:val="18"/>
                <w:szCs w:val="18"/>
              </w:rPr>
              <w:t>B</w:t>
            </w:r>
            <w:r>
              <w:rPr>
                <w:rFonts w:hint="eastAsia"/>
                <w:sz w:val="18"/>
                <w:szCs w:val="18"/>
              </w:rPr>
              <w:t>/</w:t>
            </w:r>
            <w:r>
              <w:rPr>
                <w:sz w:val="18"/>
                <w:szCs w:val="18"/>
              </w:rPr>
              <w:t>T 228.1</w:t>
            </w:r>
            <w:r>
              <w:rPr>
                <w:rFonts w:hint="eastAsia"/>
                <w:sz w:val="18"/>
                <w:szCs w:val="18"/>
              </w:rPr>
              <w:t>、G</w:t>
            </w:r>
            <w:r>
              <w:rPr>
                <w:sz w:val="18"/>
                <w:szCs w:val="18"/>
              </w:rPr>
              <w:t>B/T 232</w:t>
            </w:r>
            <w:r>
              <w:rPr>
                <w:rFonts w:hint="eastAsia"/>
                <w:sz w:val="18"/>
                <w:szCs w:val="18"/>
              </w:rPr>
              <w:t>的试验方法并提供数据</w:t>
            </w:r>
          </w:p>
        </w:tc>
        <w:tc>
          <w:tcPr>
            <w:tcW w:w="835" w:type="dxa"/>
            <w:vMerge w:val="continue"/>
            <w:tcBorders>
              <w:left w:val="single" w:color="auto" w:sz="4" w:space="0"/>
              <w:right w:val="single" w:color="auto" w:sz="4" w:space="0"/>
            </w:tcBorders>
            <w:vAlign w:val="center"/>
          </w:tcPr>
          <w:p>
            <w:pPr>
              <w:jc w:val="center"/>
              <w:rPr>
                <w:color w:val="FF0000"/>
                <w:sz w:val="18"/>
                <w:szCs w:val="18"/>
                <w:lang w:bidi="ar"/>
              </w:rPr>
            </w:pPr>
          </w:p>
        </w:tc>
      </w:tr>
    </w:tbl>
    <w:p>
      <w:pPr>
        <w:pStyle w:val="54"/>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sz w:val="21"/>
        </w:rPr>
        <w:t>应依据GB/T 24040、GB/T 24044、GB/T 32161、GB/T 30052给出的生命周期评价规定，并依据附录</w:t>
      </w:r>
      <w:r>
        <w:rPr>
          <w:rFonts w:hint="eastAsia"/>
          <w:sz w:val="21"/>
        </w:rPr>
        <w:t>B</w:t>
      </w:r>
      <w:r>
        <w:rPr>
          <w:sz w:val="21"/>
        </w:rPr>
        <w:t>中的</w:t>
      </w:r>
      <w:r>
        <w:rPr>
          <w:rFonts w:hint="eastAsia"/>
          <w:sz w:val="21"/>
        </w:rPr>
        <w:t>薄板坯连铸连轧无头轧制酸洗冷成形钢板及钢带</w:t>
      </w:r>
      <w:r>
        <w:rPr>
          <w:sz w:val="21"/>
        </w:rPr>
        <w:t>产品生命周期评价方法框架建立生命周期评价方法学，并依据此方法学编制生命周期评价报告。</w:t>
      </w:r>
    </w:p>
    <w:p>
      <w:pPr>
        <w:pStyle w:val="54"/>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薄板坯连铸连轧无头轧制酸洗冷成形钢板及钢带</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薄板坯连铸连轧无头轧制酸洗冷成形钢板及钢带</w:t>
      </w:r>
      <w:r>
        <w:rPr>
          <w:sz w:val="21"/>
        </w:rPr>
        <w:t>的原材料构成及主要技术参数表，绘制并说明</w:t>
      </w:r>
      <w:r>
        <w:rPr>
          <w:rFonts w:hint="eastAsia"/>
          <w:sz w:val="21"/>
        </w:rPr>
        <w:t>薄板坯连铸连轧无头轧制酸洗冷成形钢板及钢带</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rPr>
        <w:t>薄板坯连铸连轧无头轧制酸洗冷成形钢板及钢带</w:t>
      </w:r>
      <w:r>
        <w:rPr>
          <w:sz w:val="21"/>
        </w:rPr>
        <w:t>”为功能单位来表示。</w:t>
      </w:r>
    </w:p>
    <w:p>
      <w:pPr>
        <w:pStyle w:val="78"/>
        <w:spacing w:before="156" w:after="156"/>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薄板坯连铸连轧无头轧制酸洗冷成形钢板及钢带</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薄板坯连铸连轧无头轧制酸洗冷成形钢板及钢带</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rPr>
        <w:t>薄板坯连铸连轧无头轧制酸洗冷成形钢板及钢带</w:t>
      </w:r>
      <w:r>
        <w:rPr>
          <w:sz w:val="21"/>
        </w:rPr>
        <w:t>对评价指标的符合性结论、生命周期评价结果、提出的改进方案，并根据评价结论初步判断</w:t>
      </w:r>
      <w:r>
        <w:rPr>
          <w:rFonts w:hint="eastAsia"/>
          <w:sz w:val="21"/>
        </w:rPr>
        <w:t>薄板坯连铸连轧无头轧制酸洗冷成形钢板及钢带</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——产品生产材料清单；</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ab/>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sz w:val="21"/>
        </w:rPr>
      </w:pPr>
      <w:r>
        <w:rPr>
          <w:sz w:val="21"/>
        </w:rPr>
        <w:t>——其他。</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生产过程中的用水量，计算时按照1年生产为周期计算平均值。每生产1吨薄板坯连铸连轧无头轧制酸洗冷成形钢板及钢带所消耗的新水量，按照公式（A.1）计算：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薄板坯连铸连轧无头轧制酸洗冷成形钢板及钢带所消耗的新水量，单位为立方米每吨（m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V</m:t>
            </m:r>
            <m:ctrlPr>
              <w:rPr>
                <w:rFonts w:ascii="Cambria Math" w:hAnsi="Cambria Math"/>
                <w:i/>
                <w:vertAlign w:val="subscript"/>
              </w:rPr>
            </m:ctrlPr>
          </m:e>
          <m:sub>
            <m:r>
              <m:rPr/>
              <w:rPr>
                <w:rFonts w:ascii="Cambria Math" w:hAnsi="Cambria Math"/>
                <w:vertAlign w:val="subscript"/>
              </w:rPr>
              <m:t>i</m:t>
            </m:r>
            <m:ctrlPr>
              <w:rPr>
                <w:rFonts w:ascii="Cambria Math" w:hAnsi="Cambria Math"/>
                <w:i/>
                <w:vertAlign w:val="subscript"/>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薄板坯连铸连轧无头轧制酸洗冷成形钢板及钢带生产取新水量，单位为立方米（m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hAnsi="Cambria Math"/>
          <w:lang w:bidi="ar"/>
        </w:rPr>
        <w:t xml:space="preserve"> </w:t>
      </w:r>
      <w:r>
        <w:rPr>
          <w:lang w:bidi="ar"/>
        </w:rPr>
        <w:t>——</w:t>
      </w:r>
      <w:r>
        <w:rPr>
          <w:rFonts w:hint="eastAsia"/>
          <w:lang w:bidi="ar"/>
        </w:rPr>
        <w:t>1年内</w:t>
      </w:r>
      <w:r>
        <w:rPr>
          <w:rFonts w:hint="eastAsia"/>
        </w:rPr>
        <w:t>薄板坯连铸连轧无头轧制酸洗冷成形钢板及钢带生产总量，单位为吨（t）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r</m:t>
            </m:r>
            <m:ctrlPr>
              <w:rPr>
                <w:rFonts w:ascii="Cambria Math" w:hAnsi="Cambria Math"/>
                <w:i/>
                <w:vertAlign w:val="subscript"/>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n</m:t>
            </m:r>
            <m:ctrlPr>
              <w:rPr>
                <w:rFonts w:ascii="Cambria Math" w:hAnsi="Cambria Math"/>
                <w:i/>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w:t>
      </w:r>
      <w:r>
        <w:rPr>
          <w:rFonts w:hint="eastAsia"/>
          <w:sz w:val="21"/>
          <w:vertAlign w:val="subscript"/>
        </w:rPr>
        <w:t>x</w:t>
      </w:r>
      <w:r>
        <w:rPr>
          <w:rFonts w:hint="eastAsia"/>
          <w:sz w:val="21"/>
        </w:rPr>
        <w:t>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L</m:t>
            </m:r>
            <m:ctrlPr>
              <w:rPr>
                <w:rFonts w:ascii="Cambria Math" w:hAnsi="Cambria Math"/>
                <w:i/>
                <w:vertAlign w:val="subscript"/>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SL</m:t>
            </m:r>
            <m:ctrlPr>
              <w:rPr>
                <w:rFonts w:ascii="Cambria Math" w:hAnsi="Cambria Math"/>
                <w:i/>
                <w:vertAlign w:val="subscript"/>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CG</m:t>
            </m:r>
            <m:ctrlPr>
              <w:rPr>
                <w:rFonts w:ascii="Cambria Math" w:hAnsi="Cambria Math"/>
                <w:i/>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单位产品能源消耗</w:t>
      </w:r>
    </w:p>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lang w:bidi="ar"/>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ind w:firstLine="420" w:firstLineChars="200"/>
        <w:rPr>
          <w:rFonts w:eastAsia="黑体"/>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6"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薄板坯连铸连轧无头轧制酸洗冷成形钢板及钢带</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薄板坯连铸连轧无头轧制酸洗冷成形钢板及钢带</w:t>
      </w:r>
      <w:r>
        <w:rPr>
          <w:sz w:val="21"/>
        </w:rPr>
        <w:t>原料的获取、生产、运输、销售、使用的过程中对环境造成的影响，通过评价</w:t>
      </w:r>
      <w:r>
        <w:rPr>
          <w:rFonts w:hint="eastAsia"/>
          <w:sz w:val="21"/>
        </w:rPr>
        <w:t>薄板坯连铸连轧无头轧制酸洗冷成形钢板及钢带</w:t>
      </w:r>
      <w:r>
        <w:rPr>
          <w:sz w:val="21"/>
        </w:rPr>
        <w:t>全生命周期的环境影响大小，提出</w:t>
      </w:r>
      <w:r>
        <w:rPr>
          <w:rFonts w:hint="eastAsia"/>
          <w:sz w:val="21"/>
        </w:rPr>
        <w:t>薄板坯连铸连轧无头轧制酸洗冷成形钢板及钢带</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w:t>
      </w:r>
      <w:r>
        <w:rPr>
          <w:rFonts w:hint="eastAsia"/>
          <w:lang w:bidi="ar"/>
        </w:rPr>
        <w:t>做出</w:t>
      </w:r>
      <w:r>
        <w:rPr>
          <w:lang w:bidi="ar"/>
        </w:rPr>
        <w:t>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系统边界</w:t>
      </w:r>
    </w:p>
    <w:p>
      <w:pPr>
        <w:pStyle w:val="30"/>
        <w:widowControl/>
        <w:numPr>
          <w:ilvl w:val="2"/>
          <w:numId w:val="20"/>
        </w:numPr>
        <w:tabs>
          <w:tab w:val="left" w:pos="0"/>
        </w:tabs>
        <w:spacing w:before="312" w:beforeLines="100" w:after="312" w:afterLines="100"/>
        <w:outlineLvl w:val="1"/>
        <w:rPr>
          <w:rFonts w:eastAsia="黑体"/>
          <w:sz w:val="21"/>
          <w:szCs w:val="21"/>
        </w:rPr>
      </w:pPr>
      <w:r>
        <w:rPr>
          <w:sz w:val="21"/>
          <w:lang w:bidi="ar"/>
        </w:rPr>
        <w:t>本文件界定的</w:t>
      </w:r>
      <w:r>
        <w:rPr>
          <w:rFonts w:hint="eastAsia"/>
          <w:sz w:val="21"/>
          <w:lang w:bidi="ar"/>
        </w:rPr>
        <w:t>薄板坯连铸连轧无头轧制酸洗冷成形钢板及钢带</w:t>
      </w:r>
      <w:r>
        <w:rPr>
          <w:sz w:val="21"/>
          <w:lang w:bidi="ar"/>
        </w:rPr>
        <w:t>生命周期系统边界，包括三个阶段：原材料获取阶段、</w:t>
      </w:r>
      <w:r>
        <w:rPr>
          <w:rFonts w:hint="eastAsia"/>
          <w:sz w:val="21"/>
          <w:lang w:bidi="ar"/>
        </w:rPr>
        <w:t>产品</w:t>
      </w:r>
      <w:r>
        <w:rPr>
          <w:sz w:val="21"/>
          <w:lang w:bidi="ar"/>
        </w:rPr>
        <w:t>生产阶段及</w:t>
      </w:r>
      <w:r>
        <w:rPr>
          <w:rFonts w:hint="eastAsia"/>
          <w:sz w:val="21"/>
          <w:lang w:bidi="ar"/>
        </w:rPr>
        <w:t>产品</w:t>
      </w:r>
      <w:r>
        <w:rPr>
          <w:sz w:val="21"/>
          <w:lang w:bidi="ar"/>
        </w:rPr>
        <w:t>使用阶段，如图</w:t>
      </w:r>
      <w:r>
        <w:rPr>
          <w:rFonts w:hint="eastAsia"/>
          <w:sz w:val="21"/>
          <w:lang w:bidi="ar"/>
        </w:rPr>
        <w:t>B</w:t>
      </w:r>
      <w:r>
        <w:rPr>
          <w:sz w:val="21"/>
          <w:lang w:bidi="ar"/>
        </w:rPr>
        <w:t>.1所示。</w:t>
      </w:r>
    </w:p>
    <w:p>
      <w:pPr>
        <w:jc w:val="center"/>
        <w:rPr>
          <w:sz w:val="18"/>
          <w:szCs w:val="18"/>
        </w:rPr>
      </w:pPr>
      <w:r>
        <w:drawing>
          <wp:inline distT="0" distB="0" distL="0" distR="0">
            <wp:extent cx="5939790" cy="182054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939790" cy="1820545"/>
                    </a:xfrm>
                    <a:prstGeom prst="rect">
                      <a:avLst/>
                    </a:prstGeom>
                  </pic:spPr>
                </pic:pic>
              </a:graphicData>
            </a:graphic>
          </wp:inline>
        </w:drawing>
      </w:r>
    </w:p>
    <w:p>
      <w:pPr>
        <w:jc w:val="center"/>
        <w:rPr>
          <w:b/>
          <w:bCs/>
          <w:sz w:val="18"/>
          <w:szCs w:val="18"/>
        </w:rPr>
      </w:pPr>
      <w:r>
        <w:rPr>
          <w:b/>
          <w:bCs/>
          <w:sz w:val="18"/>
          <w:szCs w:val="18"/>
          <w:lang w:bidi="ar"/>
        </w:rPr>
        <w:t>图</w:t>
      </w:r>
      <w:r>
        <w:rPr>
          <w:rFonts w:hint="eastAsia"/>
          <w:b/>
          <w:bCs/>
          <w:sz w:val="18"/>
          <w:szCs w:val="18"/>
          <w:lang w:bidi="ar"/>
        </w:rPr>
        <w:t>B</w:t>
      </w:r>
      <w:r>
        <w:rPr>
          <w:b/>
          <w:bCs/>
          <w:sz w:val="18"/>
          <w:szCs w:val="18"/>
          <w:lang w:bidi="ar"/>
        </w:rPr>
        <w:t xml:space="preserve">.1 </w:t>
      </w:r>
      <w:r>
        <w:rPr>
          <w:rFonts w:hint="eastAsia"/>
          <w:b/>
          <w:bCs/>
          <w:sz w:val="18"/>
          <w:szCs w:val="18"/>
          <w:lang w:bidi="ar"/>
        </w:rPr>
        <w:t xml:space="preserve"> 薄板坯连铸连轧无头轧制酸洗冷成形钢板及钢带</w:t>
      </w:r>
      <w:r>
        <w:rPr>
          <w:b/>
          <w:bCs/>
          <w:sz w:val="18"/>
          <w:szCs w:val="18"/>
          <w:lang w:bidi="ar"/>
        </w:rPr>
        <w:t>生命周期系统边界示意图</w:t>
      </w:r>
    </w:p>
    <w:p>
      <w:pPr>
        <w:pStyle w:val="30"/>
        <w:widowControl/>
        <w:numPr>
          <w:ilvl w:val="2"/>
          <w:numId w:val="20"/>
        </w:numPr>
        <w:tabs>
          <w:tab w:val="left" w:pos="0"/>
        </w:tabs>
        <w:spacing w:before="312" w:beforeLines="100" w:after="312" w:afterLines="100"/>
        <w:outlineLvl w:val="1"/>
        <w:rPr>
          <w:sz w:val="21"/>
          <w:lang w:bidi="ar"/>
        </w:rPr>
      </w:pPr>
      <w:r>
        <w:rPr>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总则</w:t>
      </w:r>
    </w:p>
    <w:p>
      <w:pPr>
        <w:ind w:firstLine="420" w:firstLineChars="200"/>
      </w:pPr>
      <w:r>
        <w:rPr>
          <w:lang w:bidi="ar"/>
        </w:rPr>
        <w:t>应编制</w:t>
      </w:r>
      <w:r>
        <w:rPr>
          <w:rFonts w:hint="eastAsia"/>
          <w:lang w:bidi="ar"/>
        </w:rPr>
        <w:t>薄板坯连铸连轧无头轧制酸洗冷成形钢板及钢带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lang w:bidi="ar"/>
        </w:rPr>
        <w:t>薄板坯连铸连轧无头轧制酸洗冷成形钢板及钢带</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r>
        <w:rPr>
          <w:rFonts w:hint="eastAsia"/>
          <w:lang w:bidi="ar"/>
        </w:rPr>
        <w:t>。</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lang w:bidi="ar"/>
        </w:rPr>
        <w:t>薄板坯连铸连轧无头轧制酸洗冷成形钢板及钢带</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lang w:bidi="ar"/>
        </w:rPr>
        <w:t>a) 代表性：现场数据应按照企业生产单元收集所确定范围内的生产统计数据</w:t>
      </w:r>
      <w:r>
        <w:rPr>
          <w:rFonts w:hint="eastAsia"/>
          <w:lang w:bidi="ar"/>
        </w:rPr>
        <w:t>。</w:t>
      </w:r>
    </w:p>
    <w:p>
      <w:pPr>
        <w:ind w:firstLine="420" w:firstLineChars="200"/>
      </w:pPr>
      <w:r>
        <w:rPr>
          <w:lang w:bidi="ar"/>
        </w:rPr>
        <w:t>b) 完整性：现场数据应采集完整的生命周期要求数据</w:t>
      </w:r>
      <w:r>
        <w:rPr>
          <w:rFonts w:hint="eastAsia"/>
          <w:lang w:bidi="ar"/>
        </w:rPr>
        <w:t>。</w:t>
      </w:r>
    </w:p>
    <w:p>
      <w:pPr>
        <w:ind w:firstLine="420" w:firstLineChars="200"/>
      </w:pPr>
      <w:r>
        <w:rPr>
          <w:lang w:bidi="ar"/>
        </w:rP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lang w:bidi="ar"/>
        </w:rPr>
        <w:t>薄板坯连铸连轧无头轧制酸洗冷成形钢板及钢带</w:t>
      </w:r>
      <w:r>
        <w:rPr>
          <w:lang w:bidi="ar"/>
        </w:rPr>
        <w:t>为基准折算，且需要详细记录相关的原始数据、数据来源、计算过程等</w:t>
      </w:r>
      <w:r>
        <w:rPr>
          <w:rFonts w:hint="eastAsia"/>
          <w:lang w:bidi="ar"/>
        </w:rPr>
        <w:t>。</w:t>
      </w:r>
    </w:p>
    <w:p>
      <w:pPr>
        <w:ind w:firstLine="420" w:firstLineChars="200"/>
      </w:pPr>
      <w:r>
        <w:rPr>
          <w:lang w:bidi="ar"/>
        </w:rPr>
        <w:t>d) 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 原材料采购和预处理；</w:t>
      </w:r>
    </w:p>
    <w:p>
      <w:pPr>
        <w:ind w:firstLine="840" w:firstLineChars="400"/>
      </w:pPr>
      <w:r>
        <w:rPr>
          <w:lang w:bidi="ar"/>
        </w:rPr>
        <w:t>2) 产品生产过程能源消耗和污染物排放数据；</w:t>
      </w:r>
    </w:p>
    <w:p>
      <w:pPr>
        <w:ind w:firstLine="840" w:firstLineChars="400"/>
      </w:pPr>
      <w:r>
        <w:rPr>
          <w:lang w:bidi="ar"/>
        </w:rPr>
        <w:t>3) 生产统计报表，搜集原材料分配及用量数据；</w:t>
      </w:r>
    </w:p>
    <w:p>
      <w:pPr>
        <w:ind w:firstLine="840" w:firstLineChars="400"/>
      </w:pPr>
      <w:r>
        <w:rPr>
          <w:lang w:bidi="ar"/>
        </w:rPr>
        <w:t>4) 设备仪表的计量数据。</w:t>
      </w:r>
    </w:p>
    <w:p>
      <w:pPr>
        <w:pStyle w:val="30"/>
        <w:widowControl/>
        <w:numPr>
          <w:ilvl w:val="2"/>
          <w:numId w:val="20"/>
        </w:numPr>
        <w:tabs>
          <w:tab w:val="left" w:pos="0"/>
        </w:tabs>
        <w:spacing w:before="312" w:beforeLines="100" w:after="312" w:afterLines="100"/>
        <w:outlineLvl w:val="1"/>
        <w:rPr>
          <w:sz w:val="21"/>
          <w:lang w:bidi="ar"/>
        </w:rPr>
      </w:pPr>
      <w:r>
        <w:rPr>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w:t>
      </w:r>
      <w:r>
        <w:rPr>
          <w:rFonts w:hint="eastAsia"/>
          <w:lang w:bidi="ar"/>
        </w:rPr>
        <w:t>）</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r>
        <w:rPr>
          <w:rFonts w:hint="eastAsia"/>
          <w:lang w:bidi="ar"/>
        </w:rPr>
        <w:t>。</w:t>
      </w:r>
    </w:p>
    <w:p>
      <w:pPr>
        <w:ind w:firstLine="420" w:firstLineChars="200"/>
      </w:pPr>
      <w:r>
        <w:rPr>
          <w:lang w:bidi="ar"/>
        </w:rPr>
        <w:t>b</w:t>
      </w:r>
      <w:r>
        <w:rPr>
          <w:rFonts w:hint="eastAsia"/>
          <w:lang w:bidi="ar"/>
        </w:rPr>
        <w:t>）</w:t>
      </w:r>
      <w:r>
        <w:rPr>
          <w:lang w:bidi="ar"/>
        </w:rPr>
        <w:t>完整性：背景数据的系统边界应该从资源开采到这些原辅材料或能源产品出厂为止</w:t>
      </w:r>
      <w:r>
        <w:rPr>
          <w:rFonts w:hint="eastAsia"/>
          <w:lang w:bidi="ar"/>
        </w:rPr>
        <w:t>。</w:t>
      </w:r>
    </w:p>
    <w:p>
      <w:pPr>
        <w:ind w:firstLine="420" w:firstLineChars="200"/>
      </w:pPr>
      <w:r>
        <w:rPr>
          <w:lang w:bidi="ar"/>
        </w:rPr>
        <w:t>c</w:t>
      </w:r>
      <w:r>
        <w:rPr>
          <w:rFonts w:hint="eastAsia"/>
          <w:lang w:bidi="ar"/>
        </w:rPr>
        <w:t>）</w:t>
      </w:r>
      <w:r>
        <w:rPr>
          <w:lang w:bidi="ar"/>
        </w:rPr>
        <w:t>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sz w:val="21"/>
          <w:lang w:bidi="ar"/>
        </w:rPr>
        <w:t>原材料采购和预加工（从摇篮到大门）</w:t>
      </w:r>
    </w:p>
    <w:p>
      <w:pPr>
        <w:ind w:firstLine="420" w:firstLineChars="200"/>
      </w:pPr>
      <w:r>
        <w:rPr>
          <w:lang w:bidi="ar"/>
        </w:rPr>
        <w:t>该阶段始于从大自然提取资源，结束于</w:t>
      </w:r>
      <w:r>
        <w:rPr>
          <w:rFonts w:hint="eastAsia"/>
          <w:lang w:bidi="ar"/>
        </w:rPr>
        <w:t>薄板坯连铸连轧无头轧制酸洗冷成形钢板及钢带</w:t>
      </w:r>
      <w:r>
        <w:rPr>
          <w:lang w:bidi="ar"/>
        </w:rPr>
        <w:t>产品原料进入产品生产设施，包括:</w:t>
      </w:r>
    </w:p>
    <w:p>
      <w:pPr>
        <w:ind w:firstLine="420" w:firstLineChars="200"/>
      </w:pPr>
      <w:r>
        <w:rPr>
          <w:lang w:bidi="ar"/>
        </w:rPr>
        <w:t>a</w:t>
      </w:r>
      <w:r>
        <w:rPr>
          <w:rFonts w:hint="eastAsia"/>
          <w:lang w:bidi="ar"/>
        </w:rPr>
        <w:t>）</w:t>
      </w:r>
      <w:r>
        <w:rPr>
          <w:lang w:bidi="ar"/>
        </w:rPr>
        <w:t>开采和提取；</w:t>
      </w:r>
    </w:p>
    <w:p>
      <w:pPr>
        <w:ind w:firstLine="420" w:firstLineChars="200"/>
      </w:pPr>
      <w:r>
        <w:rPr>
          <w:lang w:bidi="ar"/>
        </w:rPr>
        <w:t>b</w:t>
      </w:r>
      <w:r>
        <w:rPr>
          <w:rFonts w:hint="eastAsia"/>
          <w:lang w:bidi="ar"/>
        </w:rPr>
        <w:t>）原</w:t>
      </w:r>
      <w:r>
        <w:rPr>
          <w:lang w:bidi="ar"/>
        </w:rPr>
        <w:t>材料的预加工，例如废钢分选等；</w:t>
      </w:r>
    </w:p>
    <w:p>
      <w:pPr>
        <w:ind w:firstLine="420" w:firstLineChars="200"/>
      </w:pPr>
      <w:r>
        <w:rPr>
          <w:lang w:bidi="ar"/>
        </w:rPr>
        <w:t>c</w:t>
      </w:r>
      <w:r>
        <w:rPr>
          <w:rFonts w:hint="eastAsia"/>
          <w:lang w:bidi="ar"/>
        </w:rPr>
        <w:t>）</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sz w:val="21"/>
          <w:lang w:bidi="ar"/>
        </w:rPr>
        <w:t>生产阶段</w:t>
      </w:r>
    </w:p>
    <w:p>
      <w:pPr>
        <w:ind w:firstLine="420" w:firstLineChars="200"/>
      </w:pPr>
      <w:r>
        <w:rPr>
          <w:lang w:bidi="ar"/>
        </w:rPr>
        <w:t>该阶段始于</w:t>
      </w:r>
      <w:r>
        <w:rPr>
          <w:rFonts w:hint="eastAsia"/>
          <w:lang w:bidi="ar"/>
        </w:rPr>
        <w:t>薄板坯连铸连轧无头轧制酸洗冷成形钢板及钢带</w:t>
      </w:r>
      <w:r>
        <w:rPr>
          <w:lang w:bidi="ar"/>
        </w:rPr>
        <w:t>产品原料进入生产设施，结束于产品离开生产设施。生产活动包括化学处理、制造、制造过程中半成品的运输、产品包装等。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数据分配</w:t>
      </w:r>
    </w:p>
    <w:p>
      <w:pPr>
        <w:ind w:firstLine="420" w:firstLineChars="200"/>
      </w:pPr>
      <w:r>
        <w:rPr>
          <w:lang w:bidi="ar"/>
        </w:rPr>
        <w:t>在进行</w:t>
      </w:r>
      <w:r>
        <w:rPr>
          <w:rFonts w:hint="eastAsia"/>
          <w:lang w:bidi="ar"/>
        </w:rPr>
        <w:t>薄板坯连铸连轧无头轧制酸洗冷成形钢板及钢带</w:t>
      </w:r>
      <w:r>
        <w:rPr>
          <w:lang w:bidi="ar"/>
        </w:rPr>
        <w:t>生命周期评价的过程中涉及到数据分配问题，特别是</w:t>
      </w:r>
      <w:r>
        <w:rPr>
          <w:rFonts w:hint="eastAsia"/>
          <w:lang w:bidi="ar"/>
        </w:rPr>
        <w:t>薄板坯连铸连轧无头轧制酸洗冷成形钢板及钢带</w:t>
      </w:r>
      <w:r>
        <w:rPr>
          <w:lang w:bidi="ar"/>
        </w:rPr>
        <w:t>的生产环节。对于</w:t>
      </w:r>
      <w:r>
        <w:rPr>
          <w:rFonts w:hint="eastAsia"/>
          <w:lang w:bidi="ar"/>
        </w:rPr>
        <w:t>薄板坯连铸连轧无头轧制酸洗冷成形钢板及钢带</w:t>
      </w:r>
      <w:r>
        <w:rPr>
          <w:lang w:bidi="ar"/>
        </w:rPr>
        <w:t>生产而言，由于厂家往往同时生产多种类型的产品，一条工艺线上或一个车间里可能会同时生产多种型号</w:t>
      </w:r>
      <w:r>
        <w:rPr>
          <w:rFonts w:hint="eastAsia"/>
          <w:lang w:bidi="ar"/>
        </w:rPr>
        <w:t>薄板坯连铸连轧无头轧制酸洗冷成形钢板及钢带</w:t>
      </w:r>
      <w:r>
        <w:rPr>
          <w:lang w:bidi="ar"/>
        </w:rPr>
        <w:t>。很难就某单个型号的产品生产来收集清单数据，往往会就某个车间、某条流水线或某个工艺来收集数据，然后再分配到具体的产品上。针对</w:t>
      </w:r>
      <w:r>
        <w:rPr>
          <w:rFonts w:hint="eastAsia"/>
          <w:lang w:bidi="ar"/>
        </w:rPr>
        <w:t>薄板坯连铸连轧无头轧制酸洗冷成形钢板及钢带</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w:t>
      </w:r>
      <w:r>
        <w:rPr>
          <w:rFonts w:hint="eastAsia"/>
          <w:kern w:val="0"/>
          <w:szCs w:val="21"/>
          <w:lang w:bidi="ar"/>
        </w:rPr>
        <w:t>5</w:t>
      </w:r>
      <w:r>
        <w:rPr>
          <w:color w:val="000000"/>
          <w:kern w:val="0"/>
          <w:szCs w:val="21"/>
          <w:lang w:bidi="ar"/>
        </w:rPr>
        <w:t>对应需要的数据进行填报：</w:t>
      </w:r>
    </w:p>
    <w:p>
      <w:pPr>
        <w:ind w:firstLine="420" w:firstLineChars="200"/>
      </w:pPr>
      <w:r>
        <w:rPr>
          <w:lang w:bidi="ar"/>
        </w:rPr>
        <w:t>a</w:t>
      </w:r>
      <w:r>
        <w:rPr>
          <w:rFonts w:hint="eastAsia"/>
          <w:lang w:bidi="ar"/>
        </w:rPr>
        <w:t>）</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w:t>
      </w:r>
      <w:r>
        <w:rPr>
          <w:rFonts w:hint="eastAsia"/>
          <w:lang w:bidi="ar"/>
        </w:rPr>
        <w:t>）</w:t>
      </w:r>
      <w:r>
        <w:rPr>
          <w:lang w:bidi="ar"/>
        </w:rPr>
        <w:t>从实际调研过程中无法获得的数据，即背景数据，采用相关数据库进行替代，在这一步骤中所涉及到的单元过程包括</w:t>
      </w:r>
      <w:r>
        <w:rPr>
          <w:rFonts w:hint="eastAsia"/>
          <w:lang w:bidi="ar"/>
        </w:rPr>
        <w:t>薄板坯连铸连轧无头轧制酸洗冷成形钢板及钢带</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影响类型</w:t>
      </w:r>
    </w:p>
    <w:p>
      <w:pPr>
        <w:ind w:firstLine="420" w:firstLineChars="200"/>
      </w:pPr>
      <w:r>
        <w:rPr>
          <w:lang w:bidi="ar"/>
        </w:rPr>
        <w:t>影响类型分为资源能源消耗、生态环境影响和人体健康危害3类。</w:t>
      </w:r>
      <w:r>
        <w:rPr>
          <w:rFonts w:hint="eastAsia"/>
          <w:lang w:bidi="ar"/>
        </w:rPr>
        <w:t>薄板坯连铸连轧无头轧制酸洗冷成形钢板及钢带</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薄板坯连铸连轧无头轧制酸洗冷成形钢板及钢带</w:t>
      </w:r>
      <w:r>
        <w:rPr>
          <w:rFonts w:eastAsia="黑体"/>
          <w:color w:val="000000"/>
          <w:kern w:val="0"/>
          <w:szCs w:val="21"/>
          <w:lang w:bidi="ar"/>
        </w:rPr>
        <w:t>产品生命周期清单因子归类</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影响类型</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化石能源消耗</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气候变化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二氧化碳（CO</w:t>
            </w:r>
            <w:r>
              <w:rPr>
                <w:color w:val="000000"/>
                <w:kern w:val="0"/>
                <w:sz w:val="12"/>
                <w:szCs w:val="12"/>
                <w:lang w:bidi="ar"/>
              </w:rPr>
              <w:t>2</w:t>
            </w:r>
            <w:r>
              <w:rPr>
                <w:color w:val="000000"/>
                <w:kern w:val="0"/>
                <w:sz w:val="18"/>
                <w:szCs w:val="18"/>
                <w:lang w:bidi="ar"/>
              </w:rPr>
              <w:t>）、甲烷（CH</w:t>
            </w:r>
            <w:r>
              <w:rPr>
                <w:color w:val="000000"/>
                <w:kern w:val="0"/>
                <w:sz w:val="18"/>
                <w:szCs w:val="18"/>
                <w:vertAlign w:val="subscript"/>
                <w:lang w:bidi="ar"/>
              </w:rPr>
              <w:t>4</w:t>
            </w:r>
            <w:r>
              <w:rPr>
                <w:color w:val="000000"/>
                <w:kern w:val="0"/>
                <w:sz w:val="18"/>
                <w:szCs w:val="18"/>
                <w:lang w:bidi="ar"/>
              </w:rPr>
              <w:t>）、氧化亚氮（N</w:t>
            </w:r>
            <w:r>
              <w:rPr>
                <w:color w:val="000000"/>
                <w:kern w:val="0"/>
                <w:sz w:val="18"/>
                <w:szCs w:val="18"/>
                <w:vertAlign w:val="subscript"/>
                <w:lang w:bidi="ar"/>
              </w:rPr>
              <w:t>2</w:t>
            </w:r>
            <w:r>
              <w:rPr>
                <w:color w:val="000000"/>
                <w:kern w:val="0"/>
                <w:sz w:val="18"/>
                <w:szCs w:val="18"/>
                <w:lang w:bidi="ar"/>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氨氮等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二氧化硫（SO</w:t>
            </w:r>
            <w:r>
              <w:rPr>
                <w:color w:val="000000"/>
                <w:kern w:val="0"/>
                <w:sz w:val="12"/>
                <w:szCs w:val="12"/>
                <w:lang w:bidi="ar"/>
              </w:rPr>
              <w:t>2</w:t>
            </w:r>
            <w:r>
              <w:rPr>
                <w:color w:val="000000"/>
                <w:kern w:val="0"/>
                <w:sz w:val="18"/>
                <w:szCs w:val="18"/>
                <w:lang w:bidi="ar"/>
              </w:rPr>
              <w:t>）、氮氧化物（NO</w:t>
            </w:r>
            <w:r>
              <w:rPr>
                <w:color w:val="000000"/>
                <w:kern w:val="0"/>
                <w:sz w:val="18"/>
                <w:szCs w:val="18"/>
                <w:vertAlign w:val="subscript"/>
                <w:lang w:bidi="ar"/>
              </w:rPr>
              <w:t>x</w:t>
            </w:r>
            <w:r>
              <w:rPr>
                <w:color w:val="000000"/>
                <w:kern w:val="0"/>
                <w:sz w:val="18"/>
                <w:szCs w:val="18"/>
                <w:lang w:bidi="ar"/>
              </w:rPr>
              <w:t>）等</w:t>
            </w:r>
          </w:p>
        </w:tc>
      </w:tr>
    </w:tbl>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薄板坯连铸连轧无头轧制酸洗冷成形钢板及钢带</w:t>
      </w:r>
      <w:r>
        <w:rPr>
          <w:rFonts w:eastAsia="黑体"/>
          <w:color w:val="000000"/>
          <w:kern w:val="0"/>
          <w:szCs w:val="21"/>
          <w:lang w:bidi="ar"/>
        </w:rPr>
        <w:t>产品生命周期影响评价</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713"/>
        <w:gridCol w:w="1302"/>
        <w:gridCol w:w="1438"/>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13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14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12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pPr>
        <w:ind w:firstLine="420" w:firstLineChars="200"/>
      </w:pPr>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widowControl/>
        <w:jc w:val="left"/>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w:t>
      </w:r>
      <w:r>
        <w:rPr>
          <w:rFonts w:hint="eastAsia" w:eastAsia="黑体"/>
          <w:color w:val="000000"/>
          <w:kern w:val="0"/>
          <w:szCs w:val="21"/>
          <w:lang w:bidi="ar"/>
        </w:rPr>
        <w:t xml:space="preserve"> </w:t>
      </w:r>
      <w:r>
        <w:rPr>
          <w:rFonts w:eastAsia="黑体"/>
          <w:color w:val="000000"/>
          <w:kern w:val="0"/>
          <w:szCs w:val="21"/>
          <w:lang w:bidi="ar"/>
        </w:rPr>
        <w:t xml:space="preserve">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废钢</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铁合金</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白云石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炼钢工序能源消耗清单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炼钢工序能源消耗清单如表C.2所示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 xml:space="preserve">2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铸轧工序能源消耗清单</w:t>
      </w:r>
    </w:p>
    <w:p>
      <w:pPr>
        <w:autoSpaceDE w:val="0"/>
        <w:autoSpaceDN w:val="0"/>
        <w:adjustRightInd w:val="0"/>
        <w:spacing w:before="156" w:after="156"/>
        <w:ind w:firstLine="420" w:firstLineChars="200"/>
      </w:pPr>
      <w:r>
        <w:rPr>
          <w:rFonts w:hint="eastAsia"/>
          <w:color w:val="000000"/>
          <w:kern w:val="0"/>
          <w:szCs w:val="21"/>
          <w:lang w:bidi="ar"/>
        </w:rPr>
        <w:t>铸轧工序能源消耗清单如表C.3所示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3  铸轧</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酸洗工序能源消耗清单</w:t>
      </w:r>
    </w:p>
    <w:p>
      <w:pPr>
        <w:autoSpaceDE w:val="0"/>
        <w:autoSpaceDN w:val="0"/>
        <w:adjustRightInd w:val="0"/>
        <w:spacing w:before="156" w:after="156"/>
        <w:ind w:firstLine="420" w:firstLineChars="200"/>
        <w:rPr>
          <w:color w:val="000000"/>
          <w:kern w:val="0"/>
          <w:szCs w:val="21"/>
          <w:lang w:bidi="ar"/>
        </w:rPr>
      </w:pPr>
      <w:r>
        <w:rPr>
          <w:rFonts w:hint="eastAsia"/>
          <w:color w:val="000000"/>
          <w:kern w:val="0"/>
          <w:szCs w:val="21"/>
          <w:lang w:bidi="ar"/>
        </w:rPr>
        <w:t>酸洗工序能源消耗清单如表C.</w:t>
      </w:r>
      <w:r>
        <w:rPr>
          <w:color w:val="000000"/>
          <w:kern w:val="0"/>
          <w:szCs w:val="21"/>
          <w:lang w:bidi="ar"/>
        </w:rPr>
        <w:t>4</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酸洗工序能源消耗</w:t>
      </w:r>
      <w:r>
        <w:rPr>
          <w:rFonts w:eastAsia="黑体"/>
          <w:color w:val="000000"/>
          <w:kern w:val="0"/>
          <w:szCs w:val="21"/>
          <w:lang w:bidi="ar"/>
        </w:rPr>
        <w:t>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5</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w:t>
      </w:r>
      <w:r>
        <w:rPr>
          <w:color w:val="000000"/>
          <w:kern w:val="0"/>
          <w:szCs w:val="21"/>
          <w:lang w:bidi="ar"/>
        </w:rPr>
        <w:t>6</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pStyle w:val="30"/>
        <w:widowControl/>
        <w:tabs>
          <w:tab w:val="center" w:pos="4201"/>
          <w:tab w:val="right" w:leader="dot" w:pos="9298"/>
        </w:tabs>
        <w:autoSpaceDE w:val="0"/>
        <w:autoSpaceDN w:val="0"/>
        <w:ind w:firstLine="420" w:firstLineChars="200"/>
        <w:rPr>
          <w:sz w:val="21"/>
        </w:rPr>
      </w:pPr>
    </w:p>
    <w:p>
      <w:pPr>
        <w:widowControl/>
        <w:jc w:val="left"/>
        <w:rPr>
          <w:kern w:val="0"/>
          <w:szCs w:val="20"/>
        </w:rPr>
      </w:pPr>
      <w:r>
        <w:rPr>
          <w:kern w:val="0"/>
          <w:szCs w:val="20"/>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59264;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黑体" w:hAnsi="Times New Roman" w:eastAsia="黑体"/>
        <w:b w:val="0"/>
        <w:i w:val="0"/>
        <w:sz w:val="21"/>
        <w:highlight w:val="none"/>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0EB4"/>
    <w:rsid w:val="0000185F"/>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41127"/>
    <w:rsid w:val="00045C9B"/>
    <w:rsid w:val="000466F7"/>
    <w:rsid w:val="000639E9"/>
    <w:rsid w:val="00063E76"/>
    <w:rsid w:val="0006738B"/>
    <w:rsid w:val="00067CDF"/>
    <w:rsid w:val="00074B69"/>
    <w:rsid w:val="00074FBE"/>
    <w:rsid w:val="00076F88"/>
    <w:rsid w:val="000772BB"/>
    <w:rsid w:val="000822C7"/>
    <w:rsid w:val="00083A09"/>
    <w:rsid w:val="00087B52"/>
    <w:rsid w:val="0009005E"/>
    <w:rsid w:val="00090E08"/>
    <w:rsid w:val="00092857"/>
    <w:rsid w:val="000A20A9"/>
    <w:rsid w:val="000A48B1"/>
    <w:rsid w:val="000A5495"/>
    <w:rsid w:val="000B3143"/>
    <w:rsid w:val="000C30C7"/>
    <w:rsid w:val="000C6B05"/>
    <w:rsid w:val="000C6DD6"/>
    <w:rsid w:val="000C73D4"/>
    <w:rsid w:val="000D0799"/>
    <w:rsid w:val="000D3D4C"/>
    <w:rsid w:val="000D4406"/>
    <w:rsid w:val="000D4505"/>
    <w:rsid w:val="000D4F51"/>
    <w:rsid w:val="000D718B"/>
    <w:rsid w:val="000E0C46"/>
    <w:rsid w:val="000E131E"/>
    <w:rsid w:val="000E3EC7"/>
    <w:rsid w:val="000F030C"/>
    <w:rsid w:val="000F04B4"/>
    <w:rsid w:val="000F129C"/>
    <w:rsid w:val="0010215C"/>
    <w:rsid w:val="001056DE"/>
    <w:rsid w:val="00111863"/>
    <w:rsid w:val="001124C0"/>
    <w:rsid w:val="00125647"/>
    <w:rsid w:val="001278EF"/>
    <w:rsid w:val="0013175F"/>
    <w:rsid w:val="00132382"/>
    <w:rsid w:val="00133266"/>
    <w:rsid w:val="0013488D"/>
    <w:rsid w:val="00144E93"/>
    <w:rsid w:val="001454ED"/>
    <w:rsid w:val="001512B4"/>
    <w:rsid w:val="00152179"/>
    <w:rsid w:val="00156D41"/>
    <w:rsid w:val="00160165"/>
    <w:rsid w:val="001618AB"/>
    <w:rsid w:val="001620A5"/>
    <w:rsid w:val="00164E53"/>
    <w:rsid w:val="001651E3"/>
    <w:rsid w:val="0016699D"/>
    <w:rsid w:val="001701E9"/>
    <w:rsid w:val="0017259F"/>
    <w:rsid w:val="00172A27"/>
    <w:rsid w:val="00173C7E"/>
    <w:rsid w:val="00175159"/>
    <w:rsid w:val="00176208"/>
    <w:rsid w:val="0018211B"/>
    <w:rsid w:val="001840D3"/>
    <w:rsid w:val="00187A9A"/>
    <w:rsid w:val="001900F8"/>
    <w:rsid w:val="00191258"/>
    <w:rsid w:val="00192680"/>
    <w:rsid w:val="00193037"/>
    <w:rsid w:val="00193A2C"/>
    <w:rsid w:val="001A01D4"/>
    <w:rsid w:val="001A25CD"/>
    <w:rsid w:val="001A288E"/>
    <w:rsid w:val="001A32EE"/>
    <w:rsid w:val="001A5A38"/>
    <w:rsid w:val="001B6DC2"/>
    <w:rsid w:val="001C149C"/>
    <w:rsid w:val="001C21AC"/>
    <w:rsid w:val="001C47BA"/>
    <w:rsid w:val="001C59EA"/>
    <w:rsid w:val="001D406C"/>
    <w:rsid w:val="001D41EE"/>
    <w:rsid w:val="001E0380"/>
    <w:rsid w:val="001E13B1"/>
    <w:rsid w:val="001E3434"/>
    <w:rsid w:val="001E44E7"/>
    <w:rsid w:val="001E55B7"/>
    <w:rsid w:val="001E69DB"/>
    <w:rsid w:val="001F3A19"/>
    <w:rsid w:val="00210BFB"/>
    <w:rsid w:val="0022046A"/>
    <w:rsid w:val="00224BAB"/>
    <w:rsid w:val="00231142"/>
    <w:rsid w:val="00231970"/>
    <w:rsid w:val="002332A1"/>
    <w:rsid w:val="0023428E"/>
    <w:rsid w:val="00234467"/>
    <w:rsid w:val="00237D8D"/>
    <w:rsid w:val="00240FE6"/>
    <w:rsid w:val="0024152F"/>
    <w:rsid w:val="00241DA2"/>
    <w:rsid w:val="0024552F"/>
    <w:rsid w:val="00245B95"/>
    <w:rsid w:val="00247FEE"/>
    <w:rsid w:val="00250E7D"/>
    <w:rsid w:val="002565D5"/>
    <w:rsid w:val="00257C39"/>
    <w:rsid w:val="002622C0"/>
    <w:rsid w:val="00262D2E"/>
    <w:rsid w:val="002665C3"/>
    <w:rsid w:val="00276B08"/>
    <w:rsid w:val="002778AE"/>
    <w:rsid w:val="00281919"/>
    <w:rsid w:val="002824CB"/>
    <w:rsid w:val="0028269A"/>
    <w:rsid w:val="00283590"/>
    <w:rsid w:val="00286973"/>
    <w:rsid w:val="00290006"/>
    <w:rsid w:val="002904AF"/>
    <w:rsid w:val="00294E70"/>
    <w:rsid w:val="00296FB8"/>
    <w:rsid w:val="002A06B3"/>
    <w:rsid w:val="002A1924"/>
    <w:rsid w:val="002A7420"/>
    <w:rsid w:val="002B0F12"/>
    <w:rsid w:val="002B1308"/>
    <w:rsid w:val="002B4554"/>
    <w:rsid w:val="002C2696"/>
    <w:rsid w:val="002C42FF"/>
    <w:rsid w:val="002C4E56"/>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0EF7"/>
    <w:rsid w:val="00325926"/>
    <w:rsid w:val="00326B36"/>
    <w:rsid w:val="00327A8A"/>
    <w:rsid w:val="00336610"/>
    <w:rsid w:val="00343F73"/>
    <w:rsid w:val="00345060"/>
    <w:rsid w:val="00350323"/>
    <w:rsid w:val="00350BC9"/>
    <w:rsid w:val="003520D1"/>
    <w:rsid w:val="0035323B"/>
    <w:rsid w:val="00355CB5"/>
    <w:rsid w:val="00356876"/>
    <w:rsid w:val="003609D2"/>
    <w:rsid w:val="00363F22"/>
    <w:rsid w:val="003650D5"/>
    <w:rsid w:val="003659A4"/>
    <w:rsid w:val="00370570"/>
    <w:rsid w:val="0037473D"/>
    <w:rsid w:val="00375564"/>
    <w:rsid w:val="003760EB"/>
    <w:rsid w:val="0037662F"/>
    <w:rsid w:val="003768C0"/>
    <w:rsid w:val="00381A98"/>
    <w:rsid w:val="00383191"/>
    <w:rsid w:val="003852DB"/>
    <w:rsid w:val="00386DED"/>
    <w:rsid w:val="003912E7"/>
    <w:rsid w:val="0039140F"/>
    <w:rsid w:val="00392102"/>
    <w:rsid w:val="00393947"/>
    <w:rsid w:val="003A1F65"/>
    <w:rsid w:val="003A2275"/>
    <w:rsid w:val="003A48CA"/>
    <w:rsid w:val="003A6A4F"/>
    <w:rsid w:val="003A7088"/>
    <w:rsid w:val="003B00DF"/>
    <w:rsid w:val="003B1275"/>
    <w:rsid w:val="003B1778"/>
    <w:rsid w:val="003C11CB"/>
    <w:rsid w:val="003C75F3"/>
    <w:rsid w:val="003C78A3"/>
    <w:rsid w:val="003D721E"/>
    <w:rsid w:val="003E0D6C"/>
    <w:rsid w:val="003E1867"/>
    <w:rsid w:val="003E491C"/>
    <w:rsid w:val="003E5729"/>
    <w:rsid w:val="003E5A57"/>
    <w:rsid w:val="003F4EE0"/>
    <w:rsid w:val="00400C28"/>
    <w:rsid w:val="00402153"/>
    <w:rsid w:val="00402FC1"/>
    <w:rsid w:val="004134DD"/>
    <w:rsid w:val="00415CE8"/>
    <w:rsid w:val="004166CD"/>
    <w:rsid w:val="0041793A"/>
    <w:rsid w:val="00423779"/>
    <w:rsid w:val="00423DBC"/>
    <w:rsid w:val="00425082"/>
    <w:rsid w:val="004311D9"/>
    <w:rsid w:val="00431DEB"/>
    <w:rsid w:val="004438E0"/>
    <w:rsid w:val="00446B29"/>
    <w:rsid w:val="00453F9A"/>
    <w:rsid w:val="0045659F"/>
    <w:rsid w:val="00462311"/>
    <w:rsid w:val="00464DEB"/>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875"/>
    <w:rsid w:val="004C0DE4"/>
    <w:rsid w:val="004C292F"/>
    <w:rsid w:val="004C52B4"/>
    <w:rsid w:val="004D197C"/>
    <w:rsid w:val="004D58F9"/>
    <w:rsid w:val="004D5C32"/>
    <w:rsid w:val="004E4034"/>
    <w:rsid w:val="004E7695"/>
    <w:rsid w:val="004F10FB"/>
    <w:rsid w:val="004F11CA"/>
    <w:rsid w:val="005022EE"/>
    <w:rsid w:val="00510280"/>
    <w:rsid w:val="005107C9"/>
    <w:rsid w:val="00512425"/>
    <w:rsid w:val="00513D73"/>
    <w:rsid w:val="00514A43"/>
    <w:rsid w:val="005174E5"/>
    <w:rsid w:val="00522393"/>
    <w:rsid w:val="00522620"/>
    <w:rsid w:val="00525656"/>
    <w:rsid w:val="00534C02"/>
    <w:rsid w:val="00534D29"/>
    <w:rsid w:val="00534EC9"/>
    <w:rsid w:val="00536D0D"/>
    <w:rsid w:val="0054264B"/>
    <w:rsid w:val="00543786"/>
    <w:rsid w:val="00550AC2"/>
    <w:rsid w:val="005533D7"/>
    <w:rsid w:val="00563DE7"/>
    <w:rsid w:val="005703DE"/>
    <w:rsid w:val="005709B1"/>
    <w:rsid w:val="00570D9F"/>
    <w:rsid w:val="00575169"/>
    <w:rsid w:val="005828EB"/>
    <w:rsid w:val="0058464E"/>
    <w:rsid w:val="00587FD0"/>
    <w:rsid w:val="00592C13"/>
    <w:rsid w:val="005A01CB"/>
    <w:rsid w:val="005A58FF"/>
    <w:rsid w:val="005A5EAF"/>
    <w:rsid w:val="005A64C0"/>
    <w:rsid w:val="005B12B4"/>
    <w:rsid w:val="005B3C11"/>
    <w:rsid w:val="005B3CB5"/>
    <w:rsid w:val="005B42D0"/>
    <w:rsid w:val="005B73B1"/>
    <w:rsid w:val="005C1190"/>
    <w:rsid w:val="005C1C28"/>
    <w:rsid w:val="005C40BF"/>
    <w:rsid w:val="005C6DB5"/>
    <w:rsid w:val="005C7E1D"/>
    <w:rsid w:val="005D347A"/>
    <w:rsid w:val="005D4E43"/>
    <w:rsid w:val="005E0135"/>
    <w:rsid w:val="005E19E7"/>
    <w:rsid w:val="005E6661"/>
    <w:rsid w:val="005E71F4"/>
    <w:rsid w:val="005F1913"/>
    <w:rsid w:val="005F2504"/>
    <w:rsid w:val="005F350E"/>
    <w:rsid w:val="005F7EFC"/>
    <w:rsid w:val="00603CAD"/>
    <w:rsid w:val="00613E76"/>
    <w:rsid w:val="0061716C"/>
    <w:rsid w:val="00617987"/>
    <w:rsid w:val="006243A1"/>
    <w:rsid w:val="0062443F"/>
    <w:rsid w:val="0062500E"/>
    <w:rsid w:val="0063099E"/>
    <w:rsid w:val="0063111E"/>
    <w:rsid w:val="00632E56"/>
    <w:rsid w:val="00635CBA"/>
    <w:rsid w:val="006408B6"/>
    <w:rsid w:val="00641C62"/>
    <w:rsid w:val="006423A6"/>
    <w:rsid w:val="0064338B"/>
    <w:rsid w:val="00646542"/>
    <w:rsid w:val="00646A44"/>
    <w:rsid w:val="00646A5E"/>
    <w:rsid w:val="0064705D"/>
    <w:rsid w:val="006471BF"/>
    <w:rsid w:val="006504F4"/>
    <w:rsid w:val="00651D37"/>
    <w:rsid w:val="00652A8E"/>
    <w:rsid w:val="00654BC9"/>
    <w:rsid w:val="006552FD"/>
    <w:rsid w:val="006554A5"/>
    <w:rsid w:val="00663AF3"/>
    <w:rsid w:val="0066614A"/>
    <w:rsid w:val="00666B6C"/>
    <w:rsid w:val="00666DAA"/>
    <w:rsid w:val="00676D9C"/>
    <w:rsid w:val="00682682"/>
    <w:rsid w:val="00682702"/>
    <w:rsid w:val="00685C3B"/>
    <w:rsid w:val="006862EB"/>
    <w:rsid w:val="00692368"/>
    <w:rsid w:val="00692D89"/>
    <w:rsid w:val="006A2AC3"/>
    <w:rsid w:val="006A2EBC"/>
    <w:rsid w:val="006A5EA0"/>
    <w:rsid w:val="006A70C5"/>
    <w:rsid w:val="006A77D9"/>
    <w:rsid w:val="006A783B"/>
    <w:rsid w:val="006A7AEB"/>
    <w:rsid w:val="006A7B33"/>
    <w:rsid w:val="006A7DD3"/>
    <w:rsid w:val="006B0009"/>
    <w:rsid w:val="006B4E13"/>
    <w:rsid w:val="006B75DD"/>
    <w:rsid w:val="006C25F5"/>
    <w:rsid w:val="006C3EC4"/>
    <w:rsid w:val="006C4C67"/>
    <w:rsid w:val="006C558C"/>
    <w:rsid w:val="006C5EC8"/>
    <w:rsid w:val="006C67E0"/>
    <w:rsid w:val="006C7ABA"/>
    <w:rsid w:val="006D0D60"/>
    <w:rsid w:val="006D1122"/>
    <w:rsid w:val="006D3C00"/>
    <w:rsid w:val="006D4D2E"/>
    <w:rsid w:val="006E3675"/>
    <w:rsid w:val="006E4A7F"/>
    <w:rsid w:val="006E5E69"/>
    <w:rsid w:val="006E61CF"/>
    <w:rsid w:val="006F2AB3"/>
    <w:rsid w:val="006F2FCF"/>
    <w:rsid w:val="00702335"/>
    <w:rsid w:val="00704DF6"/>
    <w:rsid w:val="007063A9"/>
    <w:rsid w:val="0070651C"/>
    <w:rsid w:val="00707D93"/>
    <w:rsid w:val="00710216"/>
    <w:rsid w:val="007112B2"/>
    <w:rsid w:val="00711B5A"/>
    <w:rsid w:val="007132A3"/>
    <w:rsid w:val="00716421"/>
    <w:rsid w:val="00717651"/>
    <w:rsid w:val="00724EFB"/>
    <w:rsid w:val="00727D55"/>
    <w:rsid w:val="00727F16"/>
    <w:rsid w:val="00732949"/>
    <w:rsid w:val="0073693A"/>
    <w:rsid w:val="00740A01"/>
    <w:rsid w:val="007419C3"/>
    <w:rsid w:val="00743B4A"/>
    <w:rsid w:val="007467A7"/>
    <w:rsid w:val="007469DD"/>
    <w:rsid w:val="00747074"/>
    <w:rsid w:val="00747275"/>
    <w:rsid w:val="0074741B"/>
    <w:rsid w:val="0074759E"/>
    <w:rsid w:val="007478EA"/>
    <w:rsid w:val="00753E0E"/>
    <w:rsid w:val="0075415C"/>
    <w:rsid w:val="00763502"/>
    <w:rsid w:val="007643EE"/>
    <w:rsid w:val="00765463"/>
    <w:rsid w:val="00767D83"/>
    <w:rsid w:val="00774E9B"/>
    <w:rsid w:val="00776E00"/>
    <w:rsid w:val="00777400"/>
    <w:rsid w:val="007848C5"/>
    <w:rsid w:val="00784DB9"/>
    <w:rsid w:val="00787070"/>
    <w:rsid w:val="007913AB"/>
    <w:rsid w:val="007914F7"/>
    <w:rsid w:val="00797015"/>
    <w:rsid w:val="007B0C68"/>
    <w:rsid w:val="007B1625"/>
    <w:rsid w:val="007B2AA6"/>
    <w:rsid w:val="007B706E"/>
    <w:rsid w:val="007B71EB"/>
    <w:rsid w:val="007B7F4D"/>
    <w:rsid w:val="007C31B5"/>
    <w:rsid w:val="007C31CC"/>
    <w:rsid w:val="007C6205"/>
    <w:rsid w:val="007C686A"/>
    <w:rsid w:val="007C728E"/>
    <w:rsid w:val="007D2C53"/>
    <w:rsid w:val="007D3D60"/>
    <w:rsid w:val="007E1980"/>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410A"/>
    <w:rsid w:val="008346A9"/>
    <w:rsid w:val="00835742"/>
    <w:rsid w:val="00835DB3"/>
    <w:rsid w:val="0083617B"/>
    <w:rsid w:val="008371BD"/>
    <w:rsid w:val="008504A8"/>
    <w:rsid w:val="0085282E"/>
    <w:rsid w:val="008533B6"/>
    <w:rsid w:val="00862151"/>
    <w:rsid w:val="0086389E"/>
    <w:rsid w:val="00864FB4"/>
    <w:rsid w:val="00867D1C"/>
    <w:rsid w:val="0087198C"/>
    <w:rsid w:val="00872C1F"/>
    <w:rsid w:val="00873B42"/>
    <w:rsid w:val="00874A40"/>
    <w:rsid w:val="00875A74"/>
    <w:rsid w:val="008770F5"/>
    <w:rsid w:val="00877177"/>
    <w:rsid w:val="0087773E"/>
    <w:rsid w:val="00882D2B"/>
    <w:rsid w:val="008856D8"/>
    <w:rsid w:val="00892E82"/>
    <w:rsid w:val="008949A7"/>
    <w:rsid w:val="008B4857"/>
    <w:rsid w:val="008C0D91"/>
    <w:rsid w:val="008C1B58"/>
    <w:rsid w:val="008C31DD"/>
    <w:rsid w:val="008C3324"/>
    <w:rsid w:val="008C39AE"/>
    <w:rsid w:val="008C590D"/>
    <w:rsid w:val="008C5F12"/>
    <w:rsid w:val="008C5FB1"/>
    <w:rsid w:val="008D009D"/>
    <w:rsid w:val="008D250B"/>
    <w:rsid w:val="008D4EA9"/>
    <w:rsid w:val="008D5AEE"/>
    <w:rsid w:val="008D7B45"/>
    <w:rsid w:val="008E031B"/>
    <w:rsid w:val="008E2388"/>
    <w:rsid w:val="008E4014"/>
    <w:rsid w:val="008E60E2"/>
    <w:rsid w:val="008E6614"/>
    <w:rsid w:val="008E7029"/>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4CC4"/>
    <w:rsid w:val="00936007"/>
    <w:rsid w:val="009363F2"/>
    <w:rsid w:val="0093742D"/>
    <w:rsid w:val="00940CB5"/>
    <w:rsid w:val="00940FAC"/>
    <w:rsid w:val="009415BA"/>
    <w:rsid w:val="0094212C"/>
    <w:rsid w:val="009421BE"/>
    <w:rsid w:val="00946042"/>
    <w:rsid w:val="009504BC"/>
    <w:rsid w:val="009507F6"/>
    <w:rsid w:val="00951D89"/>
    <w:rsid w:val="009520CA"/>
    <w:rsid w:val="00954689"/>
    <w:rsid w:val="009562D4"/>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398A"/>
    <w:rsid w:val="00994E8F"/>
    <w:rsid w:val="009951DC"/>
    <w:rsid w:val="009959BB"/>
    <w:rsid w:val="00996669"/>
    <w:rsid w:val="00997158"/>
    <w:rsid w:val="009A263C"/>
    <w:rsid w:val="009A3A7C"/>
    <w:rsid w:val="009A4017"/>
    <w:rsid w:val="009A65E2"/>
    <w:rsid w:val="009A664B"/>
    <w:rsid w:val="009B2ADB"/>
    <w:rsid w:val="009B47BF"/>
    <w:rsid w:val="009B603A"/>
    <w:rsid w:val="009B7BD0"/>
    <w:rsid w:val="009C0F68"/>
    <w:rsid w:val="009C2D0E"/>
    <w:rsid w:val="009C3DAC"/>
    <w:rsid w:val="009C42E0"/>
    <w:rsid w:val="009C4E79"/>
    <w:rsid w:val="009C4EEC"/>
    <w:rsid w:val="009C7DCB"/>
    <w:rsid w:val="009D23AB"/>
    <w:rsid w:val="009D28B6"/>
    <w:rsid w:val="009D2B49"/>
    <w:rsid w:val="009D5362"/>
    <w:rsid w:val="009E09B4"/>
    <w:rsid w:val="009E1415"/>
    <w:rsid w:val="009E5754"/>
    <w:rsid w:val="009E6116"/>
    <w:rsid w:val="009E6EFD"/>
    <w:rsid w:val="009F11B8"/>
    <w:rsid w:val="009F1B15"/>
    <w:rsid w:val="009F2536"/>
    <w:rsid w:val="009F73D8"/>
    <w:rsid w:val="00A0112A"/>
    <w:rsid w:val="00A02E43"/>
    <w:rsid w:val="00A065F9"/>
    <w:rsid w:val="00A07EE2"/>
    <w:rsid w:val="00A07F34"/>
    <w:rsid w:val="00A15157"/>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51E72"/>
    <w:rsid w:val="00A5682B"/>
    <w:rsid w:val="00A6107E"/>
    <w:rsid w:val="00A6394B"/>
    <w:rsid w:val="00A671A9"/>
    <w:rsid w:val="00A6730D"/>
    <w:rsid w:val="00A6746D"/>
    <w:rsid w:val="00A71625"/>
    <w:rsid w:val="00A71B9B"/>
    <w:rsid w:val="00A7222F"/>
    <w:rsid w:val="00A751C7"/>
    <w:rsid w:val="00A828DE"/>
    <w:rsid w:val="00A8492D"/>
    <w:rsid w:val="00A87844"/>
    <w:rsid w:val="00A9269C"/>
    <w:rsid w:val="00A92ADF"/>
    <w:rsid w:val="00A94C41"/>
    <w:rsid w:val="00AA038C"/>
    <w:rsid w:val="00AA1737"/>
    <w:rsid w:val="00AA7A09"/>
    <w:rsid w:val="00AB2D90"/>
    <w:rsid w:val="00AB3B50"/>
    <w:rsid w:val="00AB3C6A"/>
    <w:rsid w:val="00AB5CDD"/>
    <w:rsid w:val="00AC05B1"/>
    <w:rsid w:val="00AC6F5A"/>
    <w:rsid w:val="00AD1C43"/>
    <w:rsid w:val="00AD356C"/>
    <w:rsid w:val="00AD6268"/>
    <w:rsid w:val="00AD6C43"/>
    <w:rsid w:val="00AE2914"/>
    <w:rsid w:val="00AE42A9"/>
    <w:rsid w:val="00AE6D15"/>
    <w:rsid w:val="00AE7BBA"/>
    <w:rsid w:val="00AF49A4"/>
    <w:rsid w:val="00AF4D12"/>
    <w:rsid w:val="00B01D5B"/>
    <w:rsid w:val="00B01FF6"/>
    <w:rsid w:val="00B04182"/>
    <w:rsid w:val="00B07AE3"/>
    <w:rsid w:val="00B11430"/>
    <w:rsid w:val="00B30FB4"/>
    <w:rsid w:val="00B3352A"/>
    <w:rsid w:val="00B34117"/>
    <w:rsid w:val="00B34238"/>
    <w:rsid w:val="00B34A96"/>
    <w:rsid w:val="00B353EB"/>
    <w:rsid w:val="00B36260"/>
    <w:rsid w:val="00B439C4"/>
    <w:rsid w:val="00B43E20"/>
    <w:rsid w:val="00B440D6"/>
    <w:rsid w:val="00B4535E"/>
    <w:rsid w:val="00B50D6E"/>
    <w:rsid w:val="00B5197C"/>
    <w:rsid w:val="00B52A8C"/>
    <w:rsid w:val="00B53CBD"/>
    <w:rsid w:val="00B6239F"/>
    <w:rsid w:val="00B636A8"/>
    <w:rsid w:val="00B651BB"/>
    <w:rsid w:val="00B665C6"/>
    <w:rsid w:val="00B679EE"/>
    <w:rsid w:val="00B74EB5"/>
    <w:rsid w:val="00B805AF"/>
    <w:rsid w:val="00B8149F"/>
    <w:rsid w:val="00B869EC"/>
    <w:rsid w:val="00B86D7D"/>
    <w:rsid w:val="00B9076F"/>
    <w:rsid w:val="00B9397A"/>
    <w:rsid w:val="00B95E90"/>
    <w:rsid w:val="00B9633D"/>
    <w:rsid w:val="00BA2EBE"/>
    <w:rsid w:val="00BA7011"/>
    <w:rsid w:val="00BA78BF"/>
    <w:rsid w:val="00BB0F28"/>
    <w:rsid w:val="00BB0F47"/>
    <w:rsid w:val="00BB41EA"/>
    <w:rsid w:val="00BB458A"/>
    <w:rsid w:val="00BC18E2"/>
    <w:rsid w:val="00BD00D3"/>
    <w:rsid w:val="00BD1659"/>
    <w:rsid w:val="00BD3AA9"/>
    <w:rsid w:val="00BD4A18"/>
    <w:rsid w:val="00BD6DB2"/>
    <w:rsid w:val="00BE042B"/>
    <w:rsid w:val="00BE11CF"/>
    <w:rsid w:val="00BE21AB"/>
    <w:rsid w:val="00BE2E40"/>
    <w:rsid w:val="00BE4E0E"/>
    <w:rsid w:val="00BE55CB"/>
    <w:rsid w:val="00BE77C3"/>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241"/>
    <w:rsid w:val="00C233BE"/>
    <w:rsid w:val="00C24971"/>
    <w:rsid w:val="00C26BE5"/>
    <w:rsid w:val="00C26E4D"/>
    <w:rsid w:val="00C27909"/>
    <w:rsid w:val="00C27B03"/>
    <w:rsid w:val="00C3025F"/>
    <w:rsid w:val="00C314E1"/>
    <w:rsid w:val="00C31A79"/>
    <w:rsid w:val="00C32DD9"/>
    <w:rsid w:val="00C33AD0"/>
    <w:rsid w:val="00C34397"/>
    <w:rsid w:val="00C4095D"/>
    <w:rsid w:val="00C446D1"/>
    <w:rsid w:val="00C458E9"/>
    <w:rsid w:val="00C45A5A"/>
    <w:rsid w:val="00C50BA5"/>
    <w:rsid w:val="00C543C0"/>
    <w:rsid w:val="00C55F2B"/>
    <w:rsid w:val="00C56DF0"/>
    <w:rsid w:val="00C601D2"/>
    <w:rsid w:val="00C613DE"/>
    <w:rsid w:val="00C61CA0"/>
    <w:rsid w:val="00C636F9"/>
    <w:rsid w:val="00C657AB"/>
    <w:rsid w:val="00C65BCC"/>
    <w:rsid w:val="00C66970"/>
    <w:rsid w:val="00C674FF"/>
    <w:rsid w:val="00C67EE6"/>
    <w:rsid w:val="00C73BC7"/>
    <w:rsid w:val="00C778A9"/>
    <w:rsid w:val="00C8585D"/>
    <w:rsid w:val="00C8691C"/>
    <w:rsid w:val="00C86A9E"/>
    <w:rsid w:val="00C90606"/>
    <w:rsid w:val="00C928D8"/>
    <w:rsid w:val="00C93BC0"/>
    <w:rsid w:val="00C95B40"/>
    <w:rsid w:val="00CA168A"/>
    <w:rsid w:val="00CA2A42"/>
    <w:rsid w:val="00CA357E"/>
    <w:rsid w:val="00CA44F9"/>
    <w:rsid w:val="00CA4A69"/>
    <w:rsid w:val="00CB2D67"/>
    <w:rsid w:val="00CC3E0C"/>
    <w:rsid w:val="00CC58D3"/>
    <w:rsid w:val="00CC784D"/>
    <w:rsid w:val="00CD2F47"/>
    <w:rsid w:val="00CD6724"/>
    <w:rsid w:val="00CE2006"/>
    <w:rsid w:val="00CE3DDE"/>
    <w:rsid w:val="00CE51F7"/>
    <w:rsid w:val="00CF15CF"/>
    <w:rsid w:val="00D0337B"/>
    <w:rsid w:val="00D0412E"/>
    <w:rsid w:val="00D04F64"/>
    <w:rsid w:val="00D05B87"/>
    <w:rsid w:val="00D079B2"/>
    <w:rsid w:val="00D114E9"/>
    <w:rsid w:val="00D11A67"/>
    <w:rsid w:val="00D11FDA"/>
    <w:rsid w:val="00D12001"/>
    <w:rsid w:val="00D120C1"/>
    <w:rsid w:val="00D12894"/>
    <w:rsid w:val="00D2249B"/>
    <w:rsid w:val="00D2393C"/>
    <w:rsid w:val="00D242F8"/>
    <w:rsid w:val="00D37A4C"/>
    <w:rsid w:val="00D41BB5"/>
    <w:rsid w:val="00D429C6"/>
    <w:rsid w:val="00D45385"/>
    <w:rsid w:val="00D47748"/>
    <w:rsid w:val="00D54CC3"/>
    <w:rsid w:val="00D567B0"/>
    <w:rsid w:val="00D6041A"/>
    <w:rsid w:val="00D633EB"/>
    <w:rsid w:val="00D71C2B"/>
    <w:rsid w:val="00D722CC"/>
    <w:rsid w:val="00D72991"/>
    <w:rsid w:val="00D827AB"/>
    <w:rsid w:val="00D82FF7"/>
    <w:rsid w:val="00D83842"/>
    <w:rsid w:val="00D847FE"/>
    <w:rsid w:val="00D85F8E"/>
    <w:rsid w:val="00D86EC2"/>
    <w:rsid w:val="00D93ED3"/>
    <w:rsid w:val="00D9561C"/>
    <w:rsid w:val="00D964EA"/>
    <w:rsid w:val="00D966D0"/>
    <w:rsid w:val="00DA0C59"/>
    <w:rsid w:val="00DA1E1B"/>
    <w:rsid w:val="00DA3991"/>
    <w:rsid w:val="00DA3A00"/>
    <w:rsid w:val="00DB1642"/>
    <w:rsid w:val="00DB5F1D"/>
    <w:rsid w:val="00DB7325"/>
    <w:rsid w:val="00DB7566"/>
    <w:rsid w:val="00DB7E6C"/>
    <w:rsid w:val="00DC1267"/>
    <w:rsid w:val="00DC3B61"/>
    <w:rsid w:val="00DC68C1"/>
    <w:rsid w:val="00DD5A29"/>
    <w:rsid w:val="00DD5D9D"/>
    <w:rsid w:val="00DE1E8C"/>
    <w:rsid w:val="00DE35CB"/>
    <w:rsid w:val="00DE54C0"/>
    <w:rsid w:val="00DF21E9"/>
    <w:rsid w:val="00DF3835"/>
    <w:rsid w:val="00DF4689"/>
    <w:rsid w:val="00DF7839"/>
    <w:rsid w:val="00E00F14"/>
    <w:rsid w:val="00E014DB"/>
    <w:rsid w:val="00E01E2C"/>
    <w:rsid w:val="00E06386"/>
    <w:rsid w:val="00E06724"/>
    <w:rsid w:val="00E13AFD"/>
    <w:rsid w:val="00E24EB4"/>
    <w:rsid w:val="00E320ED"/>
    <w:rsid w:val="00E32DF6"/>
    <w:rsid w:val="00E33AFB"/>
    <w:rsid w:val="00E34218"/>
    <w:rsid w:val="00E36B6A"/>
    <w:rsid w:val="00E46282"/>
    <w:rsid w:val="00E47E10"/>
    <w:rsid w:val="00E51468"/>
    <w:rsid w:val="00E51CCA"/>
    <w:rsid w:val="00E5216E"/>
    <w:rsid w:val="00E57BBB"/>
    <w:rsid w:val="00E608D9"/>
    <w:rsid w:val="00E60B84"/>
    <w:rsid w:val="00E66DEE"/>
    <w:rsid w:val="00E70631"/>
    <w:rsid w:val="00E72A9E"/>
    <w:rsid w:val="00E76C52"/>
    <w:rsid w:val="00E82344"/>
    <w:rsid w:val="00E84C82"/>
    <w:rsid w:val="00E84CB1"/>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58BA"/>
    <w:rsid w:val="00EF7629"/>
    <w:rsid w:val="00F01332"/>
    <w:rsid w:val="00F04C3F"/>
    <w:rsid w:val="00F11BB5"/>
    <w:rsid w:val="00F1417B"/>
    <w:rsid w:val="00F175B9"/>
    <w:rsid w:val="00F1787C"/>
    <w:rsid w:val="00F2568E"/>
    <w:rsid w:val="00F27FF2"/>
    <w:rsid w:val="00F34B99"/>
    <w:rsid w:val="00F37A7F"/>
    <w:rsid w:val="00F43145"/>
    <w:rsid w:val="00F510E6"/>
    <w:rsid w:val="00F52DAB"/>
    <w:rsid w:val="00F532E3"/>
    <w:rsid w:val="00F543F0"/>
    <w:rsid w:val="00F6373D"/>
    <w:rsid w:val="00F70B95"/>
    <w:rsid w:val="00F72314"/>
    <w:rsid w:val="00F737AD"/>
    <w:rsid w:val="00F76381"/>
    <w:rsid w:val="00F81158"/>
    <w:rsid w:val="00F81D29"/>
    <w:rsid w:val="00F81D61"/>
    <w:rsid w:val="00F81DC8"/>
    <w:rsid w:val="00F90061"/>
    <w:rsid w:val="00F91C4D"/>
    <w:rsid w:val="00F92FD9"/>
    <w:rsid w:val="00F94E33"/>
    <w:rsid w:val="00F976AD"/>
    <w:rsid w:val="00FA0C4E"/>
    <w:rsid w:val="00FA2541"/>
    <w:rsid w:val="00FA42EF"/>
    <w:rsid w:val="00FA6470"/>
    <w:rsid w:val="00FA6684"/>
    <w:rsid w:val="00FA705E"/>
    <w:rsid w:val="00FA731E"/>
    <w:rsid w:val="00FB0B66"/>
    <w:rsid w:val="00FB2B38"/>
    <w:rsid w:val="00FB3791"/>
    <w:rsid w:val="00FB6414"/>
    <w:rsid w:val="00FC6358"/>
    <w:rsid w:val="00FC6C90"/>
    <w:rsid w:val="00FD04BB"/>
    <w:rsid w:val="00FD320D"/>
    <w:rsid w:val="00FD570D"/>
    <w:rsid w:val="00FE23DE"/>
    <w:rsid w:val="00FE2A06"/>
    <w:rsid w:val="00FF45B6"/>
    <w:rsid w:val="00FF7607"/>
    <w:rsid w:val="03563CE3"/>
    <w:rsid w:val="04AF42EF"/>
    <w:rsid w:val="05C14567"/>
    <w:rsid w:val="05FF07B5"/>
    <w:rsid w:val="08E55DE7"/>
    <w:rsid w:val="090C5C75"/>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7C6E7A"/>
    <w:rsid w:val="1BD74E4B"/>
    <w:rsid w:val="1D781DF9"/>
    <w:rsid w:val="1F3E57F5"/>
    <w:rsid w:val="1F4E1E0D"/>
    <w:rsid w:val="20236CFE"/>
    <w:rsid w:val="202E6203"/>
    <w:rsid w:val="208F11E7"/>
    <w:rsid w:val="215C14F1"/>
    <w:rsid w:val="21EE4C6A"/>
    <w:rsid w:val="23616F01"/>
    <w:rsid w:val="23671F2C"/>
    <w:rsid w:val="23CA246C"/>
    <w:rsid w:val="240D58A5"/>
    <w:rsid w:val="24642242"/>
    <w:rsid w:val="24767468"/>
    <w:rsid w:val="25383895"/>
    <w:rsid w:val="26615569"/>
    <w:rsid w:val="26834513"/>
    <w:rsid w:val="274A5AC6"/>
    <w:rsid w:val="2B8B7DC3"/>
    <w:rsid w:val="2C2D37D2"/>
    <w:rsid w:val="2D1F1D65"/>
    <w:rsid w:val="2DAC5F75"/>
    <w:rsid w:val="2E1C1A4E"/>
    <w:rsid w:val="2F062103"/>
    <w:rsid w:val="300F6E18"/>
    <w:rsid w:val="301C5852"/>
    <w:rsid w:val="321A12C0"/>
    <w:rsid w:val="324B7B8D"/>
    <w:rsid w:val="3410010D"/>
    <w:rsid w:val="34851BA6"/>
    <w:rsid w:val="35DB4005"/>
    <w:rsid w:val="369260AD"/>
    <w:rsid w:val="38675EDD"/>
    <w:rsid w:val="3871021D"/>
    <w:rsid w:val="38BA5276"/>
    <w:rsid w:val="38D26EC8"/>
    <w:rsid w:val="39CC502E"/>
    <w:rsid w:val="39DC01DA"/>
    <w:rsid w:val="3A2C035C"/>
    <w:rsid w:val="3A7466AB"/>
    <w:rsid w:val="3A8D375B"/>
    <w:rsid w:val="3AB00829"/>
    <w:rsid w:val="3C6F43DB"/>
    <w:rsid w:val="3DDE678C"/>
    <w:rsid w:val="3E517F07"/>
    <w:rsid w:val="3F2C098B"/>
    <w:rsid w:val="40321118"/>
    <w:rsid w:val="40540B76"/>
    <w:rsid w:val="40EE303B"/>
    <w:rsid w:val="41695BCD"/>
    <w:rsid w:val="41B778CF"/>
    <w:rsid w:val="4383564A"/>
    <w:rsid w:val="451C3C40"/>
    <w:rsid w:val="454E662A"/>
    <w:rsid w:val="458B40D1"/>
    <w:rsid w:val="45C00343"/>
    <w:rsid w:val="469C2D08"/>
    <w:rsid w:val="47932DEB"/>
    <w:rsid w:val="479D0403"/>
    <w:rsid w:val="489B5047"/>
    <w:rsid w:val="494914DD"/>
    <w:rsid w:val="4BE148C2"/>
    <w:rsid w:val="4DA353B5"/>
    <w:rsid w:val="4DC024C2"/>
    <w:rsid w:val="4E9D26ED"/>
    <w:rsid w:val="4F98252E"/>
    <w:rsid w:val="4FFE506F"/>
    <w:rsid w:val="51A45239"/>
    <w:rsid w:val="51B63A66"/>
    <w:rsid w:val="51C508AC"/>
    <w:rsid w:val="51D33F98"/>
    <w:rsid w:val="52E25873"/>
    <w:rsid w:val="542E0D4A"/>
    <w:rsid w:val="54677F4B"/>
    <w:rsid w:val="54AB45BB"/>
    <w:rsid w:val="56963C59"/>
    <w:rsid w:val="56D94B3D"/>
    <w:rsid w:val="58094B8B"/>
    <w:rsid w:val="587614A3"/>
    <w:rsid w:val="58777528"/>
    <w:rsid w:val="595C5808"/>
    <w:rsid w:val="5AE12A2F"/>
    <w:rsid w:val="5B47245F"/>
    <w:rsid w:val="5C227DDB"/>
    <w:rsid w:val="5C366724"/>
    <w:rsid w:val="5C7A3515"/>
    <w:rsid w:val="5DCD3E7B"/>
    <w:rsid w:val="5E2B2A21"/>
    <w:rsid w:val="5E3753EE"/>
    <w:rsid w:val="5E3C3679"/>
    <w:rsid w:val="5E6B18C8"/>
    <w:rsid w:val="5F47332B"/>
    <w:rsid w:val="5F7B5377"/>
    <w:rsid w:val="607667A1"/>
    <w:rsid w:val="616151C6"/>
    <w:rsid w:val="616803F8"/>
    <w:rsid w:val="622E7C4D"/>
    <w:rsid w:val="62301BA8"/>
    <w:rsid w:val="624B4DA8"/>
    <w:rsid w:val="627B408D"/>
    <w:rsid w:val="645D5F22"/>
    <w:rsid w:val="6568477B"/>
    <w:rsid w:val="66183907"/>
    <w:rsid w:val="66E7353A"/>
    <w:rsid w:val="674B0307"/>
    <w:rsid w:val="68BF20CA"/>
    <w:rsid w:val="68D52A0C"/>
    <w:rsid w:val="6948200E"/>
    <w:rsid w:val="6A5C1C31"/>
    <w:rsid w:val="6B037447"/>
    <w:rsid w:val="6B204668"/>
    <w:rsid w:val="6B9A655A"/>
    <w:rsid w:val="6C790ECB"/>
    <w:rsid w:val="6CD43640"/>
    <w:rsid w:val="6CFD7976"/>
    <w:rsid w:val="6D147FF8"/>
    <w:rsid w:val="6D530E82"/>
    <w:rsid w:val="6E166FE8"/>
    <w:rsid w:val="6E453FEE"/>
    <w:rsid w:val="6E906FA7"/>
    <w:rsid w:val="6ED47C90"/>
    <w:rsid w:val="6F9A64A0"/>
    <w:rsid w:val="70034993"/>
    <w:rsid w:val="71657824"/>
    <w:rsid w:val="716E3847"/>
    <w:rsid w:val="716F1097"/>
    <w:rsid w:val="72B868C0"/>
    <w:rsid w:val="72EE2C2E"/>
    <w:rsid w:val="73325C18"/>
    <w:rsid w:val="740709D7"/>
    <w:rsid w:val="767B1592"/>
    <w:rsid w:val="770807A4"/>
    <w:rsid w:val="77204A34"/>
    <w:rsid w:val="77CA3CE3"/>
    <w:rsid w:val="77E61714"/>
    <w:rsid w:val="77EB02B8"/>
    <w:rsid w:val="7904183A"/>
    <w:rsid w:val="79C17923"/>
    <w:rsid w:val="7A0525D6"/>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uiPriority w:val="99"/>
    <w:rPr>
      <w:kern w:val="2"/>
      <w:sz w:val="18"/>
      <w:szCs w:val="18"/>
    </w:rPr>
  </w:style>
  <w:style w:type="character" w:customStyle="1" w:styleId="45">
    <w:name w:val="页眉 字符"/>
    <w:link w:val="17"/>
    <w:qFormat/>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style>
  <w:style w:type="character" w:customStyle="1" w:styleId="51">
    <w:name w:val="章标题 Char"/>
    <w:link w:val="52"/>
    <w:qFormat/>
    <w:uiPriority w:val="0"/>
    <w:rPr>
      <w:rFonts w:ascii="黑体" w:eastAsia="黑体"/>
      <w:sz w:val="21"/>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uiPriority w:val="0"/>
    <w:rPr>
      <w:rFonts w:ascii="黑体" w:eastAsia="黑体"/>
      <w:sz w:val="21"/>
      <w:szCs w:val="21"/>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C489E-04C4-440D-B611-55351DFB9028}">
  <ds:schemaRefs/>
</ds:datastoreItem>
</file>

<file path=docProps/app.xml><?xml version="1.0" encoding="utf-8"?>
<Properties xmlns="http://schemas.openxmlformats.org/officeDocument/2006/extended-properties" xmlns:vt="http://schemas.openxmlformats.org/officeDocument/2006/docPropsVTypes">
  <Template>Normal</Template>
  <Pages>20</Pages>
  <Words>1633</Words>
  <Characters>9309</Characters>
  <Lines>77</Lines>
  <Paragraphs>21</Paragraphs>
  <TotalTime>0</TotalTime>
  <ScaleCrop>false</ScaleCrop>
  <LinksUpToDate>false</LinksUpToDate>
  <CharactersWithSpaces>10921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2023-07-24T03:31:00Z</dcterms:created>
  <cp:lastPrinted>2021-11-10T08:05:00Z</cp:lastPrinted>
  <dcterms:modified xsi:type="dcterms:W3CDTF">2023-08-24T07:35:28Z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D59801578BC547B68948D9919D7C301D_13</vt:lpwstr>
  </property>
</Properties>
</file>