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ascii="Times New Roman" w:hAnsi="Times New Roman" w:eastAsia="仿宋_GB2312" w:cs="Times New Roman"/>
          <w:b/>
          <w:bCs/>
          <w:kern w:val="0"/>
          <w:sz w:val="32"/>
          <w:szCs w:val="32"/>
        </w:rPr>
      </w:pPr>
      <w:bookmarkStart w:id="0" w:name="_Toc481651147"/>
      <w:r>
        <w:rPr>
          <w:rFonts w:ascii="Times New Roman" w:hAnsi="Times New Roman" w:eastAsia="仿宋_GB2312" w:cs="Times New Roman"/>
          <w:b/>
          <w:bCs/>
          <w:kern w:val="0"/>
          <w:sz w:val="32"/>
          <w:szCs w:val="32"/>
        </w:rPr>
        <w:t>《</w:t>
      </w:r>
      <w:r>
        <w:rPr>
          <w:rFonts w:hint="eastAsia" w:ascii="Times New Roman" w:hAnsi="Times New Roman" w:eastAsia="仿宋_GB2312" w:cs="Times New Roman"/>
          <w:b/>
          <w:bCs/>
          <w:kern w:val="0"/>
          <w:sz w:val="32"/>
          <w:szCs w:val="32"/>
        </w:rPr>
        <w:t xml:space="preserve">中国钢铁产品放心品牌评价规范 </w:t>
      </w:r>
      <w:r>
        <w:rPr>
          <w:rFonts w:hint="eastAsia" w:ascii="Times New Roman" w:hAnsi="Times New Roman" w:eastAsia="仿宋_GB2312" w:cs="Times New Roman"/>
          <w:b/>
          <w:bCs/>
          <w:kern w:val="0"/>
          <w:sz w:val="32"/>
          <w:szCs w:val="32"/>
          <w:lang w:eastAsia="zh-CN"/>
        </w:rPr>
        <w:t>一般用途冷轧用热轧钢带</w:t>
      </w:r>
      <w:r>
        <w:rPr>
          <w:rFonts w:ascii="Times New Roman" w:hAnsi="Times New Roman" w:eastAsia="仿宋_GB2312" w:cs="Times New Roman"/>
          <w:b/>
          <w:bCs/>
          <w:kern w:val="0"/>
          <w:sz w:val="32"/>
          <w:szCs w:val="32"/>
        </w:rPr>
        <w:t>》团体标准编制说明</w:t>
      </w:r>
    </w:p>
    <w:p>
      <w:pPr>
        <w:jc w:val="center"/>
        <w:rPr>
          <w:rFonts w:ascii="Times New Roman" w:hAnsi="Times New Roman" w:eastAsia="黑体" w:cs="Times New Roman"/>
          <w:b/>
          <w:bCs/>
          <w:sz w:val="32"/>
          <w:szCs w:val="32"/>
        </w:rPr>
      </w:pPr>
    </w:p>
    <w:bookmarkEnd w:id="0"/>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一、任务来源</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贯彻落实中共中央、国务院印发的《国家标准化发展纲要》中大力发展团体标准的有关要求，制定满足市场和创新需要的团体标准，落实国家关于钢铁行业高质量发展的政策导向，满足钢铁行业对</w:t>
      </w:r>
      <w:r>
        <w:rPr>
          <w:rFonts w:hint="eastAsia" w:ascii="Times New Roman" w:hAnsi="Times New Roman" w:eastAsia="仿宋_GB2312" w:cs="Times New Roman"/>
          <w:sz w:val="28"/>
          <w:szCs w:val="28"/>
          <w:lang w:eastAsia="zh-CN"/>
        </w:rPr>
        <w:t>一般用途冷轧用热轧钢带</w:t>
      </w:r>
      <w:r>
        <w:rPr>
          <w:rFonts w:hint="eastAsia" w:ascii="Times New Roman" w:hAnsi="Times New Roman" w:eastAsia="仿宋_GB2312" w:cs="Times New Roman"/>
          <w:sz w:val="28"/>
          <w:szCs w:val="28"/>
        </w:rPr>
        <w:t>放心品牌</w:t>
      </w:r>
      <w:r>
        <w:rPr>
          <w:rFonts w:ascii="Times New Roman" w:hAnsi="Times New Roman" w:eastAsia="仿宋_GB2312" w:cs="Times New Roman"/>
          <w:sz w:val="28"/>
          <w:szCs w:val="28"/>
        </w:rPr>
        <w:t>评价标准</w:t>
      </w:r>
      <w:r>
        <w:rPr>
          <w:rFonts w:hint="eastAsia" w:ascii="Times New Roman" w:hAnsi="Times New Roman" w:eastAsia="仿宋_GB2312" w:cs="Times New Roman"/>
          <w:sz w:val="28"/>
          <w:szCs w:val="28"/>
        </w:rPr>
        <w:t xml:space="preserve">的实际需求，提出《中国钢铁产品放心品牌评价规范 </w:t>
      </w:r>
      <w:r>
        <w:rPr>
          <w:rFonts w:hint="eastAsia" w:ascii="Times New Roman" w:hAnsi="Times New Roman" w:eastAsia="仿宋_GB2312" w:cs="Times New Roman"/>
          <w:sz w:val="28"/>
          <w:szCs w:val="28"/>
          <w:lang w:eastAsia="zh-CN"/>
        </w:rPr>
        <w:t>一般用途冷轧用热轧钢带</w:t>
      </w:r>
      <w:r>
        <w:rPr>
          <w:rFonts w:hint="eastAsia" w:ascii="Times New Roman" w:hAnsi="Times New Roman" w:eastAsia="仿宋_GB2312" w:cs="Times New Roman"/>
          <w:sz w:val="28"/>
          <w:szCs w:val="28"/>
        </w:rPr>
        <w:t>》团体标准制定项目。</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本文件由中国特钢企业协会提出并归口，冶金工业规划研究院作为标准组织协调单位。根据中国特钢企业协会团体标准化工作委员会2022年第</w:t>
      </w:r>
      <w:r>
        <w:rPr>
          <w:rFonts w:hint="eastAsia" w:ascii="Times New Roman" w:hAnsi="Times New Roman" w:eastAsia="仿宋_GB2312" w:cs="Times New Roman"/>
          <w:sz w:val="28"/>
          <w:szCs w:val="28"/>
        </w:rPr>
        <w:t>四</w:t>
      </w:r>
      <w:r>
        <w:rPr>
          <w:rFonts w:ascii="Times New Roman" w:hAnsi="Times New Roman" w:eastAsia="仿宋_GB2312" w:cs="Times New Roman"/>
          <w:sz w:val="28"/>
          <w:szCs w:val="28"/>
        </w:rPr>
        <w:t>批团体标准制修订计划，由</w:t>
      </w:r>
      <w:r>
        <w:rPr>
          <w:rFonts w:hint="eastAsia" w:ascii="Times New Roman" w:hAnsi="Times New Roman" w:eastAsia="仿宋_GB2312" w:cs="Times New Roman"/>
          <w:sz w:val="28"/>
          <w:szCs w:val="28"/>
          <w:highlight w:val="yellow"/>
          <w:lang w:val="en-US" w:eastAsia="zh-CN"/>
        </w:rPr>
        <w:t>XXXXX</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冶金工业规划研究院</w:t>
      </w:r>
      <w:r>
        <w:rPr>
          <w:rFonts w:hint="eastAsia" w:ascii="Times New Roman" w:hAnsi="Times New Roman" w:eastAsia="仿宋_GB2312" w:cs="Times New Roman"/>
          <w:sz w:val="28"/>
          <w:szCs w:val="28"/>
        </w:rPr>
        <w:t>等单位负责标准编制</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并共同参与前期研究、调研和标准的编制、修改、技术数据验证以及标准推广等工作。</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二、制定本文件的目的和意义</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冷轧钢带生产过程中缺陷往往来源于原材料热轧钢带产品，随着终端用户对冷轧钢带产品质量提升提出更高要求，需要热轧钢带生产企业供应具有优异冶金实物质量、表面质量优异、机械性能稳定性高的产品。为保障一般用途冷轧用热轧钢带产品质量，满足下游客户采购需求，提高产业链上下游行业互信，拟开展《中国钢铁产品放心品牌评价规范 一般用途冷轧用热轧钢带》团体标准研制工作。标准将综合考虑产品层面的质量一致性、质量反馈、产品认证、荣誉奖项，企业层面的质量保证能力、创新能力、企业诚信、服务水平、信息化水平等内容，围绕传递企业产品质量保障能力和产品品牌价值，制定科学合理、先进适用的技术指标，打造细分领域中国钢铁产品放心品牌。</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下一步，将发挥标准引领性、先进性作用，引导、保护企业质量创新和质量提升的积极性，并强化标准应用实施效果，以该标准为依据，开展一般用途冷轧用热轧钢带的放心品牌认证工作，培育行业信任，打造细分领域钢材产品优质供货商。落实党中央质量提升行动政策要求，为产品优质优价提供标准与认证技术支撑，打造细分赛道中国钢铁放心品牌，提升企业品牌行业影响力，推动一般用途冷轧用热轧钢带行业企业实现高质量发展。</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三、主要编制过程</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2022年7月，中国特钢企业协会团体标准化工作委员会（以下简称团标委）秘书处给各位委员发出团体标准立项函审单。到立项函审截止日期，没有委员提出不同意见。</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2022年8月，团标委正式下达团体标准立项计划（2022年第</w:t>
      </w:r>
      <w:r>
        <w:rPr>
          <w:rFonts w:hint="eastAsia" w:ascii="Times New Roman" w:hAnsi="Times New Roman" w:eastAsia="仿宋_GB2312" w:cs="Times New Roman"/>
          <w:sz w:val="28"/>
          <w:szCs w:val="28"/>
        </w:rPr>
        <w:t>四</w:t>
      </w:r>
      <w:r>
        <w:rPr>
          <w:rFonts w:ascii="Times New Roman" w:hAnsi="Times New Roman" w:eastAsia="仿宋_GB2312" w:cs="Times New Roman"/>
          <w:sz w:val="28"/>
          <w:szCs w:val="28"/>
        </w:rPr>
        <w:t>批）。团体标准立项后，冶金工业规划研究院相关人员组成文件起草组，提出了文件编制计划和任务分工，并开始文件编制工作。</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2022年9月</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2023</w:t>
      </w: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7</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行了起草标准的调研、问题分析和相关资料收集等准备工作，完成了标准制定提纲、标准草案。</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2023</w:t>
      </w: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7</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召开标准启动会，围绕标准草案进行讨论，并按照与会意见和建议作进一步修改。</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2023</w:t>
      </w: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8</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：形成征求意见稿并发出征求意见。</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2023年X月：完成征求意见处理、形成</w:t>
      </w:r>
      <w:r>
        <w:rPr>
          <w:rFonts w:hint="eastAsia" w:ascii="Times New Roman" w:hAnsi="Times New Roman" w:eastAsia="仿宋_GB2312" w:cs="Times New Roman"/>
          <w:sz w:val="28"/>
          <w:szCs w:val="28"/>
        </w:rPr>
        <w:t>标准</w:t>
      </w:r>
      <w:r>
        <w:rPr>
          <w:rFonts w:ascii="Times New Roman" w:hAnsi="Times New Roman" w:eastAsia="仿宋_GB2312" w:cs="Times New Roman"/>
          <w:sz w:val="28"/>
          <w:szCs w:val="28"/>
        </w:rPr>
        <w:t>送审稿。</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2023年X月：</w:t>
      </w:r>
      <w:r>
        <w:rPr>
          <w:rFonts w:hint="eastAsia" w:ascii="Times New Roman" w:hAnsi="Times New Roman" w:eastAsia="仿宋_GB2312" w:cs="Times New Roman"/>
          <w:sz w:val="28"/>
          <w:szCs w:val="28"/>
        </w:rPr>
        <w:t>完成该标准审定会和标准报批稿，上报中国特钢企业协会审批</w:t>
      </w:r>
      <w:r>
        <w:rPr>
          <w:rFonts w:ascii="Times New Roman" w:hAnsi="Times New Roman" w:eastAsia="仿宋_GB2312" w:cs="Times New Roman"/>
          <w:sz w:val="28"/>
          <w:szCs w:val="28"/>
        </w:rPr>
        <w:t>。</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2023年X月：</w:t>
      </w:r>
      <w:r>
        <w:rPr>
          <w:rFonts w:hint="eastAsia" w:ascii="Times New Roman" w:hAnsi="Times New Roman" w:eastAsia="仿宋_GB2312" w:cs="Times New Roman"/>
          <w:sz w:val="28"/>
          <w:szCs w:val="28"/>
        </w:rPr>
        <w:t>完成该标准发布、实施</w:t>
      </w:r>
      <w:r>
        <w:rPr>
          <w:rFonts w:ascii="Times New Roman" w:hAnsi="Times New Roman" w:eastAsia="仿宋_GB2312" w:cs="Times New Roman"/>
          <w:sz w:val="28"/>
          <w:szCs w:val="28"/>
        </w:rPr>
        <w:t>。</w:t>
      </w:r>
    </w:p>
    <w:p>
      <w:pPr>
        <w:spacing w:line="360" w:lineRule="auto"/>
        <w:ind w:firstLine="560" w:firstLineChars="20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四、标准编制原则</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认证是传递信任的重要手段，以钢铁产品质量稳定性评价标准为依据，开展中国钢铁产品放心品牌认证，能进一步凸显钢铁企业产品质量优势，快速有效地向市场和下游用户传递信心，促进实现下游行业用的放心，帮助钢铁企业培育树立放心品牌。</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标准是</w:t>
      </w:r>
      <w:r>
        <w:rPr>
          <w:rFonts w:ascii="Times New Roman" w:hAnsi="Times New Roman" w:eastAsia="仿宋_GB2312" w:cs="Times New Roman"/>
          <w:sz w:val="28"/>
          <w:szCs w:val="28"/>
        </w:rPr>
        <w:t>认证</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基础，为了更加科学</w:t>
      </w:r>
      <w:r>
        <w:rPr>
          <w:rFonts w:hint="eastAsia" w:ascii="Times New Roman" w:hAnsi="Times New Roman" w:eastAsia="仿宋_GB2312" w:cs="Times New Roman"/>
          <w:sz w:val="28"/>
          <w:szCs w:val="28"/>
        </w:rPr>
        <w:t>规范</w:t>
      </w:r>
      <w:r>
        <w:rPr>
          <w:rFonts w:ascii="Times New Roman" w:hAnsi="Times New Roman" w:eastAsia="仿宋_GB2312" w:cs="Times New Roman"/>
          <w:sz w:val="28"/>
          <w:szCs w:val="28"/>
        </w:rPr>
        <w:t>地开展</w:t>
      </w:r>
      <w:r>
        <w:rPr>
          <w:rFonts w:hint="eastAsia" w:ascii="Times New Roman" w:hAnsi="Times New Roman" w:eastAsia="仿宋_GB2312" w:cs="Times New Roman"/>
          <w:sz w:val="28"/>
          <w:szCs w:val="28"/>
        </w:rPr>
        <w:t>放心品牌</w:t>
      </w:r>
      <w:r>
        <w:rPr>
          <w:rFonts w:ascii="Times New Roman" w:hAnsi="Times New Roman" w:eastAsia="仿宋_GB2312" w:cs="Times New Roman"/>
          <w:sz w:val="28"/>
          <w:szCs w:val="28"/>
        </w:rPr>
        <w:t>认证工作，</w:t>
      </w:r>
      <w:r>
        <w:rPr>
          <w:rFonts w:hint="eastAsia" w:ascii="Times New Roman" w:hAnsi="Times New Roman" w:eastAsia="仿宋_GB2312" w:cs="Times New Roman"/>
          <w:sz w:val="28"/>
          <w:szCs w:val="28"/>
        </w:rPr>
        <w:t>先行</w:t>
      </w:r>
      <w:r>
        <w:rPr>
          <w:rFonts w:ascii="Times New Roman" w:hAnsi="Times New Roman" w:eastAsia="仿宋_GB2312" w:cs="Times New Roman"/>
          <w:sz w:val="28"/>
          <w:szCs w:val="28"/>
        </w:rPr>
        <w:t>开展放心品牌认证</w:t>
      </w:r>
      <w:r>
        <w:rPr>
          <w:rFonts w:hint="eastAsia" w:ascii="Times New Roman" w:hAnsi="Times New Roman" w:eastAsia="仿宋_GB2312" w:cs="Times New Roman"/>
          <w:sz w:val="28"/>
          <w:szCs w:val="28"/>
        </w:rPr>
        <w:t>依据</w:t>
      </w:r>
      <w:r>
        <w:rPr>
          <w:rFonts w:ascii="Times New Roman" w:hAnsi="Times New Roman" w:eastAsia="仿宋_GB2312" w:cs="Times New Roman"/>
          <w:sz w:val="28"/>
          <w:szCs w:val="28"/>
        </w:rPr>
        <w:t>标准</w:t>
      </w:r>
      <w:r>
        <w:rPr>
          <w:rFonts w:hint="eastAsia" w:ascii="Times New Roman" w:hAnsi="Times New Roman" w:eastAsia="仿宋_GB2312" w:cs="Times New Roman"/>
          <w:sz w:val="28"/>
          <w:szCs w:val="28"/>
        </w:rPr>
        <w:t>研制十分重要</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本文件主要为规范</w:t>
      </w:r>
      <w:r>
        <w:rPr>
          <w:rFonts w:hint="eastAsia" w:ascii="Times New Roman" w:hAnsi="Times New Roman" w:eastAsia="仿宋_GB2312" w:cs="Times New Roman"/>
          <w:sz w:val="28"/>
          <w:szCs w:val="28"/>
          <w:lang w:eastAsia="zh-CN"/>
        </w:rPr>
        <w:t>一般用途冷轧用热轧钢带</w:t>
      </w:r>
      <w:r>
        <w:rPr>
          <w:rFonts w:hint="eastAsia" w:ascii="Times New Roman" w:hAnsi="Times New Roman" w:eastAsia="仿宋_GB2312" w:cs="Times New Roman"/>
          <w:sz w:val="28"/>
          <w:szCs w:val="28"/>
        </w:rPr>
        <w:t>产品放心品牌评价，因此本文件在编制过程中综合考虑企业生产层面和质量控制层面进行评价指标体系设计。</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本文件根据GB/T 29186《</w:t>
      </w:r>
      <w:r>
        <w:rPr>
          <w:rFonts w:hint="eastAsia" w:ascii="Times New Roman" w:hAnsi="Times New Roman" w:eastAsia="仿宋_GB2312" w:cs="Times New Roman"/>
          <w:sz w:val="28"/>
          <w:szCs w:val="28"/>
        </w:rPr>
        <w:t>品牌价值要素评价</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系列标准</w:t>
      </w:r>
      <w:r>
        <w:rPr>
          <w:rFonts w:ascii="Times New Roman" w:hAnsi="Times New Roman" w:eastAsia="仿宋_GB2312" w:cs="Times New Roman"/>
          <w:sz w:val="28"/>
          <w:szCs w:val="28"/>
        </w:rPr>
        <w:t>进行编制。《</w:t>
      </w:r>
      <w:r>
        <w:rPr>
          <w:rFonts w:hint="eastAsia" w:ascii="Times New Roman" w:hAnsi="Times New Roman" w:eastAsia="仿宋_GB2312" w:cs="Times New Roman"/>
          <w:sz w:val="28"/>
          <w:szCs w:val="28"/>
        </w:rPr>
        <w:t xml:space="preserve">中国钢铁产品放心品牌评价规范 </w:t>
      </w:r>
      <w:r>
        <w:rPr>
          <w:rFonts w:hint="eastAsia" w:ascii="Times New Roman" w:hAnsi="Times New Roman" w:eastAsia="仿宋_GB2312" w:cs="Times New Roman"/>
          <w:sz w:val="28"/>
          <w:szCs w:val="28"/>
          <w:lang w:eastAsia="zh-CN"/>
        </w:rPr>
        <w:t>一般用途冷轧用热轧钢带</w:t>
      </w:r>
      <w:r>
        <w:rPr>
          <w:rFonts w:ascii="Times New Roman" w:hAnsi="Times New Roman" w:eastAsia="仿宋_GB2312" w:cs="Times New Roman"/>
          <w:sz w:val="28"/>
          <w:szCs w:val="28"/>
        </w:rPr>
        <w:t>》文件编制所参考的依据为国家有关法律法规以及国家、行业产品或服务标准、国内或国际先进产品标准等。</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五、主要技术内容</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（一）文件编写格式</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文件内容符合GB/T 1.1—2020《标准化工作导则</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第1部分：标准化文件的结构和起草规则》的规定。</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（二）关于适用范围</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本文件规定了</w:t>
      </w:r>
      <w:r>
        <w:rPr>
          <w:rFonts w:hint="eastAsia" w:ascii="Times New Roman" w:hAnsi="Times New Roman" w:eastAsia="仿宋_GB2312" w:cs="Times New Roman"/>
          <w:sz w:val="28"/>
          <w:szCs w:val="28"/>
          <w:lang w:eastAsia="zh-CN"/>
        </w:rPr>
        <w:t>一般用途冷轧用热轧钢带</w:t>
      </w:r>
      <w:r>
        <w:rPr>
          <w:rFonts w:hint="eastAsia" w:ascii="Times New Roman" w:hAnsi="Times New Roman" w:eastAsia="仿宋_GB2312" w:cs="Times New Roman"/>
          <w:sz w:val="28"/>
          <w:szCs w:val="28"/>
        </w:rPr>
        <w:t>产品的中国钢铁产品放心品牌的评价原则、评价内容和评价方法。</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本文件适用于认证机构对</w:t>
      </w:r>
      <w:r>
        <w:rPr>
          <w:rFonts w:hint="eastAsia" w:ascii="Times New Roman" w:hAnsi="Times New Roman" w:eastAsia="仿宋_GB2312" w:cs="Times New Roman"/>
          <w:sz w:val="28"/>
          <w:szCs w:val="28"/>
          <w:lang w:eastAsia="zh-CN"/>
        </w:rPr>
        <w:t>一般用途冷轧用热轧钢带</w:t>
      </w:r>
      <w:r>
        <w:rPr>
          <w:rFonts w:hint="eastAsia" w:ascii="Times New Roman" w:hAnsi="Times New Roman" w:eastAsia="仿宋_GB2312" w:cs="Times New Roman"/>
          <w:sz w:val="28"/>
          <w:szCs w:val="28"/>
        </w:rPr>
        <w:t>产品的放心品牌进行评价和认证，也适用于组织内部进行自我评价。</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w:t>
      </w:r>
      <w:r>
        <w:rPr>
          <w:rFonts w:hint="eastAsia" w:ascii="Times New Roman" w:hAnsi="Times New Roman" w:eastAsia="仿宋_GB2312" w:cs="Times New Roman"/>
          <w:sz w:val="28"/>
          <w:szCs w:val="28"/>
        </w:rPr>
        <w:t>评价原则</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主要围绕公平性、全面性、规范性、保密性进行评价原则设计，具体内容为：</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1. </w:t>
      </w:r>
      <w:r>
        <w:rPr>
          <w:rFonts w:hint="eastAsia" w:ascii="Times New Roman" w:hAnsi="Times New Roman" w:eastAsia="仿宋_GB2312" w:cs="Times New Roman"/>
          <w:sz w:val="28"/>
          <w:szCs w:val="28"/>
        </w:rPr>
        <w:t>公平性</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评价应公平、公正，应按照工作程序和有关要求执行，各组织应独立做出判断。</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2．全面性</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评价实施过程应选取本文件的全部内容。</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规范性</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评价的开展应基于已有的客观数据、规范性材料或其他已被普遍接受的协议或惯例，评价依据的信息内容应真实准确，与客观实际情况相一致。</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保密性</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应对评价过程中获得的企业的商业、技术秘密进行保密。</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四</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评价内容</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1. </w:t>
      </w:r>
      <w:r>
        <w:rPr>
          <w:rFonts w:hint="eastAsia" w:ascii="Times New Roman" w:hAnsi="Times New Roman" w:eastAsia="仿宋_GB2312" w:cs="Times New Roman"/>
          <w:sz w:val="28"/>
          <w:szCs w:val="28"/>
        </w:rPr>
        <w:t>基本要求</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本章节主要围绕企业稳定经营、质量安全情况、企业信用、净资产情况、生产运营情况提出要求。</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企业在中国境内依法注册并具有法人资格，连续稳定生产 3 年以上。</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企业经营状况良好，净资产为正。</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产品符合相关标准要求，包括但不限于企业标准、团体标准、行业标准和国家标准。</w:t>
      </w:r>
    </w:p>
    <w:p>
      <w:pPr>
        <w:spacing w:line="360" w:lineRule="auto"/>
        <w:ind w:firstLine="560" w:firstLineChars="20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注：</w:t>
      </w:r>
      <w:r>
        <w:rPr>
          <w:rFonts w:hint="eastAsia" w:ascii="Times New Roman" w:hAnsi="Times New Roman" w:eastAsia="仿宋_GB2312" w:cs="Times New Roman"/>
          <w:sz w:val="28"/>
          <w:szCs w:val="28"/>
          <w:lang w:val="en-US" w:eastAsia="zh-CN"/>
        </w:rPr>
        <w:t>常用的团体标准为T/SSEA 0294</w:t>
      </w:r>
      <w:r>
        <w:rPr>
          <w:rFonts w:hint="eastAsia" w:ascii="Times New Roman" w:hAnsi="Times New Roman" w:eastAsia="仿宋_GB2312" w:cs="Times New Roman"/>
          <w:sz w:val="28"/>
          <w:szCs w:val="28"/>
          <w:lang w:eastAsia="zh-CN"/>
        </w:rPr>
        <w:t>。</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企业应按照 GB/T 19001、GB/T 23331、GB/T 24001、GB/T 45001 建立并运行相应质量、能源、环境、职业健康安全体系。</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企业近 3 年无严重违法违规行为，无较大及以上环境、安全、质量事故。</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5</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企业应未列入国家信用信息严重失信主体相关名录。</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2. </w:t>
      </w:r>
      <w:r>
        <w:rPr>
          <w:rFonts w:hint="eastAsia" w:ascii="Times New Roman" w:hAnsi="Times New Roman" w:eastAsia="仿宋_GB2312" w:cs="Times New Roman"/>
          <w:sz w:val="28"/>
          <w:szCs w:val="28"/>
        </w:rPr>
        <w:t>评价指标</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技术指标主要围绕企业层面和产品层面进行设计，企业层面评价要素包括质量保证、创新能力、企业诚信、服务水平、信息化水平。产品层面评价要素包括质量一致性、质量反馈、质量认证、荣誉奖项。产品评价指标体系见附录A。</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五</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评价方法</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在满足5.1基本要求的前提下，根据5.2评价指标对企业的各项评价要素进行打分评价。评价结果分为5星、4星、3星，各等级对应的划分依据见表1。</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0"/>
        <w:gridCol w:w="2995"/>
        <w:gridCol w:w="2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Merge w:val="restar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评价等级</w:t>
            </w:r>
          </w:p>
        </w:tc>
        <w:tc>
          <w:tcPr>
            <w:tcW w:w="3511" w:type="pct"/>
            <w:gridSpan w:val="2"/>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应同时满足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Merge w:val="continue"/>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p>
        </w:tc>
        <w:tc>
          <w:tcPr>
            <w:tcW w:w="1756" w:type="pct"/>
            <w:vAlign w:val="center"/>
          </w:tcPr>
          <w:p>
            <w:pPr>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宋体" w:cs="Times New Roman"/>
                <w:bCs/>
                <w:color w:val="000000"/>
                <w:kern w:val="0"/>
                <w:sz w:val="20"/>
                <w:szCs w:val="21"/>
              </w:rPr>
              <w:t>5</w:t>
            </w:r>
            <w:r>
              <w:rPr>
                <w:rFonts w:ascii="Times New Roman" w:hAnsi="Times New Roman" w:eastAsia="宋体" w:cs="Times New Roman"/>
                <w:bCs/>
                <w:color w:val="000000"/>
                <w:kern w:val="0"/>
                <w:sz w:val="20"/>
                <w:szCs w:val="21"/>
              </w:rPr>
              <w:t>.1基本要求</w:t>
            </w:r>
          </w:p>
        </w:tc>
        <w:tc>
          <w:tcPr>
            <w:tcW w:w="1755" w:type="pct"/>
            <w:vAlign w:val="center"/>
          </w:tcPr>
          <w:p>
            <w:pPr>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宋体" w:cs="Times New Roman"/>
                <w:bCs/>
                <w:color w:val="000000"/>
                <w:kern w:val="0"/>
                <w:sz w:val="20"/>
                <w:szCs w:val="21"/>
              </w:rPr>
              <w:t>5</w:t>
            </w:r>
            <w:r>
              <w:rPr>
                <w:rFonts w:ascii="Times New Roman" w:hAnsi="Times New Roman" w:eastAsia="宋体" w:cs="Times New Roman"/>
                <w:bCs/>
                <w:color w:val="000000"/>
                <w:kern w:val="0"/>
                <w:sz w:val="20"/>
                <w:szCs w:val="21"/>
              </w:rPr>
              <w:t>.2评价指标得分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5星级</w:t>
            </w:r>
          </w:p>
        </w:tc>
        <w:tc>
          <w:tcPr>
            <w:tcW w:w="1756" w:type="pct"/>
            <w:vMerge w:val="restar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宋体" w:cs="Times New Roman"/>
                <w:bCs/>
                <w:color w:val="000000"/>
                <w:kern w:val="0"/>
                <w:sz w:val="20"/>
                <w:szCs w:val="21"/>
              </w:rPr>
              <w:t>全部满足</w:t>
            </w:r>
          </w:p>
        </w:tc>
        <w:tc>
          <w:tcPr>
            <w:tcW w:w="1755" w:type="pc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仿宋_GB2312" w:cs="Times New Roman"/>
                <w:bCs/>
                <w:color w:val="000000"/>
                <w:kern w:val="0"/>
                <w:sz w:val="20"/>
                <w:szCs w:val="21"/>
              </w:rPr>
              <w:t>≥</w:t>
            </w:r>
            <w:r>
              <w:rPr>
                <w:rFonts w:ascii="Times New Roman" w:hAnsi="Times New Roman" w:eastAsia="宋体" w:cs="Times New Roman"/>
                <w:bCs/>
                <w:color w:val="000000"/>
                <w:kern w:val="0"/>
                <w:sz w:val="2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4星级</w:t>
            </w:r>
          </w:p>
        </w:tc>
        <w:tc>
          <w:tcPr>
            <w:tcW w:w="1756" w:type="pct"/>
            <w:vMerge w:val="continue"/>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p>
        </w:tc>
        <w:tc>
          <w:tcPr>
            <w:tcW w:w="1755" w:type="pc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hint="eastAsia" w:ascii="Times New Roman" w:hAnsi="Times New Roman" w:eastAsia="仿宋_GB2312" w:cs="Times New Roman"/>
                <w:bCs/>
                <w:color w:val="000000"/>
                <w:kern w:val="0"/>
                <w:sz w:val="20"/>
                <w:szCs w:val="21"/>
              </w:rPr>
              <w:t>≥</w:t>
            </w:r>
            <w:r>
              <w:rPr>
                <w:rFonts w:ascii="Times New Roman" w:hAnsi="Times New Roman" w:eastAsia="宋体" w:cs="Times New Roman"/>
                <w:bCs/>
                <w:color w:val="000000"/>
                <w:kern w:val="0"/>
                <w:sz w:val="20"/>
                <w:szCs w:val="21"/>
              </w:rPr>
              <w:t>75~</w:t>
            </w:r>
            <w:r>
              <w:rPr>
                <w:rFonts w:hint="eastAsia" w:ascii="Times New Roman" w:hAnsi="Times New Roman" w:eastAsia="宋体" w:cs="Times New Roman"/>
                <w:bCs/>
                <w:color w:val="000000"/>
                <w:kern w:val="0"/>
                <w:sz w:val="20"/>
                <w:szCs w:val="21"/>
              </w:rPr>
              <w:t>＜</w:t>
            </w:r>
            <w:r>
              <w:rPr>
                <w:rFonts w:ascii="Times New Roman" w:hAnsi="Times New Roman" w:eastAsia="宋体" w:cs="Times New Roman"/>
                <w:bCs/>
                <w:color w:val="000000"/>
                <w:kern w:val="0"/>
                <w:sz w:val="2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489" w:type="pct"/>
            <w:vAlign w:val="center"/>
          </w:tcPr>
          <w:p>
            <w:pPr>
              <w:widowControl/>
              <w:tabs>
                <w:tab w:val="center" w:pos="4201"/>
                <w:tab w:val="right" w:leader="dot" w:pos="9298"/>
              </w:tabs>
              <w:autoSpaceDE w:val="0"/>
              <w:autoSpaceDN w:val="0"/>
              <w:jc w:val="center"/>
              <w:rPr>
                <w:rFonts w:ascii="Times New Roman" w:hAnsi="Times New Roman" w:eastAsia="宋体" w:cs="Times New Roman"/>
                <w:bCs/>
                <w:color w:val="000000"/>
                <w:kern w:val="0"/>
                <w:sz w:val="20"/>
                <w:szCs w:val="21"/>
              </w:rPr>
            </w:pPr>
            <w:r>
              <w:rPr>
                <w:rFonts w:ascii="Times New Roman" w:hAnsi="Times New Roman" w:eastAsia="宋体" w:cs="Times New Roman"/>
                <w:bCs/>
                <w:color w:val="000000"/>
                <w:kern w:val="0"/>
                <w:sz w:val="20"/>
                <w:szCs w:val="21"/>
              </w:rPr>
              <w:t>3星级</w:t>
            </w:r>
          </w:p>
        </w:tc>
        <w:tc>
          <w:tcPr>
            <w:tcW w:w="1756" w:type="pct"/>
            <w:vMerge w:val="continue"/>
            <w:vAlign w:val="center"/>
          </w:tcPr>
          <w:p>
            <w:pPr>
              <w:widowControl/>
              <w:tabs>
                <w:tab w:val="left" w:pos="360"/>
                <w:tab w:val="center" w:pos="4201"/>
                <w:tab w:val="right" w:leader="dot" w:pos="9298"/>
              </w:tabs>
              <w:overflowPunct w:val="0"/>
              <w:autoSpaceDE w:val="0"/>
              <w:autoSpaceDN w:val="0"/>
              <w:jc w:val="center"/>
              <w:textAlignment w:val="baseline"/>
              <w:outlineLvl w:val="4"/>
              <w:rPr>
                <w:rFonts w:ascii="Times New Roman" w:hAnsi="Times New Roman" w:eastAsia="宋体" w:cs="Times New Roman"/>
                <w:bCs/>
                <w:color w:val="000000"/>
                <w:kern w:val="0"/>
                <w:sz w:val="20"/>
                <w:szCs w:val="21"/>
              </w:rPr>
            </w:pPr>
          </w:p>
        </w:tc>
        <w:tc>
          <w:tcPr>
            <w:tcW w:w="1755" w:type="pct"/>
            <w:vAlign w:val="center"/>
          </w:tcPr>
          <w:p>
            <w:pPr>
              <w:widowControl/>
              <w:tabs>
                <w:tab w:val="left" w:pos="360"/>
                <w:tab w:val="center" w:pos="4201"/>
                <w:tab w:val="right" w:leader="dot" w:pos="9298"/>
              </w:tabs>
              <w:overflowPunct w:val="0"/>
              <w:autoSpaceDE w:val="0"/>
              <w:autoSpaceDN w:val="0"/>
              <w:jc w:val="center"/>
              <w:textAlignment w:val="baseline"/>
              <w:outlineLvl w:val="4"/>
              <w:rPr>
                <w:rFonts w:ascii="Times New Roman" w:hAnsi="Times New Roman" w:eastAsia="宋体" w:cs="Times New Roman"/>
                <w:bCs/>
                <w:color w:val="000000"/>
                <w:kern w:val="0"/>
                <w:sz w:val="20"/>
                <w:szCs w:val="21"/>
              </w:rPr>
            </w:pPr>
            <w:r>
              <w:rPr>
                <w:rFonts w:hint="eastAsia" w:ascii="Times New Roman" w:hAnsi="Times New Roman" w:eastAsia="仿宋_GB2312" w:cs="Times New Roman"/>
                <w:bCs/>
                <w:color w:val="000000"/>
                <w:kern w:val="0"/>
                <w:sz w:val="20"/>
                <w:szCs w:val="21"/>
              </w:rPr>
              <w:t>≥</w:t>
            </w:r>
            <w:r>
              <w:rPr>
                <w:rFonts w:ascii="Times New Roman" w:hAnsi="Times New Roman" w:eastAsia="仿宋_GB2312" w:cs="Times New Roman"/>
                <w:bCs/>
                <w:color w:val="000000"/>
                <w:kern w:val="0"/>
                <w:sz w:val="20"/>
                <w:szCs w:val="21"/>
              </w:rPr>
              <w:t>60~</w:t>
            </w:r>
            <w:r>
              <w:rPr>
                <w:rFonts w:hint="eastAsia" w:ascii="Times New Roman" w:hAnsi="Times New Roman" w:eastAsia="仿宋_GB2312" w:cs="Times New Roman"/>
                <w:bCs/>
                <w:color w:val="000000"/>
                <w:kern w:val="0"/>
                <w:sz w:val="20"/>
                <w:szCs w:val="21"/>
              </w:rPr>
              <w:t>＜</w:t>
            </w:r>
            <w:r>
              <w:rPr>
                <w:rFonts w:ascii="Times New Roman" w:hAnsi="Times New Roman" w:eastAsia="仿宋_GB2312" w:cs="Times New Roman"/>
                <w:bCs/>
                <w:color w:val="000000"/>
                <w:kern w:val="0"/>
                <w:sz w:val="20"/>
                <w:szCs w:val="21"/>
              </w:rPr>
              <w:t>75</w:t>
            </w:r>
          </w:p>
        </w:tc>
      </w:tr>
    </w:tbl>
    <w:p>
      <w:pPr>
        <w:spacing w:line="360" w:lineRule="auto"/>
        <w:ind w:firstLine="560" w:firstLineChars="200"/>
        <w:rPr>
          <w:rFonts w:ascii="Times New Roman" w:hAnsi="Times New Roman" w:eastAsia="仿宋_GB2312" w:cs="Times New Roman"/>
          <w:sz w:val="28"/>
          <w:szCs w:val="28"/>
        </w:rPr>
      </w:pP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（六）附录：</w:t>
      </w:r>
      <w:r>
        <w:rPr>
          <w:rFonts w:ascii="Times New Roman" w:hAnsi="Times New Roman" w:eastAsia="仿宋_GB2312" w:cs="Times New Roman"/>
          <w:sz w:val="28"/>
          <w:szCs w:val="28"/>
        </w:rPr>
        <w:t>评价指标体系</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636"/>
        <w:gridCol w:w="1311"/>
        <w:gridCol w:w="2986"/>
        <w:gridCol w:w="1303"/>
        <w:gridCol w:w="824"/>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1262" w:type="pct"/>
            <w:gridSpan w:val="3"/>
            <w:shd w:val="clear" w:color="auto" w:fill="auto"/>
            <w:vAlign w:val="center"/>
          </w:tcPr>
          <w:p>
            <w:pPr>
              <w:widowControl/>
              <w:jc w:val="center"/>
              <w:rPr>
                <w:b/>
                <w:bCs/>
                <w:color w:val="auto"/>
                <w:kern w:val="0"/>
                <w:szCs w:val="21"/>
                <w:highlight w:val="none"/>
              </w:rPr>
            </w:pPr>
            <w:r>
              <w:rPr>
                <w:rFonts w:hint="eastAsia" w:ascii="仿宋_GB2312" w:eastAsia="仿宋_GB2312"/>
                <w:b/>
                <w:bCs/>
                <w:color w:val="auto"/>
                <w:kern w:val="0"/>
                <w:szCs w:val="21"/>
                <w:highlight w:val="none"/>
              </w:rPr>
              <w:t>评价要素</w:t>
            </w:r>
          </w:p>
        </w:tc>
        <w:tc>
          <w:tcPr>
            <w:tcW w:w="2578" w:type="pct"/>
            <w:gridSpan w:val="2"/>
            <w:shd w:val="clear" w:color="auto" w:fill="auto"/>
            <w:vAlign w:val="center"/>
          </w:tcPr>
          <w:p>
            <w:pPr>
              <w:widowControl/>
              <w:jc w:val="center"/>
              <w:rPr>
                <w:b/>
                <w:bCs/>
                <w:color w:val="auto"/>
                <w:kern w:val="0"/>
                <w:szCs w:val="21"/>
                <w:highlight w:val="none"/>
              </w:rPr>
            </w:pPr>
            <w:r>
              <w:rPr>
                <w:rFonts w:hint="eastAsia" w:ascii="仿宋_GB2312" w:eastAsia="仿宋_GB2312"/>
                <w:b/>
                <w:bCs/>
                <w:color w:val="auto"/>
                <w:kern w:val="0"/>
                <w:szCs w:val="21"/>
                <w:highlight w:val="none"/>
              </w:rPr>
              <w:t>评价内容</w:t>
            </w:r>
          </w:p>
        </w:tc>
        <w:tc>
          <w:tcPr>
            <w:tcW w:w="515" w:type="pct"/>
            <w:vMerge w:val="restart"/>
            <w:shd w:val="clear" w:color="auto" w:fill="auto"/>
            <w:vAlign w:val="center"/>
          </w:tcPr>
          <w:p>
            <w:pPr>
              <w:widowControl/>
              <w:jc w:val="center"/>
              <w:rPr>
                <w:b/>
                <w:bCs/>
                <w:color w:val="auto"/>
                <w:kern w:val="0"/>
                <w:szCs w:val="21"/>
                <w:highlight w:val="none"/>
              </w:rPr>
            </w:pPr>
            <w:r>
              <w:rPr>
                <w:rFonts w:hint="eastAsia" w:ascii="仿宋_GB2312" w:eastAsia="仿宋_GB2312"/>
                <w:b/>
                <w:bCs/>
                <w:color w:val="auto"/>
                <w:kern w:val="0"/>
                <w:szCs w:val="21"/>
                <w:highlight w:val="none"/>
              </w:rPr>
              <w:t>分值权重</w:t>
            </w:r>
            <w:r>
              <w:rPr>
                <w:rFonts w:hint="eastAsia" w:ascii="仿宋_GB2312" w:eastAsia="仿宋_GB2312"/>
                <w:b/>
                <w:bCs/>
                <w:color w:val="auto"/>
                <w:kern w:val="0"/>
                <w:szCs w:val="21"/>
                <w:highlight w:val="none"/>
              </w:rPr>
              <w:br w:type="textWrapping"/>
            </w:r>
            <w:r>
              <w:rPr>
                <w:rFonts w:hint="eastAsia" w:ascii="仿宋_GB2312" w:eastAsia="仿宋_GB2312"/>
                <w:b/>
                <w:bCs/>
                <w:color w:val="auto"/>
                <w:kern w:val="0"/>
                <w:szCs w:val="21"/>
                <w:highlight w:val="none"/>
              </w:rPr>
              <w:t>（满分</w:t>
            </w:r>
            <w:r>
              <w:rPr>
                <w:b/>
                <w:bCs/>
                <w:color w:val="auto"/>
                <w:kern w:val="0"/>
                <w:szCs w:val="21"/>
                <w:highlight w:val="none"/>
              </w:rPr>
              <w:t>100</w:t>
            </w:r>
            <w:r>
              <w:rPr>
                <w:rFonts w:hint="eastAsia" w:ascii="仿宋_GB2312" w:eastAsia="仿宋_GB2312"/>
                <w:b/>
                <w:bCs/>
                <w:color w:val="auto"/>
                <w:kern w:val="0"/>
                <w:szCs w:val="21"/>
                <w:highlight w:val="none"/>
              </w:rPr>
              <w:t>）</w:t>
            </w:r>
          </w:p>
        </w:tc>
        <w:tc>
          <w:tcPr>
            <w:tcW w:w="643" w:type="pct"/>
            <w:vMerge w:val="restart"/>
            <w:shd w:val="clear" w:color="auto" w:fill="auto"/>
            <w:vAlign w:val="center"/>
          </w:tcPr>
          <w:p>
            <w:pPr>
              <w:widowControl/>
              <w:jc w:val="center"/>
              <w:rPr>
                <w:b/>
                <w:bCs/>
                <w:color w:val="auto"/>
                <w:kern w:val="0"/>
                <w:szCs w:val="21"/>
                <w:highlight w:val="none"/>
              </w:rPr>
            </w:pPr>
            <w:r>
              <w:rPr>
                <w:rFonts w:hint="eastAsia" w:ascii="仿宋_GB2312" w:eastAsia="仿宋_GB2312"/>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blHeader/>
        </w:trPr>
        <w:tc>
          <w:tcPr>
            <w:tcW w:w="226" w:type="pct"/>
            <w:shd w:val="clear" w:color="auto" w:fill="auto"/>
            <w:vAlign w:val="center"/>
          </w:tcPr>
          <w:p>
            <w:pPr>
              <w:widowControl/>
              <w:jc w:val="center"/>
              <w:rPr>
                <w:b/>
                <w:bCs/>
                <w:color w:val="auto"/>
                <w:kern w:val="0"/>
                <w:szCs w:val="21"/>
                <w:highlight w:val="none"/>
              </w:rPr>
            </w:pPr>
            <w:r>
              <w:rPr>
                <w:rFonts w:hint="eastAsia" w:ascii="仿宋_GB2312" w:eastAsia="仿宋_GB2312"/>
                <w:b/>
                <w:bCs/>
                <w:color w:val="auto"/>
                <w:kern w:val="0"/>
                <w:szCs w:val="21"/>
                <w:highlight w:val="none"/>
              </w:rPr>
              <w:t>一级指标</w:t>
            </w:r>
          </w:p>
        </w:tc>
        <w:tc>
          <w:tcPr>
            <w:tcW w:w="235" w:type="pct"/>
            <w:shd w:val="clear" w:color="auto" w:fill="auto"/>
            <w:vAlign w:val="center"/>
          </w:tcPr>
          <w:p>
            <w:pPr>
              <w:widowControl/>
              <w:jc w:val="center"/>
              <w:rPr>
                <w:b/>
                <w:bCs/>
                <w:color w:val="auto"/>
                <w:kern w:val="0"/>
                <w:szCs w:val="21"/>
                <w:highlight w:val="none"/>
              </w:rPr>
            </w:pPr>
            <w:r>
              <w:rPr>
                <w:rFonts w:hint="eastAsia" w:ascii="仿宋_GB2312" w:eastAsia="仿宋_GB2312"/>
                <w:b/>
                <w:bCs/>
                <w:color w:val="auto"/>
                <w:kern w:val="0"/>
                <w:szCs w:val="21"/>
                <w:highlight w:val="none"/>
              </w:rPr>
              <w:t>二级指标</w:t>
            </w:r>
          </w:p>
        </w:tc>
        <w:tc>
          <w:tcPr>
            <w:tcW w:w="801" w:type="pct"/>
            <w:shd w:val="clear" w:color="auto" w:fill="auto"/>
            <w:vAlign w:val="center"/>
          </w:tcPr>
          <w:p>
            <w:pPr>
              <w:widowControl/>
              <w:jc w:val="center"/>
              <w:rPr>
                <w:b/>
                <w:bCs/>
                <w:color w:val="auto"/>
                <w:kern w:val="0"/>
                <w:szCs w:val="21"/>
                <w:highlight w:val="none"/>
              </w:rPr>
            </w:pPr>
            <w:r>
              <w:rPr>
                <w:rFonts w:hint="eastAsia" w:ascii="仿宋_GB2312" w:eastAsia="仿宋_GB2312"/>
                <w:b/>
                <w:bCs/>
                <w:color w:val="auto"/>
                <w:kern w:val="0"/>
                <w:szCs w:val="21"/>
                <w:highlight w:val="none"/>
              </w:rPr>
              <w:t>三级指标</w:t>
            </w:r>
          </w:p>
        </w:tc>
        <w:tc>
          <w:tcPr>
            <w:tcW w:w="1782" w:type="pct"/>
            <w:shd w:val="clear" w:color="auto" w:fill="auto"/>
            <w:vAlign w:val="center"/>
          </w:tcPr>
          <w:p>
            <w:pPr>
              <w:widowControl/>
              <w:jc w:val="center"/>
              <w:rPr>
                <w:b/>
                <w:bCs/>
                <w:color w:val="auto"/>
                <w:kern w:val="0"/>
                <w:szCs w:val="21"/>
                <w:highlight w:val="none"/>
              </w:rPr>
            </w:pPr>
            <w:r>
              <w:rPr>
                <w:rFonts w:hint="eastAsia" w:ascii="仿宋_GB2312" w:eastAsia="仿宋_GB2312"/>
                <w:b/>
                <w:bCs/>
                <w:color w:val="auto"/>
                <w:kern w:val="0"/>
                <w:szCs w:val="21"/>
                <w:highlight w:val="none"/>
              </w:rPr>
              <w:t>评分标准</w:t>
            </w:r>
          </w:p>
        </w:tc>
        <w:tc>
          <w:tcPr>
            <w:tcW w:w="796" w:type="pct"/>
            <w:shd w:val="clear" w:color="auto" w:fill="auto"/>
            <w:vAlign w:val="center"/>
          </w:tcPr>
          <w:p>
            <w:pPr>
              <w:widowControl/>
              <w:jc w:val="center"/>
              <w:rPr>
                <w:b/>
                <w:bCs/>
                <w:color w:val="auto"/>
                <w:kern w:val="0"/>
                <w:szCs w:val="21"/>
                <w:highlight w:val="none"/>
              </w:rPr>
            </w:pPr>
            <w:r>
              <w:rPr>
                <w:rFonts w:hint="eastAsia" w:ascii="仿宋_GB2312" w:eastAsia="仿宋_GB2312"/>
                <w:b/>
                <w:bCs/>
                <w:color w:val="auto"/>
                <w:kern w:val="0"/>
                <w:szCs w:val="21"/>
                <w:highlight w:val="none"/>
              </w:rPr>
              <w:t>评分</w:t>
            </w:r>
          </w:p>
        </w:tc>
        <w:tc>
          <w:tcPr>
            <w:tcW w:w="515" w:type="pct"/>
            <w:vMerge w:val="continue"/>
            <w:vAlign w:val="center"/>
          </w:tcPr>
          <w:p>
            <w:pPr>
              <w:widowControl/>
              <w:jc w:val="left"/>
              <w:rPr>
                <w:b/>
                <w:bCs/>
                <w:color w:val="auto"/>
                <w:kern w:val="0"/>
                <w:szCs w:val="21"/>
                <w:highlight w:val="none"/>
              </w:rPr>
            </w:pPr>
          </w:p>
        </w:tc>
        <w:tc>
          <w:tcPr>
            <w:tcW w:w="643" w:type="pct"/>
            <w:vMerge w:val="continue"/>
            <w:vAlign w:val="center"/>
          </w:tcPr>
          <w:p>
            <w:pPr>
              <w:widowControl/>
              <w:jc w:val="left"/>
              <w:rPr>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 w:type="pct"/>
            <w:vMerge w:val="restar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企业层面</w:t>
            </w:r>
          </w:p>
        </w:tc>
        <w:tc>
          <w:tcPr>
            <w:tcW w:w="235" w:type="pct"/>
            <w:vMerge w:val="restar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质量保证</w:t>
            </w:r>
          </w:p>
        </w:tc>
        <w:tc>
          <w:tcPr>
            <w:tcW w:w="801" w:type="pct"/>
            <w:vMerge w:val="restar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生产装备水平</w:t>
            </w:r>
          </w:p>
        </w:tc>
        <w:tc>
          <w:tcPr>
            <w:tcW w:w="1782"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国内一般：</w:t>
            </w:r>
            <w:r>
              <w:rPr>
                <w:rFonts w:eastAsia="仿宋_GB2312"/>
                <w:color w:val="auto"/>
                <w:kern w:val="0"/>
                <w:szCs w:val="21"/>
                <w:highlight w:val="none"/>
              </w:rPr>
              <w:t>电炉/转炉+LF</w:t>
            </w:r>
          </w:p>
        </w:tc>
        <w:tc>
          <w:tcPr>
            <w:tcW w:w="796" w:type="pct"/>
            <w:shd w:val="clear" w:color="auto" w:fill="auto"/>
            <w:vAlign w:val="center"/>
          </w:tcPr>
          <w:p>
            <w:pPr>
              <w:widowControl/>
              <w:jc w:val="center"/>
              <w:rPr>
                <w:color w:val="auto"/>
                <w:kern w:val="0"/>
                <w:szCs w:val="21"/>
                <w:highlight w:val="none"/>
              </w:rPr>
            </w:pPr>
            <w:r>
              <w:rPr>
                <w:color w:val="auto"/>
                <w:kern w:val="0"/>
                <w:szCs w:val="21"/>
                <w:highlight w:val="none"/>
              </w:rPr>
              <w:t>1</w:t>
            </w:r>
          </w:p>
        </w:tc>
        <w:tc>
          <w:tcPr>
            <w:tcW w:w="515" w:type="pct"/>
            <w:vMerge w:val="restart"/>
            <w:shd w:val="clear" w:color="auto" w:fill="auto"/>
            <w:vAlign w:val="center"/>
          </w:tcPr>
          <w:p>
            <w:pPr>
              <w:widowControl/>
              <w:jc w:val="center"/>
              <w:rPr>
                <w:rFonts w:hint="eastAsia" w:eastAsia="宋体"/>
                <w:color w:val="auto"/>
                <w:kern w:val="0"/>
                <w:szCs w:val="21"/>
                <w:highlight w:val="none"/>
                <w:lang w:eastAsia="zh-CN"/>
              </w:rPr>
            </w:pPr>
            <w:r>
              <w:rPr>
                <w:rFonts w:hint="eastAsia"/>
                <w:color w:val="auto"/>
                <w:kern w:val="0"/>
                <w:szCs w:val="21"/>
                <w:highlight w:val="none"/>
                <w:lang w:val="en-US" w:eastAsia="zh-CN"/>
              </w:rPr>
              <w:t>5</w:t>
            </w:r>
          </w:p>
        </w:tc>
        <w:tc>
          <w:tcPr>
            <w:tcW w:w="643" w:type="pct"/>
            <w:vMerge w:val="restar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若存在《产业结构调整指导目录》限制类装备，此项</w:t>
            </w:r>
            <w:r>
              <w:rPr>
                <w:color w:val="auto"/>
                <w:kern w:val="0"/>
                <w:szCs w:val="21"/>
                <w:highlight w:val="none"/>
              </w:rPr>
              <w:t>0</w:t>
            </w:r>
            <w:r>
              <w:rPr>
                <w:rFonts w:hint="eastAsia" w:ascii="仿宋_GB2312" w:eastAsia="仿宋_GB2312"/>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center"/>
          </w:tcPr>
          <w:p>
            <w:pPr>
              <w:widowControl/>
              <w:jc w:val="left"/>
              <w:rPr>
                <w:color w:val="auto"/>
                <w:kern w:val="0"/>
                <w:szCs w:val="21"/>
                <w:highlight w:val="none"/>
              </w:rPr>
            </w:pPr>
          </w:p>
        </w:tc>
        <w:tc>
          <w:tcPr>
            <w:tcW w:w="1782"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国内先进：</w:t>
            </w:r>
            <w:r>
              <w:rPr>
                <w:rFonts w:eastAsia="仿宋_GB2312"/>
                <w:color w:val="auto"/>
                <w:kern w:val="0"/>
                <w:szCs w:val="21"/>
                <w:highlight w:val="none"/>
              </w:rPr>
              <w:t>电炉/转炉+LF+VD</w:t>
            </w:r>
          </w:p>
        </w:tc>
        <w:tc>
          <w:tcPr>
            <w:tcW w:w="796" w:type="pct"/>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center"/>
          </w:tcPr>
          <w:p>
            <w:pPr>
              <w:widowControl/>
              <w:jc w:val="left"/>
              <w:rPr>
                <w:color w:val="auto"/>
                <w:kern w:val="0"/>
                <w:szCs w:val="21"/>
                <w:highlight w:val="none"/>
              </w:rPr>
            </w:pPr>
          </w:p>
        </w:tc>
        <w:tc>
          <w:tcPr>
            <w:tcW w:w="1782"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国内领先：</w:t>
            </w:r>
            <w:r>
              <w:rPr>
                <w:rFonts w:eastAsia="仿宋_GB2312"/>
                <w:color w:val="auto"/>
                <w:kern w:val="0"/>
                <w:szCs w:val="21"/>
                <w:highlight w:val="none"/>
              </w:rPr>
              <w:t>电炉/转炉+LF+VD</w:t>
            </w:r>
            <w:r>
              <w:rPr>
                <w:rFonts w:hint="eastAsia" w:eastAsia="仿宋_GB2312"/>
                <w:color w:val="auto"/>
                <w:kern w:val="0"/>
                <w:szCs w:val="21"/>
                <w:highlight w:val="none"/>
              </w:rPr>
              <w:t>，层流冷却，AGC厚度控制</w:t>
            </w:r>
          </w:p>
        </w:tc>
        <w:tc>
          <w:tcPr>
            <w:tcW w:w="796" w:type="pct"/>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center"/>
          </w:tcPr>
          <w:p>
            <w:pPr>
              <w:widowControl/>
              <w:jc w:val="left"/>
              <w:rPr>
                <w:color w:val="auto"/>
                <w:kern w:val="0"/>
                <w:szCs w:val="21"/>
                <w:highlight w:val="none"/>
              </w:rPr>
            </w:pPr>
          </w:p>
        </w:tc>
        <w:tc>
          <w:tcPr>
            <w:tcW w:w="1782"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国际领先：</w:t>
            </w:r>
            <w:r>
              <w:rPr>
                <w:rFonts w:eastAsia="仿宋_GB2312"/>
                <w:color w:val="auto"/>
                <w:kern w:val="0"/>
                <w:szCs w:val="21"/>
                <w:highlight w:val="none"/>
              </w:rPr>
              <w:t>电炉/转炉+LF+VD</w:t>
            </w:r>
            <w:r>
              <w:rPr>
                <w:rFonts w:hint="eastAsia" w:eastAsia="仿宋_GB2312"/>
                <w:color w:val="auto"/>
                <w:kern w:val="0"/>
                <w:szCs w:val="21"/>
                <w:highlight w:val="none"/>
              </w:rPr>
              <w:t>，层流冷却，AGC厚度控制、液压弯辊控制系统</w:t>
            </w:r>
          </w:p>
        </w:tc>
        <w:tc>
          <w:tcPr>
            <w:tcW w:w="796" w:type="pct"/>
            <w:shd w:val="clear" w:color="auto" w:fill="auto"/>
            <w:vAlign w:val="center"/>
          </w:tcPr>
          <w:p>
            <w:pPr>
              <w:widowControl/>
              <w:jc w:val="center"/>
              <w:rPr>
                <w:color w:val="auto"/>
                <w:kern w:val="0"/>
                <w:szCs w:val="21"/>
                <w:highlight w:val="none"/>
              </w:rPr>
            </w:pPr>
            <w:r>
              <w:rPr>
                <w:color w:val="auto"/>
                <w:kern w:val="0"/>
                <w:szCs w:val="21"/>
                <w:highlight w:val="none"/>
              </w:rPr>
              <w:t>4</w:t>
            </w: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restar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检验检测能力</w:t>
            </w:r>
          </w:p>
        </w:tc>
        <w:tc>
          <w:tcPr>
            <w:tcW w:w="1782"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检化验装备数量、类型满足产品生产研发需求，配备有完备的检验检测设备和人员</w:t>
            </w:r>
          </w:p>
        </w:tc>
        <w:tc>
          <w:tcPr>
            <w:tcW w:w="796" w:type="pct"/>
            <w:shd w:val="clear" w:color="auto" w:fill="auto"/>
            <w:vAlign w:val="center"/>
          </w:tcPr>
          <w:p>
            <w:pPr>
              <w:widowControl/>
              <w:jc w:val="center"/>
              <w:rPr>
                <w:color w:val="auto"/>
                <w:kern w:val="0"/>
                <w:szCs w:val="21"/>
                <w:highlight w:val="none"/>
              </w:rPr>
            </w:pPr>
            <w:r>
              <w:rPr>
                <w:color w:val="auto"/>
                <w:kern w:val="0"/>
                <w:szCs w:val="21"/>
                <w:highlight w:val="none"/>
              </w:rPr>
              <w:t>1</w:t>
            </w:r>
          </w:p>
        </w:tc>
        <w:tc>
          <w:tcPr>
            <w:tcW w:w="515" w:type="pct"/>
            <w:vMerge w:val="restart"/>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643" w:type="pct"/>
            <w:vMerge w:val="restart"/>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center"/>
          </w:tcPr>
          <w:p>
            <w:pPr>
              <w:widowControl/>
              <w:jc w:val="left"/>
              <w:rPr>
                <w:color w:val="auto"/>
                <w:kern w:val="0"/>
                <w:szCs w:val="21"/>
                <w:highlight w:val="none"/>
              </w:rPr>
            </w:pPr>
          </w:p>
        </w:tc>
        <w:tc>
          <w:tcPr>
            <w:tcW w:w="1782"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检化验装备数量、类型满足产品生产研发需求，配备有完备的检验检测设备和人员，检测实验室通过</w:t>
            </w:r>
            <w:r>
              <w:rPr>
                <w:color w:val="auto"/>
                <w:kern w:val="0"/>
                <w:szCs w:val="21"/>
                <w:highlight w:val="none"/>
              </w:rPr>
              <w:t>CMA</w:t>
            </w:r>
            <w:r>
              <w:rPr>
                <w:rFonts w:hint="eastAsia" w:ascii="仿宋_GB2312" w:eastAsia="仿宋_GB2312"/>
                <w:color w:val="auto"/>
                <w:kern w:val="0"/>
                <w:szCs w:val="21"/>
                <w:highlight w:val="none"/>
              </w:rPr>
              <w:t>认定</w:t>
            </w:r>
          </w:p>
        </w:tc>
        <w:tc>
          <w:tcPr>
            <w:tcW w:w="796" w:type="pct"/>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center"/>
          </w:tcPr>
          <w:p>
            <w:pPr>
              <w:widowControl/>
              <w:jc w:val="left"/>
              <w:rPr>
                <w:color w:val="auto"/>
                <w:kern w:val="0"/>
                <w:szCs w:val="21"/>
                <w:highlight w:val="none"/>
              </w:rPr>
            </w:pPr>
          </w:p>
        </w:tc>
        <w:tc>
          <w:tcPr>
            <w:tcW w:w="1782"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检化验装备数量、类型满足产品生产研发需求，配备有完备的检验检测设备和人员，检测实验室通过</w:t>
            </w:r>
            <w:r>
              <w:rPr>
                <w:color w:val="auto"/>
                <w:kern w:val="0"/>
                <w:szCs w:val="21"/>
                <w:highlight w:val="none"/>
              </w:rPr>
              <w:t>CMA</w:t>
            </w:r>
            <w:r>
              <w:rPr>
                <w:rFonts w:hint="eastAsia" w:ascii="仿宋_GB2312" w:eastAsia="仿宋_GB2312"/>
                <w:color w:val="auto"/>
                <w:kern w:val="0"/>
                <w:szCs w:val="21"/>
                <w:highlight w:val="none"/>
              </w:rPr>
              <w:t>认定、</w:t>
            </w:r>
            <w:r>
              <w:rPr>
                <w:color w:val="auto"/>
                <w:kern w:val="0"/>
                <w:szCs w:val="21"/>
                <w:highlight w:val="none"/>
              </w:rPr>
              <w:t>CNAS</w:t>
            </w:r>
            <w:r>
              <w:rPr>
                <w:rFonts w:hint="eastAsia" w:ascii="仿宋_GB2312" w:eastAsia="仿宋_GB2312"/>
                <w:color w:val="auto"/>
                <w:kern w:val="0"/>
                <w:szCs w:val="21"/>
                <w:highlight w:val="none"/>
              </w:rPr>
              <w:t>认可</w:t>
            </w:r>
          </w:p>
        </w:tc>
        <w:tc>
          <w:tcPr>
            <w:tcW w:w="796" w:type="pct"/>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体系保证</w:t>
            </w:r>
          </w:p>
        </w:tc>
        <w:tc>
          <w:tcPr>
            <w:tcW w:w="1782"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企业是否通过全面风险管理体系、卓越绩效管理体系、质量管理体系认证、质量管理体系分级认证等</w:t>
            </w:r>
          </w:p>
        </w:tc>
        <w:tc>
          <w:tcPr>
            <w:tcW w:w="796"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每项认证</w:t>
            </w:r>
            <w:r>
              <w:rPr>
                <w:color w:val="auto"/>
                <w:kern w:val="0"/>
                <w:szCs w:val="21"/>
                <w:highlight w:val="none"/>
              </w:rPr>
              <w:t>1</w:t>
            </w:r>
            <w:r>
              <w:rPr>
                <w:rFonts w:hint="eastAsia" w:ascii="仿宋_GB2312" w:eastAsia="仿宋_GB2312"/>
                <w:color w:val="auto"/>
                <w:kern w:val="0"/>
                <w:szCs w:val="21"/>
                <w:highlight w:val="none"/>
              </w:rPr>
              <w:t>分，最多</w:t>
            </w:r>
            <w:r>
              <w:rPr>
                <w:color w:val="auto"/>
                <w:kern w:val="0"/>
                <w:szCs w:val="21"/>
                <w:highlight w:val="none"/>
              </w:rPr>
              <w:t>3</w:t>
            </w:r>
            <w:r>
              <w:rPr>
                <w:rFonts w:hint="eastAsia" w:ascii="仿宋_GB2312" w:eastAsia="仿宋_GB2312"/>
                <w:color w:val="auto"/>
                <w:kern w:val="0"/>
                <w:szCs w:val="21"/>
                <w:highlight w:val="none"/>
              </w:rPr>
              <w:t>分</w:t>
            </w:r>
          </w:p>
        </w:tc>
        <w:tc>
          <w:tcPr>
            <w:tcW w:w="515" w:type="pct"/>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643" w:type="pct"/>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auto"/>
                <w:kern w:val="0"/>
                <w:szCs w:val="21"/>
                <w:highlight w:val="none"/>
              </w:rPr>
            </w:pPr>
          </w:p>
        </w:tc>
        <w:tc>
          <w:tcPr>
            <w:tcW w:w="235" w:type="pct"/>
            <w:vMerge w:val="restar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创新能力</w:t>
            </w:r>
          </w:p>
        </w:tc>
        <w:tc>
          <w:tcPr>
            <w:tcW w:w="801" w:type="pct"/>
            <w:vMerge w:val="restar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企业技术中心等级</w:t>
            </w:r>
          </w:p>
        </w:tc>
        <w:tc>
          <w:tcPr>
            <w:tcW w:w="1782"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市级企业技术中心</w:t>
            </w:r>
          </w:p>
        </w:tc>
        <w:tc>
          <w:tcPr>
            <w:tcW w:w="796" w:type="pct"/>
            <w:shd w:val="clear" w:color="auto" w:fill="auto"/>
            <w:vAlign w:val="center"/>
          </w:tcPr>
          <w:p>
            <w:pPr>
              <w:widowControl/>
              <w:jc w:val="center"/>
              <w:rPr>
                <w:color w:val="auto"/>
                <w:kern w:val="0"/>
                <w:szCs w:val="21"/>
                <w:highlight w:val="none"/>
              </w:rPr>
            </w:pPr>
            <w:r>
              <w:rPr>
                <w:color w:val="auto"/>
                <w:kern w:val="0"/>
                <w:szCs w:val="21"/>
                <w:highlight w:val="none"/>
              </w:rPr>
              <w:t>1</w:t>
            </w:r>
          </w:p>
        </w:tc>
        <w:tc>
          <w:tcPr>
            <w:tcW w:w="515" w:type="pct"/>
            <w:vMerge w:val="restart"/>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643" w:type="pct"/>
            <w:vMerge w:val="restart"/>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center"/>
          </w:tcPr>
          <w:p>
            <w:pPr>
              <w:widowControl/>
              <w:jc w:val="left"/>
              <w:rPr>
                <w:color w:val="auto"/>
                <w:kern w:val="0"/>
                <w:szCs w:val="21"/>
                <w:highlight w:val="none"/>
              </w:rPr>
            </w:pPr>
          </w:p>
        </w:tc>
        <w:tc>
          <w:tcPr>
            <w:tcW w:w="1782"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省级企业技术中心</w:t>
            </w:r>
          </w:p>
        </w:tc>
        <w:tc>
          <w:tcPr>
            <w:tcW w:w="796" w:type="pct"/>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center"/>
          </w:tcPr>
          <w:p>
            <w:pPr>
              <w:widowControl/>
              <w:jc w:val="left"/>
              <w:rPr>
                <w:color w:val="auto"/>
                <w:kern w:val="0"/>
                <w:szCs w:val="21"/>
                <w:highlight w:val="none"/>
              </w:rPr>
            </w:pPr>
          </w:p>
        </w:tc>
        <w:tc>
          <w:tcPr>
            <w:tcW w:w="1782"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国家级企业技术中心</w:t>
            </w:r>
          </w:p>
        </w:tc>
        <w:tc>
          <w:tcPr>
            <w:tcW w:w="796" w:type="pct"/>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专利数量</w:t>
            </w:r>
          </w:p>
        </w:tc>
        <w:tc>
          <w:tcPr>
            <w:tcW w:w="1782"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近三年获授权专利数量</w:t>
            </w:r>
          </w:p>
        </w:tc>
        <w:tc>
          <w:tcPr>
            <w:tcW w:w="796" w:type="pct"/>
            <w:shd w:val="clear" w:color="auto" w:fill="auto"/>
            <w:vAlign w:val="center"/>
          </w:tcPr>
          <w:p>
            <w:pPr>
              <w:widowControl/>
              <w:jc w:val="center"/>
              <w:rPr>
                <w:color w:val="auto"/>
                <w:kern w:val="0"/>
                <w:szCs w:val="21"/>
                <w:highlight w:val="none"/>
              </w:rPr>
            </w:pPr>
            <w:r>
              <w:rPr>
                <w:rFonts w:hint="eastAsia"/>
                <w:color w:val="auto"/>
                <w:kern w:val="0"/>
                <w:szCs w:val="21"/>
                <w:highlight w:val="none"/>
              </w:rPr>
              <w:t>每项发明专利 0.5 分， 每项实用新型专利 0.1 分，最多 1 分</w:t>
            </w:r>
          </w:p>
        </w:tc>
        <w:tc>
          <w:tcPr>
            <w:tcW w:w="515" w:type="pct"/>
            <w:shd w:val="clear" w:color="auto" w:fill="auto"/>
            <w:vAlign w:val="center"/>
          </w:tcPr>
          <w:p>
            <w:pPr>
              <w:widowControl/>
              <w:jc w:val="center"/>
              <w:rPr>
                <w:color w:val="auto"/>
                <w:kern w:val="0"/>
                <w:szCs w:val="21"/>
                <w:highlight w:val="none"/>
              </w:rPr>
            </w:pPr>
            <w:r>
              <w:rPr>
                <w:color w:val="auto"/>
                <w:kern w:val="0"/>
                <w:szCs w:val="21"/>
                <w:highlight w:val="none"/>
              </w:rPr>
              <w:t>1</w:t>
            </w:r>
          </w:p>
        </w:tc>
        <w:tc>
          <w:tcPr>
            <w:tcW w:w="643" w:type="pct"/>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restar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人才结构</w:t>
            </w:r>
          </w:p>
        </w:tc>
        <w:tc>
          <w:tcPr>
            <w:tcW w:w="1782" w:type="pct"/>
            <w:vMerge w:val="restart"/>
            <w:shd w:val="clear" w:color="auto" w:fill="auto"/>
            <w:vAlign w:val="center"/>
          </w:tcPr>
          <w:p>
            <w:pPr>
              <w:pStyle w:val="26"/>
              <w:spacing w:before="53" w:line="254" w:lineRule="auto"/>
              <w:ind w:right="105"/>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按公式计算得分：[（1×初中及以下文化人数+2×高中文化 程度+3×专科文化程度+4×本科文化程度+5×硕士文化程度+6×博士文化程度） /员工总数]- 1</w:t>
            </w:r>
          </w:p>
          <w:p>
            <w:pPr>
              <w:pStyle w:val="26"/>
              <w:spacing w:line="217" w:lineRule="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技术职称和文化程度可等效对应如下：</w:t>
            </w:r>
          </w:p>
          <w:p>
            <w:pPr>
              <w:pStyle w:val="26"/>
              <w:spacing w:before="64" w:line="312" w:lineRule="exact"/>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高中：初级工</w:t>
            </w:r>
          </w:p>
          <w:p>
            <w:pPr>
              <w:pStyle w:val="26"/>
              <w:spacing w:before="1" w:line="219" w:lineRule="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专科：中级工</w:t>
            </w:r>
          </w:p>
          <w:p>
            <w:pPr>
              <w:pStyle w:val="26"/>
              <w:spacing w:before="62" w:line="219" w:lineRule="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本科：高级工</w:t>
            </w:r>
          </w:p>
          <w:p>
            <w:pPr>
              <w:pStyle w:val="26"/>
              <w:spacing w:before="63" w:line="219" w:lineRule="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bidi="ar-SA"/>
              </w:rPr>
              <w:t>硕士：技师、工程师</w:t>
            </w:r>
          </w:p>
          <w:p>
            <w:pPr>
              <w:widowControl/>
              <w:jc w:val="both"/>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博士：高级技师、高级工程师</w:t>
            </w:r>
          </w:p>
        </w:tc>
        <w:tc>
          <w:tcPr>
            <w:tcW w:w="796" w:type="pct"/>
            <w:vMerge w:val="restar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公式计算得分</w:t>
            </w:r>
          </w:p>
        </w:tc>
        <w:tc>
          <w:tcPr>
            <w:tcW w:w="515" w:type="pct"/>
            <w:vMerge w:val="restart"/>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643" w:type="pct"/>
            <w:vMerge w:val="restar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全员小学文化</w:t>
            </w:r>
            <w:r>
              <w:rPr>
                <w:color w:val="auto"/>
                <w:kern w:val="0"/>
                <w:szCs w:val="21"/>
                <w:highlight w:val="none"/>
              </w:rPr>
              <w:t>0</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rFonts w:hint="eastAsia" w:ascii="仿宋_GB2312" w:eastAsia="仿宋_GB2312"/>
                <w:color w:val="auto"/>
                <w:kern w:val="0"/>
                <w:szCs w:val="21"/>
                <w:highlight w:val="none"/>
              </w:rPr>
              <w:t>全员本科文化</w:t>
            </w:r>
            <w:r>
              <w:rPr>
                <w:color w:val="auto"/>
                <w:kern w:val="0"/>
                <w:szCs w:val="21"/>
                <w:highlight w:val="none"/>
              </w:rPr>
              <w:t>3</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rFonts w:hint="eastAsia" w:ascii="仿宋_GB2312" w:eastAsia="仿宋_GB2312"/>
                <w:color w:val="auto"/>
                <w:kern w:val="0"/>
                <w:szCs w:val="21"/>
                <w:highlight w:val="none"/>
              </w:rPr>
              <w:t>（或等效）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center"/>
          </w:tcPr>
          <w:p>
            <w:pPr>
              <w:widowControl/>
              <w:jc w:val="left"/>
              <w:rPr>
                <w:color w:val="auto"/>
                <w:kern w:val="0"/>
                <w:szCs w:val="21"/>
                <w:highlight w:val="none"/>
              </w:rPr>
            </w:pPr>
          </w:p>
        </w:tc>
        <w:tc>
          <w:tcPr>
            <w:tcW w:w="1782" w:type="pct"/>
            <w:vMerge w:val="continue"/>
            <w:vAlign w:val="center"/>
          </w:tcPr>
          <w:p>
            <w:pPr>
              <w:widowControl/>
              <w:jc w:val="left"/>
              <w:rPr>
                <w:color w:val="auto"/>
                <w:kern w:val="0"/>
                <w:szCs w:val="21"/>
                <w:highlight w:val="none"/>
              </w:rPr>
            </w:pPr>
          </w:p>
        </w:tc>
        <w:tc>
          <w:tcPr>
            <w:tcW w:w="796" w:type="pct"/>
            <w:vMerge w:val="continue"/>
            <w:vAlign w:val="center"/>
          </w:tcPr>
          <w:p>
            <w:pPr>
              <w:widowControl/>
              <w:jc w:val="left"/>
              <w:rPr>
                <w:color w:val="auto"/>
                <w:kern w:val="0"/>
                <w:szCs w:val="21"/>
                <w:highlight w:val="none"/>
              </w:rPr>
            </w:pP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center"/>
          </w:tcPr>
          <w:p>
            <w:pPr>
              <w:widowControl/>
              <w:jc w:val="left"/>
              <w:rPr>
                <w:color w:val="auto"/>
                <w:kern w:val="0"/>
                <w:szCs w:val="21"/>
                <w:highlight w:val="none"/>
              </w:rPr>
            </w:pPr>
          </w:p>
        </w:tc>
        <w:tc>
          <w:tcPr>
            <w:tcW w:w="1782" w:type="pct"/>
            <w:vMerge w:val="continue"/>
            <w:vAlign w:val="center"/>
          </w:tcPr>
          <w:p>
            <w:pPr>
              <w:widowControl/>
              <w:jc w:val="left"/>
              <w:rPr>
                <w:color w:val="auto"/>
                <w:kern w:val="0"/>
                <w:szCs w:val="21"/>
                <w:highlight w:val="none"/>
              </w:rPr>
            </w:pPr>
          </w:p>
        </w:tc>
        <w:tc>
          <w:tcPr>
            <w:tcW w:w="796" w:type="pct"/>
            <w:vMerge w:val="continue"/>
            <w:vAlign w:val="center"/>
          </w:tcPr>
          <w:p>
            <w:pPr>
              <w:widowControl/>
              <w:jc w:val="left"/>
              <w:rPr>
                <w:color w:val="auto"/>
                <w:kern w:val="0"/>
                <w:szCs w:val="21"/>
                <w:highlight w:val="none"/>
              </w:rPr>
            </w:pP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center"/>
          </w:tcPr>
          <w:p>
            <w:pPr>
              <w:widowControl/>
              <w:jc w:val="left"/>
              <w:rPr>
                <w:color w:val="auto"/>
                <w:kern w:val="0"/>
                <w:szCs w:val="21"/>
                <w:highlight w:val="none"/>
              </w:rPr>
            </w:pPr>
          </w:p>
        </w:tc>
        <w:tc>
          <w:tcPr>
            <w:tcW w:w="1782" w:type="pct"/>
            <w:vMerge w:val="continue"/>
            <w:vAlign w:val="center"/>
          </w:tcPr>
          <w:p>
            <w:pPr>
              <w:widowControl/>
              <w:jc w:val="left"/>
              <w:rPr>
                <w:color w:val="auto"/>
                <w:kern w:val="0"/>
                <w:szCs w:val="21"/>
                <w:highlight w:val="none"/>
              </w:rPr>
            </w:pPr>
          </w:p>
        </w:tc>
        <w:tc>
          <w:tcPr>
            <w:tcW w:w="796" w:type="pct"/>
            <w:vMerge w:val="continue"/>
            <w:vAlign w:val="center"/>
          </w:tcPr>
          <w:p>
            <w:pPr>
              <w:widowControl/>
              <w:jc w:val="left"/>
              <w:rPr>
                <w:color w:val="auto"/>
                <w:kern w:val="0"/>
                <w:szCs w:val="21"/>
                <w:highlight w:val="none"/>
              </w:rPr>
            </w:pP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center"/>
          </w:tcPr>
          <w:p>
            <w:pPr>
              <w:widowControl/>
              <w:jc w:val="left"/>
              <w:rPr>
                <w:color w:val="auto"/>
                <w:kern w:val="0"/>
                <w:szCs w:val="21"/>
                <w:highlight w:val="none"/>
              </w:rPr>
            </w:pPr>
          </w:p>
        </w:tc>
        <w:tc>
          <w:tcPr>
            <w:tcW w:w="1782" w:type="pct"/>
            <w:vMerge w:val="continue"/>
            <w:vAlign w:val="center"/>
          </w:tcPr>
          <w:p>
            <w:pPr>
              <w:widowControl/>
              <w:jc w:val="left"/>
              <w:rPr>
                <w:color w:val="auto"/>
                <w:kern w:val="0"/>
                <w:szCs w:val="21"/>
                <w:highlight w:val="none"/>
              </w:rPr>
            </w:pPr>
          </w:p>
        </w:tc>
        <w:tc>
          <w:tcPr>
            <w:tcW w:w="796" w:type="pct"/>
            <w:vMerge w:val="continue"/>
            <w:vAlign w:val="center"/>
          </w:tcPr>
          <w:p>
            <w:pPr>
              <w:widowControl/>
              <w:jc w:val="left"/>
              <w:rPr>
                <w:color w:val="auto"/>
                <w:kern w:val="0"/>
                <w:szCs w:val="21"/>
                <w:highlight w:val="none"/>
              </w:rPr>
            </w:pP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center"/>
          </w:tcPr>
          <w:p>
            <w:pPr>
              <w:widowControl/>
              <w:jc w:val="left"/>
              <w:rPr>
                <w:color w:val="auto"/>
                <w:kern w:val="0"/>
                <w:szCs w:val="21"/>
                <w:highlight w:val="none"/>
              </w:rPr>
            </w:pPr>
          </w:p>
        </w:tc>
        <w:tc>
          <w:tcPr>
            <w:tcW w:w="1782" w:type="pct"/>
            <w:vMerge w:val="continue"/>
            <w:vAlign w:val="center"/>
          </w:tcPr>
          <w:p>
            <w:pPr>
              <w:widowControl/>
              <w:jc w:val="left"/>
              <w:rPr>
                <w:color w:val="auto"/>
                <w:kern w:val="0"/>
                <w:szCs w:val="21"/>
                <w:highlight w:val="none"/>
              </w:rPr>
            </w:pPr>
          </w:p>
        </w:tc>
        <w:tc>
          <w:tcPr>
            <w:tcW w:w="796" w:type="pct"/>
            <w:vMerge w:val="continue"/>
            <w:vAlign w:val="center"/>
          </w:tcPr>
          <w:p>
            <w:pPr>
              <w:widowControl/>
              <w:jc w:val="left"/>
              <w:rPr>
                <w:color w:val="auto"/>
                <w:kern w:val="0"/>
                <w:szCs w:val="21"/>
                <w:highlight w:val="none"/>
              </w:rPr>
            </w:pP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center"/>
          </w:tcPr>
          <w:p>
            <w:pPr>
              <w:widowControl/>
              <w:jc w:val="left"/>
              <w:rPr>
                <w:color w:val="auto"/>
                <w:kern w:val="0"/>
                <w:szCs w:val="21"/>
                <w:highlight w:val="none"/>
              </w:rPr>
            </w:pPr>
          </w:p>
        </w:tc>
        <w:tc>
          <w:tcPr>
            <w:tcW w:w="1782" w:type="pct"/>
            <w:vMerge w:val="continue"/>
            <w:vAlign w:val="center"/>
          </w:tcPr>
          <w:p>
            <w:pPr>
              <w:widowControl/>
              <w:jc w:val="left"/>
              <w:rPr>
                <w:color w:val="auto"/>
                <w:kern w:val="0"/>
                <w:szCs w:val="21"/>
                <w:highlight w:val="none"/>
              </w:rPr>
            </w:pPr>
          </w:p>
        </w:tc>
        <w:tc>
          <w:tcPr>
            <w:tcW w:w="796" w:type="pct"/>
            <w:vMerge w:val="continue"/>
            <w:vAlign w:val="center"/>
          </w:tcPr>
          <w:p>
            <w:pPr>
              <w:widowControl/>
              <w:jc w:val="left"/>
              <w:rPr>
                <w:color w:val="auto"/>
                <w:kern w:val="0"/>
                <w:szCs w:val="21"/>
                <w:highlight w:val="none"/>
              </w:rPr>
            </w:pP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研发投入比例</w:t>
            </w:r>
          </w:p>
        </w:tc>
        <w:tc>
          <w:tcPr>
            <w:tcW w:w="1782"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按公式计算得分：研发投入占比</w:t>
            </w:r>
            <w:r>
              <w:rPr>
                <w:color w:val="auto"/>
                <w:kern w:val="0"/>
                <w:szCs w:val="21"/>
                <w:highlight w:val="none"/>
              </w:rPr>
              <w:t>×100</w:t>
            </w:r>
            <w:r>
              <w:rPr>
                <w:color w:val="auto"/>
                <w:kern w:val="0"/>
                <w:szCs w:val="21"/>
                <w:highlight w:val="none"/>
              </w:rPr>
              <w:br w:type="textWrapping"/>
            </w:r>
            <w:r>
              <w:rPr>
                <w:rFonts w:hint="eastAsia" w:ascii="仿宋_GB2312" w:eastAsia="仿宋_GB2312"/>
                <w:color w:val="auto"/>
                <w:kern w:val="0"/>
                <w:szCs w:val="21"/>
                <w:highlight w:val="none"/>
              </w:rPr>
              <w:t>最低</w:t>
            </w:r>
            <w:r>
              <w:rPr>
                <w:color w:val="auto"/>
                <w:kern w:val="0"/>
                <w:szCs w:val="21"/>
                <w:highlight w:val="none"/>
              </w:rPr>
              <w:t>0</w:t>
            </w:r>
            <w:r>
              <w:rPr>
                <w:rFonts w:hint="eastAsia" w:ascii="仿宋_GB2312" w:eastAsia="仿宋_GB2312"/>
                <w:color w:val="auto"/>
                <w:kern w:val="0"/>
                <w:szCs w:val="21"/>
                <w:highlight w:val="none"/>
              </w:rPr>
              <w:t>分，最高</w:t>
            </w:r>
            <w:r>
              <w:rPr>
                <w:color w:val="auto"/>
                <w:kern w:val="0"/>
                <w:szCs w:val="21"/>
                <w:highlight w:val="none"/>
              </w:rPr>
              <w:t>3</w:t>
            </w:r>
            <w:r>
              <w:rPr>
                <w:rFonts w:hint="eastAsia" w:ascii="仿宋_GB2312" w:eastAsia="仿宋_GB2312"/>
                <w:color w:val="auto"/>
                <w:kern w:val="0"/>
                <w:szCs w:val="21"/>
                <w:highlight w:val="none"/>
              </w:rPr>
              <w:t>分</w:t>
            </w:r>
          </w:p>
        </w:tc>
        <w:tc>
          <w:tcPr>
            <w:tcW w:w="796"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公式计算得分</w:t>
            </w:r>
          </w:p>
        </w:tc>
        <w:tc>
          <w:tcPr>
            <w:tcW w:w="515" w:type="pct"/>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643"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研发投入占比</w:t>
            </w:r>
            <w:r>
              <w:rPr>
                <w:rFonts w:hint="eastAsia" w:ascii="仿宋_GB2312" w:eastAsia="仿宋_GB2312"/>
                <w:color w:val="auto"/>
                <w:kern w:val="0"/>
                <w:szCs w:val="21"/>
                <w:highlight w:val="none"/>
              </w:rPr>
              <w:br w:type="textWrapping"/>
            </w:r>
            <w:r>
              <w:rPr>
                <w:color w:val="auto"/>
                <w:kern w:val="0"/>
                <w:szCs w:val="21"/>
                <w:highlight w:val="none"/>
              </w:rPr>
              <w:t>0</w:t>
            </w:r>
            <w:r>
              <w:rPr>
                <w:rFonts w:hint="eastAsia" w:ascii="仿宋_GB2312" w:eastAsia="仿宋_GB2312"/>
                <w:color w:val="auto"/>
                <w:kern w:val="0"/>
                <w:szCs w:val="21"/>
                <w:highlight w:val="none"/>
              </w:rPr>
              <w:t>，</w:t>
            </w:r>
            <w:r>
              <w:rPr>
                <w:color w:val="auto"/>
                <w:kern w:val="0"/>
                <w:szCs w:val="21"/>
                <w:highlight w:val="none"/>
              </w:rPr>
              <w:t>0</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color w:val="auto"/>
                <w:kern w:val="0"/>
                <w:szCs w:val="21"/>
                <w:highlight w:val="none"/>
              </w:rPr>
              <w:t>1.5%</w:t>
            </w:r>
            <w:r>
              <w:rPr>
                <w:rFonts w:hint="eastAsia" w:ascii="仿宋_GB2312" w:eastAsia="仿宋_GB2312"/>
                <w:color w:val="auto"/>
                <w:kern w:val="0"/>
                <w:szCs w:val="21"/>
                <w:highlight w:val="none"/>
              </w:rPr>
              <w:t>，</w:t>
            </w:r>
            <w:r>
              <w:rPr>
                <w:color w:val="auto"/>
                <w:kern w:val="0"/>
                <w:szCs w:val="21"/>
                <w:highlight w:val="none"/>
              </w:rPr>
              <w:t>1.5</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color w:val="auto"/>
                <w:kern w:val="0"/>
                <w:szCs w:val="21"/>
                <w:highlight w:val="none"/>
              </w:rPr>
              <w:t>3%</w:t>
            </w:r>
            <w:r>
              <w:rPr>
                <w:rFonts w:hint="eastAsia" w:ascii="仿宋_GB2312" w:eastAsia="仿宋_GB2312"/>
                <w:color w:val="auto"/>
                <w:kern w:val="0"/>
                <w:szCs w:val="21"/>
                <w:highlight w:val="none"/>
              </w:rPr>
              <w:t>以上，</w:t>
            </w:r>
            <w:r>
              <w:rPr>
                <w:color w:val="auto"/>
                <w:kern w:val="0"/>
                <w:szCs w:val="21"/>
                <w:highlight w:val="none"/>
              </w:rPr>
              <w:t>3</w:t>
            </w:r>
            <w:r>
              <w:rPr>
                <w:rFonts w:hint="eastAsia" w:ascii="仿宋_GB2312" w:eastAsia="仿宋_GB2312"/>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auto"/>
                <w:kern w:val="0"/>
                <w:szCs w:val="21"/>
                <w:highlight w:val="none"/>
              </w:rPr>
            </w:pPr>
          </w:p>
        </w:tc>
        <w:tc>
          <w:tcPr>
            <w:tcW w:w="235" w:type="pct"/>
            <w:vMerge w:val="restar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企业诚信</w:t>
            </w:r>
          </w:p>
        </w:tc>
        <w:tc>
          <w:tcPr>
            <w:tcW w:w="801" w:type="pct"/>
            <w:vMerge w:val="restar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诚信管理体系建设</w:t>
            </w:r>
          </w:p>
        </w:tc>
        <w:tc>
          <w:tcPr>
            <w:tcW w:w="1782"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未建立良好的诚信管理体系。</w:t>
            </w:r>
          </w:p>
        </w:tc>
        <w:tc>
          <w:tcPr>
            <w:tcW w:w="796" w:type="pct"/>
            <w:shd w:val="clear" w:color="auto" w:fill="auto"/>
            <w:vAlign w:val="center"/>
          </w:tcPr>
          <w:p>
            <w:pPr>
              <w:widowControl/>
              <w:jc w:val="center"/>
              <w:rPr>
                <w:color w:val="auto"/>
                <w:kern w:val="0"/>
                <w:szCs w:val="21"/>
                <w:highlight w:val="none"/>
              </w:rPr>
            </w:pPr>
            <w:r>
              <w:rPr>
                <w:color w:val="auto"/>
                <w:kern w:val="0"/>
                <w:szCs w:val="21"/>
                <w:highlight w:val="none"/>
              </w:rPr>
              <w:t>0</w:t>
            </w:r>
          </w:p>
        </w:tc>
        <w:tc>
          <w:tcPr>
            <w:tcW w:w="515" w:type="pct"/>
            <w:vMerge w:val="restart"/>
            <w:shd w:val="clear" w:color="auto" w:fill="auto"/>
            <w:vAlign w:val="center"/>
          </w:tcPr>
          <w:p>
            <w:pPr>
              <w:widowControl/>
              <w:jc w:val="center"/>
              <w:rPr>
                <w:color w:val="auto"/>
                <w:kern w:val="0"/>
                <w:szCs w:val="21"/>
                <w:highlight w:val="none"/>
              </w:rPr>
            </w:pPr>
            <w:r>
              <w:rPr>
                <w:color w:val="auto"/>
                <w:kern w:val="0"/>
                <w:szCs w:val="21"/>
                <w:highlight w:val="none"/>
              </w:rPr>
              <w:t>1</w:t>
            </w:r>
          </w:p>
        </w:tc>
        <w:tc>
          <w:tcPr>
            <w:tcW w:w="643" w:type="pct"/>
            <w:vMerge w:val="restart"/>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center"/>
          </w:tcPr>
          <w:p>
            <w:pPr>
              <w:widowControl/>
              <w:jc w:val="left"/>
              <w:rPr>
                <w:color w:val="auto"/>
                <w:kern w:val="0"/>
                <w:szCs w:val="21"/>
                <w:highlight w:val="none"/>
              </w:rPr>
            </w:pPr>
          </w:p>
        </w:tc>
        <w:tc>
          <w:tcPr>
            <w:tcW w:w="1782"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通过诚信管理体系认证或建立良好的诚信管理体系，运行良好。</w:t>
            </w:r>
          </w:p>
        </w:tc>
        <w:tc>
          <w:tcPr>
            <w:tcW w:w="796" w:type="pct"/>
            <w:shd w:val="clear" w:color="auto" w:fill="auto"/>
            <w:vAlign w:val="center"/>
          </w:tcPr>
          <w:p>
            <w:pPr>
              <w:widowControl/>
              <w:jc w:val="center"/>
              <w:rPr>
                <w:color w:val="auto"/>
                <w:kern w:val="0"/>
                <w:szCs w:val="21"/>
                <w:highlight w:val="none"/>
              </w:rPr>
            </w:pPr>
            <w:r>
              <w:rPr>
                <w:color w:val="auto"/>
                <w:kern w:val="0"/>
                <w:szCs w:val="21"/>
                <w:highlight w:val="none"/>
              </w:rPr>
              <w:t>1</w:t>
            </w: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restar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企业信用等级</w:t>
            </w:r>
          </w:p>
        </w:tc>
        <w:tc>
          <w:tcPr>
            <w:tcW w:w="1782"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发生严重失信</w:t>
            </w:r>
          </w:p>
        </w:tc>
        <w:tc>
          <w:tcPr>
            <w:tcW w:w="796" w:type="pct"/>
            <w:shd w:val="clear" w:color="auto" w:fill="auto"/>
            <w:vAlign w:val="center"/>
          </w:tcPr>
          <w:p>
            <w:pPr>
              <w:widowControl/>
              <w:jc w:val="center"/>
              <w:rPr>
                <w:color w:val="auto"/>
                <w:kern w:val="0"/>
                <w:szCs w:val="21"/>
                <w:highlight w:val="none"/>
              </w:rPr>
            </w:pPr>
            <w:r>
              <w:rPr>
                <w:color w:val="auto"/>
                <w:kern w:val="0"/>
                <w:szCs w:val="21"/>
                <w:highlight w:val="none"/>
              </w:rPr>
              <w:t>0</w:t>
            </w:r>
          </w:p>
        </w:tc>
        <w:tc>
          <w:tcPr>
            <w:tcW w:w="515" w:type="pct"/>
            <w:vMerge w:val="restart"/>
            <w:shd w:val="clear" w:color="auto" w:fill="auto"/>
            <w:vAlign w:val="center"/>
          </w:tcPr>
          <w:p>
            <w:pPr>
              <w:widowControl/>
              <w:jc w:val="center"/>
              <w:rPr>
                <w:color w:val="auto"/>
                <w:kern w:val="0"/>
                <w:szCs w:val="21"/>
                <w:highlight w:val="none"/>
              </w:rPr>
            </w:pPr>
            <w:r>
              <w:rPr>
                <w:color w:val="auto"/>
                <w:kern w:val="0"/>
                <w:szCs w:val="21"/>
                <w:highlight w:val="none"/>
              </w:rPr>
              <w:t>4</w:t>
            </w:r>
          </w:p>
        </w:tc>
        <w:tc>
          <w:tcPr>
            <w:tcW w:w="643" w:type="pct"/>
            <w:vMerge w:val="restart"/>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center"/>
          </w:tcPr>
          <w:p>
            <w:pPr>
              <w:widowControl/>
              <w:jc w:val="left"/>
              <w:rPr>
                <w:color w:val="auto"/>
                <w:kern w:val="0"/>
                <w:szCs w:val="21"/>
                <w:highlight w:val="none"/>
              </w:rPr>
            </w:pPr>
          </w:p>
        </w:tc>
        <w:tc>
          <w:tcPr>
            <w:tcW w:w="1782" w:type="pct"/>
            <w:shd w:val="clear" w:color="auto" w:fill="auto"/>
            <w:vAlign w:val="center"/>
          </w:tcPr>
          <w:p>
            <w:pPr>
              <w:widowControl/>
              <w:jc w:val="center"/>
              <w:rPr>
                <w:color w:val="auto"/>
                <w:kern w:val="0"/>
                <w:szCs w:val="21"/>
                <w:highlight w:val="none"/>
              </w:rPr>
            </w:pPr>
            <w:r>
              <w:rPr>
                <w:color w:val="auto"/>
                <w:kern w:val="0"/>
                <w:szCs w:val="21"/>
                <w:highlight w:val="none"/>
              </w:rPr>
              <w:t>D</w:t>
            </w:r>
          </w:p>
        </w:tc>
        <w:tc>
          <w:tcPr>
            <w:tcW w:w="796" w:type="pct"/>
            <w:shd w:val="clear" w:color="auto" w:fill="auto"/>
            <w:vAlign w:val="center"/>
          </w:tcPr>
          <w:p>
            <w:pPr>
              <w:widowControl/>
              <w:jc w:val="center"/>
              <w:rPr>
                <w:color w:val="auto"/>
                <w:kern w:val="0"/>
                <w:szCs w:val="21"/>
                <w:highlight w:val="none"/>
              </w:rPr>
            </w:pPr>
            <w:r>
              <w:rPr>
                <w:color w:val="auto"/>
                <w:kern w:val="0"/>
                <w:szCs w:val="21"/>
                <w:highlight w:val="none"/>
              </w:rPr>
              <w:t>1</w:t>
            </w: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center"/>
          </w:tcPr>
          <w:p>
            <w:pPr>
              <w:widowControl/>
              <w:jc w:val="left"/>
              <w:rPr>
                <w:color w:val="auto"/>
                <w:kern w:val="0"/>
                <w:szCs w:val="21"/>
                <w:highlight w:val="none"/>
              </w:rPr>
            </w:pPr>
          </w:p>
        </w:tc>
        <w:tc>
          <w:tcPr>
            <w:tcW w:w="1782" w:type="pct"/>
            <w:shd w:val="clear" w:color="auto" w:fill="auto"/>
            <w:vAlign w:val="center"/>
          </w:tcPr>
          <w:p>
            <w:pPr>
              <w:widowControl/>
              <w:jc w:val="center"/>
              <w:rPr>
                <w:color w:val="auto"/>
                <w:kern w:val="0"/>
                <w:szCs w:val="21"/>
                <w:highlight w:val="none"/>
              </w:rPr>
            </w:pPr>
            <w:r>
              <w:rPr>
                <w:color w:val="auto"/>
                <w:kern w:val="0"/>
                <w:szCs w:val="21"/>
                <w:highlight w:val="none"/>
              </w:rPr>
              <w:t>C</w:t>
            </w:r>
            <w:r>
              <w:rPr>
                <w:rFonts w:hint="eastAsia" w:ascii="仿宋_GB2312" w:eastAsia="仿宋_GB2312"/>
                <w:color w:val="auto"/>
                <w:kern w:val="0"/>
                <w:szCs w:val="21"/>
                <w:highlight w:val="none"/>
              </w:rPr>
              <w:t>、</w:t>
            </w:r>
            <w:r>
              <w:rPr>
                <w:color w:val="auto"/>
                <w:kern w:val="0"/>
                <w:szCs w:val="21"/>
                <w:highlight w:val="none"/>
              </w:rPr>
              <w:t>CC</w:t>
            </w:r>
            <w:r>
              <w:rPr>
                <w:rFonts w:hint="eastAsia" w:ascii="仿宋_GB2312" w:eastAsia="仿宋_GB2312"/>
                <w:color w:val="auto"/>
                <w:kern w:val="0"/>
                <w:szCs w:val="21"/>
                <w:highlight w:val="none"/>
              </w:rPr>
              <w:t>、</w:t>
            </w:r>
            <w:r>
              <w:rPr>
                <w:color w:val="auto"/>
                <w:kern w:val="0"/>
                <w:szCs w:val="21"/>
                <w:highlight w:val="none"/>
              </w:rPr>
              <w:t>CCC</w:t>
            </w:r>
          </w:p>
        </w:tc>
        <w:tc>
          <w:tcPr>
            <w:tcW w:w="796" w:type="pct"/>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center"/>
          </w:tcPr>
          <w:p>
            <w:pPr>
              <w:widowControl/>
              <w:jc w:val="left"/>
              <w:rPr>
                <w:color w:val="auto"/>
                <w:kern w:val="0"/>
                <w:szCs w:val="21"/>
                <w:highlight w:val="none"/>
              </w:rPr>
            </w:pPr>
          </w:p>
        </w:tc>
        <w:tc>
          <w:tcPr>
            <w:tcW w:w="1782" w:type="pct"/>
            <w:shd w:val="clear" w:color="auto" w:fill="auto"/>
            <w:vAlign w:val="center"/>
          </w:tcPr>
          <w:p>
            <w:pPr>
              <w:widowControl/>
              <w:jc w:val="center"/>
              <w:rPr>
                <w:color w:val="auto"/>
                <w:kern w:val="0"/>
                <w:szCs w:val="21"/>
                <w:highlight w:val="none"/>
              </w:rPr>
            </w:pPr>
            <w:r>
              <w:rPr>
                <w:color w:val="auto"/>
                <w:kern w:val="0"/>
                <w:szCs w:val="21"/>
                <w:highlight w:val="none"/>
              </w:rPr>
              <w:t>B</w:t>
            </w:r>
            <w:r>
              <w:rPr>
                <w:rFonts w:hint="eastAsia" w:ascii="仿宋_GB2312" w:eastAsia="仿宋_GB2312"/>
                <w:color w:val="auto"/>
                <w:kern w:val="0"/>
                <w:szCs w:val="21"/>
                <w:highlight w:val="none"/>
              </w:rPr>
              <w:t>、</w:t>
            </w:r>
            <w:r>
              <w:rPr>
                <w:color w:val="auto"/>
                <w:kern w:val="0"/>
                <w:szCs w:val="21"/>
                <w:highlight w:val="none"/>
              </w:rPr>
              <w:t>BB</w:t>
            </w:r>
            <w:r>
              <w:rPr>
                <w:rFonts w:hint="eastAsia" w:ascii="仿宋_GB2312" w:eastAsia="仿宋_GB2312"/>
                <w:color w:val="auto"/>
                <w:kern w:val="0"/>
                <w:szCs w:val="21"/>
                <w:highlight w:val="none"/>
              </w:rPr>
              <w:t>、</w:t>
            </w:r>
            <w:r>
              <w:rPr>
                <w:color w:val="auto"/>
                <w:kern w:val="0"/>
                <w:szCs w:val="21"/>
                <w:highlight w:val="none"/>
              </w:rPr>
              <w:t>BBB</w:t>
            </w:r>
          </w:p>
        </w:tc>
        <w:tc>
          <w:tcPr>
            <w:tcW w:w="796" w:type="pct"/>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center"/>
          </w:tcPr>
          <w:p>
            <w:pPr>
              <w:widowControl/>
              <w:jc w:val="left"/>
              <w:rPr>
                <w:color w:val="auto"/>
                <w:kern w:val="0"/>
                <w:szCs w:val="21"/>
                <w:highlight w:val="none"/>
              </w:rPr>
            </w:pPr>
          </w:p>
        </w:tc>
        <w:tc>
          <w:tcPr>
            <w:tcW w:w="1782" w:type="pct"/>
            <w:shd w:val="clear" w:color="auto" w:fill="auto"/>
            <w:vAlign w:val="center"/>
          </w:tcPr>
          <w:p>
            <w:pPr>
              <w:widowControl/>
              <w:jc w:val="center"/>
              <w:rPr>
                <w:color w:val="auto"/>
                <w:kern w:val="0"/>
                <w:szCs w:val="21"/>
                <w:highlight w:val="none"/>
              </w:rPr>
            </w:pPr>
            <w:r>
              <w:rPr>
                <w:color w:val="auto"/>
                <w:kern w:val="0"/>
                <w:szCs w:val="21"/>
                <w:highlight w:val="none"/>
              </w:rPr>
              <w:t>A</w:t>
            </w:r>
            <w:r>
              <w:rPr>
                <w:rFonts w:hint="eastAsia" w:ascii="仿宋_GB2312" w:eastAsia="仿宋_GB2312"/>
                <w:color w:val="auto"/>
                <w:kern w:val="0"/>
                <w:szCs w:val="21"/>
                <w:highlight w:val="none"/>
              </w:rPr>
              <w:t>、</w:t>
            </w:r>
            <w:r>
              <w:rPr>
                <w:color w:val="auto"/>
                <w:kern w:val="0"/>
                <w:szCs w:val="21"/>
                <w:highlight w:val="none"/>
              </w:rPr>
              <w:t>AA</w:t>
            </w:r>
            <w:r>
              <w:rPr>
                <w:rFonts w:hint="eastAsia" w:ascii="仿宋_GB2312" w:eastAsia="仿宋_GB2312"/>
                <w:color w:val="auto"/>
                <w:kern w:val="0"/>
                <w:szCs w:val="21"/>
                <w:highlight w:val="none"/>
              </w:rPr>
              <w:t>、</w:t>
            </w:r>
            <w:r>
              <w:rPr>
                <w:color w:val="auto"/>
                <w:kern w:val="0"/>
                <w:szCs w:val="21"/>
                <w:highlight w:val="none"/>
              </w:rPr>
              <w:t>AAA</w:t>
            </w:r>
          </w:p>
        </w:tc>
        <w:tc>
          <w:tcPr>
            <w:tcW w:w="796" w:type="pct"/>
            <w:shd w:val="clear" w:color="auto" w:fill="auto"/>
            <w:vAlign w:val="center"/>
          </w:tcPr>
          <w:p>
            <w:pPr>
              <w:widowControl/>
              <w:jc w:val="center"/>
              <w:rPr>
                <w:color w:val="auto"/>
                <w:kern w:val="0"/>
                <w:szCs w:val="21"/>
                <w:highlight w:val="none"/>
              </w:rPr>
            </w:pPr>
            <w:r>
              <w:rPr>
                <w:color w:val="auto"/>
                <w:kern w:val="0"/>
                <w:szCs w:val="21"/>
                <w:highlight w:val="none"/>
              </w:rPr>
              <w:t>4</w:t>
            </w: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restar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管理层信用</w:t>
            </w:r>
          </w:p>
        </w:tc>
        <w:tc>
          <w:tcPr>
            <w:tcW w:w="1782"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近三年，管理层人员未列入国家失信对象名单。</w:t>
            </w:r>
          </w:p>
        </w:tc>
        <w:tc>
          <w:tcPr>
            <w:tcW w:w="796" w:type="pct"/>
            <w:shd w:val="clear" w:color="auto" w:fill="auto"/>
            <w:vAlign w:val="center"/>
          </w:tcPr>
          <w:p>
            <w:pPr>
              <w:widowControl/>
              <w:jc w:val="center"/>
              <w:rPr>
                <w:color w:val="auto"/>
                <w:kern w:val="0"/>
                <w:szCs w:val="21"/>
                <w:highlight w:val="none"/>
              </w:rPr>
            </w:pPr>
            <w:r>
              <w:rPr>
                <w:color w:val="auto"/>
                <w:kern w:val="0"/>
                <w:szCs w:val="21"/>
                <w:highlight w:val="none"/>
              </w:rPr>
              <w:t>1</w:t>
            </w:r>
          </w:p>
        </w:tc>
        <w:tc>
          <w:tcPr>
            <w:tcW w:w="515" w:type="pct"/>
            <w:vMerge w:val="restart"/>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643" w:type="pct"/>
            <w:vMerge w:val="restart"/>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center"/>
          </w:tcPr>
          <w:p>
            <w:pPr>
              <w:widowControl/>
              <w:jc w:val="left"/>
              <w:rPr>
                <w:color w:val="auto"/>
                <w:kern w:val="0"/>
                <w:szCs w:val="21"/>
                <w:highlight w:val="none"/>
              </w:rPr>
            </w:pPr>
          </w:p>
        </w:tc>
        <w:tc>
          <w:tcPr>
            <w:tcW w:w="1782"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近三年，管理层人员未列入国家失信对象名单，管理层人员在企业内外均无不良信用记录。</w:t>
            </w:r>
          </w:p>
        </w:tc>
        <w:tc>
          <w:tcPr>
            <w:tcW w:w="796" w:type="pct"/>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偿债能力</w:t>
            </w:r>
          </w:p>
        </w:tc>
        <w:tc>
          <w:tcPr>
            <w:tcW w:w="1782"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-5×</w:t>
            </w:r>
            <w:r>
              <w:rPr>
                <w:rFonts w:hint="eastAsia" w:ascii="仿宋_GB2312" w:eastAsia="仿宋_GB2312"/>
                <w:color w:val="auto"/>
                <w:kern w:val="0"/>
                <w:szCs w:val="21"/>
                <w:highlight w:val="none"/>
              </w:rPr>
              <w:t>总资产负债率</w:t>
            </w:r>
            <w:r>
              <w:rPr>
                <w:color w:val="auto"/>
                <w:kern w:val="0"/>
                <w:szCs w:val="21"/>
                <w:highlight w:val="none"/>
              </w:rPr>
              <w:t>+5</w:t>
            </w:r>
            <w:r>
              <w:rPr>
                <w:color w:val="auto"/>
                <w:kern w:val="0"/>
                <w:szCs w:val="21"/>
                <w:highlight w:val="none"/>
              </w:rPr>
              <w:br w:type="textWrapping"/>
            </w:r>
            <w:r>
              <w:rPr>
                <w:rFonts w:hint="eastAsia" w:ascii="仿宋_GB2312" w:eastAsia="仿宋_GB2312"/>
                <w:color w:val="auto"/>
                <w:kern w:val="0"/>
                <w:szCs w:val="21"/>
                <w:highlight w:val="none"/>
              </w:rPr>
              <w:t>最低</w:t>
            </w:r>
            <w:r>
              <w:rPr>
                <w:color w:val="auto"/>
                <w:kern w:val="0"/>
                <w:szCs w:val="21"/>
                <w:highlight w:val="none"/>
              </w:rPr>
              <w:t>0</w:t>
            </w:r>
            <w:r>
              <w:rPr>
                <w:rFonts w:hint="eastAsia" w:ascii="仿宋_GB2312" w:eastAsia="仿宋_GB2312"/>
                <w:color w:val="auto"/>
                <w:kern w:val="0"/>
                <w:szCs w:val="21"/>
                <w:highlight w:val="none"/>
              </w:rPr>
              <w:t>分，最高</w:t>
            </w:r>
            <w:r>
              <w:rPr>
                <w:color w:val="auto"/>
                <w:kern w:val="0"/>
                <w:szCs w:val="21"/>
                <w:highlight w:val="none"/>
              </w:rPr>
              <w:t>3</w:t>
            </w:r>
            <w:r>
              <w:rPr>
                <w:rFonts w:hint="eastAsia" w:ascii="仿宋_GB2312" w:eastAsia="仿宋_GB2312"/>
                <w:color w:val="auto"/>
                <w:kern w:val="0"/>
                <w:szCs w:val="21"/>
                <w:highlight w:val="none"/>
              </w:rPr>
              <w:t>分</w:t>
            </w:r>
          </w:p>
        </w:tc>
        <w:tc>
          <w:tcPr>
            <w:tcW w:w="796"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公式计算得分</w:t>
            </w:r>
          </w:p>
        </w:tc>
        <w:tc>
          <w:tcPr>
            <w:tcW w:w="515" w:type="pct"/>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643"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资产负债率</w:t>
            </w:r>
            <w:r>
              <w:rPr>
                <w:rFonts w:hint="eastAsia" w:ascii="仿宋_GB2312" w:eastAsia="仿宋_GB2312"/>
                <w:color w:val="auto"/>
                <w:kern w:val="0"/>
                <w:szCs w:val="21"/>
                <w:highlight w:val="none"/>
              </w:rPr>
              <w:br w:type="textWrapping"/>
            </w:r>
            <w:r>
              <w:rPr>
                <w:color w:val="auto"/>
                <w:kern w:val="0"/>
                <w:szCs w:val="21"/>
                <w:highlight w:val="none"/>
              </w:rPr>
              <w:t>100%</w:t>
            </w:r>
            <w:r>
              <w:rPr>
                <w:rFonts w:hint="eastAsia" w:ascii="仿宋_GB2312" w:eastAsia="仿宋_GB2312"/>
                <w:color w:val="auto"/>
                <w:kern w:val="0"/>
                <w:szCs w:val="21"/>
                <w:highlight w:val="none"/>
              </w:rPr>
              <w:t>以上，</w:t>
            </w:r>
            <w:r>
              <w:rPr>
                <w:color w:val="auto"/>
                <w:kern w:val="0"/>
                <w:szCs w:val="21"/>
                <w:highlight w:val="none"/>
              </w:rPr>
              <w:t>0</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color w:val="auto"/>
                <w:kern w:val="0"/>
                <w:szCs w:val="21"/>
                <w:highlight w:val="none"/>
              </w:rPr>
              <w:t>40%</w:t>
            </w:r>
            <w:r>
              <w:rPr>
                <w:rFonts w:hint="eastAsia" w:ascii="仿宋_GB2312" w:eastAsia="仿宋_GB2312"/>
                <w:color w:val="auto"/>
                <w:kern w:val="0"/>
                <w:szCs w:val="21"/>
                <w:highlight w:val="none"/>
              </w:rPr>
              <w:t>以下，</w:t>
            </w:r>
            <w:r>
              <w:rPr>
                <w:color w:val="auto"/>
                <w:kern w:val="0"/>
                <w:szCs w:val="21"/>
                <w:highlight w:val="none"/>
              </w:rPr>
              <w:t>3</w:t>
            </w:r>
            <w:r>
              <w:rPr>
                <w:rFonts w:hint="eastAsia" w:ascii="仿宋_GB2312" w:eastAsia="仿宋_GB2312"/>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restar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合同履约</w:t>
            </w:r>
          </w:p>
        </w:tc>
        <w:tc>
          <w:tcPr>
            <w:tcW w:w="1782"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近三年内曾发生因企业自身原因导致的合同违约。</w:t>
            </w:r>
          </w:p>
        </w:tc>
        <w:tc>
          <w:tcPr>
            <w:tcW w:w="796" w:type="pct"/>
            <w:shd w:val="clear" w:color="auto" w:fill="auto"/>
            <w:vAlign w:val="center"/>
          </w:tcPr>
          <w:p>
            <w:pPr>
              <w:widowControl/>
              <w:jc w:val="center"/>
              <w:rPr>
                <w:color w:val="auto"/>
                <w:kern w:val="0"/>
                <w:szCs w:val="21"/>
                <w:highlight w:val="none"/>
              </w:rPr>
            </w:pPr>
            <w:r>
              <w:rPr>
                <w:color w:val="auto"/>
                <w:kern w:val="0"/>
                <w:szCs w:val="21"/>
                <w:highlight w:val="none"/>
              </w:rPr>
              <w:t>0</w:t>
            </w:r>
          </w:p>
        </w:tc>
        <w:tc>
          <w:tcPr>
            <w:tcW w:w="515" w:type="pct"/>
            <w:vMerge w:val="restart"/>
            <w:shd w:val="clear" w:color="auto" w:fill="auto"/>
            <w:vAlign w:val="center"/>
          </w:tcPr>
          <w:p>
            <w:pPr>
              <w:widowControl/>
              <w:jc w:val="center"/>
              <w:rPr>
                <w:color w:val="auto"/>
                <w:kern w:val="0"/>
                <w:szCs w:val="21"/>
                <w:highlight w:val="none"/>
              </w:rPr>
            </w:pPr>
            <w:r>
              <w:rPr>
                <w:color w:val="auto"/>
                <w:kern w:val="0"/>
                <w:szCs w:val="21"/>
                <w:highlight w:val="none"/>
              </w:rPr>
              <w:t>1</w:t>
            </w:r>
          </w:p>
        </w:tc>
        <w:tc>
          <w:tcPr>
            <w:tcW w:w="643" w:type="pct"/>
            <w:vMerge w:val="restart"/>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center"/>
          </w:tcPr>
          <w:p>
            <w:pPr>
              <w:widowControl/>
              <w:jc w:val="left"/>
              <w:rPr>
                <w:color w:val="auto"/>
                <w:kern w:val="0"/>
                <w:szCs w:val="21"/>
                <w:highlight w:val="none"/>
              </w:rPr>
            </w:pPr>
          </w:p>
        </w:tc>
        <w:tc>
          <w:tcPr>
            <w:tcW w:w="1782"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近三年，未发生因企业自身原因导致的合同违约。</w:t>
            </w:r>
          </w:p>
        </w:tc>
        <w:tc>
          <w:tcPr>
            <w:tcW w:w="796" w:type="pct"/>
            <w:shd w:val="clear" w:color="auto" w:fill="auto"/>
            <w:vAlign w:val="center"/>
          </w:tcPr>
          <w:p>
            <w:pPr>
              <w:widowControl/>
              <w:jc w:val="center"/>
              <w:rPr>
                <w:color w:val="auto"/>
                <w:kern w:val="0"/>
                <w:szCs w:val="21"/>
                <w:highlight w:val="none"/>
              </w:rPr>
            </w:pPr>
            <w:r>
              <w:rPr>
                <w:color w:val="auto"/>
                <w:kern w:val="0"/>
                <w:szCs w:val="21"/>
                <w:highlight w:val="none"/>
              </w:rPr>
              <w:t>1</w:t>
            </w: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企业不良行为记录</w:t>
            </w:r>
          </w:p>
        </w:tc>
        <w:tc>
          <w:tcPr>
            <w:tcW w:w="1782"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企业收到能源、环保、司法、工商、质检、安监、金融、海关等部门或机构发出的不良行为记录。无不良行为记录得满分</w:t>
            </w:r>
            <w:r>
              <w:rPr>
                <w:color w:val="auto"/>
                <w:kern w:val="0"/>
                <w:szCs w:val="21"/>
                <w:highlight w:val="none"/>
              </w:rPr>
              <w:t>2</w:t>
            </w:r>
            <w:r>
              <w:rPr>
                <w:rFonts w:hint="eastAsia" w:ascii="仿宋_GB2312" w:eastAsia="仿宋_GB2312"/>
                <w:color w:val="auto"/>
                <w:kern w:val="0"/>
                <w:szCs w:val="21"/>
                <w:highlight w:val="none"/>
              </w:rPr>
              <w:t>分</w:t>
            </w:r>
          </w:p>
        </w:tc>
        <w:tc>
          <w:tcPr>
            <w:tcW w:w="796"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每条不良行为记录减</w:t>
            </w:r>
            <w:r>
              <w:rPr>
                <w:color w:val="auto"/>
                <w:kern w:val="0"/>
                <w:szCs w:val="21"/>
                <w:highlight w:val="none"/>
              </w:rPr>
              <w:t>0.5</w:t>
            </w:r>
            <w:r>
              <w:rPr>
                <w:rFonts w:hint="eastAsia" w:ascii="仿宋_GB2312" w:eastAsia="仿宋_GB2312"/>
                <w:color w:val="auto"/>
                <w:kern w:val="0"/>
                <w:szCs w:val="21"/>
                <w:highlight w:val="none"/>
              </w:rPr>
              <w:t>分，最多</w:t>
            </w:r>
            <w:r>
              <w:rPr>
                <w:color w:val="auto"/>
                <w:kern w:val="0"/>
                <w:szCs w:val="21"/>
                <w:highlight w:val="none"/>
              </w:rPr>
              <w:t>2</w:t>
            </w:r>
            <w:r>
              <w:rPr>
                <w:rFonts w:hint="eastAsia" w:ascii="仿宋_GB2312" w:eastAsia="仿宋_GB2312"/>
                <w:color w:val="auto"/>
                <w:kern w:val="0"/>
                <w:szCs w:val="21"/>
                <w:highlight w:val="none"/>
              </w:rPr>
              <w:t>分</w:t>
            </w:r>
          </w:p>
        </w:tc>
        <w:tc>
          <w:tcPr>
            <w:tcW w:w="515" w:type="pct"/>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643" w:type="pct"/>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6" w:type="pct"/>
            <w:vMerge w:val="continue"/>
            <w:vAlign w:val="center"/>
          </w:tcPr>
          <w:p>
            <w:pPr>
              <w:widowControl/>
              <w:jc w:val="left"/>
              <w:rPr>
                <w:color w:val="auto"/>
                <w:kern w:val="0"/>
                <w:szCs w:val="21"/>
                <w:highlight w:val="none"/>
              </w:rPr>
            </w:pPr>
          </w:p>
        </w:tc>
        <w:tc>
          <w:tcPr>
            <w:tcW w:w="235" w:type="pct"/>
            <w:vMerge w:val="restar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服务水平</w:t>
            </w:r>
          </w:p>
        </w:tc>
        <w:tc>
          <w:tcPr>
            <w:tcW w:w="801"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服务体系建设</w:t>
            </w:r>
          </w:p>
        </w:tc>
        <w:tc>
          <w:tcPr>
            <w:tcW w:w="1782"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建立有完善的售后服务体系、配备有相关专业服务人员、具有提供服务的专业设备、为下游客户提供产品使用的咨询或培训服务</w:t>
            </w:r>
          </w:p>
        </w:tc>
        <w:tc>
          <w:tcPr>
            <w:tcW w:w="796"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每项得</w:t>
            </w:r>
            <w:r>
              <w:rPr>
                <w:color w:val="auto"/>
                <w:kern w:val="0"/>
                <w:szCs w:val="21"/>
                <w:highlight w:val="none"/>
              </w:rPr>
              <w:t>1</w:t>
            </w:r>
            <w:r>
              <w:rPr>
                <w:rFonts w:hint="eastAsia" w:ascii="仿宋_GB2312" w:eastAsia="仿宋_GB2312"/>
                <w:color w:val="auto"/>
                <w:kern w:val="0"/>
                <w:szCs w:val="21"/>
                <w:highlight w:val="none"/>
              </w:rPr>
              <w:t>分，最多</w:t>
            </w:r>
            <w:r>
              <w:rPr>
                <w:color w:val="auto"/>
                <w:kern w:val="0"/>
                <w:szCs w:val="21"/>
                <w:highlight w:val="none"/>
              </w:rPr>
              <w:t>4</w:t>
            </w:r>
            <w:r>
              <w:rPr>
                <w:rFonts w:hint="eastAsia" w:ascii="仿宋_GB2312" w:eastAsia="仿宋_GB2312"/>
                <w:color w:val="auto"/>
                <w:kern w:val="0"/>
                <w:szCs w:val="21"/>
                <w:highlight w:val="none"/>
              </w:rPr>
              <w:t>分</w:t>
            </w:r>
          </w:p>
        </w:tc>
        <w:tc>
          <w:tcPr>
            <w:tcW w:w="515" w:type="pct"/>
            <w:shd w:val="clear" w:color="auto" w:fill="auto"/>
            <w:vAlign w:val="center"/>
          </w:tcPr>
          <w:p>
            <w:pPr>
              <w:widowControl/>
              <w:jc w:val="center"/>
              <w:rPr>
                <w:color w:val="auto"/>
                <w:kern w:val="0"/>
                <w:szCs w:val="21"/>
                <w:highlight w:val="none"/>
              </w:rPr>
            </w:pPr>
            <w:r>
              <w:rPr>
                <w:color w:val="auto"/>
                <w:kern w:val="0"/>
                <w:szCs w:val="21"/>
                <w:highlight w:val="none"/>
              </w:rPr>
              <w:t>4</w:t>
            </w:r>
          </w:p>
        </w:tc>
        <w:tc>
          <w:tcPr>
            <w:tcW w:w="643" w:type="pct"/>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restart"/>
            <w:shd w:val="clear" w:color="auto" w:fill="auto"/>
            <w:vAlign w:val="top"/>
          </w:tcPr>
          <w:p>
            <w:pPr>
              <w:spacing w:line="323" w:lineRule="auto"/>
              <w:rPr>
                <w:rFonts w:ascii="Arial"/>
                <w:color w:val="auto"/>
                <w:sz w:val="21"/>
                <w:highlight w:val="none"/>
              </w:rPr>
            </w:pPr>
          </w:p>
          <w:p>
            <w:pPr>
              <w:pStyle w:val="26"/>
              <w:spacing w:before="68" w:line="218" w:lineRule="auto"/>
              <w:ind w:left="604" w:leftChars="0"/>
              <w:rPr>
                <w:color w:val="auto"/>
                <w:kern w:val="0"/>
                <w:szCs w:val="21"/>
                <w:highlight w:val="none"/>
              </w:rPr>
            </w:pPr>
            <w:r>
              <w:rPr>
                <w:rFonts w:hint="eastAsia" w:ascii="仿宋_GB2312" w:hAnsi="Times New Roman" w:eastAsia="仿宋_GB2312" w:cs="Times New Roman"/>
                <w:color w:val="auto"/>
                <w:kern w:val="0"/>
                <w:sz w:val="21"/>
                <w:szCs w:val="21"/>
                <w:highlight w:val="none"/>
                <w:lang w:val="en-US" w:eastAsia="zh-CN" w:bidi="ar-SA"/>
              </w:rPr>
              <w:t>配送时效保障</w:t>
            </w:r>
          </w:p>
        </w:tc>
        <w:tc>
          <w:tcPr>
            <w:tcW w:w="1782" w:type="pct"/>
            <w:shd w:val="clear" w:color="auto" w:fill="auto"/>
            <w:vAlign w:val="top"/>
          </w:tcPr>
          <w:p>
            <w:pPr>
              <w:pStyle w:val="26"/>
              <w:spacing w:before="60" w:line="216" w:lineRule="auto"/>
              <w:rPr>
                <w:color w:val="auto"/>
                <w:kern w:val="0"/>
                <w:szCs w:val="21"/>
                <w:highlight w:val="none"/>
              </w:rPr>
            </w:pPr>
            <w:r>
              <w:rPr>
                <w:rFonts w:hint="eastAsia" w:ascii="仿宋_GB2312" w:hAnsi="Times New Roman" w:eastAsia="仿宋_GB2312" w:cs="Times New Roman"/>
                <w:color w:val="auto"/>
                <w:kern w:val="0"/>
                <w:sz w:val="21"/>
                <w:szCs w:val="21"/>
                <w:highlight w:val="none"/>
                <w:lang w:val="en-US" w:eastAsia="zh-CN" w:bidi="ar-SA"/>
              </w:rPr>
              <w:t>按时交付率＜90%</w:t>
            </w:r>
          </w:p>
        </w:tc>
        <w:tc>
          <w:tcPr>
            <w:tcW w:w="796" w:type="pct"/>
            <w:shd w:val="clear" w:color="auto" w:fill="auto"/>
            <w:vAlign w:val="center"/>
          </w:tcPr>
          <w:p>
            <w:pPr>
              <w:widowControl/>
              <w:jc w:val="center"/>
              <w:rPr>
                <w:color w:val="auto"/>
                <w:kern w:val="0"/>
                <w:szCs w:val="21"/>
                <w:highlight w:val="none"/>
              </w:rPr>
            </w:pPr>
            <w:r>
              <w:rPr>
                <w:rFonts w:hint="eastAsia"/>
                <w:color w:val="auto"/>
                <w:kern w:val="0"/>
                <w:szCs w:val="21"/>
                <w:highlight w:val="none"/>
                <w:lang w:val="en-US" w:eastAsia="zh-CN"/>
              </w:rPr>
              <w:t>0</w:t>
            </w:r>
          </w:p>
        </w:tc>
        <w:tc>
          <w:tcPr>
            <w:tcW w:w="515" w:type="pct"/>
            <w:vMerge w:val="restart"/>
            <w:shd w:val="clear" w:color="auto" w:fill="auto"/>
            <w:vAlign w:val="center"/>
          </w:tcPr>
          <w:p>
            <w:pPr>
              <w:widowControl/>
              <w:jc w:val="center"/>
              <w:rPr>
                <w:rFonts w:hint="eastAsia" w:eastAsia="宋体"/>
                <w:color w:val="auto"/>
                <w:kern w:val="0"/>
                <w:szCs w:val="21"/>
                <w:highlight w:val="none"/>
                <w:lang w:eastAsia="zh-CN"/>
              </w:rPr>
            </w:pPr>
            <w:r>
              <w:rPr>
                <w:rFonts w:hint="eastAsia"/>
                <w:color w:val="auto"/>
                <w:kern w:val="0"/>
                <w:szCs w:val="21"/>
                <w:highlight w:val="none"/>
                <w:lang w:val="en-US" w:eastAsia="zh-CN"/>
              </w:rPr>
              <w:t>3</w:t>
            </w:r>
          </w:p>
        </w:tc>
        <w:tc>
          <w:tcPr>
            <w:tcW w:w="643" w:type="pct"/>
            <w:vMerge w:val="restart"/>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top"/>
          </w:tcPr>
          <w:p>
            <w:pPr>
              <w:rPr>
                <w:color w:val="auto"/>
                <w:kern w:val="0"/>
                <w:szCs w:val="21"/>
                <w:highlight w:val="none"/>
              </w:rPr>
            </w:pPr>
          </w:p>
        </w:tc>
        <w:tc>
          <w:tcPr>
            <w:tcW w:w="1782" w:type="pct"/>
            <w:shd w:val="clear" w:color="auto" w:fill="auto"/>
            <w:vAlign w:val="top"/>
          </w:tcPr>
          <w:p>
            <w:pPr>
              <w:pStyle w:val="26"/>
              <w:spacing w:before="63" w:line="215" w:lineRule="auto"/>
              <w:rPr>
                <w:color w:val="auto"/>
                <w:kern w:val="0"/>
                <w:szCs w:val="21"/>
                <w:highlight w:val="none"/>
              </w:rPr>
            </w:pPr>
            <w:r>
              <w:rPr>
                <w:rFonts w:hint="eastAsia" w:ascii="仿宋_GB2312" w:hAnsi="Times New Roman" w:eastAsia="仿宋_GB2312" w:cs="Times New Roman"/>
                <w:color w:val="auto"/>
                <w:kern w:val="0"/>
                <w:sz w:val="21"/>
                <w:szCs w:val="21"/>
                <w:highlight w:val="none"/>
                <w:lang w:val="en-US" w:eastAsia="zh-CN" w:bidi="ar-SA"/>
              </w:rPr>
              <w:t>按时交付率≥90%</w:t>
            </w:r>
          </w:p>
        </w:tc>
        <w:tc>
          <w:tcPr>
            <w:tcW w:w="796" w:type="pct"/>
            <w:shd w:val="clear" w:color="auto" w:fill="auto"/>
            <w:vAlign w:val="center"/>
          </w:tcPr>
          <w:p>
            <w:pPr>
              <w:widowControl/>
              <w:jc w:val="center"/>
              <w:rPr>
                <w:color w:val="auto"/>
                <w:kern w:val="0"/>
                <w:szCs w:val="21"/>
                <w:highlight w:val="none"/>
              </w:rPr>
            </w:pPr>
            <w:r>
              <w:rPr>
                <w:rFonts w:hint="eastAsia"/>
                <w:color w:val="auto"/>
                <w:kern w:val="0"/>
                <w:szCs w:val="21"/>
                <w:highlight w:val="none"/>
                <w:lang w:val="en-US" w:eastAsia="zh-CN"/>
              </w:rPr>
              <w:t>0.5</w:t>
            </w: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top"/>
          </w:tcPr>
          <w:p>
            <w:pPr>
              <w:rPr>
                <w:color w:val="auto"/>
                <w:kern w:val="0"/>
                <w:szCs w:val="21"/>
                <w:highlight w:val="none"/>
              </w:rPr>
            </w:pPr>
          </w:p>
        </w:tc>
        <w:tc>
          <w:tcPr>
            <w:tcW w:w="1782" w:type="pct"/>
            <w:shd w:val="clear" w:color="auto" w:fill="auto"/>
            <w:vAlign w:val="top"/>
          </w:tcPr>
          <w:p>
            <w:pPr>
              <w:pStyle w:val="26"/>
              <w:spacing w:before="61" w:line="223" w:lineRule="auto"/>
              <w:rPr>
                <w:color w:val="auto"/>
                <w:kern w:val="0"/>
                <w:szCs w:val="21"/>
                <w:highlight w:val="none"/>
              </w:rPr>
            </w:pPr>
            <w:r>
              <w:rPr>
                <w:rFonts w:hint="eastAsia" w:ascii="仿宋_GB2312" w:hAnsi="Times New Roman" w:eastAsia="仿宋_GB2312" w:cs="Times New Roman"/>
                <w:color w:val="auto"/>
                <w:kern w:val="0"/>
                <w:sz w:val="21"/>
                <w:szCs w:val="21"/>
                <w:highlight w:val="none"/>
                <w:lang w:val="en-US" w:eastAsia="zh-CN" w:bidi="ar-SA"/>
              </w:rPr>
              <w:t>按时交付率≥95%</w:t>
            </w:r>
          </w:p>
        </w:tc>
        <w:tc>
          <w:tcPr>
            <w:tcW w:w="796" w:type="pct"/>
            <w:shd w:val="clear" w:color="auto" w:fill="auto"/>
            <w:vAlign w:val="center"/>
          </w:tcPr>
          <w:p>
            <w:pPr>
              <w:widowControl/>
              <w:jc w:val="center"/>
              <w:rPr>
                <w:color w:val="auto"/>
                <w:kern w:val="0"/>
                <w:szCs w:val="21"/>
                <w:highlight w:val="none"/>
              </w:rPr>
            </w:pPr>
            <w:r>
              <w:rPr>
                <w:rFonts w:hint="eastAsia"/>
                <w:color w:val="auto"/>
                <w:kern w:val="0"/>
                <w:szCs w:val="21"/>
                <w:highlight w:val="none"/>
                <w:lang w:val="en-US" w:eastAsia="zh-CN"/>
              </w:rPr>
              <w:t>1</w:t>
            </w: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center"/>
          </w:tcPr>
          <w:p>
            <w:pPr>
              <w:widowControl/>
              <w:jc w:val="left"/>
              <w:rPr>
                <w:color w:val="auto"/>
                <w:kern w:val="0"/>
                <w:szCs w:val="21"/>
                <w:highlight w:val="none"/>
              </w:rPr>
            </w:pPr>
          </w:p>
        </w:tc>
        <w:tc>
          <w:tcPr>
            <w:tcW w:w="1782" w:type="pct"/>
            <w:shd w:val="clear" w:color="auto" w:fill="auto"/>
            <w:vAlign w:val="top"/>
          </w:tcPr>
          <w:p>
            <w:pPr>
              <w:pStyle w:val="26"/>
              <w:spacing w:before="53" w:line="225" w:lineRule="auto"/>
              <w:rPr>
                <w:color w:val="auto"/>
                <w:kern w:val="0"/>
                <w:szCs w:val="21"/>
                <w:highlight w:val="none"/>
              </w:rPr>
            </w:pPr>
            <w:r>
              <w:rPr>
                <w:rFonts w:hint="eastAsia" w:ascii="仿宋_GB2312" w:hAnsi="Times New Roman" w:eastAsia="仿宋_GB2312" w:cs="Times New Roman"/>
                <w:color w:val="auto"/>
                <w:kern w:val="0"/>
                <w:sz w:val="21"/>
                <w:szCs w:val="21"/>
                <w:highlight w:val="none"/>
                <w:lang w:val="en-US" w:eastAsia="zh-CN" w:bidi="ar-SA"/>
              </w:rPr>
              <w:t>按时交付率≥99%</w:t>
            </w:r>
          </w:p>
        </w:tc>
        <w:tc>
          <w:tcPr>
            <w:tcW w:w="796" w:type="pct"/>
            <w:shd w:val="clear" w:color="auto" w:fill="auto"/>
            <w:vAlign w:val="top"/>
          </w:tcPr>
          <w:p>
            <w:pPr>
              <w:widowControl/>
              <w:jc w:val="center"/>
              <w:rPr>
                <w:color w:val="auto"/>
                <w:kern w:val="0"/>
                <w:szCs w:val="21"/>
                <w:highlight w:val="none"/>
              </w:rPr>
            </w:pPr>
            <w:r>
              <w:rPr>
                <w:rFonts w:hint="eastAsia"/>
                <w:color w:val="auto"/>
                <w:kern w:val="0"/>
                <w:szCs w:val="21"/>
                <w:highlight w:val="none"/>
                <w:lang w:val="en-US" w:eastAsia="zh-CN"/>
              </w:rPr>
              <w:t>3</w:t>
            </w: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restart"/>
            <w:shd w:val="clear" w:color="auto" w:fill="auto"/>
            <w:vAlign w:val="top"/>
          </w:tcPr>
          <w:p>
            <w:pPr>
              <w:spacing w:line="311" w:lineRule="auto"/>
              <w:rPr>
                <w:rFonts w:ascii="Arial"/>
                <w:color w:val="auto"/>
                <w:sz w:val="21"/>
                <w:highlight w:val="none"/>
              </w:rPr>
            </w:pPr>
          </w:p>
          <w:p>
            <w:pPr>
              <w:pStyle w:val="26"/>
              <w:spacing w:before="68" w:line="221" w:lineRule="auto"/>
              <w:ind w:left="804" w:leftChars="0"/>
              <w:rPr>
                <w:color w:val="auto"/>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质量追溯</w:t>
            </w:r>
          </w:p>
        </w:tc>
        <w:tc>
          <w:tcPr>
            <w:tcW w:w="1782" w:type="pct"/>
            <w:shd w:val="clear" w:color="auto" w:fill="auto"/>
            <w:vAlign w:val="top"/>
          </w:tcPr>
          <w:p>
            <w:pPr>
              <w:pStyle w:val="26"/>
              <w:spacing w:before="50" w:line="217" w:lineRule="auto"/>
              <w:rPr>
                <w:color w:val="auto"/>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产品质量检测无法实现追踪溯源</w:t>
            </w:r>
          </w:p>
        </w:tc>
        <w:tc>
          <w:tcPr>
            <w:tcW w:w="796" w:type="pct"/>
            <w:shd w:val="clear" w:color="auto" w:fill="auto"/>
            <w:vAlign w:val="top"/>
          </w:tcPr>
          <w:p>
            <w:pPr>
              <w:spacing w:before="89" w:line="187" w:lineRule="auto"/>
              <w:jc w:val="center"/>
              <w:rPr>
                <w:color w:val="auto"/>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0</w:t>
            </w:r>
          </w:p>
        </w:tc>
        <w:tc>
          <w:tcPr>
            <w:tcW w:w="515" w:type="pct"/>
            <w:vMerge w:val="restart"/>
            <w:shd w:val="clear" w:color="auto" w:fill="auto"/>
            <w:vAlign w:val="center"/>
          </w:tcPr>
          <w:p>
            <w:pPr>
              <w:widowControl/>
              <w:jc w:val="center"/>
              <w:rPr>
                <w:rFonts w:hint="eastAsia" w:eastAsia="宋体"/>
                <w:color w:val="auto"/>
                <w:kern w:val="0"/>
                <w:szCs w:val="21"/>
                <w:highlight w:val="none"/>
                <w:lang w:eastAsia="zh-CN"/>
              </w:rPr>
            </w:pPr>
            <w:r>
              <w:rPr>
                <w:rFonts w:hint="eastAsia"/>
                <w:color w:val="auto"/>
                <w:kern w:val="0"/>
                <w:szCs w:val="21"/>
                <w:highlight w:val="none"/>
                <w:lang w:val="en-US" w:eastAsia="zh-CN"/>
              </w:rPr>
              <w:t>3</w:t>
            </w:r>
          </w:p>
        </w:tc>
        <w:tc>
          <w:tcPr>
            <w:tcW w:w="643" w:type="pct"/>
            <w:vMerge w:val="restart"/>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top"/>
          </w:tcPr>
          <w:p>
            <w:pPr>
              <w:rPr>
                <w:color w:val="auto"/>
                <w:kern w:val="0"/>
                <w:szCs w:val="21"/>
                <w:highlight w:val="none"/>
              </w:rPr>
            </w:pPr>
          </w:p>
        </w:tc>
        <w:tc>
          <w:tcPr>
            <w:tcW w:w="1782" w:type="pct"/>
            <w:shd w:val="clear" w:color="auto" w:fill="auto"/>
            <w:vAlign w:val="top"/>
          </w:tcPr>
          <w:p>
            <w:pPr>
              <w:pStyle w:val="26"/>
              <w:spacing w:before="50" w:line="217" w:lineRule="auto"/>
              <w:rPr>
                <w:color w:val="auto"/>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产品质量检测能够实现追踪溯源，追溯期小于 2 年</w:t>
            </w:r>
          </w:p>
        </w:tc>
        <w:tc>
          <w:tcPr>
            <w:tcW w:w="796" w:type="pct"/>
            <w:shd w:val="clear" w:color="auto" w:fill="auto"/>
            <w:vAlign w:val="top"/>
          </w:tcPr>
          <w:p>
            <w:pPr>
              <w:spacing w:before="89" w:line="187" w:lineRule="auto"/>
              <w:jc w:val="center"/>
              <w:rPr>
                <w:color w:val="auto"/>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1</w:t>
            </w: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top"/>
          </w:tcPr>
          <w:p>
            <w:pPr>
              <w:rPr>
                <w:color w:val="auto"/>
                <w:kern w:val="0"/>
                <w:szCs w:val="21"/>
                <w:highlight w:val="none"/>
              </w:rPr>
            </w:pPr>
          </w:p>
        </w:tc>
        <w:tc>
          <w:tcPr>
            <w:tcW w:w="1782" w:type="pct"/>
            <w:shd w:val="clear" w:color="auto" w:fill="auto"/>
            <w:vAlign w:val="top"/>
          </w:tcPr>
          <w:p>
            <w:pPr>
              <w:pStyle w:val="26"/>
              <w:spacing w:before="53" w:line="217" w:lineRule="auto"/>
              <w:rPr>
                <w:color w:val="auto"/>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产品质量检测能够实现追踪溯源，追溯期不小于 2 年</w:t>
            </w:r>
          </w:p>
        </w:tc>
        <w:tc>
          <w:tcPr>
            <w:tcW w:w="796" w:type="pct"/>
            <w:shd w:val="clear" w:color="auto" w:fill="auto"/>
            <w:vAlign w:val="top"/>
          </w:tcPr>
          <w:p>
            <w:pPr>
              <w:spacing w:before="92" w:line="187" w:lineRule="auto"/>
              <w:jc w:val="center"/>
              <w:rPr>
                <w:color w:val="auto"/>
                <w:kern w:val="0"/>
                <w:szCs w:val="21"/>
                <w:highlight w:val="none"/>
              </w:rPr>
            </w:pPr>
            <w:r>
              <w:rPr>
                <w:rFonts w:hint="eastAsia" w:ascii="Times New Roman" w:hAnsi="Times New Roman" w:eastAsia="宋体" w:cs="Times New Roman"/>
                <w:color w:val="auto"/>
                <w:kern w:val="0"/>
                <w:sz w:val="21"/>
                <w:szCs w:val="21"/>
                <w:highlight w:val="none"/>
                <w:lang w:val="en-US" w:eastAsia="zh-CN" w:bidi="ar-SA"/>
              </w:rPr>
              <w:t>2</w:t>
            </w: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质量异议解决制度</w:t>
            </w:r>
          </w:p>
        </w:tc>
        <w:tc>
          <w:tcPr>
            <w:tcW w:w="1782" w:type="pct"/>
            <w:shd w:val="clear" w:color="auto" w:fill="auto"/>
            <w:vAlign w:val="center"/>
          </w:tcPr>
          <w:p>
            <w:pPr>
              <w:widowControl/>
              <w:jc w:val="center"/>
              <w:rPr>
                <w:color w:val="auto"/>
                <w:kern w:val="0"/>
                <w:szCs w:val="21"/>
                <w:highlight w:val="none"/>
              </w:rPr>
            </w:pPr>
            <w:r>
              <w:rPr>
                <w:color w:val="auto"/>
                <w:kern w:val="0"/>
                <w:szCs w:val="21"/>
                <w:highlight w:val="none"/>
              </w:rPr>
              <w:t>1.</w:t>
            </w:r>
            <w:r>
              <w:rPr>
                <w:rFonts w:hint="eastAsia" w:ascii="仿宋_GB2312" w:eastAsia="仿宋_GB2312"/>
                <w:color w:val="auto"/>
                <w:kern w:val="0"/>
                <w:szCs w:val="21"/>
                <w:highlight w:val="none"/>
              </w:rPr>
              <w:t>建立了完善的质量异议解决制度</w:t>
            </w:r>
            <w:r>
              <w:rPr>
                <w:rFonts w:hint="eastAsia" w:ascii="仿宋_GB2312" w:eastAsia="仿宋_GB2312"/>
                <w:color w:val="auto"/>
                <w:kern w:val="0"/>
                <w:szCs w:val="21"/>
                <w:highlight w:val="none"/>
              </w:rPr>
              <w:br w:type="textWrapping"/>
            </w:r>
            <w:r>
              <w:rPr>
                <w:color w:val="auto"/>
                <w:kern w:val="0"/>
                <w:szCs w:val="21"/>
                <w:highlight w:val="none"/>
              </w:rPr>
              <w:t>2.</w:t>
            </w:r>
            <w:r>
              <w:rPr>
                <w:rFonts w:hint="eastAsia" w:ascii="仿宋_GB2312" w:eastAsia="仿宋_GB2312"/>
                <w:color w:val="auto"/>
                <w:kern w:val="0"/>
                <w:szCs w:val="21"/>
                <w:highlight w:val="none"/>
              </w:rPr>
              <w:t>质量异议解决制度得到了严格遵守和运行</w:t>
            </w:r>
            <w:r>
              <w:rPr>
                <w:rFonts w:hint="eastAsia" w:ascii="仿宋_GB2312" w:eastAsia="仿宋_GB2312"/>
                <w:color w:val="auto"/>
                <w:kern w:val="0"/>
                <w:szCs w:val="21"/>
                <w:highlight w:val="none"/>
              </w:rPr>
              <w:br w:type="textWrapping"/>
            </w:r>
            <w:r>
              <w:rPr>
                <w:color w:val="auto"/>
                <w:kern w:val="0"/>
                <w:szCs w:val="21"/>
                <w:highlight w:val="none"/>
              </w:rPr>
              <w:t>3.</w:t>
            </w:r>
            <w:r>
              <w:rPr>
                <w:rFonts w:hint="eastAsia" w:ascii="仿宋_GB2312" w:eastAsia="仿宋_GB2312"/>
                <w:color w:val="auto"/>
                <w:kern w:val="0"/>
                <w:szCs w:val="21"/>
                <w:highlight w:val="none"/>
              </w:rPr>
              <w:t>质量异议解决情况和效果良好</w:t>
            </w:r>
          </w:p>
        </w:tc>
        <w:tc>
          <w:tcPr>
            <w:tcW w:w="796"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达到每条得</w:t>
            </w:r>
            <w:r>
              <w:rPr>
                <w:rFonts w:hint="eastAsia" w:eastAsia="仿宋_GB2312"/>
                <w:color w:val="auto"/>
                <w:kern w:val="0"/>
                <w:szCs w:val="21"/>
                <w:highlight w:val="none"/>
                <w:lang w:val="en-US" w:eastAsia="zh-CN"/>
              </w:rPr>
              <w:t>1</w:t>
            </w:r>
            <w:r>
              <w:rPr>
                <w:rFonts w:hint="eastAsia" w:ascii="仿宋_GB2312" w:eastAsia="仿宋_GB2312"/>
                <w:color w:val="auto"/>
                <w:kern w:val="0"/>
                <w:szCs w:val="21"/>
                <w:highlight w:val="none"/>
              </w:rPr>
              <w:t>分，最多</w:t>
            </w:r>
            <w:r>
              <w:rPr>
                <w:rFonts w:hint="eastAsia" w:eastAsia="仿宋_GB2312"/>
                <w:color w:val="auto"/>
                <w:kern w:val="0"/>
                <w:szCs w:val="21"/>
                <w:highlight w:val="none"/>
                <w:lang w:val="en-US" w:eastAsia="zh-CN"/>
              </w:rPr>
              <w:t>3</w:t>
            </w:r>
            <w:r>
              <w:rPr>
                <w:rFonts w:hint="eastAsia" w:ascii="仿宋_GB2312" w:eastAsia="仿宋_GB2312"/>
                <w:color w:val="auto"/>
                <w:kern w:val="0"/>
                <w:szCs w:val="21"/>
                <w:highlight w:val="none"/>
              </w:rPr>
              <w:t>分</w:t>
            </w:r>
          </w:p>
        </w:tc>
        <w:tc>
          <w:tcPr>
            <w:tcW w:w="515" w:type="pct"/>
            <w:shd w:val="clear" w:color="auto" w:fill="auto"/>
            <w:vAlign w:val="center"/>
          </w:tcPr>
          <w:p>
            <w:pPr>
              <w:widowControl/>
              <w:jc w:val="center"/>
              <w:rPr>
                <w:color w:val="auto"/>
                <w:kern w:val="0"/>
                <w:szCs w:val="21"/>
                <w:highlight w:val="none"/>
              </w:rPr>
            </w:pPr>
            <w:r>
              <w:rPr>
                <w:rFonts w:hint="eastAsia"/>
                <w:color w:val="auto"/>
                <w:kern w:val="0"/>
                <w:szCs w:val="21"/>
                <w:highlight w:val="none"/>
                <w:lang w:val="en-US" w:eastAsia="zh-CN"/>
              </w:rPr>
              <w:t>3</w:t>
            </w:r>
          </w:p>
        </w:tc>
        <w:tc>
          <w:tcPr>
            <w:tcW w:w="643" w:type="pct"/>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restar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产品层面</w:t>
            </w:r>
          </w:p>
        </w:tc>
        <w:tc>
          <w:tcPr>
            <w:tcW w:w="235" w:type="pct"/>
            <w:vMerge w:val="restar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质量一致性</w:t>
            </w:r>
            <w:r>
              <w:rPr>
                <w:rFonts w:hint="eastAsia" w:ascii="仿宋_GB2312" w:eastAsia="仿宋_GB2312"/>
                <w:color w:val="auto"/>
                <w:kern w:val="0"/>
                <w:szCs w:val="21"/>
                <w:highlight w:val="none"/>
              </w:rPr>
              <w:br w:type="textWrapping"/>
            </w:r>
            <w:r>
              <w:rPr>
                <w:rFonts w:hint="eastAsia" w:ascii="仿宋_GB2312" w:eastAsia="仿宋_GB2312"/>
                <w:color w:val="auto"/>
                <w:kern w:val="0"/>
                <w:szCs w:val="21"/>
                <w:highlight w:val="none"/>
              </w:rPr>
              <w:t>（工序能力指数）</w:t>
            </w:r>
          </w:p>
        </w:tc>
        <w:tc>
          <w:tcPr>
            <w:tcW w:w="801" w:type="pct"/>
            <w:shd w:val="clear" w:color="auto" w:fill="auto"/>
            <w:vAlign w:val="center"/>
          </w:tcPr>
          <w:p>
            <w:pPr>
              <w:widowControl/>
              <w:jc w:val="center"/>
              <w:rPr>
                <w:color w:val="auto"/>
                <w:kern w:val="0"/>
                <w:szCs w:val="21"/>
                <w:highlight w:val="none"/>
              </w:rPr>
            </w:pPr>
            <w:r>
              <w:rPr>
                <w:color w:val="auto"/>
                <w:kern w:val="0"/>
                <w:szCs w:val="21"/>
                <w:highlight w:val="none"/>
              </w:rPr>
              <w:t>Cp</w:t>
            </w:r>
            <w:r>
              <w:rPr>
                <w:rFonts w:hint="eastAsia" w:ascii="仿宋_GB2312" w:eastAsia="仿宋_GB2312"/>
                <w:color w:val="auto"/>
                <w:kern w:val="0"/>
                <w:szCs w:val="21"/>
                <w:highlight w:val="none"/>
              </w:rPr>
              <w:t>（</w:t>
            </w:r>
            <w:r>
              <w:rPr>
                <w:rFonts w:hint="eastAsia" w:ascii="仿宋_GB2312" w:eastAsia="仿宋_GB2312"/>
                <w:color w:val="auto"/>
                <w:kern w:val="0"/>
                <w:szCs w:val="21"/>
                <w:highlight w:val="none"/>
                <w:lang w:val="en-US" w:eastAsia="zh-CN"/>
              </w:rPr>
              <w:t>C</w:t>
            </w:r>
            <w:r>
              <w:rPr>
                <w:rFonts w:hint="eastAsia" w:ascii="仿宋_GB2312" w:eastAsia="仿宋_GB2312"/>
                <w:color w:val="auto"/>
                <w:kern w:val="0"/>
                <w:szCs w:val="21"/>
                <w:highlight w:val="none"/>
              </w:rPr>
              <w:t>含量）</w:t>
            </w:r>
          </w:p>
        </w:tc>
        <w:tc>
          <w:tcPr>
            <w:tcW w:w="1782" w:type="pct"/>
            <w:shd w:val="clear" w:color="auto" w:fill="auto"/>
            <w:vAlign w:val="center"/>
          </w:tcPr>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7.5Cp-6</w:t>
            </w:r>
          </w:p>
        </w:tc>
        <w:tc>
          <w:tcPr>
            <w:tcW w:w="796" w:type="pct"/>
            <w:shd w:val="clear" w:color="auto" w:fill="auto"/>
            <w:vAlign w:val="center"/>
          </w:tcPr>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公式计算得分</w:t>
            </w:r>
          </w:p>
        </w:tc>
        <w:tc>
          <w:tcPr>
            <w:tcW w:w="515" w:type="pct"/>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643" w:type="pct"/>
            <w:shd w:val="clear" w:color="auto" w:fill="auto"/>
            <w:vAlign w:val="center"/>
          </w:tcPr>
          <w:p>
            <w:pPr>
              <w:widowControl/>
              <w:jc w:val="center"/>
              <w:rPr>
                <w:rFonts w:hint="eastAsia" w:ascii="仿宋_GB2312"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shd w:val="clear" w:color="auto" w:fill="auto"/>
            <w:vAlign w:val="center"/>
          </w:tcPr>
          <w:p>
            <w:pPr>
              <w:widowControl/>
              <w:jc w:val="center"/>
              <w:rPr>
                <w:rFonts w:hint="eastAsia" w:ascii="仿宋_GB2312" w:eastAsia="仿宋_GB2312"/>
                <w:color w:val="auto"/>
                <w:kern w:val="0"/>
                <w:szCs w:val="21"/>
                <w:highlight w:val="none"/>
              </w:rPr>
            </w:pPr>
          </w:p>
        </w:tc>
        <w:tc>
          <w:tcPr>
            <w:tcW w:w="235" w:type="pct"/>
            <w:vMerge w:val="continue"/>
            <w:shd w:val="clear" w:color="auto" w:fill="auto"/>
            <w:vAlign w:val="center"/>
          </w:tcPr>
          <w:p>
            <w:pPr>
              <w:widowControl/>
              <w:jc w:val="center"/>
              <w:rPr>
                <w:rFonts w:hint="eastAsia" w:ascii="仿宋_GB2312" w:eastAsia="仿宋_GB2312"/>
                <w:color w:val="auto"/>
                <w:kern w:val="0"/>
                <w:szCs w:val="21"/>
                <w:highlight w:val="none"/>
              </w:rPr>
            </w:pPr>
          </w:p>
        </w:tc>
        <w:tc>
          <w:tcPr>
            <w:tcW w:w="801" w:type="pct"/>
            <w:shd w:val="clear" w:color="auto" w:fill="auto"/>
            <w:vAlign w:val="center"/>
          </w:tcPr>
          <w:p>
            <w:pPr>
              <w:widowControl/>
              <w:jc w:val="center"/>
              <w:rPr>
                <w:rFonts w:ascii="Times New Roman" w:hAnsi="Times New Roman" w:eastAsia="宋体" w:cs="Times New Roman"/>
                <w:color w:val="auto"/>
                <w:kern w:val="0"/>
                <w:sz w:val="21"/>
                <w:szCs w:val="21"/>
                <w:highlight w:val="none"/>
                <w:lang w:val="en-US" w:eastAsia="zh-CN" w:bidi="ar-SA"/>
              </w:rPr>
            </w:pPr>
            <w:r>
              <w:rPr>
                <w:color w:val="auto"/>
                <w:kern w:val="0"/>
                <w:szCs w:val="21"/>
                <w:highlight w:val="none"/>
              </w:rPr>
              <w:t>Cp</w:t>
            </w:r>
            <w:r>
              <w:rPr>
                <w:rFonts w:hint="eastAsia" w:ascii="仿宋_GB2312" w:eastAsia="仿宋_GB2312"/>
                <w:color w:val="auto"/>
                <w:kern w:val="0"/>
                <w:szCs w:val="21"/>
                <w:highlight w:val="none"/>
              </w:rPr>
              <w:t>（</w:t>
            </w:r>
            <w:r>
              <w:rPr>
                <w:rFonts w:hint="eastAsia" w:ascii="仿宋_GB2312" w:eastAsia="仿宋_GB2312"/>
                <w:color w:val="auto"/>
                <w:kern w:val="0"/>
                <w:szCs w:val="21"/>
                <w:highlight w:val="none"/>
                <w:lang w:val="en-US" w:eastAsia="zh-CN"/>
              </w:rPr>
              <w:t>P</w:t>
            </w:r>
            <w:r>
              <w:rPr>
                <w:rFonts w:hint="eastAsia" w:ascii="仿宋_GB2312" w:eastAsia="仿宋_GB2312"/>
                <w:color w:val="auto"/>
                <w:kern w:val="0"/>
                <w:szCs w:val="21"/>
                <w:highlight w:val="none"/>
              </w:rPr>
              <w:t>含量）</w:t>
            </w:r>
          </w:p>
        </w:tc>
        <w:tc>
          <w:tcPr>
            <w:tcW w:w="1782" w:type="pct"/>
            <w:shd w:val="clear" w:color="auto" w:fill="auto"/>
            <w:vAlign w:val="center"/>
          </w:tcPr>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7.5Cp-6</w:t>
            </w:r>
          </w:p>
        </w:tc>
        <w:tc>
          <w:tcPr>
            <w:tcW w:w="796" w:type="pct"/>
            <w:shd w:val="clear" w:color="auto" w:fill="auto"/>
            <w:vAlign w:val="center"/>
          </w:tcPr>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公式计算得分</w:t>
            </w:r>
          </w:p>
        </w:tc>
        <w:tc>
          <w:tcPr>
            <w:tcW w:w="515" w:type="pct"/>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643" w:type="pct"/>
            <w:shd w:val="clear" w:color="auto" w:fill="auto"/>
            <w:vAlign w:val="center"/>
          </w:tcPr>
          <w:p>
            <w:pPr>
              <w:widowControl/>
              <w:jc w:val="center"/>
              <w:rPr>
                <w:rFonts w:hint="eastAsia" w:ascii="仿宋_GB2312"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shd w:val="clear" w:color="auto" w:fill="auto"/>
            <w:vAlign w:val="center"/>
          </w:tcPr>
          <w:p>
            <w:pPr>
              <w:widowControl/>
              <w:jc w:val="center"/>
              <w:rPr>
                <w:rFonts w:hint="eastAsia" w:ascii="仿宋_GB2312" w:eastAsia="仿宋_GB2312"/>
                <w:color w:val="auto"/>
                <w:kern w:val="0"/>
                <w:szCs w:val="21"/>
                <w:highlight w:val="none"/>
              </w:rPr>
            </w:pPr>
          </w:p>
        </w:tc>
        <w:tc>
          <w:tcPr>
            <w:tcW w:w="235" w:type="pct"/>
            <w:vMerge w:val="continue"/>
            <w:shd w:val="clear" w:color="auto" w:fill="auto"/>
            <w:vAlign w:val="center"/>
          </w:tcPr>
          <w:p>
            <w:pPr>
              <w:widowControl/>
              <w:jc w:val="center"/>
              <w:rPr>
                <w:rFonts w:hint="eastAsia" w:ascii="仿宋_GB2312" w:eastAsia="仿宋_GB2312"/>
                <w:color w:val="auto"/>
                <w:kern w:val="0"/>
                <w:szCs w:val="21"/>
                <w:highlight w:val="none"/>
              </w:rPr>
            </w:pPr>
          </w:p>
        </w:tc>
        <w:tc>
          <w:tcPr>
            <w:tcW w:w="801" w:type="pct"/>
            <w:shd w:val="clear" w:color="auto" w:fill="auto"/>
            <w:vAlign w:val="center"/>
          </w:tcPr>
          <w:p>
            <w:pPr>
              <w:widowControl/>
              <w:jc w:val="center"/>
              <w:rPr>
                <w:rFonts w:ascii="Times New Roman" w:hAnsi="Times New Roman" w:eastAsia="宋体" w:cs="Times New Roman"/>
                <w:color w:val="auto"/>
                <w:kern w:val="0"/>
                <w:sz w:val="21"/>
                <w:szCs w:val="21"/>
                <w:highlight w:val="none"/>
                <w:lang w:val="en-US" w:eastAsia="zh-CN" w:bidi="ar-SA"/>
              </w:rPr>
            </w:pPr>
            <w:r>
              <w:rPr>
                <w:color w:val="auto"/>
                <w:kern w:val="0"/>
                <w:szCs w:val="21"/>
                <w:highlight w:val="none"/>
              </w:rPr>
              <w:t>Cp</w:t>
            </w:r>
            <w:r>
              <w:rPr>
                <w:rFonts w:hint="eastAsia" w:ascii="仿宋_GB2312" w:eastAsia="仿宋_GB2312"/>
                <w:color w:val="auto"/>
                <w:kern w:val="0"/>
                <w:szCs w:val="21"/>
                <w:highlight w:val="none"/>
              </w:rPr>
              <w:t>（</w:t>
            </w:r>
            <w:r>
              <w:rPr>
                <w:rFonts w:hint="eastAsia" w:ascii="仿宋_GB2312" w:eastAsia="仿宋_GB2312"/>
                <w:color w:val="auto"/>
                <w:kern w:val="0"/>
                <w:szCs w:val="21"/>
                <w:highlight w:val="none"/>
                <w:lang w:val="en-US" w:eastAsia="zh-CN"/>
              </w:rPr>
              <w:t>S</w:t>
            </w:r>
            <w:r>
              <w:rPr>
                <w:rFonts w:hint="eastAsia" w:ascii="仿宋_GB2312" w:eastAsia="仿宋_GB2312"/>
                <w:color w:val="auto"/>
                <w:kern w:val="0"/>
                <w:szCs w:val="21"/>
                <w:highlight w:val="none"/>
              </w:rPr>
              <w:t>含量）</w:t>
            </w:r>
          </w:p>
        </w:tc>
        <w:tc>
          <w:tcPr>
            <w:tcW w:w="1782" w:type="pct"/>
            <w:shd w:val="clear" w:color="auto" w:fill="auto"/>
            <w:vAlign w:val="center"/>
          </w:tcPr>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7.5Cp-6</w:t>
            </w:r>
          </w:p>
        </w:tc>
        <w:tc>
          <w:tcPr>
            <w:tcW w:w="796" w:type="pct"/>
            <w:shd w:val="clear" w:color="auto" w:fill="auto"/>
            <w:vAlign w:val="center"/>
          </w:tcPr>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公式计算得分</w:t>
            </w:r>
          </w:p>
        </w:tc>
        <w:tc>
          <w:tcPr>
            <w:tcW w:w="515" w:type="pct"/>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643" w:type="pct"/>
            <w:shd w:val="clear" w:color="auto" w:fill="auto"/>
            <w:vAlign w:val="center"/>
          </w:tcPr>
          <w:p>
            <w:pPr>
              <w:widowControl/>
              <w:jc w:val="center"/>
              <w:rPr>
                <w:rFonts w:hint="eastAsia" w:ascii="仿宋_GB2312"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shd w:val="clear" w:color="auto" w:fill="auto"/>
            <w:vAlign w:val="center"/>
          </w:tcPr>
          <w:p>
            <w:pPr>
              <w:widowControl/>
              <w:jc w:val="center"/>
              <w:rPr>
                <w:rFonts w:hint="eastAsia" w:ascii="仿宋_GB2312" w:eastAsia="仿宋_GB2312"/>
                <w:color w:val="auto"/>
                <w:kern w:val="0"/>
                <w:szCs w:val="21"/>
                <w:highlight w:val="none"/>
              </w:rPr>
            </w:pPr>
          </w:p>
        </w:tc>
        <w:tc>
          <w:tcPr>
            <w:tcW w:w="235" w:type="pct"/>
            <w:vMerge w:val="continue"/>
            <w:shd w:val="clear" w:color="auto" w:fill="auto"/>
            <w:vAlign w:val="center"/>
          </w:tcPr>
          <w:p>
            <w:pPr>
              <w:widowControl/>
              <w:jc w:val="center"/>
              <w:rPr>
                <w:rFonts w:hint="eastAsia" w:ascii="仿宋_GB2312" w:eastAsia="仿宋_GB2312"/>
                <w:color w:val="auto"/>
                <w:kern w:val="0"/>
                <w:szCs w:val="21"/>
                <w:highlight w:val="none"/>
              </w:rPr>
            </w:pPr>
          </w:p>
        </w:tc>
        <w:tc>
          <w:tcPr>
            <w:tcW w:w="801" w:type="pct"/>
            <w:shd w:val="clear" w:color="auto" w:fill="auto"/>
            <w:vAlign w:val="center"/>
          </w:tcPr>
          <w:p>
            <w:pPr>
              <w:widowControl/>
              <w:jc w:val="center"/>
              <w:rPr>
                <w:rFonts w:ascii="Times New Roman" w:hAnsi="Times New Roman" w:eastAsia="宋体" w:cs="Times New Roman"/>
                <w:color w:val="auto"/>
                <w:kern w:val="0"/>
                <w:sz w:val="21"/>
                <w:szCs w:val="21"/>
                <w:highlight w:val="none"/>
                <w:lang w:val="en-US" w:eastAsia="zh-CN" w:bidi="ar-SA"/>
              </w:rPr>
            </w:pPr>
            <w:r>
              <w:rPr>
                <w:color w:val="auto"/>
                <w:kern w:val="0"/>
                <w:szCs w:val="21"/>
                <w:highlight w:val="none"/>
              </w:rPr>
              <w:t>Cp</w:t>
            </w:r>
            <w:r>
              <w:rPr>
                <w:rFonts w:hint="eastAsia" w:ascii="仿宋_GB2312" w:eastAsia="仿宋_GB2312"/>
                <w:color w:val="auto"/>
                <w:kern w:val="0"/>
                <w:szCs w:val="21"/>
                <w:highlight w:val="none"/>
              </w:rPr>
              <w:t>（</w:t>
            </w:r>
            <w:r>
              <w:rPr>
                <w:rFonts w:hint="eastAsia" w:eastAsia="仿宋_GB2312"/>
                <w:color w:val="auto"/>
                <w:kern w:val="0"/>
                <w:szCs w:val="21"/>
                <w:highlight w:val="none"/>
              </w:rPr>
              <w:t>厚度尺寸及允许偏差</w:t>
            </w:r>
            <w:r>
              <w:rPr>
                <w:rFonts w:hint="eastAsia" w:ascii="仿宋_GB2312" w:eastAsia="仿宋_GB2312"/>
                <w:color w:val="auto"/>
                <w:kern w:val="0"/>
                <w:szCs w:val="21"/>
                <w:highlight w:val="none"/>
              </w:rPr>
              <w:t>）</w:t>
            </w:r>
          </w:p>
        </w:tc>
        <w:tc>
          <w:tcPr>
            <w:tcW w:w="1782" w:type="pct"/>
            <w:shd w:val="clear" w:color="auto" w:fill="auto"/>
            <w:vAlign w:val="center"/>
          </w:tcPr>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7.5Cp-6</w:t>
            </w:r>
          </w:p>
        </w:tc>
        <w:tc>
          <w:tcPr>
            <w:tcW w:w="796" w:type="pct"/>
            <w:shd w:val="clear" w:color="auto" w:fill="auto"/>
            <w:vAlign w:val="center"/>
          </w:tcPr>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公式计算得分</w:t>
            </w:r>
          </w:p>
        </w:tc>
        <w:tc>
          <w:tcPr>
            <w:tcW w:w="515" w:type="pct"/>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643" w:type="pct"/>
            <w:shd w:val="clear" w:color="auto" w:fill="auto"/>
            <w:vAlign w:val="center"/>
          </w:tcPr>
          <w:p>
            <w:pPr>
              <w:widowControl/>
              <w:jc w:val="center"/>
              <w:rPr>
                <w:rFonts w:hint="eastAsia" w:ascii="仿宋_GB2312"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shd w:val="clear" w:color="auto" w:fill="auto"/>
            <w:vAlign w:val="center"/>
          </w:tcPr>
          <w:p>
            <w:pPr>
              <w:widowControl/>
              <w:jc w:val="center"/>
              <w:rPr>
                <w:color w:val="auto"/>
                <w:kern w:val="0"/>
                <w:szCs w:val="21"/>
                <w:highlight w:val="none"/>
              </w:rPr>
            </w:pPr>
          </w:p>
        </w:tc>
        <w:tc>
          <w:tcPr>
            <w:tcW w:w="235" w:type="pct"/>
            <w:vMerge w:val="continue"/>
            <w:shd w:val="clear" w:color="auto" w:fill="auto"/>
            <w:vAlign w:val="center"/>
          </w:tcPr>
          <w:p>
            <w:pPr>
              <w:widowControl/>
              <w:jc w:val="center"/>
              <w:rPr>
                <w:color w:val="auto"/>
                <w:kern w:val="0"/>
                <w:szCs w:val="21"/>
                <w:highlight w:val="none"/>
              </w:rPr>
            </w:pPr>
          </w:p>
        </w:tc>
        <w:tc>
          <w:tcPr>
            <w:tcW w:w="801" w:type="pct"/>
            <w:shd w:val="clear" w:color="auto" w:fill="auto"/>
            <w:vAlign w:val="center"/>
          </w:tcPr>
          <w:p>
            <w:pPr>
              <w:widowControl/>
              <w:jc w:val="center"/>
              <w:rPr>
                <w:rFonts w:ascii="Times New Roman" w:hAnsi="Times New Roman" w:eastAsia="宋体" w:cs="Times New Roman"/>
                <w:color w:val="auto"/>
                <w:kern w:val="0"/>
                <w:sz w:val="21"/>
                <w:szCs w:val="21"/>
                <w:highlight w:val="none"/>
                <w:lang w:val="en-US" w:eastAsia="zh-CN" w:bidi="ar-SA"/>
              </w:rPr>
            </w:pPr>
            <w:r>
              <w:rPr>
                <w:color w:val="auto"/>
                <w:kern w:val="0"/>
                <w:szCs w:val="21"/>
                <w:highlight w:val="none"/>
              </w:rPr>
              <w:t>Cp</w:t>
            </w:r>
            <w:r>
              <w:rPr>
                <w:rFonts w:hint="eastAsia" w:ascii="仿宋_GB2312" w:eastAsia="仿宋_GB2312"/>
                <w:color w:val="auto"/>
                <w:kern w:val="0"/>
                <w:szCs w:val="21"/>
                <w:highlight w:val="none"/>
              </w:rPr>
              <w:t>（宽</w:t>
            </w:r>
            <w:r>
              <w:rPr>
                <w:rFonts w:hint="eastAsia" w:eastAsia="仿宋_GB2312"/>
                <w:color w:val="auto"/>
                <w:kern w:val="0"/>
                <w:szCs w:val="21"/>
                <w:highlight w:val="none"/>
              </w:rPr>
              <w:t>度尺寸及允许偏差</w:t>
            </w:r>
            <w:r>
              <w:rPr>
                <w:rFonts w:hint="eastAsia" w:ascii="仿宋_GB2312" w:eastAsia="仿宋_GB2312"/>
                <w:color w:val="auto"/>
                <w:kern w:val="0"/>
                <w:szCs w:val="21"/>
                <w:highlight w:val="none"/>
              </w:rPr>
              <w:t>）</w:t>
            </w:r>
          </w:p>
        </w:tc>
        <w:tc>
          <w:tcPr>
            <w:tcW w:w="1782"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7.5Cp-6</w:t>
            </w:r>
          </w:p>
        </w:tc>
        <w:tc>
          <w:tcPr>
            <w:tcW w:w="796"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公式计算得分</w:t>
            </w:r>
          </w:p>
        </w:tc>
        <w:tc>
          <w:tcPr>
            <w:tcW w:w="515" w:type="pct"/>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643" w:type="pct"/>
            <w:vMerge w:val="restar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各项按公式计算得分，即</w:t>
            </w:r>
            <w:r>
              <w:rPr>
                <w:rFonts w:hint="eastAsia" w:ascii="仿宋_GB2312" w:eastAsia="仿宋_GB2312"/>
                <w:color w:val="auto"/>
                <w:kern w:val="0"/>
                <w:szCs w:val="21"/>
                <w:highlight w:val="none"/>
              </w:rPr>
              <w:br w:type="textWrapping"/>
            </w:r>
            <w:r>
              <w:rPr>
                <w:color w:val="auto"/>
                <w:kern w:val="0"/>
                <w:szCs w:val="21"/>
                <w:highlight w:val="none"/>
              </w:rPr>
              <w:t>Cp</w:t>
            </w:r>
            <w:r>
              <w:rPr>
                <w:rFonts w:hint="eastAsia" w:ascii="仿宋_GB2312" w:eastAsia="仿宋_GB2312"/>
                <w:color w:val="auto"/>
                <w:kern w:val="0"/>
                <w:szCs w:val="21"/>
                <w:highlight w:val="none"/>
              </w:rPr>
              <w:t>≤</w:t>
            </w:r>
            <w:r>
              <w:rPr>
                <w:color w:val="auto"/>
                <w:kern w:val="0"/>
                <w:szCs w:val="21"/>
                <w:highlight w:val="none"/>
              </w:rPr>
              <w:t>0.8</w:t>
            </w:r>
            <w:r>
              <w:rPr>
                <w:rFonts w:hint="eastAsia" w:ascii="仿宋_GB2312" w:eastAsia="仿宋_GB2312"/>
                <w:color w:val="auto"/>
                <w:kern w:val="0"/>
                <w:szCs w:val="21"/>
                <w:highlight w:val="none"/>
              </w:rPr>
              <w:t>时，</w:t>
            </w:r>
            <w:r>
              <w:rPr>
                <w:color w:val="auto"/>
                <w:kern w:val="0"/>
                <w:szCs w:val="21"/>
                <w:highlight w:val="none"/>
              </w:rPr>
              <w:t>0</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color w:val="auto"/>
                <w:kern w:val="0"/>
                <w:szCs w:val="21"/>
                <w:highlight w:val="none"/>
              </w:rPr>
              <w:t>Cp</w:t>
            </w:r>
            <w:r>
              <w:rPr>
                <w:rFonts w:hint="eastAsia" w:ascii="仿宋_GB2312" w:eastAsia="仿宋_GB2312"/>
                <w:color w:val="auto"/>
                <w:kern w:val="0"/>
                <w:szCs w:val="21"/>
                <w:highlight w:val="none"/>
              </w:rPr>
              <w:t>≥</w:t>
            </w:r>
            <w:r>
              <w:rPr>
                <w:color w:val="auto"/>
                <w:kern w:val="0"/>
                <w:szCs w:val="21"/>
                <w:highlight w:val="none"/>
              </w:rPr>
              <w:t>1.2</w:t>
            </w:r>
            <w:r>
              <w:rPr>
                <w:rFonts w:hint="eastAsia" w:ascii="仿宋_GB2312" w:eastAsia="仿宋_GB2312"/>
                <w:color w:val="auto"/>
                <w:kern w:val="0"/>
                <w:szCs w:val="21"/>
                <w:highlight w:val="none"/>
              </w:rPr>
              <w:t>时，</w:t>
            </w:r>
            <w:r>
              <w:rPr>
                <w:rFonts w:hint="eastAsia" w:eastAsia="仿宋_GB2312"/>
                <w:color w:val="auto"/>
                <w:kern w:val="0"/>
                <w:szCs w:val="21"/>
                <w:highlight w:val="none"/>
              </w:rPr>
              <w:t>3</w:t>
            </w:r>
            <w:r>
              <w:rPr>
                <w:rFonts w:hint="eastAsia" w:ascii="仿宋_GB2312" w:eastAsia="仿宋_GB2312"/>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shd w:val="clear" w:color="auto" w:fill="auto"/>
            <w:vAlign w:val="center"/>
          </w:tcPr>
          <w:p>
            <w:pPr>
              <w:widowControl/>
              <w:jc w:val="center"/>
              <w:rPr>
                <w:rFonts w:ascii="仿宋_GB2312" w:eastAsia="仿宋_GB2312"/>
                <w:color w:val="auto"/>
                <w:kern w:val="0"/>
                <w:szCs w:val="21"/>
                <w:highlight w:val="none"/>
              </w:rPr>
            </w:pPr>
          </w:p>
        </w:tc>
        <w:tc>
          <w:tcPr>
            <w:tcW w:w="235" w:type="pct"/>
            <w:vMerge w:val="continue"/>
            <w:shd w:val="clear" w:color="auto" w:fill="auto"/>
            <w:vAlign w:val="center"/>
          </w:tcPr>
          <w:p>
            <w:pPr>
              <w:widowControl/>
              <w:jc w:val="center"/>
              <w:rPr>
                <w:rFonts w:ascii="仿宋_GB2312" w:eastAsia="仿宋_GB2312"/>
                <w:color w:val="auto"/>
                <w:kern w:val="0"/>
                <w:szCs w:val="21"/>
                <w:highlight w:val="none"/>
              </w:rPr>
            </w:pPr>
          </w:p>
        </w:tc>
        <w:tc>
          <w:tcPr>
            <w:tcW w:w="801" w:type="pct"/>
            <w:shd w:val="clear" w:color="auto" w:fill="auto"/>
            <w:vAlign w:val="center"/>
          </w:tcPr>
          <w:p>
            <w:pPr>
              <w:widowControl/>
              <w:jc w:val="center"/>
              <w:rPr>
                <w:rFonts w:ascii="Times New Roman" w:hAnsi="Times New Roman" w:eastAsia="宋体" w:cs="Times New Roman"/>
                <w:color w:val="auto"/>
                <w:kern w:val="0"/>
                <w:sz w:val="21"/>
                <w:szCs w:val="21"/>
                <w:highlight w:val="none"/>
                <w:lang w:val="en-US" w:eastAsia="zh-CN" w:bidi="ar-SA"/>
              </w:rPr>
            </w:pPr>
            <w:r>
              <w:rPr>
                <w:color w:val="auto"/>
                <w:kern w:val="0"/>
                <w:szCs w:val="21"/>
                <w:highlight w:val="none"/>
              </w:rPr>
              <w:t>Cp</w:t>
            </w:r>
            <w:r>
              <w:rPr>
                <w:rFonts w:hint="eastAsia" w:ascii="仿宋_GB2312" w:eastAsia="仿宋_GB2312"/>
                <w:color w:val="auto"/>
                <w:kern w:val="0"/>
                <w:szCs w:val="21"/>
                <w:highlight w:val="none"/>
              </w:rPr>
              <w:t>（镰刀弯）</w:t>
            </w:r>
          </w:p>
        </w:tc>
        <w:tc>
          <w:tcPr>
            <w:tcW w:w="1782" w:type="pct"/>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7.5Cp-6</w:t>
            </w:r>
          </w:p>
        </w:tc>
        <w:tc>
          <w:tcPr>
            <w:tcW w:w="796" w:type="pct"/>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公式计算得分</w:t>
            </w:r>
          </w:p>
        </w:tc>
        <w:tc>
          <w:tcPr>
            <w:tcW w:w="515" w:type="pct"/>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643" w:type="pct"/>
            <w:vMerge w:val="continue"/>
            <w:shd w:val="clear" w:color="auto" w:fill="auto"/>
            <w:vAlign w:val="center"/>
          </w:tcPr>
          <w:p>
            <w:pPr>
              <w:widowControl/>
              <w:jc w:val="center"/>
              <w:rPr>
                <w:rFonts w:ascii="仿宋_GB2312"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shd w:val="clear" w:color="auto" w:fill="auto"/>
            <w:vAlign w:val="center"/>
          </w:tcPr>
          <w:p>
            <w:pPr>
              <w:widowControl/>
              <w:jc w:val="center"/>
              <w:rPr>
                <w:rFonts w:ascii="仿宋_GB2312" w:eastAsia="仿宋_GB2312"/>
                <w:color w:val="auto"/>
                <w:kern w:val="0"/>
                <w:szCs w:val="21"/>
                <w:highlight w:val="none"/>
              </w:rPr>
            </w:pPr>
          </w:p>
        </w:tc>
        <w:tc>
          <w:tcPr>
            <w:tcW w:w="235" w:type="pct"/>
            <w:vMerge w:val="continue"/>
            <w:shd w:val="clear" w:color="auto" w:fill="auto"/>
            <w:vAlign w:val="center"/>
          </w:tcPr>
          <w:p>
            <w:pPr>
              <w:widowControl/>
              <w:jc w:val="center"/>
              <w:rPr>
                <w:rFonts w:ascii="仿宋_GB2312" w:eastAsia="仿宋_GB2312"/>
                <w:color w:val="auto"/>
                <w:kern w:val="0"/>
                <w:szCs w:val="21"/>
                <w:highlight w:val="none"/>
              </w:rPr>
            </w:pPr>
          </w:p>
        </w:tc>
        <w:tc>
          <w:tcPr>
            <w:tcW w:w="801" w:type="pct"/>
            <w:shd w:val="clear" w:color="auto" w:fill="auto"/>
            <w:vAlign w:val="center"/>
          </w:tcPr>
          <w:p>
            <w:pPr>
              <w:widowControl/>
              <w:jc w:val="center"/>
              <w:rPr>
                <w:rFonts w:ascii="Times New Roman" w:hAnsi="Times New Roman" w:eastAsia="宋体" w:cs="Times New Roman"/>
                <w:color w:val="auto"/>
                <w:kern w:val="0"/>
                <w:sz w:val="21"/>
                <w:szCs w:val="21"/>
                <w:highlight w:val="none"/>
                <w:lang w:val="en-US" w:eastAsia="zh-CN" w:bidi="ar-SA"/>
              </w:rPr>
            </w:pPr>
            <w:r>
              <w:rPr>
                <w:color w:val="auto"/>
                <w:kern w:val="0"/>
                <w:szCs w:val="21"/>
                <w:highlight w:val="none"/>
              </w:rPr>
              <w:t>Cp</w:t>
            </w:r>
            <w:r>
              <w:rPr>
                <w:rFonts w:hint="eastAsia" w:ascii="仿宋_GB2312" w:eastAsia="仿宋_GB2312"/>
                <w:color w:val="auto"/>
                <w:kern w:val="0"/>
                <w:szCs w:val="21"/>
                <w:highlight w:val="none"/>
              </w:rPr>
              <w:t>（三点差）</w:t>
            </w:r>
          </w:p>
        </w:tc>
        <w:tc>
          <w:tcPr>
            <w:tcW w:w="1782" w:type="pct"/>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7.5Cp-6</w:t>
            </w:r>
          </w:p>
        </w:tc>
        <w:tc>
          <w:tcPr>
            <w:tcW w:w="796" w:type="pct"/>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公式计算得分</w:t>
            </w:r>
          </w:p>
        </w:tc>
        <w:tc>
          <w:tcPr>
            <w:tcW w:w="515" w:type="pct"/>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643" w:type="pct"/>
            <w:vMerge w:val="continue"/>
            <w:shd w:val="clear" w:color="auto" w:fill="auto"/>
            <w:vAlign w:val="center"/>
          </w:tcPr>
          <w:p>
            <w:pPr>
              <w:widowControl/>
              <w:jc w:val="center"/>
              <w:rPr>
                <w:rFonts w:ascii="仿宋_GB2312" w:eastAsia="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shd w:val="clear" w:color="auto" w:fill="auto"/>
            <w:vAlign w:val="center"/>
          </w:tcPr>
          <w:p>
            <w:pPr>
              <w:widowControl/>
              <w:jc w:val="center"/>
              <w:rPr>
                <w:rFonts w:ascii="Times New Roman" w:hAnsi="Times New Roman" w:eastAsia="宋体" w:cs="Times New Roman"/>
                <w:color w:val="auto"/>
                <w:kern w:val="0"/>
                <w:sz w:val="21"/>
                <w:szCs w:val="21"/>
                <w:highlight w:val="none"/>
                <w:lang w:val="en-US" w:eastAsia="zh-CN" w:bidi="ar-SA"/>
              </w:rPr>
            </w:pPr>
            <w:r>
              <w:rPr>
                <w:color w:val="auto"/>
                <w:kern w:val="0"/>
                <w:szCs w:val="21"/>
                <w:highlight w:val="none"/>
              </w:rPr>
              <w:t>Cp</w:t>
            </w:r>
            <w:r>
              <w:rPr>
                <w:rFonts w:hint="eastAsia" w:ascii="仿宋_GB2312" w:eastAsia="仿宋_GB2312"/>
                <w:color w:val="auto"/>
                <w:kern w:val="0"/>
                <w:szCs w:val="21"/>
                <w:highlight w:val="none"/>
              </w:rPr>
              <w:t>（同条差）</w:t>
            </w:r>
          </w:p>
        </w:tc>
        <w:tc>
          <w:tcPr>
            <w:tcW w:w="1782"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7.5Cp-6</w:t>
            </w:r>
          </w:p>
        </w:tc>
        <w:tc>
          <w:tcPr>
            <w:tcW w:w="796"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公式计算得分</w:t>
            </w:r>
          </w:p>
        </w:tc>
        <w:tc>
          <w:tcPr>
            <w:tcW w:w="515" w:type="pct"/>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shd w:val="clear" w:color="auto" w:fill="auto"/>
            <w:vAlign w:val="center"/>
          </w:tcPr>
          <w:p>
            <w:pPr>
              <w:widowControl/>
              <w:jc w:val="center"/>
              <w:rPr>
                <w:color w:val="auto"/>
                <w:kern w:val="0"/>
                <w:szCs w:val="21"/>
                <w:highlight w:val="none"/>
              </w:rPr>
            </w:pPr>
            <w:r>
              <w:rPr>
                <w:color w:val="auto"/>
                <w:kern w:val="0"/>
                <w:szCs w:val="21"/>
                <w:highlight w:val="none"/>
              </w:rPr>
              <w:t>Cp</w:t>
            </w:r>
            <w:r>
              <w:rPr>
                <w:rFonts w:hint="eastAsia" w:ascii="仿宋_GB2312" w:eastAsia="仿宋_GB2312"/>
                <w:color w:val="auto"/>
                <w:kern w:val="0"/>
                <w:szCs w:val="21"/>
                <w:highlight w:val="none"/>
              </w:rPr>
              <w:t>（</w:t>
            </w:r>
            <w:r>
              <w:rPr>
                <w:rFonts w:hint="eastAsia" w:ascii="仿宋_GB2312" w:eastAsia="仿宋_GB2312"/>
                <w:color w:val="auto"/>
                <w:kern w:val="0"/>
                <w:szCs w:val="21"/>
                <w:highlight w:val="none"/>
                <w:lang w:val="en-US" w:eastAsia="zh-CN"/>
              </w:rPr>
              <w:t>非金属夹杂物</w:t>
            </w:r>
            <w:r>
              <w:rPr>
                <w:rFonts w:hint="eastAsia" w:ascii="仿宋_GB2312" w:eastAsia="仿宋_GB2312"/>
                <w:color w:val="auto"/>
                <w:kern w:val="0"/>
                <w:szCs w:val="21"/>
                <w:highlight w:val="none"/>
              </w:rPr>
              <w:t>）</w:t>
            </w:r>
          </w:p>
        </w:tc>
        <w:tc>
          <w:tcPr>
            <w:tcW w:w="1782" w:type="pct"/>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按公式计算得分：</w:t>
            </w:r>
            <w:r>
              <w:rPr>
                <w:color w:val="auto"/>
                <w:kern w:val="0"/>
                <w:szCs w:val="21"/>
                <w:highlight w:val="none"/>
              </w:rPr>
              <w:t>7.5Cp-6</w:t>
            </w:r>
          </w:p>
        </w:tc>
        <w:tc>
          <w:tcPr>
            <w:tcW w:w="796" w:type="pct"/>
            <w:shd w:val="clear" w:color="auto" w:fill="auto"/>
            <w:vAlign w:val="center"/>
          </w:tcPr>
          <w:p>
            <w:pPr>
              <w:widowControl/>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公式计算得分</w:t>
            </w:r>
          </w:p>
        </w:tc>
        <w:tc>
          <w:tcPr>
            <w:tcW w:w="515" w:type="pct"/>
            <w:shd w:val="clear" w:color="auto" w:fill="auto"/>
            <w:vAlign w:val="center"/>
          </w:tcPr>
          <w:p>
            <w:pPr>
              <w:widowControl/>
              <w:jc w:val="center"/>
              <w:rPr>
                <w:color w:val="auto"/>
                <w:kern w:val="0"/>
                <w:szCs w:val="21"/>
                <w:highlight w:val="none"/>
              </w:rPr>
            </w:pPr>
            <w:r>
              <w:rPr>
                <w:color w:val="auto"/>
                <w:kern w:val="0"/>
                <w:szCs w:val="21"/>
                <w:highlight w:val="none"/>
              </w:rPr>
              <w:t>3</w:t>
            </w: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终端客户水平</w:t>
            </w:r>
          </w:p>
        </w:tc>
        <w:tc>
          <w:tcPr>
            <w:tcW w:w="1782"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按公式计算得分：（央企、国企、上市公司客户采购数量占产品总销量比重）</w:t>
            </w:r>
            <w:r>
              <w:rPr>
                <w:color w:val="auto"/>
                <w:kern w:val="0"/>
                <w:szCs w:val="21"/>
                <w:highlight w:val="none"/>
              </w:rPr>
              <w:t>×5-0.5</w:t>
            </w:r>
          </w:p>
        </w:tc>
        <w:tc>
          <w:tcPr>
            <w:tcW w:w="796"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公式计算得分</w:t>
            </w:r>
          </w:p>
        </w:tc>
        <w:tc>
          <w:tcPr>
            <w:tcW w:w="515" w:type="pct"/>
            <w:shd w:val="clear" w:color="auto" w:fill="auto"/>
            <w:vAlign w:val="center"/>
          </w:tcPr>
          <w:p>
            <w:pPr>
              <w:widowControl/>
              <w:jc w:val="center"/>
              <w:rPr>
                <w:rFonts w:hint="eastAsia" w:eastAsia="宋体"/>
                <w:color w:val="auto"/>
                <w:kern w:val="0"/>
                <w:szCs w:val="21"/>
                <w:highlight w:val="none"/>
                <w:lang w:eastAsia="zh-CN"/>
              </w:rPr>
            </w:pPr>
            <w:r>
              <w:rPr>
                <w:rFonts w:hint="eastAsia"/>
                <w:color w:val="auto"/>
                <w:kern w:val="0"/>
                <w:szCs w:val="21"/>
                <w:highlight w:val="none"/>
                <w:lang w:val="en-US" w:eastAsia="zh-CN"/>
              </w:rPr>
              <w:t>3</w:t>
            </w:r>
          </w:p>
        </w:tc>
        <w:tc>
          <w:tcPr>
            <w:tcW w:w="643"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重点客户销量占比</w:t>
            </w:r>
            <w:r>
              <w:rPr>
                <w:rFonts w:hint="eastAsia" w:ascii="仿宋_GB2312" w:eastAsia="仿宋_GB2312"/>
                <w:color w:val="auto"/>
                <w:kern w:val="0"/>
                <w:szCs w:val="21"/>
                <w:highlight w:val="none"/>
              </w:rPr>
              <w:br w:type="textWrapping"/>
            </w:r>
            <w:r>
              <w:rPr>
                <w:color w:val="auto"/>
                <w:kern w:val="0"/>
                <w:szCs w:val="21"/>
                <w:highlight w:val="none"/>
              </w:rPr>
              <w:t>10%</w:t>
            </w:r>
            <w:r>
              <w:rPr>
                <w:rFonts w:hint="eastAsia" w:ascii="仿宋_GB2312" w:eastAsia="仿宋_GB2312"/>
                <w:color w:val="auto"/>
                <w:kern w:val="0"/>
                <w:szCs w:val="21"/>
                <w:highlight w:val="none"/>
              </w:rPr>
              <w:t>以下，</w:t>
            </w:r>
            <w:r>
              <w:rPr>
                <w:color w:val="auto"/>
                <w:kern w:val="0"/>
                <w:szCs w:val="21"/>
                <w:highlight w:val="none"/>
              </w:rPr>
              <w:t>0</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color w:val="auto"/>
                <w:kern w:val="0"/>
                <w:szCs w:val="21"/>
                <w:highlight w:val="none"/>
              </w:rPr>
              <w:t>50%</w:t>
            </w:r>
            <w:r>
              <w:rPr>
                <w:rFonts w:hint="eastAsia" w:ascii="仿宋_GB2312" w:eastAsia="仿宋_GB2312"/>
                <w:color w:val="auto"/>
                <w:kern w:val="0"/>
                <w:szCs w:val="21"/>
                <w:highlight w:val="none"/>
              </w:rPr>
              <w:t>以上，</w:t>
            </w:r>
            <w:r>
              <w:rPr>
                <w:color w:val="auto"/>
                <w:kern w:val="0"/>
                <w:szCs w:val="21"/>
                <w:highlight w:val="none"/>
              </w:rPr>
              <w:t>2</w:t>
            </w:r>
            <w:r>
              <w:rPr>
                <w:rFonts w:hint="eastAsia" w:ascii="仿宋_GB2312" w:eastAsia="仿宋_GB2312"/>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restart"/>
            <w:shd w:val="clear" w:color="auto" w:fill="auto"/>
            <w:vAlign w:val="center"/>
          </w:tcPr>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质量异议经济损失率</w:t>
            </w:r>
          </w:p>
          <w:p>
            <w:pPr>
              <w:widowControl/>
              <w:jc w:val="center"/>
              <w:rPr>
                <w:color w:val="auto"/>
                <w:kern w:val="0"/>
                <w:szCs w:val="21"/>
                <w:highlight w:val="none"/>
              </w:rPr>
            </w:pPr>
            <w:r>
              <w:rPr>
                <w:rFonts w:hint="eastAsia" w:ascii="仿宋_GB2312" w:eastAsia="仿宋_GB2312"/>
                <w:color w:val="auto"/>
                <w:kern w:val="0"/>
                <w:szCs w:val="21"/>
                <w:highlight w:val="none"/>
              </w:rPr>
              <w:t>（元/万元—赔偿额/销售额）</w:t>
            </w:r>
            <w:r>
              <w:rPr>
                <w:rFonts w:hint="eastAsia" w:ascii="仿宋_GB2312" w:eastAsia="仿宋_GB2312"/>
                <w:color w:val="auto"/>
                <w:kern w:val="0"/>
                <w:szCs w:val="21"/>
                <w:highlight w:val="none"/>
              </w:rPr>
              <w:br w:type="textWrapping"/>
            </w:r>
          </w:p>
        </w:tc>
        <w:tc>
          <w:tcPr>
            <w:tcW w:w="1782" w:type="pct"/>
            <w:shd w:val="clear" w:color="auto" w:fill="auto"/>
            <w:vAlign w:val="center"/>
          </w:tcPr>
          <w:p>
            <w:pPr>
              <w:pStyle w:val="26"/>
              <w:spacing w:before="60" w:line="218" w:lineRule="auto"/>
              <w:jc w:val="both"/>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未达行业一般： ＞1.5</w:t>
            </w:r>
          </w:p>
        </w:tc>
        <w:tc>
          <w:tcPr>
            <w:tcW w:w="796" w:type="pct"/>
            <w:shd w:val="clear" w:color="auto" w:fill="auto"/>
            <w:vAlign w:val="center"/>
          </w:tcPr>
          <w:p>
            <w:pPr>
              <w:spacing w:before="99" w:line="187"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0</w:t>
            </w:r>
          </w:p>
        </w:tc>
        <w:tc>
          <w:tcPr>
            <w:tcW w:w="515" w:type="pct"/>
            <w:vMerge w:val="restart"/>
            <w:shd w:val="clear" w:color="auto" w:fill="auto"/>
            <w:vAlign w:val="center"/>
          </w:tcPr>
          <w:p>
            <w:pPr>
              <w:widowControl/>
              <w:jc w:val="center"/>
              <w:rPr>
                <w:color w:val="auto"/>
                <w:kern w:val="0"/>
                <w:szCs w:val="21"/>
                <w:highlight w:val="none"/>
              </w:rPr>
            </w:pPr>
            <w:r>
              <w:rPr>
                <w:rFonts w:hint="eastAsia"/>
                <w:color w:val="auto"/>
                <w:kern w:val="0"/>
                <w:szCs w:val="21"/>
                <w:highlight w:val="none"/>
                <w:lang w:val="en-US" w:eastAsia="zh-CN"/>
              </w:rPr>
              <w:t>3</w:t>
            </w:r>
          </w:p>
        </w:tc>
        <w:tc>
          <w:tcPr>
            <w:tcW w:w="643" w:type="pct"/>
            <w:vMerge w:val="restart"/>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center"/>
          </w:tcPr>
          <w:p>
            <w:pPr>
              <w:widowControl/>
              <w:jc w:val="left"/>
              <w:rPr>
                <w:color w:val="auto"/>
                <w:kern w:val="0"/>
                <w:szCs w:val="21"/>
                <w:highlight w:val="none"/>
              </w:rPr>
            </w:pPr>
          </w:p>
        </w:tc>
        <w:tc>
          <w:tcPr>
            <w:tcW w:w="1782" w:type="pct"/>
            <w:shd w:val="clear" w:color="auto" w:fill="auto"/>
            <w:vAlign w:val="center"/>
          </w:tcPr>
          <w:p>
            <w:pPr>
              <w:pStyle w:val="26"/>
              <w:spacing w:before="53" w:line="218" w:lineRule="auto"/>
              <w:jc w:val="both"/>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行业一般： ＜1.0~1.5</w:t>
            </w:r>
          </w:p>
        </w:tc>
        <w:tc>
          <w:tcPr>
            <w:tcW w:w="796" w:type="pct"/>
            <w:shd w:val="clear" w:color="auto" w:fill="auto"/>
            <w:vAlign w:val="center"/>
          </w:tcPr>
          <w:p>
            <w:pPr>
              <w:spacing w:before="92" w:line="187"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1</w:t>
            </w: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center"/>
          </w:tcPr>
          <w:p>
            <w:pPr>
              <w:widowControl/>
              <w:jc w:val="left"/>
              <w:rPr>
                <w:color w:val="auto"/>
                <w:kern w:val="0"/>
                <w:szCs w:val="21"/>
                <w:highlight w:val="none"/>
              </w:rPr>
            </w:pPr>
          </w:p>
        </w:tc>
        <w:tc>
          <w:tcPr>
            <w:tcW w:w="1782" w:type="pct"/>
            <w:shd w:val="clear" w:color="auto" w:fill="auto"/>
            <w:vAlign w:val="center"/>
          </w:tcPr>
          <w:p>
            <w:pPr>
              <w:pStyle w:val="26"/>
              <w:spacing w:before="51" w:line="218" w:lineRule="auto"/>
              <w:jc w:val="both"/>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行业平均： ＜0.5~1.0</w:t>
            </w:r>
          </w:p>
        </w:tc>
        <w:tc>
          <w:tcPr>
            <w:tcW w:w="796" w:type="pct"/>
            <w:shd w:val="clear" w:color="auto" w:fill="auto"/>
            <w:vAlign w:val="center"/>
          </w:tcPr>
          <w:p>
            <w:pPr>
              <w:spacing w:before="90" w:line="187"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2</w:t>
            </w: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center"/>
          </w:tcPr>
          <w:p>
            <w:pPr>
              <w:widowControl/>
              <w:jc w:val="left"/>
              <w:rPr>
                <w:color w:val="auto"/>
                <w:kern w:val="0"/>
                <w:szCs w:val="21"/>
                <w:highlight w:val="none"/>
              </w:rPr>
            </w:pPr>
          </w:p>
        </w:tc>
        <w:tc>
          <w:tcPr>
            <w:tcW w:w="1782" w:type="pct"/>
            <w:shd w:val="clear" w:color="auto" w:fill="auto"/>
            <w:vAlign w:val="center"/>
          </w:tcPr>
          <w:p>
            <w:pPr>
              <w:pStyle w:val="26"/>
              <w:spacing w:before="52" w:line="225" w:lineRule="auto"/>
              <w:jc w:val="both"/>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行业领先： ≤0.5</w:t>
            </w:r>
          </w:p>
        </w:tc>
        <w:tc>
          <w:tcPr>
            <w:tcW w:w="796" w:type="pct"/>
            <w:shd w:val="clear" w:color="auto" w:fill="auto"/>
            <w:vAlign w:val="center"/>
          </w:tcPr>
          <w:p>
            <w:pPr>
              <w:spacing w:before="90" w:line="187"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3</w:t>
            </w: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restart"/>
            <w:shd w:val="clear" w:color="auto" w:fill="auto"/>
            <w:vAlign w:val="top"/>
          </w:tcPr>
          <w:p>
            <w:pPr>
              <w:widowControl/>
              <w:jc w:val="center"/>
              <w:rPr>
                <w:rFonts w:hint="eastAsia" w:ascii="仿宋_GB2312" w:eastAsia="仿宋_GB2312"/>
                <w:color w:val="auto"/>
                <w:kern w:val="0"/>
                <w:szCs w:val="21"/>
                <w:highlight w:val="none"/>
              </w:rPr>
            </w:pPr>
          </w:p>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 xml:space="preserve">质量异议响应时间 </w:t>
            </w:r>
          </w:p>
          <w:p>
            <w:pPr>
              <w:widowControl/>
              <w:jc w:val="center"/>
              <w:rPr>
                <w:color w:val="auto"/>
                <w:kern w:val="0"/>
                <w:szCs w:val="21"/>
                <w:highlight w:val="none"/>
              </w:rPr>
            </w:pPr>
            <w:r>
              <w:rPr>
                <w:rFonts w:hint="eastAsia" w:ascii="仿宋_GB2312" w:eastAsia="仿宋_GB2312"/>
                <w:color w:val="auto"/>
                <w:kern w:val="0"/>
                <w:szCs w:val="21"/>
                <w:highlight w:val="none"/>
              </w:rPr>
              <w:t>（单位：工作日）</w:t>
            </w:r>
          </w:p>
        </w:tc>
        <w:tc>
          <w:tcPr>
            <w:tcW w:w="1782" w:type="pct"/>
            <w:shd w:val="clear" w:color="auto" w:fill="auto"/>
            <w:vAlign w:val="top"/>
          </w:tcPr>
          <w:p>
            <w:pPr>
              <w:pStyle w:val="26"/>
              <w:spacing w:before="51" w:line="218" w:lineRule="auto"/>
              <w:jc w:val="both"/>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未达行业一般： ＞5</w:t>
            </w:r>
          </w:p>
        </w:tc>
        <w:tc>
          <w:tcPr>
            <w:tcW w:w="796" w:type="pct"/>
            <w:shd w:val="clear" w:color="auto" w:fill="auto"/>
            <w:vAlign w:val="center"/>
          </w:tcPr>
          <w:p>
            <w:pPr>
              <w:pStyle w:val="26"/>
              <w:spacing w:before="51" w:line="218"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0</w:t>
            </w:r>
          </w:p>
        </w:tc>
        <w:tc>
          <w:tcPr>
            <w:tcW w:w="515" w:type="pct"/>
            <w:vMerge w:val="restart"/>
            <w:shd w:val="clear" w:color="auto" w:fill="auto"/>
            <w:vAlign w:val="center"/>
          </w:tcPr>
          <w:p>
            <w:pPr>
              <w:widowControl/>
              <w:jc w:val="center"/>
              <w:rPr>
                <w:color w:val="auto"/>
                <w:kern w:val="0"/>
                <w:szCs w:val="21"/>
                <w:highlight w:val="none"/>
              </w:rPr>
            </w:pPr>
            <w:r>
              <w:rPr>
                <w:rFonts w:hint="eastAsia"/>
                <w:color w:val="auto"/>
                <w:kern w:val="0"/>
                <w:szCs w:val="21"/>
                <w:highlight w:val="none"/>
                <w:lang w:val="en-US" w:eastAsia="zh-CN"/>
              </w:rPr>
              <w:t>3</w:t>
            </w:r>
          </w:p>
        </w:tc>
        <w:tc>
          <w:tcPr>
            <w:tcW w:w="643" w:type="pct"/>
            <w:vMerge w:val="restart"/>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top"/>
          </w:tcPr>
          <w:p>
            <w:pPr>
              <w:widowControl/>
              <w:jc w:val="center"/>
              <w:rPr>
                <w:color w:val="auto"/>
                <w:kern w:val="0"/>
                <w:szCs w:val="21"/>
                <w:highlight w:val="none"/>
              </w:rPr>
            </w:pPr>
          </w:p>
        </w:tc>
        <w:tc>
          <w:tcPr>
            <w:tcW w:w="1782" w:type="pct"/>
            <w:shd w:val="clear" w:color="auto" w:fill="auto"/>
            <w:vAlign w:val="top"/>
          </w:tcPr>
          <w:p>
            <w:pPr>
              <w:pStyle w:val="26"/>
              <w:spacing w:before="51" w:line="218" w:lineRule="auto"/>
              <w:jc w:val="both"/>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行业一般： ＞3~5</w:t>
            </w:r>
          </w:p>
        </w:tc>
        <w:tc>
          <w:tcPr>
            <w:tcW w:w="796" w:type="pct"/>
            <w:shd w:val="clear" w:color="auto" w:fill="auto"/>
            <w:vAlign w:val="center"/>
          </w:tcPr>
          <w:p>
            <w:pPr>
              <w:pStyle w:val="26"/>
              <w:spacing w:before="51" w:line="218"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0.5</w:t>
            </w: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top"/>
          </w:tcPr>
          <w:p>
            <w:pPr>
              <w:widowControl/>
              <w:jc w:val="center"/>
              <w:rPr>
                <w:color w:val="auto"/>
                <w:kern w:val="0"/>
                <w:szCs w:val="21"/>
                <w:highlight w:val="none"/>
              </w:rPr>
            </w:pPr>
          </w:p>
        </w:tc>
        <w:tc>
          <w:tcPr>
            <w:tcW w:w="1782" w:type="pct"/>
            <w:shd w:val="clear" w:color="auto" w:fill="auto"/>
            <w:vAlign w:val="top"/>
          </w:tcPr>
          <w:p>
            <w:pPr>
              <w:pStyle w:val="26"/>
              <w:spacing w:before="51" w:line="218" w:lineRule="auto"/>
              <w:jc w:val="both"/>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行业平均： ＞1~3</w:t>
            </w:r>
          </w:p>
        </w:tc>
        <w:tc>
          <w:tcPr>
            <w:tcW w:w="796" w:type="pct"/>
            <w:shd w:val="clear" w:color="auto" w:fill="auto"/>
            <w:vAlign w:val="center"/>
          </w:tcPr>
          <w:p>
            <w:pPr>
              <w:pStyle w:val="26"/>
              <w:spacing w:before="51" w:line="218"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1</w:t>
            </w: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top"/>
          </w:tcPr>
          <w:p>
            <w:pPr>
              <w:widowControl/>
              <w:jc w:val="center"/>
              <w:rPr>
                <w:color w:val="auto"/>
                <w:kern w:val="0"/>
                <w:szCs w:val="21"/>
                <w:highlight w:val="none"/>
              </w:rPr>
            </w:pPr>
          </w:p>
        </w:tc>
        <w:tc>
          <w:tcPr>
            <w:tcW w:w="1782" w:type="pct"/>
            <w:shd w:val="clear" w:color="auto" w:fill="auto"/>
            <w:vAlign w:val="top"/>
          </w:tcPr>
          <w:p>
            <w:pPr>
              <w:pStyle w:val="26"/>
              <w:spacing w:before="51" w:line="218" w:lineRule="auto"/>
              <w:jc w:val="both"/>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行业领先： ≤1</w:t>
            </w:r>
          </w:p>
        </w:tc>
        <w:tc>
          <w:tcPr>
            <w:tcW w:w="796" w:type="pct"/>
            <w:shd w:val="clear" w:color="auto" w:fill="auto"/>
            <w:vAlign w:val="center"/>
          </w:tcPr>
          <w:p>
            <w:pPr>
              <w:pStyle w:val="26"/>
              <w:spacing w:before="51" w:line="218"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1.5</w:t>
            </w: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restart"/>
            <w:shd w:val="clear" w:color="auto" w:fill="auto"/>
            <w:vAlign w:val="top"/>
          </w:tcPr>
          <w:p>
            <w:pPr>
              <w:widowControl/>
              <w:jc w:val="center"/>
              <w:rPr>
                <w:rFonts w:hint="eastAsia" w:ascii="仿宋_GB2312" w:eastAsia="仿宋_GB2312"/>
                <w:color w:val="auto"/>
                <w:kern w:val="0"/>
                <w:szCs w:val="21"/>
                <w:highlight w:val="none"/>
              </w:rPr>
            </w:pPr>
          </w:p>
          <w:p>
            <w:pPr>
              <w:widowControl/>
              <w:jc w:val="center"/>
              <w:rPr>
                <w:rFonts w:hint="eastAsia" w:ascii="仿宋_GB2312" w:eastAsia="仿宋_GB2312"/>
                <w:color w:val="auto"/>
                <w:kern w:val="0"/>
                <w:szCs w:val="21"/>
                <w:highlight w:val="none"/>
              </w:rPr>
            </w:pPr>
            <w:r>
              <w:rPr>
                <w:rFonts w:hint="eastAsia" w:ascii="仿宋_GB2312" w:eastAsia="仿宋_GB2312"/>
                <w:color w:val="auto"/>
                <w:kern w:val="0"/>
                <w:szCs w:val="21"/>
                <w:highlight w:val="none"/>
              </w:rPr>
              <w:t>顾客满意度</w:t>
            </w:r>
          </w:p>
          <w:p>
            <w:pPr>
              <w:widowControl/>
              <w:jc w:val="center"/>
              <w:rPr>
                <w:color w:val="auto"/>
                <w:kern w:val="0"/>
                <w:szCs w:val="21"/>
                <w:highlight w:val="none"/>
              </w:rPr>
            </w:pPr>
            <w:r>
              <w:rPr>
                <w:rFonts w:hint="eastAsia" w:ascii="仿宋_GB2312" w:eastAsia="仿宋_GB2312"/>
                <w:color w:val="auto"/>
                <w:kern w:val="0"/>
                <w:szCs w:val="21"/>
                <w:highlight w:val="none"/>
              </w:rPr>
              <w:t>（单位：分）</w:t>
            </w:r>
          </w:p>
        </w:tc>
        <w:tc>
          <w:tcPr>
            <w:tcW w:w="1782" w:type="pct"/>
            <w:shd w:val="clear" w:color="auto" w:fill="auto"/>
            <w:vAlign w:val="top"/>
          </w:tcPr>
          <w:p>
            <w:pPr>
              <w:pStyle w:val="26"/>
              <w:spacing w:before="51" w:line="218" w:lineRule="auto"/>
              <w:jc w:val="both"/>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顾客满意度＜70，或未开展顾客满意度调查</w:t>
            </w:r>
          </w:p>
        </w:tc>
        <w:tc>
          <w:tcPr>
            <w:tcW w:w="796" w:type="pct"/>
            <w:shd w:val="clear" w:color="auto" w:fill="auto"/>
            <w:vAlign w:val="center"/>
          </w:tcPr>
          <w:p>
            <w:pPr>
              <w:pStyle w:val="26"/>
              <w:spacing w:before="51" w:line="218"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0</w:t>
            </w:r>
          </w:p>
        </w:tc>
        <w:tc>
          <w:tcPr>
            <w:tcW w:w="515" w:type="pct"/>
            <w:vMerge w:val="restart"/>
            <w:shd w:val="clear" w:color="auto" w:fill="auto"/>
            <w:vAlign w:val="center"/>
          </w:tcPr>
          <w:p>
            <w:pPr>
              <w:widowControl/>
              <w:jc w:val="center"/>
              <w:rPr>
                <w:color w:val="auto"/>
                <w:kern w:val="0"/>
                <w:szCs w:val="21"/>
                <w:highlight w:val="none"/>
              </w:rPr>
            </w:pPr>
            <w:r>
              <w:rPr>
                <w:rFonts w:hint="eastAsia"/>
                <w:color w:val="auto"/>
                <w:kern w:val="0"/>
                <w:szCs w:val="21"/>
                <w:highlight w:val="none"/>
                <w:lang w:val="en-US" w:eastAsia="zh-CN"/>
              </w:rPr>
              <w:t>3</w:t>
            </w:r>
          </w:p>
        </w:tc>
        <w:tc>
          <w:tcPr>
            <w:tcW w:w="643" w:type="pct"/>
            <w:vMerge w:val="restart"/>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top"/>
          </w:tcPr>
          <w:p>
            <w:pPr>
              <w:rPr>
                <w:color w:val="auto"/>
                <w:kern w:val="0"/>
                <w:szCs w:val="21"/>
                <w:highlight w:val="none"/>
              </w:rPr>
            </w:pPr>
          </w:p>
        </w:tc>
        <w:tc>
          <w:tcPr>
            <w:tcW w:w="1782" w:type="pct"/>
            <w:shd w:val="clear" w:color="auto" w:fill="auto"/>
            <w:vAlign w:val="top"/>
          </w:tcPr>
          <w:p>
            <w:pPr>
              <w:pStyle w:val="26"/>
              <w:spacing w:before="51" w:line="218" w:lineRule="auto"/>
              <w:jc w:val="both"/>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行业一般： 70~＜80</w:t>
            </w:r>
          </w:p>
        </w:tc>
        <w:tc>
          <w:tcPr>
            <w:tcW w:w="796" w:type="pct"/>
            <w:shd w:val="clear" w:color="auto" w:fill="auto"/>
            <w:vAlign w:val="center"/>
          </w:tcPr>
          <w:p>
            <w:pPr>
              <w:pStyle w:val="26"/>
              <w:spacing w:before="51" w:line="218"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0.5</w:t>
            </w: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top"/>
          </w:tcPr>
          <w:p>
            <w:pPr>
              <w:rPr>
                <w:color w:val="auto"/>
                <w:kern w:val="0"/>
                <w:szCs w:val="21"/>
                <w:highlight w:val="none"/>
              </w:rPr>
            </w:pPr>
          </w:p>
        </w:tc>
        <w:tc>
          <w:tcPr>
            <w:tcW w:w="1782" w:type="pct"/>
            <w:shd w:val="clear" w:color="auto" w:fill="auto"/>
            <w:vAlign w:val="top"/>
          </w:tcPr>
          <w:p>
            <w:pPr>
              <w:pStyle w:val="26"/>
              <w:spacing w:before="51" w:line="218" w:lineRule="auto"/>
              <w:jc w:val="both"/>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行业平均： 80~＜90</w:t>
            </w:r>
          </w:p>
        </w:tc>
        <w:tc>
          <w:tcPr>
            <w:tcW w:w="796" w:type="pct"/>
            <w:shd w:val="clear" w:color="auto" w:fill="auto"/>
            <w:vAlign w:val="center"/>
          </w:tcPr>
          <w:p>
            <w:pPr>
              <w:pStyle w:val="26"/>
              <w:spacing w:before="51" w:line="218"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1</w:t>
            </w: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top"/>
          </w:tcPr>
          <w:p>
            <w:pPr>
              <w:rPr>
                <w:color w:val="auto"/>
                <w:kern w:val="0"/>
                <w:szCs w:val="21"/>
                <w:highlight w:val="none"/>
              </w:rPr>
            </w:pPr>
          </w:p>
        </w:tc>
        <w:tc>
          <w:tcPr>
            <w:tcW w:w="1782" w:type="pct"/>
            <w:shd w:val="clear" w:color="auto" w:fill="auto"/>
            <w:vAlign w:val="top"/>
          </w:tcPr>
          <w:p>
            <w:pPr>
              <w:pStyle w:val="26"/>
              <w:spacing w:before="51" w:line="218" w:lineRule="auto"/>
              <w:jc w:val="both"/>
              <w:rPr>
                <w:color w:val="auto"/>
                <w:kern w:val="0"/>
                <w:szCs w:val="21"/>
                <w:highlight w:val="none"/>
              </w:rPr>
            </w:pPr>
            <w:bookmarkStart w:id="1" w:name="_GoBack"/>
            <w:bookmarkEnd w:id="1"/>
            <w:r>
              <w:rPr>
                <w:rFonts w:hint="default" w:ascii="Times New Roman" w:hAnsi="Times New Roman" w:eastAsia="仿宋_GB2312" w:cs="Times New Roman"/>
                <w:color w:val="auto"/>
                <w:kern w:val="0"/>
                <w:sz w:val="21"/>
                <w:szCs w:val="21"/>
                <w:highlight w:val="none"/>
                <w:lang w:val="en-US" w:eastAsia="zh-CN" w:bidi="ar-SA"/>
              </w:rPr>
              <w:t>行业领先： ≥90</w:t>
            </w:r>
          </w:p>
        </w:tc>
        <w:tc>
          <w:tcPr>
            <w:tcW w:w="796" w:type="pct"/>
            <w:shd w:val="clear" w:color="auto" w:fill="auto"/>
            <w:vAlign w:val="center"/>
          </w:tcPr>
          <w:p>
            <w:pPr>
              <w:pStyle w:val="26"/>
              <w:spacing w:before="51" w:line="218" w:lineRule="auto"/>
              <w:jc w:val="center"/>
              <w:rPr>
                <w:color w:val="auto"/>
                <w:kern w:val="0"/>
                <w:szCs w:val="21"/>
                <w:highlight w:val="none"/>
              </w:rPr>
            </w:pPr>
            <w:r>
              <w:rPr>
                <w:rFonts w:hint="default" w:ascii="Times New Roman" w:hAnsi="Times New Roman" w:eastAsia="仿宋_GB2312" w:cs="Times New Roman"/>
                <w:color w:val="auto"/>
                <w:kern w:val="0"/>
                <w:sz w:val="21"/>
                <w:szCs w:val="21"/>
                <w:highlight w:val="none"/>
                <w:lang w:val="en-US" w:eastAsia="zh-CN" w:bidi="ar-SA"/>
              </w:rPr>
              <w:t>1.5</w:t>
            </w: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6" w:type="pct"/>
            <w:vMerge w:val="continue"/>
            <w:vAlign w:val="center"/>
          </w:tcPr>
          <w:p>
            <w:pPr>
              <w:widowControl/>
              <w:jc w:val="left"/>
              <w:rPr>
                <w:color w:val="auto"/>
                <w:kern w:val="0"/>
                <w:szCs w:val="21"/>
                <w:highlight w:val="none"/>
              </w:rPr>
            </w:pPr>
          </w:p>
        </w:tc>
        <w:tc>
          <w:tcPr>
            <w:tcW w:w="235" w:type="pct"/>
            <w:vMerge w:val="restar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质量认证</w:t>
            </w:r>
          </w:p>
        </w:tc>
        <w:tc>
          <w:tcPr>
            <w:tcW w:w="801"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第二方评价</w:t>
            </w:r>
          </w:p>
        </w:tc>
        <w:tc>
          <w:tcPr>
            <w:tcW w:w="1782"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重点下游客户提供的优质供应商评价或类似证明材料</w:t>
            </w:r>
          </w:p>
        </w:tc>
        <w:tc>
          <w:tcPr>
            <w:tcW w:w="796"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每项供应商评价得</w:t>
            </w:r>
            <w:r>
              <w:rPr>
                <w:color w:val="auto"/>
                <w:kern w:val="0"/>
                <w:szCs w:val="21"/>
                <w:highlight w:val="none"/>
              </w:rPr>
              <w:t>0.5</w:t>
            </w:r>
            <w:r>
              <w:rPr>
                <w:rFonts w:hint="eastAsia" w:ascii="仿宋_GB2312" w:eastAsia="仿宋_GB2312"/>
                <w:color w:val="auto"/>
                <w:kern w:val="0"/>
                <w:szCs w:val="21"/>
                <w:highlight w:val="none"/>
              </w:rPr>
              <w:t>分，最多</w:t>
            </w:r>
            <w:r>
              <w:rPr>
                <w:color w:val="auto"/>
                <w:kern w:val="0"/>
                <w:szCs w:val="21"/>
                <w:highlight w:val="none"/>
              </w:rPr>
              <w:t>2</w:t>
            </w:r>
            <w:r>
              <w:rPr>
                <w:rFonts w:hint="eastAsia" w:ascii="仿宋_GB2312" w:eastAsia="仿宋_GB2312"/>
                <w:color w:val="auto"/>
                <w:kern w:val="0"/>
                <w:szCs w:val="21"/>
                <w:highlight w:val="none"/>
              </w:rPr>
              <w:t>分</w:t>
            </w:r>
          </w:p>
        </w:tc>
        <w:tc>
          <w:tcPr>
            <w:tcW w:w="515" w:type="pct"/>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643" w:type="pct"/>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第三方认证</w:t>
            </w:r>
          </w:p>
        </w:tc>
        <w:tc>
          <w:tcPr>
            <w:tcW w:w="1782"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绿色产品认证、区域品牌认证、高端自愿性产品认证等</w:t>
            </w:r>
          </w:p>
        </w:tc>
        <w:tc>
          <w:tcPr>
            <w:tcW w:w="796"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每项认证得</w:t>
            </w:r>
            <w:r>
              <w:rPr>
                <w:color w:val="auto"/>
                <w:kern w:val="0"/>
                <w:szCs w:val="21"/>
                <w:highlight w:val="none"/>
              </w:rPr>
              <w:t xml:space="preserve">0.5 </w:t>
            </w:r>
            <w:r>
              <w:rPr>
                <w:rFonts w:hint="eastAsia" w:ascii="仿宋_GB2312" w:eastAsia="仿宋_GB2312"/>
                <w:color w:val="auto"/>
                <w:kern w:val="0"/>
                <w:szCs w:val="21"/>
                <w:highlight w:val="none"/>
              </w:rPr>
              <w:t>分，最多</w:t>
            </w:r>
            <w:r>
              <w:rPr>
                <w:color w:val="auto"/>
                <w:kern w:val="0"/>
                <w:szCs w:val="21"/>
                <w:highlight w:val="none"/>
              </w:rPr>
              <w:t>2</w:t>
            </w:r>
            <w:r>
              <w:rPr>
                <w:rFonts w:hint="eastAsia" w:ascii="仿宋_GB2312" w:eastAsia="仿宋_GB2312"/>
                <w:color w:val="auto"/>
                <w:kern w:val="0"/>
                <w:szCs w:val="21"/>
                <w:highlight w:val="none"/>
              </w:rPr>
              <w:t>分</w:t>
            </w:r>
          </w:p>
        </w:tc>
        <w:tc>
          <w:tcPr>
            <w:tcW w:w="515" w:type="pct"/>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643" w:type="pct"/>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226" w:type="pct"/>
            <w:vMerge w:val="continue"/>
            <w:vAlign w:val="center"/>
          </w:tcPr>
          <w:p>
            <w:pPr>
              <w:widowControl/>
              <w:jc w:val="left"/>
              <w:rPr>
                <w:color w:val="auto"/>
                <w:kern w:val="0"/>
                <w:szCs w:val="21"/>
                <w:highlight w:val="none"/>
              </w:rPr>
            </w:pPr>
          </w:p>
        </w:tc>
        <w:tc>
          <w:tcPr>
            <w:tcW w:w="235" w:type="pct"/>
            <w:vMerge w:val="restar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荣誉奖项</w:t>
            </w:r>
          </w:p>
        </w:tc>
        <w:tc>
          <w:tcPr>
            <w:tcW w:w="801"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产品质量奖</w:t>
            </w:r>
          </w:p>
        </w:tc>
        <w:tc>
          <w:tcPr>
            <w:tcW w:w="1782"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累计奖项计算得分，最多</w:t>
            </w:r>
            <w:r>
              <w:rPr>
                <w:color w:val="auto"/>
                <w:kern w:val="0"/>
                <w:szCs w:val="21"/>
                <w:highlight w:val="none"/>
              </w:rPr>
              <w:t>4</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rFonts w:hint="eastAsia" w:ascii="仿宋_GB2312" w:eastAsia="仿宋_GB2312"/>
                <w:color w:val="auto"/>
                <w:kern w:val="0"/>
                <w:szCs w:val="21"/>
                <w:highlight w:val="none"/>
              </w:rPr>
              <w:t>国家级质量奖：每项</w:t>
            </w:r>
            <w:r>
              <w:rPr>
                <w:color w:val="auto"/>
                <w:kern w:val="0"/>
                <w:szCs w:val="21"/>
                <w:highlight w:val="none"/>
              </w:rPr>
              <w:t>4</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rFonts w:hint="eastAsia" w:ascii="仿宋_GB2312" w:eastAsia="仿宋_GB2312"/>
                <w:color w:val="auto"/>
                <w:kern w:val="0"/>
                <w:szCs w:val="21"/>
                <w:highlight w:val="none"/>
              </w:rPr>
              <w:t>国家级提名奖：每项</w:t>
            </w:r>
            <w:r>
              <w:rPr>
                <w:color w:val="auto"/>
                <w:kern w:val="0"/>
                <w:szCs w:val="21"/>
                <w:highlight w:val="none"/>
              </w:rPr>
              <w:t>3</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rFonts w:hint="eastAsia" w:ascii="仿宋_GB2312" w:eastAsia="仿宋_GB2312"/>
                <w:color w:val="auto"/>
                <w:kern w:val="0"/>
                <w:szCs w:val="21"/>
                <w:highlight w:val="none"/>
              </w:rPr>
              <w:t>省部级质量奖：每项</w:t>
            </w:r>
            <w:r>
              <w:rPr>
                <w:color w:val="auto"/>
                <w:kern w:val="0"/>
                <w:szCs w:val="21"/>
                <w:highlight w:val="none"/>
              </w:rPr>
              <w:t>2</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rFonts w:hint="eastAsia" w:ascii="仿宋_GB2312" w:eastAsia="仿宋_GB2312"/>
                <w:color w:val="auto"/>
                <w:kern w:val="0"/>
                <w:szCs w:val="21"/>
                <w:highlight w:val="none"/>
              </w:rPr>
              <w:t>省部级提名奖：每项</w:t>
            </w:r>
            <w:r>
              <w:rPr>
                <w:color w:val="auto"/>
                <w:kern w:val="0"/>
                <w:szCs w:val="21"/>
                <w:highlight w:val="none"/>
              </w:rPr>
              <w:t>1</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rFonts w:hint="eastAsia" w:ascii="仿宋_GB2312" w:eastAsia="仿宋_GB2312"/>
                <w:color w:val="auto"/>
                <w:kern w:val="0"/>
                <w:szCs w:val="21"/>
                <w:highlight w:val="none"/>
              </w:rPr>
              <w:t>市级质量奖：每项</w:t>
            </w:r>
            <w:r>
              <w:rPr>
                <w:color w:val="auto"/>
                <w:kern w:val="0"/>
                <w:szCs w:val="21"/>
                <w:highlight w:val="none"/>
              </w:rPr>
              <w:t>0.5</w:t>
            </w:r>
            <w:r>
              <w:rPr>
                <w:rFonts w:hint="eastAsia" w:ascii="仿宋_GB2312" w:eastAsia="仿宋_GB2312"/>
                <w:color w:val="auto"/>
                <w:kern w:val="0"/>
                <w:szCs w:val="21"/>
                <w:highlight w:val="none"/>
              </w:rPr>
              <w:t>分</w:t>
            </w:r>
          </w:p>
        </w:tc>
        <w:tc>
          <w:tcPr>
            <w:tcW w:w="796"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计分方法计算得分</w:t>
            </w:r>
          </w:p>
        </w:tc>
        <w:tc>
          <w:tcPr>
            <w:tcW w:w="515" w:type="pct"/>
            <w:shd w:val="clear" w:color="auto" w:fill="auto"/>
            <w:vAlign w:val="center"/>
          </w:tcPr>
          <w:p>
            <w:pPr>
              <w:widowControl/>
              <w:jc w:val="center"/>
              <w:rPr>
                <w:color w:val="auto"/>
                <w:kern w:val="0"/>
                <w:szCs w:val="21"/>
                <w:highlight w:val="none"/>
              </w:rPr>
            </w:pPr>
            <w:r>
              <w:rPr>
                <w:color w:val="auto"/>
                <w:kern w:val="0"/>
                <w:szCs w:val="21"/>
                <w:highlight w:val="none"/>
              </w:rPr>
              <w:t>4</w:t>
            </w:r>
          </w:p>
        </w:tc>
        <w:tc>
          <w:tcPr>
            <w:tcW w:w="643" w:type="pct"/>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产品科技奖</w:t>
            </w:r>
          </w:p>
        </w:tc>
        <w:tc>
          <w:tcPr>
            <w:tcW w:w="1782"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累计奖项计算得分，最多</w:t>
            </w:r>
            <w:r>
              <w:rPr>
                <w:color w:val="auto"/>
                <w:kern w:val="0"/>
                <w:szCs w:val="21"/>
                <w:highlight w:val="none"/>
              </w:rPr>
              <w:t>4</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rFonts w:hint="eastAsia" w:ascii="仿宋_GB2312" w:eastAsia="仿宋_GB2312"/>
                <w:color w:val="auto"/>
                <w:kern w:val="0"/>
                <w:szCs w:val="21"/>
                <w:highlight w:val="none"/>
              </w:rPr>
              <w:t>国家级一等奖：每项</w:t>
            </w:r>
            <w:r>
              <w:rPr>
                <w:color w:val="auto"/>
                <w:kern w:val="0"/>
                <w:szCs w:val="21"/>
                <w:highlight w:val="none"/>
              </w:rPr>
              <w:t>4</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rFonts w:hint="eastAsia" w:ascii="仿宋_GB2312" w:eastAsia="仿宋_GB2312"/>
                <w:color w:val="auto"/>
                <w:kern w:val="0"/>
                <w:szCs w:val="21"/>
                <w:highlight w:val="none"/>
              </w:rPr>
              <w:t>国家级二等奖：每项</w:t>
            </w:r>
            <w:r>
              <w:rPr>
                <w:color w:val="auto"/>
                <w:kern w:val="0"/>
                <w:szCs w:val="21"/>
                <w:highlight w:val="none"/>
              </w:rPr>
              <w:t>3.5</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rFonts w:hint="eastAsia" w:ascii="仿宋_GB2312" w:eastAsia="仿宋_GB2312"/>
                <w:color w:val="auto"/>
                <w:kern w:val="0"/>
                <w:szCs w:val="21"/>
                <w:highlight w:val="none"/>
              </w:rPr>
              <w:t>国家级三等奖：每项</w:t>
            </w:r>
            <w:r>
              <w:rPr>
                <w:color w:val="auto"/>
                <w:kern w:val="0"/>
                <w:szCs w:val="21"/>
                <w:highlight w:val="none"/>
              </w:rPr>
              <w:t>3</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rFonts w:hint="eastAsia" w:ascii="仿宋_GB2312" w:eastAsia="仿宋_GB2312"/>
                <w:color w:val="auto"/>
                <w:kern w:val="0"/>
                <w:szCs w:val="21"/>
                <w:highlight w:val="none"/>
              </w:rPr>
              <w:t>省部级一等奖：每项</w:t>
            </w:r>
            <w:r>
              <w:rPr>
                <w:color w:val="auto"/>
                <w:kern w:val="0"/>
                <w:szCs w:val="21"/>
                <w:highlight w:val="none"/>
              </w:rPr>
              <w:t>2.5</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rFonts w:hint="eastAsia" w:ascii="仿宋_GB2312" w:eastAsia="仿宋_GB2312"/>
                <w:color w:val="auto"/>
                <w:kern w:val="0"/>
                <w:szCs w:val="21"/>
                <w:highlight w:val="none"/>
              </w:rPr>
              <w:t>省部级二等奖：每项</w:t>
            </w:r>
            <w:r>
              <w:rPr>
                <w:color w:val="auto"/>
                <w:kern w:val="0"/>
                <w:szCs w:val="21"/>
                <w:highlight w:val="none"/>
              </w:rPr>
              <w:t>2</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r>
              <w:rPr>
                <w:rFonts w:hint="eastAsia" w:ascii="仿宋_GB2312" w:eastAsia="仿宋_GB2312"/>
                <w:color w:val="auto"/>
                <w:kern w:val="0"/>
                <w:szCs w:val="21"/>
                <w:highlight w:val="none"/>
              </w:rPr>
              <w:t>省部级三等奖：每项</w:t>
            </w:r>
            <w:r>
              <w:rPr>
                <w:color w:val="auto"/>
                <w:kern w:val="0"/>
                <w:szCs w:val="21"/>
                <w:highlight w:val="none"/>
              </w:rPr>
              <w:t>1.5</w:t>
            </w:r>
            <w:r>
              <w:rPr>
                <w:rFonts w:hint="eastAsia" w:ascii="仿宋_GB2312" w:eastAsia="仿宋_GB2312"/>
                <w:color w:val="auto"/>
                <w:kern w:val="0"/>
                <w:szCs w:val="21"/>
                <w:highlight w:val="none"/>
              </w:rPr>
              <w:t>分</w:t>
            </w:r>
            <w:r>
              <w:rPr>
                <w:rFonts w:hint="eastAsia" w:ascii="仿宋_GB2312" w:eastAsia="仿宋_GB2312"/>
                <w:color w:val="auto"/>
                <w:kern w:val="0"/>
                <w:szCs w:val="21"/>
                <w:highlight w:val="none"/>
              </w:rPr>
              <w:br w:type="textWrapping"/>
            </w:r>
          </w:p>
        </w:tc>
        <w:tc>
          <w:tcPr>
            <w:tcW w:w="796" w:type="pc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计分方法计算得分</w:t>
            </w:r>
          </w:p>
        </w:tc>
        <w:tc>
          <w:tcPr>
            <w:tcW w:w="515" w:type="pct"/>
            <w:shd w:val="clear" w:color="auto" w:fill="auto"/>
            <w:vAlign w:val="center"/>
          </w:tcPr>
          <w:p>
            <w:pPr>
              <w:widowControl/>
              <w:jc w:val="center"/>
              <w:rPr>
                <w:color w:val="auto"/>
                <w:kern w:val="0"/>
                <w:szCs w:val="21"/>
                <w:highlight w:val="none"/>
              </w:rPr>
            </w:pPr>
            <w:r>
              <w:rPr>
                <w:color w:val="auto"/>
                <w:kern w:val="0"/>
                <w:szCs w:val="21"/>
                <w:highlight w:val="none"/>
              </w:rPr>
              <w:t>4</w:t>
            </w:r>
          </w:p>
        </w:tc>
        <w:tc>
          <w:tcPr>
            <w:tcW w:w="643" w:type="pct"/>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restart"/>
            <w:shd w:val="clear" w:color="auto" w:fill="auto"/>
            <w:vAlign w:val="center"/>
          </w:tcPr>
          <w:p>
            <w:pPr>
              <w:widowControl/>
              <w:jc w:val="center"/>
              <w:rPr>
                <w:color w:val="auto"/>
                <w:kern w:val="0"/>
                <w:szCs w:val="21"/>
                <w:highlight w:val="none"/>
              </w:rPr>
            </w:pPr>
            <w:r>
              <w:rPr>
                <w:rFonts w:hint="eastAsia" w:ascii="仿宋_GB2312" w:eastAsia="仿宋_GB2312"/>
                <w:color w:val="auto"/>
                <w:kern w:val="0"/>
                <w:szCs w:val="21"/>
                <w:highlight w:val="none"/>
              </w:rPr>
              <w:t>单项冠军</w:t>
            </w:r>
          </w:p>
        </w:tc>
        <w:tc>
          <w:tcPr>
            <w:tcW w:w="1782" w:type="pct"/>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省级单项冠军</w:t>
            </w:r>
          </w:p>
        </w:tc>
        <w:tc>
          <w:tcPr>
            <w:tcW w:w="796" w:type="pct"/>
            <w:shd w:val="clear" w:color="auto" w:fill="auto"/>
            <w:vAlign w:val="center"/>
          </w:tcPr>
          <w:p>
            <w:pPr>
              <w:widowControl/>
              <w:jc w:val="center"/>
              <w:rPr>
                <w:color w:val="auto"/>
                <w:kern w:val="0"/>
                <w:szCs w:val="21"/>
                <w:highlight w:val="none"/>
              </w:rPr>
            </w:pPr>
            <w:r>
              <w:rPr>
                <w:color w:val="auto"/>
                <w:kern w:val="0"/>
                <w:szCs w:val="21"/>
                <w:highlight w:val="none"/>
              </w:rPr>
              <w:t>1</w:t>
            </w:r>
          </w:p>
        </w:tc>
        <w:tc>
          <w:tcPr>
            <w:tcW w:w="515" w:type="pct"/>
            <w:vMerge w:val="restart"/>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643" w:type="pct"/>
            <w:vMerge w:val="restart"/>
            <w:shd w:val="clear" w:color="auto" w:fill="auto"/>
            <w:vAlign w:val="center"/>
          </w:tcPr>
          <w:p>
            <w:pPr>
              <w:widowControl/>
              <w:jc w:val="center"/>
              <w:rPr>
                <w:color w:val="auto"/>
                <w:kern w:val="0"/>
                <w:szCs w:val="21"/>
                <w:highlight w:val="none"/>
              </w:rPr>
            </w:pPr>
            <w:r>
              <w:rPr>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center"/>
          </w:tcPr>
          <w:p>
            <w:pPr>
              <w:widowControl/>
              <w:jc w:val="left"/>
              <w:rPr>
                <w:color w:val="auto"/>
                <w:kern w:val="0"/>
                <w:szCs w:val="21"/>
                <w:highlight w:val="none"/>
              </w:rPr>
            </w:pPr>
          </w:p>
        </w:tc>
        <w:tc>
          <w:tcPr>
            <w:tcW w:w="1782" w:type="pct"/>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国家级单项冠军</w:t>
            </w:r>
          </w:p>
        </w:tc>
        <w:tc>
          <w:tcPr>
            <w:tcW w:w="796" w:type="pct"/>
            <w:shd w:val="clear" w:color="auto" w:fill="auto"/>
            <w:vAlign w:val="center"/>
          </w:tcPr>
          <w:p>
            <w:pPr>
              <w:widowControl/>
              <w:jc w:val="center"/>
              <w:rPr>
                <w:color w:val="auto"/>
                <w:kern w:val="0"/>
                <w:szCs w:val="21"/>
                <w:highlight w:val="none"/>
              </w:rPr>
            </w:pPr>
            <w:r>
              <w:rPr>
                <w:color w:val="auto"/>
                <w:kern w:val="0"/>
                <w:szCs w:val="21"/>
                <w:highlight w:val="none"/>
              </w:rPr>
              <w:t>2</w:t>
            </w: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 w:type="pct"/>
            <w:vMerge w:val="restart"/>
            <w:vAlign w:val="center"/>
          </w:tcPr>
          <w:p>
            <w:pPr>
              <w:widowControl/>
              <w:jc w:val="left"/>
              <w:rPr>
                <w:color w:val="auto"/>
                <w:kern w:val="0"/>
                <w:szCs w:val="21"/>
                <w:highlight w:val="none"/>
              </w:rPr>
            </w:pPr>
          </w:p>
        </w:tc>
        <w:tc>
          <w:tcPr>
            <w:tcW w:w="235" w:type="pct"/>
            <w:vMerge w:val="restart"/>
            <w:vAlign w:val="center"/>
          </w:tcPr>
          <w:p>
            <w:pPr>
              <w:widowControl/>
              <w:jc w:val="left"/>
              <w:rPr>
                <w:color w:val="auto"/>
                <w:kern w:val="0"/>
                <w:szCs w:val="21"/>
                <w:highlight w:val="none"/>
              </w:rPr>
            </w:pPr>
            <w:r>
              <w:rPr>
                <w:rFonts w:hint="eastAsia" w:ascii="仿宋_GB2312" w:eastAsia="仿宋_GB2312"/>
                <w:color w:val="auto"/>
                <w:kern w:val="0"/>
                <w:szCs w:val="21"/>
                <w:highlight w:val="none"/>
              </w:rPr>
              <w:t>信息化水平</w:t>
            </w:r>
          </w:p>
        </w:tc>
        <w:tc>
          <w:tcPr>
            <w:tcW w:w="801" w:type="pct"/>
            <w:vMerge w:val="restart"/>
            <w:vAlign w:val="center"/>
          </w:tcPr>
          <w:p>
            <w:pPr>
              <w:widowControl/>
              <w:jc w:val="center"/>
              <w:rPr>
                <w:color w:val="auto"/>
                <w:kern w:val="0"/>
                <w:szCs w:val="21"/>
                <w:highlight w:val="none"/>
              </w:rPr>
            </w:pPr>
            <w:r>
              <w:rPr>
                <w:rFonts w:hint="eastAsia" w:ascii="仿宋_GB2312" w:hAnsi="宋体" w:eastAsia="仿宋_GB2312" w:cs="宋体"/>
                <w:color w:val="auto"/>
                <w:spacing w:val="0"/>
                <w:kern w:val="0"/>
                <w:szCs w:val="21"/>
                <w:highlight w:val="none"/>
              </w:rPr>
              <w:t>智能制造成熟度</w:t>
            </w:r>
          </w:p>
        </w:tc>
        <w:tc>
          <w:tcPr>
            <w:tcW w:w="1782" w:type="pct"/>
            <w:shd w:val="clear" w:color="auto" w:fill="auto"/>
            <w:vAlign w:val="top"/>
          </w:tcPr>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未达一级-基础级：企业具备最基础的网络化办公及电子化 信息的数据采集工作。对离散的数据进行报表统计及分析</w:t>
            </w:r>
          </w:p>
        </w:tc>
        <w:tc>
          <w:tcPr>
            <w:tcW w:w="796" w:type="pct"/>
            <w:shd w:val="clear" w:color="auto" w:fill="auto"/>
            <w:vAlign w:val="center"/>
          </w:tcPr>
          <w:p>
            <w:pPr>
              <w:widowControl/>
              <w:jc w:val="center"/>
              <w:rPr>
                <w:color w:val="auto"/>
                <w:kern w:val="0"/>
                <w:szCs w:val="21"/>
                <w:highlight w:val="none"/>
              </w:rPr>
            </w:pPr>
            <w:r>
              <w:rPr>
                <w:rFonts w:hint="eastAsia"/>
                <w:color w:val="auto"/>
                <w:kern w:val="0"/>
                <w:szCs w:val="21"/>
                <w:highlight w:val="none"/>
                <w:lang w:val="en-US" w:eastAsia="zh-CN"/>
              </w:rPr>
              <w:t>0</w:t>
            </w:r>
          </w:p>
        </w:tc>
        <w:tc>
          <w:tcPr>
            <w:tcW w:w="1582" w:type="dxa"/>
            <w:vMerge w:val="restart"/>
            <w:vAlign w:val="center"/>
          </w:tcPr>
          <w:p>
            <w:pPr>
              <w:widowControl/>
              <w:jc w:val="center"/>
              <w:rPr>
                <w:color w:val="auto"/>
                <w:kern w:val="0"/>
                <w:szCs w:val="21"/>
                <w:highlight w:val="none"/>
              </w:rPr>
            </w:pPr>
            <w:r>
              <w:rPr>
                <w:rFonts w:hint="eastAsia"/>
                <w:color w:val="auto"/>
                <w:kern w:val="0"/>
                <w:szCs w:val="21"/>
                <w:highlight w:val="none"/>
                <w:lang w:val="en-US" w:eastAsia="zh-CN"/>
              </w:rPr>
              <w:t>2.5</w:t>
            </w:r>
          </w:p>
        </w:tc>
        <w:tc>
          <w:tcPr>
            <w:tcW w:w="1975" w:type="dxa"/>
            <w:vMerge w:val="restart"/>
            <w:vAlign w:val="center"/>
          </w:tcPr>
          <w:p>
            <w:pPr>
              <w:pStyle w:val="26"/>
              <w:spacing w:before="63" w:line="219" w:lineRule="auto"/>
              <w:ind w:left="0"/>
              <w:rPr>
                <w:rFonts w:hint="eastAsia" w:ascii="仿宋_GB2312" w:hAnsi="宋体" w:eastAsia="仿宋_GB2312" w:cs="宋体"/>
                <w:color w:val="auto"/>
                <w:kern w:val="0"/>
                <w:highlight w:val="none"/>
                <w:lang w:eastAsia="zh-CN"/>
              </w:rPr>
            </w:pPr>
            <w:r>
              <w:rPr>
                <w:rFonts w:hint="eastAsia" w:ascii="仿宋_GB2312" w:hAnsi="宋体" w:eastAsia="仿宋_GB2312" w:cs="宋体"/>
                <w:color w:val="auto"/>
                <w:spacing w:val="0"/>
                <w:kern w:val="0"/>
                <w:highlight w:val="none"/>
                <w:lang w:eastAsia="zh-CN"/>
              </w:rPr>
              <w:t>此为加分项，评价</w:t>
            </w:r>
          </w:p>
          <w:p>
            <w:pPr>
              <w:pStyle w:val="26"/>
              <w:widowControl/>
              <w:spacing w:before="63" w:line="219" w:lineRule="auto"/>
              <w:ind w:left="0"/>
              <w:jc w:val="left"/>
              <w:rPr>
                <w:rFonts w:hint="eastAsia" w:ascii="仿宋_GB2312" w:hAnsi="宋体" w:eastAsia="仿宋_GB2312" w:cs="宋体"/>
                <w:color w:val="auto"/>
                <w:spacing w:val="0"/>
                <w:kern w:val="0"/>
                <w:highlight w:val="none"/>
                <w:lang w:eastAsia="zh-CN"/>
              </w:rPr>
            </w:pPr>
            <w:r>
              <w:rPr>
                <w:rFonts w:hint="eastAsia" w:ascii="仿宋_GB2312" w:hAnsi="宋体" w:eastAsia="仿宋_GB2312" w:cs="宋体"/>
                <w:color w:val="auto"/>
                <w:spacing w:val="0"/>
                <w:kern w:val="0"/>
                <w:highlight w:val="none"/>
                <w:lang w:eastAsia="zh-CN"/>
              </w:rPr>
              <w:t>指标得分未满 100分时可以计入</w:t>
            </w:r>
          </w:p>
          <w:p>
            <w:pPr>
              <w:pStyle w:val="26"/>
              <w:widowControl/>
              <w:spacing w:before="63" w:line="219" w:lineRule="auto"/>
              <w:ind w:left="0" w:leftChars="0"/>
              <w:jc w:val="left"/>
              <w:rPr>
                <w:color w:val="auto"/>
                <w:kern w:val="0"/>
                <w:szCs w:val="21"/>
                <w:highlight w:val="none"/>
              </w:rPr>
            </w:pPr>
            <w:r>
              <w:rPr>
                <w:rFonts w:hint="eastAsia" w:ascii="仿宋_GB2312" w:hAnsi="宋体" w:eastAsia="仿宋_GB2312" w:cs="宋体"/>
                <w:color w:val="auto"/>
                <w:spacing w:val="0"/>
                <w:kern w:val="0"/>
                <w:highlight w:val="none"/>
                <w:lang w:eastAsia="zh-CN"/>
              </w:rPr>
              <w:t>需提供认证证书等证明材料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center"/>
          </w:tcPr>
          <w:p>
            <w:pPr>
              <w:widowControl/>
              <w:jc w:val="left"/>
              <w:rPr>
                <w:color w:val="auto"/>
                <w:kern w:val="0"/>
                <w:szCs w:val="21"/>
                <w:highlight w:val="none"/>
              </w:rPr>
            </w:pPr>
          </w:p>
        </w:tc>
        <w:tc>
          <w:tcPr>
            <w:tcW w:w="1782" w:type="pct"/>
            <w:shd w:val="clear" w:color="auto" w:fill="auto"/>
            <w:vAlign w:val="top"/>
          </w:tcPr>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一级-规划级：企业应开始对实施智能制造的基础和条件进行规划，能够对核心业务活动（设计、生产、物流、销售、服务）进行流程化管理</w:t>
            </w:r>
          </w:p>
        </w:tc>
        <w:tc>
          <w:tcPr>
            <w:tcW w:w="796" w:type="pct"/>
            <w:shd w:val="clear" w:color="auto" w:fill="auto"/>
            <w:vAlign w:val="center"/>
          </w:tcPr>
          <w:p>
            <w:pPr>
              <w:widowControl/>
              <w:jc w:val="center"/>
              <w:rPr>
                <w:color w:val="auto"/>
                <w:kern w:val="0"/>
                <w:szCs w:val="21"/>
                <w:highlight w:val="none"/>
              </w:rPr>
            </w:pPr>
            <w:r>
              <w:rPr>
                <w:rFonts w:hint="eastAsia"/>
                <w:color w:val="auto"/>
                <w:kern w:val="0"/>
                <w:szCs w:val="21"/>
                <w:highlight w:val="none"/>
                <w:lang w:val="en-US" w:eastAsia="zh-CN"/>
              </w:rPr>
              <w:t>0.5</w:t>
            </w: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center"/>
          </w:tcPr>
          <w:p>
            <w:pPr>
              <w:widowControl/>
              <w:jc w:val="left"/>
              <w:rPr>
                <w:color w:val="auto"/>
                <w:kern w:val="0"/>
                <w:szCs w:val="21"/>
                <w:highlight w:val="none"/>
              </w:rPr>
            </w:pPr>
          </w:p>
        </w:tc>
        <w:tc>
          <w:tcPr>
            <w:tcW w:w="1782" w:type="pct"/>
            <w:shd w:val="clear" w:color="auto" w:fill="auto"/>
            <w:vAlign w:val="top"/>
          </w:tcPr>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二级-规范级：企业应采用自动化技术、信息技术手段对核心装备和业务活动等进行改造和规范，实现单一业务活动的数据共享</w:t>
            </w:r>
          </w:p>
        </w:tc>
        <w:tc>
          <w:tcPr>
            <w:tcW w:w="796" w:type="pct"/>
            <w:shd w:val="clear" w:color="auto" w:fill="auto"/>
            <w:vAlign w:val="center"/>
          </w:tcPr>
          <w:p>
            <w:pPr>
              <w:widowControl/>
              <w:jc w:val="center"/>
              <w:rPr>
                <w:color w:val="auto"/>
                <w:kern w:val="0"/>
                <w:szCs w:val="21"/>
                <w:highlight w:val="none"/>
              </w:rPr>
            </w:pPr>
            <w:r>
              <w:rPr>
                <w:rFonts w:hint="eastAsia"/>
                <w:color w:val="auto"/>
                <w:kern w:val="0"/>
                <w:szCs w:val="21"/>
                <w:highlight w:val="none"/>
                <w:lang w:val="en-US" w:eastAsia="zh-CN"/>
              </w:rPr>
              <w:t>1</w:t>
            </w: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center"/>
          </w:tcPr>
          <w:p>
            <w:pPr>
              <w:widowControl/>
              <w:jc w:val="left"/>
              <w:rPr>
                <w:color w:val="auto"/>
                <w:kern w:val="0"/>
                <w:szCs w:val="21"/>
                <w:highlight w:val="none"/>
              </w:rPr>
            </w:pPr>
          </w:p>
        </w:tc>
        <w:tc>
          <w:tcPr>
            <w:tcW w:w="1782" w:type="pct"/>
            <w:shd w:val="clear" w:color="auto" w:fill="auto"/>
            <w:vAlign w:val="top"/>
          </w:tcPr>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三级-集成级：企业应对装备、系统等开展集成，实现跨业务活动间的数据共享</w:t>
            </w:r>
          </w:p>
        </w:tc>
        <w:tc>
          <w:tcPr>
            <w:tcW w:w="796" w:type="pct"/>
            <w:shd w:val="clear" w:color="auto" w:fill="auto"/>
            <w:vAlign w:val="center"/>
          </w:tcPr>
          <w:p>
            <w:pPr>
              <w:widowControl/>
              <w:jc w:val="center"/>
              <w:rPr>
                <w:color w:val="auto"/>
                <w:kern w:val="0"/>
                <w:szCs w:val="21"/>
                <w:highlight w:val="none"/>
              </w:rPr>
            </w:pPr>
            <w:r>
              <w:rPr>
                <w:rFonts w:hint="eastAsia"/>
                <w:color w:val="auto"/>
                <w:kern w:val="0"/>
                <w:szCs w:val="21"/>
                <w:highlight w:val="none"/>
                <w:lang w:val="en-US" w:eastAsia="zh-CN"/>
              </w:rPr>
              <w:t>1.5</w:t>
            </w: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center"/>
          </w:tcPr>
          <w:p>
            <w:pPr>
              <w:widowControl/>
              <w:jc w:val="left"/>
              <w:rPr>
                <w:color w:val="auto"/>
                <w:kern w:val="0"/>
                <w:szCs w:val="21"/>
                <w:highlight w:val="none"/>
              </w:rPr>
            </w:pPr>
          </w:p>
        </w:tc>
        <w:tc>
          <w:tcPr>
            <w:tcW w:w="1782" w:type="pct"/>
            <w:shd w:val="clear" w:color="auto" w:fill="auto"/>
            <w:vAlign w:val="top"/>
          </w:tcPr>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四级-优化级：企业应对人员、资源、制造等进行数据挖掘，形成知识、模型等，实现对核心业务活动的精准预测和优化</w:t>
            </w:r>
          </w:p>
        </w:tc>
        <w:tc>
          <w:tcPr>
            <w:tcW w:w="796" w:type="pct"/>
            <w:shd w:val="clear" w:color="auto" w:fill="auto"/>
            <w:vAlign w:val="center"/>
          </w:tcPr>
          <w:p>
            <w:pPr>
              <w:widowControl/>
              <w:jc w:val="center"/>
              <w:rPr>
                <w:color w:val="auto"/>
                <w:kern w:val="0"/>
                <w:szCs w:val="21"/>
                <w:highlight w:val="none"/>
              </w:rPr>
            </w:pPr>
            <w:r>
              <w:rPr>
                <w:rFonts w:hint="eastAsia"/>
                <w:color w:val="auto"/>
                <w:kern w:val="0"/>
                <w:szCs w:val="21"/>
                <w:highlight w:val="none"/>
                <w:lang w:val="en-US" w:eastAsia="zh-CN"/>
              </w:rPr>
              <w:t>2</w:t>
            </w: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 w:type="pct"/>
            <w:vMerge w:val="continue"/>
            <w:vAlign w:val="center"/>
          </w:tcPr>
          <w:p>
            <w:pPr>
              <w:widowControl/>
              <w:jc w:val="left"/>
              <w:rPr>
                <w:color w:val="auto"/>
                <w:kern w:val="0"/>
                <w:szCs w:val="21"/>
                <w:highlight w:val="none"/>
              </w:rPr>
            </w:pPr>
          </w:p>
        </w:tc>
        <w:tc>
          <w:tcPr>
            <w:tcW w:w="235" w:type="pct"/>
            <w:vMerge w:val="continue"/>
            <w:vAlign w:val="center"/>
          </w:tcPr>
          <w:p>
            <w:pPr>
              <w:widowControl/>
              <w:jc w:val="left"/>
              <w:rPr>
                <w:color w:val="auto"/>
                <w:kern w:val="0"/>
                <w:szCs w:val="21"/>
                <w:highlight w:val="none"/>
              </w:rPr>
            </w:pPr>
          </w:p>
        </w:tc>
        <w:tc>
          <w:tcPr>
            <w:tcW w:w="801" w:type="pct"/>
            <w:vMerge w:val="continue"/>
            <w:vAlign w:val="center"/>
          </w:tcPr>
          <w:p>
            <w:pPr>
              <w:widowControl/>
              <w:jc w:val="left"/>
              <w:rPr>
                <w:color w:val="auto"/>
                <w:kern w:val="0"/>
                <w:szCs w:val="21"/>
                <w:highlight w:val="none"/>
              </w:rPr>
            </w:pPr>
          </w:p>
        </w:tc>
        <w:tc>
          <w:tcPr>
            <w:tcW w:w="1782" w:type="pct"/>
            <w:shd w:val="clear" w:color="auto" w:fill="auto"/>
            <w:vAlign w:val="top"/>
          </w:tcPr>
          <w:p>
            <w:pPr>
              <w:widowControl/>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五级- 引领级：企业应基于模型持续驱动业务活动的优化和创新， 实现产业链协同并衍生新的制造模式和商业模式</w:t>
            </w:r>
          </w:p>
        </w:tc>
        <w:tc>
          <w:tcPr>
            <w:tcW w:w="796" w:type="pct"/>
            <w:shd w:val="clear" w:color="auto" w:fill="auto"/>
            <w:vAlign w:val="center"/>
          </w:tcPr>
          <w:p>
            <w:pPr>
              <w:widowControl/>
              <w:jc w:val="center"/>
              <w:rPr>
                <w:color w:val="auto"/>
                <w:kern w:val="0"/>
                <w:szCs w:val="21"/>
                <w:highlight w:val="none"/>
              </w:rPr>
            </w:pPr>
            <w:r>
              <w:rPr>
                <w:rFonts w:hint="eastAsia"/>
                <w:color w:val="auto"/>
                <w:kern w:val="0"/>
                <w:szCs w:val="21"/>
                <w:highlight w:val="none"/>
                <w:lang w:val="en-US" w:eastAsia="zh-CN"/>
              </w:rPr>
              <w:t>2.5</w:t>
            </w:r>
          </w:p>
        </w:tc>
        <w:tc>
          <w:tcPr>
            <w:tcW w:w="515" w:type="pct"/>
            <w:vMerge w:val="continue"/>
            <w:vAlign w:val="center"/>
          </w:tcPr>
          <w:p>
            <w:pPr>
              <w:widowControl/>
              <w:jc w:val="left"/>
              <w:rPr>
                <w:color w:val="auto"/>
                <w:kern w:val="0"/>
                <w:szCs w:val="21"/>
                <w:highlight w:val="none"/>
              </w:rPr>
            </w:pPr>
          </w:p>
        </w:tc>
        <w:tc>
          <w:tcPr>
            <w:tcW w:w="643" w:type="pct"/>
            <w:vMerge w:val="continue"/>
            <w:vAlign w:val="center"/>
          </w:tcPr>
          <w:p>
            <w:pPr>
              <w:widowControl/>
              <w:jc w:val="left"/>
              <w:rPr>
                <w:color w:val="auto"/>
                <w:kern w:val="0"/>
                <w:szCs w:val="21"/>
                <w:highlight w:val="none"/>
              </w:rPr>
            </w:pPr>
          </w:p>
        </w:tc>
      </w:tr>
    </w:tbl>
    <w:p>
      <w:pPr>
        <w:spacing w:line="360" w:lineRule="auto"/>
        <w:ind w:firstLine="560" w:firstLineChars="200"/>
        <w:rPr>
          <w:rFonts w:ascii="Times New Roman" w:hAnsi="Times New Roman" w:eastAsia="仿宋_GB2312" w:cs="Times New Roman"/>
          <w:sz w:val="28"/>
          <w:szCs w:val="28"/>
        </w:rPr>
      </w:pP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第一部分为企业层面包含生产装备水平、检验检测能力、体系保证、技术中心等级、专利数量、人才结构、研发投入比例、诚信管理体系建议、企业信用等级、偿债能力、合同履约、企业不良行为记录、服务体系建设、配送时效保障、质量追溯、质量异议解决制度、智能制造成熟度等多维度指标；第二部分为产品层面，主要围绕质量一致性、重点客户和主要工程建设应用、终端客户水平、质量异议率、质量异议处理时间、顾客满意度、认证情况（含第二方、第三方认证）、产品质量奖、产品科技奖、单项冠军等。</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六、与国内其它法律、法规的关系</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制定本文件时依据并引用了国内有关现行有效的标准，也不违背国内其它行业标准、法律、法规及强制性标准的有关规定。</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七、标准属性</w:t>
      </w:r>
    </w:p>
    <w:p>
      <w:pPr>
        <w:spacing w:line="360" w:lineRule="auto"/>
        <w:ind w:firstLine="480"/>
        <w:rPr>
          <w:rFonts w:ascii="Times New Roman" w:hAnsi="Times New Roman" w:eastAsia="仿宋" w:cs="Times New Roman"/>
          <w:sz w:val="28"/>
          <w:szCs w:val="28"/>
        </w:rPr>
      </w:pPr>
      <w:r>
        <w:rPr>
          <w:rFonts w:ascii="Times New Roman" w:hAnsi="Times New Roman" w:eastAsia="仿宋" w:cs="Times New Roman"/>
          <w:sz w:val="28"/>
          <w:szCs w:val="28"/>
        </w:rPr>
        <w:t>本文件属于中国特钢企业协会团体标准。</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八、标准水平及预期效果</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在新型标准化体系中，</w:t>
      </w:r>
      <w:r>
        <w:rPr>
          <w:rFonts w:hint="eastAsia" w:ascii="Times New Roman" w:hAnsi="Times New Roman" w:eastAsia="仿宋" w:cs="Times New Roman"/>
          <w:sz w:val="28"/>
          <w:szCs w:val="28"/>
        </w:rPr>
        <w:t>团体标准</w:t>
      </w:r>
      <w:r>
        <w:rPr>
          <w:rFonts w:ascii="Times New Roman" w:hAnsi="Times New Roman" w:eastAsia="仿宋" w:cs="Times New Roman"/>
          <w:sz w:val="28"/>
          <w:szCs w:val="28"/>
        </w:rPr>
        <w:t>定位为先进引领性的标准</w:t>
      </w:r>
      <w:r>
        <w:rPr>
          <w:rFonts w:hint="eastAsia" w:ascii="Times New Roman" w:hAnsi="Times New Roman" w:eastAsia="仿宋" w:cs="Times New Roman"/>
          <w:sz w:val="28"/>
          <w:szCs w:val="28"/>
        </w:rPr>
        <w:t>，通过产业链利益相关方协商一致，能够提升技术指标先进性、引领性，推动标准应用实施</w:t>
      </w:r>
      <w:r>
        <w:rPr>
          <w:rFonts w:ascii="Times New Roman" w:hAnsi="Times New Roman" w:eastAsia="仿宋" w:cs="Times New Roman"/>
          <w:sz w:val="28"/>
          <w:szCs w:val="28"/>
        </w:rPr>
        <w:t>。</w:t>
      </w:r>
      <w:r>
        <w:rPr>
          <w:rFonts w:hint="eastAsia" w:ascii="Times New Roman" w:hAnsi="Times New Roman" w:eastAsia="仿宋" w:cs="Times New Roman"/>
          <w:sz w:val="28"/>
          <w:szCs w:val="28"/>
        </w:rPr>
        <w:t>本</w:t>
      </w:r>
      <w:r>
        <w:rPr>
          <w:rFonts w:ascii="Times New Roman" w:hAnsi="Times New Roman" w:eastAsia="仿宋" w:cs="Times New Roman"/>
          <w:sz w:val="28"/>
          <w:szCs w:val="28"/>
        </w:rPr>
        <w:t>文件的制定一方面有利于指导</w:t>
      </w:r>
      <w:r>
        <w:rPr>
          <w:rFonts w:hint="eastAsia" w:ascii="Times New Roman" w:hAnsi="Times New Roman" w:eastAsia="仿宋" w:cs="Times New Roman"/>
          <w:sz w:val="28"/>
          <w:szCs w:val="28"/>
        </w:rPr>
        <w:t>提升企业产品品牌</w:t>
      </w:r>
      <w:r>
        <w:rPr>
          <w:rFonts w:ascii="Times New Roman" w:hAnsi="Times New Roman" w:eastAsia="仿宋" w:cs="Times New Roman"/>
          <w:sz w:val="28"/>
          <w:szCs w:val="28"/>
        </w:rPr>
        <w:t>，并可用于对</w:t>
      </w:r>
      <w:r>
        <w:rPr>
          <w:rFonts w:hint="eastAsia" w:ascii="Times New Roman" w:hAnsi="Times New Roman" w:eastAsia="仿宋" w:cs="Times New Roman"/>
          <w:sz w:val="28"/>
          <w:szCs w:val="28"/>
        </w:rPr>
        <w:t>企业产品质量和生产控制水平进</w:t>
      </w:r>
      <w:r>
        <w:rPr>
          <w:rFonts w:ascii="Times New Roman" w:hAnsi="Times New Roman" w:eastAsia="仿宋" w:cs="Times New Roman"/>
          <w:sz w:val="28"/>
          <w:szCs w:val="28"/>
        </w:rPr>
        <w:t>行评价，另一方面可以指导</w:t>
      </w:r>
      <w:r>
        <w:rPr>
          <w:rFonts w:hint="eastAsia" w:ascii="Times New Roman" w:hAnsi="Times New Roman" w:eastAsia="仿宋" w:cs="Times New Roman"/>
          <w:sz w:val="28"/>
          <w:szCs w:val="28"/>
        </w:rPr>
        <w:t>第一方、第二方、</w:t>
      </w:r>
      <w:r>
        <w:rPr>
          <w:rFonts w:ascii="Times New Roman" w:hAnsi="Times New Roman" w:eastAsia="仿宋" w:cs="Times New Roman"/>
          <w:sz w:val="28"/>
          <w:szCs w:val="28"/>
        </w:rPr>
        <w:t>第三方机构</w:t>
      </w:r>
      <w:r>
        <w:rPr>
          <w:rFonts w:hint="eastAsia" w:ascii="Times New Roman" w:hAnsi="Times New Roman" w:eastAsia="仿宋" w:cs="Times New Roman"/>
          <w:sz w:val="28"/>
          <w:szCs w:val="28"/>
        </w:rPr>
        <w:t>开展相关认证评价工作</w:t>
      </w:r>
      <w:r>
        <w:rPr>
          <w:rFonts w:ascii="Times New Roman" w:hAnsi="Times New Roman" w:eastAsia="仿宋" w:cs="Times New Roman"/>
          <w:sz w:val="28"/>
          <w:szCs w:val="28"/>
        </w:rPr>
        <w:t>。</w:t>
      </w:r>
    </w:p>
    <w:p>
      <w:pPr>
        <w:keepNext/>
        <w:keepLines/>
        <w:spacing w:line="360" w:lineRule="auto"/>
        <w:ind w:firstLine="560" w:firstLineChars="200"/>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九、贯彻要求及建议</w:t>
      </w:r>
    </w:p>
    <w:p>
      <w:pPr>
        <w:spacing w:line="360" w:lineRule="auto"/>
        <w:ind w:firstLine="490" w:firstLineChars="175"/>
        <w:rPr>
          <w:rFonts w:ascii="Times New Roman" w:hAnsi="Times New Roman" w:eastAsia="仿宋" w:cs="Times New Roman"/>
          <w:sz w:val="28"/>
          <w:szCs w:val="28"/>
        </w:rPr>
      </w:pPr>
      <w:r>
        <w:rPr>
          <w:rFonts w:ascii="Times New Roman" w:hAnsi="Times New Roman" w:eastAsia="仿宋" w:cs="Times New Roman"/>
          <w:sz w:val="28"/>
          <w:szCs w:val="28"/>
        </w:rPr>
        <w:t>本文件归口单位为中国特钢企业协会，经过审定报批后，</w:t>
      </w:r>
      <w:r>
        <w:rPr>
          <w:rFonts w:ascii="Times New Roman" w:hAnsi="Times New Roman" w:eastAsia="仿宋_GB2312" w:cs="Times New Roman"/>
          <w:sz w:val="28"/>
          <w:szCs w:val="28"/>
        </w:rPr>
        <w:t>由中国特钢企业协会发布</w:t>
      </w:r>
      <w:r>
        <w:rPr>
          <w:rFonts w:ascii="Times New Roman" w:hAnsi="Times New Roman" w:eastAsia="仿宋" w:cs="Times New Roman"/>
          <w:sz w:val="28"/>
          <w:szCs w:val="28"/>
        </w:rPr>
        <w:t>。建议在</w:t>
      </w:r>
      <w:r>
        <w:rPr>
          <w:rFonts w:hint="eastAsia" w:ascii="Times New Roman" w:hAnsi="Times New Roman" w:eastAsia="仿宋" w:cs="Times New Roman"/>
          <w:sz w:val="28"/>
          <w:szCs w:val="28"/>
        </w:rPr>
        <w:t>第三方机构对企业产品放心品牌评价和企业自评、相关方评价等</w:t>
      </w:r>
      <w:r>
        <w:rPr>
          <w:rFonts w:ascii="Times New Roman" w:hAnsi="Times New Roman" w:eastAsia="仿宋" w:cs="Times New Roman"/>
          <w:sz w:val="28"/>
          <w:szCs w:val="28"/>
        </w:rPr>
        <w:t>领域和单位宣贯执行</w:t>
      </w:r>
      <w:r>
        <w:rPr>
          <w:rFonts w:hint="eastAsia" w:ascii="Times New Roman" w:hAnsi="Times New Roman" w:eastAsia="仿宋" w:cs="Times New Roman"/>
          <w:sz w:val="28"/>
          <w:szCs w:val="28"/>
        </w:rPr>
        <w:t>。</w:t>
      </w:r>
    </w:p>
    <w:p>
      <w:pPr>
        <w:spacing w:line="360" w:lineRule="auto"/>
        <w:ind w:firstLine="490" w:firstLineChars="175"/>
        <w:rPr>
          <w:rFonts w:ascii="Times New Roman" w:hAnsi="Times New Roman" w:eastAsia="仿宋" w:cs="Times New Roman"/>
          <w:sz w:val="28"/>
          <w:szCs w:val="28"/>
        </w:rPr>
      </w:pPr>
    </w:p>
    <w:sectPr>
      <w:footerReference r:id="rId3" w:type="default"/>
      <w:footerReference r:id="rId4" w:type="even"/>
      <w:pgSz w:w="11907" w:h="16840"/>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6</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A1746"/>
    <w:multiLevelType w:val="multilevel"/>
    <w:tmpl w:val="0FFA1746"/>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default" w:ascii="Arial" w:hAnsi="Arial" w:eastAsia="黑体" w:cs="Arial"/>
        <w:b w:val="0"/>
        <w:bCs w:val="0"/>
        <w:i w:val="0"/>
        <w:iCs w:val="0"/>
        <w:caps w:val="0"/>
        <w:smallCaps w:val="0"/>
        <w:snapToGrid w:val="0"/>
        <w:vanish w:val="0"/>
        <w:color w:val="000000"/>
        <w:spacing w:val="0"/>
        <w:w w:val="0"/>
        <w:kern w:val="0"/>
        <w:position w:val="0"/>
        <w:sz w:val="21"/>
        <w:szCs w:val="0"/>
        <w:u w:val="none"/>
        <w:vertAlign w:val="baseline"/>
      </w:rPr>
    </w:lvl>
    <w:lvl w:ilvl="2" w:tentative="0">
      <w:start w:val="1"/>
      <w:numFmt w:val="decimal"/>
      <w:pStyle w:val="2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1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kM2VmYjQwZGQ2YWRkZTg4NjhiMDRlODRiYWM4ZjAifQ=="/>
  </w:docVars>
  <w:rsids>
    <w:rsidRoot w:val="004C4969"/>
    <w:rsid w:val="0000076C"/>
    <w:rsid w:val="00000A7A"/>
    <w:rsid w:val="00007EBA"/>
    <w:rsid w:val="00010281"/>
    <w:rsid w:val="00011BB4"/>
    <w:rsid w:val="0001412B"/>
    <w:rsid w:val="00015BDD"/>
    <w:rsid w:val="00017DDD"/>
    <w:rsid w:val="00021075"/>
    <w:rsid w:val="00027A9C"/>
    <w:rsid w:val="00027AD3"/>
    <w:rsid w:val="00031AF7"/>
    <w:rsid w:val="00034982"/>
    <w:rsid w:val="00034F94"/>
    <w:rsid w:val="0003518E"/>
    <w:rsid w:val="00037379"/>
    <w:rsid w:val="00037AD9"/>
    <w:rsid w:val="00042571"/>
    <w:rsid w:val="00046E8F"/>
    <w:rsid w:val="000541E0"/>
    <w:rsid w:val="0005671E"/>
    <w:rsid w:val="00061866"/>
    <w:rsid w:val="00063603"/>
    <w:rsid w:val="00064E2A"/>
    <w:rsid w:val="00067E09"/>
    <w:rsid w:val="00075726"/>
    <w:rsid w:val="000847CA"/>
    <w:rsid w:val="000912D0"/>
    <w:rsid w:val="00093A71"/>
    <w:rsid w:val="000954A1"/>
    <w:rsid w:val="000958B1"/>
    <w:rsid w:val="000A239E"/>
    <w:rsid w:val="000A6B9E"/>
    <w:rsid w:val="000B3CC5"/>
    <w:rsid w:val="000B4217"/>
    <w:rsid w:val="000B4E85"/>
    <w:rsid w:val="000C20DF"/>
    <w:rsid w:val="000C2E6C"/>
    <w:rsid w:val="000D0A5B"/>
    <w:rsid w:val="000D102C"/>
    <w:rsid w:val="000D4A79"/>
    <w:rsid w:val="000E4DB8"/>
    <w:rsid w:val="000E639D"/>
    <w:rsid w:val="000E6B73"/>
    <w:rsid w:val="000F0D86"/>
    <w:rsid w:val="000F3A7F"/>
    <w:rsid w:val="000F4EB9"/>
    <w:rsid w:val="000F4EDD"/>
    <w:rsid w:val="0010039C"/>
    <w:rsid w:val="00104825"/>
    <w:rsid w:val="0010628B"/>
    <w:rsid w:val="0011017E"/>
    <w:rsid w:val="00113B29"/>
    <w:rsid w:val="00117113"/>
    <w:rsid w:val="00121CA2"/>
    <w:rsid w:val="001241A2"/>
    <w:rsid w:val="00124E50"/>
    <w:rsid w:val="001267A4"/>
    <w:rsid w:val="00132723"/>
    <w:rsid w:val="0013393F"/>
    <w:rsid w:val="001350E9"/>
    <w:rsid w:val="001351BC"/>
    <w:rsid w:val="001414E1"/>
    <w:rsid w:val="001447CA"/>
    <w:rsid w:val="00144910"/>
    <w:rsid w:val="00146038"/>
    <w:rsid w:val="001512FC"/>
    <w:rsid w:val="00151696"/>
    <w:rsid w:val="00156FFD"/>
    <w:rsid w:val="00157247"/>
    <w:rsid w:val="0016019F"/>
    <w:rsid w:val="00163E34"/>
    <w:rsid w:val="001666DB"/>
    <w:rsid w:val="00167428"/>
    <w:rsid w:val="0017619C"/>
    <w:rsid w:val="00176600"/>
    <w:rsid w:val="001850AC"/>
    <w:rsid w:val="001934BB"/>
    <w:rsid w:val="00194CC2"/>
    <w:rsid w:val="001A175A"/>
    <w:rsid w:val="001A30AD"/>
    <w:rsid w:val="001A45B2"/>
    <w:rsid w:val="001A5B6F"/>
    <w:rsid w:val="001A65FD"/>
    <w:rsid w:val="001A739F"/>
    <w:rsid w:val="001B55C9"/>
    <w:rsid w:val="001B58F7"/>
    <w:rsid w:val="001C0C28"/>
    <w:rsid w:val="001C1B8F"/>
    <w:rsid w:val="001C3C21"/>
    <w:rsid w:val="001C74DE"/>
    <w:rsid w:val="001C7ACB"/>
    <w:rsid w:val="001D02F9"/>
    <w:rsid w:val="001D1C23"/>
    <w:rsid w:val="001D27B7"/>
    <w:rsid w:val="001E77D9"/>
    <w:rsid w:val="001F3124"/>
    <w:rsid w:val="001F3677"/>
    <w:rsid w:val="001F7509"/>
    <w:rsid w:val="001F7827"/>
    <w:rsid w:val="00200450"/>
    <w:rsid w:val="00204AEE"/>
    <w:rsid w:val="00204BB0"/>
    <w:rsid w:val="00205AE5"/>
    <w:rsid w:val="00206D72"/>
    <w:rsid w:val="00207A30"/>
    <w:rsid w:val="002102F0"/>
    <w:rsid w:val="00217630"/>
    <w:rsid w:val="00217F97"/>
    <w:rsid w:val="00230D0B"/>
    <w:rsid w:val="00230D70"/>
    <w:rsid w:val="002359F9"/>
    <w:rsid w:val="00237295"/>
    <w:rsid w:val="002501C4"/>
    <w:rsid w:val="002529BF"/>
    <w:rsid w:val="00255FC5"/>
    <w:rsid w:val="00257A08"/>
    <w:rsid w:val="00261326"/>
    <w:rsid w:val="00261FFB"/>
    <w:rsid w:val="002625ED"/>
    <w:rsid w:val="00264EC4"/>
    <w:rsid w:val="00270EA7"/>
    <w:rsid w:val="00272E87"/>
    <w:rsid w:val="002764BC"/>
    <w:rsid w:val="00280501"/>
    <w:rsid w:val="0028279D"/>
    <w:rsid w:val="00283914"/>
    <w:rsid w:val="0028464B"/>
    <w:rsid w:val="00286581"/>
    <w:rsid w:val="002871AE"/>
    <w:rsid w:val="00290C91"/>
    <w:rsid w:val="002962F8"/>
    <w:rsid w:val="0029654A"/>
    <w:rsid w:val="00297AF2"/>
    <w:rsid w:val="002A076C"/>
    <w:rsid w:val="002A222B"/>
    <w:rsid w:val="002A4627"/>
    <w:rsid w:val="002B18C3"/>
    <w:rsid w:val="002B256C"/>
    <w:rsid w:val="002B5927"/>
    <w:rsid w:val="002C565F"/>
    <w:rsid w:val="002D04C9"/>
    <w:rsid w:val="002D147D"/>
    <w:rsid w:val="002D6E47"/>
    <w:rsid w:val="002D7653"/>
    <w:rsid w:val="002D7B20"/>
    <w:rsid w:val="002E0001"/>
    <w:rsid w:val="002E2F94"/>
    <w:rsid w:val="00304940"/>
    <w:rsid w:val="0031020C"/>
    <w:rsid w:val="00312EDE"/>
    <w:rsid w:val="003131E0"/>
    <w:rsid w:val="00317EFF"/>
    <w:rsid w:val="00320B80"/>
    <w:rsid w:val="00332A10"/>
    <w:rsid w:val="0033421E"/>
    <w:rsid w:val="00334E48"/>
    <w:rsid w:val="00341005"/>
    <w:rsid w:val="0034325B"/>
    <w:rsid w:val="00343C70"/>
    <w:rsid w:val="00345B22"/>
    <w:rsid w:val="00354D21"/>
    <w:rsid w:val="00362AEA"/>
    <w:rsid w:val="003645CC"/>
    <w:rsid w:val="00370591"/>
    <w:rsid w:val="00370DDE"/>
    <w:rsid w:val="00374538"/>
    <w:rsid w:val="00381178"/>
    <w:rsid w:val="0038138A"/>
    <w:rsid w:val="00381AC6"/>
    <w:rsid w:val="003831CF"/>
    <w:rsid w:val="003837E1"/>
    <w:rsid w:val="00395986"/>
    <w:rsid w:val="00395DF1"/>
    <w:rsid w:val="003962B8"/>
    <w:rsid w:val="003964B2"/>
    <w:rsid w:val="003A0FC9"/>
    <w:rsid w:val="003A5A75"/>
    <w:rsid w:val="003A5ED3"/>
    <w:rsid w:val="003A7A23"/>
    <w:rsid w:val="003B0C4D"/>
    <w:rsid w:val="003B75B6"/>
    <w:rsid w:val="003C0C28"/>
    <w:rsid w:val="003C61E3"/>
    <w:rsid w:val="003D2C1B"/>
    <w:rsid w:val="003E0D0B"/>
    <w:rsid w:val="003E15D3"/>
    <w:rsid w:val="003E3B6A"/>
    <w:rsid w:val="003E5EB2"/>
    <w:rsid w:val="003E6D0E"/>
    <w:rsid w:val="003E72E3"/>
    <w:rsid w:val="003E78E6"/>
    <w:rsid w:val="003F099E"/>
    <w:rsid w:val="003F0DFE"/>
    <w:rsid w:val="003F1A1F"/>
    <w:rsid w:val="004040A5"/>
    <w:rsid w:val="00405E80"/>
    <w:rsid w:val="004140F8"/>
    <w:rsid w:val="004221BC"/>
    <w:rsid w:val="0042287E"/>
    <w:rsid w:val="004249C2"/>
    <w:rsid w:val="00425645"/>
    <w:rsid w:val="004276C7"/>
    <w:rsid w:val="00434167"/>
    <w:rsid w:val="004341FE"/>
    <w:rsid w:val="00437DB0"/>
    <w:rsid w:val="004410E9"/>
    <w:rsid w:val="0044506E"/>
    <w:rsid w:val="004453D2"/>
    <w:rsid w:val="004469DF"/>
    <w:rsid w:val="00447A42"/>
    <w:rsid w:val="004529F8"/>
    <w:rsid w:val="00461079"/>
    <w:rsid w:val="00461457"/>
    <w:rsid w:val="00471451"/>
    <w:rsid w:val="0048243F"/>
    <w:rsid w:val="004838F9"/>
    <w:rsid w:val="00485275"/>
    <w:rsid w:val="00485FC7"/>
    <w:rsid w:val="004904B3"/>
    <w:rsid w:val="0049260E"/>
    <w:rsid w:val="004966BA"/>
    <w:rsid w:val="00497F32"/>
    <w:rsid w:val="004A069D"/>
    <w:rsid w:val="004A1539"/>
    <w:rsid w:val="004A2E49"/>
    <w:rsid w:val="004A4388"/>
    <w:rsid w:val="004B6229"/>
    <w:rsid w:val="004C1606"/>
    <w:rsid w:val="004C34B4"/>
    <w:rsid w:val="004C38D8"/>
    <w:rsid w:val="004C4626"/>
    <w:rsid w:val="004C4969"/>
    <w:rsid w:val="004C4B37"/>
    <w:rsid w:val="004D06CE"/>
    <w:rsid w:val="004D1160"/>
    <w:rsid w:val="004D44F2"/>
    <w:rsid w:val="004D7513"/>
    <w:rsid w:val="004E3EE1"/>
    <w:rsid w:val="004F0CD3"/>
    <w:rsid w:val="004F4A27"/>
    <w:rsid w:val="004F75C1"/>
    <w:rsid w:val="004F7781"/>
    <w:rsid w:val="00504213"/>
    <w:rsid w:val="00504A8F"/>
    <w:rsid w:val="0050569C"/>
    <w:rsid w:val="00510D8D"/>
    <w:rsid w:val="00513C01"/>
    <w:rsid w:val="00523353"/>
    <w:rsid w:val="00523DF2"/>
    <w:rsid w:val="00524246"/>
    <w:rsid w:val="00525DDE"/>
    <w:rsid w:val="00531783"/>
    <w:rsid w:val="00537386"/>
    <w:rsid w:val="00540783"/>
    <w:rsid w:val="005413F9"/>
    <w:rsid w:val="00543C4F"/>
    <w:rsid w:val="005470EF"/>
    <w:rsid w:val="005504FD"/>
    <w:rsid w:val="00553213"/>
    <w:rsid w:val="00553964"/>
    <w:rsid w:val="00555A75"/>
    <w:rsid w:val="00560781"/>
    <w:rsid w:val="00560AD7"/>
    <w:rsid w:val="005616F1"/>
    <w:rsid w:val="00561BAD"/>
    <w:rsid w:val="00566B35"/>
    <w:rsid w:val="005805B3"/>
    <w:rsid w:val="0059186B"/>
    <w:rsid w:val="00592096"/>
    <w:rsid w:val="005924C1"/>
    <w:rsid w:val="005932D2"/>
    <w:rsid w:val="0059671A"/>
    <w:rsid w:val="005976DE"/>
    <w:rsid w:val="005A0566"/>
    <w:rsid w:val="005A1A10"/>
    <w:rsid w:val="005A5671"/>
    <w:rsid w:val="005A6E43"/>
    <w:rsid w:val="005A6F0A"/>
    <w:rsid w:val="005B063B"/>
    <w:rsid w:val="005C11AD"/>
    <w:rsid w:val="005C3EF8"/>
    <w:rsid w:val="005D0796"/>
    <w:rsid w:val="005D2293"/>
    <w:rsid w:val="005D271C"/>
    <w:rsid w:val="005D3296"/>
    <w:rsid w:val="005D6C11"/>
    <w:rsid w:val="005E1E70"/>
    <w:rsid w:val="005E5779"/>
    <w:rsid w:val="005E60A6"/>
    <w:rsid w:val="005E7DC4"/>
    <w:rsid w:val="005F13EC"/>
    <w:rsid w:val="005F5102"/>
    <w:rsid w:val="00601BE3"/>
    <w:rsid w:val="00604007"/>
    <w:rsid w:val="00605342"/>
    <w:rsid w:val="0061121B"/>
    <w:rsid w:val="00613B46"/>
    <w:rsid w:val="006173C4"/>
    <w:rsid w:val="00617908"/>
    <w:rsid w:val="00620B9B"/>
    <w:rsid w:val="00622C28"/>
    <w:rsid w:val="00623624"/>
    <w:rsid w:val="00624FCE"/>
    <w:rsid w:val="00625EC9"/>
    <w:rsid w:val="00631EE6"/>
    <w:rsid w:val="00640058"/>
    <w:rsid w:val="00641C21"/>
    <w:rsid w:val="00643006"/>
    <w:rsid w:val="0064582B"/>
    <w:rsid w:val="00651E65"/>
    <w:rsid w:val="00653577"/>
    <w:rsid w:val="00662968"/>
    <w:rsid w:val="0066361E"/>
    <w:rsid w:val="00664669"/>
    <w:rsid w:val="00664A50"/>
    <w:rsid w:val="00664A9B"/>
    <w:rsid w:val="0066540B"/>
    <w:rsid w:val="00666CED"/>
    <w:rsid w:val="006730B5"/>
    <w:rsid w:val="00673FFD"/>
    <w:rsid w:val="006743B1"/>
    <w:rsid w:val="00685ABC"/>
    <w:rsid w:val="00685CCF"/>
    <w:rsid w:val="006A00D6"/>
    <w:rsid w:val="006A6369"/>
    <w:rsid w:val="006B7301"/>
    <w:rsid w:val="006B7876"/>
    <w:rsid w:val="006B7A2D"/>
    <w:rsid w:val="006C0100"/>
    <w:rsid w:val="006C0276"/>
    <w:rsid w:val="006C2C1A"/>
    <w:rsid w:val="006C3431"/>
    <w:rsid w:val="006C358C"/>
    <w:rsid w:val="006C3607"/>
    <w:rsid w:val="006C3E62"/>
    <w:rsid w:val="006C69EF"/>
    <w:rsid w:val="006C6EB0"/>
    <w:rsid w:val="006C7864"/>
    <w:rsid w:val="006D4DD3"/>
    <w:rsid w:val="006E20BC"/>
    <w:rsid w:val="006E2C58"/>
    <w:rsid w:val="006E635E"/>
    <w:rsid w:val="006E6C40"/>
    <w:rsid w:val="006E7670"/>
    <w:rsid w:val="006F33DD"/>
    <w:rsid w:val="006F4C57"/>
    <w:rsid w:val="00703493"/>
    <w:rsid w:val="0070513F"/>
    <w:rsid w:val="007052B3"/>
    <w:rsid w:val="00707DB8"/>
    <w:rsid w:val="007117FA"/>
    <w:rsid w:val="007125D2"/>
    <w:rsid w:val="0071432D"/>
    <w:rsid w:val="007153E8"/>
    <w:rsid w:val="00715E2C"/>
    <w:rsid w:val="00716B03"/>
    <w:rsid w:val="0072201A"/>
    <w:rsid w:val="007327B4"/>
    <w:rsid w:val="00733FB2"/>
    <w:rsid w:val="0073464D"/>
    <w:rsid w:val="007377DD"/>
    <w:rsid w:val="00740D1B"/>
    <w:rsid w:val="007411F8"/>
    <w:rsid w:val="00750F37"/>
    <w:rsid w:val="007556CC"/>
    <w:rsid w:val="007566CD"/>
    <w:rsid w:val="0076167B"/>
    <w:rsid w:val="00765165"/>
    <w:rsid w:val="00766C0E"/>
    <w:rsid w:val="00770CE4"/>
    <w:rsid w:val="00775056"/>
    <w:rsid w:val="00775A47"/>
    <w:rsid w:val="00783E38"/>
    <w:rsid w:val="00785AEC"/>
    <w:rsid w:val="007864F2"/>
    <w:rsid w:val="007900B8"/>
    <w:rsid w:val="00791A5C"/>
    <w:rsid w:val="00796549"/>
    <w:rsid w:val="00797CEF"/>
    <w:rsid w:val="007A1C24"/>
    <w:rsid w:val="007A24F2"/>
    <w:rsid w:val="007B0E6A"/>
    <w:rsid w:val="007B2F39"/>
    <w:rsid w:val="007B377E"/>
    <w:rsid w:val="007B56D5"/>
    <w:rsid w:val="007B5C2E"/>
    <w:rsid w:val="007C3146"/>
    <w:rsid w:val="007C35D4"/>
    <w:rsid w:val="007C452C"/>
    <w:rsid w:val="007D05AC"/>
    <w:rsid w:val="007D5206"/>
    <w:rsid w:val="007E1B65"/>
    <w:rsid w:val="007E22C2"/>
    <w:rsid w:val="007E23F0"/>
    <w:rsid w:val="007E35B3"/>
    <w:rsid w:val="007F0A66"/>
    <w:rsid w:val="007F7ADD"/>
    <w:rsid w:val="00802637"/>
    <w:rsid w:val="0080457F"/>
    <w:rsid w:val="00810015"/>
    <w:rsid w:val="00816E04"/>
    <w:rsid w:val="008228A0"/>
    <w:rsid w:val="00823AFE"/>
    <w:rsid w:val="008242CD"/>
    <w:rsid w:val="008309FE"/>
    <w:rsid w:val="00835582"/>
    <w:rsid w:val="008355DF"/>
    <w:rsid w:val="00840DDC"/>
    <w:rsid w:val="00840EF3"/>
    <w:rsid w:val="00840F1A"/>
    <w:rsid w:val="008436B8"/>
    <w:rsid w:val="008446C6"/>
    <w:rsid w:val="00844B6B"/>
    <w:rsid w:val="008458F0"/>
    <w:rsid w:val="00851310"/>
    <w:rsid w:val="00853EB2"/>
    <w:rsid w:val="00854074"/>
    <w:rsid w:val="00854FD5"/>
    <w:rsid w:val="00863427"/>
    <w:rsid w:val="00863E74"/>
    <w:rsid w:val="00867DAD"/>
    <w:rsid w:val="008726F3"/>
    <w:rsid w:val="008752C3"/>
    <w:rsid w:val="00876AC5"/>
    <w:rsid w:val="0087775E"/>
    <w:rsid w:val="00883663"/>
    <w:rsid w:val="008836AE"/>
    <w:rsid w:val="00887EB5"/>
    <w:rsid w:val="008921EC"/>
    <w:rsid w:val="00892CEF"/>
    <w:rsid w:val="00892D4F"/>
    <w:rsid w:val="00895AA5"/>
    <w:rsid w:val="00895CB5"/>
    <w:rsid w:val="008A10C9"/>
    <w:rsid w:val="008A2078"/>
    <w:rsid w:val="008A269A"/>
    <w:rsid w:val="008A3E95"/>
    <w:rsid w:val="008A565C"/>
    <w:rsid w:val="008A744A"/>
    <w:rsid w:val="008B56C4"/>
    <w:rsid w:val="008B5D9D"/>
    <w:rsid w:val="008B6643"/>
    <w:rsid w:val="008C1E7E"/>
    <w:rsid w:val="008C1E89"/>
    <w:rsid w:val="008C2FE4"/>
    <w:rsid w:val="008C3087"/>
    <w:rsid w:val="008C3578"/>
    <w:rsid w:val="008C7DDF"/>
    <w:rsid w:val="008D08E0"/>
    <w:rsid w:val="008D4B9D"/>
    <w:rsid w:val="008D5AEE"/>
    <w:rsid w:val="008D6FD2"/>
    <w:rsid w:val="008E02FD"/>
    <w:rsid w:val="008E310E"/>
    <w:rsid w:val="008E323F"/>
    <w:rsid w:val="008E566C"/>
    <w:rsid w:val="008E634D"/>
    <w:rsid w:val="008F58D4"/>
    <w:rsid w:val="00911531"/>
    <w:rsid w:val="00912ADB"/>
    <w:rsid w:val="00913D39"/>
    <w:rsid w:val="00914629"/>
    <w:rsid w:val="0091536C"/>
    <w:rsid w:val="009158CB"/>
    <w:rsid w:val="00916418"/>
    <w:rsid w:val="0091769D"/>
    <w:rsid w:val="00917EAB"/>
    <w:rsid w:val="0092577F"/>
    <w:rsid w:val="00926006"/>
    <w:rsid w:val="009278B1"/>
    <w:rsid w:val="0092790C"/>
    <w:rsid w:val="00934DD2"/>
    <w:rsid w:val="00940E50"/>
    <w:rsid w:val="00941254"/>
    <w:rsid w:val="009453A1"/>
    <w:rsid w:val="00945CBA"/>
    <w:rsid w:val="0094698D"/>
    <w:rsid w:val="009474B1"/>
    <w:rsid w:val="0095610A"/>
    <w:rsid w:val="009567AD"/>
    <w:rsid w:val="00963665"/>
    <w:rsid w:val="00964F99"/>
    <w:rsid w:val="009677C3"/>
    <w:rsid w:val="00977159"/>
    <w:rsid w:val="009908C7"/>
    <w:rsid w:val="009912DE"/>
    <w:rsid w:val="00991D36"/>
    <w:rsid w:val="009939F5"/>
    <w:rsid w:val="00994C6A"/>
    <w:rsid w:val="009A16CE"/>
    <w:rsid w:val="009A60E4"/>
    <w:rsid w:val="009A6CFB"/>
    <w:rsid w:val="009B1E3A"/>
    <w:rsid w:val="009B2A7A"/>
    <w:rsid w:val="009B31CB"/>
    <w:rsid w:val="009B7D4F"/>
    <w:rsid w:val="009C0B83"/>
    <w:rsid w:val="009C1184"/>
    <w:rsid w:val="009C356E"/>
    <w:rsid w:val="009D0C94"/>
    <w:rsid w:val="009D2917"/>
    <w:rsid w:val="009D6128"/>
    <w:rsid w:val="009F1BB0"/>
    <w:rsid w:val="009F1CD3"/>
    <w:rsid w:val="009F5214"/>
    <w:rsid w:val="009F53C0"/>
    <w:rsid w:val="00A00EEB"/>
    <w:rsid w:val="00A02C9D"/>
    <w:rsid w:val="00A13DE2"/>
    <w:rsid w:val="00A140CB"/>
    <w:rsid w:val="00A1453F"/>
    <w:rsid w:val="00A14E3C"/>
    <w:rsid w:val="00A156D6"/>
    <w:rsid w:val="00A15919"/>
    <w:rsid w:val="00A16F85"/>
    <w:rsid w:val="00A220CE"/>
    <w:rsid w:val="00A33C84"/>
    <w:rsid w:val="00A4214F"/>
    <w:rsid w:val="00A43D13"/>
    <w:rsid w:val="00A45A94"/>
    <w:rsid w:val="00A54778"/>
    <w:rsid w:val="00A65854"/>
    <w:rsid w:val="00A6585D"/>
    <w:rsid w:val="00A74F19"/>
    <w:rsid w:val="00A77429"/>
    <w:rsid w:val="00A7756A"/>
    <w:rsid w:val="00A813F1"/>
    <w:rsid w:val="00A81A96"/>
    <w:rsid w:val="00A83D18"/>
    <w:rsid w:val="00A85FD5"/>
    <w:rsid w:val="00A939F5"/>
    <w:rsid w:val="00A95E52"/>
    <w:rsid w:val="00A96997"/>
    <w:rsid w:val="00AA005C"/>
    <w:rsid w:val="00AA0208"/>
    <w:rsid w:val="00AA0CA7"/>
    <w:rsid w:val="00AA603E"/>
    <w:rsid w:val="00AA7281"/>
    <w:rsid w:val="00AA7358"/>
    <w:rsid w:val="00AB6F2C"/>
    <w:rsid w:val="00AC2F36"/>
    <w:rsid w:val="00AC535E"/>
    <w:rsid w:val="00AC537F"/>
    <w:rsid w:val="00AC674C"/>
    <w:rsid w:val="00AC6A32"/>
    <w:rsid w:val="00AC7698"/>
    <w:rsid w:val="00AD2398"/>
    <w:rsid w:val="00AD5287"/>
    <w:rsid w:val="00AD5381"/>
    <w:rsid w:val="00AE3BEE"/>
    <w:rsid w:val="00AE730C"/>
    <w:rsid w:val="00AF09A5"/>
    <w:rsid w:val="00AF361A"/>
    <w:rsid w:val="00B00731"/>
    <w:rsid w:val="00B01653"/>
    <w:rsid w:val="00B054F3"/>
    <w:rsid w:val="00B05C26"/>
    <w:rsid w:val="00B12577"/>
    <w:rsid w:val="00B13967"/>
    <w:rsid w:val="00B1546B"/>
    <w:rsid w:val="00B1689B"/>
    <w:rsid w:val="00B17195"/>
    <w:rsid w:val="00B17F43"/>
    <w:rsid w:val="00B24AE1"/>
    <w:rsid w:val="00B27A3B"/>
    <w:rsid w:val="00B27D20"/>
    <w:rsid w:val="00B32BC4"/>
    <w:rsid w:val="00B40C9B"/>
    <w:rsid w:val="00B41D7F"/>
    <w:rsid w:val="00B43260"/>
    <w:rsid w:val="00B4577E"/>
    <w:rsid w:val="00B55E6F"/>
    <w:rsid w:val="00B560B7"/>
    <w:rsid w:val="00B61356"/>
    <w:rsid w:val="00B63A2B"/>
    <w:rsid w:val="00B70A00"/>
    <w:rsid w:val="00B70E46"/>
    <w:rsid w:val="00B72E8C"/>
    <w:rsid w:val="00B80073"/>
    <w:rsid w:val="00B83C79"/>
    <w:rsid w:val="00B927D6"/>
    <w:rsid w:val="00B95B83"/>
    <w:rsid w:val="00B9762F"/>
    <w:rsid w:val="00B97FD5"/>
    <w:rsid w:val="00BA0A80"/>
    <w:rsid w:val="00BA16FB"/>
    <w:rsid w:val="00BA4FE7"/>
    <w:rsid w:val="00BA6512"/>
    <w:rsid w:val="00BB2426"/>
    <w:rsid w:val="00BB4D4F"/>
    <w:rsid w:val="00BC20E2"/>
    <w:rsid w:val="00BC54F7"/>
    <w:rsid w:val="00BC665E"/>
    <w:rsid w:val="00BC6980"/>
    <w:rsid w:val="00BC7C74"/>
    <w:rsid w:val="00BD12EE"/>
    <w:rsid w:val="00BD36E8"/>
    <w:rsid w:val="00BD5812"/>
    <w:rsid w:val="00BD6E98"/>
    <w:rsid w:val="00BE189E"/>
    <w:rsid w:val="00BE26B1"/>
    <w:rsid w:val="00BE724C"/>
    <w:rsid w:val="00BE79F9"/>
    <w:rsid w:val="00BF02B8"/>
    <w:rsid w:val="00BF0FBD"/>
    <w:rsid w:val="00BF4624"/>
    <w:rsid w:val="00BF6EB4"/>
    <w:rsid w:val="00BF762A"/>
    <w:rsid w:val="00C042AB"/>
    <w:rsid w:val="00C12EBE"/>
    <w:rsid w:val="00C158C0"/>
    <w:rsid w:val="00C20241"/>
    <w:rsid w:val="00C21898"/>
    <w:rsid w:val="00C23A0D"/>
    <w:rsid w:val="00C242FF"/>
    <w:rsid w:val="00C37C1A"/>
    <w:rsid w:val="00C47422"/>
    <w:rsid w:val="00C47479"/>
    <w:rsid w:val="00C5461D"/>
    <w:rsid w:val="00C60ED6"/>
    <w:rsid w:val="00C610DE"/>
    <w:rsid w:val="00C61F01"/>
    <w:rsid w:val="00C67CCB"/>
    <w:rsid w:val="00C67D46"/>
    <w:rsid w:val="00C71381"/>
    <w:rsid w:val="00C773F5"/>
    <w:rsid w:val="00C77808"/>
    <w:rsid w:val="00C77D8B"/>
    <w:rsid w:val="00C8116A"/>
    <w:rsid w:val="00C85D4F"/>
    <w:rsid w:val="00C906A3"/>
    <w:rsid w:val="00C92024"/>
    <w:rsid w:val="00C93222"/>
    <w:rsid w:val="00CA4221"/>
    <w:rsid w:val="00CA729B"/>
    <w:rsid w:val="00CB17B1"/>
    <w:rsid w:val="00CB4657"/>
    <w:rsid w:val="00CB793F"/>
    <w:rsid w:val="00CC5A06"/>
    <w:rsid w:val="00CD01B7"/>
    <w:rsid w:val="00CD0987"/>
    <w:rsid w:val="00CD204D"/>
    <w:rsid w:val="00CD445D"/>
    <w:rsid w:val="00CD7497"/>
    <w:rsid w:val="00CE0042"/>
    <w:rsid w:val="00CE0C42"/>
    <w:rsid w:val="00CE4054"/>
    <w:rsid w:val="00CE44B2"/>
    <w:rsid w:val="00CE4AFE"/>
    <w:rsid w:val="00D004DE"/>
    <w:rsid w:val="00D01679"/>
    <w:rsid w:val="00D01D96"/>
    <w:rsid w:val="00D0552B"/>
    <w:rsid w:val="00D07D75"/>
    <w:rsid w:val="00D16C01"/>
    <w:rsid w:val="00D16E4F"/>
    <w:rsid w:val="00D252D7"/>
    <w:rsid w:val="00D25B96"/>
    <w:rsid w:val="00D261BE"/>
    <w:rsid w:val="00D31E2E"/>
    <w:rsid w:val="00D3454F"/>
    <w:rsid w:val="00D35BD8"/>
    <w:rsid w:val="00D37FB5"/>
    <w:rsid w:val="00D42AE3"/>
    <w:rsid w:val="00D43D6E"/>
    <w:rsid w:val="00D44BBC"/>
    <w:rsid w:val="00D477C8"/>
    <w:rsid w:val="00D47E5C"/>
    <w:rsid w:val="00D50A26"/>
    <w:rsid w:val="00D5312D"/>
    <w:rsid w:val="00D56838"/>
    <w:rsid w:val="00D614AB"/>
    <w:rsid w:val="00D61CB4"/>
    <w:rsid w:val="00D626C9"/>
    <w:rsid w:val="00D65E94"/>
    <w:rsid w:val="00D6724F"/>
    <w:rsid w:val="00D72EBE"/>
    <w:rsid w:val="00D77E72"/>
    <w:rsid w:val="00D8029F"/>
    <w:rsid w:val="00D803C7"/>
    <w:rsid w:val="00D83446"/>
    <w:rsid w:val="00D85DFE"/>
    <w:rsid w:val="00D90D7C"/>
    <w:rsid w:val="00D94F93"/>
    <w:rsid w:val="00D9739A"/>
    <w:rsid w:val="00DA02B8"/>
    <w:rsid w:val="00DA1A9B"/>
    <w:rsid w:val="00DA440F"/>
    <w:rsid w:val="00DB3B30"/>
    <w:rsid w:val="00DB4495"/>
    <w:rsid w:val="00DB4E09"/>
    <w:rsid w:val="00DB5C37"/>
    <w:rsid w:val="00DC5FC2"/>
    <w:rsid w:val="00DC638D"/>
    <w:rsid w:val="00DD022E"/>
    <w:rsid w:val="00DD081F"/>
    <w:rsid w:val="00DD263E"/>
    <w:rsid w:val="00DE3871"/>
    <w:rsid w:val="00DE4971"/>
    <w:rsid w:val="00DE6F30"/>
    <w:rsid w:val="00DF1692"/>
    <w:rsid w:val="00DF3070"/>
    <w:rsid w:val="00DF433D"/>
    <w:rsid w:val="00DF6204"/>
    <w:rsid w:val="00DF7F24"/>
    <w:rsid w:val="00E020DA"/>
    <w:rsid w:val="00E03783"/>
    <w:rsid w:val="00E07643"/>
    <w:rsid w:val="00E12DF0"/>
    <w:rsid w:val="00E1575A"/>
    <w:rsid w:val="00E202AF"/>
    <w:rsid w:val="00E23378"/>
    <w:rsid w:val="00E34263"/>
    <w:rsid w:val="00E352E8"/>
    <w:rsid w:val="00E41FDC"/>
    <w:rsid w:val="00E510BE"/>
    <w:rsid w:val="00E51A48"/>
    <w:rsid w:val="00E539AD"/>
    <w:rsid w:val="00E54866"/>
    <w:rsid w:val="00E5496F"/>
    <w:rsid w:val="00E560E4"/>
    <w:rsid w:val="00E629FA"/>
    <w:rsid w:val="00E65740"/>
    <w:rsid w:val="00E71BC2"/>
    <w:rsid w:val="00E734AA"/>
    <w:rsid w:val="00E82A08"/>
    <w:rsid w:val="00E90EB8"/>
    <w:rsid w:val="00E91BB5"/>
    <w:rsid w:val="00E97291"/>
    <w:rsid w:val="00E97BD8"/>
    <w:rsid w:val="00EA0015"/>
    <w:rsid w:val="00EA061C"/>
    <w:rsid w:val="00EA4970"/>
    <w:rsid w:val="00EA69E4"/>
    <w:rsid w:val="00EB2A2C"/>
    <w:rsid w:val="00EB5C7C"/>
    <w:rsid w:val="00EC0820"/>
    <w:rsid w:val="00EC28C5"/>
    <w:rsid w:val="00EC3275"/>
    <w:rsid w:val="00EC6840"/>
    <w:rsid w:val="00EC746F"/>
    <w:rsid w:val="00ED3972"/>
    <w:rsid w:val="00ED3DDD"/>
    <w:rsid w:val="00ED6661"/>
    <w:rsid w:val="00EE0705"/>
    <w:rsid w:val="00EE203C"/>
    <w:rsid w:val="00EE64D6"/>
    <w:rsid w:val="00EE661C"/>
    <w:rsid w:val="00EE7766"/>
    <w:rsid w:val="00EF0D5A"/>
    <w:rsid w:val="00EF5436"/>
    <w:rsid w:val="00F00ED0"/>
    <w:rsid w:val="00F0504B"/>
    <w:rsid w:val="00F0706C"/>
    <w:rsid w:val="00F12B26"/>
    <w:rsid w:val="00F16254"/>
    <w:rsid w:val="00F21BEE"/>
    <w:rsid w:val="00F354F7"/>
    <w:rsid w:val="00F37395"/>
    <w:rsid w:val="00F40C70"/>
    <w:rsid w:val="00F4171F"/>
    <w:rsid w:val="00F4654D"/>
    <w:rsid w:val="00F46584"/>
    <w:rsid w:val="00F46795"/>
    <w:rsid w:val="00F51B98"/>
    <w:rsid w:val="00F52023"/>
    <w:rsid w:val="00F53827"/>
    <w:rsid w:val="00F5657A"/>
    <w:rsid w:val="00F6005F"/>
    <w:rsid w:val="00F607CA"/>
    <w:rsid w:val="00F60AF4"/>
    <w:rsid w:val="00F629D2"/>
    <w:rsid w:val="00F64A58"/>
    <w:rsid w:val="00F720F5"/>
    <w:rsid w:val="00F73E3F"/>
    <w:rsid w:val="00F93AC6"/>
    <w:rsid w:val="00F95E20"/>
    <w:rsid w:val="00F968AB"/>
    <w:rsid w:val="00FA2863"/>
    <w:rsid w:val="00FA2D2F"/>
    <w:rsid w:val="00FA2DA0"/>
    <w:rsid w:val="00FA38DD"/>
    <w:rsid w:val="00FB00AD"/>
    <w:rsid w:val="00FB0ADF"/>
    <w:rsid w:val="00FB602E"/>
    <w:rsid w:val="00FB605F"/>
    <w:rsid w:val="00FB73A4"/>
    <w:rsid w:val="00FB758B"/>
    <w:rsid w:val="00FB7F5B"/>
    <w:rsid w:val="00FC2AAE"/>
    <w:rsid w:val="00FC4879"/>
    <w:rsid w:val="00FC6E24"/>
    <w:rsid w:val="00FC7211"/>
    <w:rsid w:val="00FD140A"/>
    <w:rsid w:val="00FD5E5F"/>
    <w:rsid w:val="00FD6A0C"/>
    <w:rsid w:val="00FE04C8"/>
    <w:rsid w:val="00FE0A22"/>
    <w:rsid w:val="00FE0FBF"/>
    <w:rsid w:val="00FE1412"/>
    <w:rsid w:val="00FE1547"/>
    <w:rsid w:val="00FE66E4"/>
    <w:rsid w:val="00FE6CB7"/>
    <w:rsid w:val="00FF072A"/>
    <w:rsid w:val="00FF3736"/>
    <w:rsid w:val="085F5F61"/>
    <w:rsid w:val="12FC017C"/>
    <w:rsid w:val="17896087"/>
    <w:rsid w:val="1F7F17B2"/>
    <w:rsid w:val="27073136"/>
    <w:rsid w:val="374101FF"/>
    <w:rsid w:val="7A9657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table" w:customStyle="1" w:styleId="10">
    <w:name w:val="网格型1"/>
    <w:basedOn w:val="5"/>
    <w:qFormat/>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网格型2"/>
    <w:basedOn w:val="5"/>
    <w:qFormat/>
    <w:locked/>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网格型3"/>
    <w:basedOn w:val="5"/>
    <w:qFormat/>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basedOn w:val="7"/>
    <w:link w:val="2"/>
    <w:semiHidden/>
    <w:qFormat/>
    <w:uiPriority w:val="99"/>
    <w:rPr>
      <w:sz w:val="18"/>
      <w:szCs w:val="18"/>
    </w:rPr>
  </w:style>
  <w:style w:type="paragraph" w:styleId="14">
    <w:name w:val="List Paragraph"/>
    <w:basedOn w:val="1"/>
    <w:qFormat/>
    <w:uiPriority w:val="34"/>
    <w:pPr>
      <w:ind w:firstLine="420" w:firstLineChars="200"/>
    </w:pPr>
    <w:rPr>
      <w:rFonts w:ascii="Calibri" w:hAnsi="Calibri" w:eastAsia="宋体" w:cs="Times New Roman"/>
    </w:rPr>
  </w:style>
  <w:style w:type="paragraph" w:customStyle="1" w:styleId="15">
    <w:name w:val="正文表标题"/>
    <w:next w:val="1"/>
    <w:qFormat/>
    <w:uiPriority w:val="0"/>
    <w:pPr>
      <w:numPr>
        <w:ilvl w:val="0"/>
        <w:numId w:val="1"/>
      </w:numPr>
      <w:spacing w:beforeLines="50" w:afterLines="50"/>
      <w:jc w:val="center"/>
    </w:pPr>
    <w:rPr>
      <w:rFonts w:ascii="黑体" w:hAnsi="Times New Roman" w:eastAsia="黑体" w:cs="Times New Roman"/>
      <w:kern w:val="0"/>
      <w:sz w:val="21"/>
      <w:szCs w:val="20"/>
      <w:lang w:val="en-US" w:eastAsia="zh-CN" w:bidi="ar-SA"/>
    </w:rPr>
  </w:style>
  <w:style w:type="paragraph" w:customStyle="1" w:styleId="16">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17">
    <w:name w:val="段"/>
    <w:link w:val="18"/>
    <w:qFormat/>
    <w:uiPriority w:val="0"/>
    <w:pPr>
      <w:tabs>
        <w:tab w:val="center" w:pos="4201"/>
        <w:tab w:val="right" w:leader="dot" w:pos="9298"/>
      </w:tabs>
      <w:autoSpaceDE w:val="0"/>
      <w:autoSpaceDN w:val="0"/>
      <w:ind w:firstLine="420" w:firstLineChars="200"/>
      <w:jc w:val="both"/>
    </w:pPr>
    <w:rPr>
      <w:rFonts w:ascii="宋体" w:hAnsi="Times New Roman" w:eastAsia="宋体" w:cs="宋体"/>
      <w:kern w:val="0"/>
      <w:sz w:val="21"/>
      <w:szCs w:val="21"/>
      <w:lang w:val="en-US" w:eastAsia="zh-CN" w:bidi="ar-SA"/>
    </w:rPr>
  </w:style>
  <w:style w:type="character" w:customStyle="1" w:styleId="18">
    <w:name w:val="段 Char"/>
    <w:basedOn w:val="7"/>
    <w:link w:val="17"/>
    <w:qFormat/>
    <w:locked/>
    <w:uiPriority w:val="0"/>
    <w:rPr>
      <w:rFonts w:ascii="宋体" w:hAnsi="Times New Roman" w:eastAsia="宋体" w:cs="宋体"/>
      <w:kern w:val="0"/>
      <w:szCs w:val="21"/>
    </w:rPr>
  </w:style>
  <w:style w:type="table" w:customStyle="1" w:styleId="19">
    <w:name w:val="网格型4"/>
    <w:basedOn w:val="5"/>
    <w:qFormat/>
    <w:uiPriority w:val="0"/>
    <w:rPr>
      <w:rFonts w:ascii="宋体" w:hAnsi="Times New Roman" w:eastAsia="宋体" w:cs="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0">
    <w:name w:val="网格型5"/>
    <w:basedOn w:val="5"/>
    <w:qFormat/>
    <w:uiPriority w:val="0"/>
    <w:rPr>
      <w:rFonts w:ascii="宋体" w:hAnsi="Times New Roman" w:eastAsia="宋体" w:cs="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
    <w:name w:val="网格型6"/>
    <w:basedOn w:val="5"/>
    <w:qFormat/>
    <w:uiPriority w:val="0"/>
    <w:rPr>
      <w:rFonts w:ascii="宋体" w:hAnsi="Times New Roman" w:eastAsia="宋体" w:cs="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2">
    <w:name w:val="网格型7"/>
    <w:basedOn w:val="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二级无"/>
    <w:basedOn w:val="1"/>
    <w:qFormat/>
    <w:uiPriority w:val="0"/>
    <w:pPr>
      <w:widowControl/>
      <w:numPr>
        <w:ilvl w:val="2"/>
        <w:numId w:val="2"/>
      </w:numPr>
      <w:jc w:val="left"/>
      <w:outlineLvl w:val="3"/>
    </w:pPr>
    <w:rPr>
      <w:rFonts w:ascii="宋体" w:hAnsi="Times New Roman" w:eastAsia="宋体" w:cs="Times New Roman"/>
      <w:kern w:val="0"/>
      <w:szCs w:val="21"/>
    </w:rPr>
  </w:style>
  <w:style w:type="table" w:customStyle="1" w:styleId="24">
    <w:name w:val="网格型8"/>
    <w:basedOn w:val="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网格型11"/>
    <w:basedOn w:val="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Table Text"/>
    <w:basedOn w:val="1"/>
    <w:semiHidden/>
    <w:qFormat/>
    <w:uiPriority w:val="0"/>
    <w:rPr>
      <w:rFonts w:ascii="仿宋" w:hAnsi="仿宋" w:eastAsia="仿宋" w:cs="仿宋"/>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901B0-A62E-4E0D-80BB-F4483D36BE94}">
  <ds:schemaRefs/>
</ds:datastoreItem>
</file>

<file path=docProps/app.xml><?xml version="1.0" encoding="utf-8"?>
<Properties xmlns="http://schemas.openxmlformats.org/officeDocument/2006/extended-properties" xmlns:vt="http://schemas.openxmlformats.org/officeDocument/2006/docPropsVTypes">
  <Template>Normal</Template>
  <Pages>14</Pages>
  <Words>6210</Words>
  <Characters>6582</Characters>
  <Lines>46</Lines>
  <Paragraphs>13</Paragraphs>
  <TotalTime>0</TotalTime>
  <ScaleCrop>false</ScaleCrop>
  <LinksUpToDate>false</LinksUpToDate>
  <CharactersWithSpaces>6660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2022-06-14T06:09:00Z</dcterms:created>
  <dc:creator>wangzequn</dc:creator>
  <cp:lastModifiedBy>Feeling</cp:lastModifiedBy>
  <dcterms:modified xsi:type="dcterms:W3CDTF">2023-08-14T15:44:51Z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E7629A85EEDC478BBACA8601864DD664_12</vt:lpwstr>
  </property>
</Properties>
</file>